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8C18C9"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05109C" w:rsidRDefault="0005109C">
                  <w:pPr>
                    <w:pStyle w:val="Title"/>
                    <w:jc w:val="left"/>
                  </w:pPr>
                  <w:r w:rsidRPr="00F50D3A">
                    <w:t>Electricity</w:t>
                  </w:r>
                  <w:r>
                    <w:t xml:space="preserve"> Report</w:t>
                  </w:r>
                </w:p>
                <w:p w:rsidR="0005109C" w:rsidRDefault="0005109C">
                  <w:pPr>
                    <w:pStyle w:val="Title"/>
                    <w:jc w:val="left"/>
                    <w:rPr>
                      <w:i/>
                    </w:rPr>
                  </w:pPr>
                  <w:r>
                    <w:t>11 to 17 August 2013</w:t>
                  </w:r>
                  <w:r w:rsidRPr="00F50D3A">
                    <w:t xml:space="preserve"> </w:t>
                  </w:r>
                </w:p>
                <w:p w:rsidR="0005109C" w:rsidRDefault="0005109C">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Default="000E1281" w:rsidP="002F6FF5">
      <w:pPr>
        <w:rPr>
          <w:lang w:eastAsia="en-US"/>
        </w:rPr>
      </w:pPr>
    </w:p>
    <w:p w:rsidR="000E1281" w:rsidRDefault="00B02A59" w:rsidP="000E1281">
      <w:pPr>
        <w:pStyle w:val="Heading2"/>
      </w:pPr>
      <w:r>
        <w:t>Weekly s</w:t>
      </w:r>
      <w:r w:rsidR="000E1281">
        <w:t>potlight</w:t>
      </w:r>
    </w:p>
    <w:p w:rsidR="00C94F21" w:rsidRDefault="00B02A59" w:rsidP="003157C3">
      <w:pPr>
        <w:pStyle w:val="Heading2"/>
        <w:keepNext w:val="0"/>
        <w:widowControl w:val="0"/>
        <w:rPr>
          <w:rFonts w:cs="Times New Roman"/>
          <w:b w:val="0"/>
          <w:bCs w:val="0"/>
          <w:iCs w:val="0"/>
          <w:color w:val="auto"/>
          <w:sz w:val="20"/>
          <w:szCs w:val="24"/>
        </w:rPr>
      </w:pPr>
      <w:r w:rsidRPr="00CE1475">
        <w:rPr>
          <w:rFonts w:cs="Times New Roman"/>
          <w:b w:val="0"/>
          <w:bCs w:val="0"/>
          <w:iCs w:val="0"/>
          <w:color w:val="auto"/>
          <w:sz w:val="20"/>
          <w:szCs w:val="24"/>
        </w:rPr>
        <w:t>This week</w:t>
      </w:r>
      <w:r w:rsidR="00374947">
        <w:rPr>
          <w:rFonts w:cs="Times New Roman"/>
          <w:b w:val="0"/>
          <w:bCs w:val="0"/>
          <w:iCs w:val="0"/>
          <w:color w:val="auto"/>
          <w:sz w:val="20"/>
          <w:szCs w:val="24"/>
        </w:rPr>
        <w:t>’</w:t>
      </w:r>
      <w:r w:rsidRPr="00CE1475">
        <w:rPr>
          <w:rFonts w:cs="Times New Roman"/>
          <w:b w:val="0"/>
          <w:bCs w:val="0"/>
          <w:iCs w:val="0"/>
          <w:color w:val="auto"/>
          <w:sz w:val="20"/>
          <w:szCs w:val="24"/>
        </w:rPr>
        <w:t xml:space="preserve">s spotlight </w:t>
      </w:r>
      <w:r w:rsidR="00150F5E">
        <w:rPr>
          <w:rFonts w:cs="Times New Roman"/>
          <w:b w:val="0"/>
          <w:bCs w:val="0"/>
          <w:iCs w:val="0"/>
          <w:color w:val="auto"/>
          <w:sz w:val="20"/>
          <w:szCs w:val="24"/>
        </w:rPr>
        <w:t xml:space="preserve">highlights how the intermittent nature of </w:t>
      </w:r>
      <w:r w:rsidRPr="00CE1475">
        <w:rPr>
          <w:rFonts w:cs="Times New Roman"/>
          <w:b w:val="0"/>
          <w:bCs w:val="0"/>
          <w:iCs w:val="0"/>
          <w:color w:val="auto"/>
          <w:sz w:val="20"/>
          <w:szCs w:val="24"/>
        </w:rPr>
        <w:t xml:space="preserve">wind generation can have </w:t>
      </w:r>
      <w:r w:rsidR="00150F5E">
        <w:rPr>
          <w:rFonts w:cs="Times New Roman"/>
          <w:b w:val="0"/>
          <w:bCs w:val="0"/>
          <w:iCs w:val="0"/>
          <w:color w:val="auto"/>
          <w:sz w:val="20"/>
          <w:szCs w:val="24"/>
        </w:rPr>
        <w:t xml:space="preserve">significant price impacts </w:t>
      </w:r>
      <w:r w:rsidRPr="00CE1475">
        <w:rPr>
          <w:rFonts w:cs="Times New Roman"/>
          <w:b w:val="0"/>
          <w:bCs w:val="0"/>
          <w:iCs w:val="0"/>
          <w:color w:val="auto"/>
          <w:sz w:val="20"/>
          <w:szCs w:val="24"/>
        </w:rPr>
        <w:t>in South</w:t>
      </w:r>
      <w:r w:rsidRPr="00CE1475">
        <w:rPr>
          <w:rFonts w:cs="Times New Roman" w:hint="eastAsia"/>
          <w:b w:val="0"/>
          <w:bCs w:val="0"/>
          <w:iCs w:val="0"/>
          <w:color w:val="auto"/>
          <w:sz w:val="20"/>
          <w:szCs w:val="24"/>
        </w:rPr>
        <w:t> </w:t>
      </w:r>
      <w:r w:rsidRPr="00CE1475">
        <w:rPr>
          <w:rFonts w:cs="Times New Roman"/>
          <w:b w:val="0"/>
          <w:bCs w:val="0"/>
          <w:iCs w:val="0"/>
          <w:color w:val="auto"/>
          <w:sz w:val="20"/>
          <w:szCs w:val="24"/>
        </w:rPr>
        <w:t xml:space="preserve">Australia. </w:t>
      </w:r>
      <w:r w:rsidR="00150F5E">
        <w:rPr>
          <w:rFonts w:cs="Times New Roman"/>
          <w:b w:val="0"/>
          <w:bCs w:val="0"/>
          <w:iCs w:val="0"/>
          <w:color w:val="auto"/>
          <w:sz w:val="20"/>
          <w:szCs w:val="24"/>
        </w:rPr>
        <w:t xml:space="preserve">At around </w:t>
      </w:r>
      <w:r w:rsidR="00150F5E" w:rsidRPr="00CA5FEC">
        <w:rPr>
          <w:rFonts w:cs="Times New Roman"/>
          <w:b w:val="0"/>
          <w:bCs w:val="0"/>
          <w:iCs w:val="0"/>
          <w:color w:val="auto"/>
          <w:sz w:val="20"/>
          <w:szCs w:val="24"/>
        </w:rPr>
        <w:t>1200 MW</w:t>
      </w:r>
      <w:r w:rsidR="00150F5E">
        <w:rPr>
          <w:rFonts w:cs="Times New Roman"/>
          <w:b w:val="0"/>
          <w:bCs w:val="0"/>
          <w:iCs w:val="0"/>
          <w:color w:val="auto"/>
          <w:sz w:val="20"/>
          <w:szCs w:val="24"/>
        </w:rPr>
        <w:t>, wind generation (</w:t>
      </w:r>
      <w:r w:rsidR="00150F5E" w:rsidRPr="00E93FC6">
        <w:rPr>
          <w:rFonts w:cs="Times New Roman"/>
          <w:b w:val="0"/>
          <w:bCs w:val="0"/>
          <w:iCs w:val="0"/>
          <w:color w:val="auto"/>
          <w:sz w:val="20"/>
          <w:szCs w:val="24"/>
        </w:rPr>
        <w:t xml:space="preserve">scheduled </w:t>
      </w:r>
      <w:r w:rsidR="003157C3">
        <w:rPr>
          <w:rFonts w:cs="Times New Roman"/>
          <w:b w:val="0"/>
          <w:bCs w:val="0"/>
          <w:iCs w:val="0"/>
          <w:color w:val="auto"/>
          <w:sz w:val="20"/>
          <w:szCs w:val="24"/>
        </w:rPr>
        <w:t>plus</w:t>
      </w:r>
      <w:r w:rsidR="003157C3" w:rsidRPr="00E93FC6">
        <w:rPr>
          <w:rFonts w:cs="Times New Roman"/>
          <w:b w:val="0"/>
          <w:bCs w:val="0"/>
          <w:iCs w:val="0"/>
          <w:color w:val="auto"/>
          <w:sz w:val="20"/>
          <w:szCs w:val="24"/>
        </w:rPr>
        <w:t xml:space="preserve"> </w:t>
      </w:r>
      <w:r w:rsidR="00150F5E" w:rsidRPr="00E93FC6">
        <w:rPr>
          <w:rFonts w:cs="Times New Roman"/>
          <w:b w:val="0"/>
          <w:bCs w:val="0"/>
          <w:iCs w:val="0"/>
          <w:color w:val="auto"/>
          <w:sz w:val="20"/>
          <w:szCs w:val="24"/>
        </w:rPr>
        <w:t>non-scheduled</w:t>
      </w:r>
      <w:r w:rsidR="00150F5E">
        <w:rPr>
          <w:rFonts w:cs="Times New Roman"/>
          <w:b w:val="0"/>
          <w:bCs w:val="0"/>
          <w:iCs w:val="0"/>
          <w:color w:val="auto"/>
          <w:sz w:val="20"/>
          <w:szCs w:val="24"/>
        </w:rPr>
        <w:t>)</w:t>
      </w:r>
      <w:r w:rsidR="00150F5E" w:rsidRPr="008F3722">
        <w:rPr>
          <w:rFonts w:cs="Times New Roman"/>
          <w:b w:val="0"/>
          <w:bCs w:val="0"/>
          <w:iCs w:val="0"/>
          <w:color w:val="auto"/>
          <w:sz w:val="20"/>
          <w:szCs w:val="24"/>
        </w:rPr>
        <w:t xml:space="preserve"> </w:t>
      </w:r>
      <w:r w:rsidR="00150F5E">
        <w:rPr>
          <w:rFonts w:cs="Times New Roman"/>
          <w:b w:val="0"/>
          <w:bCs w:val="0"/>
          <w:iCs w:val="0"/>
          <w:color w:val="auto"/>
          <w:sz w:val="20"/>
          <w:szCs w:val="24"/>
        </w:rPr>
        <w:t xml:space="preserve">constitutes </w:t>
      </w:r>
      <w:r w:rsidR="007C45A9">
        <w:rPr>
          <w:rFonts w:cs="Times New Roman"/>
          <w:b w:val="0"/>
          <w:bCs w:val="0"/>
          <w:iCs w:val="0"/>
          <w:color w:val="auto"/>
          <w:sz w:val="20"/>
          <w:szCs w:val="24"/>
        </w:rPr>
        <w:t>around</w:t>
      </w:r>
      <w:r w:rsidR="003157C3">
        <w:rPr>
          <w:rFonts w:cs="Times New Roman"/>
          <w:b w:val="0"/>
          <w:bCs w:val="0"/>
          <w:iCs w:val="0"/>
          <w:color w:val="auto"/>
          <w:sz w:val="20"/>
          <w:szCs w:val="24"/>
        </w:rPr>
        <w:t xml:space="preserve"> a quarter</w:t>
      </w:r>
      <w:r w:rsidR="00150F5E">
        <w:rPr>
          <w:rFonts w:cs="Times New Roman"/>
          <w:b w:val="0"/>
          <w:bCs w:val="0"/>
          <w:iCs w:val="0"/>
          <w:color w:val="auto"/>
          <w:sz w:val="20"/>
          <w:szCs w:val="24"/>
        </w:rPr>
        <w:t xml:space="preserve"> of t</w:t>
      </w:r>
      <w:r w:rsidR="00AD0F7F" w:rsidRPr="00CE1475">
        <w:rPr>
          <w:rFonts w:cs="Times New Roman"/>
          <w:b w:val="0"/>
          <w:bCs w:val="0"/>
          <w:iCs w:val="0"/>
          <w:color w:val="auto"/>
          <w:sz w:val="20"/>
          <w:szCs w:val="24"/>
        </w:rPr>
        <w:t>otal installed generation capacity in South Australia</w:t>
      </w:r>
      <w:r w:rsidR="00150F5E">
        <w:rPr>
          <w:rFonts w:cs="Times New Roman"/>
          <w:b w:val="0"/>
          <w:bCs w:val="0"/>
          <w:iCs w:val="0"/>
          <w:color w:val="auto"/>
          <w:sz w:val="20"/>
          <w:szCs w:val="24"/>
        </w:rPr>
        <w:t xml:space="preserve">. </w:t>
      </w:r>
    </w:p>
    <w:p w:rsidR="00B372CC" w:rsidRDefault="00B372CC" w:rsidP="00B372CC">
      <w:r>
        <w:t xml:space="preserve">In setting the target for the following dispatch interval for a wind generator, AEMO’s systems assume approximately the same level of output for that generator from the previous dispatch interval. </w:t>
      </w:r>
    </w:p>
    <w:p w:rsidR="00C94F21" w:rsidRDefault="00C94F21" w:rsidP="003157C3">
      <w:pPr>
        <w:pStyle w:val="Heading2"/>
        <w:keepNext w:val="0"/>
        <w:widowControl w:val="0"/>
      </w:pPr>
      <w:r w:rsidRPr="00CE1475">
        <w:rPr>
          <w:rFonts w:cs="Times New Roman"/>
          <w:b w:val="0"/>
          <w:bCs w:val="0"/>
          <w:iCs w:val="0"/>
          <w:color w:val="auto"/>
          <w:sz w:val="20"/>
          <w:szCs w:val="24"/>
        </w:rPr>
        <w:t xml:space="preserve">On </w:t>
      </w:r>
      <w:r w:rsidR="00150F5E">
        <w:rPr>
          <w:rFonts w:cs="Times New Roman"/>
          <w:b w:val="0"/>
          <w:bCs w:val="0"/>
          <w:iCs w:val="0"/>
          <w:color w:val="auto"/>
          <w:sz w:val="20"/>
          <w:szCs w:val="24"/>
        </w:rPr>
        <w:t xml:space="preserve">16 August </w:t>
      </w:r>
      <w:r w:rsidR="00B372CC">
        <w:rPr>
          <w:rFonts w:cs="Times New Roman"/>
          <w:b w:val="0"/>
          <w:bCs w:val="0"/>
          <w:iCs w:val="0"/>
          <w:color w:val="auto"/>
          <w:sz w:val="20"/>
          <w:szCs w:val="24"/>
        </w:rPr>
        <w:t>at 4.55 pm</w:t>
      </w:r>
      <w:r w:rsidR="00B372CC" w:rsidDel="00B372CC">
        <w:rPr>
          <w:rFonts w:cs="Times New Roman"/>
          <w:b w:val="0"/>
          <w:bCs w:val="0"/>
          <w:iCs w:val="0"/>
          <w:color w:val="auto"/>
          <w:sz w:val="20"/>
          <w:szCs w:val="24"/>
        </w:rPr>
        <w:t xml:space="preserve"> </w:t>
      </w:r>
      <w:r w:rsidR="00B372CC">
        <w:rPr>
          <w:rFonts w:cs="Times New Roman"/>
          <w:b w:val="0"/>
          <w:bCs w:val="0"/>
          <w:iCs w:val="0"/>
          <w:color w:val="auto"/>
          <w:sz w:val="20"/>
          <w:szCs w:val="24"/>
        </w:rPr>
        <w:t xml:space="preserve">there was around </w:t>
      </w:r>
      <w:r w:rsidR="00B70CCE">
        <w:rPr>
          <w:rFonts w:cs="Times New Roman"/>
          <w:b w:val="0"/>
          <w:bCs w:val="0"/>
          <w:iCs w:val="0"/>
          <w:color w:val="auto"/>
          <w:sz w:val="20"/>
          <w:szCs w:val="24"/>
        </w:rPr>
        <w:t xml:space="preserve">a </w:t>
      </w:r>
      <w:r w:rsidR="00150F5E">
        <w:rPr>
          <w:rFonts w:cs="Times New Roman"/>
          <w:b w:val="0"/>
          <w:bCs w:val="0"/>
          <w:iCs w:val="0"/>
          <w:color w:val="auto"/>
          <w:sz w:val="20"/>
          <w:szCs w:val="24"/>
        </w:rPr>
        <w:t xml:space="preserve">140 MW </w:t>
      </w:r>
      <w:r w:rsidR="00B70CCE">
        <w:rPr>
          <w:rFonts w:cs="Times New Roman"/>
          <w:b w:val="0"/>
          <w:bCs w:val="0"/>
          <w:iCs w:val="0"/>
          <w:color w:val="auto"/>
          <w:sz w:val="20"/>
          <w:szCs w:val="24"/>
        </w:rPr>
        <w:t xml:space="preserve">reduction </w:t>
      </w:r>
      <w:r w:rsidR="00150F5E">
        <w:rPr>
          <w:rFonts w:cs="Times New Roman"/>
          <w:b w:val="0"/>
          <w:bCs w:val="0"/>
          <w:iCs w:val="0"/>
          <w:color w:val="auto"/>
          <w:sz w:val="20"/>
          <w:szCs w:val="24"/>
        </w:rPr>
        <w:t>in wind generation</w:t>
      </w:r>
      <w:r w:rsidR="003157C3">
        <w:rPr>
          <w:rFonts w:cs="Times New Roman"/>
          <w:b w:val="0"/>
          <w:bCs w:val="0"/>
          <w:iCs w:val="0"/>
          <w:color w:val="auto"/>
          <w:sz w:val="20"/>
          <w:szCs w:val="24"/>
        </w:rPr>
        <w:t xml:space="preserve"> </w:t>
      </w:r>
      <w:r w:rsidR="00150F5E">
        <w:rPr>
          <w:rFonts w:cs="Times New Roman"/>
          <w:b w:val="0"/>
          <w:bCs w:val="0"/>
          <w:iCs w:val="0"/>
          <w:color w:val="auto"/>
          <w:sz w:val="20"/>
          <w:szCs w:val="24"/>
        </w:rPr>
        <w:t>in the mid north of the region</w:t>
      </w:r>
      <w:r w:rsidR="00B372CC">
        <w:rPr>
          <w:rFonts w:cs="Times New Roman"/>
          <w:b w:val="0"/>
          <w:bCs w:val="0"/>
          <w:iCs w:val="0"/>
          <w:color w:val="auto"/>
          <w:sz w:val="20"/>
          <w:szCs w:val="24"/>
        </w:rPr>
        <w:t>. This led to a reduction in targets at 5 pm for those generators of around 150 MW</w:t>
      </w:r>
      <w:r w:rsidR="00111345">
        <w:rPr>
          <w:rFonts w:cs="Times New Roman"/>
          <w:b w:val="0"/>
          <w:bCs w:val="0"/>
          <w:iCs w:val="0"/>
          <w:color w:val="auto"/>
          <w:sz w:val="20"/>
          <w:szCs w:val="24"/>
        </w:rPr>
        <w:t>, as shown in the spotlight figure below</w:t>
      </w:r>
      <w:r w:rsidR="00150F5E">
        <w:rPr>
          <w:rFonts w:cs="Times New Roman"/>
          <w:b w:val="0"/>
          <w:bCs w:val="0"/>
          <w:iCs w:val="0"/>
          <w:color w:val="auto"/>
          <w:sz w:val="20"/>
          <w:szCs w:val="24"/>
        </w:rPr>
        <w:t xml:space="preserve">. With </w:t>
      </w:r>
      <w:r w:rsidR="008F3722">
        <w:rPr>
          <w:rFonts w:cs="Times New Roman"/>
          <w:b w:val="0"/>
          <w:bCs w:val="0"/>
          <w:iCs w:val="0"/>
          <w:color w:val="auto"/>
          <w:sz w:val="20"/>
          <w:szCs w:val="24"/>
        </w:rPr>
        <w:t>other generators in South Australia unable to respond to this sudden reduction in generation, imports across the Heywood interconnector increased above the limit causing a constraint to violate and the dispatch price to increase</w:t>
      </w:r>
      <w:r w:rsidR="0099056D">
        <w:rPr>
          <w:rFonts w:cs="Times New Roman"/>
          <w:b w:val="0"/>
          <w:bCs w:val="0"/>
          <w:iCs w:val="0"/>
          <w:color w:val="auto"/>
          <w:sz w:val="20"/>
          <w:szCs w:val="24"/>
        </w:rPr>
        <w:t xml:space="preserve"> to</w:t>
      </w:r>
      <w:r w:rsidR="008F3722">
        <w:rPr>
          <w:rFonts w:cs="Times New Roman"/>
          <w:b w:val="0"/>
          <w:bCs w:val="0"/>
          <w:iCs w:val="0"/>
          <w:color w:val="auto"/>
          <w:sz w:val="20"/>
          <w:szCs w:val="24"/>
        </w:rPr>
        <w:t xml:space="preserve"> </w:t>
      </w:r>
      <w:r w:rsidR="0099056D">
        <w:rPr>
          <w:rFonts w:cs="Times New Roman"/>
          <w:b w:val="0"/>
          <w:bCs w:val="0"/>
          <w:iCs w:val="0"/>
          <w:color w:val="auto"/>
          <w:sz w:val="20"/>
          <w:szCs w:val="24"/>
        </w:rPr>
        <w:t>$2376/MWh.</w:t>
      </w:r>
    </w:p>
    <w:p w:rsidR="00676857" w:rsidRDefault="00676857" w:rsidP="003157C3">
      <w:pPr>
        <w:pStyle w:val="Figureheading"/>
        <w:numPr>
          <w:ilvl w:val="0"/>
          <w:numId w:val="0"/>
        </w:numPr>
        <w:ind w:left="357" w:hanging="357"/>
        <w:jc w:val="left"/>
      </w:pPr>
      <w:r>
        <w:t xml:space="preserve">Spotlight figure: Wind generation </w:t>
      </w:r>
      <w:r w:rsidR="0005109C">
        <w:t xml:space="preserve">targets </w:t>
      </w:r>
      <w:r>
        <w:t xml:space="preserve">and dispatch price in South Australia 16 August </w:t>
      </w:r>
    </w:p>
    <w:p w:rsidR="00676857" w:rsidRDefault="008C18C9" w:rsidP="00676857">
      <w:pPr>
        <w:rPr>
          <w:lang w:eastAsia="en-US"/>
        </w:rPr>
      </w:pPr>
      <w:r>
        <w:pict>
          <v:shape id="_x0000_i1026" type="#_x0000_t75" style="width:443.25pt;height:275.5pt">
            <v:imagedata r:id="rId9" o:title=""/>
          </v:shape>
        </w:pict>
      </w:r>
    </w:p>
    <w:p w:rsidR="00676857" w:rsidRPr="00EB4959" w:rsidRDefault="00676857"/>
    <w:p w:rsidR="00C94F21" w:rsidRPr="00CE1475" w:rsidRDefault="008F3722" w:rsidP="003157C3">
      <w:pPr>
        <w:pStyle w:val="Heading2"/>
        <w:keepNext w:val="0"/>
        <w:widowControl w:val="0"/>
      </w:pPr>
      <w:r>
        <w:rPr>
          <w:rFonts w:cs="Times New Roman"/>
          <w:b w:val="0"/>
          <w:bCs w:val="0"/>
          <w:iCs w:val="0"/>
          <w:color w:val="auto"/>
          <w:sz w:val="20"/>
          <w:szCs w:val="24"/>
        </w:rPr>
        <w:lastRenderedPageBreak/>
        <w:t>In July of this year, the AER published a report into high price outcomes in April and May (</w:t>
      </w:r>
      <w:hyperlink r:id="rId10" w:history="1">
        <w:r w:rsidRPr="003157C3">
          <w:rPr>
            <w:rFonts w:cs="Times New Roman"/>
            <w:b w:val="0"/>
            <w:bCs w:val="0"/>
            <w:i/>
            <w:iCs w:val="0"/>
            <w:color w:val="auto"/>
            <w:sz w:val="20"/>
            <w:szCs w:val="24"/>
          </w:rPr>
          <w:t>Special report - Market outcomes in South Australia during April and May 2013</w:t>
        </w:r>
      </w:hyperlink>
      <w:r>
        <w:rPr>
          <w:rFonts w:cs="Times New Roman"/>
          <w:b w:val="0"/>
          <w:bCs w:val="0"/>
          <w:iCs w:val="0"/>
          <w:color w:val="auto"/>
          <w:sz w:val="20"/>
          <w:szCs w:val="24"/>
        </w:rPr>
        <w:t xml:space="preserve">). </w:t>
      </w:r>
      <w:r w:rsidR="00CE1475">
        <w:rPr>
          <w:rFonts w:cs="Times New Roman"/>
          <w:b w:val="0"/>
          <w:bCs w:val="0"/>
          <w:iCs w:val="0"/>
          <w:color w:val="auto"/>
          <w:sz w:val="20"/>
          <w:szCs w:val="24"/>
        </w:rPr>
        <w:t xml:space="preserve">The report explores the relationship between wind generator output and spot prices in South Australia during the period and found that low levels of wind output were associated with high prices. </w:t>
      </w:r>
      <w:r>
        <w:rPr>
          <w:rFonts w:cs="Times New Roman"/>
          <w:b w:val="0"/>
          <w:bCs w:val="0"/>
          <w:iCs w:val="0"/>
          <w:color w:val="auto"/>
          <w:sz w:val="20"/>
          <w:szCs w:val="24"/>
        </w:rPr>
        <w:t xml:space="preserve">With more wind projects committed in South Australia, </w:t>
      </w:r>
      <w:r w:rsidR="001E48D4">
        <w:rPr>
          <w:rFonts w:cs="Times New Roman"/>
          <w:b w:val="0"/>
          <w:bCs w:val="0"/>
          <w:iCs w:val="0"/>
          <w:color w:val="auto"/>
          <w:sz w:val="20"/>
          <w:szCs w:val="24"/>
        </w:rPr>
        <w:t xml:space="preserve">spot price volatility </w:t>
      </w:r>
      <w:r w:rsidR="00CE1475">
        <w:rPr>
          <w:rFonts w:cs="Times New Roman"/>
          <w:b w:val="0"/>
          <w:bCs w:val="0"/>
          <w:iCs w:val="0"/>
          <w:color w:val="auto"/>
          <w:sz w:val="20"/>
          <w:szCs w:val="24"/>
        </w:rPr>
        <w:t xml:space="preserve">may become more prevalent in the future. </w:t>
      </w:r>
    </w:p>
    <w:p w:rsidR="00B02A59" w:rsidRPr="00CE1475" w:rsidRDefault="00CE1475" w:rsidP="003157C3">
      <w:pPr>
        <w:pStyle w:val="Heading2"/>
        <w:keepNext w:val="0"/>
        <w:widowControl w:val="0"/>
      </w:pPr>
      <w:r>
        <w:rPr>
          <w:rFonts w:cs="Times New Roman"/>
          <w:b w:val="0"/>
          <w:bCs w:val="0"/>
          <w:iCs w:val="0"/>
          <w:color w:val="auto"/>
          <w:sz w:val="20"/>
          <w:szCs w:val="24"/>
        </w:rPr>
        <w:t xml:space="preserve">More detailed analysis of the events of 16 August can be found in the </w:t>
      </w:r>
      <w:proofErr w:type="gramStart"/>
      <w:r w:rsidRPr="007F7710">
        <w:rPr>
          <w:rFonts w:cs="Times New Roman"/>
          <w:b w:val="0"/>
          <w:bCs w:val="0"/>
          <w:i/>
          <w:iCs w:val="0"/>
          <w:color w:val="auto"/>
          <w:sz w:val="20"/>
          <w:szCs w:val="24"/>
        </w:rPr>
        <w:t>Detailed</w:t>
      </w:r>
      <w:proofErr w:type="gramEnd"/>
      <w:r w:rsidRPr="007F7710">
        <w:rPr>
          <w:rFonts w:cs="Times New Roman"/>
          <w:b w:val="0"/>
          <w:bCs w:val="0"/>
          <w:i/>
          <w:iCs w:val="0"/>
          <w:color w:val="auto"/>
          <w:sz w:val="20"/>
          <w:szCs w:val="24"/>
        </w:rPr>
        <w:t xml:space="preserve"> market analysis of significant price events</w:t>
      </w:r>
      <w:r>
        <w:rPr>
          <w:rFonts w:cs="Times New Roman"/>
          <w:b w:val="0"/>
          <w:bCs w:val="0"/>
          <w:iCs w:val="0"/>
          <w:color w:val="auto"/>
          <w:sz w:val="20"/>
          <w:szCs w:val="24"/>
        </w:rPr>
        <w:t xml:space="preserve"> section of this report. </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8C18C9" w:rsidP="00785F23">
      <w:pPr>
        <w:pStyle w:val="AERbodytext"/>
      </w:pPr>
      <w:r>
        <w:pict>
          <v:shape id="_x0000_i1027" type="#_x0000_t75" alt="Figure 1 shows the volume weighted average (VWA) prices for this week (with prices shown in Table 1) and the preceding 12 weeks, as well as the VWA price over the previous 3 financial years." style="width:451.4pt;height:226pt">
            <v:imagedata r:id="rId11"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3A4158"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3A4158" w:rsidRPr="007556DA" w:rsidRDefault="003A4158">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52</w:t>
            </w:r>
          </w:p>
        </w:tc>
        <w:tc>
          <w:tcPr>
            <w:tcW w:w="1275" w:type="dxa"/>
            <w:tcBorders>
              <w:top w:val="nil"/>
              <w:bottom w:val="nil"/>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52</w:t>
            </w:r>
          </w:p>
        </w:tc>
        <w:tc>
          <w:tcPr>
            <w:tcW w:w="1276" w:type="dxa"/>
            <w:tcBorders>
              <w:top w:val="nil"/>
              <w:bottom w:val="nil"/>
            </w:tcBorders>
            <w:shd w:val="clear" w:color="auto" w:fill="DDD9C3" w:themeFill="background2" w:themeFillShade="E6"/>
            <w:vAlign w:val="center"/>
          </w:tcPr>
          <w:p w:rsidR="003A4158" w:rsidRDefault="003A4158">
            <w:pPr>
              <w:jc w:val="center"/>
              <w:rPr>
                <w:rFonts w:cs="Gautami"/>
                <w:sz w:val="16"/>
                <w:szCs w:val="16"/>
              </w:rPr>
            </w:pPr>
            <w:r>
              <w:rPr>
                <w:rFonts w:cs="Gautami"/>
                <w:sz w:val="16"/>
                <w:szCs w:val="16"/>
              </w:rPr>
              <w:t>52</w:t>
            </w:r>
          </w:p>
        </w:tc>
        <w:tc>
          <w:tcPr>
            <w:tcW w:w="1134" w:type="dxa"/>
            <w:tcBorders>
              <w:top w:val="nil"/>
              <w:bottom w:val="nil"/>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73</w:t>
            </w:r>
          </w:p>
        </w:tc>
        <w:tc>
          <w:tcPr>
            <w:tcW w:w="1275" w:type="dxa"/>
            <w:tcBorders>
              <w:top w:val="nil"/>
              <w:bottom w:val="nil"/>
            </w:tcBorders>
            <w:shd w:val="clear" w:color="auto" w:fill="DDD9C3" w:themeFill="background2" w:themeFillShade="E6"/>
            <w:vAlign w:val="center"/>
          </w:tcPr>
          <w:p w:rsidR="003A4158" w:rsidRDefault="003A4158">
            <w:pPr>
              <w:jc w:val="center"/>
              <w:rPr>
                <w:rFonts w:cs="Gautami"/>
                <w:sz w:val="16"/>
                <w:szCs w:val="16"/>
              </w:rPr>
            </w:pPr>
            <w:r>
              <w:rPr>
                <w:rFonts w:cs="Gautami"/>
                <w:sz w:val="16"/>
                <w:szCs w:val="16"/>
              </w:rPr>
              <w:t>42</w:t>
            </w:r>
          </w:p>
        </w:tc>
      </w:tr>
      <w:tr w:rsidR="003A4158" w:rsidRPr="007556DA" w:rsidTr="00CA5F6C">
        <w:trPr>
          <w:trHeight w:hRule="exact" w:val="454"/>
        </w:trPr>
        <w:tc>
          <w:tcPr>
            <w:tcW w:w="1809" w:type="dxa"/>
            <w:tcBorders>
              <w:top w:val="nil"/>
              <w:bottom w:val="nil"/>
            </w:tcBorders>
            <w:shd w:val="clear" w:color="auto" w:fill="EEECE1" w:themeFill="background2"/>
            <w:noWrap/>
            <w:vAlign w:val="center"/>
          </w:tcPr>
          <w:p w:rsidR="003A4158" w:rsidRPr="007556DA" w:rsidRDefault="003A4158">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3A4158" w:rsidRDefault="003A4158">
            <w:pPr>
              <w:jc w:val="center"/>
              <w:rPr>
                <w:rFonts w:cs="Gautami"/>
                <w:sz w:val="16"/>
                <w:szCs w:val="16"/>
              </w:rPr>
            </w:pPr>
            <w:r>
              <w:rPr>
                <w:rFonts w:cs="Gautami"/>
                <w:sz w:val="16"/>
                <w:szCs w:val="16"/>
              </w:rPr>
              <w:t>63</w:t>
            </w:r>
          </w:p>
        </w:tc>
        <w:tc>
          <w:tcPr>
            <w:tcW w:w="1275" w:type="dxa"/>
            <w:tcBorders>
              <w:top w:val="nil"/>
              <w:bottom w:val="nil"/>
            </w:tcBorders>
            <w:shd w:val="clear" w:color="auto" w:fill="EEECE1" w:themeFill="background2"/>
            <w:noWrap/>
            <w:vAlign w:val="center"/>
          </w:tcPr>
          <w:p w:rsidR="003A4158" w:rsidRDefault="003A4158">
            <w:pPr>
              <w:jc w:val="center"/>
              <w:rPr>
                <w:rFonts w:cs="Gautami"/>
                <w:sz w:val="16"/>
                <w:szCs w:val="16"/>
              </w:rPr>
            </w:pPr>
            <w:r>
              <w:rPr>
                <w:rFonts w:cs="Gautami"/>
                <w:sz w:val="16"/>
                <w:szCs w:val="16"/>
              </w:rPr>
              <w:t>65</w:t>
            </w:r>
          </w:p>
        </w:tc>
        <w:tc>
          <w:tcPr>
            <w:tcW w:w="1276" w:type="dxa"/>
            <w:tcBorders>
              <w:top w:val="nil"/>
              <w:bottom w:val="nil"/>
            </w:tcBorders>
            <w:shd w:val="clear" w:color="auto" w:fill="EEECE1" w:themeFill="background2"/>
            <w:vAlign w:val="center"/>
          </w:tcPr>
          <w:p w:rsidR="003A4158" w:rsidRDefault="003A4158">
            <w:pPr>
              <w:jc w:val="center"/>
              <w:rPr>
                <w:rFonts w:cs="Gautami"/>
                <w:sz w:val="16"/>
                <w:szCs w:val="16"/>
              </w:rPr>
            </w:pPr>
            <w:r>
              <w:rPr>
                <w:rFonts w:cs="Gautami"/>
                <w:sz w:val="16"/>
                <w:szCs w:val="16"/>
              </w:rPr>
              <w:t>70</w:t>
            </w:r>
          </w:p>
        </w:tc>
        <w:tc>
          <w:tcPr>
            <w:tcW w:w="1134" w:type="dxa"/>
            <w:tcBorders>
              <w:top w:val="nil"/>
              <w:bottom w:val="nil"/>
            </w:tcBorders>
            <w:shd w:val="clear" w:color="auto" w:fill="EEECE1" w:themeFill="background2"/>
            <w:noWrap/>
            <w:vAlign w:val="center"/>
          </w:tcPr>
          <w:p w:rsidR="003A4158" w:rsidRDefault="003A4158">
            <w:pPr>
              <w:jc w:val="center"/>
              <w:rPr>
                <w:rFonts w:cs="Gautami"/>
                <w:sz w:val="16"/>
                <w:szCs w:val="16"/>
              </w:rPr>
            </w:pPr>
            <w:r>
              <w:rPr>
                <w:rFonts w:cs="Gautami"/>
                <w:sz w:val="16"/>
                <w:szCs w:val="16"/>
              </w:rPr>
              <w:t>77</w:t>
            </w:r>
          </w:p>
        </w:tc>
        <w:tc>
          <w:tcPr>
            <w:tcW w:w="1275" w:type="dxa"/>
            <w:tcBorders>
              <w:top w:val="nil"/>
              <w:bottom w:val="nil"/>
            </w:tcBorders>
            <w:shd w:val="clear" w:color="auto" w:fill="EEECE1" w:themeFill="background2"/>
            <w:vAlign w:val="center"/>
          </w:tcPr>
          <w:p w:rsidR="003A4158" w:rsidRDefault="003A4158">
            <w:pPr>
              <w:jc w:val="center"/>
              <w:rPr>
                <w:rFonts w:cs="Gautami"/>
                <w:sz w:val="16"/>
                <w:szCs w:val="16"/>
              </w:rPr>
            </w:pPr>
            <w:r>
              <w:rPr>
                <w:rFonts w:cs="Gautami"/>
                <w:sz w:val="16"/>
                <w:szCs w:val="16"/>
              </w:rPr>
              <w:t>57</w:t>
            </w:r>
          </w:p>
        </w:tc>
      </w:tr>
      <w:tr w:rsidR="003A4158"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3A4158" w:rsidRPr="007556DA" w:rsidRDefault="003A4158">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59</w:t>
            </w:r>
          </w:p>
        </w:tc>
        <w:tc>
          <w:tcPr>
            <w:tcW w:w="1275" w:type="dxa"/>
            <w:tcBorders>
              <w:top w:val="nil"/>
              <w:bottom w:val="single" w:sz="4" w:space="0" w:color="auto"/>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57</w:t>
            </w:r>
          </w:p>
        </w:tc>
        <w:tc>
          <w:tcPr>
            <w:tcW w:w="1276" w:type="dxa"/>
            <w:tcBorders>
              <w:top w:val="nil"/>
              <w:bottom w:val="single" w:sz="4" w:space="0" w:color="auto"/>
            </w:tcBorders>
            <w:shd w:val="clear" w:color="auto" w:fill="DDD9C3" w:themeFill="background2" w:themeFillShade="E6"/>
            <w:vAlign w:val="center"/>
          </w:tcPr>
          <w:p w:rsidR="003A4158" w:rsidRDefault="003A4158">
            <w:pPr>
              <w:jc w:val="center"/>
              <w:rPr>
                <w:rFonts w:cs="Gautami"/>
                <w:sz w:val="16"/>
                <w:szCs w:val="16"/>
              </w:rPr>
            </w:pPr>
            <w:r>
              <w:rPr>
                <w:rFonts w:cs="Gautami"/>
                <w:sz w:val="16"/>
                <w:szCs w:val="16"/>
              </w:rPr>
              <w:t>57</w:t>
            </w:r>
          </w:p>
        </w:tc>
        <w:tc>
          <w:tcPr>
            <w:tcW w:w="1134" w:type="dxa"/>
            <w:tcBorders>
              <w:top w:val="nil"/>
              <w:bottom w:val="single" w:sz="4" w:space="0" w:color="auto"/>
            </w:tcBorders>
            <w:shd w:val="clear" w:color="auto" w:fill="DDD9C3" w:themeFill="background2" w:themeFillShade="E6"/>
            <w:noWrap/>
            <w:vAlign w:val="center"/>
          </w:tcPr>
          <w:p w:rsidR="003A4158" w:rsidRDefault="003A4158">
            <w:pPr>
              <w:jc w:val="center"/>
              <w:rPr>
                <w:rFonts w:cs="Gautami"/>
                <w:sz w:val="16"/>
                <w:szCs w:val="16"/>
              </w:rPr>
            </w:pPr>
            <w:r>
              <w:rPr>
                <w:rFonts w:cs="Gautami"/>
                <w:sz w:val="16"/>
                <w:szCs w:val="16"/>
              </w:rPr>
              <w:t>71</w:t>
            </w:r>
          </w:p>
        </w:tc>
        <w:tc>
          <w:tcPr>
            <w:tcW w:w="1275" w:type="dxa"/>
            <w:tcBorders>
              <w:top w:val="nil"/>
              <w:bottom w:val="single" w:sz="4" w:space="0" w:color="auto"/>
            </w:tcBorders>
            <w:shd w:val="clear" w:color="auto" w:fill="DDD9C3" w:themeFill="background2" w:themeFillShade="E6"/>
            <w:vAlign w:val="center"/>
          </w:tcPr>
          <w:p w:rsidR="003A4158" w:rsidRDefault="003A4158">
            <w:pPr>
              <w:jc w:val="center"/>
              <w:rPr>
                <w:rFonts w:cs="Gautami"/>
                <w:sz w:val="16"/>
                <w:szCs w:val="16"/>
              </w:rPr>
            </w:pPr>
            <w:r>
              <w:rPr>
                <w:rFonts w:cs="Gautami"/>
                <w:sz w:val="16"/>
                <w:szCs w:val="16"/>
              </w:rPr>
              <w:t>49</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2"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lastRenderedPageBreak/>
        <w:t xml:space="preserve">There were </w:t>
      </w:r>
      <w:r w:rsidR="003A4158" w:rsidRPr="004A4758">
        <w:t>53</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E577B6" w:rsidRPr="00155A20" w:rsidTr="00CA5F6C">
        <w:trPr>
          <w:trHeight w:hRule="exact" w:val="454"/>
        </w:trPr>
        <w:tc>
          <w:tcPr>
            <w:tcW w:w="2127" w:type="dxa"/>
            <w:tcBorders>
              <w:bottom w:val="nil"/>
            </w:tcBorders>
            <w:shd w:val="clear" w:color="auto" w:fill="DDD9C3" w:themeFill="background2" w:themeFillShade="E6"/>
            <w:noWrap/>
            <w:vAlign w:val="center"/>
          </w:tcPr>
          <w:p w:rsidR="00E577B6" w:rsidRPr="00155A20" w:rsidRDefault="00E577B6">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E577B6" w:rsidRDefault="00E577B6">
            <w:pPr>
              <w:jc w:val="center"/>
              <w:rPr>
                <w:rFonts w:cs="Gautami"/>
                <w:sz w:val="16"/>
                <w:szCs w:val="16"/>
              </w:rPr>
            </w:pPr>
            <w:r>
              <w:rPr>
                <w:rFonts w:cs="Gautami"/>
                <w:sz w:val="16"/>
                <w:szCs w:val="16"/>
              </w:rPr>
              <w:t>1</w:t>
            </w:r>
          </w:p>
        </w:tc>
        <w:tc>
          <w:tcPr>
            <w:tcW w:w="1418" w:type="dxa"/>
            <w:tcBorders>
              <w:bottom w:val="nil"/>
            </w:tcBorders>
            <w:shd w:val="clear" w:color="auto" w:fill="DDD9C3" w:themeFill="background2" w:themeFillShade="E6"/>
            <w:noWrap/>
            <w:vAlign w:val="center"/>
          </w:tcPr>
          <w:p w:rsidR="00E577B6" w:rsidRDefault="00E577B6">
            <w:pPr>
              <w:jc w:val="center"/>
              <w:rPr>
                <w:rFonts w:cs="Gautami"/>
                <w:sz w:val="16"/>
                <w:szCs w:val="16"/>
              </w:rPr>
            </w:pPr>
            <w:r>
              <w:rPr>
                <w:rFonts w:cs="Gautami"/>
                <w:sz w:val="16"/>
                <w:szCs w:val="16"/>
              </w:rPr>
              <w:t>35</w:t>
            </w:r>
          </w:p>
        </w:tc>
        <w:tc>
          <w:tcPr>
            <w:tcW w:w="1843" w:type="dxa"/>
            <w:tcBorders>
              <w:bottom w:val="nil"/>
            </w:tcBorders>
            <w:shd w:val="clear" w:color="auto" w:fill="DDD9C3" w:themeFill="background2" w:themeFillShade="E6"/>
            <w:noWrap/>
            <w:vAlign w:val="center"/>
          </w:tcPr>
          <w:p w:rsidR="00E577B6" w:rsidRDefault="00E577B6">
            <w:pPr>
              <w:jc w:val="center"/>
              <w:rPr>
                <w:rFonts w:cs="Gautami"/>
                <w:sz w:val="16"/>
                <w:szCs w:val="16"/>
              </w:rPr>
            </w:pPr>
            <w:r>
              <w:rPr>
                <w:rFonts w:cs="Gautami"/>
                <w:sz w:val="16"/>
                <w:szCs w:val="16"/>
              </w:rPr>
              <w:t>5</w:t>
            </w:r>
          </w:p>
        </w:tc>
        <w:tc>
          <w:tcPr>
            <w:tcW w:w="1417" w:type="dxa"/>
            <w:tcBorders>
              <w:bottom w:val="nil"/>
            </w:tcBorders>
            <w:shd w:val="clear" w:color="auto" w:fill="DDD9C3" w:themeFill="background2" w:themeFillShade="E6"/>
            <w:vAlign w:val="center"/>
          </w:tcPr>
          <w:p w:rsidR="00E577B6" w:rsidRDefault="00E577B6">
            <w:pPr>
              <w:jc w:val="center"/>
              <w:rPr>
                <w:rFonts w:cs="Gautami"/>
                <w:sz w:val="16"/>
                <w:szCs w:val="16"/>
              </w:rPr>
            </w:pPr>
            <w:r>
              <w:rPr>
                <w:rFonts w:cs="Gautami"/>
                <w:sz w:val="16"/>
                <w:szCs w:val="16"/>
              </w:rPr>
              <w:t>3</w:t>
            </w:r>
          </w:p>
        </w:tc>
      </w:tr>
      <w:tr w:rsidR="00E577B6"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E577B6" w:rsidRPr="00155A20" w:rsidRDefault="00E577B6">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E577B6" w:rsidRDefault="00E577B6">
            <w:pPr>
              <w:jc w:val="center"/>
              <w:rPr>
                <w:rFonts w:cs="Gautami"/>
                <w:sz w:val="16"/>
                <w:szCs w:val="16"/>
              </w:rPr>
            </w:pPr>
            <w:r>
              <w:rPr>
                <w:rFonts w:cs="Gautami"/>
                <w:sz w:val="16"/>
                <w:szCs w:val="16"/>
              </w:rPr>
              <w:t>45</w:t>
            </w:r>
          </w:p>
        </w:tc>
        <w:tc>
          <w:tcPr>
            <w:tcW w:w="1418" w:type="dxa"/>
            <w:tcBorders>
              <w:top w:val="nil"/>
              <w:bottom w:val="single" w:sz="4" w:space="0" w:color="auto"/>
            </w:tcBorders>
            <w:shd w:val="clear" w:color="auto" w:fill="EEECE1" w:themeFill="background2"/>
            <w:noWrap/>
            <w:vAlign w:val="center"/>
          </w:tcPr>
          <w:p w:rsidR="00E577B6" w:rsidRDefault="00E577B6">
            <w:pPr>
              <w:jc w:val="center"/>
              <w:rPr>
                <w:rFonts w:cs="Gautami"/>
                <w:sz w:val="16"/>
                <w:szCs w:val="16"/>
              </w:rPr>
            </w:pPr>
            <w:r>
              <w:rPr>
                <w:rFonts w:cs="Gautami"/>
                <w:sz w:val="16"/>
                <w:szCs w:val="16"/>
              </w:rPr>
              <w:t>11</w:t>
            </w:r>
          </w:p>
        </w:tc>
        <w:tc>
          <w:tcPr>
            <w:tcW w:w="1843" w:type="dxa"/>
            <w:tcBorders>
              <w:top w:val="nil"/>
              <w:bottom w:val="single" w:sz="4" w:space="0" w:color="auto"/>
            </w:tcBorders>
            <w:shd w:val="clear" w:color="auto" w:fill="EEECE1" w:themeFill="background2"/>
            <w:noWrap/>
            <w:vAlign w:val="center"/>
          </w:tcPr>
          <w:p w:rsidR="00E577B6" w:rsidRDefault="00E577B6">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E577B6" w:rsidRDefault="00E577B6">
            <w:pPr>
              <w:jc w:val="center"/>
              <w:rPr>
                <w:rFonts w:cs="Gautami"/>
                <w:sz w:val="16"/>
                <w:szCs w:val="16"/>
              </w:rPr>
            </w:pPr>
            <w:r>
              <w:rPr>
                <w:rFonts w:cs="Gautami"/>
                <w:sz w:val="16"/>
                <w:szCs w:val="16"/>
              </w:rPr>
              <w:t>0</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F4461C">
      <w:pPr>
        <w:pStyle w:val="Figureheading"/>
        <w:numPr>
          <w:ilvl w:val="0"/>
          <w:numId w:val="0"/>
        </w:numPr>
        <w:ind w:left="357" w:hanging="357"/>
      </w:pPr>
      <w:r w:rsidRPr="0030575B">
        <w:t>Figure 2: Queensland generation and bidding patterns</w:t>
      </w:r>
    </w:p>
    <w:p w:rsidR="00785F23" w:rsidRPr="00785F23" w:rsidRDefault="008C18C9" w:rsidP="00785F23">
      <w:pPr>
        <w:pStyle w:val="AERbodytext"/>
      </w:pPr>
      <w:r>
        <w:pict>
          <v:shape id="_x0000_i1028" type="#_x0000_t75" alt="&quot;Figure 2 shows the total generation dispatched and the amounts of capacity bid in within certain price bands for each 30 minute trading interval in Queensland this week.&#10;Should you require a description of the data for the week under review, please email us at AERInquiry@aer.gov.au.&quot;" style="width:450.8pt;height:308.05pt">
            <v:imagedata r:id="rId13" o:title=""/>
          </v:shape>
        </w:pict>
      </w:r>
    </w:p>
    <w:p w:rsidR="00F4461C" w:rsidRPr="0030575B" w:rsidRDefault="00F4461C" w:rsidP="00F4461C">
      <w:pPr>
        <w:pStyle w:val="AERbodytext"/>
        <w:spacing w:after="120"/>
      </w:pPr>
    </w:p>
    <w:p w:rsidR="00F4461C" w:rsidRDefault="00F4461C" w:rsidP="00F4461C">
      <w:pPr>
        <w:pStyle w:val="Figureheading"/>
        <w:numPr>
          <w:ilvl w:val="0"/>
          <w:numId w:val="0"/>
        </w:numPr>
        <w:ind w:left="357" w:hanging="357"/>
      </w:pPr>
      <w:r w:rsidRPr="0030575B">
        <w:t>Figure 3: New South Wales generation and bidding patterns</w:t>
      </w:r>
    </w:p>
    <w:p w:rsidR="00785F23" w:rsidRPr="00785F23" w:rsidRDefault="008C18C9" w:rsidP="00785F23">
      <w:pPr>
        <w:pStyle w:val="AERbodytext"/>
      </w:pPr>
      <w:r>
        <w:pict>
          <v:shape id="_x0000_i1029" type="#_x0000_t75" alt="&quo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style="width:450.8pt;height:308.05pt">
            <v:imagedata r:id="rId14" o:title=""/>
          </v:shape>
        </w:pict>
      </w: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8C18C9" w:rsidP="00785F23">
      <w:pPr>
        <w:pStyle w:val="AERbodytext"/>
      </w:pPr>
      <w:r>
        <w:pict>
          <v:shape id="_x0000_i1030" type="#_x0000_t75" alt="&quot;Figure 4 shows the total generation dispatched and the amounts of capacity bid in within certain price bands for each 30 minute trading interval in Victoria this week.&#10;Should you require a description of the data for the week under review, please email us at AERInquiry@aer.gov.au.&quot;" style="width:450.8pt;height:308.05pt">
            <v:imagedata r:id="rId15" o:title=""/>
          </v:shape>
        </w:pict>
      </w: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D70101" w:rsidRDefault="008C18C9">
      <w:pPr>
        <w:pStyle w:val="AERbodytext"/>
        <w:spacing w:after="120"/>
        <w:rPr>
          <w:color w:val="FF0000"/>
        </w:rPr>
      </w:pPr>
      <w:r>
        <w:pict>
          <v:shape id="_x0000_i1031" type="#_x0000_t75" alt="&quo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style="width:450.8pt;height:308.05pt">
            <v:imagedata r:id="rId16" o:title=""/>
          </v:shape>
        </w:pict>
      </w:r>
    </w:p>
    <w:p w:rsidR="0048688D" w:rsidRPr="0030575B"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8C18C9">
      <w:pPr>
        <w:pStyle w:val="AERbodytext"/>
        <w:spacing w:after="120"/>
      </w:pPr>
      <w:r>
        <w:pict>
          <v:shape id="_x0000_i1032" type="#_x0000_t75" alt="&quot;Figure 6 shows the total generation dispatched and the amounts of capacity bid in within certain price bands for each 30 minute trading interval in Tasmania this week.&#10;Should you require a description of the data for the week under review, please email us at AERInquiry@aer.gov.au.&quot;" style="width:450.8pt;height:308.05pt">
            <v:imagedata r:id="rId17"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w:t>
      </w:r>
      <w:r w:rsidR="003A4158">
        <w:t>298</w:t>
      </w:r>
      <w:r w:rsidR="00F436F8">
        <w:t> </w:t>
      </w:r>
      <w:r w:rsidR="003A4158">
        <w:t>5</w:t>
      </w:r>
      <w:r w:rsidR="001B08F0">
        <w:t>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3A4158">
        <w:t>14</w:t>
      </w:r>
      <w:r w:rsidR="001B08F0">
        <w:t>7</w:t>
      </w:r>
      <w:r w:rsidR="00221B68" w:rsidRPr="00021E37">
        <w:t> </w:t>
      </w:r>
      <w:r>
        <w:t>5</w:t>
      </w:r>
      <w:r w:rsidR="00221B68" w:rsidRPr="00021E37">
        <w:t xml:space="preserve">00 or </w:t>
      </w:r>
      <w:r w:rsidR="00DD7812">
        <w:t>around 1.7</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35171" w:rsidRPr="00235171" w:rsidRDefault="008C18C9" w:rsidP="00235171">
      <w:pPr>
        <w:pStyle w:val="AERbodytext"/>
      </w:pPr>
      <w:r>
        <w:pict>
          <v:shape id="_x0000_i1033" type="#_x0000_t75" alt="&quot;Figure 7 shows the daily breakdown of cost for each FCAS for the NEM, as well as the average cost since the beginning of the previous financial year.&#10;Should you require a description of the data for the week under review, please email us at  AERInquiry@aer.gov.au.&quot;" style="width:450.8pt;height:225.4pt">
            <v:imagedata r:id="rId18" o:title=""/>
          </v:shape>
        </w:pict>
      </w:r>
    </w:p>
    <w:p w:rsidR="00B543EA" w:rsidRPr="003157C3" w:rsidRDefault="000042AC" w:rsidP="00DB269F">
      <w:pPr>
        <w:spacing w:before="100" w:beforeAutospacing="1" w:after="100" w:afterAutospacing="1"/>
        <w:rPr>
          <w:rFonts w:cs="Gautami"/>
        </w:rPr>
      </w:pPr>
      <w:r w:rsidRPr="003157C3">
        <w:rPr>
          <w:rFonts w:cs="Gautami"/>
        </w:rPr>
        <w:t xml:space="preserve">The significant lower 6 second costs on Friday 16 August were </w:t>
      </w:r>
      <w:r w:rsidR="004F16D3" w:rsidRPr="003157C3">
        <w:rPr>
          <w:rFonts w:cs="Gautami"/>
        </w:rPr>
        <w:t xml:space="preserve">a result of events in Tasmania. </w:t>
      </w:r>
      <w:r w:rsidR="00B543EA" w:rsidRPr="003157C3">
        <w:rPr>
          <w:rFonts w:cs="Gautami"/>
        </w:rPr>
        <w:t>At around 11.50 am on 15</w:t>
      </w:r>
      <w:r w:rsidR="004F16D3" w:rsidRPr="003157C3">
        <w:rPr>
          <w:rFonts w:cs="Gautami"/>
        </w:rPr>
        <w:t> </w:t>
      </w:r>
      <w:r w:rsidR="00B543EA" w:rsidRPr="003157C3">
        <w:rPr>
          <w:rFonts w:cs="Gautami"/>
        </w:rPr>
        <w:t xml:space="preserve">August </w:t>
      </w:r>
      <w:proofErr w:type="spellStart"/>
      <w:r w:rsidR="00B543EA" w:rsidRPr="003157C3">
        <w:rPr>
          <w:rFonts w:cs="Gautami"/>
        </w:rPr>
        <w:t>Basslink</w:t>
      </w:r>
      <w:proofErr w:type="spellEnd"/>
      <w:r w:rsidR="00B543EA" w:rsidRPr="003157C3">
        <w:rPr>
          <w:rFonts w:cs="Gautami"/>
        </w:rPr>
        <w:t xml:space="preserve"> tripped </w:t>
      </w:r>
      <w:r w:rsidR="004F16D3">
        <w:rPr>
          <w:rFonts w:cs="Gautami"/>
        </w:rPr>
        <w:t xml:space="preserve">while exporting to Victoria. According to AEMO, a Rio Tinto potline </w:t>
      </w:r>
      <w:r w:rsidR="00B543EA" w:rsidRPr="003157C3">
        <w:rPr>
          <w:rFonts w:cs="Gautami"/>
        </w:rPr>
        <w:t>subsequently tripped</w:t>
      </w:r>
      <w:r w:rsidR="004F16D3">
        <w:rPr>
          <w:rFonts w:cs="Gautami"/>
        </w:rPr>
        <w:t xml:space="preserve"> as a result of a protection mal-operation</w:t>
      </w:r>
      <w:r w:rsidR="00B543EA" w:rsidRPr="003157C3">
        <w:rPr>
          <w:rFonts w:cs="Gautami"/>
        </w:rPr>
        <w:t xml:space="preserve">. </w:t>
      </w:r>
      <w:r w:rsidR="004F16D3">
        <w:rPr>
          <w:rFonts w:cs="Gautami"/>
        </w:rPr>
        <w:t xml:space="preserve">Considering the event would be likely to reoccur, </w:t>
      </w:r>
      <w:r w:rsidR="00B543EA" w:rsidRPr="003157C3">
        <w:rPr>
          <w:rFonts w:cs="Gautami"/>
        </w:rPr>
        <w:t xml:space="preserve">AEMO </w:t>
      </w:r>
      <w:r w:rsidR="00111345">
        <w:rPr>
          <w:rFonts w:cs="Gautami"/>
        </w:rPr>
        <w:t xml:space="preserve">reclassified the tripping of </w:t>
      </w:r>
      <w:proofErr w:type="spellStart"/>
      <w:r w:rsidR="00111345">
        <w:rPr>
          <w:rFonts w:cs="Gautami"/>
        </w:rPr>
        <w:t>Basslink</w:t>
      </w:r>
      <w:proofErr w:type="spellEnd"/>
      <w:r w:rsidR="00111345">
        <w:rPr>
          <w:rFonts w:cs="Gautami"/>
        </w:rPr>
        <w:t xml:space="preserve"> and the potline as a credible contingency event from 5.30 pm </w:t>
      </w:r>
      <w:r w:rsidR="00B543EA" w:rsidRPr="003157C3">
        <w:rPr>
          <w:rFonts w:cs="Gautami"/>
        </w:rPr>
        <w:t>until further notice.</w:t>
      </w:r>
      <w:r w:rsidR="00111345">
        <w:rPr>
          <w:rFonts w:cs="Gautami"/>
        </w:rPr>
        <w:t xml:space="preserve"> </w:t>
      </w:r>
    </w:p>
    <w:p w:rsidR="00A3627F" w:rsidRPr="003157C3" w:rsidRDefault="00A3627F" w:rsidP="00DB269F">
      <w:pPr>
        <w:spacing w:before="100" w:beforeAutospacing="1" w:after="100" w:afterAutospacing="1"/>
        <w:rPr>
          <w:rFonts w:cs="Gautami"/>
        </w:rPr>
      </w:pPr>
      <w:r w:rsidRPr="003157C3">
        <w:rPr>
          <w:rFonts w:cs="Gautami"/>
        </w:rPr>
        <w:t xml:space="preserve">At 9.58 am on 16 August 2013, Hydro Tasmania rebid all of its </w:t>
      </w:r>
      <w:r w:rsidR="00B543EA" w:rsidRPr="003157C3">
        <w:rPr>
          <w:rFonts w:cs="Gautami"/>
        </w:rPr>
        <w:t xml:space="preserve">lower 6 second (L6) services across its portfolio </w:t>
      </w:r>
      <w:r w:rsidR="001B0F0D" w:rsidRPr="00111345">
        <w:rPr>
          <w:rFonts w:cs="Gautami"/>
        </w:rPr>
        <w:t xml:space="preserve">(447 MW) </w:t>
      </w:r>
      <w:r w:rsidR="00B543EA" w:rsidRPr="003157C3">
        <w:rPr>
          <w:rFonts w:cs="Gautami"/>
        </w:rPr>
        <w:t xml:space="preserve">from prices </w:t>
      </w:r>
      <w:r w:rsidR="00111345">
        <w:rPr>
          <w:rFonts w:cs="Gautami"/>
        </w:rPr>
        <w:t>under</w:t>
      </w:r>
      <w:r w:rsidR="00B543EA" w:rsidRPr="003157C3">
        <w:rPr>
          <w:rFonts w:cs="Gautami"/>
        </w:rPr>
        <w:t xml:space="preserve"> $2/MW to close to the cap</w:t>
      </w:r>
      <w:r w:rsidRPr="003157C3">
        <w:rPr>
          <w:rFonts w:cs="Gautami"/>
        </w:rPr>
        <w:t xml:space="preserve">. The reason given was “0955A constraint in transmission </w:t>
      </w:r>
      <w:proofErr w:type="spellStart"/>
      <w:r w:rsidRPr="003157C3">
        <w:rPr>
          <w:rFonts w:cs="Gautami"/>
        </w:rPr>
        <w:t>dif</w:t>
      </w:r>
      <w:proofErr w:type="spellEnd"/>
      <w:r w:rsidRPr="003157C3">
        <w:rPr>
          <w:rFonts w:cs="Gautami"/>
        </w:rPr>
        <w:t xml:space="preserve"> from expected +</w:t>
      </w:r>
      <w:proofErr w:type="spellStart"/>
      <w:proofErr w:type="gramStart"/>
      <w:r w:rsidRPr="003157C3">
        <w:rPr>
          <w:rFonts w:cs="Gautami"/>
        </w:rPr>
        <w:t>sl</w:t>
      </w:r>
      <w:proofErr w:type="spellEnd"/>
      <w:proofErr w:type="gramEnd"/>
      <w:r w:rsidRPr="003157C3">
        <w:rPr>
          <w:rFonts w:cs="Gautami"/>
        </w:rPr>
        <w:t>”.</w:t>
      </w:r>
      <w:r w:rsidR="00B543EA" w:rsidRPr="00111345">
        <w:rPr>
          <w:rFonts w:cs="Gautami"/>
        </w:rPr>
        <w:t xml:space="preserve"> </w:t>
      </w:r>
    </w:p>
    <w:p w:rsidR="00EC117F" w:rsidRPr="003157C3" w:rsidRDefault="00EC117F" w:rsidP="00DB269F">
      <w:pPr>
        <w:spacing w:before="100" w:beforeAutospacing="1" w:after="100" w:afterAutospacing="1"/>
        <w:rPr>
          <w:rFonts w:cs="Gautami"/>
        </w:rPr>
      </w:pPr>
      <w:r w:rsidRPr="003157C3">
        <w:rPr>
          <w:rFonts w:cs="Gautami"/>
        </w:rPr>
        <w:t xml:space="preserve">At 4.50 pm an updated constraint was invoked by AEMO to manage the reclassification. It immediately bound with the requirement for L6 services increasing from 0 MW </w:t>
      </w:r>
      <w:r w:rsidR="001B0F0D" w:rsidRPr="00111345">
        <w:rPr>
          <w:rFonts w:cs="Gautami"/>
        </w:rPr>
        <w:t xml:space="preserve">at 4.45 pm </w:t>
      </w:r>
      <w:r w:rsidRPr="003157C3">
        <w:rPr>
          <w:rFonts w:cs="Gautami"/>
        </w:rPr>
        <w:t>to 44 MW</w:t>
      </w:r>
      <w:r w:rsidR="001B0F0D" w:rsidRPr="00111345">
        <w:rPr>
          <w:rFonts w:cs="Gautami"/>
        </w:rPr>
        <w:t xml:space="preserve"> at 4.50 pm</w:t>
      </w:r>
      <w:r w:rsidRPr="003157C3">
        <w:rPr>
          <w:rFonts w:cs="Gautami"/>
        </w:rPr>
        <w:t xml:space="preserve">. </w:t>
      </w:r>
      <w:r w:rsidR="00A3627F" w:rsidRPr="003157C3">
        <w:rPr>
          <w:rFonts w:cs="Gautami"/>
        </w:rPr>
        <w:t>As</w:t>
      </w:r>
      <w:r w:rsidRPr="003157C3">
        <w:rPr>
          <w:rFonts w:cs="Gautami"/>
        </w:rPr>
        <w:t xml:space="preserve"> Hydro Tasmania </w:t>
      </w:r>
      <w:r w:rsidR="001B0F0D" w:rsidRPr="00111345">
        <w:rPr>
          <w:rFonts w:cs="Gautami"/>
        </w:rPr>
        <w:t>was</w:t>
      </w:r>
      <w:r w:rsidRPr="003157C3">
        <w:rPr>
          <w:rFonts w:cs="Gautami"/>
        </w:rPr>
        <w:t xml:space="preserve"> the only provider of </w:t>
      </w:r>
      <w:r w:rsidR="001B0F0D" w:rsidRPr="00111345">
        <w:rPr>
          <w:rFonts w:cs="Gautami"/>
        </w:rPr>
        <w:t>L6 services</w:t>
      </w:r>
      <w:r w:rsidRPr="003157C3">
        <w:rPr>
          <w:rFonts w:cs="Gautami"/>
        </w:rPr>
        <w:t xml:space="preserve"> in Tasmania it</w:t>
      </w:r>
      <w:r w:rsidR="00111345">
        <w:rPr>
          <w:rFonts w:cs="Gautami"/>
        </w:rPr>
        <w:t xml:space="preserve">s high priced offer </w:t>
      </w:r>
      <w:r w:rsidRPr="003157C3">
        <w:rPr>
          <w:rFonts w:cs="Gautami"/>
        </w:rPr>
        <w:t>set the price at $12 900/MW for the 4.50 pm and 4.55 pm dispatch intervals.</w:t>
      </w:r>
      <w:r w:rsidRPr="003157C3" w:rsidDel="00EC117F">
        <w:rPr>
          <w:rFonts w:cs="Gautami"/>
        </w:rPr>
        <w:t xml:space="preserve"> </w:t>
      </w:r>
    </w:p>
    <w:p w:rsidR="0045190C" w:rsidRPr="003157C3" w:rsidRDefault="001B0F0D">
      <w:pPr>
        <w:spacing w:before="100" w:beforeAutospacing="1" w:after="100" w:afterAutospacing="1"/>
        <w:rPr>
          <w:rFonts w:cs="Gautami"/>
        </w:rPr>
      </w:pPr>
      <w:r w:rsidRPr="003157C3">
        <w:rPr>
          <w:rFonts w:cs="Gautami"/>
        </w:rPr>
        <w:t>At 5 pm prices return</w:t>
      </w:r>
      <w:r w:rsidR="00111345">
        <w:rPr>
          <w:rFonts w:cs="Gautami"/>
        </w:rPr>
        <w:t>ed</w:t>
      </w:r>
      <w:r w:rsidRPr="003157C3">
        <w:rPr>
          <w:rFonts w:cs="Gautami"/>
        </w:rPr>
        <w:t xml:space="preserve"> to previous levels when a rebid by Hydro Tasmania </w:t>
      </w:r>
      <w:r w:rsidR="00CA27F2">
        <w:rPr>
          <w:rFonts w:cs="Gautami"/>
        </w:rPr>
        <w:t xml:space="preserve">which </w:t>
      </w:r>
      <w:r w:rsidRPr="003157C3">
        <w:rPr>
          <w:rFonts w:cs="Gautami"/>
        </w:rPr>
        <w:t>revers</w:t>
      </w:r>
      <w:r w:rsidR="00CA27F2">
        <w:rPr>
          <w:rFonts w:cs="Gautami"/>
        </w:rPr>
        <w:t>ed</w:t>
      </w:r>
      <w:r w:rsidRPr="003157C3">
        <w:rPr>
          <w:rFonts w:cs="Gautami"/>
        </w:rPr>
        <w:t xml:space="preserve"> its earlier rebid became effective.</w:t>
      </w:r>
    </w:p>
    <w:bookmarkEnd w:id="0"/>
    <w:bookmarkEnd w:id="1"/>
    <w:bookmarkEnd w:id="2"/>
    <w:bookmarkEnd w:id="3"/>
    <w:bookmarkEnd w:id="4"/>
    <w:bookmarkEnd w:id="5"/>
    <w:p w:rsidR="003A4158" w:rsidRDefault="003A4158" w:rsidP="003A4158">
      <w:pPr>
        <w:pStyle w:val="Heading2"/>
      </w:pPr>
      <w:r>
        <w:t>Detailed market analysis of significant price events</w:t>
      </w:r>
    </w:p>
    <w:p w:rsidR="003A4158" w:rsidRPr="00617793" w:rsidRDefault="003A4158" w:rsidP="003A4158">
      <w:pPr>
        <w:pStyle w:val="AERbodytext"/>
      </w:pPr>
      <w:r>
        <w:t xml:space="preserve">We provide more detailed analysis of events where the spot price was greater than three times the </w:t>
      </w:r>
      <w:r w:rsidRPr="00617793">
        <w:t xml:space="preserve">weekly average price in a region and above $250/MWh or was below </w:t>
      </w:r>
      <w:r w:rsidRPr="00617793">
        <w:noBreakHyphen/>
        <w:t xml:space="preserve">$100/MWh. </w:t>
      </w:r>
    </w:p>
    <w:p w:rsidR="003A4158" w:rsidRPr="003157C3" w:rsidRDefault="00DA7B9B" w:rsidP="003A4158">
      <w:pPr>
        <w:pStyle w:val="AERbodytext"/>
        <w:rPr>
          <w:lang w:eastAsia="en-AU"/>
        </w:rPr>
      </w:pPr>
      <w:r w:rsidRPr="003157C3">
        <w:rPr>
          <w:lang w:eastAsia="en-AU"/>
        </w:rPr>
        <w:t xml:space="preserve">There were </w:t>
      </w:r>
      <w:r w:rsidR="001B0F0D" w:rsidRPr="003157C3">
        <w:rPr>
          <w:lang w:eastAsia="en-AU"/>
        </w:rPr>
        <w:t xml:space="preserve">three such </w:t>
      </w:r>
      <w:r w:rsidRPr="003157C3">
        <w:rPr>
          <w:lang w:eastAsia="en-AU"/>
        </w:rPr>
        <w:t>occasions</w:t>
      </w:r>
      <w:r w:rsidR="001B0F0D" w:rsidRPr="003157C3">
        <w:rPr>
          <w:lang w:eastAsia="en-AU"/>
        </w:rPr>
        <w:t>,</w:t>
      </w:r>
      <w:r w:rsidRPr="003157C3">
        <w:rPr>
          <w:lang w:eastAsia="en-AU"/>
        </w:rPr>
        <w:t xml:space="preserve"> </w:t>
      </w:r>
      <w:r w:rsidR="001B0F0D" w:rsidRPr="003157C3">
        <w:rPr>
          <w:lang w:eastAsia="en-AU"/>
        </w:rPr>
        <w:t>two in</w:t>
      </w:r>
      <w:r w:rsidRPr="003157C3">
        <w:rPr>
          <w:lang w:eastAsia="en-AU"/>
        </w:rPr>
        <w:t xml:space="preserve"> South Australia</w:t>
      </w:r>
      <w:r w:rsidR="001B0F0D" w:rsidRPr="003157C3">
        <w:rPr>
          <w:lang w:eastAsia="en-AU"/>
        </w:rPr>
        <w:t xml:space="preserve"> </w:t>
      </w:r>
      <w:r w:rsidR="003A4158" w:rsidRPr="003157C3">
        <w:rPr>
          <w:lang w:eastAsia="en-AU"/>
        </w:rPr>
        <w:t xml:space="preserve">on </w:t>
      </w:r>
      <w:r w:rsidRPr="003157C3">
        <w:rPr>
          <w:lang w:eastAsia="en-AU"/>
        </w:rPr>
        <w:t>15</w:t>
      </w:r>
      <w:r w:rsidRPr="003157C3">
        <w:rPr>
          <w:rFonts w:hint="eastAsia"/>
          <w:lang w:eastAsia="en-AU"/>
        </w:rPr>
        <w:t> </w:t>
      </w:r>
      <w:r w:rsidRPr="003157C3">
        <w:rPr>
          <w:lang w:eastAsia="en-AU"/>
        </w:rPr>
        <w:t>August and 16</w:t>
      </w:r>
      <w:r w:rsidRPr="003157C3">
        <w:rPr>
          <w:rFonts w:hint="eastAsia"/>
          <w:lang w:eastAsia="en-AU"/>
        </w:rPr>
        <w:t> </w:t>
      </w:r>
      <w:r w:rsidRPr="003157C3">
        <w:rPr>
          <w:lang w:eastAsia="en-AU"/>
        </w:rPr>
        <w:t>August</w:t>
      </w:r>
      <w:r w:rsidR="001B0F0D" w:rsidRPr="003157C3">
        <w:rPr>
          <w:lang w:eastAsia="en-AU"/>
        </w:rPr>
        <w:t xml:space="preserve"> and one in Tasmania on 13 August.</w:t>
      </w:r>
      <w:r w:rsidR="003A4158" w:rsidRPr="003157C3">
        <w:rPr>
          <w:lang w:eastAsia="en-AU"/>
        </w:rPr>
        <w:t xml:space="preserve"> The table</w:t>
      </w:r>
      <w:r w:rsidR="00E93241" w:rsidRPr="003157C3">
        <w:rPr>
          <w:lang w:eastAsia="en-AU"/>
        </w:rPr>
        <w:t>s</w:t>
      </w:r>
      <w:r w:rsidR="003A4158" w:rsidRPr="003157C3">
        <w:rPr>
          <w:lang w:eastAsia="en-AU"/>
        </w:rPr>
        <w:t xml:space="preserve"> below show the actual price, demand and available capacity outcomes compared to those forecast 4 and 12 hour</w:t>
      </w:r>
      <w:r w:rsidR="00676857">
        <w:rPr>
          <w:lang w:eastAsia="en-AU"/>
        </w:rPr>
        <w:t>s</w:t>
      </w:r>
      <w:r w:rsidR="003A4158" w:rsidRPr="003157C3">
        <w:rPr>
          <w:lang w:eastAsia="en-AU"/>
        </w:rPr>
        <w:t xml:space="preserve"> ahead. </w:t>
      </w:r>
    </w:p>
    <w:p w:rsidR="003A4158" w:rsidRPr="00470218" w:rsidRDefault="003A4158" w:rsidP="003A4158">
      <w:pPr>
        <w:pStyle w:val="AERtabletitle"/>
      </w:pPr>
      <w:r w:rsidRPr="00470218">
        <w:t xml:space="preserve">Table 3: </w:t>
      </w:r>
      <w:r w:rsidR="00DA7B9B">
        <w:t>South Australia</w:t>
      </w:r>
      <w:r w:rsidRPr="00470218">
        <w:t xml:space="preserve">, </w:t>
      </w:r>
      <w:r w:rsidR="00DA7B9B">
        <w:t>Thur</w:t>
      </w:r>
      <w:r>
        <w:t>sday</w:t>
      </w:r>
      <w:r w:rsidRPr="00470218">
        <w:t> </w:t>
      </w:r>
      <w:r w:rsidR="00DA7B9B">
        <w:t>15 August</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5305FC" w:rsidP="003A4158">
            <w:pPr>
              <w:autoSpaceDE w:val="0"/>
              <w:autoSpaceDN w:val="0"/>
              <w:adjustRightInd w:val="0"/>
              <w:spacing w:before="100" w:after="100"/>
              <w:rPr>
                <w:color w:val="FFFFFF"/>
                <w:sz w:val="18"/>
                <w:szCs w:val="18"/>
              </w:rPr>
            </w:pPr>
            <w:r>
              <w:rPr>
                <w:b/>
                <w:bCs/>
                <w:color w:val="FFFFFF"/>
                <w:sz w:val="18"/>
                <w:szCs w:val="18"/>
              </w:rPr>
              <w:t>8</w:t>
            </w:r>
            <w:r w:rsidR="003A4158">
              <w:rPr>
                <w:b/>
                <w:bCs/>
                <w:color w:val="FFFFFF"/>
                <w:sz w:val="18"/>
                <w:szCs w:val="18"/>
              </w:rPr>
              <w:t>:30</w:t>
            </w:r>
            <w:r w:rsidR="003A4158" w:rsidRPr="00186747">
              <w:rPr>
                <w:b/>
                <w:bCs/>
                <w:color w:val="FFFFFF"/>
                <w:sz w:val="18"/>
                <w:szCs w:val="18"/>
              </w:rPr>
              <w:t xml:space="preserve"> </w:t>
            </w:r>
            <w:r w:rsidR="003A4158">
              <w:rPr>
                <w:b/>
                <w:bCs/>
                <w:color w:val="FFFFFF"/>
                <w:sz w:val="18"/>
                <w:szCs w:val="18"/>
              </w:rPr>
              <w:t>A</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E93241" w:rsidRPr="00095C39" w:rsidTr="00E93241">
        <w:tc>
          <w:tcPr>
            <w:tcW w:w="2802" w:type="dxa"/>
            <w:shd w:val="clear" w:color="auto" w:fill="DDD9C3"/>
            <w:noWrap/>
            <w:vAlign w:val="bottom"/>
          </w:tcPr>
          <w:p w:rsidR="00E93241" w:rsidRPr="00470218" w:rsidRDefault="00E93241" w:rsidP="003A4158">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2099.68</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90.80</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90.80</w:t>
            </w:r>
          </w:p>
        </w:tc>
      </w:tr>
      <w:tr w:rsidR="00E93241" w:rsidRPr="00095C39" w:rsidTr="00E93241">
        <w:tc>
          <w:tcPr>
            <w:tcW w:w="2802" w:type="dxa"/>
            <w:tcBorders>
              <w:bottom w:val="nil"/>
            </w:tcBorders>
            <w:shd w:val="clear" w:color="auto" w:fill="EEECE1"/>
            <w:noWrap/>
            <w:vAlign w:val="bottom"/>
          </w:tcPr>
          <w:p w:rsidR="00E93241" w:rsidRPr="00470218" w:rsidRDefault="00E93241" w:rsidP="003A4158">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1791</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1750</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1731</w:t>
            </w:r>
          </w:p>
        </w:tc>
      </w:tr>
      <w:tr w:rsidR="00E93241" w:rsidRPr="00095C39" w:rsidTr="00E93241">
        <w:tc>
          <w:tcPr>
            <w:tcW w:w="2802" w:type="dxa"/>
            <w:tcBorders>
              <w:top w:val="nil"/>
              <w:bottom w:val="single" w:sz="4" w:space="0" w:color="auto"/>
            </w:tcBorders>
            <w:shd w:val="clear" w:color="auto" w:fill="DDD9C3"/>
            <w:noWrap/>
            <w:vAlign w:val="bottom"/>
          </w:tcPr>
          <w:p w:rsidR="00E93241" w:rsidRPr="00470218" w:rsidRDefault="00E93241" w:rsidP="003A4158">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1781</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1903</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1932</w:t>
            </w:r>
          </w:p>
        </w:tc>
      </w:tr>
    </w:tbl>
    <w:p w:rsidR="003A4158" w:rsidRDefault="003A4158" w:rsidP="003A4158">
      <w:pPr>
        <w:pStyle w:val="AERbodytext"/>
        <w:rPr>
          <w:lang w:eastAsia="en-AU"/>
        </w:rPr>
      </w:pPr>
    </w:p>
    <w:p w:rsidR="00743C0B" w:rsidRPr="003157C3" w:rsidRDefault="00743C0B" w:rsidP="003157C3">
      <w:pPr>
        <w:pStyle w:val="AERbodytext"/>
      </w:pPr>
      <w:r w:rsidRPr="003157C3">
        <w:rPr>
          <w:lang w:eastAsia="en-AU"/>
        </w:rPr>
        <w:t>Conditions at the time saw demand close to forecast, while available capacity was 122 MW below that forecast four hours ahead.</w:t>
      </w:r>
    </w:p>
    <w:p w:rsidR="004C1927" w:rsidRPr="003157C3" w:rsidRDefault="00903BC6" w:rsidP="003157C3">
      <w:pPr>
        <w:pStyle w:val="AERbodytext"/>
      </w:pPr>
      <w:r w:rsidRPr="003157C3">
        <w:rPr>
          <w:lang w:eastAsia="en-AU"/>
        </w:rPr>
        <w:t>According to AEMO, a</w:t>
      </w:r>
      <w:r w:rsidR="00743C0B" w:rsidRPr="003157C3">
        <w:rPr>
          <w:lang w:eastAsia="en-AU"/>
        </w:rPr>
        <w:t xml:space="preserve">t 6.35 am the Whyalla Terminal to </w:t>
      </w:r>
      <w:proofErr w:type="spellStart"/>
      <w:r w:rsidR="00743C0B" w:rsidRPr="003157C3">
        <w:rPr>
          <w:lang w:eastAsia="en-AU"/>
        </w:rPr>
        <w:t>Yadnarie</w:t>
      </w:r>
      <w:proofErr w:type="spellEnd"/>
      <w:r w:rsidR="00743C0B" w:rsidRPr="003157C3">
        <w:rPr>
          <w:lang w:eastAsia="en-AU"/>
        </w:rPr>
        <w:t xml:space="preserve"> and </w:t>
      </w:r>
      <w:proofErr w:type="spellStart"/>
      <w:r w:rsidR="0099056D">
        <w:rPr>
          <w:lang w:eastAsia="en-AU"/>
        </w:rPr>
        <w:t>Yadnarie</w:t>
      </w:r>
      <w:proofErr w:type="spellEnd"/>
      <w:r w:rsidR="0099056D">
        <w:rPr>
          <w:lang w:eastAsia="en-AU"/>
        </w:rPr>
        <w:t xml:space="preserve"> to Port Lincoln 132 </w:t>
      </w:r>
      <w:r w:rsidR="00743C0B" w:rsidRPr="003157C3">
        <w:rPr>
          <w:lang w:eastAsia="en-AU"/>
        </w:rPr>
        <w:t xml:space="preserve">kV lines tripped, causing the electrical islanding of the Eyre Peninsula from the rest of the South Australia region. </w:t>
      </w:r>
    </w:p>
    <w:p w:rsidR="00743C0B" w:rsidRPr="003157C3" w:rsidRDefault="00FD791D" w:rsidP="003157C3">
      <w:pPr>
        <w:pStyle w:val="AERbodytext"/>
      </w:pPr>
      <w:proofErr w:type="spellStart"/>
      <w:r w:rsidRPr="003157C3">
        <w:rPr>
          <w:lang w:eastAsia="en-AU"/>
        </w:rPr>
        <w:t>ElectraNet</w:t>
      </w:r>
      <w:proofErr w:type="spellEnd"/>
      <w:r w:rsidRPr="003157C3">
        <w:rPr>
          <w:lang w:eastAsia="en-AU"/>
        </w:rPr>
        <w:t xml:space="preserve"> has a contract with GDF Suez’s Port Lincoln power station for transmission support during </w:t>
      </w:r>
      <w:r w:rsidR="008566ED">
        <w:rPr>
          <w:lang w:eastAsia="en-AU"/>
        </w:rPr>
        <w:t xml:space="preserve">network </w:t>
      </w:r>
      <w:r w:rsidRPr="003157C3">
        <w:rPr>
          <w:lang w:eastAsia="en-AU"/>
        </w:rPr>
        <w:t xml:space="preserve">outages to meet local load. </w:t>
      </w:r>
      <w:r w:rsidR="004C1927" w:rsidRPr="003157C3">
        <w:rPr>
          <w:lang w:eastAsia="en-AU"/>
        </w:rPr>
        <w:t>Over several rebids from 6.45 am</w:t>
      </w:r>
      <w:r w:rsidR="00903BC6" w:rsidRPr="003157C3">
        <w:rPr>
          <w:lang w:eastAsia="en-AU"/>
        </w:rPr>
        <w:t>,</w:t>
      </w:r>
      <w:r w:rsidR="004C1927" w:rsidRPr="003157C3">
        <w:rPr>
          <w:lang w:eastAsia="en-AU"/>
        </w:rPr>
        <w:t xml:space="preserve"> GDF Suez </w:t>
      </w:r>
      <w:r w:rsidR="00903BC6" w:rsidRPr="003157C3">
        <w:rPr>
          <w:lang w:eastAsia="en-AU"/>
        </w:rPr>
        <w:t xml:space="preserve">shifted </w:t>
      </w:r>
      <w:r w:rsidR="004C1927" w:rsidRPr="003157C3">
        <w:rPr>
          <w:lang w:eastAsia="en-AU"/>
        </w:rPr>
        <w:t>48 MW of capacity at Port Lincoln from prices above $11 400/MWh to close to the price floor</w:t>
      </w:r>
      <w:r w:rsidRPr="003157C3">
        <w:rPr>
          <w:lang w:eastAsia="en-AU"/>
        </w:rPr>
        <w:t xml:space="preserve"> to make itself available</w:t>
      </w:r>
      <w:r w:rsidR="00743C0B" w:rsidRPr="003157C3">
        <w:rPr>
          <w:lang w:eastAsia="en-AU"/>
        </w:rPr>
        <w:t>.</w:t>
      </w:r>
      <w:r w:rsidR="004C1927" w:rsidRPr="003157C3">
        <w:rPr>
          <w:lang w:eastAsia="en-AU"/>
        </w:rPr>
        <w:t xml:space="preserve"> The reason given was “units required for Port Lincoln transmission support”.</w:t>
      </w:r>
    </w:p>
    <w:p w:rsidR="007F02B6" w:rsidRDefault="001C2D86" w:rsidP="003157C3">
      <w:pPr>
        <w:pStyle w:val="AERbodytext"/>
      </w:pPr>
      <w:r>
        <w:rPr>
          <w:lang w:eastAsia="en-AU"/>
        </w:rPr>
        <w:t xml:space="preserve">At around 7.35 am the </w:t>
      </w:r>
      <w:r>
        <w:t>132kV transmission lines</w:t>
      </w:r>
      <w:r w:rsidRPr="003157C3">
        <w:rPr>
          <w:lang w:eastAsia="en-AU"/>
        </w:rPr>
        <w:t xml:space="preserve"> </w:t>
      </w:r>
      <w:r>
        <w:t xml:space="preserve">returned to service. </w:t>
      </w:r>
      <w:r w:rsidR="00743C0B" w:rsidRPr="003157C3">
        <w:rPr>
          <w:lang w:eastAsia="en-AU"/>
        </w:rPr>
        <w:t xml:space="preserve">At 8.09 am, effective from 8.15 am, </w:t>
      </w:r>
      <w:r w:rsidR="00E577B6" w:rsidRPr="003157C3">
        <w:rPr>
          <w:lang w:eastAsia="en-AU"/>
        </w:rPr>
        <w:t>GDF Suez</w:t>
      </w:r>
      <w:r w:rsidR="00743C0B" w:rsidRPr="003157C3">
        <w:rPr>
          <w:lang w:eastAsia="en-AU"/>
        </w:rPr>
        <w:t xml:space="preserve"> rebid all 48 MW of available capacity at its Port Lincoln power station from </w:t>
      </w:r>
      <w:r w:rsidR="00AD49DC" w:rsidRPr="003157C3">
        <w:rPr>
          <w:lang w:eastAsia="en-AU"/>
        </w:rPr>
        <w:t xml:space="preserve">close to </w:t>
      </w:r>
      <w:r w:rsidR="00743C0B" w:rsidRPr="003157C3">
        <w:rPr>
          <w:lang w:eastAsia="en-AU"/>
        </w:rPr>
        <w:t xml:space="preserve">the floor </w:t>
      </w:r>
      <w:r w:rsidR="00FD791D" w:rsidRPr="003157C3">
        <w:rPr>
          <w:lang w:eastAsia="en-AU"/>
        </w:rPr>
        <w:t xml:space="preserve">back </w:t>
      </w:r>
      <w:r w:rsidR="00743C0B" w:rsidRPr="003157C3">
        <w:rPr>
          <w:lang w:eastAsia="en-AU"/>
        </w:rPr>
        <w:t>to prices above $11 400/MWh. The reason given was “0808P units no longer needed for network support”.</w:t>
      </w:r>
      <w:r w:rsidR="00AD49DC" w:rsidRPr="003157C3">
        <w:rPr>
          <w:lang w:eastAsia="en-AU"/>
        </w:rPr>
        <w:t xml:space="preserve"> </w:t>
      </w:r>
      <w:r w:rsidR="00AD49DC" w:rsidRPr="003157C3">
        <w:t xml:space="preserve">This coincided with a 51 MW increase in demand </w:t>
      </w:r>
      <w:r w:rsidR="00FD791D" w:rsidRPr="003157C3">
        <w:t xml:space="preserve">(from 8.10 am to 8.15 am) </w:t>
      </w:r>
      <w:r w:rsidR="00AD49DC" w:rsidRPr="003157C3">
        <w:t>and a reduction in imports across Heywood of 25 MW</w:t>
      </w:r>
      <w:r w:rsidR="00B01B28">
        <w:t>.</w:t>
      </w:r>
      <w:r w:rsidR="00CA3683">
        <w:t xml:space="preserve"> </w:t>
      </w:r>
      <w:r w:rsidR="00B01B28">
        <w:t xml:space="preserve">The Heywood transformer constraint reduced the import limit from Victoria by 25 MW as a result of increased </w:t>
      </w:r>
      <w:r w:rsidR="00CA3683">
        <w:t>metered flow</w:t>
      </w:r>
      <w:r w:rsidR="00B01B28">
        <w:t xml:space="preserve"> exceeding the import limit</w:t>
      </w:r>
      <w:r w:rsidR="00AD49DC" w:rsidRPr="003157C3">
        <w:t xml:space="preserve">. </w:t>
      </w:r>
    </w:p>
    <w:p w:rsidR="00743C0B" w:rsidRPr="003157C3" w:rsidRDefault="00FD791D" w:rsidP="003157C3">
      <w:pPr>
        <w:pStyle w:val="AERbodytext"/>
      </w:pPr>
      <w:r w:rsidRPr="003157C3">
        <w:t xml:space="preserve">With </w:t>
      </w:r>
      <w:r w:rsidR="00BD55C7" w:rsidRPr="003157C3">
        <w:rPr>
          <w:lang w:eastAsia="en-AU"/>
        </w:rPr>
        <w:t>lower priced</w:t>
      </w:r>
      <w:r w:rsidR="00743C0B" w:rsidRPr="003157C3">
        <w:rPr>
          <w:lang w:eastAsia="en-AU"/>
        </w:rPr>
        <w:t xml:space="preserve"> generation unable to synchronise</w:t>
      </w:r>
      <w:r w:rsidR="00BD55C7" w:rsidRPr="003157C3">
        <w:rPr>
          <w:lang w:eastAsia="en-AU"/>
        </w:rPr>
        <w:t xml:space="preserve"> to meet the increase in demand</w:t>
      </w:r>
      <w:r w:rsidR="00553D7F">
        <w:rPr>
          <w:lang w:eastAsia="en-AU"/>
        </w:rPr>
        <w:t xml:space="preserve"> and reduction in imports</w:t>
      </w:r>
      <w:r w:rsidRPr="003157C3">
        <w:rPr>
          <w:lang w:eastAsia="en-AU"/>
        </w:rPr>
        <w:t xml:space="preserve">, </w:t>
      </w:r>
      <w:r w:rsidR="00BD55C7" w:rsidRPr="003157C3">
        <w:rPr>
          <w:lang w:eastAsia="en-AU"/>
        </w:rPr>
        <w:t>higher priced generation was dispatched</w:t>
      </w:r>
      <w:r w:rsidR="00AD49DC" w:rsidRPr="003157C3">
        <w:rPr>
          <w:lang w:eastAsia="en-AU"/>
        </w:rPr>
        <w:t xml:space="preserve"> resulting in the 5 minute price reaching</w:t>
      </w:r>
      <w:r w:rsidR="00743C0B" w:rsidRPr="003157C3">
        <w:rPr>
          <w:lang w:eastAsia="en-AU"/>
        </w:rPr>
        <w:t xml:space="preserve"> $12 195/MWh </w:t>
      </w:r>
      <w:r w:rsidR="00AD49DC" w:rsidRPr="003157C3">
        <w:rPr>
          <w:lang w:eastAsia="en-AU"/>
        </w:rPr>
        <w:t>at 8.15 am</w:t>
      </w:r>
      <w:r w:rsidR="00743C0B" w:rsidRPr="003157C3">
        <w:rPr>
          <w:lang w:eastAsia="en-AU"/>
        </w:rPr>
        <w:t>.</w:t>
      </w:r>
    </w:p>
    <w:p w:rsidR="00AE5DDE" w:rsidRPr="003157C3" w:rsidRDefault="00AD49DC" w:rsidP="003157C3">
      <w:pPr>
        <w:pStyle w:val="AERbodytext"/>
      </w:pPr>
      <w:r w:rsidRPr="003157C3">
        <w:t>P</w:t>
      </w:r>
      <w:r w:rsidR="00743C0B" w:rsidRPr="003157C3">
        <w:t>rice</w:t>
      </w:r>
      <w:r w:rsidRPr="003157C3">
        <w:t xml:space="preserve">s returned to previous levels </w:t>
      </w:r>
      <w:r w:rsidR="00743C0B" w:rsidRPr="003157C3">
        <w:t xml:space="preserve">in the subsequent dispatch intervals, after </w:t>
      </w:r>
      <w:r w:rsidR="00C87D6B" w:rsidRPr="003157C3">
        <w:t xml:space="preserve">generators rebid around 700 MW of capacity close to the price floor and </w:t>
      </w:r>
      <w:r w:rsidR="001706A5" w:rsidRPr="003157C3">
        <w:t xml:space="preserve">there was </w:t>
      </w:r>
      <w:r w:rsidR="00C87D6B" w:rsidRPr="003157C3">
        <w:t>an increase</w:t>
      </w:r>
      <w:r w:rsidR="00743C0B" w:rsidRPr="003157C3">
        <w:t xml:space="preserve"> in non</w:t>
      </w:r>
      <w:r w:rsidR="00743C0B" w:rsidRPr="003157C3">
        <w:noBreakHyphen/>
        <w:t xml:space="preserve">scheduled </w:t>
      </w:r>
      <w:r w:rsidR="00AE5DDE" w:rsidRPr="003157C3">
        <w:rPr>
          <w:lang w:eastAsia="en-AU"/>
        </w:rPr>
        <w:t xml:space="preserve">generation. </w:t>
      </w:r>
    </w:p>
    <w:p w:rsidR="00743C0B" w:rsidRPr="000472F3" w:rsidRDefault="00AE5DDE" w:rsidP="003157C3">
      <w:pPr>
        <w:pStyle w:val="AERbodytext"/>
      </w:pPr>
      <w:r w:rsidRPr="003157C3">
        <w:rPr>
          <w:lang w:eastAsia="en-AU"/>
        </w:rPr>
        <w:t>There</w:t>
      </w:r>
      <w:r w:rsidR="00743C0B" w:rsidRPr="003157C3">
        <w:rPr>
          <w:lang w:eastAsia="en-AU"/>
        </w:rPr>
        <w:t xml:space="preserve"> was no other significant rebidding.</w:t>
      </w:r>
    </w:p>
    <w:p w:rsidR="00E93241" w:rsidRPr="00470218" w:rsidRDefault="00E93241" w:rsidP="00E93241">
      <w:pPr>
        <w:pStyle w:val="AERtabletitle"/>
      </w:pPr>
      <w:r w:rsidRPr="00470218">
        <w:t xml:space="preserve">Table </w:t>
      </w:r>
      <w:r>
        <w:t>4</w:t>
      </w:r>
      <w:r w:rsidRPr="00470218">
        <w:t xml:space="preserve">: </w:t>
      </w:r>
      <w:r>
        <w:t>South Australia</w:t>
      </w:r>
      <w:r w:rsidRPr="00470218">
        <w:t xml:space="preserve">, </w:t>
      </w:r>
      <w:r>
        <w:t>Friday</w:t>
      </w:r>
      <w:r w:rsidRPr="00470218">
        <w:t> </w:t>
      </w:r>
      <w:r>
        <w:t>16 August</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E93241" w:rsidRPr="00095C39" w:rsidTr="00DB269F">
        <w:tc>
          <w:tcPr>
            <w:tcW w:w="2802" w:type="dxa"/>
            <w:shd w:val="clear" w:color="auto" w:fill="4A442A"/>
            <w:noWrap/>
            <w:vAlign w:val="bottom"/>
          </w:tcPr>
          <w:p w:rsidR="00E93241" w:rsidRPr="00186747" w:rsidRDefault="004B560C" w:rsidP="004B560C">
            <w:pPr>
              <w:autoSpaceDE w:val="0"/>
              <w:autoSpaceDN w:val="0"/>
              <w:adjustRightInd w:val="0"/>
              <w:spacing w:before="100" w:after="100"/>
              <w:rPr>
                <w:color w:val="FFFFFF"/>
                <w:sz w:val="18"/>
                <w:szCs w:val="18"/>
              </w:rPr>
            </w:pPr>
            <w:r>
              <w:rPr>
                <w:b/>
                <w:bCs/>
                <w:color w:val="FFFFFF"/>
                <w:sz w:val="18"/>
                <w:szCs w:val="18"/>
              </w:rPr>
              <w:t>5</w:t>
            </w:r>
            <w:r w:rsidR="00E93241">
              <w:rPr>
                <w:b/>
                <w:bCs/>
                <w:color w:val="FFFFFF"/>
                <w:sz w:val="18"/>
                <w:szCs w:val="18"/>
              </w:rPr>
              <w:t>:</w:t>
            </w:r>
            <w:r>
              <w:rPr>
                <w:b/>
                <w:bCs/>
                <w:color w:val="FFFFFF"/>
                <w:sz w:val="18"/>
                <w:szCs w:val="18"/>
              </w:rPr>
              <w:t>0</w:t>
            </w:r>
            <w:r w:rsidR="00E93241">
              <w:rPr>
                <w:b/>
                <w:bCs/>
                <w:color w:val="FFFFFF"/>
                <w:sz w:val="18"/>
                <w:szCs w:val="18"/>
              </w:rPr>
              <w:t>0</w:t>
            </w:r>
            <w:r w:rsidR="00E93241" w:rsidRPr="00186747">
              <w:rPr>
                <w:b/>
                <w:bCs/>
                <w:color w:val="FFFFFF"/>
                <w:sz w:val="18"/>
                <w:szCs w:val="18"/>
              </w:rPr>
              <w:t xml:space="preserve"> </w:t>
            </w:r>
            <w:r>
              <w:rPr>
                <w:b/>
                <w:bCs/>
                <w:color w:val="FFFFFF"/>
                <w:sz w:val="18"/>
                <w:szCs w:val="18"/>
              </w:rPr>
              <w:t>P</w:t>
            </w:r>
            <w:r w:rsidR="00E93241" w:rsidRPr="00186747">
              <w:rPr>
                <w:b/>
                <w:bCs/>
                <w:color w:val="FFFFFF"/>
                <w:sz w:val="18"/>
                <w:szCs w:val="18"/>
              </w:rPr>
              <w:t>M</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E93241" w:rsidRPr="00095C39" w:rsidTr="00E93241">
        <w:tc>
          <w:tcPr>
            <w:tcW w:w="2802" w:type="dxa"/>
            <w:shd w:val="clear" w:color="auto" w:fill="DDD9C3"/>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461.77</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60.81</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57.74</w:t>
            </w:r>
          </w:p>
        </w:tc>
      </w:tr>
      <w:tr w:rsidR="00E93241" w:rsidRPr="00095C39" w:rsidTr="00E93241">
        <w:tc>
          <w:tcPr>
            <w:tcW w:w="2802" w:type="dxa"/>
            <w:tcBorders>
              <w:bottom w:val="nil"/>
            </w:tcBorders>
            <w:shd w:val="clear" w:color="auto" w:fill="EEECE1"/>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1738</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1417</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1337</w:t>
            </w:r>
          </w:p>
        </w:tc>
      </w:tr>
      <w:tr w:rsidR="00E93241" w:rsidRPr="00095C39" w:rsidTr="00E93241">
        <w:tc>
          <w:tcPr>
            <w:tcW w:w="2802" w:type="dxa"/>
            <w:tcBorders>
              <w:top w:val="nil"/>
              <w:bottom w:val="single" w:sz="4" w:space="0" w:color="auto"/>
            </w:tcBorders>
            <w:shd w:val="clear" w:color="auto" w:fill="DDD9C3"/>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2224</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2284</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2270</w:t>
            </w:r>
          </w:p>
        </w:tc>
      </w:tr>
    </w:tbl>
    <w:p w:rsidR="00895A22" w:rsidRDefault="00895A22" w:rsidP="003157C3">
      <w:pPr>
        <w:pStyle w:val="AERbodytext"/>
      </w:pPr>
    </w:p>
    <w:p w:rsidR="007D0446" w:rsidRPr="003157C3" w:rsidRDefault="007D0446" w:rsidP="003157C3">
      <w:pPr>
        <w:pStyle w:val="AERbodytext"/>
      </w:pPr>
      <w:r w:rsidRPr="003157C3">
        <w:rPr>
          <w:lang w:eastAsia="en-AU"/>
        </w:rPr>
        <w:t xml:space="preserve">Conditions at the time saw demand </w:t>
      </w:r>
      <w:r w:rsidR="001706A5" w:rsidRPr="003157C3">
        <w:rPr>
          <w:lang w:eastAsia="en-AU"/>
        </w:rPr>
        <w:t xml:space="preserve">around </w:t>
      </w:r>
      <w:r w:rsidRPr="003157C3">
        <w:rPr>
          <w:lang w:eastAsia="en-AU"/>
        </w:rPr>
        <w:t>32</w:t>
      </w:r>
      <w:r w:rsidR="001706A5" w:rsidRPr="003157C3">
        <w:rPr>
          <w:lang w:eastAsia="en-AU"/>
        </w:rPr>
        <w:t>0</w:t>
      </w:r>
      <w:r w:rsidRPr="003157C3">
        <w:rPr>
          <w:lang w:eastAsia="en-AU"/>
        </w:rPr>
        <w:t> MW above that forecast four hours ahead, while available capacity was close to forecast.</w:t>
      </w:r>
    </w:p>
    <w:p w:rsidR="00697FD0" w:rsidRPr="003157C3" w:rsidRDefault="00697FD0" w:rsidP="003157C3">
      <w:pPr>
        <w:pStyle w:val="AERbodytext"/>
      </w:pPr>
      <w:r w:rsidRPr="003157C3">
        <w:rPr>
          <w:lang w:eastAsia="en-AU"/>
        </w:rPr>
        <w:t xml:space="preserve">A </w:t>
      </w:r>
      <w:r w:rsidR="00B01B28">
        <w:rPr>
          <w:lang w:eastAsia="en-AU"/>
        </w:rPr>
        <w:t xml:space="preserve">system normal </w:t>
      </w:r>
      <w:r w:rsidRPr="003157C3">
        <w:rPr>
          <w:lang w:eastAsia="en-AU"/>
        </w:rPr>
        <w:t>constraint managing post contingent flows on the Snuggery to Keith 132 kV transmission line (in the event of a trip on the South East to Tailem Bend No.1 275 kV line) was binding for most of the day limiting imports across Heywood to around 175 MW</w:t>
      </w:r>
      <w:r w:rsidR="001706A5" w:rsidRPr="003157C3">
        <w:rPr>
          <w:lang w:eastAsia="en-AU"/>
        </w:rPr>
        <w:t>.</w:t>
      </w:r>
      <w:r w:rsidRPr="003157C3">
        <w:rPr>
          <w:lang w:eastAsia="en-AU"/>
        </w:rPr>
        <w:t xml:space="preserve"> </w:t>
      </w:r>
    </w:p>
    <w:p w:rsidR="007D0446" w:rsidRPr="003157C3" w:rsidRDefault="007D0446" w:rsidP="003157C3">
      <w:pPr>
        <w:pStyle w:val="AERbodytext"/>
      </w:pPr>
      <w:r w:rsidRPr="003157C3">
        <w:rPr>
          <w:lang w:eastAsia="en-AU"/>
        </w:rPr>
        <w:t>At 4.52 pm, effective at 5 pm, Origin Energy reduced the availab</w:t>
      </w:r>
      <w:r w:rsidR="00697FD0" w:rsidRPr="003157C3">
        <w:rPr>
          <w:lang w:eastAsia="en-AU"/>
        </w:rPr>
        <w:t>le capacity of</w:t>
      </w:r>
      <w:r w:rsidRPr="003157C3">
        <w:rPr>
          <w:lang w:eastAsia="en-AU"/>
        </w:rPr>
        <w:t xml:space="preserve"> Quarantine unit 3 </w:t>
      </w:r>
      <w:r w:rsidR="00DF5F1D" w:rsidRPr="003157C3">
        <w:rPr>
          <w:lang w:eastAsia="en-AU"/>
        </w:rPr>
        <w:t xml:space="preserve">from 25 MW </w:t>
      </w:r>
      <w:r w:rsidRPr="003157C3">
        <w:rPr>
          <w:lang w:eastAsia="en-AU"/>
        </w:rPr>
        <w:t xml:space="preserve">to zero </w:t>
      </w:r>
      <w:r w:rsidR="00697FD0" w:rsidRPr="003157C3">
        <w:rPr>
          <w:lang w:eastAsia="en-AU"/>
        </w:rPr>
        <w:t xml:space="preserve">(all priced below zero) </w:t>
      </w:r>
      <w:r w:rsidRPr="003157C3">
        <w:rPr>
          <w:lang w:eastAsia="en-AU"/>
        </w:rPr>
        <w:t xml:space="preserve">after failing </w:t>
      </w:r>
      <w:r w:rsidR="00697FD0" w:rsidRPr="003157C3">
        <w:rPr>
          <w:lang w:eastAsia="en-AU"/>
        </w:rPr>
        <w:t>to start</w:t>
      </w:r>
      <w:r w:rsidRPr="003157C3">
        <w:rPr>
          <w:lang w:eastAsia="en-AU"/>
        </w:rPr>
        <w:t xml:space="preserve">. The reason given was “1650P change in avail – unit trip on </w:t>
      </w:r>
      <w:proofErr w:type="spellStart"/>
      <w:r w:rsidRPr="003157C3">
        <w:rPr>
          <w:lang w:eastAsia="en-AU"/>
        </w:rPr>
        <w:t>start up</w:t>
      </w:r>
      <w:proofErr w:type="spellEnd"/>
      <w:r w:rsidRPr="003157C3">
        <w:rPr>
          <w:lang w:eastAsia="en-AU"/>
        </w:rPr>
        <w:t xml:space="preserve"> et0.5 </w:t>
      </w:r>
      <w:proofErr w:type="spellStart"/>
      <w:proofErr w:type="gramStart"/>
      <w:r w:rsidRPr="003157C3">
        <w:rPr>
          <w:lang w:eastAsia="en-AU"/>
        </w:rPr>
        <w:t>sl</w:t>
      </w:r>
      <w:proofErr w:type="spellEnd"/>
      <w:proofErr w:type="gramEnd"/>
      <w:r w:rsidRPr="003157C3">
        <w:rPr>
          <w:lang w:eastAsia="en-AU"/>
        </w:rPr>
        <w:t>”.</w:t>
      </w:r>
    </w:p>
    <w:p w:rsidR="00697FD0" w:rsidRPr="003157C3" w:rsidRDefault="00697FD0" w:rsidP="003157C3">
      <w:pPr>
        <w:pStyle w:val="AERbodytext"/>
      </w:pPr>
      <w:r w:rsidRPr="003157C3">
        <w:rPr>
          <w:lang w:eastAsia="en-AU"/>
        </w:rPr>
        <w:t xml:space="preserve">At 5 pm there was a </w:t>
      </w:r>
      <w:r w:rsidR="007D0446" w:rsidRPr="003157C3">
        <w:rPr>
          <w:lang w:eastAsia="en-AU"/>
        </w:rPr>
        <w:t>demand increase</w:t>
      </w:r>
      <w:r w:rsidRPr="003157C3">
        <w:rPr>
          <w:lang w:eastAsia="en-AU"/>
        </w:rPr>
        <w:t xml:space="preserve"> of</w:t>
      </w:r>
      <w:r w:rsidR="007D0446" w:rsidRPr="003157C3">
        <w:rPr>
          <w:lang w:eastAsia="en-AU"/>
        </w:rPr>
        <w:t xml:space="preserve"> around 40 MW </w:t>
      </w:r>
      <w:r w:rsidRPr="003157C3">
        <w:rPr>
          <w:lang w:eastAsia="en-AU"/>
        </w:rPr>
        <w:t xml:space="preserve">and a </w:t>
      </w:r>
      <w:r w:rsidR="00DF5F1D" w:rsidRPr="003157C3">
        <w:rPr>
          <w:lang w:eastAsia="en-AU"/>
        </w:rPr>
        <w:t xml:space="preserve">reduction </w:t>
      </w:r>
      <w:r w:rsidRPr="003157C3">
        <w:rPr>
          <w:lang w:eastAsia="en-AU"/>
        </w:rPr>
        <w:t>in wind generation in the mid north of South Australia</w:t>
      </w:r>
      <w:r w:rsidR="00DF5F1D" w:rsidRPr="003157C3">
        <w:rPr>
          <w:lang w:eastAsia="en-AU"/>
        </w:rPr>
        <w:t xml:space="preserve"> of around 140 MW</w:t>
      </w:r>
      <w:r w:rsidRPr="003157C3">
        <w:rPr>
          <w:lang w:eastAsia="en-AU"/>
        </w:rPr>
        <w:t xml:space="preserve">. This step </w:t>
      </w:r>
      <w:r w:rsidR="00553D7F">
        <w:rPr>
          <w:lang w:eastAsia="en-AU"/>
        </w:rPr>
        <w:t xml:space="preserve">increase </w:t>
      </w:r>
      <w:r w:rsidRPr="003157C3">
        <w:rPr>
          <w:lang w:eastAsia="en-AU"/>
        </w:rPr>
        <w:t>in generation could not be met by South Australian generators as they were either ramp rate limited, trapped in FCAS or offline</w:t>
      </w:r>
      <w:r w:rsidR="00FE0B79" w:rsidRPr="003157C3">
        <w:rPr>
          <w:lang w:eastAsia="en-AU"/>
        </w:rPr>
        <w:t>,</w:t>
      </w:r>
      <w:r w:rsidR="00534E6C" w:rsidRPr="003157C3">
        <w:rPr>
          <w:lang w:eastAsia="en-AU"/>
        </w:rPr>
        <w:t xml:space="preserve"> resulting in the Heywood interconnector increasing imports (274 MW) to above its limit (217 MW) to meet South Australian demand. As a result the above constraint violated and the 5 minute price increased to $2376/MWh at 5 pm.</w:t>
      </w:r>
    </w:p>
    <w:p w:rsidR="007D0446" w:rsidRPr="003157C3" w:rsidRDefault="007D0446" w:rsidP="003157C3">
      <w:pPr>
        <w:pStyle w:val="AERbodytext"/>
      </w:pPr>
      <w:r w:rsidRPr="003157C3">
        <w:rPr>
          <w:lang w:eastAsia="en-AU"/>
        </w:rPr>
        <w:t xml:space="preserve">The following </w:t>
      </w:r>
      <w:r w:rsidR="00534E6C" w:rsidRPr="003157C3">
        <w:rPr>
          <w:lang w:eastAsia="en-AU"/>
        </w:rPr>
        <w:t xml:space="preserve">two </w:t>
      </w:r>
      <w:r w:rsidRPr="003157C3">
        <w:rPr>
          <w:lang w:eastAsia="en-AU"/>
        </w:rPr>
        <w:t>dispatch intervals saw an apparent demand side response of close to 200 </w:t>
      </w:r>
      <w:r w:rsidR="00B70CCE">
        <w:rPr>
          <w:lang w:eastAsia="en-AU"/>
        </w:rPr>
        <w:t>MW (some of which was non-scheduled generation)</w:t>
      </w:r>
      <w:r w:rsidRPr="003157C3">
        <w:rPr>
          <w:lang w:eastAsia="en-AU"/>
        </w:rPr>
        <w:t xml:space="preserve"> </w:t>
      </w:r>
      <w:r w:rsidR="00534E6C" w:rsidRPr="003157C3">
        <w:rPr>
          <w:lang w:eastAsia="en-AU"/>
        </w:rPr>
        <w:t>and</w:t>
      </w:r>
      <w:r w:rsidRPr="003157C3">
        <w:rPr>
          <w:lang w:eastAsia="en-AU"/>
        </w:rPr>
        <w:t xml:space="preserve"> price</w:t>
      </w:r>
      <w:r w:rsidR="00534E6C" w:rsidRPr="003157C3">
        <w:rPr>
          <w:lang w:eastAsia="en-AU"/>
        </w:rPr>
        <w:t>s</w:t>
      </w:r>
      <w:r w:rsidRPr="003157C3">
        <w:rPr>
          <w:lang w:eastAsia="en-AU"/>
        </w:rPr>
        <w:t xml:space="preserve"> return</w:t>
      </w:r>
      <w:r w:rsidR="00534E6C" w:rsidRPr="003157C3">
        <w:rPr>
          <w:lang w:eastAsia="en-AU"/>
        </w:rPr>
        <w:t>ed</w:t>
      </w:r>
      <w:r w:rsidRPr="003157C3">
        <w:rPr>
          <w:lang w:eastAsia="en-AU"/>
        </w:rPr>
        <w:t xml:space="preserve"> to </w:t>
      </w:r>
      <w:r w:rsidR="00534E6C" w:rsidRPr="003157C3">
        <w:rPr>
          <w:lang w:eastAsia="en-AU"/>
        </w:rPr>
        <w:t xml:space="preserve">previous </w:t>
      </w:r>
      <w:r w:rsidRPr="003157C3">
        <w:rPr>
          <w:lang w:eastAsia="en-AU"/>
        </w:rPr>
        <w:t>levels.</w:t>
      </w:r>
    </w:p>
    <w:p w:rsidR="00E93241" w:rsidRPr="003157C3" w:rsidRDefault="007D0446" w:rsidP="003157C3">
      <w:pPr>
        <w:pStyle w:val="AERbodytext"/>
      </w:pPr>
      <w:r w:rsidRPr="003157C3">
        <w:rPr>
          <w:lang w:eastAsia="en-AU"/>
        </w:rPr>
        <w:t>There was no other significant rebidding.</w:t>
      </w:r>
    </w:p>
    <w:p w:rsidR="00E93241" w:rsidRPr="00470218" w:rsidRDefault="00E93241" w:rsidP="00E93241">
      <w:pPr>
        <w:pStyle w:val="AERtabletitle"/>
      </w:pPr>
      <w:r w:rsidRPr="00470218">
        <w:t xml:space="preserve">Table </w:t>
      </w:r>
      <w:r>
        <w:t>5</w:t>
      </w:r>
      <w:r w:rsidRPr="00470218">
        <w:t xml:space="preserve">: </w:t>
      </w:r>
      <w:r>
        <w:t>Tasmania</w:t>
      </w:r>
      <w:r w:rsidRPr="00470218">
        <w:t xml:space="preserve">, </w:t>
      </w:r>
      <w:r>
        <w:t>Tuesday</w:t>
      </w:r>
      <w:r w:rsidRPr="00470218">
        <w:t> </w:t>
      </w:r>
      <w:r>
        <w:t>13 August</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E93241" w:rsidRPr="00095C39" w:rsidTr="00DB269F">
        <w:tc>
          <w:tcPr>
            <w:tcW w:w="2802" w:type="dxa"/>
            <w:shd w:val="clear" w:color="auto" w:fill="4A442A"/>
            <w:noWrap/>
            <w:vAlign w:val="bottom"/>
          </w:tcPr>
          <w:p w:rsidR="00E93241" w:rsidRPr="00186747" w:rsidRDefault="004B560C" w:rsidP="004B560C">
            <w:pPr>
              <w:autoSpaceDE w:val="0"/>
              <w:autoSpaceDN w:val="0"/>
              <w:adjustRightInd w:val="0"/>
              <w:spacing w:before="100" w:after="100"/>
              <w:rPr>
                <w:color w:val="FFFFFF"/>
                <w:sz w:val="18"/>
                <w:szCs w:val="18"/>
              </w:rPr>
            </w:pPr>
            <w:r>
              <w:rPr>
                <w:b/>
                <w:bCs/>
                <w:color w:val="FFFFFF"/>
                <w:sz w:val="18"/>
                <w:szCs w:val="18"/>
              </w:rPr>
              <w:t>11</w:t>
            </w:r>
            <w:r w:rsidR="00E93241">
              <w:rPr>
                <w:b/>
                <w:bCs/>
                <w:color w:val="FFFFFF"/>
                <w:sz w:val="18"/>
                <w:szCs w:val="18"/>
              </w:rPr>
              <w:t>:30</w:t>
            </w:r>
            <w:r w:rsidR="00E93241" w:rsidRPr="00186747">
              <w:rPr>
                <w:b/>
                <w:bCs/>
                <w:color w:val="FFFFFF"/>
                <w:sz w:val="18"/>
                <w:szCs w:val="18"/>
              </w:rPr>
              <w:t xml:space="preserve"> </w:t>
            </w:r>
            <w:r>
              <w:rPr>
                <w:b/>
                <w:bCs/>
                <w:color w:val="FFFFFF"/>
                <w:sz w:val="18"/>
                <w:szCs w:val="18"/>
              </w:rPr>
              <w:t>P</w:t>
            </w:r>
            <w:r w:rsidR="00E93241" w:rsidRPr="00186747">
              <w:rPr>
                <w:b/>
                <w:bCs/>
                <w:color w:val="FFFFFF"/>
                <w:sz w:val="18"/>
                <w:szCs w:val="18"/>
              </w:rPr>
              <w:t>M</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E93241" w:rsidRPr="00186747" w:rsidRDefault="00E93241" w:rsidP="00DB269F">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E93241" w:rsidRPr="00095C39" w:rsidTr="00E93241">
        <w:tc>
          <w:tcPr>
            <w:tcW w:w="2802" w:type="dxa"/>
            <w:shd w:val="clear" w:color="auto" w:fill="DDD9C3"/>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854.16</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26.59</w:t>
            </w:r>
          </w:p>
        </w:tc>
        <w:tc>
          <w:tcPr>
            <w:tcW w:w="2090" w:type="dxa"/>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34.28</w:t>
            </w:r>
          </w:p>
        </w:tc>
      </w:tr>
      <w:tr w:rsidR="00E93241" w:rsidRPr="00095C39" w:rsidTr="00E93241">
        <w:tc>
          <w:tcPr>
            <w:tcW w:w="2802" w:type="dxa"/>
            <w:tcBorders>
              <w:bottom w:val="nil"/>
            </w:tcBorders>
            <w:shd w:val="clear" w:color="auto" w:fill="EEECE1"/>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1036</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1091</w:t>
            </w:r>
          </w:p>
        </w:tc>
        <w:tc>
          <w:tcPr>
            <w:tcW w:w="2090" w:type="dxa"/>
            <w:tcBorders>
              <w:bottom w:val="nil"/>
            </w:tcBorders>
            <w:shd w:val="clear" w:color="auto" w:fill="EEECE1"/>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1069</w:t>
            </w:r>
          </w:p>
        </w:tc>
      </w:tr>
      <w:tr w:rsidR="00E93241" w:rsidRPr="00095C39" w:rsidTr="00E93241">
        <w:tc>
          <w:tcPr>
            <w:tcW w:w="2802" w:type="dxa"/>
            <w:tcBorders>
              <w:top w:val="nil"/>
              <w:bottom w:val="single" w:sz="4" w:space="0" w:color="auto"/>
            </w:tcBorders>
            <w:shd w:val="clear" w:color="auto" w:fill="DDD9C3"/>
            <w:noWrap/>
            <w:vAlign w:val="bottom"/>
          </w:tcPr>
          <w:p w:rsidR="00E93241" w:rsidRPr="00470218" w:rsidRDefault="00E93241" w:rsidP="00DB269F">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2171</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2302</w:t>
            </w:r>
          </w:p>
        </w:tc>
        <w:tc>
          <w:tcPr>
            <w:tcW w:w="2090" w:type="dxa"/>
            <w:tcBorders>
              <w:top w:val="nil"/>
              <w:bottom w:val="single" w:sz="4" w:space="0" w:color="auto"/>
            </w:tcBorders>
            <w:shd w:val="clear" w:color="auto" w:fill="DDD9C3"/>
            <w:noWrap/>
            <w:vAlign w:val="center"/>
          </w:tcPr>
          <w:p w:rsidR="00E93241" w:rsidRPr="00E93241" w:rsidRDefault="00E93241" w:rsidP="00E93241">
            <w:pPr>
              <w:jc w:val="center"/>
              <w:rPr>
                <w:rFonts w:ascii="Arial" w:hAnsi="Arial" w:cs="Arial"/>
                <w:sz w:val="16"/>
                <w:szCs w:val="16"/>
              </w:rPr>
            </w:pPr>
            <w:r w:rsidRPr="00E93241">
              <w:rPr>
                <w:rFonts w:ascii="Arial" w:hAnsi="Arial" w:cs="Arial"/>
                <w:sz w:val="16"/>
                <w:szCs w:val="16"/>
              </w:rPr>
              <w:t>2306</w:t>
            </w:r>
          </w:p>
        </w:tc>
      </w:tr>
    </w:tbl>
    <w:p w:rsidR="00895A22" w:rsidRDefault="00895A22" w:rsidP="008F3722">
      <w:pPr>
        <w:pStyle w:val="AERbodytext"/>
        <w:rPr>
          <w:lang w:eastAsia="en-AU"/>
        </w:rPr>
      </w:pPr>
    </w:p>
    <w:p w:rsidR="001B2B45" w:rsidRPr="003157C3" w:rsidRDefault="001B2B45" w:rsidP="003157C3">
      <w:pPr>
        <w:pStyle w:val="AERbodytext"/>
      </w:pPr>
      <w:r w:rsidRPr="003157C3">
        <w:rPr>
          <w:lang w:eastAsia="en-AU"/>
        </w:rPr>
        <w:t>Conditions at the time saw demand close to that forecast, while available capacity was around 130 MW below that forecast ahead of dispatch.</w:t>
      </w:r>
    </w:p>
    <w:p w:rsidR="00437BD8" w:rsidRPr="003157C3" w:rsidRDefault="00895A22" w:rsidP="003157C3">
      <w:pPr>
        <w:pStyle w:val="AERbodytext"/>
      </w:pPr>
      <w:r w:rsidRPr="003157C3">
        <w:rPr>
          <w:lang w:eastAsia="en-AU"/>
        </w:rPr>
        <w:t xml:space="preserve">There were lightning storms in Tasmania throughout the evening. </w:t>
      </w:r>
      <w:r w:rsidR="000C17CF" w:rsidRPr="003157C3">
        <w:rPr>
          <w:lang w:eastAsia="en-AU"/>
        </w:rPr>
        <w:t xml:space="preserve">At 11.05 pm </w:t>
      </w:r>
      <w:r w:rsidR="001B2B45" w:rsidRPr="003157C3">
        <w:rPr>
          <w:lang w:eastAsia="en-AU"/>
        </w:rPr>
        <w:t>AEMO</w:t>
      </w:r>
      <w:r w:rsidR="000C17CF" w:rsidRPr="003157C3">
        <w:rPr>
          <w:lang w:eastAsia="en-AU"/>
        </w:rPr>
        <w:t xml:space="preserve"> declared the </w:t>
      </w:r>
      <w:r w:rsidR="00685025">
        <w:rPr>
          <w:lang w:eastAsia="en-AU"/>
        </w:rPr>
        <w:t xml:space="preserve">simultaneous </w:t>
      </w:r>
      <w:r w:rsidR="000C17CF" w:rsidRPr="003157C3">
        <w:rPr>
          <w:lang w:eastAsia="en-AU"/>
        </w:rPr>
        <w:t>loss of the Sheffield to Georgetown 220</w:t>
      </w:r>
      <w:r w:rsidR="00113510" w:rsidRPr="003157C3">
        <w:rPr>
          <w:lang w:eastAsia="en-AU"/>
        </w:rPr>
        <w:t> kV</w:t>
      </w:r>
      <w:r w:rsidR="000C17CF" w:rsidRPr="003157C3">
        <w:rPr>
          <w:lang w:eastAsia="en-AU"/>
        </w:rPr>
        <w:t xml:space="preserve"> line</w:t>
      </w:r>
      <w:r w:rsidR="007656D7">
        <w:rPr>
          <w:lang w:eastAsia="en-AU"/>
        </w:rPr>
        <w:t>s</w:t>
      </w:r>
      <w:r w:rsidR="000C17CF" w:rsidRPr="003157C3">
        <w:rPr>
          <w:lang w:eastAsia="en-AU"/>
        </w:rPr>
        <w:t xml:space="preserve"> and the George Town to Hadspen 220</w:t>
      </w:r>
      <w:r w:rsidR="00113510" w:rsidRPr="003157C3">
        <w:rPr>
          <w:lang w:eastAsia="en-AU"/>
        </w:rPr>
        <w:t> </w:t>
      </w:r>
      <w:r w:rsidR="000C17CF" w:rsidRPr="003157C3">
        <w:rPr>
          <w:lang w:eastAsia="en-AU"/>
        </w:rPr>
        <w:t xml:space="preserve">kV </w:t>
      </w:r>
      <w:r w:rsidR="00685025">
        <w:rPr>
          <w:lang w:eastAsia="en-AU"/>
        </w:rPr>
        <w:t>line</w:t>
      </w:r>
      <w:r w:rsidR="007656D7">
        <w:rPr>
          <w:lang w:eastAsia="en-AU"/>
        </w:rPr>
        <w:t>s</w:t>
      </w:r>
      <w:r w:rsidR="00685025">
        <w:rPr>
          <w:lang w:eastAsia="en-AU"/>
        </w:rPr>
        <w:t xml:space="preserve"> </w:t>
      </w:r>
      <w:r w:rsidR="000C17CF" w:rsidRPr="003157C3">
        <w:rPr>
          <w:lang w:eastAsia="en-AU"/>
        </w:rPr>
        <w:t xml:space="preserve">as a </w:t>
      </w:r>
      <w:r w:rsidR="001B2B45" w:rsidRPr="003157C3">
        <w:rPr>
          <w:lang w:eastAsia="en-AU"/>
        </w:rPr>
        <w:t>credible contingency</w:t>
      </w:r>
      <w:r w:rsidRPr="003157C3">
        <w:rPr>
          <w:lang w:eastAsia="en-AU"/>
        </w:rPr>
        <w:t xml:space="preserve"> </w:t>
      </w:r>
      <w:r w:rsidR="00437BD8" w:rsidRPr="003157C3">
        <w:rPr>
          <w:lang w:eastAsia="en-AU"/>
        </w:rPr>
        <w:t>and invoked constraints</w:t>
      </w:r>
      <w:r w:rsidRPr="003157C3">
        <w:rPr>
          <w:lang w:eastAsia="en-AU"/>
        </w:rPr>
        <w:t xml:space="preserve"> accordingly</w:t>
      </w:r>
      <w:r w:rsidR="000C17CF" w:rsidRPr="003157C3">
        <w:rPr>
          <w:lang w:eastAsia="en-AU"/>
        </w:rPr>
        <w:t>.</w:t>
      </w:r>
      <w:r w:rsidR="001B2B45" w:rsidRPr="003157C3">
        <w:rPr>
          <w:lang w:eastAsia="en-AU"/>
        </w:rPr>
        <w:t xml:space="preserve"> </w:t>
      </w:r>
      <w:r w:rsidRPr="003157C3">
        <w:rPr>
          <w:lang w:eastAsia="en-AU"/>
        </w:rPr>
        <w:t>T</w:t>
      </w:r>
      <w:r w:rsidR="00437BD8" w:rsidRPr="003157C3">
        <w:rPr>
          <w:lang w:eastAsia="en-AU"/>
        </w:rPr>
        <w:t>h</w:t>
      </w:r>
      <w:r w:rsidR="00925BD5" w:rsidRPr="003157C3">
        <w:rPr>
          <w:lang w:eastAsia="en-AU"/>
        </w:rPr>
        <w:t>e</w:t>
      </w:r>
      <w:r w:rsidR="00437BD8" w:rsidRPr="003157C3">
        <w:rPr>
          <w:lang w:eastAsia="en-AU"/>
        </w:rPr>
        <w:t xml:space="preserve"> constraint</w:t>
      </w:r>
      <w:r w:rsidR="00925BD5" w:rsidRPr="003157C3">
        <w:rPr>
          <w:lang w:eastAsia="en-AU"/>
        </w:rPr>
        <w:t>s</w:t>
      </w:r>
      <w:r w:rsidR="00437BD8" w:rsidRPr="003157C3">
        <w:rPr>
          <w:lang w:eastAsia="en-AU"/>
        </w:rPr>
        <w:t xml:space="preserve"> </w:t>
      </w:r>
      <w:r w:rsidRPr="003157C3">
        <w:rPr>
          <w:lang w:eastAsia="en-AU"/>
        </w:rPr>
        <w:t xml:space="preserve">invoked </w:t>
      </w:r>
      <w:r w:rsidR="00437BD8" w:rsidRPr="003157C3">
        <w:rPr>
          <w:lang w:eastAsia="en-AU"/>
        </w:rPr>
        <w:t>affect all generation in Tasmania</w:t>
      </w:r>
      <w:r w:rsidRPr="003157C3">
        <w:rPr>
          <w:lang w:eastAsia="en-AU"/>
        </w:rPr>
        <w:t xml:space="preserve">, with the exception of all generation </w:t>
      </w:r>
      <w:r w:rsidR="00437BD8" w:rsidRPr="003157C3">
        <w:rPr>
          <w:lang w:eastAsia="en-AU"/>
        </w:rPr>
        <w:t>Tamar Valley (which was offline</w:t>
      </w:r>
      <w:r w:rsidRPr="003157C3">
        <w:rPr>
          <w:lang w:eastAsia="en-AU"/>
        </w:rPr>
        <w:t xml:space="preserve"> a</w:t>
      </w:r>
      <w:r w:rsidR="00CA27F2">
        <w:rPr>
          <w:lang w:eastAsia="en-AU"/>
        </w:rPr>
        <w:t>t</w:t>
      </w:r>
      <w:r w:rsidRPr="003157C3">
        <w:rPr>
          <w:lang w:eastAsia="en-AU"/>
        </w:rPr>
        <w:t xml:space="preserve"> the time</w:t>
      </w:r>
      <w:r w:rsidR="00437BD8" w:rsidRPr="003157C3">
        <w:rPr>
          <w:lang w:eastAsia="en-AU"/>
        </w:rPr>
        <w:t>).</w:t>
      </w:r>
    </w:p>
    <w:p w:rsidR="008166FF" w:rsidRPr="003157C3" w:rsidRDefault="008166FF" w:rsidP="003157C3">
      <w:pPr>
        <w:pStyle w:val="AERbodytext"/>
      </w:pPr>
      <w:r w:rsidRPr="003157C3">
        <w:rPr>
          <w:lang w:eastAsia="en-AU"/>
        </w:rPr>
        <w:t>Between 11</w:t>
      </w:r>
      <w:r w:rsidR="00EB4959">
        <w:rPr>
          <w:lang w:eastAsia="en-AU"/>
        </w:rPr>
        <w:t> </w:t>
      </w:r>
      <w:r w:rsidRPr="003157C3">
        <w:rPr>
          <w:lang w:eastAsia="en-AU"/>
        </w:rPr>
        <w:t>pm and 11.10</w:t>
      </w:r>
      <w:r w:rsidR="00895A22" w:rsidRPr="003157C3">
        <w:rPr>
          <w:lang w:eastAsia="en-AU"/>
        </w:rPr>
        <w:t> </w:t>
      </w:r>
      <w:r w:rsidRPr="003157C3">
        <w:rPr>
          <w:lang w:eastAsia="en-AU"/>
        </w:rPr>
        <w:t>pm the constraint</w:t>
      </w:r>
      <w:r w:rsidR="00AE5DDE" w:rsidRPr="003157C3">
        <w:rPr>
          <w:lang w:eastAsia="en-AU"/>
        </w:rPr>
        <w:t>s</w:t>
      </w:r>
      <w:r w:rsidRPr="003157C3">
        <w:rPr>
          <w:lang w:eastAsia="en-AU"/>
        </w:rPr>
        <w:t xml:space="preserve"> </w:t>
      </w:r>
      <w:r w:rsidR="00AB6685" w:rsidRPr="003157C3">
        <w:rPr>
          <w:lang w:eastAsia="en-AU"/>
        </w:rPr>
        <w:t xml:space="preserve">managing the Sheffield to Georgetown lines </w:t>
      </w:r>
      <w:r w:rsidRPr="003157C3">
        <w:rPr>
          <w:lang w:eastAsia="en-AU"/>
        </w:rPr>
        <w:t>reduced Tasmanian generation by around 3</w:t>
      </w:r>
      <w:r w:rsidR="00925BD5" w:rsidRPr="003157C3">
        <w:rPr>
          <w:lang w:eastAsia="en-AU"/>
        </w:rPr>
        <w:t>40</w:t>
      </w:r>
      <w:r w:rsidRPr="003157C3">
        <w:rPr>
          <w:lang w:eastAsia="en-AU"/>
        </w:rPr>
        <w:t xml:space="preserve"> MW but the changes were insufficient to meet the constraint requirements, </w:t>
      </w:r>
      <w:r w:rsidR="00B077BA" w:rsidRPr="003157C3">
        <w:rPr>
          <w:lang w:eastAsia="en-AU"/>
        </w:rPr>
        <w:t>causing</w:t>
      </w:r>
      <w:r w:rsidRPr="003157C3">
        <w:rPr>
          <w:lang w:eastAsia="en-AU"/>
        </w:rPr>
        <w:t xml:space="preserve"> the constraint </w:t>
      </w:r>
      <w:r w:rsidR="00925BD5" w:rsidRPr="003157C3">
        <w:rPr>
          <w:lang w:eastAsia="en-AU"/>
        </w:rPr>
        <w:t xml:space="preserve">to </w:t>
      </w:r>
      <w:r w:rsidRPr="003157C3">
        <w:rPr>
          <w:lang w:eastAsia="en-AU"/>
        </w:rPr>
        <w:t>violat</w:t>
      </w:r>
      <w:r w:rsidR="00925BD5" w:rsidRPr="003157C3">
        <w:rPr>
          <w:lang w:eastAsia="en-AU"/>
        </w:rPr>
        <w:t>e</w:t>
      </w:r>
      <w:r w:rsidRPr="003157C3">
        <w:rPr>
          <w:lang w:eastAsia="en-AU"/>
        </w:rPr>
        <w:t xml:space="preserve"> for </w:t>
      </w:r>
      <w:r w:rsidR="00096A6C">
        <w:rPr>
          <w:lang w:eastAsia="en-AU"/>
        </w:rPr>
        <w:t>the 11.</w:t>
      </w:r>
      <w:r w:rsidR="00096A6C" w:rsidRPr="008F3722">
        <w:t>05</w:t>
      </w:r>
      <w:r w:rsidR="00096A6C">
        <w:t xml:space="preserve"> pm and 11.10 pm </w:t>
      </w:r>
      <w:r w:rsidRPr="003157C3">
        <w:rPr>
          <w:lang w:eastAsia="en-AU"/>
        </w:rPr>
        <w:t xml:space="preserve">dispatch intervals </w:t>
      </w:r>
      <w:r w:rsidR="0036179C" w:rsidRPr="003157C3">
        <w:rPr>
          <w:lang w:eastAsia="en-AU"/>
        </w:rPr>
        <w:t>and the constraint managing the Georgetown to Hadspen lines to violate from 11.05 pm to</w:t>
      </w:r>
      <w:r w:rsidR="00B077BA" w:rsidRPr="003157C3">
        <w:rPr>
          <w:lang w:eastAsia="en-AU"/>
        </w:rPr>
        <w:t xml:space="preserve"> </w:t>
      </w:r>
      <w:r w:rsidR="0036179C" w:rsidRPr="003157C3">
        <w:rPr>
          <w:lang w:eastAsia="en-AU"/>
        </w:rPr>
        <w:t>11.20 pm</w:t>
      </w:r>
      <w:r w:rsidRPr="003157C3">
        <w:rPr>
          <w:lang w:eastAsia="en-AU"/>
        </w:rPr>
        <w:t xml:space="preserve">. The reduction in generation led to flows on </w:t>
      </w:r>
      <w:proofErr w:type="spellStart"/>
      <w:r w:rsidRPr="003157C3">
        <w:rPr>
          <w:lang w:eastAsia="en-AU"/>
        </w:rPr>
        <w:t>Basslink</w:t>
      </w:r>
      <w:proofErr w:type="spellEnd"/>
      <w:r w:rsidRPr="003157C3">
        <w:rPr>
          <w:lang w:eastAsia="en-AU"/>
        </w:rPr>
        <w:t xml:space="preserve"> changing from exports to Victoria to imports into Tasmania, crossing the no go-zone at </w:t>
      </w:r>
      <w:r w:rsidR="0036179C" w:rsidRPr="003157C3">
        <w:rPr>
          <w:lang w:eastAsia="en-AU"/>
        </w:rPr>
        <w:t>11.10</w:t>
      </w:r>
      <w:r w:rsidR="00EB4959">
        <w:rPr>
          <w:lang w:eastAsia="en-AU"/>
        </w:rPr>
        <w:t> </w:t>
      </w:r>
      <w:r w:rsidRPr="003157C3">
        <w:rPr>
          <w:lang w:eastAsia="en-AU"/>
        </w:rPr>
        <w:t xml:space="preserve">pm. As a result the 5 minute price </w:t>
      </w:r>
      <w:r w:rsidR="0036179C" w:rsidRPr="003157C3">
        <w:rPr>
          <w:lang w:eastAsia="en-AU"/>
        </w:rPr>
        <w:t>was above</w:t>
      </w:r>
      <w:r w:rsidRPr="003157C3">
        <w:rPr>
          <w:lang w:eastAsia="en-AU"/>
        </w:rPr>
        <w:t xml:space="preserve"> $</w:t>
      </w:r>
      <w:r w:rsidR="0036179C" w:rsidRPr="003157C3">
        <w:rPr>
          <w:lang w:eastAsia="en-AU"/>
        </w:rPr>
        <w:t>360</w:t>
      </w:r>
      <w:r w:rsidRPr="003157C3">
        <w:rPr>
          <w:lang w:eastAsia="en-AU"/>
        </w:rPr>
        <w:t xml:space="preserve">/MWh </w:t>
      </w:r>
      <w:r w:rsidR="0036179C" w:rsidRPr="003157C3">
        <w:rPr>
          <w:lang w:eastAsia="en-AU"/>
        </w:rPr>
        <w:t xml:space="preserve">from 11.05 pm to 11.20 pm with </w:t>
      </w:r>
      <w:r w:rsidR="00096A6C">
        <w:rPr>
          <w:lang w:eastAsia="en-AU"/>
        </w:rPr>
        <w:t>the</w:t>
      </w:r>
      <w:r w:rsidR="0036179C" w:rsidRPr="003157C3">
        <w:rPr>
          <w:lang w:eastAsia="en-AU"/>
        </w:rPr>
        <w:t xml:space="preserve"> maximum </w:t>
      </w:r>
      <w:r w:rsidR="00096A6C">
        <w:rPr>
          <w:lang w:eastAsia="en-AU"/>
        </w:rPr>
        <w:t>reaching</w:t>
      </w:r>
      <w:r w:rsidR="0036179C" w:rsidRPr="003157C3">
        <w:rPr>
          <w:lang w:eastAsia="en-AU"/>
        </w:rPr>
        <w:t xml:space="preserve"> $3737/MWh at 11.10 pm</w:t>
      </w:r>
      <w:r w:rsidRPr="003157C3">
        <w:rPr>
          <w:lang w:eastAsia="en-AU"/>
        </w:rPr>
        <w:t>.</w:t>
      </w:r>
    </w:p>
    <w:p w:rsidR="008166FF" w:rsidRPr="003157C3" w:rsidRDefault="008166FF" w:rsidP="003157C3">
      <w:pPr>
        <w:pStyle w:val="AERbodytext"/>
      </w:pPr>
      <w:r w:rsidRPr="003157C3">
        <w:rPr>
          <w:lang w:eastAsia="en-AU"/>
        </w:rPr>
        <w:t xml:space="preserve">Prices returned to previous levels at </w:t>
      </w:r>
      <w:r w:rsidR="0036179C" w:rsidRPr="003157C3">
        <w:rPr>
          <w:lang w:eastAsia="en-AU"/>
        </w:rPr>
        <w:t>11</w:t>
      </w:r>
      <w:r w:rsidRPr="003157C3">
        <w:rPr>
          <w:lang w:eastAsia="en-AU"/>
        </w:rPr>
        <w:t>.</w:t>
      </w:r>
      <w:r w:rsidR="0036179C" w:rsidRPr="003157C3">
        <w:rPr>
          <w:lang w:eastAsia="en-AU"/>
        </w:rPr>
        <w:t>2</w:t>
      </w:r>
      <w:r w:rsidRPr="003157C3">
        <w:rPr>
          <w:lang w:eastAsia="en-AU"/>
        </w:rPr>
        <w:t>5</w:t>
      </w:r>
      <w:r w:rsidR="00EB4959">
        <w:rPr>
          <w:lang w:eastAsia="en-AU"/>
        </w:rPr>
        <w:t> </w:t>
      </w:r>
      <w:r w:rsidR="0036179C" w:rsidRPr="003157C3">
        <w:rPr>
          <w:lang w:eastAsia="en-AU"/>
        </w:rPr>
        <w:t>p</w:t>
      </w:r>
      <w:r w:rsidRPr="003157C3">
        <w:rPr>
          <w:lang w:eastAsia="en-AU"/>
        </w:rPr>
        <w:t xml:space="preserve">m when </w:t>
      </w:r>
      <w:proofErr w:type="spellStart"/>
      <w:r w:rsidRPr="003157C3">
        <w:rPr>
          <w:lang w:eastAsia="en-AU"/>
        </w:rPr>
        <w:t>Basslink</w:t>
      </w:r>
      <w:proofErr w:type="spellEnd"/>
      <w:r w:rsidRPr="003157C3">
        <w:rPr>
          <w:lang w:eastAsia="en-AU"/>
        </w:rPr>
        <w:t xml:space="preserve"> was able to import into Tasmania</w:t>
      </w:r>
      <w:r w:rsidR="0036179C" w:rsidRPr="003157C3">
        <w:rPr>
          <w:lang w:eastAsia="en-AU"/>
        </w:rPr>
        <w:t>.</w:t>
      </w:r>
    </w:p>
    <w:p w:rsidR="00E93241" w:rsidRDefault="001B2B45" w:rsidP="003157C3">
      <w:pPr>
        <w:pStyle w:val="AERbodytext"/>
        <w:rPr>
          <w:lang w:eastAsia="en-AU"/>
        </w:rPr>
      </w:pPr>
      <w:r w:rsidRPr="003157C3">
        <w:rPr>
          <w:lang w:eastAsia="en-AU"/>
        </w:rPr>
        <w:t>There was no other significant rebidding.</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Pr="0030575B" w:rsidRDefault="00E96C5A" w:rsidP="00E96C5A">
      <w:pPr>
        <w:pStyle w:val="Figureheading"/>
        <w:numPr>
          <w:ilvl w:val="0"/>
          <w:numId w:val="0"/>
        </w:numPr>
        <w:ind w:left="357" w:hanging="357"/>
      </w:pPr>
      <w:r w:rsidRPr="0030575B">
        <w:t>Figure 8: Quarterly base future prices Q3 2013 – Q2 2017</w:t>
      </w:r>
    </w:p>
    <w:p w:rsidR="00E96C5A" w:rsidRPr="00D70101" w:rsidRDefault="008C18C9" w:rsidP="00170E47">
      <w:pPr>
        <w:pStyle w:val="AERbodytext"/>
        <w:spacing w:after="0"/>
        <w:rPr>
          <w:color w:val="FF0000"/>
        </w:rPr>
      </w:pPr>
      <w:r>
        <w:pict>
          <v:shape id="_x0000_i1034" type="#_x0000_t75" alt="Figure 8 shows for all mainland regions the prices for base contracts (and total traded quantities for the week) for each quarter for the next four financial years." style="width:451.4pt;height:224.75pt">
            <v:imagedata r:id="rId19" o:title=""/>
          </v:shape>
        </w:pict>
      </w:r>
    </w:p>
    <w:p w:rsidR="00E96C5A" w:rsidRPr="008245F0" w:rsidRDefault="00E96C5A" w:rsidP="00170E47">
      <w:pPr>
        <w:pStyle w:val="Sourceandnotes"/>
        <w:ind w:left="0" w:firstLine="0"/>
      </w:pPr>
      <w:r w:rsidRPr="008245F0">
        <w:t xml:space="preserve">Source: </w:t>
      </w:r>
      <w:hyperlink r:id="rId20" w:history="1">
        <w:r w:rsidRPr="00D87E09">
          <w:rPr>
            <w:rStyle w:val="Hyperlink"/>
          </w:rPr>
          <w:t>ASXEnergy.com.au</w:t>
        </w:r>
      </w:hyperlink>
    </w:p>
    <w:p w:rsidR="00E96C5A"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t xml:space="preserve"> </w:t>
      </w:r>
    </w:p>
    <w:p w:rsidR="00E96C5A" w:rsidRPr="003C700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D70101" w:rsidRDefault="008C18C9" w:rsidP="00E96C5A">
      <w:pPr>
        <w:pStyle w:val="AERbodytext"/>
        <w:spacing w:after="120"/>
        <w:rPr>
          <w:color w:val="FF0000"/>
        </w:rPr>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24.75pt">
            <v:imagedata r:id="rId21"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E96C5A">
      <w:pPr>
        <w:pStyle w:val="Sourceandnotes"/>
      </w:pPr>
      <w:r w:rsidRPr="005543BA">
        <w:t xml:space="preserve">Source: </w:t>
      </w:r>
      <w:hyperlink r:id="rId22"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3" w:history="1">
        <w:r w:rsidRPr="00EA160C">
          <w:rPr>
            <w:rStyle w:val="Hyperlink"/>
          </w:rPr>
          <w:t>Performance of the Energy Sector</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E96C5A" w:rsidRPr="003C700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8C18C9" w:rsidP="00170E47">
      <w:pPr>
        <w:pStyle w:val="AERbodytext"/>
        <w:spacing w:after="120"/>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style="width:451.4pt;height:224.75pt">
            <v:imagedata r:id="rId24" o:title=""/>
          </v:shape>
        </w:pict>
      </w:r>
    </w:p>
    <w:p w:rsidR="00E96C5A" w:rsidRPr="00130EA0" w:rsidRDefault="00E96C5A" w:rsidP="00170E47">
      <w:pPr>
        <w:pStyle w:val="Sourceandnotes"/>
        <w:spacing w:after="120"/>
      </w:pPr>
      <w:r w:rsidRPr="005543BA">
        <w:t>Source</w:t>
      </w:r>
      <w:r>
        <w:t xml:space="preserve">: </w:t>
      </w:r>
      <w:hyperlink r:id="rId25"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765707" w:rsidP="003157C3">
      <w:r>
        <w:rPr>
          <w:b/>
        </w:rPr>
        <w:t xml:space="preserve">September </w:t>
      </w:r>
      <w:r w:rsidR="00E96C5A" w:rsidRPr="005F739F">
        <w:rPr>
          <w:b/>
        </w:rPr>
        <w:t>201</w:t>
      </w:r>
      <w:r w:rsidR="00E96C5A">
        <w:rPr>
          <w:b/>
        </w:rPr>
        <w:t>3</w:t>
      </w:r>
    </w:p>
    <w:sectPr w:rsidR="00E96C5A" w:rsidSect="00C71AAC">
      <w:footerReference w:type="default" r:id="rId26"/>
      <w:footerReference w:type="first" r:id="rId27"/>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09C" w:rsidRDefault="0005109C" w:rsidP="00BB640B">
      <w:r>
        <w:separator/>
      </w:r>
    </w:p>
    <w:p w:rsidR="0005109C" w:rsidRDefault="0005109C"/>
    <w:p w:rsidR="0005109C" w:rsidRDefault="0005109C"/>
  </w:endnote>
  <w:endnote w:type="continuationSeparator" w:id="0">
    <w:p w:rsidR="0005109C" w:rsidRDefault="0005109C" w:rsidP="00BB640B">
      <w:r>
        <w:continuationSeparator/>
      </w:r>
    </w:p>
    <w:p w:rsidR="0005109C" w:rsidRDefault="0005109C"/>
    <w:p w:rsidR="0005109C" w:rsidRDefault="00051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9C" w:rsidRPr="00474107" w:rsidRDefault="0005109C"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8C18C9">
      <w:rPr>
        <w:rStyle w:val="PageNumber"/>
        <w:noProof/>
      </w:rPr>
      <w:t>2</w:t>
    </w:r>
    <w:r>
      <w:rPr>
        <w:rStyle w:val="PageNumber"/>
      </w:rPr>
      <w:fldChar w:fldCharType="end"/>
    </w:r>
  </w:p>
  <w:p w:rsidR="0005109C" w:rsidRPr="0097256D" w:rsidRDefault="0005109C"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09C" w:rsidRPr="00643F62" w:rsidRDefault="0005109C"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A74A18">
      <w:rPr>
        <w:i/>
      </w:rPr>
      <w:t>D13/11</w:t>
    </w:r>
    <w:r>
      <w:rPr>
        <w:i/>
      </w:rPr>
      <w:t>7886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09C" w:rsidRDefault="0005109C" w:rsidP="00BB640B">
      <w:r>
        <w:separator/>
      </w:r>
    </w:p>
    <w:p w:rsidR="0005109C" w:rsidRPr="00DB6729" w:rsidRDefault="0005109C">
      <w:pPr>
        <w:rPr>
          <w:b/>
          <w:sz w:val="2"/>
        </w:rPr>
      </w:pPr>
    </w:p>
  </w:footnote>
  <w:footnote w:type="continuationSeparator" w:id="0">
    <w:p w:rsidR="0005109C" w:rsidRDefault="0005109C" w:rsidP="00BB640B">
      <w:r>
        <w:continuationSeparator/>
      </w:r>
    </w:p>
    <w:p w:rsidR="0005109C" w:rsidRDefault="00051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57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3268\D13 113277[V2]  20130804-20130810 electricity weekly report - web upload.DOCX"/>
  </w:docVars>
  <w:rsids>
    <w:rsidRoot w:val="00F75FBD"/>
    <w:rsid w:val="00000080"/>
    <w:rsid w:val="000008B3"/>
    <w:rsid w:val="00000E09"/>
    <w:rsid w:val="000014D2"/>
    <w:rsid w:val="000018CD"/>
    <w:rsid w:val="0000194E"/>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E14"/>
    <w:rsid w:val="003A309A"/>
    <w:rsid w:val="003A3778"/>
    <w:rsid w:val="003A407A"/>
    <w:rsid w:val="003A4158"/>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8C9"/>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E1281"/>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hyperlink" Target="http://www.aer.gov.au/node/21350"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2317</Words>
  <Characters>13210</Characters>
  <Application>Microsoft Office Word</Application>
  <DocSecurity>0</DocSecurity>
  <Lines>110</Lines>
  <Paragraphs>30</Paragraphs>
  <ScaleCrop>false</ScaleCrop>
  <Company/>
  <LinksUpToDate>false</LinksUpToDate>
  <CharactersWithSpaces>15497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2013-09-05T07:26:00Z</dcterms:created>
  <dcterms:modified xsi:type="dcterms:W3CDTF">2013-09-05T07:26:00Z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8044550</vt:lpwstr>
  </property>
</Properties>
</file>