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A06C9C"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7508FB" w:rsidRDefault="007508FB">
                  <w:pPr>
                    <w:pStyle w:val="Title"/>
                    <w:jc w:val="left"/>
                  </w:pPr>
                  <w:r w:rsidRPr="00F50D3A">
                    <w:t>Electricity</w:t>
                  </w:r>
                  <w:r>
                    <w:t xml:space="preserve"> Report</w:t>
                  </w:r>
                </w:p>
                <w:p w:rsidR="007508FB" w:rsidRDefault="007508FB" w:rsidP="00971352">
                  <w:pPr>
                    <w:pStyle w:val="Title"/>
                    <w:jc w:val="left"/>
                    <w:rPr>
                      <w:i/>
                    </w:rPr>
                  </w:pPr>
                  <w:r>
                    <w:t>22 to 28 December 2013</w:t>
                  </w:r>
                  <w:r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2D23B9" w:rsidRDefault="00F50D3A" w:rsidP="00BF51AE">
      <w:pPr>
        <w:pStyle w:val="Heading2"/>
        <w:rPr>
          <w:color w:val="auto"/>
        </w:rPr>
      </w:pPr>
      <w:r w:rsidRPr="002D23B9">
        <w:rPr>
          <w:color w:val="auto"/>
        </w:rPr>
        <w:t>S</w:t>
      </w:r>
      <w:r w:rsidR="00687B08" w:rsidRPr="002D23B9">
        <w:rPr>
          <w:color w:val="auto"/>
        </w:rPr>
        <w:t>pot market prices</w:t>
      </w:r>
    </w:p>
    <w:p w:rsidR="00687B08" w:rsidRPr="002D23B9" w:rsidRDefault="00687B08" w:rsidP="00F50D3A">
      <w:pPr>
        <w:pStyle w:val="AERbodytext"/>
      </w:pPr>
      <w:bookmarkStart w:id="7" w:name="OLE_LINK28"/>
      <w:bookmarkStart w:id="8" w:name="OLE_LINK29"/>
      <w:r w:rsidRPr="002D23B9">
        <w:t xml:space="preserve">Figure 1 </w:t>
      </w:r>
      <w:proofErr w:type="gramStart"/>
      <w:r w:rsidR="00953237" w:rsidRPr="002D23B9">
        <w:t>shows</w:t>
      </w:r>
      <w:proofErr w:type="gramEnd"/>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 xml:space="preserve">12 </w:t>
      </w:r>
      <w:r w:rsidRPr="002D23B9">
        <w:t>weeks</w:t>
      </w:r>
      <w:r w:rsidR="00953237" w:rsidRPr="002D23B9">
        <w:t>, as well as</w:t>
      </w:r>
      <w:r w:rsidRPr="002D23B9">
        <w:t xml:space="preserve"> the VWA </w:t>
      </w:r>
      <w:r w:rsidR="00C12B08" w:rsidRPr="002D23B9">
        <w:t xml:space="preserve">price </w:t>
      </w:r>
      <w:r w:rsidRPr="002D23B9">
        <w:t xml:space="preserve">over the </w:t>
      </w:r>
      <w:r w:rsidR="00953237" w:rsidRPr="002D23B9">
        <w:t xml:space="preserve">previous </w:t>
      </w:r>
      <w:r w:rsidRPr="002D23B9">
        <w:t>3</w:t>
      </w:r>
      <w:r w:rsidR="00953237" w:rsidRPr="002D23B9">
        <w:t> financial </w:t>
      </w:r>
      <w:r w:rsidRPr="002D23B9">
        <w:t>years.</w:t>
      </w:r>
      <w:r w:rsidR="00941AA9" w:rsidRPr="002D23B9">
        <w:t xml:space="preserve"> </w:t>
      </w:r>
    </w:p>
    <w:p w:rsidR="00B027E9" w:rsidRPr="002D23B9" w:rsidRDefault="00687B08">
      <w:pPr>
        <w:pStyle w:val="Figureheading"/>
        <w:numPr>
          <w:ilvl w:val="0"/>
          <w:numId w:val="0"/>
        </w:numPr>
        <w:spacing w:after="0"/>
        <w:ind w:left="357" w:hanging="357"/>
      </w:pPr>
      <w:bookmarkStart w:id="9" w:name="_Ref307219594"/>
      <w:r w:rsidRPr="00B173A3">
        <w:t xml:space="preserve">Figure </w:t>
      </w:r>
      <w:bookmarkEnd w:id="9"/>
      <w:r w:rsidRPr="00B173A3">
        <w:t xml:space="preserve">1: </w:t>
      </w:r>
      <w:r w:rsidR="00656C5F" w:rsidRPr="00B173A3">
        <w:t>Volume weighted average spot price by region ($/MWh)</w:t>
      </w:r>
    </w:p>
    <w:p w:rsidR="00785F23" w:rsidRPr="002D23B9" w:rsidRDefault="00A06C9C"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10;" style="width:451.4pt;height:226pt">
            <v:imagedata r:id="rId10" o:title=""/>
          </v:shape>
        </w:pict>
      </w:r>
    </w:p>
    <w:p w:rsidR="00965EA9" w:rsidRPr="00B173A3" w:rsidRDefault="00965EA9" w:rsidP="00965EA9">
      <w:pPr>
        <w:pStyle w:val="AERtabletitle"/>
      </w:pPr>
      <w:r w:rsidRPr="00B173A3">
        <w:t xml:space="preserve">Table 1: </w:t>
      </w:r>
      <w:r w:rsidR="008B0A6A" w:rsidRPr="00B173A3">
        <w:t xml:space="preserve">Volume weighted </w:t>
      </w:r>
      <w:r w:rsidRPr="00B173A3">
        <w:t>average spot price</w:t>
      </w:r>
      <w:r w:rsidR="00525D52" w:rsidRPr="00B173A3">
        <w:t>s</w:t>
      </w:r>
      <w:r w:rsidRPr="00B173A3">
        <w:t xml:space="preserve"> by region</w:t>
      </w:r>
      <w:r w:rsidR="008B0A6A" w:rsidRPr="00B173A3">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2D23B9" w:rsidRPr="00B173A3" w:rsidTr="00D70101">
        <w:trPr>
          <w:trHeight w:hRule="exact" w:val="454"/>
        </w:trPr>
        <w:tc>
          <w:tcPr>
            <w:tcW w:w="1809"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proofErr w:type="spellStart"/>
            <w:r w:rsidRPr="00A455D6">
              <w:rPr>
                <w:rFonts w:cs="Gautami"/>
                <w:b/>
                <w:bCs/>
                <w:color w:val="FFFFFF" w:themeColor="background1"/>
                <w:sz w:val="16"/>
                <w:szCs w:val="16"/>
              </w:rPr>
              <w:t>Tas</w:t>
            </w:r>
            <w:proofErr w:type="spellEnd"/>
          </w:p>
        </w:tc>
      </w:tr>
      <w:tr w:rsidR="007C5F88" w:rsidRPr="00B173A3" w:rsidTr="00CA5F6C">
        <w:trPr>
          <w:trHeight w:hRule="exact" w:val="454"/>
        </w:trPr>
        <w:tc>
          <w:tcPr>
            <w:tcW w:w="1809" w:type="dxa"/>
            <w:tcBorders>
              <w:top w:val="nil"/>
              <w:bottom w:val="nil"/>
            </w:tcBorders>
            <w:shd w:val="clear" w:color="auto" w:fill="DDD9C3" w:themeFill="background2" w:themeFillShade="E6"/>
            <w:noWrap/>
            <w:vAlign w:val="center"/>
          </w:tcPr>
          <w:p w:rsidR="007C5F88" w:rsidRPr="00B173A3" w:rsidRDefault="007C5F88">
            <w:pPr>
              <w:rPr>
                <w:rFonts w:cs="Gautami"/>
                <w:b/>
                <w:bCs/>
                <w:sz w:val="16"/>
                <w:szCs w:val="16"/>
              </w:rPr>
            </w:pPr>
            <w:r w:rsidRPr="00B173A3">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7C5F88" w:rsidRDefault="007C5F88">
            <w:pPr>
              <w:jc w:val="center"/>
              <w:rPr>
                <w:rFonts w:cs="Gautami"/>
                <w:sz w:val="16"/>
                <w:szCs w:val="16"/>
              </w:rPr>
            </w:pPr>
            <w:r>
              <w:rPr>
                <w:rFonts w:cs="Gautami"/>
                <w:sz w:val="16"/>
                <w:szCs w:val="16"/>
              </w:rPr>
              <w:t>60</w:t>
            </w:r>
          </w:p>
        </w:tc>
        <w:tc>
          <w:tcPr>
            <w:tcW w:w="1275" w:type="dxa"/>
            <w:tcBorders>
              <w:top w:val="nil"/>
              <w:bottom w:val="nil"/>
            </w:tcBorders>
            <w:shd w:val="clear" w:color="auto" w:fill="DDD9C3" w:themeFill="background2" w:themeFillShade="E6"/>
            <w:noWrap/>
            <w:vAlign w:val="center"/>
          </w:tcPr>
          <w:p w:rsidR="007C5F88" w:rsidRDefault="007C5F88">
            <w:pPr>
              <w:jc w:val="center"/>
              <w:rPr>
                <w:rFonts w:cs="Gautami"/>
                <w:sz w:val="16"/>
                <w:szCs w:val="16"/>
              </w:rPr>
            </w:pPr>
            <w:r>
              <w:rPr>
                <w:rFonts w:cs="Gautami"/>
                <w:sz w:val="16"/>
                <w:szCs w:val="16"/>
              </w:rPr>
              <w:t>52</w:t>
            </w:r>
          </w:p>
        </w:tc>
        <w:tc>
          <w:tcPr>
            <w:tcW w:w="1276" w:type="dxa"/>
            <w:tcBorders>
              <w:top w:val="nil"/>
              <w:bottom w:val="nil"/>
            </w:tcBorders>
            <w:shd w:val="clear" w:color="auto" w:fill="DDD9C3" w:themeFill="background2" w:themeFillShade="E6"/>
            <w:vAlign w:val="center"/>
          </w:tcPr>
          <w:p w:rsidR="007C5F88" w:rsidRDefault="007C5F88">
            <w:pPr>
              <w:jc w:val="center"/>
              <w:rPr>
                <w:rFonts w:cs="Gautami"/>
                <w:sz w:val="16"/>
                <w:szCs w:val="16"/>
              </w:rPr>
            </w:pPr>
            <w:r>
              <w:rPr>
                <w:rFonts w:cs="Gautami"/>
                <w:sz w:val="16"/>
                <w:szCs w:val="16"/>
              </w:rPr>
              <w:t>43</w:t>
            </w:r>
          </w:p>
        </w:tc>
        <w:tc>
          <w:tcPr>
            <w:tcW w:w="1134" w:type="dxa"/>
            <w:tcBorders>
              <w:top w:val="nil"/>
              <w:bottom w:val="nil"/>
            </w:tcBorders>
            <w:shd w:val="clear" w:color="auto" w:fill="DDD9C3" w:themeFill="background2" w:themeFillShade="E6"/>
            <w:noWrap/>
            <w:vAlign w:val="center"/>
          </w:tcPr>
          <w:p w:rsidR="007C5F88" w:rsidRDefault="007C5F88">
            <w:pPr>
              <w:jc w:val="center"/>
              <w:rPr>
                <w:rFonts w:cs="Gautami"/>
                <w:sz w:val="16"/>
                <w:szCs w:val="16"/>
              </w:rPr>
            </w:pPr>
            <w:r>
              <w:rPr>
                <w:rFonts w:cs="Gautami"/>
                <w:sz w:val="16"/>
                <w:szCs w:val="16"/>
              </w:rPr>
              <w:t>52</w:t>
            </w:r>
          </w:p>
        </w:tc>
        <w:tc>
          <w:tcPr>
            <w:tcW w:w="1275" w:type="dxa"/>
            <w:tcBorders>
              <w:top w:val="nil"/>
              <w:bottom w:val="nil"/>
            </w:tcBorders>
            <w:shd w:val="clear" w:color="auto" w:fill="DDD9C3" w:themeFill="background2" w:themeFillShade="E6"/>
            <w:vAlign w:val="center"/>
          </w:tcPr>
          <w:p w:rsidR="007C5F88" w:rsidRDefault="007C5F88">
            <w:pPr>
              <w:jc w:val="center"/>
              <w:rPr>
                <w:rFonts w:cs="Gautami"/>
                <w:sz w:val="16"/>
                <w:szCs w:val="16"/>
              </w:rPr>
            </w:pPr>
            <w:r>
              <w:rPr>
                <w:rFonts w:cs="Gautami"/>
                <w:sz w:val="16"/>
                <w:szCs w:val="16"/>
              </w:rPr>
              <w:t>33</w:t>
            </w:r>
          </w:p>
        </w:tc>
      </w:tr>
      <w:tr w:rsidR="007C5F88" w:rsidRPr="00B173A3" w:rsidTr="00CA5F6C">
        <w:trPr>
          <w:trHeight w:hRule="exact" w:val="454"/>
        </w:trPr>
        <w:tc>
          <w:tcPr>
            <w:tcW w:w="1809" w:type="dxa"/>
            <w:tcBorders>
              <w:top w:val="nil"/>
              <w:bottom w:val="nil"/>
            </w:tcBorders>
            <w:shd w:val="clear" w:color="auto" w:fill="EEECE1" w:themeFill="background2"/>
            <w:noWrap/>
            <w:vAlign w:val="center"/>
          </w:tcPr>
          <w:p w:rsidR="007C5F88" w:rsidRPr="00B173A3" w:rsidRDefault="007C5F88">
            <w:pPr>
              <w:rPr>
                <w:rFonts w:cs="Gautami"/>
                <w:b/>
                <w:bCs/>
                <w:sz w:val="16"/>
                <w:szCs w:val="16"/>
              </w:rPr>
            </w:pPr>
            <w:r w:rsidRPr="00B173A3">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7C5F88" w:rsidRDefault="007C5F88">
            <w:pPr>
              <w:jc w:val="center"/>
              <w:rPr>
                <w:rFonts w:cs="Gautami"/>
                <w:sz w:val="16"/>
                <w:szCs w:val="16"/>
              </w:rPr>
            </w:pPr>
            <w:r>
              <w:rPr>
                <w:rFonts w:cs="Gautami"/>
                <w:sz w:val="16"/>
                <w:szCs w:val="16"/>
              </w:rPr>
              <w:t>57</w:t>
            </w:r>
          </w:p>
        </w:tc>
        <w:tc>
          <w:tcPr>
            <w:tcW w:w="1275" w:type="dxa"/>
            <w:tcBorders>
              <w:top w:val="nil"/>
              <w:bottom w:val="nil"/>
            </w:tcBorders>
            <w:shd w:val="clear" w:color="auto" w:fill="EEECE1" w:themeFill="background2"/>
            <w:noWrap/>
            <w:vAlign w:val="center"/>
          </w:tcPr>
          <w:p w:rsidR="007C5F88" w:rsidRDefault="007C5F88">
            <w:pPr>
              <w:jc w:val="center"/>
              <w:rPr>
                <w:rFonts w:cs="Gautami"/>
                <w:sz w:val="16"/>
                <w:szCs w:val="16"/>
              </w:rPr>
            </w:pPr>
            <w:r>
              <w:rPr>
                <w:rFonts w:cs="Gautami"/>
                <w:sz w:val="16"/>
                <w:szCs w:val="16"/>
              </w:rPr>
              <w:t>58</w:t>
            </w:r>
          </w:p>
        </w:tc>
        <w:tc>
          <w:tcPr>
            <w:tcW w:w="1276" w:type="dxa"/>
            <w:tcBorders>
              <w:top w:val="nil"/>
              <w:bottom w:val="nil"/>
            </w:tcBorders>
            <w:shd w:val="clear" w:color="auto" w:fill="EEECE1" w:themeFill="background2"/>
            <w:vAlign w:val="center"/>
          </w:tcPr>
          <w:p w:rsidR="007C5F88" w:rsidRDefault="007C5F88">
            <w:pPr>
              <w:jc w:val="center"/>
              <w:rPr>
                <w:rFonts w:cs="Gautami"/>
                <w:sz w:val="16"/>
                <w:szCs w:val="16"/>
              </w:rPr>
            </w:pPr>
            <w:r>
              <w:rPr>
                <w:rFonts w:cs="Gautami"/>
                <w:sz w:val="16"/>
                <w:szCs w:val="16"/>
              </w:rPr>
              <w:t>65</w:t>
            </w:r>
          </w:p>
        </w:tc>
        <w:tc>
          <w:tcPr>
            <w:tcW w:w="1134" w:type="dxa"/>
            <w:tcBorders>
              <w:top w:val="nil"/>
              <w:bottom w:val="nil"/>
            </w:tcBorders>
            <w:shd w:val="clear" w:color="auto" w:fill="EEECE1" w:themeFill="background2"/>
            <w:noWrap/>
            <w:vAlign w:val="center"/>
          </w:tcPr>
          <w:p w:rsidR="007C5F88" w:rsidRDefault="007C5F88">
            <w:pPr>
              <w:jc w:val="center"/>
              <w:rPr>
                <w:rFonts w:cs="Gautami"/>
                <w:sz w:val="16"/>
                <w:szCs w:val="16"/>
              </w:rPr>
            </w:pPr>
            <w:r>
              <w:rPr>
                <w:rFonts w:cs="Gautami"/>
                <w:sz w:val="16"/>
                <w:szCs w:val="16"/>
              </w:rPr>
              <w:t>64</w:t>
            </w:r>
          </w:p>
        </w:tc>
        <w:tc>
          <w:tcPr>
            <w:tcW w:w="1275" w:type="dxa"/>
            <w:tcBorders>
              <w:top w:val="nil"/>
              <w:bottom w:val="nil"/>
            </w:tcBorders>
            <w:shd w:val="clear" w:color="auto" w:fill="EEECE1" w:themeFill="background2"/>
            <w:vAlign w:val="center"/>
          </w:tcPr>
          <w:p w:rsidR="007C5F88" w:rsidRDefault="007C5F88">
            <w:pPr>
              <w:jc w:val="center"/>
              <w:rPr>
                <w:rFonts w:cs="Gautami"/>
                <w:sz w:val="16"/>
                <w:szCs w:val="16"/>
              </w:rPr>
            </w:pPr>
            <w:r>
              <w:rPr>
                <w:rFonts w:cs="Gautami"/>
                <w:sz w:val="16"/>
                <w:szCs w:val="16"/>
              </w:rPr>
              <w:t>48</w:t>
            </w:r>
          </w:p>
        </w:tc>
      </w:tr>
      <w:tr w:rsidR="007C5F88" w:rsidRPr="002D23B9"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7C5F88" w:rsidRPr="00B173A3" w:rsidRDefault="007C5F88">
            <w:pPr>
              <w:rPr>
                <w:rFonts w:cs="Gautami"/>
                <w:b/>
                <w:bCs/>
                <w:sz w:val="16"/>
                <w:szCs w:val="16"/>
              </w:rPr>
            </w:pPr>
            <w:r w:rsidRPr="00B173A3">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7C5F88" w:rsidRDefault="007C5F88">
            <w:pPr>
              <w:jc w:val="center"/>
              <w:rPr>
                <w:rFonts w:cs="Gautami"/>
                <w:sz w:val="16"/>
                <w:szCs w:val="16"/>
              </w:rPr>
            </w:pPr>
            <w:r>
              <w:rPr>
                <w:rFonts w:cs="Gautami"/>
                <w:sz w:val="16"/>
                <w:szCs w:val="16"/>
              </w:rPr>
              <w:t>59</w:t>
            </w:r>
          </w:p>
        </w:tc>
        <w:tc>
          <w:tcPr>
            <w:tcW w:w="1275" w:type="dxa"/>
            <w:tcBorders>
              <w:top w:val="nil"/>
              <w:bottom w:val="single" w:sz="4" w:space="0" w:color="auto"/>
            </w:tcBorders>
            <w:shd w:val="clear" w:color="auto" w:fill="DDD9C3" w:themeFill="background2" w:themeFillShade="E6"/>
            <w:noWrap/>
            <w:vAlign w:val="center"/>
          </w:tcPr>
          <w:p w:rsidR="007C5F88" w:rsidRDefault="007C5F88">
            <w:pPr>
              <w:jc w:val="center"/>
              <w:rPr>
                <w:rFonts w:cs="Gautami"/>
                <w:sz w:val="16"/>
                <w:szCs w:val="16"/>
              </w:rPr>
            </w:pPr>
            <w:r>
              <w:rPr>
                <w:rFonts w:cs="Gautami"/>
                <w:sz w:val="16"/>
                <w:szCs w:val="16"/>
              </w:rPr>
              <w:t>56</w:t>
            </w:r>
          </w:p>
        </w:tc>
        <w:tc>
          <w:tcPr>
            <w:tcW w:w="1276" w:type="dxa"/>
            <w:tcBorders>
              <w:top w:val="nil"/>
              <w:bottom w:val="single" w:sz="4" w:space="0" w:color="auto"/>
            </w:tcBorders>
            <w:shd w:val="clear" w:color="auto" w:fill="DDD9C3" w:themeFill="background2" w:themeFillShade="E6"/>
            <w:vAlign w:val="center"/>
          </w:tcPr>
          <w:p w:rsidR="007C5F88" w:rsidRDefault="007C5F88">
            <w:pPr>
              <w:jc w:val="center"/>
              <w:rPr>
                <w:rFonts w:cs="Gautami"/>
                <w:sz w:val="16"/>
                <w:szCs w:val="16"/>
              </w:rPr>
            </w:pPr>
            <w:r>
              <w:rPr>
                <w:rFonts w:cs="Gautami"/>
                <w:sz w:val="16"/>
                <w:szCs w:val="16"/>
              </w:rPr>
              <w:t>53</w:t>
            </w:r>
          </w:p>
        </w:tc>
        <w:tc>
          <w:tcPr>
            <w:tcW w:w="1134" w:type="dxa"/>
            <w:tcBorders>
              <w:top w:val="nil"/>
              <w:bottom w:val="single" w:sz="4" w:space="0" w:color="auto"/>
            </w:tcBorders>
            <w:shd w:val="clear" w:color="auto" w:fill="DDD9C3" w:themeFill="background2" w:themeFillShade="E6"/>
            <w:noWrap/>
            <w:vAlign w:val="center"/>
          </w:tcPr>
          <w:p w:rsidR="007C5F88" w:rsidRDefault="007C5F88">
            <w:pPr>
              <w:jc w:val="center"/>
              <w:rPr>
                <w:rFonts w:cs="Gautami"/>
                <w:sz w:val="16"/>
                <w:szCs w:val="16"/>
              </w:rPr>
            </w:pPr>
            <w:r>
              <w:rPr>
                <w:rFonts w:cs="Gautami"/>
                <w:sz w:val="16"/>
                <w:szCs w:val="16"/>
              </w:rPr>
              <w:t>71</w:t>
            </w:r>
          </w:p>
        </w:tc>
        <w:tc>
          <w:tcPr>
            <w:tcW w:w="1275" w:type="dxa"/>
            <w:tcBorders>
              <w:top w:val="nil"/>
              <w:bottom w:val="single" w:sz="4" w:space="0" w:color="auto"/>
            </w:tcBorders>
            <w:shd w:val="clear" w:color="auto" w:fill="DDD9C3" w:themeFill="background2" w:themeFillShade="E6"/>
            <w:vAlign w:val="center"/>
          </w:tcPr>
          <w:p w:rsidR="007C5F88" w:rsidRDefault="007C5F88">
            <w:pPr>
              <w:jc w:val="center"/>
              <w:rPr>
                <w:rFonts w:cs="Gautami"/>
                <w:sz w:val="16"/>
                <w:szCs w:val="16"/>
              </w:rPr>
            </w:pPr>
            <w:r>
              <w:rPr>
                <w:rFonts w:cs="Gautami"/>
                <w:sz w:val="16"/>
                <w:szCs w:val="16"/>
              </w:rPr>
              <w:t>44</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A519A" w:rsidRDefault="00EB5E9E" w:rsidP="006A519A">
      <w:pPr>
        <w:pStyle w:val="Heading2"/>
      </w:pPr>
      <w:r>
        <w:rPr>
          <w:color w:val="auto"/>
        </w:rPr>
        <w:br w:type="page"/>
      </w:r>
      <w:r w:rsidR="006A519A">
        <w:lastRenderedPageBreak/>
        <w:t>Spot market price forecast variations</w:t>
      </w:r>
    </w:p>
    <w:p w:rsidR="006A519A" w:rsidRDefault="006A519A" w:rsidP="006A519A">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Pr="00B71EC1">
        <w:t xml:space="preserve">A </w:t>
      </w:r>
      <w:r>
        <w:t xml:space="preserve">key focus is whether </w:t>
      </w:r>
      <w:r w:rsidRPr="00B71EC1">
        <w:t>the actual price differs significantly from the forecast price either four or 12 hours ahead.</w:t>
      </w:r>
      <w:r>
        <w:t xml:space="preserve"> These timeframes have been chosen as indicative of the time frames within which different technology types may be able to commit (intermediate plant within four hours and slow start plant within 12 hours). </w:t>
      </w:r>
    </w:p>
    <w:p w:rsidR="006A519A" w:rsidRPr="00D70101" w:rsidRDefault="00AB7BEA" w:rsidP="006A519A">
      <w:pPr>
        <w:pStyle w:val="AERbodytext"/>
      </w:pPr>
      <w:r>
        <w:t xml:space="preserve">There were </w:t>
      </w:r>
      <w:r w:rsidR="007C5F88">
        <w:t>7</w:t>
      </w:r>
      <w:r>
        <w:t>2</w:t>
      </w:r>
      <w:r w:rsidR="006A519A">
        <w:t xml:space="preserve"> trading intervals throughout the week where actual prices varied significantly from forecasts. This compares to the weekly average in 2012 of 60 counts and the average in 2011 of 78</w:t>
      </w:r>
      <w:r w:rsidR="006A519A" w:rsidRPr="00D70101">
        <w:t>. Reasons for the variations for this week are summarised in Table 2. Based on AER analysis, the table</w:t>
      </w:r>
      <w:r w:rsidR="006A519A"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6A519A" w:rsidRPr="00B71EC1">
        <w:t>ahead</w:t>
      </w:r>
      <w:proofErr w:type="gramEnd"/>
      <w:r w:rsidR="006A519A" w:rsidRPr="00B71EC1">
        <w:t xml:space="preserve"> </w:t>
      </w:r>
      <w:r w:rsidR="006A519A" w:rsidRPr="00D70101">
        <w:t>forecasts differ significantly from the actual price will be counted as two variations.</w:t>
      </w:r>
    </w:p>
    <w:p w:rsidR="006A519A" w:rsidRPr="00155A20" w:rsidRDefault="006A519A" w:rsidP="006A519A">
      <w:pPr>
        <w:pStyle w:val="AERtabletitle"/>
      </w:pPr>
      <w:r w:rsidRPr="00155A20">
        <w:t>Table 2: Reasons for variations between forecast and actual prices</w:t>
      </w:r>
    </w:p>
    <w:tbl>
      <w:tblPr>
        <w:tblW w:w="8647"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127"/>
        <w:gridCol w:w="1842"/>
        <w:gridCol w:w="1418"/>
        <w:gridCol w:w="1843"/>
        <w:gridCol w:w="1417"/>
      </w:tblGrid>
      <w:tr w:rsidR="006A519A" w:rsidRPr="00155A20" w:rsidTr="006A519A">
        <w:trPr>
          <w:trHeight w:hRule="exact" w:val="454"/>
        </w:trPr>
        <w:tc>
          <w:tcPr>
            <w:tcW w:w="2127"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Reason for variation</w:t>
            </w:r>
          </w:p>
        </w:tc>
        <w:tc>
          <w:tcPr>
            <w:tcW w:w="1842"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Availability</w:t>
            </w:r>
          </w:p>
        </w:tc>
        <w:tc>
          <w:tcPr>
            <w:tcW w:w="1418"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Demand</w:t>
            </w:r>
          </w:p>
        </w:tc>
        <w:tc>
          <w:tcPr>
            <w:tcW w:w="1843"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Network</w:t>
            </w:r>
          </w:p>
        </w:tc>
        <w:tc>
          <w:tcPr>
            <w:tcW w:w="1417" w:type="dxa"/>
            <w:shd w:val="clear" w:color="auto" w:fill="4A442A"/>
          </w:tcPr>
          <w:p w:rsidR="006A519A" w:rsidRPr="006A519A" w:rsidRDefault="006A519A" w:rsidP="006A519A">
            <w:pPr>
              <w:pStyle w:val="AERtabletextheading"/>
              <w:jc w:val="center"/>
              <w:rPr>
                <w:bCs/>
                <w:color w:val="FFFFFF"/>
                <w:sz w:val="18"/>
              </w:rPr>
            </w:pPr>
            <w:r w:rsidRPr="006A519A">
              <w:rPr>
                <w:bCs/>
                <w:color w:val="FFFFFF"/>
                <w:sz w:val="18"/>
              </w:rPr>
              <w:t>Combination</w:t>
            </w:r>
          </w:p>
        </w:tc>
      </w:tr>
      <w:tr w:rsidR="00C000D0" w:rsidRPr="00155A20" w:rsidTr="006A519A">
        <w:trPr>
          <w:trHeight w:hRule="exact" w:val="454"/>
        </w:trPr>
        <w:tc>
          <w:tcPr>
            <w:tcW w:w="2127" w:type="dxa"/>
            <w:tcBorders>
              <w:bottom w:val="nil"/>
            </w:tcBorders>
            <w:shd w:val="clear" w:color="auto" w:fill="DDD9C3"/>
            <w:noWrap/>
            <w:vAlign w:val="center"/>
          </w:tcPr>
          <w:p w:rsidR="00C000D0" w:rsidRPr="00155A20" w:rsidRDefault="00C000D0" w:rsidP="006A519A">
            <w:pPr>
              <w:pStyle w:val="AERtabletext"/>
              <w:spacing w:before="60" w:after="60"/>
              <w:rPr>
                <w:b/>
                <w:bCs/>
              </w:rPr>
            </w:pPr>
            <w:r w:rsidRPr="00155A20">
              <w:rPr>
                <w:b/>
                <w:bCs/>
              </w:rPr>
              <w:t>% of total above forecast</w:t>
            </w:r>
          </w:p>
        </w:tc>
        <w:tc>
          <w:tcPr>
            <w:tcW w:w="1842" w:type="dxa"/>
            <w:tcBorders>
              <w:bottom w:val="nil"/>
            </w:tcBorders>
            <w:shd w:val="clear" w:color="auto" w:fill="DDD9C3"/>
            <w:noWrap/>
            <w:vAlign w:val="center"/>
          </w:tcPr>
          <w:p w:rsidR="00C000D0" w:rsidRDefault="00C000D0">
            <w:pPr>
              <w:jc w:val="center"/>
              <w:rPr>
                <w:rFonts w:cs="Gautami"/>
                <w:sz w:val="16"/>
                <w:szCs w:val="16"/>
              </w:rPr>
            </w:pPr>
            <w:r>
              <w:rPr>
                <w:rFonts w:cs="Gautami"/>
                <w:sz w:val="16"/>
                <w:szCs w:val="16"/>
              </w:rPr>
              <w:t>15</w:t>
            </w:r>
          </w:p>
        </w:tc>
        <w:tc>
          <w:tcPr>
            <w:tcW w:w="1418" w:type="dxa"/>
            <w:tcBorders>
              <w:bottom w:val="nil"/>
            </w:tcBorders>
            <w:shd w:val="clear" w:color="auto" w:fill="DDD9C3"/>
            <w:noWrap/>
            <w:vAlign w:val="center"/>
          </w:tcPr>
          <w:p w:rsidR="00C000D0" w:rsidRDefault="00C000D0">
            <w:pPr>
              <w:jc w:val="center"/>
              <w:rPr>
                <w:rFonts w:cs="Gautami"/>
                <w:sz w:val="16"/>
                <w:szCs w:val="16"/>
              </w:rPr>
            </w:pPr>
            <w:r>
              <w:rPr>
                <w:rFonts w:cs="Gautami"/>
                <w:sz w:val="16"/>
                <w:szCs w:val="16"/>
              </w:rPr>
              <w:t>24</w:t>
            </w:r>
          </w:p>
        </w:tc>
        <w:tc>
          <w:tcPr>
            <w:tcW w:w="1843" w:type="dxa"/>
            <w:tcBorders>
              <w:bottom w:val="nil"/>
            </w:tcBorders>
            <w:shd w:val="clear" w:color="auto" w:fill="DDD9C3"/>
            <w:noWrap/>
            <w:vAlign w:val="center"/>
          </w:tcPr>
          <w:p w:rsidR="00C000D0" w:rsidRDefault="00C000D0">
            <w:pPr>
              <w:jc w:val="center"/>
              <w:rPr>
                <w:rFonts w:cs="Gautami"/>
                <w:sz w:val="16"/>
                <w:szCs w:val="16"/>
              </w:rPr>
            </w:pPr>
            <w:r>
              <w:rPr>
                <w:rFonts w:cs="Gautami"/>
                <w:sz w:val="16"/>
                <w:szCs w:val="16"/>
              </w:rPr>
              <w:t>0</w:t>
            </w:r>
          </w:p>
        </w:tc>
        <w:tc>
          <w:tcPr>
            <w:tcW w:w="1417" w:type="dxa"/>
            <w:tcBorders>
              <w:bottom w:val="nil"/>
            </w:tcBorders>
            <w:shd w:val="clear" w:color="auto" w:fill="DDD9C3"/>
            <w:vAlign w:val="center"/>
          </w:tcPr>
          <w:p w:rsidR="00C000D0" w:rsidRDefault="00C000D0">
            <w:pPr>
              <w:jc w:val="center"/>
              <w:rPr>
                <w:rFonts w:cs="Gautami"/>
                <w:sz w:val="16"/>
                <w:szCs w:val="16"/>
              </w:rPr>
            </w:pPr>
            <w:r>
              <w:rPr>
                <w:rFonts w:cs="Gautami"/>
                <w:sz w:val="16"/>
                <w:szCs w:val="16"/>
              </w:rPr>
              <w:t>5</w:t>
            </w:r>
          </w:p>
        </w:tc>
      </w:tr>
      <w:tr w:rsidR="00C000D0" w:rsidRPr="00155A20" w:rsidTr="006A519A">
        <w:trPr>
          <w:trHeight w:hRule="exact" w:val="454"/>
        </w:trPr>
        <w:tc>
          <w:tcPr>
            <w:tcW w:w="2127" w:type="dxa"/>
            <w:tcBorders>
              <w:top w:val="nil"/>
              <w:bottom w:val="single" w:sz="4" w:space="0" w:color="auto"/>
            </w:tcBorders>
            <w:shd w:val="clear" w:color="auto" w:fill="EEECE1"/>
            <w:noWrap/>
            <w:vAlign w:val="center"/>
          </w:tcPr>
          <w:p w:rsidR="00C000D0" w:rsidRPr="00155A20" w:rsidRDefault="00C000D0" w:rsidP="006A519A">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noWrap/>
            <w:vAlign w:val="center"/>
          </w:tcPr>
          <w:p w:rsidR="00C000D0" w:rsidRDefault="00C000D0">
            <w:pPr>
              <w:jc w:val="center"/>
              <w:rPr>
                <w:rFonts w:cs="Gautami"/>
                <w:sz w:val="16"/>
                <w:szCs w:val="16"/>
              </w:rPr>
            </w:pPr>
            <w:r>
              <w:rPr>
                <w:rFonts w:cs="Gautami"/>
                <w:sz w:val="16"/>
                <w:szCs w:val="16"/>
              </w:rPr>
              <w:t>28</w:t>
            </w:r>
          </w:p>
        </w:tc>
        <w:tc>
          <w:tcPr>
            <w:tcW w:w="1418" w:type="dxa"/>
            <w:tcBorders>
              <w:top w:val="nil"/>
              <w:bottom w:val="single" w:sz="4" w:space="0" w:color="auto"/>
            </w:tcBorders>
            <w:shd w:val="clear" w:color="auto" w:fill="EEECE1"/>
            <w:noWrap/>
            <w:vAlign w:val="center"/>
          </w:tcPr>
          <w:p w:rsidR="00C000D0" w:rsidRDefault="00C000D0">
            <w:pPr>
              <w:jc w:val="center"/>
              <w:rPr>
                <w:rFonts w:cs="Gautami"/>
                <w:sz w:val="16"/>
                <w:szCs w:val="16"/>
              </w:rPr>
            </w:pPr>
            <w:r>
              <w:rPr>
                <w:rFonts w:cs="Gautami"/>
                <w:sz w:val="16"/>
                <w:szCs w:val="16"/>
              </w:rPr>
              <w:t>26</w:t>
            </w:r>
          </w:p>
        </w:tc>
        <w:tc>
          <w:tcPr>
            <w:tcW w:w="1843" w:type="dxa"/>
            <w:tcBorders>
              <w:top w:val="nil"/>
              <w:bottom w:val="single" w:sz="4" w:space="0" w:color="auto"/>
            </w:tcBorders>
            <w:shd w:val="clear" w:color="auto" w:fill="EEECE1"/>
            <w:noWrap/>
            <w:vAlign w:val="center"/>
          </w:tcPr>
          <w:p w:rsidR="00C000D0" w:rsidRDefault="00C000D0">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vAlign w:val="center"/>
          </w:tcPr>
          <w:p w:rsidR="00C000D0" w:rsidRDefault="00C000D0">
            <w:pPr>
              <w:jc w:val="center"/>
              <w:rPr>
                <w:rFonts w:cs="Gautami"/>
                <w:sz w:val="16"/>
                <w:szCs w:val="16"/>
              </w:rPr>
            </w:pPr>
            <w:r>
              <w:rPr>
                <w:rFonts w:cs="Gautami"/>
                <w:sz w:val="16"/>
                <w:szCs w:val="16"/>
              </w:rPr>
              <w:t>1</w:t>
            </w:r>
          </w:p>
        </w:tc>
      </w:tr>
    </w:tbl>
    <w:p w:rsidR="006A519A" w:rsidRPr="00D70101" w:rsidRDefault="006A519A" w:rsidP="006A519A">
      <w:pPr>
        <w:pStyle w:val="AERbodytext"/>
        <w:spacing w:before="120" w:after="120"/>
        <w:rPr>
          <w:sz w:val="16"/>
          <w:szCs w:val="16"/>
        </w:rPr>
      </w:pPr>
      <w:r w:rsidRPr="00D70101">
        <w:rPr>
          <w:sz w:val="16"/>
          <w:szCs w:val="16"/>
        </w:rPr>
        <w:t>Note: Due to rounding, the total may not be exactly 100 per cent</w:t>
      </w:r>
    </w:p>
    <w:p w:rsidR="006A519A" w:rsidRDefault="006A519A" w:rsidP="00BD4E2C">
      <w:pPr>
        <w:pStyle w:val="Heading2"/>
        <w:rPr>
          <w:color w:val="auto"/>
        </w:rPr>
      </w:pPr>
    </w:p>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Pr="002D23B9" w:rsidRDefault="006A519A" w:rsidP="00977DC4">
      <w:pPr>
        <w:pStyle w:val="AERbodytext"/>
        <w:spacing w:before="120"/>
      </w:pPr>
      <w:r>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F4461C" w:rsidP="0064299A">
      <w:pPr>
        <w:pStyle w:val="Figureheading"/>
        <w:numPr>
          <w:ilvl w:val="0"/>
          <w:numId w:val="0"/>
        </w:numPr>
      </w:pPr>
      <w:r w:rsidRPr="00B173A3">
        <w:lastRenderedPageBreak/>
        <w:t>Figure 2: Queensland generation and bidding patterns</w:t>
      </w:r>
    </w:p>
    <w:p w:rsidR="00F4461C" w:rsidRPr="002D23B9" w:rsidRDefault="00A06C9C"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15pt;height:307.4pt">
            <v:imagedata r:id="rId12" o:title=""/>
          </v:shape>
        </w:pict>
      </w:r>
    </w:p>
    <w:p w:rsidR="00F4461C" w:rsidRPr="002D23B9" w:rsidRDefault="00F4461C" w:rsidP="00F4461C">
      <w:pPr>
        <w:pStyle w:val="Figureheading"/>
        <w:numPr>
          <w:ilvl w:val="0"/>
          <w:numId w:val="0"/>
        </w:numPr>
        <w:ind w:left="357" w:hanging="357"/>
      </w:pPr>
      <w:r w:rsidRPr="00B173A3">
        <w:t>Figure 3: New South Wales generation and bidding patterns</w:t>
      </w:r>
    </w:p>
    <w:p w:rsidR="002652CD" w:rsidRPr="002D23B9" w:rsidRDefault="00A06C9C" w:rsidP="002652CD">
      <w:pPr>
        <w:pStyle w:val="AERbodytext"/>
      </w:pPr>
      <w:r>
        <w:pict>
          <v:shape id="_x0000_i1028"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0.15pt;height:307.4pt">
            <v:imagedata r:id="rId13" o:title=""/>
          </v:shape>
        </w:pict>
      </w:r>
    </w:p>
    <w:p w:rsidR="00F4461C" w:rsidRPr="00A25A2E" w:rsidRDefault="00F4461C" w:rsidP="00F4461C">
      <w:pPr>
        <w:pStyle w:val="Figureheading"/>
        <w:numPr>
          <w:ilvl w:val="0"/>
          <w:numId w:val="0"/>
        </w:numPr>
        <w:ind w:left="357" w:hanging="357"/>
      </w:pPr>
      <w:r w:rsidRPr="00A25A2E">
        <w:lastRenderedPageBreak/>
        <w:t xml:space="preserve">Figure </w:t>
      </w:r>
      <w:r w:rsidR="00261A37" w:rsidRPr="00A25A2E">
        <w:t>4</w:t>
      </w:r>
      <w:r w:rsidRPr="00A25A2E">
        <w:t>: Victoria generation and bidding patterns</w:t>
      </w:r>
    </w:p>
    <w:p w:rsidR="00785F23" w:rsidRPr="002D23B9" w:rsidRDefault="00A06C9C"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0.15pt;height:307.4pt">
            <v:imagedata r:id="rId14" o:title=""/>
          </v:shape>
        </w:pict>
      </w:r>
    </w:p>
    <w:p w:rsidR="00C52BE5" w:rsidRPr="00A25A2E" w:rsidRDefault="00C52BE5" w:rsidP="00C52BE5">
      <w:pPr>
        <w:pStyle w:val="Figureheading"/>
        <w:numPr>
          <w:ilvl w:val="0"/>
          <w:numId w:val="0"/>
        </w:numPr>
        <w:ind w:left="357" w:hanging="357"/>
      </w:pPr>
      <w:r w:rsidRPr="00A25A2E">
        <w:t xml:space="preserve">Figure </w:t>
      </w:r>
      <w:r w:rsidR="00261A37" w:rsidRPr="00A25A2E">
        <w:t>5</w:t>
      </w:r>
      <w:r w:rsidRPr="00A25A2E">
        <w:t>: South Australia</w:t>
      </w:r>
      <w:r w:rsidR="00D96C94" w:rsidRPr="00A25A2E">
        <w:t xml:space="preserve"> generation and bidding patterns</w:t>
      </w:r>
    </w:p>
    <w:p w:rsidR="002652CD" w:rsidRPr="002D23B9" w:rsidRDefault="00A06C9C" w:rsidP="002652CD">
      <w:pPr>
        <w:pStyle w:val="AERbodytext"/>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0.15pt;height:308.05pt">
            <v:imagedata r:id="rId15" o:title=""/>
          </v:shape>
        </w:pict>
      </w:r>
    </w:p>
    <w:p w:rsidR="0048688D" w:rsidRPr="002D23B9" w:rsidRDefault="0048688D" w:rsidP="0048688D">
      <w:pPr>
        <w:pStyle w:val="Figureheading"/>
        <w:numPr>
          <w:ilvl w:val="0"/>
          <w:numId w:val="0"/>
        </w:numPr>
        <w:ind w:left="357" w:hanging="357"/>
      </w:pPr>
      <w:r w:rsidRPr="00A25A2E">
        <w:lastRenderedPageBreak/>
        <w:t xml:space="preserve">Figure </w:t>
      </w:r>
      <w:r w:rsidR="00E27C7A" w:rsidRPr="00A25A2E">
        <w:t>6</w:t>
      </w:r>
      <w:r w:rsidRPr="00A25A2E">
        <w:t>: Tasmania</w:t>
      </w:r>
      <w:r w:rsidR="00D96C94" w:rsidRPr="00A25A2E">
        <w:t xml:space="preserve"> generation and bidding patterns</w:t>
      </w:r>
    </w:p>
    <w:p w:rsidR="00B027E9" w:rsidRPr="002D23B9" w:rsidRDefault="00A06C9C"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15pt;height:307.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6A519A" w:rsidRDefault="0026403E" w:rsidP="006A519A">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w:t>
      </w:r>
      <w:r w:rsidR="006A519A">
        <w:t xml:space="preserve">There are six contingency services: </w:t>
      </w:r>
    </w:p>
    <w:p w:rsidR="006A519A" w:rsidRDefault="006A519A" w:rsidP="006A519A">
      <w:pPr>
        <w:pStyle w:val="Listbullet1"/>
      </w:pPr>
      <w:r w:rsidRPr="00733916">
        <w:rPr>
          <w:i/>
        </w:rPr>
        <w:t>fast services</w:t>
      </w:r>
      <w:r>
        <w:t>, which arrest a frequency deviation within the first 6 seconds of a contingent event (raise and lower 6 second)</w:t>
      </w:r>
    </w:p>
    <w:p w:rsidR="006A519A" w:rsidRDefault="006A519A" w:rsidP="006A519A">
      <w:pPr>
        <w:pStyle w:val="Listbullet1"/>
      </w:pPr>
      <w:r w:rsidRPr="00733916">
        <w:rPr>
          <w:i/>
        </w:rPr>
        <w:t>slow services</w:t>
      </w:r>
      <w:r>
        <w:t>, which stabilise frequency deviations within 60 seconds of the event (raise and lower 60 second)</w:t>
      </w:r>
    </w:p>
    <w:p w:rsidR="006A519A" w:rsidRDefault="006A519A" w:rsidP="006A519A">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 minute) at which time the five minute dispatch process will take effect.</w:t>
      </w:r>
    </w:p>
    <w:p w:rsidR="006A519A" w:rsidRDefault="006A519A" w:rsidP="006A519A">
      <w:pPr>
        <w:pStyle w:val="AERbodytext"/>
      </w:pPr>
      <w:r>
        <w:t>The Electricity Rules stipulate that generators pay for raise contingency services and customers pay for lower contingency services. Regulation services are paid for on a “causer pays” basis determined every four weeks by AEMO.</w:t>
      </w:r>
    </w:p>
    <w:p w:rsidR="006A519A" w:rsidRDefault="006A519A" w:rsidP="006A519A">
      <w:pPr>
        <w:pStyle w:val="AERbodytext"/>
      </w:pPr>
      <w:r w:rsidRPr="00F618E2">
        <w:t>The total cost of FCAS on the mainland for the week was $</w:t>
      </w:r>
      <w:r w:rsidR="001E6389">
        <w:t>1</w:t>
      </w:r>
      <w:r w:rsidR="00F3073C">
        <w:t>74</w:t>
      </w:r>
      <w:r w:rsidR="006B264A">
        <w:t> 0</w:t>
      </w:r>
      <w:r>
        <w:t xml:space="preserve">00 </w:t>
      </w:r>
      <w:r w:rsidRPr="00F618E2">
        <w:t>or less than 1 per cent of energy turnover on the</w:t>
      </w:r>
      <w:r>
        <w:t xml:space="preserve"> mainland</w:t>
      </w:r>
      <w:r w:rsidRPr="00021E37">
        <w:t xml:space="preserve">. </w:t>
      </w:r>
    </w:p>
    <w:p w:rsidR="006A519A" w:rsidRPr="00021E37" w:rsidRDefault="006A519A" w:rsidP="006A519A">
      <w:pPr>
        <w:pStyle w:val="AERbodytext"/>
      </w:pPr>
      <w:r w:rsidRPr="00021E37">
        <w:t>In Tasmania (which requires dedicated services for much of the time) the total cost for the week was $</w:t>
      </w:r>
      <w:r w:rsidR="00F3073C">
        <w:t>167</w:t>
      </w:r>
      <w:r w:rsidR="00E3461B">
        <w:t> </w:t>
      </w:r>
      <w:r w:rsidR="00F3073C">
        <w:t>5</w:t>
      </w:r>
      <w:r w:rsidRPr="00021E37">
        <w:t xml:space="preserve">00 or </w:t>
      </w:r>
      <w:r w:rsidR="00F3073C">
        <w:t>around</w:t>
      </w:r>
      <w:r w:rsidR="006B264A">
        <w:t xml:space="preserve"> </w:t>
      </w:r>
      <w:r w:rsidR="00F3073C">
        <w:t>3</w:t>
      </w:r>
      <w:r w:rsidRPr="00021E37">
        <w:t xml:space="preserve"> per cent of energy turnover in Tasmania. </w:t>
      </w:r>
      <w:r w:rsidR="00E3461B">
        <w:t xml:space="preserve">A majority of this ($113 000) occurred on 28 December in the lower regulation service. At </w:t>
      </w:r>
      <w:r w:rsidR="00AF001C">
        <w:t>around 6.15</w:t>
      </w:r>
      <w:r w:rsidR="00E3461B">
        <w:t xml:space="preserve"> pm </w:t>
      </w:r>
      <w:proofErr w:type="spellStart"/>
      <w:r w:rsidR="00130080">
        <w:t>Basslink</w:t>
      </w:r>
      <w:proofErr w:type="spellEnd"/>
      <w:r w:rsidR="00130080">
        <w:t xml:space="preserve"> Pty. Ltd.</w:t>
      </w:r>
      <w:r w:rsidR="00E3461B">
        <w:t xml:space="preserve"> rebid the availability of </w:t>
      </w:r>
      <w:proofErr w:type="spellStart"/>
      <w:r w:rsidR="00E3461B">
        <w:t>Basslink</w:t>
      </w:r>
      <w:proofErr w:type="spellEnd"/>
      <w:r w:rsidR="00E3461B">
        <w:t xml:space="preserve"> from </w:t>
      </w:r>
      <w:r w:rsidR="009D4CC4">
        <w:t>5</w:t>
      </w:r>
      <w:r w:rsidR="00E3461B">
        <w:t>94 MW to 571 MW. The reason given was “</w:t>
      </w:r>
      <w:proofErr w:type="spellStart"/>
      <w:r w:rsidR="00DA7677">
        <w:t>Scenerio</w:t>
      </w:r>
      <w:proofErr w:type="spellEnd"/>
      <w:r w:rsidR="00DA7677">
        <w:t xml:space="preserve"> 1”</w:t>
      </w:r>
      <w:r w:rsidR="007508FB">
        <w:t xml:space="preserve">, which after correspondence with the participant means that </w:t>
      </w:r>
      <w:proofErr w:type="spellStart"/>
      <w:r w:rsidR="007508FB">
        <w:t>Basslink</w:t>
      </w:r>
      <w:proofErr w:type="spellEnd"/>
      <w:r w:rsidR="007508FB">
        <w:t xml:space="preserve"> was operating </w:t>
      </w:r>
      <w:r w:rsidR="003C0EE5">
        <w:t>outside its envelope</w:t>
      </w:r>
      <w:r w:rsidR="007508FB">
        <w:t xml:space="preserve"> and </w:t>
      </w:r>
      <w:r w:rsidR="007508FB">
        <w:lastRenderedPageBreak/>
        <w:t>needed to be reduced</w:t>
      </w:r>
      <w:r w:rsidR="00DA7677">
        <w:t>. This</w:t>
      </w:r>
      <w:r w:rsidR="00E3461B">
        <w:t xml:space="preserve"> resulted in the</w:t>
      </w:r>
      <w:r w:rsidR="00CA04FE">
        <w:t xml:space="preserve"> target and </w:t>
      </w:r>
      <w:r w:rsidR="00DA7677">
        <w:t xml:space="preserve">the </w:t>
      </w:r>
      <w:r w:rsidR="00CA04FE">
        <w:t xml:space="preserve">maximum availability </w:t>
      </w:r>
      <w:r w:rsidR="00DA7677">
        <w:t xml:space="preserve">of </w:t>
      </w:r>
      <w:proofErr w:type="spellStart"/>
      <w:r w:rsidR="00DA7677">
        <w:t>Basslink</w:t>
      </w:r>
      <w:proofErr w:type="spellEnd"/>
      <w:r w:rsidR="00DA7677">
        <w:t xml:space="preserve"> </w:t>
      </w:r>
      <w:r w:rsidR="00CA04FE">
        <w:t xml:space="preserve">being the same at 6.35 pm and 6.40 pm. This means that there is no headroom on </w:t>
      </w:r>
      <w:proofErr w:type="spellStart"/>
      <w:r w:rsidR="00CA04FE">
        <w:t>Basslink</w:t>
      </w:r>
      <w:proofErr w:type="spellEnd"/>
      <w:r w:rsidR="00CA04FE">
        <w:t xml:space="preserve"> to transfer lower services from the mainland (they have to be sourced locally). The requirement for local lower </w:t>
      </w:r>
      <w:r w:rsidR="00BC2FCB">
        <w:t>r</w:t>
      </w:r>
      <w:r w:rsidR="00CA04FE">
        <w:t>egulation increase</w:t>
      </w:r>
      <w:r w:rsidR="00BC2FCB">
        <w:t>d</w:t>
      </w:r>
      <w:r w:rsidR="00CA04FE">
        <w:t xml:space="preserve"> from</w:t>
      </w:r>
      <w:r w:rsidR="00BC2FCB">
        <w:t xml:space="preserve"> 26 MW at 6.30 pm to 50 MW at 6.35 pm and 6.40 pm. With only 26 MW available at less than the price cap the price at 6.35 pm and 6.40 pm reached the price cap.</w:t>
      </w:r>
    </w:p>
    <w:p w:rsidR="00977DC4" w:rsidRPr="002D23B9" w:rsidRDefault="00221B68" w:rsidP="00977DC4">
      <w:pPr>
        <w:pStyle w:val="AERbodytext"/>
      </w:pPr>
      <w:r w:rsidRPr="002D23B9">
        <w:t xml:space="preserve">Figure </w:t>
      </w:r>
      <w:r w:rsidR="00E27C7A" w:rsidRPr="002D23B9">
        <w:t>7</w:t>
      </w:r>
      <w:r w:rsidR="0048688D" w:rsidRPr="002D23B9">
        <w:t xml:space="preserve"> </w:t>
      </w:r>
      <w:r w:rsidRPr="002D23B9">
        <w:t>shows the daily breakdown of cost</w:t>
      </w:r>
      <w:r w:rsidR="00E970B3" w:rsidRPr="002D23B9">
        <w:t>s</w:t>
      </w:r>
      <w:r w:rsidRPr="002D23B9">
        <w:t xml:space="preserve"> for each </w:t>
      </w:r>
      <w:r w:rsidR="00E970B3" w:rsidRPr="002D23B9">
        <w:t>service</w:t>
      </w:r>
      <w:r w:rsidR="00453CD8" w:rsidRPr="002D23B9">
        <w:t xml:space="preserve">, as well as the average </w:t>
      </w:r>
      <w:r w:rsidR="00F13747" w:rsidRPr="002D23B9">
        <w:t xml:space="preserve">daily </w:t>
      </w:r>
      <w:r w:rsidR="00453CD8" w:rsidRPr="002D23B9">
        <w:t>cost</w:t>
      </w:r>
      <w:r w:rsidR="00E970B3" w:rsidRPr="002D23B9">
        <w:t>s</w:t>
      </w:r>
      <w:r w:rsidR="00453CD8" w:rsidRPr="002D23B9">
        <w:t xml:space="preserve"> </w:t>
      </w:r>
      <w:r w:rsidR="000125FD" w:rsidRPr="002D23B9">
        <w:t xml:space="preserve">for the </w:t>
      </w:r>
      <w:r w:rsidR="00BD3C77" w:rsidRPr="002D23B9">
        <w:t>previous financial year</w:t>
      </w:r>
      <w:r w:rsidRPr="002D23B9">
        <w:t>.</w:t>
      </w:r>
      <w:r w:rsidR="0026403E" w:rsidRPr="002D23B9">
        <w:t xml:space="preserve"> </w:t>
      </w:r>
    </w:p>
    <w:p w:rsidR="00977DC4" w:rsidRPr="002D23B9" w:rsidRDefault="00977DC4" w:rsidP="00977DC4">
      <w:pPr>
        <w:pStyle w:val="Figureheading"/>
        <w:numPr>
          <w:ilvl w:val="0"/>
          <w:numId w:val="0"/>
        </w:numPr>
        <w:ind w:left="357" w:hanging="357"/>
      </w:pPr>
      <w:r w:rsidRPr="00A25A2E">
        <w:t xml:space="preserve">Figure </w:t>
      </w:r>
      <w:r w:rsidR="00E27C7A" w:rsidRPr="00A25A2E">
        <w:t>7</w:t>
      </w:r>
      <w:r w:rsidRPr="00A25A2E">
        <w:t>: Daily frequency control ancillary service cost</w:t>
      </w:r>
    </w:p>
    <w:bookmarkEnd w:id="0"/>
    <w:bookmarkEnd w:id="1"/>
    <w:bookmarkEnd w:id="2"/>
    <w:bookmarkEnd w:id="3"/>
    <w:bookmarkEnd w:id="4"/>
    <w:bookmarkEnd w:id="5"/>
    <w:p w:rsidR="004E70D9" w:rsidRDefault="00A06C9C" w:rsidP="00B877B0">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10;        &#10;        &#10;        &#10;" style="width:450.15pt;height:224.15pt">
            <v:imagedata r:id="rId17" o:title=""/>
          </v:shape>
        </w:pict>
      </w:r>
    </w:p>
    <w:p w:rsidR="003F441B" w:rsidRDefault="003F441B" w:rsidP="00B877B0">
      <w:pPr>
        <w:pStyle w:val="AERbodytext"/>
      </w:pPr>
    </w:p>
    <w:p w:rsidR="003F441B" w:rsidRPr="002D23B9" w:rsidRDefault="003F441B" w:rsidP="003F441B">
      <w:pPr>
        <w:pStyle w:val="Heading2"/>
        <w:rPr>
          <w:color w:val="auto"/>
        </w:rPr>
      </w:pPr>
      <w:r w:rsidRPr="002D23B9">
        <w:rPr>
          <w:color w:val="auto"/>
        </w:rPr>
        <w:t>Detailed market analysis of significant price events</w:t>
      </w:r>
    </w:p>
    <w:p w:rsidR="003F441B" w:rsidRPr="002D23B9" w:rsidRDefault="003F441B" w:rsidP="003F441B">
      <w:pPr>
        <w:pStyle w:val="AERbodytext"/>
      </w:pPr>
      <w:r w:rsidRPr="002D23B9">
        <w:t xml:space="preserve">We provide more detailed analysis of events where the spot price was greater than three times the weekly average price in a region and above $250/MWh or was below </w:t>
      </w:r>
      <w:r w:rsidRPr="002D23B9">
        <w:noBreakHyphen/>
        <w:t xml:space="preserve">$100/MWh. </w:t>
      </w:r>
    </w:p>
    <w:p w:rsidR="003F441B" w:rsidRPr="002D23B9" w:rsidRDefault="003F441B" w:rsidP="003F441B">
      <w:pPr>
        <w:rPr>
          <w:lang w:eastAsia="en-US"/>
        </w:rPr>
      </w:pPr>
      <w:r w:rsidRPr="002D23B9">
        <w:rPr>
          <w:lang w:eastAsia="en-US"/>
        </w:rPr>
        <w:t xml:space="preserve">There </w:t>
      </w:r>
      <w:r w:rsidR="006F1451">
        <w:rPr>
          <w:lang w:eastAsia="en-US"/>
        </w:rPr>
        <w:t xml:space="preserve">was one </w:t>
      </w:r>
      <w:r w:rsidRPr="002D23B9">
        <w:rPr>
          <w:lang w:eastAsia="en-US"/>
        </w:rPr>
        <w:t>occasion where the spot price in Queensland was greater than three times the Queensland weekly average price of $</w:t>
      </w:r>
      <w:r w:rsidR="006F1451">
        <w:rPr>
          <w:lang w:eastAsia="en-US"/>
        </w:rPr>
        <w:t>60</w:t>
      </w:r>
      <w:r w:rsidRPr="002D23B9">
        <w:rPr>
          <w:lang w:eastAsia="en-US"/>
        </w:rPr>
        <w:t xml:space="preserve">/MWh and above $250/MWh. There </w:t>
      </w:r>
      <w:r w:rsidR="006F1451">
        <w:rPr>
          <w:lang w:eastAsia="en-US"/>
        </w:rPr>
        <w:t>two occasions</w:t>
      </w:r>
      <w:r w:rsidRPr="002D23B9">
        <w:rPr>
          <w:lang w:eastAsia="en-US"/>
        </w:rPr>
        <w:t xml:space="preserve"> where the spot price in South Australia was greater than three times the South Australia weekly average price of $</w:t>
      </w:r>
      <w:r w:rsidR="006F1451">
        <w:rPr>
          <w:lang w:eastAsia="en-US"/>
        </w:rPr>
        <w:t>52</w:t>
      </w:r>
      <w:r w:rsidRPr="002D23B9">
        <w:rPr>
          <w:lang w:eastAsia="en-US"/>
        </w:rPr>
        <w:t>/MWh and $250/MWh.</w:t>
      </w:r>
    </w:p>
    <w:p w:rsidR="003F441B" w:rsidRPr="002D23B9" w:rsidRDefault="003F441B" w:rsidP="003F441B">
      <w:pPr>
        <w:pStyle w:val="AERtabletitle"/>
      </w:pPr>
      <w:r w:rsidRPr="002D23B9">
        <w:t xml:space="preserve">Table 3: Queensland, </w:t>
      </w:r>
      <w:r w:rsidR="006F1451">
        <w:t>Mon</w:t>
      </w:r>
      <w:r w:rsidRPr="002D23B9">
        <w:t>day </w:t>
      </w:r>
      <w:r w:rsidR="006F1451">
        <w:t>23</w:t>
      </w:r>
      <w:r w:rsidRPr="002D23B9">
        <w:t> </w:t>
      </w:r>
      <w:r w:rsidR="006F1451">
        <w:t>December</w:t>
      </w:r>
      <w:r w:rsidRPr="002D23B9">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F441B" w:rsidRPr="002D23B9" w:rsidTr="003F441B">
        <w:tc>
          <w:tcPr>
            <w:tcW w:w="2802" w:type="dxa"/>
            <w:shd w:val="clear" w:color="auto" w:fill="4A442A"/>
            <w:noWrap/>
            <w:vAlign w:val="bottom"/>
          </w:tcPr>
          <w:p w:rsidR="003F441B" w:rsidRPr="002D23B9" w:rsidRDefault="003F441B" w:rsidP="003F441B">
            <w:pPr>
              <w:autoSpaceDE w:val="0"/>
              <w:autoSpaceDN w:val="0"/>
              <w:adjustRightInd w:val="0"/>
              <w:spacing w:before="100" w:after="100"/>
              <w:rPr>
                <w:sz w:val="18"/>
                <w:szCs w:val="18"/>
              </w:rPr>
            </w:pPr>
            <w:r w:rsidRPr="002D23B9">
              <w:rPr>
                <w:b/>
                <w:bCs/>
                <w:sz w:val="18"/>
                <w:szCs w:val="18"/>
              </w:rPr>
              <w:t>7:30 PM</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Actual</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 xml:space="preserve">4 </w:t>
            </w:r>
            <w:proofErr w:type="spellStart"/>
            <w:r w:rsidRPr="002D23B9">
              <w:rPr>
                <w:b/>
                <w:bCs/>
                <w:sz w:val="18"/>
                <w:szCs w:val="18"/>
              </w:rPr>
              <w:t>hr</w:t>
            </w:r>
            <w:proofErr w:type="spellEnd"/>
            <w:r w:rsidRPr="002D23B9">
              <w:rPr>
                <w:b/>
                <w:bCs/>
                <w:sz w:val="18"/>
                <w:szCs w:val="18"/>
              </w:rPr>
              <w:t xml:space="preserve"> forecast</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 xml:space="preserve">12 </w:t>
            </w:r>
            <w:proofErr w:type="spellStart"/>
            <w:r w:rsidRPr="002D23B9">
              <w:rPr>
                <w:b/>
                <w:bCs/>
                <w:sz w:val="18"/>
                <w:szCs w:val="18"/>
              </w:rPr>
              <w:t>hr</w:t>
            </w:r>
            <w:proofErr w:type="spellEnd"/>
            <w:r w:rsidRPr="002D23B9">
              <w:rPr>
                <w:b/>
                <w:bCs/>
                <w:sz w:val="18"/>
                <w:szCs w:val="18"/>
              </w:rPr>
              <w:t xml:space="preserve"> forecast</w:t>
            </w:r>
          </w:p>
        </w:tc>
      </w:tr>
      <w:tr w:rsidR="009E6D40" w:rsidRPr="002D23B9" w:rsidTr="003F441B">
        <w:tc>
          <w:tcPr>
            <w:tcW w:w="2802" w:type="dxa"/>
            <w:shd w:val="clear" w:color="auto" w:fill="DDD9C3"/>
            <w:noWrap/>
            <w:vAlign w:val="bottom"/>
          </w:tcPr>
          <w:p w:rsidR="009E6D40" w:rsidRPr="002D23B9" w:rsidRDefault="009E6D40" w:rsidP="003F441B">
            <w:pPr>
              <w:pStyle w:val="AERtabletext-numbers"/>
              <w:jc w:val="left"/>
              <w:rPr>
                <w:b/>
              </w:rPr>
            </w:pPr>
            <w:r w:rsidRPr="002D23B9">
              <w:rPr>
                <w:b/>
              </w:rPr>
              <w:t>Price ($/MWh)</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392.81</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56.89</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60.00</w:t>
            </w:r>
          </w:p>
        </w:tc>
      </w:tr>
      <w:tr w:rsidR="009E6D40" w:rsidRPr="002D23B9" w:rsidTr="003F441B">
        <w:tc>
          <w:tcPr>
            <w:tcW w:w="2802" w:type="dxa"/>
            <w:tcBorders>
              <w:bottom w:val="nil"/>
            </w:tcBorders>
            <w:shd w:val="clear" w:color="auto" w:fill="EEECE1"/>
            <w:noWrap/>
            <w:vAlign w:val="bottom"/>
          </w:tcPr>
          <w:p w:rsidR="009E6D40" w:rsidRPr="002D23B9" w:rsidRDefault="009E6D40" w:rsidP="003F441B">
            <w:pPr>
              <w:pStyle w:val="AERtabletext-numbers"/>
              <w:jc w:val="left"/>
              <w:rPr>
                <w:b/>
              </w:rPr>
            </w:pPr>
            <w:r w:rsidRPr="002D23B9">
              <w:rPr>
                <w:b/>
              </w:rPr>
              <w:t>Demand (MW)</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6629</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6655</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6968</w:t>
            </w:r>
          </w:p>
        </w:tc>
      </w:tr>
      <w:tr w:rsidR="009E6D40" w:rsidRPr="002D23B9" w:rsidTr="003F441B">
        <w:tc>
          <w:tcPr>
            <w:tcW w:w="2802" w:type="dxa"/>
            <w:tcBorders>
              <w:top w:val="nil"/>
              <w:bottom w:val="single" w:sz="4" w:space="0" w:color="auto"/>
            </w:tcBorders>
            <w:shd w:val="clear" w:color="auto" w:fill="DDD9C3"/>
            <w:noWrap/>
            <w:vAlign w:val="bottom"/>
          </w:tcPr>
          <w:p w:rsidR="009E6D40" w:rsidRPr="002D23B9" w:rsidRDefault="009E6D40" w:rsidP="003F441B">
            <w:pPr>
              <w:pStyle w:val="AERtabletext-numbers"/>
              <w:jc w:val="left"/>
              <w:rPr>
                <w:b/>
              </w:rPr>
            </w:pPr>
            <w:r w:rsidRPr="002D23B9">
              <w:rPr>
                <w:b/>
              </w:rPr>
              <w:t>Available capacity (MW)</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9396</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9957</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10 563</w:t>
            </w:r>
          </w:p>
        </w:tc>
      </w:tr>
    </w:tbl>
    <w:p w:rsidR="003F441B" w:rsidRDefault="003F441B" w:rsidP="003F441B">
      <w:pPr>
        <w:pStyle w:val="AERbodytext"/>
      </w:pPr>
      <w:r w:rsidRPr="002D23B9">
        <w:br/>
        <w:t xml:space="preserve">Conditions at the time saw demand </w:t>
      </w:r>
      <w:r w:rsidR="006E1BE2">
        <w:t xml:space="preserve">close to that forecast </w:t>
      </w:r>
      <w:r w:rsidRPr="002D23B9">
        <w:t xml:space="preserve">and available capacity </w:t>
      </w:r>
      <w:r w:rsidR="00A016AE">
        <w:t>up to around 1200 MW lower than that</w:t>
      </w:r>
      <w:r w:rsidRPr="002D23B9">
        <w:t xml:space="preserve"> forecast</w:t>
      </w:r>
      <w:r w:rsidR="00A016AE">
        <w:t xml:space="preserve"> 12 hours ahead and 560 MW lower than that forecast four hours </w:t>
      </w:r>
      <w:r w:rsidR="00A016AE" w:rsidRPr="00A016AE">
        <w:t>ahead.</w:t>
      </w:r>
      <w:r w:rsidRPr="00A016AE">
        <w:t xml:space="preserve"> </w:t>
      </w:r>
    </w:p>
    <w:p w:rsidR="00B055AE" w:rsidRPr="00A016AE" w:rsidRDefault="00B055AE" w:rsidP="003F441B">
      <w:pPr>
        <w:pStyle w:val="AERbodytext"/>
      </w:pPr>
      <w:r w:rsidRPr="00B055AE">
        <w:lastRenderedPageBreak/>
        <w:t>With the Terranora interconnector still unavailable (on a planned outage since 8 August) and voltage collapse c</w:t>
      </w:r>
      <w:r>
        <w:t xml:space="preserve">onstraints from the loss of </w:t>
      </w:r>
      <w:proofErr w:type="spellStart"/>
      <w:r>
        <w:t>Kogan</w:t>
      </w:r>
      <w:proofErr w:type="spellEnd"/>
      <w:r>
        <w:t xml:space="preserve"> Creek</w:t>
      </w:r>
      <w:r w:rsidRPr="00B055AE">
        <w:t xml:space="preserve"> limit</w:t>
      </w:r>
      <w:r>
        <w:t>ing</w:t>
      </w:r>
      <w:r w:rsidRPr="00B055AE">
        <w:t xml:space="preserve"> QNI to around </w:t>
      </w:r>
      <w:r>
        <w:t>250 </w:t>
      </w:r>
      <w:r w:rsidRPr="00B055AE">
        <w:t>MW, there was reduced import capability into Queensland.</w:t>
      </w:r>
    </w:p>
    <w:p w:rsidR="006D2700" w:rsidRDefault="006D2700" w:rsidP="006D2700">
      <w:pPr>
        <w:pStyle w:val="AERbodytext"/>
      </w:pPr>
      <w:r>
        <w:t>At 9.05 am Millmerran Energy Trader reduced the availability capacity of Millmerran from 870 MW to zero because of a station trip. All this capacity was priced at the price floor.</w:t>
      </w:r>
    </w:p>
    <w:p w:rsidR="00332333" w:rsidRPr="00A016AE" w:rsidRDefault="00332333" w:rsidP="006D2700">
      <w:pPr>
        <w:pStyle w:val="AERbodytext"/>
      </w:pPr>
      <w:r>
        <w:t>At 5.21 pm Callide Power Traders reduced the availability of Callide unit 4 by 240 MW (127 MW of which was priced at the price floor)</w:t>
      </w:r>
      <w:r w:rsidR="0030755B">
        <w:t xml:space="preserve"> </w:t>
      </w:r>
      <w:r w:rsidR="007109A7">
        <w:t xml:space="preserve">and </w:t>
      </w:r>
      <w:r w:rsidR="0030755B">
        <w:t>bid the unit inflexible at 166 </w:t>
      </w:r>
      <w:r w:rsidR="00C81633">
        <w:t>MW. The reason given was “SFPT on mandatory barring schedule”.</w:t>
      </w:r>
      <w:r w:rsidR="00EB16FB">
        <w:t xml:space="preserve">  Enquiries show that this was related to the mechanical balancing of the steam feed pump at the station.</w:t>
      </w:r>
    </w:p>
    <w:p w:rsidR="003F441B" w:rsidRDefault="003F441B" w:rsidP="003F441B">
      <w:pPr>
        <w:pStyle w:val="AERbodytext"/>
      </w:pPr>
      <w:r w:rsidRPr="00A016AE">
        <w:t>At 6.</w:t>
      </w:r>
      <w:r w:rsidR="00A016AE" w:rsidRPr="00A016AE">
        <w:t>5</w:t>
      </w:r>
      <w:r w:rsidRPr="00A016AE">
        <w:t xml:space="preserve">9 pm, effective from </w:t>
      </w:r>
      <w:r w:rsidR="00A016AE" w:rsidRPr="00A016AE">
        <w:t>7</w:t>
      </w:r>
      <w:r w:rsidRPr="00A016AE">
        <w:t>.</w:t>
      </w:r>
      <w:r w:rsidR="00A016AE" w:rsidRPr="00A016AE">
        <w:t>1</w:t>
      </w:r>
      <w:r w:rsidRPr="00A016AE">
        <w:t xml:space="preserve">0 pm, </w:t>
      </w:r>
      <w:r w:rsidR="00A016AE" w:rsidRPr="00A016AE">
        <w:t>CS Energy</w:t>
      </w:r>
      <w:r w:rsidRPr="00A016AE">
        <w:t xml:space="preserve"> rebid </w:t>
      </w:r>
      <w:r w:rsidR="00A016AE" w:rsidRPr="00A016AE">
        <w:t>86</w:t>
      </w:r>
      <w:r w:rsidRPr="00A016AE">
        <w:t xml:space="preserve">0 MW of capacity across its portfolio, </w:t>
      </w:r>
      <w:r w:rsidR="00EE44A6">
        <w:t xml:space="preserve">the majority </w:t>
      </w:r>
      <w:r w:rsidRPr="00A016AE">
        <w:t>from prices below $</w:t>
      </w:r>
      <w:r w:rsidR="00A016AE" w:rsidRPr="00A016AE">
        <w:t>160</w:t>
      </w:r>
      <w:r w:rsidRPr="00A016AE">
        <w:t>/MWh to above $</w:t>
      </w:r>
      <w:r w:rsidR="00A016AE" w:rsidRPr="00A016AE">
        <w:t>12 7</w:t>
      </w:r>
      <w:r w:rsidRPr="00A016AE">
        <w:t>00/MWh. The reason given was “</w:t>
      </w:r>
      <w:r w:rsidR="00A016AE" w:rsidRPr="00A016AE">
        <w:t xml:space="preserve">Interconnector constraint-QNI binding in 30min </w:t>
      </w:r>
      <w:proofErr w:type="spellStart"/>
      <w:r w:rsidR="00A016AE" w:rsidRPr="00A016AE">
        <w:t>Pd</w:t>
      </w:r>
      <w:proofErr w:type="spellEnd"/>
      <w:r w:rsidR="00A016AE" w:rsidRPr="00A016AE">
        <w:t>-</w:t>
      </w:r>
      <w:r w:rsidRPr="00A016AE">
        <w:t xml:space="preserve">SL”. </w:t>
      </w:r>
    </w:p>
    <w:p w:rsidR="00C81633" w:rsidRPr="00B055AE" w:rsidRDefault="00C81633" w:rsidP="003F441B">
      <w:pPr>
        <w:pStyle w:val="AERbodytext"/>
      </w:pPr>
      <w:r>
        <w:t xml:space="preserve">At 7.07 pm, effective from 7.15 pm, </w:t>
      </w:r>
      <w:proofErr w:type="spellStart"/>
      <w:r>
        <w:t>Alinta</w:t>
      </w:r>
      <w:proofErr w:type="spellEnd"/>
      <w:r>
        <w:t xml:space="preserve"> Energy rebid 161 MW of available capacity at </w:t>
      </w:r>
      <w:proofErr w:type="spellStart"/>
      <w:r>
        <w:t>Braemar</w:t>
      </w:r>
      <w:proofErr w:type="spellEnd"/>
      <w:r>
        <w:t xml:space="preserve"> unit 3 from $4</w:t>
      </w:r>
      <w:r w:rsidR="00EE44A6">
        <w:t>3</w:t>
      </w:r>
      <w:r>
        <w:t>0/MWh to above $11 500/MWh. The reason given</w:t>
      </w:r>
      <w:r w:rsidR="00EE44A6">
        <w:t xml:space="preserve"> </w:t>
      </w:r>
      <w:r>
        <w:t xml:space="preserve">was “Uneconomic start </w:t>
      </w:r>
      <w:r w:rsidRPr="00B055AE">
        <w:t>based on PD SL@19:07”.</w:t>
      </w:r>
    </w:p>
    <w:p w:rsidR="003F441B" w:rsidRPr="00B055AE" w:rsidRDefault="003F441B" w:rsidP="003F441B">
      <w:pPr>
        <w:pStyle w:val="AERbodytext"/>
      </w:pPr>
      <w:r w:rsidRPr="00B055AE">
        <w:t xml:space="preserve">The rebids, combined with </w:t>
      </w:r>
      <w:r w:rsidR="00B055AE" w:rsidRPr="00B055AE">
        <w:t>generators being ramp up limited</w:t>
      </w:r>
      <w:r w:rsidRPr="00B055AE">
        <w:t xml:space="preserve"> at the time saw an increase in the five minute price from $</w:t>
      </w:r>
      <w:r w:rsidR="00B055AE" w:rsidRPr="00B055AE">
        <w:t>160/MWh at 7.05 </w:t>
      </w:r>
      <w:r w:rsidRPr="00B055AE">
        <w:t>pm to $</w:t>
      </w:r>
      <w:r w:rsidR="00B055AE" w:rsidRPr="00B055AE">
        <w:t>291</w:t>
      </w:r>
      <w:r w:rsidRPr="00B055AE">
        <w:t>/MWh at 7.</w:t>
      </w:r>
      <w:r w:rsidR="00B055AE" w:rsidRPr="00B055AE">
        <w:t>10</w:t>
      </w:r>
      <w:r w:rsidRPr="00B055AE">
        <w:t> pm</w:t>
      </w:r>
      <w:r w:rsidR="00B055AE" w:rsidRPr="00B055AE">
        <w:t xml:space="preserve"> and then to $1500/MWh at 7.15 pm</w:t>
      </w:r>
      <w:r w:rsidRPr="00B055AE">
        <w:t>. Prices returned to below $60/</w:t>
      </w:r>
      <w:r w:rsidR="00B055AE" w:rsidRPr="00B055AE">
        <w:t>MWh at 7.25 pm</w:t>
      </w:r>
      <w:r w:rsidRPr="00B055AE">
        <w:t xml:space="preserve"> following a number of Queensland generators rebidding of capacity from high prices to low prices, </w:t>
      </w:r>
      <w:r w:rsidR="00EB16FB">
        <w:t xml:space="preserve">and a </w:t>
      </w:r>
      <w:r w:rsidRPr="00B055AE">
        <w:t>coincid</w:t>
      </w:r>
      <w:r w:rsidR="00EB16FB">
        <w:t>ental</w:t>
      </w:r>
      <w:r w:rsidRPr="00B055AE">
        <w:t xml:space="preserve"> </w:t>
      </w:r>
      <w:r w:rsidR="00EB16FB" w:rsidRPr="00B055AE">
        <w:t xml:space="preserve">reduction in </w:t>
      </w:r>
      <w:r w:rsidR="00EB16FB">
        <w:t xml:space="preserve">regional </w:t>
      </w:r>
      <w:r w:rsidR="00EB16FB" w:rsidRPr="00B055AE">
        <w:t xml:space="preserve">demand </w:t>
      </w:r>
      <w:r w:rsidR="00EB16FB">
        <w:t xml:space="preserve">of </w:t>
      </w:r>
      <w:r w:rsidR="00B055AE" w:rsidRPr="00B055AE">
        <w:t>95</w:t>
      </w:r>
      <w:r w:rsidRPr="00B055AE">
        <w:t> MW.</w:t>
      </w:r>
    </w:p>
    <w:p w:rsidR="003F441B" w:rsidRPr="002D23B9" w:rsidRDefault="003F441B" w:rsidP="003F441B">
      <w:pPr>
        <w:pStyle w:val="AERbodytext"/>
      </w:pPr>
      <w:r w:rsidRPr="002D23B9">
        <w:t xml:space="preserve">There was no other significant rebidding. </w:t>
      </w:r>
    </w:p>
    <w:p w:rsidR="003F441B" w:rsidRPr="002D23B9" w:rsidRDefault="003F441B" w:rsidP="003F441B">
      <w:pPr>
        <w:pStyle w:val="AERtabletitle"/>
      </w:pPr>
      <w:r w:rsidRPr="002D23B9">
        <w:t xml:space="preserve">Table 4: </w:t>
      </w:r>
      <w:r w:rsidR="009E6D40">
        <w:t>South Australia</w:t>
      </w:r>
      <w:r w:rsidRPr="002D23B9">
        <w:t xml:space="preserve">, </w:t>
      </w:r>
      <w:r w:rsidR="009E6D40">
        <w:t>Friday</w:t>
      </w:r>
      <w:r w:rsidRPr="002D23B9">
        <w:t> </w:t>
      </w:r>
      <w:r w:rsidR="009E6D40">
        <w:t>27</w:t>
      </w:r>
      <w:r w:rsidRPr="002D23B9">
        <w:t> </w:t>
      </w:r>
      <w:r w:rsidR="009E6D40">
        <w:t>December</w:t>
      </w:r>
      <w:r w:rsidRPr="002D23B9">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F441B" w:rsidRPr="002D23B9" w:rsidTr="003F441B">
        <w:tc>
          <w:tcPr>
            <w:tcW w:w="2802" w:type="dxa"/>
            <w:shd w:val="clear" w:color="auto" w:fill="4A442A"/>
            <w:noWrap/>
            <w:vAlign w:val="bottom"/>
          </w:tcPr>
          <w:p w:rsidR="003F441B" w:rsidRPr="002D23B9" w:rsidRDefault="009E6D40" w:rsidP="003F441B">
            <w:pPr>
              <w:autoSpaceDE w:val="0"/>
              <w:autoSpaceDN w:val="0"/>
              <w:adjustRightInd w:val="0"/>
              <w:spacing w:before="100" w:after="100"/>
              <w:rPr>
                <w:sz w:val="18"/>
                <w:szCs w:val="18"/>
              </w:rPr>
            </w:pPr>
            <w:r>
              <w:rPr>
                <w:b/>
                <w:bCs/>
                <w:sz w:val="18"/>
                <w:szCs w:val="18"/>
              </w:rPr>
              <w:t>6</w:t>
            </w:r>
            <w:r w:rsidR="003F441B" w:rsidRPr="002D23B9">
              <w:rPr>
                <w:b/>
                <w:bCs/>
                <w:sz w:val="18"/>
                <w:szCs w:val="18"/>
              </w:rPr>
              <w:t>:30 PM</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Actual</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 xml:space="preserve">4 </w:t>
            </w:r>
            <w:proofErr w:type="spellStart"/>
            <w:r w:rsidRPr="002D23B9">
              <w:rPr>
                <w:b/>
                <w:bCs/>
                <w:sz w:val="18"/>
                <w:szCs w:val="18"/>
              </w:rPr>
              <w:t>hr</w:t>
            </w:r>
            <w:proofErr w:type="spellEnd"/>
            <w:r w:rsidRPr="002D23B9">
              <w:rPr>
                <w:b/>
                <w:bCs/>
                <w:sz w:val="18"/>
                <w:szCs w:val="18"/>
              </w:rPr>
              <w:t xml:space="preserve"> forecast</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 xml:space="preserve">12 </w:t>
            </w:r>
            <w:proofErr w:type="spellStart"/>
            <w:r w:rsidRPr="002D23B9">
              <w:rPr>
                <w:b/>
                <w:bCs/>
                <w:sz w:val="18"/>
                <w:szCs w:val="18"/>
              </w:rPr>
              <w:t>hr</w:t>
            </w:r>
            <w:proofErr w:type="spellEnd"/>
            <w:r w:rsidRPr="002D23B9">
              <w:rPr>
                <w:b/>
                <w:bCs/>
                <w:sz w:val="18"/>
                <w:szCs w:val="18"/>
              </w:rPr>
              <w:t xml:space="preserve"> forecast</w:t>
            </w:r>
          </w:p>
        </w:tc>
      </w:tr>
      <w:tr w:rsidR="009E6D40" w:rsidRPr="002D23B9" w:rsidTr="003F441B">
        <w:tc>
          <w:tcPr>
            <w:tcW w:w="2802" w:type="dxa"/>
            <w:shd w:val="clear" w:color="auto" w:fill="DDD9C3"/>
            <w:noWrap/>
            <w:vAlign w:val="bottom"/>
          </w:tcPr>
          <w:p w:rsidR="009E6D40" w:rsidRPr="002D23B9" w:rsidRDefault="009E6D40" w:rsidP="003F441B">
            <w:pPr>
              <w:pStyle w:val="AERtabletext-numbers"/>
              <w:jc w:val="left"/>
              <w:rPr>
                <w:b/>
              </w:rPr>
            </w:pPr>
            <w:r w:rsidRPr="002D23B9">
              <w:rPr>
                <w:b/>
              </w:rPr>
              <w:t>Price ($/MWh)</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380.34</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70.80</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70.80</w:t>
            </w:r>
          </w:p>
        </w:tc>
      </w:tr>
      <w:tr w:rsidR="009E6D40" w:rsidRPr="002D23B9" w:rsidTr="003F441B">
        <w:tc>
          <w:tcPr>
            <w:tcW w:w="2802" w:type="dxa"/>
            <w:tcBorders>
              <w:bottom w:val="nil"/>
            </w:tcBorders>
            <w:shd w:val="clear" w:color="auto" w:fill="EEECE1"/>
            <w:noWrap/>
            <w:vAlign w:val="bottom"/>
          </w:tcPr>
          <w:p w:rsidR="009E6D40" w:rsidRPr="002D23B9" w:rsidRDefault="009E6D40" w:rsidP="003F441B">
            <w:pPr>
              <w:pStyle w:val="AERtabletext-numbers"/>
              <w:jc w:val="left"/>
              <w:rPr>
                <w:b/>
              </w:rPr>
            </w:pPr>
            <w:r w:rsidRPr="002D23B9">
              <w:rPr>
                <w:b/>
              </w:rPr>
              <w:t>Demand (MW)</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1660</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1594</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1602</w:t>
            </w:r>
          </w:p>
        </w:tc>
      </w:tr>
      <w:tr w:rsidR="009E6D40" w:rsidRPr="002D23B9" w:rsidTr="003F441B">
        <w:tc>
          <w:tcPr>
            <w:tcW w:w="2802" w:type="dxa"/>
            <w:tcBorders>
              <w:top w:val="nil"/>
              <w:bottom w:val="single" w:sz="4" w:space="0" w:color="auto"/>
            </w:tcBorders>
            <w:shd w:val="clear" w:color="auto" w:fill="DDD9C3"/>
            <w:noWrap/>
            <w:vAlign w:val="bottom"/>
          </w:tcPr>
          <w:p w:rsidR="009E6D40" w:rsidRPr="002D23B9" w:rsidRDefault="009E6D40" w:rsidP="003F441B">
            <w:pPr>
              <w:pStyle w:val="AERtabletext-numbers"/>
              <w:jc w:val="left"/>
              <w:rPr>
                <w:b/>
              </w:rPr>
            </w:pPr>
            <w:r w:rsidRPr="002D23B9">
              <w:rPr>
                <w:b/>
              </w:rPr>
              <w:t>Available capacity (MW)</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2000</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2031</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2042</w:t>
            </w:r>
          </w:p>
        </w:tc>
      </w:tr>
      <w:tr w:rsidR="003F441B" w:rsidRPr="002D23B9" w:rsidTr="003F441B">
        <w:tc>
          <w:tcPr>
            <w:tcW w:w="2802" w:type="dxa"/>
            <w:shd w:val="clear" w:color="auto" w:fill="4A442A"/>
            <w:noWrap/>
            <w:vAlign w:val="bottom"/>
          </w:tcPr>
          <w:p w:rsidR="003F441B" w:rsidRPr="002D23B9" w:rsidRDefault="009E6D40" w:rsidP="009E6D40">
            <w:pPr>
              <w:autoSpaceDE w:val="0"/>
              <w:autoSpaceDN w:val="0"/>
              <w:adjustRightInd w:val="0"/>
              <w:spacing w:before="100" w:after="100"/>
              <w:rPr>
                <w:sz w:val="18"/>
                <w:szCs w:val="18"/>
              </w:rPr>
            </w:pPr>
            <w:r>
              <w:rPr>
                <w:b/>
                <w:bCs/>
                <w:sz w:val="18"/>
                <w:szCs w:val="18"/>
              </w:rPr>
              <w:t>7</w:t>
            </w:r>
            <w:r w:rsidR="003F441B" w:rsidRPr="002D23B9">
              <w:rPr>
                <w:b/>
                <w:bCs/>
                <w:sz w:val="18"/>
                <w:szCs w:val="18"/>
              </w:rPr>
              <w:t xml:space="preserve"> </w:t>
            </w:r>
            <w:r>
              <w:rPr>
                <w:b/>
                <w:bCs/>
                <w:sz w:val="18"/>
                <w:szCs w:val="18"/>
              </w:rPr>
              <w:t>P</w:t>
            </w:r>
            <w:r w:rsidR="003F441B" w:rsidRPr="002D23B9">
              <w:rPr>
                <w:b/>
                <w:bCs/>
                <w:sz w:val="18"/>
                <w:szCs w:val="18"/>
              </w:rPr>
              <w:t>M</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Actual</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 xml:space="preserve">4 </w:t>
            </w:r>
            <w:proofErr w:type="spellStart"/>
            <w:r w:rsidRPr="002D23B9">
              <w:rPr>
                <w:b/>
                <w:bCs/>
                <w:sz w:val="18"/>
                <w:szCs w:val="18"/>
              </w:rPr>
              <w:t>hr</w:t>
            </w:r>
            <w:proofErr w:type="spellEnd"/>
            <w:r w:rsidRPr="002D23B9">
              <w:rPr>
                <w:b/>
                <w:bCs/>
                <w:sz w:val="18"/>
                <w:szCs w:val="18"/>
              </w:rPr>
              <w:t xml:space="preserve"> forecast</w:t>
            </w:r>
          </w:p>
        </w:tc>
        <w:tc>
          <w:tcPr>
            <w:tcW w:w="2090" w:type="dxa"/>
            <w:shd w:val="clear" w:color="auto" w:fill="4A442A"/>
            <w:noWrap/>
            <w:vAlign w:val="bottom"/>
          </w:tcPr>
          <w:p w:rsidR="003F441B" w:rsidRPr="002D23B9" w:rsidRDefault="003F441B" w:rsidP="003F441B">
            <w:pPr>
              <w:autoSpaceDE w:val="0"/>
              <w:autoSpaceDN w:val="0"/>
              <w:adjustRightInd w:val="0"/>
              <w:spacing w:before="100" w:after="100"/>
              <w:jc w:val="center"/>
              <w:rPr>
                <w:sz w:val="18"/>
                <w:szCs w:val="18"/>
              </w:rPr>
            </w:pPr>
            <w:r w:rsidRPr="002D23B9">
              <w:rPr>
                <w:b/>
                <w:bCs/>
                <w:sz w:val="18"/>
                <w:szCs w:val="18"/>
              </w:rPr>
              <w:t xml:space="preserve">12 </w:t>
            </w:r>
            <w:proofErr w:type="spellStart"/>
            <w:r w:rsidRPr="002D23B9">
              <w:rPr>
                <w:b/>
                <w:bCs/>
                <w:sz w:val="18"/>
                <w:szCs w:val="18"/>
              </w:rPr>
              <w:t>hr</w:t>
            </w:r>
            <w:proofErr w:type="spellEnd"/>
            <w:r w:rsidRPr="002D23B9">
              <w:rPr>
                <w:b/>
                <w:bCs/>
                <w:sz w:val="18"/>
                <w:szCs w:val="18"/>
              </w:rPr>
              <w:t xml:space="preserve"> forecast</w:t>
            </w:r>
          </w:p>
        </w:tc>
      </w:tr>
      <w:tr w:rsidR="009E6D40" w:rsidRPr="002D23B9" w:rsidTr="003F441B">
        <w:tc>
          <w:tcPr>
            <w:tcW w:w="2802" w:type="dxa"/>
            <w:shd w:val="clear" w:color="auto" w:fill="DDD9C3"/>
            <w:noWrap/>
            <w:vAlign w:val="bottom"/>
          </w:tcPr>
          <w:p w:rsidR="009E6D40" w:rsidRPr="002D23B9" w:rsidRDefault="009E6D40" w:rsidP="003F441B">
            <w:pPr>
              <w:pStyle w:val="AERtabletext-numbers"/>
              <w:jc w:val="left"/>
              <w:rPr>
                <w:b/>
              </w:rPr>
            </w:pPr>
            <w:r w:rsidRPr="002D23B9">
              <w:rPr>
                <w:b/>
              </w:rPr>
              <w:t>Price ($/MWh)</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321.11</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70.80</w:t>
            </w:r>
          </w:p>
        </w:tc>
        <w:tc>
          <w:tcPr>
            <w:tcW w:w="2090" w:type="dxa"/>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70.80</w:t>
            </w:r>
          </w:p>
        </w:tc>
      </w:tr>
      <w:tr w:rsidR="009E6D40" w:rsidRPr="002D23B9" w:rsidTr="003F441B">
        <w:tc>
          <w:tcPr>
            <w:tcW w:w="2802" w:type="dxa"/>
            <w:tcBorders>
              <w:bottom w:val="nil"/>
            </w:tcBorders>
            <w:shd w:val="clear" w:color="auto" w:fill="EEECE1"/>
            <w:noWrap/>
            <w:vAlign w:val="bottom"/>
          </w:tcPr>
          <w:p w:rsidR="009E6D40" w:rsidRPr="002D23B9" w:rsidRDefault="009E6D40" w:rsidP="003F441B">
            <w:pPr>
              <w:pStyle w:val="AERtabletext-numbers"/>
              <w:jc w:val="left"/>
              <w:rPr>
                <w:b/>
              </w:rPr>
            </w:pPr>
            <w:r w:rsidRPr="002D23B9">
              <w:rPr>
                <w:b/>
              </w:rPr>
              <w:t>Demand (MW)</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1716</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1589</w:t>
            </w:r>
          </w:p>
        </w:tc>
        <w:tc>
          <w:tcPr>
            <w:tcW w:w="2090" w:type="dxa"/>
            <w:tcBorders>
              <w:bottom w:val="nil"/>
            </w:tcBorders>
            <w:shd w:val="clear" w:color="auto" w:fill="EEECE1"/>
            <w:noWrap/>
            <w:vAlign w:val="bottom"/>
          </w:tcPr>
          <w:p w:rsidR="009E6D40" w:rsidRDefault="009E6D40" w:rsidP="009E6D40">
            <w:pPr>
              <w:pStyle w:val="AERtabletext-numbers"/>
              <w:jc w:val="center"/>
              <w:rPr>
                <w:rFonts w:ascii="Arial" w:hAnsi="Arial" w:cs="Arial"/>
              </w:rPr>
            </w:pPr>
            <w:r>
              <w:rPr>
                <w:rFonts w:ascii="Arial" w:hAnsi="Arial" w:cs="Arial"/>
              </w:rPr>
              <w:t>1572</w:t>
            </w:r>
          </w:p>
        </w:tc>
      </w:tr>
      <w:tr w:rsidR="009E6D40" w:rsidRPr="002D23B9" w:rsidTr="003F441B">
        <w:tc>
          <w:tcPr>
            <w:tcW w:w="2802" w:type="dxa"/>
            <w:tcBorders>
              <w:top w:val="nil"/>
              <w:bottom w:val="single" w:sz="4" w:space="0" w:color="auto"/>
            </w:tcBorders>
            <w:shd w:val="clear" w:color="auto" w:fill="DDD9C3"/>
            <w:noWrap/>
            <w:vAlign w:val="bottom"/>
          </w:tcPr>
          <w:p w:rsidR="009E6D40" w:rsidRPr="002D23B9" w:rsidRDefault="009E6D40" w:rsidP="003F441B">
            <w:pPr>
              <w:pStyle w:val="AERtabletext-numbers"/>
              <w:jc w:val="left"/>
              <w:rPr>
                <w:b/>
              </w:rPr>
            </w:pPr>
            <w:r w:rsidRPr="002D23B9">
              <w:rPr>
                <w:b/>
              </w:rPr>
              <w:t>Available capacity (MW)</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2030</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2028</w:t>
            </w:r>
          </w:p>
        </w:tc>
        <w:tc>
          <w:tcPr>
            <w:tcW w:w="2090" w:type="dxa"/>
            <w:tcBorders>
              <w:top w:val="nil"/>
              <w:bottom w:val="single" w:sz="4" w:space="0" w:color="auto"/>
            </w:tcBorders>
            <w:shd w:val="clear" w:color="auto" w:fill="DDD9C3"/>
            <w:noWrap/>
            <w:vAlign w:val="bottom"/>
          </w:tcPr>
          <w:p w:rsidR="009E6D40" w:rsidRDefault="009E6D40" w:rsidP="009E6D40">
            <w:pPr>
              <w:pStyle w:val="AERtabletext-numbers"/>
              <w:jc w:val="center"/>
              <w:rPr>
                <w:rFonts w:ascii="Arial" w:hAnsi="Arial" w:cs="Arial"/>
              </w:rPr>
            </w:pPr>
            <w:r>
              <w:rPr>
                <w:rFonts w:ascii="Arial" w:hAnsi="Arial" w:cs="Arial"/>
              </w:rPr>
              <w:t>2049</w:t>
            </w:r>
          </w:p>
        </w:tc>
      </w:tr>
    </w:tbl>
    <w:p w:rsidR="003F441B" w:rsidRPr="00924139" w:rsidRDefault="003F441B" w:rsidP="003F441B">
      <w:pPr>
        <w:pStyle w:val="AERbodytext"/>
      </w:pPr>
    </w:p>
    <w:p w:rsidR="003F441B" w:rsidRDefault="00EB16FB" w:rsidP="003F441B">
      <w:pPr>
        <w:pStyle w:val="AERbodytext"/>
      </w:pPr>
      <w:r>
        <w:t xml:space="preserve">Actual </w:t>
      </w:r>
      <w:r w:rsidR="003F441B" w:rsidRPr="00924139">
        <w:t xml:space="preserve">demand </w:t>
      </w:r>
      <w:r>
        <w:t xml:space="preserve">at the time was </w:t>
      </w:r>
      <w:r w:rsidR="003F441B" w:rsidRPr="00924139">
        <w:t>1</w:t>
      </w:r>
      <w:r w:rsidR="00924139" w:rsidRPr="00924139">
        <w:t>2</w:t>
      </w:r>
      <w:r w:rsidR="00EE44A6">
        <w:t>7</w:t>
      </w:r>
      <w:r w:rsidR="003F441B" w:rsidRPr="00924139">
        <w:t xml:space="preserve"> MW higher than that forecast four hours ahead and available capacity </w:t>
      </w:r>
      <w:r w:rsidR="00924139" w:rsidRPr="00924139">
        <w:t>close to</w:t>
      </w:r>
      <w:r w:rsidR="003F441B" w:rsidRPr="00924139">
        <w:t xml:space="preserve"> tha</w:t>
      </w:r>
      <w:r w:rsidR="00924139" w:rsidRPr="00924139">
        <w:t>t</w:t>
      </w:r>
      <w:r w:rsidR="003F441B" w:rsidRPr="00924139">
        <w:t xml:space="preserve"> forecast.</w:t>
      </w:r>
    </w:p>
    <w:p w:rsidR="00214FD0" w:rsidRDefault="00214FD0" w:rsidP="003F441B">
      <w:pPr>
        <w:pStyle w:val="AERbodytext"/>
      </w:pPr>
      <w:r w:rsidRPr="00214FD0">
        <w:t xml:space="preserve">Imports into South Australia across Heywood were limited </w:t>
      </w:r>
      <w:r w:rsidR="00C65E17">
        <w:t xml:space="preserve">to around 200 MW </w:t>
      </w:r>
      <w:r w:rsidRPr="00214FD0">
        <w:t xml:space="preserve">by a system normal </w:t>
      </w:r>
      <w:r w:rsidR="00EE44A6" w:rsidRPr="00214FD0">
        <w:t>constrain</w:t>
      </w:r>
      <w:r w:rsidR="00EE44A6">
        <w:t>t</w:t>
      </w:r>
      <w:r w:rsidR="00EE44A6" w:rsidRPr="00214FD0">
        <w:t xml:space="preserve"> </w:t>
      </w:r>
      <w:r w:rsidRPr="00214FD0">
        <w:t xml:space="preserve">managing flow across the Snuggery to Keith 132kV line. </w:t>
      </w:r>
      <w:r w:rsidR="00D150ED">
        <w:t xml:space="preserve">A dynamic line rating process that operates in response to temperature reduced </w:t>
      </w:r>
      <w:r>
        <w:t>the rating of the Snuggery to Keith 132kV line from 71 MW at 6.05 pm to 60 MW at 6.10</w:t>
      </w:r>
      <w:r w:rsidR="00EA1B44">
        <w:t> </w:t>
      </w:r>
      <w:r>
        <w:t>pm</w:t>
      </w:r>
      <w:r w:rsidR="00EA1B44">
        <w:t xml:space="preserve"> resulting in a step change in the right hand side of the </w:t>
      </w:r>
      <w:r w:rsidR="00EA1B44">
        <w:lastRenderedPageBreak/>
        <w:t>constraint. This led to low priced generation being constrained-off and the five minute price</w:t>
      </w:r>
      <w:r w:rsidR="00C65E17">
        <w:t xml:space="preserve"> </w:t>
      </w:r>
      <w:r w:rsidR="00EA1B44">
        <w:t>reached $1208/MWh at 6.10 pm.</w:t>
      </w:r>
    </w:p>
    <w:p w:rsidR="003E6D7C" w:rsidRDefault="00F62B19" w:rsidP="003F441B">
      <w:pPr>
        <w:pStyle w:val="AERbodytext"/>
      </w:pPr>
      <w:r>
        <w:t>At 6.36 pm, effective from 6.45 pm, GDF Suez rebid 33 MW of capacity at Dry Creek unit 3 f</w:t>
      </w:r>
      <w:r w:rsidR="003E6D7C">
        <w:t>r</w:t>
      </w:r>
      <w:r>
        <w:t>om the price floor to $589/MWh. The reason given was “</w:t>
      </w:r>
      <w:r w:rsidRPr="00F62B19">
        <w:t>constraint management V&gt;&gt;S_NIL_PWKN_SGKH”.</w:t>
      </w:r>
      <w:r>
        <w:t xml:space="preserve"> </w:t>
      </w:r>
    </w:p>
    <w:p w:rsidR="00B768D9" w:rsidRPr="00214FD0" w:rsidRDefault="00B768D9" w:rsidP="00B768D9">
      <w:pPr>
        <w:pStyle w:val="AERbodytext"/>
      </w:pPr>
      <w:r>
        <w:t xml:space="preserve">At 6.51 pm, effective from 7 pm, </w:t>
      </w:r>
      <w:proofErr w:type="spellStart"/>
      <w:r>
        <w:t>Alinta</w:t>
      </w:r>
      <w:proofErr w:type="spellEnd"/>
      <w:r>
        <w:t xml:space="preserve"> Energy rebid 25 MW of capacity at NPS1 from prices under $56/MWh to $10 330/MWh. The reason given was “1848A SA spot price higher than forecast $589 V $176@18:51”.</w:t>
      </w:r>
    </w:p>
    <w:p w:rsidR="00954C34" w:rsidRDefault="00574A72" w:rsidP="003F441B">
      <w:pPr>
        <w:pStyle w:val="AERbodytext"/>
      </w:pPr>
      <w:r>
        <w:t xml:space="preserve">At 6.45 pm </w:t>
      </w:r>
      <w:r w:rsidR="00D150ED">
        <w:t xml:space="preserve">demand increased by </w:t>
      </w:r>
      <w:r>
        <w:t xml:space="preserve">107 MW and the five minute price </w:t>
      </w:r>
      <w:r w:rsidR="00F62B19">
        <w:t xml:space="preserve">alternated between </w:t>
      </w:r>
      <w:r>
        <w:t xml:space="preserve">$292/MWh </w:t>
      </w:r>
      <w:r w:rsidR="00F62B19">
        <w:t>and $589/</w:t>
      </w:r>
      <w:r w:rsidR="002D2056">
        <w:t>MWh (set by Dry Creek unit 3)</w:t>
      </w:r>
      <w:r w:rsidR="00F62B19">
        <w:t xml:space="preserve"> for the rest of the trading interval.</w:t>
      </w:r>
    </w:p>
    <w:p w:rsidR="003F441B" w:rsidRPr="002D23B9" w:rsidRDefault="003F441B" w:rsidP="003F441B">
      <w:pPr>
        <w:pStyle w:val="AERbodytext"/>
      </w:pPr>
      <w:r w:rsidRPr="002D23B9">
        <w:t xml:space="preserve">There was no other significant rebidding. </w:t>
      </w:r>
    </w:p>
    <w:p w:rsidR="003F441B" w:rsidRDefault="003F441B" w:rsidP="00B877B0">
      <w:pPr>
        <w:pStyle w:val="AERbodytext"/>
      </w:pPr>
    </w:p>
    <w:p w:rsidR="00E96C5A" w:rsidRPr="002D23B9" w:rsidRDefault="00E96C5A" w:rsidP="00E96C5A">
      <w:pPr>
        <w:pStyle w:val="Heading2"/>
        <w:rPr>
          <w:color w:val="auto"/>
        </w:rPr>
      </w:pPr>
      <w:r w:rsidRPr="002D23B9">
        <w:rPr>
          <w:color w:val="auto"/>
        </w:rPr>
        <w:t>Financial markets</w:t>
      </w:r>
    </w:p>
    <w:p w:rsidR="00E96C5A" w:rsidRPr="002D23B9" w:rsidRDefault="00E96C5A" w:rsidP="00E96C5A">
      <w:pPr>
        <w:pStyle w:val="AERbodytext"/>
      </w:pPr>
      <w:r w:rsidRPr="002D23B9">
        <w:t xml:space="preserve">Figure 8 shows for all mainland regions the prices for base contracts (and total traded quantities for the week) for each quarter for the next four financial years. </w:t>
      </w:r>
    </w:p>
    <w:p w:rsidR="00E96C5A" w:rsidRPr="002D23B9" w:rsidRDefault="00E96C5A" w:rsidP="00E96C5A">
      <w:pPr>
        <w:pStyle w:val="Figureheading"/>
        <w:numPr>
          <w:ilvl w:val="0"/>
          <w:numId w:val="0"/>
        </w:numPr>
        <w:ind w:left="357" w:hanging="357"/>
      </w:pPr>
      <w:r w:rsidRPr="002D23B9">
        <w:t xml:space="preserve">Figure 8: Quarterly base future prices </w:t>
      </w:r>
      <w:r w:rsidR="00795DDE" w:rsidRPr="002D23B9">
        <w:t xml:space="preserve">Q4 </w:t>
      </w:r>
      <w:r w:rsidRPr="002D23B9">
        <w:t xml:space="preserve">2013 – </w:t>
      </w:r>
      <w:r w:rsidR="00795DDE" w:rsidRPr="002D23B9">
        <w:t xml:space="preserve">Q3 </w:t>
      </w:r>
      <w:r w:rsidRPr="002D23B9">
        <w:t>2017</w:t>
      </w:r>
    </w:p>
    <w:p w:rsidR="00942195" w:rsidRPr="002D23B9" w:rsidRDefault="00A06C9C" w:rsidP="00942195">
      <w:pPr>
        <w:pStyle w:val="AERbodytext"/>
        <w:keepNext/>
      </w:pPr>
      <w:r>
        <w:pict>
          <v:shape id="_x0000_i1033" type="#_x0000_t75" alt="Figure 8 shows for all mainland regions the prices for base contracts (and total traded quantities for the week) for each quarter for the next four financial years.     &#10;" style="width:451.4pt;height:225.4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E96C5A" w:rsidP="00E96C5A">
      <w:pPr>
        <w:pStyle w:val="AERbodytext"/>
      </w:pPr>
      <w:r w:rsidRPr="002D23B9">
        <w:t>Figure 9 shows how the price for each regional Quarter 1 2014 base contract has changed over the last 10 weeks (as well as the total number of trades each week). The closing Quarter 1 2012 and Quarter 1 2013 prices are also shown.</w:t>
      </w:r>
      <w:r w:rsidR="007354CE" w:rsidRPr="002D23B9">
        <w:t xml:space="preserve"> </w:t>
      </w:r>
    </w:p>
    <w:p w:rsidR="00E96C5A" w:rsidRPr="002D23B9" w:rsidRDefault="00E96C5A" w:rsidP="00E96C5A">
      <w:pPr>
        <w:pStyle w:val="Figureheading"/>
        <w:numPr>
          <w:ilvl w:val="0"/>
          <w:numId w:val="0"/>
        </w:numPr>
        <w:ind w:left="357" w:hanging="357"/>
      </w:pPr>
      <w:r w:rsidRPr="002D23B9">
        <w:lastRenderedPageBreak/>
        <w:t>Figure 9: Price of Q1 2014 base contracts over the past 10 weeks (and the past 2 years)</w:t>
      </w:r>
    </w:p>
    <w:p w:rsidR="00E96C5A" w:rsidRPr="002D23B9" w:rsidRDefault="00A06C9C"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15pt;height:225.4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00EB5E9E">
          <w:rPr>
            <w:rStyle w:val="Hyperlink"/>
            <w:color w:val="auto"/>
          </w:rPr>
          <w:t xml:space="preserve">Industry statistics </w:t>
        </w:r>
      </w:hyperlink>
      <w:r w:rsidRPr="002D23B9">
        <w:t>section of our website.</w:t>
      </w:r>
    </w:p>
    <w:p w:rsidR="006A519A" w:rsidRDefault="00E96C5A" w:rsidP="006A519A">
      <w:pPr>
        <w:pStyle w:val="AERbodytext"/>
      </w:pPr>
      <w:r w:rsidRPr="002D23B9">
        <w:t xml:space="preserve">Figure 10 shows how the price for each regional Quarter 1 2014 cap contract has changed over the last 10 weeks (as well as the total number of trades each week). The closing Quarter 1 2012 and Quarter 1 2013 prices are also shown. </w:t>
      </w:r>
      <w:r w:rsidR="006A519A" w:rsidRPr="008245F0">
        <w:t xml:space="preserve">The cap </w:t>
      </w:r>
      <w:proofErr w:type="gramStart"/>
      <w:r w:rsidR="006A519A" w:rsidRPr="008245F0">
        <w:t>contracts limit exposure to extreme spot prices (above $300/MWh) and is</w:t>
      </w:r>
      <w:proofErr w:type="gramEnd"/>
      <w:r w:rsidR="006A519A" w:rsidRPr="008245F0">
        <w:t xml:space="preserve"> an indicator of the cost of risk management. </w:t>
      </w:r>
    </w:p>
    <w:p w:rsidR="00E96C5A" w:rsidRPr="002D23B9" w:rsidRDefault="00E96C5A" w:rsidP="00E96C5A">
      <w:pPr>
        <w:pStyle w:val="Figureheading"/>
        <w:numPr>
          <w:ilvl w:val="0"/>
          <w:numId w:val="0"/>
        </w:numPr>
        <w:ind w:left="357" w:hanging="357"/>
      </w:pPr>
      <w:r w:rsidRPr="002D23B9">
        <w:t>Figure 10: Price of Q1 2014 cap contracts over the past 10 weeks (and the past 2 years)</w:t>
      </w:r>
    </w:p>
    <w:p w:rsidR="00E96C5A" w:rsidRPr="002D23B9" w:rsidRDefault="00A06C9C"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10;" style="width:451.4pt;height:225.4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193A65" w:rsidP="003157C3">
      <w:r>
        <w:rPr>
          <w:b/>
        </w:rPr>
        <w:t>January</w:t>
      </w:r>
      <w:r w:rsidR="00795DDE" w:rsidRPr="002D23B9">
        <w:rPr>
          <w:b/>
        </w:rPr>
        <w:t xml:space="preserve"> </w:t>
      </w:r>
      <w:r w:rsidR="00E96C5A" w:rsidRPr="002D23B9">
        <w:rPr>
          <w:b/>
        </w:rPr>
        <w:t>201</w:t>
      </w:r>
      <w:r>
        <w:rPr>
          <w:b/>
        </w:rPr>
        <w:t>4</w:t>
      </w:r>
    </w:p>
    <w:sectPr w:rsidR="00E96C5A" w:rsidRPr="002D23B9" w:rsidSect="004E70D9">
      <w:footerReference w:type="default" r:id="rId25"/>
      <w:footerReference w:type="first" r:id="rId26"/>
      <w:type w:val="continuous"/>
      <w:pgSz w:w="11906" w:h="16838" w:code="9"/>
      <w:pgMar w:top="1135"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FB" w:rsidRDefault="007508FB" w:rsidP="00BB640B">
      <w:r>
        <w:separator/>
      </w:r>
    </w:p>
    <w:p w:rsidR="007508FB" w:rsidRDefault="007508FB"/>
    <w:p w:rsidR="007508FB" w:rsidRDefault="007508FB"/>
  </w:endnote>
  <w:endnote w:type="continuationSeparator" w:id="0">
    <w:p w:rsidR="007508FB" w:rsidRDefault="007508FB" w:rsidP="00BB640B">
      <w:r>
        <w:continuationSeparator/>
      </w:r>
    </w:p>
    <w:p w:rsidR="007508FB" w:rsidRDefault="007508FB"/>
    <w:p w:rsidR="007508FB" w:rsidRDefault="00750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8FB" w:rsidRPr="00474107" w:rsidRDefault="007508FB"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A06C9C">
      <w:rPr>
        <w:rStyle w:val="PageNumber"/>
        <w:noProof/>
      </w:rPr>
      <w:t>9</w:t>
    </w:r>
    <w:r>
      <w:rPr>
        <w:rStyle w:val="PageNumber"/>
      </w:rPr>
      <w:fldChar w:fldCharType="end"/>
    </w:r>
  </w:p>
  <w:p w:rsidR="007508FB" w:rsidRPr="0097256D" w:rsidRDefault="007508FB"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8FB" w:rsidRPr="00643F62" w:rsidRDefault="007508FB"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Pr>
        <w:rFonts w:ascii="Arial" w:hAnsi="Arial" w:cs="Arial"/>
        <w:i/>
        <w:szCs w:val="18"/>
      </w:rPr>
      <w:t>D14</w:t>
    </w:r>
    <w:r w:rsidRPr="006B264A">
      <w:rPr>
        <w:rFonts w:ascii="Arial" w:hAnsi="Arial" w:cs="Arial"/>
        <w:i/>
        <w:szCs w:val="18"/>
      </w:rPr>
      <w:t>/</w:t>
    </w:r>
    <w:r>
      <w:rPr>
        <w:rFonts w:ascii="Arial" w:hAnsi="Arial" w:cs="Arial"/>
        <w:i/>
        <w:szCs w:val="18"/>
      </w:rPr>
      <w:t>461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FB" w:rsidRDefault="007508FB" w:rsidP="00BB640B">
      <w:r>
        <w:separator/>
      </w:r>
    </w:p>
    <w:p w:rsidR="007508FB" w:rsidRPr="00DB6729" w:rsidRDefault="007508FB">
      <w:pPr>
        <w:rPr>
          <w:b/>
          <w:sz w:val="2"/>
        </w:rPr>
      </w:pPr>
    </w:p>
  </w:footnote>
  <w:footnote w:type="continuationSeparator" w:id="0">
    <w:p w:rsidR="007508FB" w:rsidRDefault="007508FB" w:rsidP="00BB640B">
      <w:r>
        <w:continuationSeparator/>
      </w:r>
    </w:p>
    <w:p w:rsidR="007508FB" w:rsidRDefault="007508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2"/>
  </w:num>
  <w:num w:numId="8">
    <w:abstractNumId w:val="24"/>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502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john\20131222 - 20131228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680"/>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A1F"/>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4E89"/>
    <w:rsid w:val="000D50E4"/>
    <w:rsid w:val="000D556E"/>
    <w:rsid w:val="000D5859"/>
    <w:rsid w:val="000D59C5"/>
    <w:rsid w:val="000D5C60"/>
    <w:rsid w:val="000D621F"/>
    <w:rsid w:val="000D6338"/>
    <w:rsid w:val="000D6784"/>
    <w:rsid w:val="000D6ED6"/>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744"/>
    <w:rsid w:val="000F1B0E"/>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8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A28"/>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65"/>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791"/>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38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4BA5"/>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6F43"/>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4FD0"/>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39"/>
    <w:rsid w:val="002427D4"/>
    <w:rsid w:val="002427E6"/>
    <w:rsid w:val="00242E6B"/>
    <w:rsid w:val="00243313"/>
    <w:rsid w:val="002433CA"/>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62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5F5D"/>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056"/>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3BE"/>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55B"/>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333"/>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4798A"/>
    <w:rsid w:val="00347D46"/>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145"/>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95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6E3"/>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60B"/>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85F"/>
    <w:rsid w:val="003B790B"/>
    <w:rsid w:val="003B7C22"/>
    <w:rsid w:val="003C02E1"/>
    <w:rsid w:val="003C0478"/>
    <w:rsid w:val="003C0509"/>
    <w:rsid w:val="003C05E5"/>
    <w:rsid w:val="003C0AC3"/>
    <w:rsid w:val="003C0DEC"/>
    <w:rsid w:val="003C0EE5"/>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72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6D7C"/>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41B"/>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7FA"/>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4D67"/>
    <w:rsid w:val="004A5199"/>
    <w:rsid w:val="004A522C"/>
    <w:rsid w:val="004A567A"/>
    <w:rsid w:val="004A56D1"/>
    <w:rsid w:val="004A5EF2"/>
    <w:rsid w:val="004A5F17"/>
    <w:rsid w:val="004A5F3B"/>
    <w:rsid w:val="004A60F0"/>
    <w:rsid w:val="004A619D"/>
    <w:rsid w:val="004A6313"/>
    <w:rsid w:val="004A645E"/>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0D9"/>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5E93"/>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6CDB"/>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2F1E"/>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4CD"/>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4A72"/>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6D9"/>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BC9"/>
    <w:rsid w:val="00594DA0"/>
    <w:rsid w:val="00595C72"/>
    <w:rsid w:val="00595CA7"/>
    <w:rsid w:val="00595DE4"/>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1D91"/>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5F1F"/>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550"/>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1FBF"/>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5D76"/>
    <w:rsid w:val="00676350"/>
    <w:rsid w:val="00676455"/>
    <w:rsid w:val="00676857"/>
    <w:rsid w:val="0067770F"/>
    <w:rsid w:val="0068048E"/>
    <w:rsid w:val="00680A7D"/>
    <w:rsid w:val="00680BDC"/>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519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76"/>
    <w:rsid w:val="006B1F6A"/>
    <w:rsid w:val="006B264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700"/>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1BE2"/>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451"/>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9F7"/>
    <w:rsid w:val="00703A08"/>
    <w:rsid w:val="00703BB4"/>
    <w:rsid w:val="00703D77"/>
    <w:rsid w:val="007041DA"/>
    <w:rsid w:val="0070438C"/>
    <w:rsid w:val="00704693"/>
    <w:rsid w:val="00704B28"/>
    <w:rsid w:val="00705122"/>
    <w:rsid w:val="00705A3D"/>
    <w:rsid w:val="00705B0F"/>
    <w:rsid w:val="00705D05"/>
    <w:rsid w:val="00705D60"/>
    <w:rsid w:val="0070614F"/>
    <w:rsid w:val="007064AA"/>
    <w:rsid w:val="007071F9"/>
    <w:rsid w:val="00707582"/>
    <w:rsid w:val="00707F3D"/>
    <w:rsid w:val="007101C0"/>
    <w:rsid w:val="007102C9"/>
    <w:rsid w:val="00710937"/>
    <w:rsid w:val="007109A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8FB"/>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5F88"/>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8F"/>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14"/>
    <w:rsid w:val="00885EAE"/>
    <w:rsid w:val="00885FEB"/>
    <w:rsid w:val="008860D9"/>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139"/>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096"/>
    <w:rsid w:val="00942195"/>
    <w:rsid w:val="009423D1"/>
    <w:rsid w:val="0094243D"/>
    <w:rsid w:val="009424CD"/>
    <w:rsid w:val="00942856"/>
    <w:rsid w:val="009428AF"/>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C34"/>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352"/>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25BD"/>
    <w:rsid w:val="009835C8"/>
    <w:rsid w:val="00983A05"/>
    <w:rsid w:val="00983A24"/>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B7DB4"/>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4CC4"/>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6D40"/>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6AE"/>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C9C"/>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A2E"/>
    <w:rsid w:val="00A25B0E"/>
    <w:rsid w:val="00A25C09"/>
    <w:rsid w:val="00A25FBA"/>
    <w:rsid w:val="00A26E95"/>
    <w:rsid w:val="00A272A6"/>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5D6"/>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364"/>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88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39DB"/>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BD8"/>
    <w:rsid w:val="00AB4C0E"/>
    <w:rsid w:val="00AB4E2D"/>
    <w:rsid w:val="00AB639D"/>
    <w:rsid w:val="00AB6685"/>
    <w:rsid w:val="00AB6722"/>
    <w:rsid w:val="00AB67D4"/>
    <w:rsid w:val="00AB682A"/>
    <w:rsid w:val="00AB6BB0"/>
    <w:rsid w:val="00AB6CF3"/>
    <w:rsid w:val="00AB74D7"/>
    <w:rsid w:val="00AB7974"/>
    <w:rsid w:val="00AB7BEA"/>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4B4"/>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6ECD"/>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959"/>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01C"/>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57E7"/>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5AE"/>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3A3"/>
    <w:rsid w:val="00B1766F"/>
    <w:rsid w:val="00B17A3A"/>
    <w:rsid w:val="00B17D20"/>
    <w:rsid w:val="00B2053D"/>
    <w:rsid w:val="00B20584"/>
    <w:rsid w:val="00B20928"/>
    <w:rsid w:val="00B20BF6"/>
    <w:rsid w:val="00B20C18"/>
    <w:rsid w:val="00B2138E"/>
    <w:rsid w:val="00B2149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45B"/>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1D06"/>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2E"/>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8D9"/>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7B0"/>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2FCB"/>
    <w:rsid w:val="00BC31C1"/>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1E8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05C"/>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0D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629"/>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59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CC8"/>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5E17"/>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633"/>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4FE"/>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439"/>
    <w:rsid w:val="00CE5595"/>
    <w:rsid w:val="00CE592A"/>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0E8"/>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0ED"/>
    <w:rsid w:val="00D1511E"/>
    <w:rsid w:val="00D15120"/>
    <w:rsid w:val="00D15124"/>
    <w:rsid w:val="00D151C5"/>
    <w:rsid w:val="00D151C9"/>
    <w:rsid w:val="00D15CA1"/>
    <w:rsid w:val="00D15FE5"/>
    <w:rsid w:val="00D162E9"/>
    <w:rsid w:val="00D1671B"/>
    <w:rsid w:val="00D16A6D"/>
    <w:rsid w:val="00D1748A"/>
    <w:rsid w:val="00D1797D"/>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CE5"/>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907"/>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CA7"/>
    <w:rsid w:val="00DA6E7A"/>
    <w:rsid w:val="00DA71BC"/>
    <w:rsid w:val="00DA7677"/>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5B9"/>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90"/>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61B"/>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44"/>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8B1"/>
    <w:rsid w:val="00EA6F7B"/>
    <w:rsid w:val="00EA795B"/>
    <w:rsid w:val="00EA7B05"/>
    <w:rsid w:val="00EA7CD0"/>
    <w:rsid w:val="00EA7F2B"/>
    <w:rsid w:val="00EA7FD5"/>
    <w:rsid w:val="00EB0229"/>
    <w:rsid w:val="00EB0459"/>
    <w:rsid w:val="00EB0C85"/>
    <w:rsid w:val="00EB0ED9"/>
    <w:rsid w:val="00EB12EF"/>
    <w:rsid w:val="00EB16FB"/>
    <w:rsid w:val="00EB174F"/>
    <w:rsid w:val="00EB200F"/>
    <w:rsid w:val="00EB2877"/>
    <w:rsid w:val="00EB2955"/>
    <w:rsid w:val="00EB2AB0"/>
    <w:rsid w:val="00EB2C44"/>
    <w:rsid w:val="00EB320B"/>
    <w:rsid w:val="00EB3213"/>
    <w:rsid w:val="00EB3546"/>
    <w:rsid w:val="00EB3BE7"/>
    <w:rsid w:val="00EB411E"/>
    <w:rsid w:val="00EB4267"/>
    <w:rsid w:val="00EB4630"/>
    <w:rsid w:val="00EB463A"/>
    <w:rsid w:val="00EB4680"/>
    <w:rsid w:val="00EB4959"/>
    <w:rsid w:val="00EB59E3"/>
    <w:rsid w:val="00EB5AC0"/>
    <w:rsid w:val="00EB5B24"/>
    <w:rsid w:val="00EB5E86"/>
    <w:rsid w:val="00EB5E9E"/>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4A6"/>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48D6"/>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AD"/>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6ED8"/>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73C"/>
    <w:rsid w:val="00F30EF0"/>
    <w:rsid w:val="00F31527"/>
    <w:rsid w:val="00F31965"/>
    <w:rsid w:val="00F31C46"/>
    <w:rsid w:val="00F31E58"/>
    <w:rsid w:val="00F32101"/>
    <w:rsid w:val="00F32AF2"/>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B19"/>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5EF"/>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4DB"/>
    <w:rsid w:val="00F7692E"/>
    <w:rsid w:val="00F76BE4"/>
    <w:rsid w:val="00F7742C"/>
    <w:rsid w:val="00F77762"/>
    <w:rsid w:val="00F77B3C"/>
    <w:rsid w:val="00F77C92"/>
    <w:rsid w:val="00F800A1"/>
    <w:rsid w:val="00F8030A"/>
    <w:rsid w:val="00F80346"/>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2DB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31D"/>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C7E9A"/>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asxenergy.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6DBC-1D24-4CE0-A501-C51EA8BA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1944</Words>
  <Characters>9622</Characters>
  <Application>Microsoft Office Word</Application>
  <DocSecurity>0</DocSecurity>
  <Lines>246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2014-01-15T00:44:00Z</dcterms:created>
  <dcterms:modified xsi:type="dcterms:W3CDTF">2014-01-15T00:47:00Z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\\cbrvpwxfs01\Home$\sjohn\20131222 - 20131228 Electricity weekly report.DOCX</vt:lpwstr>
  </property>
  <property fmtid="{D5CDD505-2E9C-101B-9397-08002B2CF9AE}" pid="3" name="URI">
    <vt:lpwstr>8118052</vt:lpwstr>
  </property>
</Properties>
</file>