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19" w:rsidRDefault="00EF0E19" w:rsidP="00F97CD9">
      <w:pPr>
        <w:pStyle w:val="AERbodytextnospace"/>
      </w:pPr>
      <w:r w:rsidRPr="00824CC8">
        <w:rPr>
          <w:noProof/>
          <w:lang w:eastAsia="en-AU"/>
        </w:rPr>
        <w:drawing>
          <wp:anchor distT="0" distB="0" distL="114300" distR="114300" simplePos="0" relativeHeight="251663360" behindDoc="1" locked="0" layoutInCell="1" allowOverlap="1" wp14:anchorId="5F302199" wp14:editId="5485E28B">
            <wp:simplePos x="0" y="0"/>
            <wp:positionH relativeFrom="column">
              <wp:posOffset>-925830</wp:posOffset>
            </wp:positionH>
            <wp:positionV relativeFrom="paragraph">
              <wp:posOffset>-919978</wp:posOffset>
            </wp:positionV>
            <wp:extent cx="7576244" cy="10706986"/>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244" cy="10706986"/>
                    </a:xfrm>
                    <a:prstGeom prst="rect">
                      <a:avLst/>
                    </a:prstGeom>
                    <a:noFill/>
                    <a:ln w="9525">
                      <a:noFill/>
                      <a:miter lim="800000"/>
                      <a:headEnd/>
                      <a:tailEnd/>
                    </a:ln>
                  </pic:spPr>
                </pic:pic>
              </a:graphicData>
            </a:graphic>
          </wp:anchor>
        </w:drawing>
      </w:r>
    </w:p>
    <w:p w:rsidR="00EF0E19" w:rsidRDefault="00EF0E19" w:rsidP="00EF0E19"/>
    <w:p w:rsidR="00EF0E19" w:rsidRDefault="00EF0E19" w:rsidP="00EF0E19"/>
    <w:p w:rsidR="00EF0E19" w:rsidRDefault="00EF0E19" w:rsidP="00EF0E19">
      <w:bookmarkStart w:id="0" w:name="OLE_LINK1"/>
      <w:bookmarkStart w:id="1" w:name="OLE_LINK2"/>
    </w:p>
    <w:p w:rsidR="00EF0E19" w:rsidRDefault="00EF0E19" w:rsidP="00EF0E19"/>
    <w:p w:rsidR="00EF0E19" w:rsidRDefault="00EF0E19" w:rsidP="00EF0E19"/>
    <w:p w:rsidR="00EF0E19" w:rsidRDefault="00EF0E19" w:rsidP="00EF0E19"/>
    <w:p w:rsidR="00EF0E19" w:rsidRDefault="00EF0E19" w:rsidP="00EF0E19"/>
    <w:p w:rsidR="00EF0E19" w:rsidRPr="0039005A" w:rsidRDefault="00EF0E19" w:rsidP="0039005A">
      <w:pPr>
        <w:pStyle w:val="AERtitle1"/>
      </w:pPr>
    </w:p>
    <w:p w:rsidR="00EF0E19" w:rsidRPr="0039005A" w:rsidRDefault="003159D7" w:rsidP="0039005A">
      <w:pPr>
        <w:pStyle w:val="AERtitle1"/>
      </w:pPr>
      <w:r w:rsidRPr="0039005A">
        <w:t>Electricity d</w:t>
      </w:r>
      <w:r w:rsidR="00086F51" w:rsidRPr="0039005A">
        <w:t>istribution network service providers</w:t>
      </w:r>
    </w:p>
    <w:p w:rsidR="003159D7" w:rsidRPr="0039005A" w:rsidRDefault="003159D7" w:rsidP="0039005A">
      <w:pPr>
        <w:pStyle w:val="AERtitle1"/>
      </w:pPr>
    </w:p>
    <w:p w:rsidR="00EF0E19" w:rsidRPr="0039005A" w:rsidRDefault="00086F51" w:rsidP="0039005A">
      <w:pPr>
        <w:pStyle w:val="AERtitle1"/>
      </w:pPr>
      <w:r w:rsidRPr="0039005A">
        <w:t>Annual benchmarking report</w:t>
      </w:r>
    </w:p>
    <w:p w:rsidR="00EF0E19" w:rsidRPr="0039005A" w:rsidRDefault="00EF0E19" w:rsidP="0039005A">
      <w:pPr>
        <w:pStyle w:val="AERtitle1"/>
      </w:pPr>
    </w:p>
    <w:p w:rsidR="00EF0E19" w:rsidRPr="0039005A" w:rsidRDefault="00EF0E19" w:rsidP="0039005A">
      <w:pPr>
        <w:pStyle w:val="AERtitle1"/>
      </w:pPr>
    </w:p>
    <w:p w:rsidR="00EF0E19" w:rsidRPr="0039005A" w:rsidRDefault="00EF0E19" w:rsidP="0039005A">
      <w:pPr>
        <w:pStyle w:val="AERtitle1"/>
      </w:pPr>
    </w:p>
    <w:bookmarkEnd w:id="0"/>
    <w:bookmarkEnd w:id="1"/>
    <w:p w:rsidR="00EF0E19" w:rsidRPr="0039005A" w:rsidRDefault="0039005A" w:rsidP="0039005A">
      <w:pPr>
        <w:pStyle w:val="AERtitle1"/>
      </w:pPr>
      <w:r w:rsidRPr="0039005A">
        <w:t>November</w:t>
      </w:r>
      <w:r w:rsidR="00242B1D" w:rsidRPr="0039005A">
        <w:t xml:space="preserve"> </w:t>
      </w:r>
      <w:r w:rsidR="001326AC" w:rsidRPr="0039005A">
        <w:t>2014</w:t>
      </w:r>
    </w:p>
    <w:p w:rsidR="00EF0E19" w:rsidRPr="0039005A" w:rsidRDefault="00EF0E19" w:rsidP="0039005A">
      <w:pPr>
        <w:pStyle w:val="AERtitle1"/>
      </w:pPr>
      <w:r w:rsidRPr="0039005A">
        <w:br w:type="page"/>
      </w:r>
    </w:p>
    <w:p w:rsidR="00912D5A" w:rsidRPr="00912D5A" w:rsidRDefault="00912D5A" w:rsidP="00912D5A">
      <w:r w:rsidRPr="00912D5A">
        <w:lastRenderedPageBreak/>
        <w:t>© Commonwealth of Australia 2014</w:t>
      </w:r>
    </w:p>
    <w:p w:rsidR="00912D5A" w:rsidRPr="00912D5A" w:rsidRDefault="00912D5A" w:rsidP="00912D5A">
      <w:r w:rsidRPr="00912D5A">
        <w:t xml:space="preserve">This work is copyright. In addition to any use permitted under the Copyright Act 1968, all material contained within this work is </w:t>
      </w:r>
      <w:r w:rsidRPr="00912D5A">
        <w:rPr>
          <w:rStyle w:val="AERbody"/>
        </w:rPr>
        <w:t>provided</w:t>
      </w:r>
      <w:r w:rsidRPr="00912D5A">
        <w:t xml:space="preserve"> under a Creative Commons Attribution 3.0 Australia licence, with the exception of:</w:t>
      </w:r>
    </w:p>
    <w:p w:rsidR="00912D5A" w:rsidRPr="00912D5A" w:rsidRDefault="00912D5A" w:rsidP="00912D5A">
      <w:pPr>
        <w:pStyle w:val="AERbulletlistfirststyle"/>
      </w:pPr>
      <w:r w:rsidRPr="00912D5A">
        <w:t>the Commonwealth Coat of Arms</w:t>
      </w:r>
    </w:p>
    <w:p w:rsidR="00912D5A" w:rsidRPr="00912D5A" w:rsidRDefault="00912D5A" w:rsidP="00912D5A">
      <w:pPr>
        <w:pStyle w:val="AERbulletlistfirststyle"/>
      </w:pPr>
      <w:r w:rsidRPr="00912D5A">
        <w:t>the ACCC and AER logos</w:t>
      </w:r>
    </w:p>
    <w:p w:rsidR="00912D5A" w:rsidRPr="00912D5A" w:rsidRDefault="00912D5A" w:rsidP="00912D5A">
      <w:pPr>
        <w:pStyle w:val="AERbulletlistfirststyle"/>
        <w:rPr>
          <w:lang w:val="en-US"/>
        </w:rPr>
      </w:pPr>
      <w:r w:rsidRPr="00912D5A">
        <w:t>any illustration, diagram, photograph or graphic over which the Australian Competition and Consumer Commission does not hold copyright, but which may be part of or contained within this publication.</w:t>
      </w:r>
    </w:p>
    <w:p w:rsidR="00912D5A" w:rsidRPr="00912D5A" w:rsidRDefault="00912D5A" w:rsidP="00912D5A">
      <w:r w:rsidRPr="00912D5A">
        <w:t>The details of the relevant licence conditions are available on the Creative Commons website, as is the full legal code for the CC BY 3.0 AU licence.</w:t>
      </w:r>
    </w:p>
    <w:p w:rsidR="00912D5A" w:rsidRPr="00912D5A" w:rsidRDefault="00912D5A" w:rsidP="00912D5A">
      <w:r w:rsidRPr="00912D5A">
        <w:t xml:space="preserve">Requests and inquiries concerning reproduction and rights should be addressed to the Director, Corporate Communications, ACCC, GPO Box 3131, Canberra ACT 2601, or </w:t>
      </w:r>
      <w:hyperlink r:id="rId10" w:history="1">
        <w:r w:rsidRPr="00912D5A">
          <w:rPr>
            <w:rStyle w:val="Hyperlink"/>
          </w:rPr>
          <w:t>publishing.unit@accc.gov.au</w:t>
        </w:r>
      </w:hyperlink>
      <w:r w:rsidRPr="00912D5A">
        <w:t xml:space="preserve"> .</w:t>
      </w:r>
    </w:p>
    <w:p w:rsidR="00912D5A" w:rsidRPr="00912D5A" w:rsidRDefault="00912D5A" w:rsidP="00912D5A">
      <w:pPr>
        <w:pStyle w:val="AERbodytext"/>
      </w:pPr>
      <w:r w:rsidRPr="00912D5A">
        <w:t>Inquiries about this decision should be addressed to:</w:t>
      </w:r>
    </w:p>
    <w:p w:rsidR="00912D5A" w:rsidRPr="00912D5A" w:rsidRDefault="00912D5A" w:rsidP="00912D5A">
      <w:pPr>
        <w:pStyle w:val="AERbodytextnospaceleftalign"/>
      </w:pPr>
      <w:r w:rsidRPr="00912D5A">
        <w:t>Australian Energy Regulator</w:t>
      </w:r>
    </w:p>
    <w:p w:rsidR="00912D5A" w:rsidRPr="00912D5A" w:rsidRDefault="00912D5A" w:rsidP="00912D5A">
      <w:pPr>
        <w:pStyle w:val="AERbodytextnospaceleftalign"/>
      </w:pPr>
      <w:r w:rsidRPr="00912D5A">
        <w:t>GPO Box 520</w:t>
      </w:r>
    </w:p>
    <w:p w:rsidR="00912D5A" w:rsidRPr="00912D5A" w:rsidRDefault="00912D5A" w:rsidP="00912D5A">
      <w:pPr>
        <w:pStyle w:val="AERbodytextnospaceleftalign"/>
      </w:pPr>
      <w:r w:rsidRPr="00912D5A">
        <w:t>Melbourne</w:t>
      </w:r>
      <w:proofErr w:type="gramStart"/>
      <w:r w:rsidRPr="00912D5A">
        <w:t>  Vic</w:t>
      </w:r>
      <w:proofErr w:type="gramEnd"/>
      <w:r w:rsidRPr="00912D5A">
        <w:t>  3001</w:t>
      </w:r>
    </w:p>
    <w:p w:rsidR="00912D5A" w:rsidRPr="00912D5A" w:rsidRDefault="00912D5A" w:rsidP="00912D5A">
      <w:pPr>
        <w:pStyle w:val="AERbodytextnospaceleftalign"/>
      </w:pPr>
      <w:r w:rsidRPr="00912D5A">
        <w:t>Tel: (03) 9290 1444</w:t>
      </w:r>
    </w:p>
    <w:p w:rsidR="00912D5A" w:rsidRPr="00912D5A" w:rsidRDefault="00912D5A" w:rsidP="00912D5A">
      <w:pPr>
        <w:pStyle w:val="AERbodytextnospaceleftalign"/>
      </w:pPr>
      <w:r w:rsidRPr="00912D5A">
        <w:t>Fax: (03) 9290 1457</w:t>
      </w:r>
    </w:p>
    <w:p w:rsidR="00912D5A" w:rsidRPr="00912D5A" w:rsidRDefault="00912D5A" w:rsidP="00912D5A">
      <w:pPr>
        <w:pStyle w:val="AERbodytextnospaceleftalign"/>
      </w:pPr>
      <w:r w:rsidRPr="00912D5A">
        <w:t xml:space="preserve">Email: </w:t>
      </w:r>
      <w:hyperlink r:id="rId11" w:history="1">
        <w:r w:rsidRPr="00912D5A">
          <w:rPr>
            <w:rStyle w:val="Hyperlink"/>
          </w:rPr>
          <w:t>AERInquiry@aer.gov.au</w:t>
        </w:r>
      </w:hyperlink>
    </w:p>
    <w:p w:rsidR="00EF0E19" w:rsidRPr="008F1A4A" w:rsidRDefault="00EF0E19" w:rsidP="00EF0E19"/>
    <w:p w:rsidR="00181B77" w:rsidRPr="00FC40A0" w:rsidRDefault="00EF0E19" w:rsidP="00FC40A0">
      <w:pPr>
        <w:rPr>
          <w:rStyle w:val="AERtextsize8"/>
          <w:sz w:val="20"/>
        </w:rPr>
      </w:pPr>
      <w:r>
        <w:t xml:space="preserve">AER reference:   </w:t>
      </w:r>
      <w:r w:rsidR="001326AC">
        <w:t>54669</w:t>
      </w:r>
    </w:p>
    <w:p w:rsidR="00181B77" w:rsidRDefault="00181B77">
      <w:pPr>
        <w:spacing w:after="0" w:line="240" w:lineRule="auto"/>
        <w:jc w:val="left"/>
        <w:rPr>
          <w:rStyle w:val="AERtextsize8"/>
          <w:rFonts w:eastAsia="Times New Roman"/>
          <w:b/>
          <w:color w:val="E36C0A"/>
          <w:szCs w:val="24"/>
        </w:rPr>
      </w:pPr>
      <w:r>
        <w:rPr>
          <w:rStyle w:val="AERtextsize8"/>
        </w:rPr>
        <w:br w:type="page"/>
      </w:r>
    </w:p>
    <w:p w:rsidR="00181B77" w:rsidRPr="00B16C10" w:rsidRDefault="00181B77" w:rsidP="00B16C10">
      <w:pPr>
        <w:pStyle w:val="UnnumberedHeading"/>
      </w:pPr>
      <w:bookmarkStart w:id="2" w:name="_Toc404010806"/>
      <w:bookmarkStart w:id="3" w:name="_Toc404244856"/>
      <w:r>
        <w:lastRenderedPageBreak/>
        <w:t>Shortened forms</w:t>
      </w:r>
      <w:bookmarkEnd w:id="2"/>
      <w:bookmarkEnd w:id="3"/>
    </w:p>
    <w:tbl>
      <w:tblPr>
        <w:tblStyle w:val="AERtable-text"/>
        <w:tblW w:w="0" w:type="auto"/>
        <w:tblLook w:val="04A0" w:firstRow="1" w:lastRow="0" w:firstColumn="1" w:lastColumn="0" w:noHBand="0" w:noVBand="1"/>
      </w:tblPr>
      <w:tblGrid>
        <w:gridCol w:w="3227"/>
        <w:gridCol w:w="6015"/>
      </w:tblGrid>
      <w:tr w:rsidR="00181B77" w:rsidRPr="005F6082" w:rsidTr="00B16C10">
        <w:trPr>
          <w:cnfStyle w:val="100000000000" w:firstRow="1" w:lastRow="0" w:firstColumn="0" w:lastColumn="0" w:oddVBand="0" w:evenVBand="0" w:oddHBand="0" w:evenHBand="0" w:firstRowFirstColumn="0" w:firstRowLastColumn="0" w:lastRowFirstColumn="0" w:lastRowLastColumn="0"/>
        </w:trPr>
        <w:tc>
          <w:tcPr>
            <w:tcW w:w="3227" w:type="dxa"/>
          </w:tcPr>
          <w:p w:rsidR="00181B77" w:rsidRPr="00181B77" w:rsidRDefault="00181B77" w:rsidP="00181B77">
            <w:pPr>
              <w:pStyle w:val="AERtabletextleft"/>
            </w:pPr>
            <w:r>
              <w:t>Shortened term</w:t>
            </w:r>
          </w:p>
        </w:tc>
        <w:tc>
          <w:tcPr>
            <w:tcW w:w="6015" w:type="dxa"/>
          </w:tcPr>
          <w:p w:rsidR="00181B77" w:rsidRPr="00181B77" w:rsidRDefault="00181B77" w:rsidP="00181B77">
            <w:pPr>
              <w:pStyle w:val="AERtabletextleft"/>
            </w:pPr>
            <w:r>
              <w:t>Full title</w:t>
            </w:r>
          </w:p>
        </w:tc>
      </w:tr>
      <w:tr w:rsidR="00FE72F1" w:rsidRPr="00063915" w:rsidTr="00B16C10">
        <w:tc>
          <w:tcPr>
            <w:tcW w:w="3227" w:type="dxa"/>
            <w:noWrap/>
            <w:vAlign w:val="bottom"/>
          </w:tcPr>
          <w:p w:rsidR="00FE72F1" w:rsidRPr="00FE72F1" w:rsidRDefault="00FE72F1" w:rsidP="00FE72F1">
            <w:pPr>
              <w:pStyle w:val="AERtabletextleft"/>
            </w:pPr>
            <w:r w:rsidRPr="00FE72F1">
              <w:t>ACT</w:t>
            </w:r>
          </w:p>
        </w:tc>
        <w:tc>
          <w:tcPr>
            <w:tcW w:w="6015" w:type="dxa"/>
            <w:noWrap/>
            <w:vAlign w:val="bottom"/>
          </w:tcPr>
          <w:p w:rsidR="00FE72F1" w:rsidRPr="00FE72F1" w:rsidRDefault="00FE72F1" w:rsidP="00FE72F1">
            <w:pPr>
              <w:pStyle w:val="AERtabletextleft"/>
            </w:pPr>
            <w:proofErr w:type="spellStart"/>
            <w:r w:rsidRPr="00FE72F1">
              <w:t>ActewAGL</w:t>
            </w:r>
            <w:proofErr w:type="spellEnd"/>
          </w:p>
        </w:tc>
      </w:tr>
      <w:tr w:rsidR="00FE72F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FE72F1" w:rsidRPr="00FE72F1" w:rsidRDefault="00FE72F1" w:rsidP="00FE72F1">
            <w:pPr>
              <w:pStyle w:val="AERtabletextleft"/>
            </w:pPr>
            <w:r w:rsidRPr="00FE72F1">
              <w:t>AEMC</w:t>
            </w:r>
          </w:p>
        </w:tc>
        <w:tc>
          <w:tcPr>
            <w:tcW w:w="6015" w:type="dxa"/>
            <w:noWrap/>
            <w:vAlign w:val="bottom"/>
          </w:tcPr>
          <w:p w:rsidR="00FE72F1" w:rsidRPr="00FE72F1" w:rsidRDefault="00FE72F1" w:rsidP="00FE72F1">
            <w:pPr>
              <w:pStyle w:val="AERtabletextleft"/>
            </w:pPr>
            <w:r w:rsidRPr="00FE72F1">
              <w:t>Australian Energy Market Commission</w:t>
            </w:r>
          </w:p>
        </w:tc>
      </w:tr>
      <w:tr w:rsidR="00FE72F1" w:rsidRPr="00063915" w:rsidTr="00B16C10">
        <w:tc>
          <w:tcPr>
            <w:tcW w:w="3227" w:type="dxa"/>
            <w:noWrap/>
            <w:vAlign w:val="bottom"/>
          </w:tcPr>
          <w:p w:rsidR="00FE72F1" w:rsidRPr="00FE72F1" w:rsidRDefault="00FE72F1" w:rsidP="00FE72F1">
            <w:pPr>
              <w:pStyle w:val="AERtabletextleft"/>
            </w:pPr>
            <w:r w:rsidRPr="00FE72F1">
              <w:t>AEMO</w:t>
            </w:r>
          </w:p>
        </w:tc>
        <w:tc>
          <w:tcPr>
            <w:tcW w:w="6015" w:type="dxa"/>
            <w:noWrap/>
            <w:vAlign w:val="bottom"/>
          </w:tcPr>
          <w:p w:rsidR="00FE72F1" w:rsidRPr="00FE72F1" w:rsidRDefault="00FE72F1" w:rsidP="00FE72F1">
            <w:pPr>
              <w:pStyle w:val="AERtabletextleft"/>
            </w:pPr>
            <w:r w:rsidRPr="00FE72F1">
              <w:t>Australian Energy Market Operator</w:t>
            </w:r>
          </w:p>
        </w:tc>
      </w:tr>
      <w:tr w:rsidR="00FE72F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FE72F1" w:rsidRPr="00FE72F1" w:rsidRDefault="00FE72F1" w:rsidP="00FE72F1">
            <w:pPr>
              <w:pStyle w:val="AERtabletextleft"/>
            </w:pPr>
            <w:r w:rsidRPr="00FE72F1">
              <w:t>AER</w:t>
            </w:r>
          </w:p>
        </w:tc>
        <w:tc>
          <w:tcPr>
            <w:tcW w:w="6015" w:type="dxa"/>
            <w:noWrap/>
            <w:vAlign w:val="bottom"/>
          </w:tcPr>
          <w:p w:rsidR="00FE72F1" w:rsidRPr="00FE72F1" w:rsidRDefault="00FE72F1" w:rsidP="00FE72F1">
            <w:pPr>
              <w:pStyle w:val="AERtabletextleft"/>
            </w:pPr>
            <w:r w:rsidRPr="00FE72F1">
              <w:t>Australian Energy Regulator</w:t>
            </w:r>
          </w:p>
        </w:tc>
      </w:tr>
      <w:tr w:rsidR="00FE72F1" w:rsidRPr="00063915" w:rsidTr="00B16C10">
        <w:tc>
          <w:tcPr>
            <w:tcW w:w="3227" w:type="dxa"/>
            <w:noWrap/>
            <w:vAlign w:val="bottom"/>
          </w:tcPr>
          <w:p w:rsidR="00FE72F1" w:rsidRPr="00FE72F1" w:rsidRDefault="00FE72F1" w:rsidP="00FE72F1">
            <w:pPr>
              <w:pStyle w:val="AERtabletextleft"/>
            </w:pPr>
            <w:r w:rsidRPr="00FE72F1">
              <w:t>AGD</w:t>
            </w:r>
          </w:p>
        </w:tc>
        <w:tc>
          <w:tcPr>
            <w:tcW w:w="6015" w:type="dxa"/>
            <w:noWrap/>
            <w:vAlign w:val="bottom"/>
          </w:tcPr>
          <w:p w:rsidR="00FE72F1" w:rsidRPr="00FE72F1" w:rsidRDefault="005409F1" w:rsidP="00FE72F1">
            <w:pPr>
              <w:pStyle w:val="AERtabletextleft"/>
            </w:pPr>
            <w:proofErr w:type="spellStart"/>
            <w:r>
              <w:t>Ausg</w:t>
            </w:r>
            <w:r w:rsidR="00FE72F1" w:rsidRPr="00FE72F1">
              <w:t>rid</w:t>
            </w:r>
            <w:proofErr w:type="spellEnd"/>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t>AN</w:t>
            </w:r>
            <w:r w:rsidRPr="00EA2491">
              <w:t>D</w:t>
            </w:r>
          </w:p>
        </w:tc>
        <w:tc>
          <w:tcPr>
            <w:tcW w:w="6015" w:type="dxa"/>
            <w:noWrap/>
            <w:vAlign w:val="bottom"/>
          </w:tcPr>
          <w:p w:rsidR="00EA2491" w:rsidRPr="00EA2491" w:rsidRDefault="00EA2491" w:rsidP="00EA2491">
            <w:pPr>
              <w:pStyle w:val="AERtabletextleft"/>
            </w:pPr>
            <w:proofErr w:type="spellStart"/>
            <w:r w:rsidRPr="00FE72F1">
              <w:t>AusNet</w:t>
            </w:r>
            <w:proofErr w:type="spellEnd"/>
            <w:r w:rsidRPr="00EA2491">
              <w:t xml:space="preserve"> Services</w:t>
            </w:r>
            <w:r w:rsidR="00DA4882">
              <w:t xml:space="preserve"> </w:t>
            </w:r>
            <w:r w:rsidRPr="00EA2491">
              <w:t>(distribution)</w:t>
            </w:r>
          </w:p>
        </w:tc>
      </w:tr>
      <w:tr w:rsidR="00EA2491" w:rsidRPr="00063915" w:rsidTr="00B16C10">
        <w:tc>
          <w:tcPr>
            <w:tcW w:w="3227" w:type="dxa"/>
            <w:noWrap/>
            <w:vAlign w:val="bottom"/>
          </w:tcPr>
          <w:p w:rsidR="00EA2491" w:rsidRPr="00EA2491" w:rsidRDefault="00EA2491" w:rsidP="00EA2491">
            <w:pPr>
              <w:pStyle w:val="AERtabletextleft"/>
            </w:pPr>
            <w:r w:rsidRPr="00FE72F1">
              <w:t>capex</w:t>
            </w:r>
          </w:p>
        </w:tc>
        <w:tc>
          <w:tcPr>
            <w:tcW w:w="6015" w:type="dxa"/>
            <w:noWrap/>
            <w:vAlign w:val="bottom"/>
          </w:tcPr>
          <w:p w:rsidR="00EA2491" w:rsidRPr="00EA2491" w:rsidRDefault="00EA2491" w:rsidP="00EA2491">
            <w:pPr>
              <w:pStyle w:val="AERtabletextleft"/>
            </w:pPr>
            <w:r w:rsidRPr="00FE72F1">
              <w:t>Capital expenditure</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CIT</w:t>
            </w:r>
          </w:p>
        </w:tc>
        <w:tc>
          <w:tcPr>
            <w:tcW w:w="6015" w:type="dxa"/>
            <w:noWrap/>
            <w:vAlign w:val="bottom"/>
          </w:tcPr>
          <w:p w:rsidR="00EA2491" w:rsidRPr="00EA2491" w:rsidRDefault="00966D0D" w:rsidP="00966D0D">
            <w:pPr>
              <w:pStyle w:val="AERtabletextleft"/>
            </w:pPr>
            <w:proofErr w:type="spellStart"/>
            <w:r w:rsidRPr="00FE72F1">
              <w:t>Citi</w:t>
            </w:r>
            <w:r>
              <w:t>P</w:t>
            </w:r>
            <w:r w:rsidRPr="00FE72F1">
              <w:t>ower</w:t>
            </w:r>
            <w:proofErr w:type="spellEnd"/>
          </w:p>
        </w:tc>
      </w:tr>
      <w:tr w:rsidR="00EA2491" w:rsidRPr="00063915" w:rsidTr="00B16C10">
        <w:tc>
          <w:tcPr>
            <w:tcW w:w="3227" w:type="dxa"/>
            <w:noWrap/>
            <w:vAlign w:val="bottom"/>
          </w:tcPr>
          <w:p w:rsidR="00EA2491" w:rsidRPr="00EA2491" w:rsidRDefault="00EA2491" w:rsidP="00EA2491">
            <w:pPr>
              <w:pStyle w:val="AERtabletextleft"/>
            </w:pPr>
            <w:r w:rsidRPr="00FE72F1">
              <w:t>END</w:t>
            </w:r>
          </w:p>
        </w:tc>
        <w:tc>
          <w:tcPr>
            <w:tcW w:w="6015" w:type="dxa"/>
            <w:noWrap/>
            <w:vAlign w:val="bottom"/>
          </w:tcPr>
          <w:p w:rsidR="00EA2491" w:rsidRPr="00EA2491" w:rsidRDefault="00EA2491" w:rsidP="00EA2491">
            <w:pPr>
              <w:pStyle w:val="AERtabletextleft"/>
            </w:pPr>
            <w:r w:rsidRPr="00FE72F1">
              <w:t>Endeavour Energy</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ENX</w:t>
            </w:r>
          </w:p>
        </w:tc>
        <w:tc>
          <w:tcPr>
            <w:tcW w:w="6015" w:type="dxa"/>
            <w:noWrap/>
            <w:vAlign w:val="bottom"/>
          </w:tcPr>
          <w:p w:rsidR="00EA2491" w:rsidRPr="00EA2491" w:rsidRDefault="00EA2491" w:rsidP="00EA2491">
            <w:pPr>
              <w:pStyle w:val="AERtabletextleft"/>
            </w:pPr>
            <w:proofErr w:type="spellStart"/>
            <w:r w:rsidRPr="00FE72F1">
              <w:t>Energex</w:t>
            </w:r>
            <w:proofErr w:type="spellEnd"/>
          </w:p>
        </w:tc>
      </w:tr>
      <w:tr w:rsidR="00EA2491" w:rsidRPr="00063915" w:rsidTr="00B16C10">
        <w:tc>
          <w:tcPr>
            <w:tcW w:w="3227" w:type="dxa"/>
            <w:noWrap/>
            <w:vAlign w:val="bottom"/>
          </w:tcPr>
          <w:p w:rsidR="00EA2491" w:rsidRPr="00EA2491" w:rsidRDefault="00EA2491" w:rsidP="00EA2491">
            <w:pPr>
              <w:pStyle w:val="AERtabletextleft"/>
            </w:pPr>
            <w:r w:rsidRPr="00FE72F1">
              <w:t>ERG</w:t>
            </w:r>
          </w:p>
        </w:tc>
        <w:tc>
          <w:tcPr>
            <w:tcW w:w="6015" w:type="dxa"/>
            <w:noWrap/>
            <w:vAlign w:val="bottom"/>
          </w:tcPr>
          <w:p w:rsidR="00EA2491" w:rsidRPr="00EA2491" w:rsidRDefault="00EA2491" w:rsidP="00EA2491">
            <w:pPr>
              <w:pStyle w:val="AERtabletextleft"/>
            </w:pPr>
            <w:proofErr w:type="spellStart"/>
            <w:r w:rsidRPr="00FE72F1">
              <w:t>Ergon</w:t>
            </w:r>
            <w:proofErr w:type="spellEnd"/>
            <w:r w:rsidRPr="00FE72F1">
              <w:t xml:space="preserve"> Energy</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ESS</w:t>
            </w:r>
          </w:p>
        </w:tc>
        <w:tc>
          <w:tcPr>
            <w:tcW w:w="6015" w:type="dxa"/>
            <w:noWrap/>
            <w:vAlign w:val="bottom"/>
          </w:tcPr>
          <w:p w:rsidR="00EA2491" w:rsidRPr="00EA2491" w:rsidRDefault="00EA2491" w:rsidP="00EA2491">
            <w:pPr>
              <w:pStyle w:val="AERtabletextleft"/>
            </w:pPr>
            <w:r w:rsidRPr="00FE72F1">
              <w:t>Essential Energy</w:t>
            </w:r>
          </w:p>
        </w:tc>
      </w:tr>
      <w:tr w:rsidR="00EA2491" w:rsidRPr="00063915" w:rsidTr="00B16C10">
        <w:tc>
          <w:tcPr>
            <w:tcW w:w="3227" w:type="dxa"/>
            <w:noWrap/>
            <w:vAlign w:val="bottom"/>
          </w:tcPr>
          <w:p w:rsidR="00EA2491" w:rsidRPr="00EA2491" w:rsidRDefault="00EA2491" w:rsidP="00EA2491">
            <w:pPr>
              <w:pStyle w:val="AERtabletextleft"/>
            </w:pPr>
            <w:r w:rsidRPr="00FE72F1">
              <w:t>JEN</w:t>
            </w:r>
          </w:p>
        </w:tc>
        <w:tc>
          <w:tcPr>
            <w:tcW w:w="6015" w:type="dxa"/>
            <w:noWrap/>
            <w:vAlign w:val="bottom"/>
          </w:tcPr>
          <w:p w:rsidR="00EA2491" w:rsidRPr="00EA2491" w:rsidRDefault="00EA2491" w:rsidP="00EA2491">
            <w:pPr>
              <w:pStyle w:val="AERtabletextleft"/>
            </w:pPr>
            <w:proofErr w:type="spellStart"/>
            <w:r w:rsidRPr="00FE72F1">
              <w:t>Jemena</w:t>
            </w:r>
            <w:proofErr w:type="spellEnd"/>
            <w:r w:rsidRPr="00FE72F1">
              <w:t xml:space="preserve"> Electricity Networks</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MTFP</w:t>
            </w:r>
          </w:p>
        </w:tc>
        <w:tc>
          <w:tcPr>
            <w:tcW w:w="6015" w:type="dxa"/>
            <w:noWrap/>
            <w:vAlign w:val="bottom"/>
          </w:tcPr>
          <w:p w:rsidR="00EA2491" w:rsidRPr="00EA2491" w:rsidRDefault="00EA2491" w:rsidP="00EA2491">
            <w:pPr>
              <w:pStyle w:val="AERtabletextleft"/>
            </w:pPr>
            <w:r w:rsidRPr="00FE72F1">
              <w:t xml:space="preserve">Multilateral total </w:t>
            </w:r>
            <w:r w:rsidRPr="00EA2491">
              <w:t>factor productivity</w:t>
            </w:r>
          </w:p>
        </w:tc>
      </w:tr>
      <w:tr w:rsidR="00EA2491" w:rsidRPr="00063915" w:rsidTr="00B16C10">
        <w:tc>
          <w:tcPr>
            <w:tcW w:w="3227" w:type="dxa"/>
            <w:noWrap/>
            <w:vAlign w:val="bottom"/>
          </w:tcPr>
          <w:p w:rsidR="00EA2491" w:rsidRPr="00EA2491" w:rsidRDefault="00EA2491" w:rsidP="00EA2491">
            <w:pPr>
              <w:pStyle w:val="AERtabletextleft"/>
            </w:pPr>
            <w:r w:rsidRPr="00FE72F1">
              <w:t>NEL</w:t>
            </w:r>
          </w:p>
        </w:tc>
        <w:tc>
          <w:tcPr>
            <w:tcW w:w="6015" w:type="dxa"/>
            <w:noWrap/>
            <w:vAlign w:val="bottom"/>
          </w:tcPr>
          <w:p w:rsidR="00EA2491" w:rsidRPr="00EA2491" w:rsidRDefault="00EA2491" w:rsidP="00EA2491">
            <w:pPr>
              <w:pStyle w:val="AERtabletextleft"/>
            </w:pPr>
            <w:r w:rsidRPr="00FE72F1">
              <w:t>National Electricity Law</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NEM</w:t>
            </w:r>
          </w:p>
        </w:tc>
        <w:tc>
          <w:tcPr>
            <w:tcW w:w="6015" w:type="dxa"/>
            <w:noWrap/>
            <w:vAlign w:val="bottom"/>
          </w:tcPr>
          <w:p w:rsidR="00EA2491" w:rsidRPr="00EA2491" w:rsidRDefault="00EA2491" w:rsidP="00EA2491">
            <w:pPr>
              <w:pStyle w:val="AERtabletextleft"/>
            </w:pPr>
            <w:r w:rsidRPr="00FE72F1">
              <w:t>National Electricity Market</w:t>
            </w:r>
          </w:p>
        </w:tc>
      </w:tr>
      <w:tr w:rsidR="00EA2491" w:rsidRPr="00063915" w:rsidTr="00B16C10">
        <w:tc>
          <w:tcPr>
            <w:tcW w:w="3227" w:type="dxa"/>
            <w:noWrap/>
            <w:vAlign w:val="bottom"/>
          </w:tcPr>
          <w:p w:rsidR="00EA2491" w:rsidRPr="00EA2491" w:rsidRDefault="00EA2491" w:rsidP="00EA2491">
            <w:pPr>
              <w:pStyle w:val="AERtabletextleft"/>
            </w:pPr>
            <w:r w:rsidRPr="00FE72F1">
              <w:t>NER</w:t>
            </w:r>
          </w:p>
        </w:tc>
        <w:tc>
          <w:tcPr>
            <w:tcW w:w="6015" w:type="dxa"/>
            <w:noWrap/>
            <w:vAlign w:val="bottom"/>
          </w:tcPr>
          <w:p w:rsidR="00EA2491" w:rsidRPr="00EA2491" w:rsidRDefault="00EA2491" w:rsidP="00EA2491">
            <w:pPr>
              <w:pStyle w:val="AERtabletextleft"/>
            </w:pPr>
            <w:r w:rsidRPr="00FE72F1">
              <w:t>National Electricity Rules</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opex</w:t>
            </w:r>
          </w:p>
        </w:tc>
        <w:tc>
          <w:tcPr>
            <w:tcW w:w="6015" w:type="dxa"/>
            <w:noWrap/>
            <w:vAlign w:val="bottom"/>
          </w:tcPr>
          <w:p w:rsidR="00EA2491" w:rsidRPr="00EA2491" w:rsidRDefault="00EA2491" w:rsidP="00EA2491">
            <w:pPr>
              <w:pStyle w:val="AERtabletextleft"/>
            </w:pPr>
            <w:r w:rsidRPr="00FE72F1">
              <w:t>Operating expenditure</w:t>
            </w:r>
          </w:p>
        </w:tc>
      </w:tr>
      <w:tr w:rsidR="00EA2491" w:rsidRPr="00063915" w:rsidTr="00B16C10">
        <w:tc>
          <w:tcPr>
            <w:tcW w:w="3227" w:type="dxa"/>
            <w:noWrap/>
            <w:vAlign w:val="bottom"/>
          </w:tcPr>
          <w:p w:rsidR="00EA2491" w:rsidRPr="00EA2491" w:rsidRDefault="00EA2491" w:rsidP="00EA2491">
            <w:pPr>
              <w:pStyle w:val="AERtabletextleft"/>
            </w:pPr>
            <w:r w:rsidRPr="00FE72F1">
              <w:t>PCR</w:t>
            </w:r>
          </w:p>
        </w:tc>
        <w:tc>
          <w:tcPr>
            <w:tcW w:w="6015" w:type="dxa"/>
            <w:noWrap/>
            <w:vAlign w:val="bottom"/>
          </w:tcPr>
          <w:p w:rsidR="00EA2491" w:rsidRPr="00EA2491" w:rsidRDefault="00EA2491" w:rsidP="00EA2491">
            <w:pPr>
              <w:pStyle w:val="AERtabletextleft"/>
            </w:pPr>
            <w:proofErr w:type="spellStart"/>
            <w:r w:rsidRPr="00FE72F1">
              <w:t>Powercor</w:t>
            </w:r>
            <w:proofErr w:type="spellEnd"/>
          </w:p>
        </w:tc>
      </w:tr>
      <w:tr w:rsidR="00EA2491" w:rsidRPr="00063915" w:rsidTr="00743EB9">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t>PPI</w:t>
            </w:r>
          </w:p>
        </w:tc>
        <w:tc>
          <w:tcPr>
            <w:tcW w:w="6015" w:type="dxa"/>
            <w:noWrap/>
            <w:vAlign w:val="bottom"/>
          </w:tcPr>
          <w:p w:rsidR="00EA2491" w:rsidRPr="00EA2491" w:rsidRDefault="00EA2491" w:rsidP="00EA2491">
            <w:pPr>
              <w:pStyle w:val="AERtabletextleft"/>
            </w:pPr>
            <w:r>
              <w:t>Partial performance indicator</w:t>
            </w:r>
          </w:p>
        </w:tc>
      </w:tr>
      <w:tr w:rsidR="00EA2491" w:rsidRPr="00063915" w:rsidTr="00B16C10">
        <w:tc>
          <w:tcPr>
            <w:tcW w:w="3227" w:type="dxa"/>
            <w:noWrap/>
            <w:vAlign w:val="bottom"/>
          </w:tcPr>
          <w:p w:rsidR="00EA2491" w:rsidRPr="00EA2491" w:rsidRDefault="00EA2491" w:rsidP="00EA2491">
            <w:pPr>
              <w:pStyle w:val="AERtabletextleft"/>
            </w:pPr>
            <w:r w:rsidRPr="00FE72F1">
              <w:t>RAB</w:t>
            </w:r>
          </w:p>
        </w:tc>
        <w:tc>
          <w:tcPr>
            <w:tcW w:w="6015" w:type="dxa"/>
            <w:noWrap/>
            <w:vAlign w:val="bottom"/>
          </w:tcPr>
          <w:p w:rsidR="00EA2491" w:rsidRPr="00EA2491" w:rsidRDefault="00EA2491" w:rsidP="00EA2491">
            <w:pPr>
              <w:pStyle w:val="AERtabletextleft"/>
            </w:pPr>
            <w:r w:rsidRPr="00FE72F1">
              <w:t>Regulatory asset base</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SAP</w:t>
            </w:r>
          </w:p>
        </w:tc>
        <w:tc>
          <w:tcPr>
            <w:tcW w:w="6015" w:type="dxa"/>
            <w:noWrap/>
            <w:vAlign w:val="bottom"/>
          </w:tcPr>
          <w:p w:rsidR="00EA2491" w:rsidRPr="00EA2491" w:rsidRDefault="00EA2491" w:rsidP="00EA2491">
            <w:pPr>
              <w:pStyle w:val="AERtabletextleft"/>
            </w:pPr>
            <w:r w:rsidRPr="00FE72F1">
              <w:t>SA Power Networks</w:t>
            </w:r>
          </w:p>
        </w:tc>
      </w:tr>
      <w:tr w:rsidR="00EA2491" w:rsidRPr="00063915" w:rsidTr="00B16C10">
        <w:tc>
          <w:tcPr>
            <w:tcW w:w="3227" w:type="dxa"/>
            <w:noWrap/>
            <w:vAlign w:val="bottom"/>
          </w:tcPr>
          <w:p w:rsidR="00EA2491" w:rsidRPr="00EA2491" w:rsidRDefault="00EA2491" w:rsidP="00EA2491">
            <w:pPr>
              <w:pStyle w:val="AERtabletextleft"/>
            </w:pPr>
            <w:r w:rsidRPr="00FE72F1">
              <w:t>TND</w:t>
            </w:r>
          </w:p>
        </w:tc>
        <w:tc>
          <w:tcPr>
            <w:tcW w:w="6015" w:type="dxa"/>
            <w:noWrap/>
            <w:vAlign w:val="bottom"/>
          </w:tcPr>
          <w:p w:rsidR="00EA2491" w:rsidRPr="00EA2491" w:rsidRDefault="00EA2491" w:rsidP="00EA2491">
            <w:pPr>
              <w:pStyle w:val="AERtabletextleft"/>
            </w:pPr>
            <w:r w:rsidRPr="00FE72F1">
              <w:t>TasNetworks (distribution)</w:t>
            </w:r>
          </w:p>
        </w:tc>
      </w:tr>
      <w:tr w:rsidR="00EA2491" w:rsidRPr="00063915" w:rsidTr="00B16C10">
        <w:trPr>
          <w:cnfStyle w:val="000000010000" w:firstRow="0" w:lastRow="0" w:firstColumn="0" w:lastColumn="0" w:oddVBand="0" w:evenVBand="0" w:oddHBand="0" w:evenHBand="1" w:firstRowFirstColumn="0" w:firstRowLastColumn="0" w:lastRowFirstColumn="0" w:lastRowLastColumn="0"/>
        </w:trPr>
        <w:tc>
          <w:tcPr>
            <w:tcW w:w="3227" w:type="dxa"/>
            <w:noWrap/>
            <w:vAlign w:val="bottom"/>
          </w:tcPr>
          <w:p w:rsidR="00EA2491" w:rsidRPr="00EA2491" w:rsidRDefault="00EA2491" w:rsidP="00EA2491">
            <w:pPr>
              <w:pStyle w:val="AERtabletextleft"/>
            </w:pPr>
            <w:r w:rsidRPr="00FE72F1">
              <w:t>UED</w:t>
            </w:r>
          </w:p>
        </w:tc>
        <w:tc>
          <w:tcPr>
            <w:tcW w:w="6015" w:type="dxa"/>
            <w:noWrap/>
            <w:vAlign w:val="bottom"/>
          </w:tcPr>
          <w:p w:rsidR="00EA2491" w:rsidRPr="00EA2491" w:rsidRDefault="00EA2491" w:rsidP="00EA2491">
            <w:pPr>
              <w:pStyle w:val="AERtabletextleft"/>
            </w:pPr>
            <w:r w:rsidRPr="00FE72F1">
              <w:t>United Energy Distribution</w:t>
            </w:r>
          </w:p>
        </w:tc>
      </w:tr>
    </w:tbl>
    <w:p w:rsidR="00086F51" w:rsidRPr="0020711E" w:rsidRDefault="00086F51" w:rsidP="00086F51">
      <w:pPr>
        <w:pStyle w:val="HeadingOrange"/>
        <w:numPr>
          <w:ilvl w:val="0"/>
          <w:numId w:val="0"/>
        </w:numPr>
        <w:rPr>
          <w:rStyle w:val="AERtextsize8"/>
        </w:rPr>
      </w:pPr>
      <w:r w:rsidRPr="00086F51">
        <w:rPr>
          <w:noProof/>
          <w:lang w:eastAsia="en-AU"/>
        </w:rPr>
        <w:drawing>
          <wp:anchor distT="0" distB="0" distL="114300" distR="114300" simplePos="0" relativeHeight="251665408" behindDoc="1" locked="0" layoutInCell="1" allowOverlap="1" wp14:anchorId="1C4D67B3" wp14:editId="608FF506">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086F51" w:rsidRDefault="00086F51" w:rsidP="00086F51">
      <w:pPr>
        <w:pStyle w:val="UnnumberedHeading"/>
        <w:numPr>
          <w:ilvl w:val="0"/>
          <w:numId w:val="2"/>
        </w:numPr>
      </w:pPr>
      <w:bookmarkStart w:id="4" w:name="_Toc360023682"/>
      <w:bookmarkStart w:id="5" w:name="_Toc360024843"/>
      <w:bookmarkStart w:id="6" w:name="_Toc404010807"/>
      <w:bookmarkStart w:id="7" w:name="_Toc404244857"/>
      <w:r>
        <w:lastRenderedPageBreak/>
        <w:t>Contents</w:t>
      </w:r>
      <w:bookmarkEnd w:id="4"/>
      <w:bookmarkEnd w:id="5"/>
      <w:bookmarkEnd w:id="6"/>
      <w:bookmarkEnd w:id="7"/>
    </w:p>
    <w:p w:rsidR="000D6071" w:rsidRDefault="008274F9">
      <w:pPr>
        <w:pStyle w:val="TOC1"/>
        <w:tabs>
          <w:tab w:val="right" w:leader="dot" w:pos="9016"/>
        </w:tabs>
        <w:rPr>
          <w:rFonts w:asciiTheme="minorHAnsi" w:eastAsiaTheme="minorEastAsia" w:hAnsiTheme="minorHAnsi" w:cstheme="minorBidi"/>
          <w:b w:val="0"/>
          <w:bCs w:val="0"/>
          <w:noProof/>
          <w:sz w:val="22"/>
          <w:szCs w:val="22"/>
          <w:lang w:eastAsia="en-AU"/>
        </w:rPr>
      </w:pPr>
      <w:r w:rsidRPr="00AC1B94">
        <w:fldChar w:fldCharType="begin"/>
      </w:r>
      <w:r w:rsidR="00086F51" w:rsidRPr="00971655">
        <w:instrText xml:space="preserve"> TOC \o "1-2" \h \z \u </w:instrText>
      </w:r>
      <w:r w:rsidRPr="00AC1B94">
        <w:fldChar w:fldCharType="separate"/>
      </w:r>
      <w:hyperlink w:anchor="_Toc404244856" w:history="1">
        <w:r w:rsidR="000D6071" w:rsidRPr="001B74CB">
          <w:rPr>
            <w:rStyle w:val="Hyperlink"/>
            <w:noProof/>
          </w:rPr>
          <w:t>Shortened forms</w:t>
        </w:r>
        <w:r w:rsidR="000D6071">
          <w:rPr>
            <w:noProof/>
            <w:webHidden/>
          </w:rPr>
          <w:tab/>
        </w:r>
        <w:r w:rsidR="000D6071">
          <w:rPr>
            <w:noProof/>
            <w:webHidden/>
          </w:rPr>
          <w:fldChar w:fldCharType="begin"/>
        </w:r>
        <w:r w:rsidR="000D6071">
          <w:rPr>
            <w:noProof/>
            <w:webHidden/>
          </w:rPr>
          <w:instrText xml:space="preserve"> PAGEREF _Toc404244856 \h </w:instrText>
        </w:r>
        <w:r w:rsidR="000D6071">
          <w:rPr>
            <w:noProof/>
            <w:webHidden/>
          </w:rPr>
        </w:r>
        <w:r w:rsidR="000D6071">
          <w:rPr>
            <w:noProof/>
            <w:webHidden/>
          </w:rPr>
          <w:fldChar w:fldCharType="separate"/>
        </w:r>
        <w:r w:rsidR="00421701">
          <w:rPr>
            <w:noProof/>
            <w:webHidden/>
          </w:rPr>
          <w:t>3</w:t>
        </w:r>
        <w:r w:rsidR="000D6071">
          <w:rPr>
            <w:noProof/>
            <w:webHidden/>
          </w:rPr>
          <w:fldChar w:fldCharType="end"/>
        </w:r>
      </w:hyperlink>
    </w:p>
    <w:p w:rsidR="000D6071" w:rsidRDefault="0033630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244857" w:history="1">
        <w:r w:rsidR="000D6071" w:rsidRPr="001B74CB">
          <w:rPr>
            <w:rStyle w:val="Hyperlink"/>
            <w:noProof/>
          </w:rPr>
          <w:t>Contents</w:t>
        </w:r>
        <w:r w:rsidR="000D6071">
          <w:rPr>
            <w:noProof/>
            <w:webHidden/>
          </w:rPr>
          <w:tab/>
        </w:r>
        <w:r w:rsidR="000D6071">
          <w:rPr>
            <w:noProof/>
            <w:webHidden/>
          </w:rPr>
          <w:fldChar w:fldCharType="begin"/>
        </w:r>
        <w:r w:rsidR="000D6071">
          <w:rPr>
            <w:noProof/>
            <w:webHidden/>
          </w:rPr>
          <w:instrText xml:space="preserve"> PAGEREF _Toc404244857 \h </w:instrText>
        </w:r>
        <w:r w:rsidR="000D6071">
          <w:rPr>
            <w:noProof/>
            <w:webHidden/>
          </w:rPr>
        </w:r>
        <w:r w:rsidR="000D6071">
          <w:rPr>
            <w:noProof/>
            <w:webHidden/>
          </w:rPr>
          <w:fldChar w:fldCharType="separate"/>
        </w:r>
        <w:r w:rsidR="00421701">
          <w:rPr>
            <w:noProof/>
            <w:webHidden/>
          </w:rPr>
          <w:t>4</w:t>
        </w:r>
        <w:r w:rsidR="000D6071">
          <w:rPr>
            <w:noProof/>
            <w:webHidden/>
          </w:rPr>
          <w:fldChar w:fldCharType="end"/>
        </w:r>
      </w:hyperlink>
    </w:p>
    <w:p w:rsidR="000D6071" w:rsidRDefault="0033630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244858" w:history="1">
        <w:r w:rsidR="000D6071" w:rsidRPr="001B74CB">
          <w:rPr>
            <w:rStyle w:val="Hyperlink"/>
            <w:noProof/>
          </w:rPr>
          <w:t>Overview</w:t>
        </w:r>
        <w:r w:rsidR="000D6071">
          <w:rPr>
            <w:noProof/>
            <w:webHidden/>
          </w:rPr>
          <w:tab/>
        </w:r>
        <w:r w:rsidR="000D6071">
          <w:rPr>
            <w:noProof/>
            <w:webHidden/>
          </w:rPr>
          <w:fldChar w:fldCharType="begin"/>
        </w:r>
        <w:r w:rsidR="000D6071">
          <w:rPr>
            <w:noProof/>
            <w:webHidden/>
          </w:rPr>
          <w:instrText xml:space="preserve"> PAGEREF _Toc404244858 \h </w:instrText>
        </w:r>
        <w:r w:rsidR="000D6071">
          <w:rPr>
            <w:noProof/>
            <w:webHidden/>
          </w:rPr>
        </w:r>
        <w:r w:rsidR="000D6071">
          <w:rPr>
            <w:noProof/>
            <w:webHidden/>
          </w:rPr>
          <w:fldChar w:fldCharType="separate"/>
        </w:r>
        <w:r w:rsidR="00421701">
          <w:rPr>
            <w:noProof/>
            <w:webHidden/>
          </w:rPr>
          <w:t>5</w:t>
        </w:r>
        <w:r w:rsidR="000D6071">
          <w:rPr>
            <w:noProof/>
            <w:webHidden/>
          </w:rPr>
          <w:fldChar w:fldCharType="end"/>
        </w:r>
      </w:hyperlink>
    </w:p>
    <w:p w:rsidR="000D6071" w:rsidRDefault="0033630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244859" w:history="1">
        <w:r w:rsidR="000D6071" w:rsidRPr="001B74CB">
          <w:rPr>
            <w:rStyle w:val="Hyperlink"/>
            <w:noProof/>
          </w:rPr>
          <w:t>1</w:t>
        </w:r>
        <w:r w:rsidR="000D6071">
          <w:rPr>
            <w:rFonts w:asciiTheme="minorHAnsi" w:eastAsiaTheme="minorEastAsia" w:hAnsiTheme="minorHAnsi" w:cstheme="minorBidi"/>
            <w:b w:val="0"/>
            <w:bCs w:val="0"/>
            <w:noProof/>
            <w:sz w:val="22"/>
            <w:szCs w:val="22"/>
            <w:lang w:eastAsia="en-AU"/>
          </w:rPr>
          <w:tab/>
        </w:r>
        <w:r w:rsidR="000D6071" w:rsidRPr="001B74CB">
          <w:rPr>
            <w:rStyle w:val="Hyperlink"/>
            <w:noProof/>
          </w:rPr>
          <w:t>Network characteristics</w:t>
        </w:r>
        <w:r w:rsidR="000D6071">
          <w:rPr>
            <w:noProof/>
            <w:webHidden/>
          </w:rPr>
          <w:tab/>
        </w:r>
        <w:r w:rsidR="000D6071">
          <w:rPr>
            <w:noProof/>
            <w:webHidden/>
          </w:rPr>
          <w:fldChar w:fldCharType="begin"/>
        </w:r>
        <w:r w:rsidR="000D6071">
          <w:rPr>
            <w:noProof/>
            <w:webHidden/>
          </w:rPr>
          <w:instrText xml:space="preserve"> PAGEREF _Toc404244859 \h </w:instrText>
        </w:r>
        <w:r w:rsidR="000D6071">
          <w:rPr>
            <w:noProof/>
            <w:webHidden/>
          </w:rPr>
        </w:r>
        <w:r w:rsidR="000D6071">
          <w:rPr>
            <w:noProof/>
            <w:webHidden/>
          </w:rPr>
          <w:fldChar w:fldCharType="separate"/>
        </w:r>
        <w:r w:rsidR="00421701">
          <w:rPr>
            <w:noProof/>
            <w:webHidden/>
          </w:rPr>
          <w:t>8</w:t>
        </w:r>
        <w:r w:rsidR="000D6071">
          <w:rPr>
            <w:noProof/>
            <w:webHidden/>
          </w:rPr>
          <w:fldChar w:fldCharType="end"/>
        </w:r>
      </w:hyperlink>
    </w:p>
    <w:p w:rsidR="000D6071" w:rsidRDefault="0033630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244860" w:history="1">
        <w:r w:rsidR="000D6071" w:rsidRPr="001B74CB">
          <w:rPr>
            <w:rStyle w:val="Hyperlink"/>
            <w:noProof/>
          </w:rPr>
          <w:t>1.1</w:t>
        </w:r>
        <w:r w:rsidR="000D6071">
          <w:rPr>
            <w:rFonts w:asciiTheme="minorHAnsi" w:eastAsiaTheme="minorEastAsia" w:hAnsiTheme="minorHAnsi" w:cstheme="minorBidi"/>
            <w:iCs w:val="0"/>
            <w:noProof/>
            <w:sz w:val="22"/>
            <w:szCs w:val="22"/>
            <w:lang w:eastAsia="en-AU"/>
          </w:rPr>
          <w:tab/>
        </w:r>
        <w:r w:rsidR="000D6071" w:rsidRPr="001B74CB">
          <w:rPr>
            <w:rStyle w:val="Hyperlink"/>
            <w:noProof/>
          </w:rPr>
          <w:t>Framework for efficiency measurement</w:t>
        </w:r>
        <w:r w:rsidR="000D6071">
          <w:rPr>
            <w:noProof/>
            <w:webHidden/>
          </w:rPr>
          <w:tab/>
        </w:r>
        <w:r w:rsidR="000D6071">
          <w:rPr>
            <w:noProof/>
            <w:webHidden/>
          </w:rPr>
          <w:fldChar w:fldCharType="begin"/>
        </w:r>
        <w:r w:rsidR="000D6071">
          <w:rPr>
            <w:noProof/>
            <w:webHidden/>
          </w:rPr>
          <w:instrText xml:space="preserve"> PAGEREF _Toc404244860 \h </w:instrText>
        </w:r>
        <w:r w:rsidR="000D6071">
          <w:rPr>
            <w:noProof/>
            <w:webHidden/>
          </w:rPr>
        </w:r>
        <w:r w:rsidR="000D6071">
          <w:rPr>
            <w:noProof/>
            <w:webHidden/>
          </w:rPr>
          <w:fldChar w:fldCharType="separate"/>
        </w:r>
        <w:r w:rsidR="00421701">
          <w:rPr>
            <w:noProof/>
            <w:webHidden/>
          </w:rPr>
          <w:t>10</w:t>
        </w:r>
        <w:r w:rsidR="000D6071">
          <w:rPr>
            <w:noProof/>
            <w:webHidden/>
          </w:rPr>
          <w:fldChar w:fldCharType="end"/>
        </w:r>
      </w:hyperlink>
    </w:p>
    <w:p w:rsidR="000D6071" w:rsidRDefault="0033630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244861" w:history="1">
        <w:r w:rsidR="000D6071" w:rsidRPr="001B74CB">
          <w:rPr>
            <w:rStyle w:val="Hyperlink"/>
            <w:noProof/>
          </w:rPr>
          <w:t>2</w:t>
        </w:r>
        <w:r w:rsidR="000D6071">
          <w:rPr>
            <w:rFonts w:asciiTheme="minorHAnsi" w:eastAsiaTheme="minorEastAsia" w:hAnsiTheme="minorHAnsi" w:cstheme="minorBidi"/>
            <w:b w:val="0"/>
            <w:bCs w:val="0"/>
            <w:noProof/>
            <w:sz w:val="22"/>
            <w:szCs w:val="22"/>
            <w:lang w:eastAsia="en-AU"/>
          </w:rPr>
          <w:tab/>
        </w:r>
        <w:r w:rsidR="000D6071" w:rsidRPr="001B74CB">
          <w:rPr>
            <w:rStyle w:val="Hyperlink"/>
            <w:noProof/>
          </w:rPr>
          <w:t>Benchmarking</w:t>
        </w:r>
        <w:r w:rsidR="000D6071">
          <w:rPr>
            <w:noProof/>
            <w:webHidden/>
          </w:rPr>
          <w:tab/>
        </w:r>
        <w:r w:rsidR="000D6071">
          <w:rPr>
            <w:noProof/>
            <w:webHidden/>
          </w:rPr>
          <w:fldChar w:fldCharType="begin"/>
        </w:r>
        <w:r w:rsidR="000D6071">
          <w:rPr>
            <w:noProof/>
            <w:webHidden/>
          </w:rPr>
          <w:instrText xml:space="preserve"> PAGEREF _Toc404244861 \h </w:instrText>
        </w:r>
        <w:r w:rsidR="000D6071">
          <w:rPr>
            <w:noProof/>
            <w:webHidden/>
          </w:rPr>
        </w:r>
        <w:r w:rsidR="000D6071">
          <w:rPr>
            <w:noProof/>
            <w:webHidden/>
          </w:rPr>
          <w:fldChar w:fldCharType="separate"/>
        </w:r>
        <w:r w:rsidR="00421701">
          <w:rPr>
            <w:noProof/>
            <w:webHidden/>
          </w:rPr>
          <w:t>23</w:t>
        </w:r>
        <w:r w:rsidR="000D6071">
          <w:rPr>
            <w:noProof/>
            <w:webHidden/>
          </w:rPr>
          <w:fldChar w:fldCharType="end"/>
        </w:r>
      </w:hyperlink>
    </w:p>
    <w:p w:rsidR="000D6071" w:rsidRDefault="0033630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244862" w:history="1">
        <w:r w:rsidR="000D6071" w:rsidRPr="001B74CB">
          <w:rPr>
            <w:rStyle w:val="Hyperlink"/>
            <w:noProof/>
          </w:rPr>
          <w:t>2.1</w:t>
        </w:r>
        <w:r w:rsidR="000D6071">
          <w:rPr>
            <w:rFonts w:asciiTheme="minorHAnsi" w:eastAsiaTheme="minorEastAsia" w:hAnsiTheme="minorHAnsi" w:cstheme="minorBidi"/>
            <w:iCs w:val="0"/>
            <w:noProof/>
            <w:sz w:val="22"/>
            <w:szCs w:val="22"/>
            <w:lang w:eastAsia="en-AU"/>
          </w:rPr>
          <w:tab/>
        </w:r>
        <w:r w:rsidR="000D6071" w:rsidRPr="001B74CB">
          <w:rPr>
            <w:rStyle w:val="Hyperlink"/>
            <w:noProof/>
          </w:rPr>
          <w:t>Partial performance indicators</w:t>
        </w:r>
        <w:r w:rsidR="000D6071">
          <w:rPr>
            <w:noProof/>
            <w:webHidden/>
          </w:rPr>
          <w:tab/>
        </w:r>
        <w:r w:rsidR="000D6071">
          <w:rPr>
            <w:noProof/>
            <w:webHidden/>
          </w:rPr>
          <w:fldChar w:fldCharType="begin"/>
        </w:r>
        <w:r w:rsidR="000D6071">
          <w:rPr>
            <w:noProof/>
            <w:webHidden/>
          </w:rPr>
          <w:instrText xml:space="preserve"> PAGEREF _Toc404244862 \h </w:instrText>
        </w:r>
        <w:r w:rsidR="000D6071">
          <w:rPr>
            <w:noProof/>
            <w:webHidden/>
          </w:rPr>
        </w:r>
        <w:r w:rsidR="000D6071">
          <w:rPr>
            <w:noProof/>
            <w:webHidden/>
          </w:rPr>
          <w:fldChar w:fldCharType="separate"/>
        </w:r>
        <w:r w:rsidR="00421701">
          <w:rPr>
            <w:noProof/>
            <w:webHidden/>
          </w:rPr>
          <w:t>23</w:t>
        </w:r>
        <w:r w:rsidR="000D6071">
          <w:rPr>
            <w:noProof/>
            <w:webHidden/>
          </w:rPr>
          <w:fldChar w:fldCharType="end"/>
        </w:r>
      </w:hyperlink>
    </w:p>
    <w:p w:rsidR="000D6071" w:rsidRDefault="0033630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244863" w:history="1">
        <w:r w:rsidR="000D6071" w:rsidRPr="001B74CB">
          <w:rPr>
            <w:rStyle w:val="Hyperlink"/>
            <w:noProof/>
          </w:rPr>
          <w:t>2.2</w:t>
        </w:r>
        <w:r w:rsidR="000D6071">
          <w:rPr>
            <w:rFonts w:asciiTheme="minorHAnsi" w:eastAsiaTheme="minorEastAsia" w:hAnsiTheme="minorHAnsi" w:cstheme="minorBidi"/>
            <w:iCs w:val="0"/>
            <w:noProof/>
            <w:sz w:val="22"/>
            <w:szCs w:val="22"/>
            <w:lang w:eastAsia="en-AU"/>
          </w:rPr>
          <w:tab/>
        </w:r>
        <w:r w:rsidR="000D6071" w:rsidRPr="001B74CB">
          <w:rPr>
            <w:rStyle w:val="Hyperlink"/>
            <w:noProof/>
          </w:rPr>
          <w:t>Multilateral total factor productivity</w:t>
        </w:r>
        <w:r w:rsidR="000D6071">
          <w:rPr>
            <w:noProof/>
            <w:webHidden/>
          </w:rPr>
          <w:tab/>
        </w:r>
        <w:r w:rsidR="000D6071">
          <w:rPr>
            <w:noProof/>
            <w:webHidden/>
          </w:rPr>
          <w:fldChar w:fldCharType="begin"/>
        </w:r>
        <w:r w:rsidR="000D6071">
          <w:rPr>
            <w:noProof/>
            <w:webHidden/>
          </w:rPr>
          <w:instrText xml:space="preserve"> PAGEREF _Toc404244863 \h </w:instrText>
        </w:r>
        <w:r w:rsidR="000D6071">
          <w:rPr>
            <w:noProof/>
            <w:webHidden/>
          </w:rPr>
        </w:r>
        <w:r w:rsidR="000D6071">
          <w:rPr>
            <w:noProof/>
            <w:webHidden/>
          </w:rPr>
          <w:fldChar w:fldCharType="separate"/>
        </w:r>
        <w:r w:rsidR="00421701">
          <w:rPr>
            <w:noProof/>
            <w:webHidden/>
          </w:rPr>
          <w:t>28</w:t>
        </w:r>
        <w:r w:rsidR="000D6071">
          <w:rPr>
            <w:noProof/>
            <w:webHidden/>
          </w:rPr>
          <w:fldChar w:fldCharType="end"/>
        </w:r>
      </w:hyperlink>
    </w:p>
    <w:p w:rsidR="000D6071" w:rsidRDefault="0033630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244864" w:history="1">
        <w:r w:rsidR="000D6071" w:rsidRPr="001B74CB">
          <w:rPr>
            <w:rStyle w:val="Hyperlink"/>
            <w:noProof/>
          </w:rPr>
          <w:t>Appendix A</w:t>
        </w:r>
        <w:r w:rsidR="000D6071">
          <w:rPr>
            <w:noProof/>
            <w:webHidden/>
          </w:rPr>
          <w:tab/>
        </w:r>
        <w:r w:rsidR="000D6071">
          <w:rPr>
            <w:noProof/>
            <w:webHidden/>
          </w:rPr>
          <w:fldChar w:fldCharType="begin"/>
        </w:r>
        <w:r w:rsidR="000D6071">
          <w:rPr>
            <w:noProof/>
            <w:webHidden/>
          </w:rPr>
          <w:instrText xml:space="preserve"> PAGEREF _Toc404244864 \h </w:instrText>
        </w:r>
        <w:r w:rsidR="000D6071">
          <w:rPr>
            <w:noProof/>
            <w:webHidden/>
          </w:rPr>
        </w:r>
        <w:r w:rsidR="000D6071">
          <w:rPr>
            <w:noProof/>
            <w:webHidden/>
          </w:rPr>
          <w:fldChar w:fldCharType="separate"/>
        </w:r>
        <w:r w:rsidR="00421701">
          <w:rPr>
            <w:noProof/>
            <w:webHidden/>
          </w:rPr>
          <w:t>35</w:t>
        </w:r>
        <w:r w:rsidR="000D6071">
          <w:rPr>
            <w:noProof/>
            <w:webHidden/>
          </w:rPr>
          <w:fldChar w:fldCharType="end"/>
        </w:r>
      </w:hyperlink>
    </w:p>
    <w:p w:rsidR="000D6071" w:rsidRDefault="0033630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244865" w:history="1">
        <w:r w:rsidR="000D6071" w:rsidRPr="001B74CB">
          <w:rPr>
            <w:rStyle w:val="Hyperlink"/>
            <w:noProof/>
          </w:rPr>
          <w:t>Appendix B</w:t>
        </w:r>
        <w:r w:rsidR="000D6071">
          <w:rPr>
            <w:noProof/>
            <w:webHidden/>
          </w:rPr>
          <w:tab/>
        </w:r>
        <w:r w:rsidR="000D6071">
          <w:rPr>
            <w:noProof/>
            <w:webHidden/>
          </w:rPr>
          <w:fldChar w:fldCharType="begin"/>
        </w:r>
        <w:r w:rsidR="000D6071">
          <w:rPr>
            <w:noProof/>
            <w:webHidden/>
          </w:rPr>
          <w:instrText xml:space="preserve"> PAGEREF _Toc404244865 \h </w:instrText>
        </w:r>
        <w:r w:rsidR="000D6071">
          <w:rPr>
            <w:noProof/>
            <w:webHidden/>
          </w:rPr>
        </w:r>
        <w:r w:rsidR="000D6071">
          <w:rPr>
            <w:noProof/>
            <w:webHidden/>
          </w:rPr>
          <w:fldChar w:fldCharType="separate"/>
        </w:r>
        <w:r w:rsidR="00421701">
          <w:rPr>
            <w:noProof/>
            <w:webHidden/>
          </w:rPr>
          <w:t>46</w:t>
        </w:r>
        <w:r w:rsidR="000D6071">
          <w:rPr>
            <w:noProof/>
            <w:webHidden/>
          </w:rPr>
          <w:fldChar w:fldCharType="end"/>
        </w:r>
      </w:hyperlink>
    </w:p>
    <w:p w:rsidR="000D6071" w:rsidRDefault="008274F9" w:rsidP="000D6071">
      <w:pPr>
        <w:pStyle w:val="TOC1"/>
      </w:pPr>
      <w:r w:rsidRPr="00AC1B94">
        <w:fldChar w:fldCharType="end"/>
      </w:r>
    </w:p>
    <w:p w:rsidR="00285C6C" w:rsidRDefault="00285C6C" w:rsidP="00285C6C">
      <w:pPr>
        <w:pStyle w:val="TOC1"/>
      </w:pPr>
    </w:p>
    <w:p w:rsidR="00086F51" w:rsidRDefault="003B2E0C" w:rsidP="00086F51">
      <w:pPr>
        <w:pStyle w:val="UnnumberedHeading"/>
        <w:numPr>
          <w:ilvl w:val="0"/>
          <w:numId w:val="2"/>
        </w:numPr>
      </w:pPr>
      <w:bookmarkStart w:id="8" w:name="_Toc404010808"/>
      <w:bookmarkStart w:id="9" w:name="_Toc404244858"/>
      <w:r>
        <w:lastRenderedPageBreak/>
        <w:t>Overview</w:t>
      </w:r>
      <w:bookmarkEnd w:id="8"/>
      <w:bookmarkEnd w:id="9"/>
    </w:p>
    <w:p w:rsidR="003B2E0C" w:rsidRDefault="0010338D" w:rsidP="003B2E0C">
      <w:pPr>
        <w:pStyle w:val="AERbodytext"/>
      </w:pPr>
      <w:r>
        <w:t>In thi</w:t>
      </w:r>
      <w:r w:rsidR="005E279F">
        <w:t>s report we</w:t>
      </w:r>
      <w:r w:rsidR="003B2E0C">
        <w:t xml:space="preserve"> </w:t>
      </w:r>
      <w:r>
        <w:t xml:space="preserve">(the AER) </w:t>
      </w:r>
      <w:r w:rsidR="00C630BC">
        <w:t>set out to describe the relative efficiency of distribution network ser</w:t>
      </w:r>
      <w:r w:rsidR="00A40D9E">
        <w:t>vice providers (distributors)</w:t>
      </w:r>
      <w:r w:rsidR="00C630BC">
        <w:t>.</w:t>
      </w:r>
      <w:r w:rsidR="00C630BC">
        <w:rPr>
          <w:rStyle w:val="FootnoteReference"/>
        </w:rPr>
        <w:footnoteReference w:id="1"/>
      </w:r>
      <w:r w:rsidR="00C630BC">
        <w:t xml:space="preserve"> In doing this we consider the characteristics of each distributor, and how their productivity compares at the aggregate level and for</w:t>
      </w:r>
      <w:r w:rsidR="00EF288E">
        <w:t xml:space="preserve"> the outputs they deliver to consumers.</w:t>
      </w:r>
      <w:r w:rsidR="00C630BC">
        <w:t xml:space="preserve"> </w:t>
      </w:r>
      <w:r w:rsidR="005F2B20">
        <w:t xml:space="preserve">The report outlines the framework for our efficiency assessment, and presents the results </w:t>
      </w:r>
      <w:r w:rsidR="00A776E8">
        <w:t>of</w:t>
      </w:r>
      <w:r w:rsidR="005F2B20">
        <w:t xml:space="preserve"> two benchmarking techniques, </w:t>
      </w:r>
      <w:r w:rsidR="005F2B20" w:rsidRPr="00E654C9">
        <w:rPr>
          <w:rStyle w:val="AERbody"/>
        </w:rPr>
        <w:t>multilateral total factor productivity</w:t>
      </w:r>
      <w:r w:rsidR="005F2B20">
        <w:rPr>
          <w:rStyle w:val="AERbody"/>
        </w:rPr>
        <w:t xml:space="preserve"> (MTFP), and partial performance indicators (PPIs).</w:t>
      </w:r>
    </w:p>
    <w:p w:rsidR="00A17EDA" w:rsidRDefault="00A17EDA" w:rsidP="00BD1E71">
      <w:r>
        <w:t>We are obliged to publish the annual benchmarking report as a result of the recent amendments to the National Electricity Rules</w:t>
      </w:r>
      <w:r w:rsidR="00A67F5C">
        <w:t xml:space="preserve"> (NER)</w:t>
      </w:r>
      <w:r>
        <w:t xml:space="preserve"> </w:t>
      </w:r>
      <w:r w:rsidR="00575F95">
        <w:t xml:space="preserve">following the </w:t>
      </w:r>
      <w:r>
        <w:t>Australian Energy Market Commission (AEMC)</w:t>
      </w:r>
      <w:r w:rsidR="00575F95">
        <w:t xml:space="preserve"> review of network regulation in 2012</w:t>
      </w:r>
      <w:r w:rsidRPr="002342B2">
        <w:t>.</w:t>
      </w:r>
      <w:r w:rsidR="00C57B24">
        <w:t xml:space="preserve"> </w:t>
      </w:r>
      <w:r>
        <w:t>The AEMC</w:t>
      </w:r>
      <w:r w:rsidRPr="002342B2">
        <w:t xml:space="preserve"> intended that the </w:t>
      </w:r>
      <w:r>
        <w:t xml:space="preserve">annual benchmarking </w:t>
      </w:r>
      <w:r w:rsidRPr="002342B2">
        <w:t xml:space="preserve">reports would be a useful tool for stakeholders (including consumers) to engage in the regulatory process and to have better information about the relative performance of </w:t>
      </w:r>
      <w:r>
        <w:t>regulated networks</w:t>
      </w:r>
      <w:r w:rsidRPr="002342B2">
        <w:t>.</w:t>
      </w:r>
      <w:r w:rsidRPr="006607E0">
        <w:rPr>
          <w:rStyle w:val="AERsuperscript"/>
        </w:rPr>
        <w:footnoteReference w:id="2"/>
      </w:r>
      <w:r w:rsidRPr="002342B2">
        <w:t xml:space="preserve"> </w:t>
      </w:r>
    </w:p>
    <w:p w:rsidR="00BD1E71" w:rsidRDefault="00BD1E71" w:rsidP="00742DA2">
      <w:pPr>
        <w:pStyle w:val="AERbodytext"/>
      </w:pPr>
      <w:r>
        <w:t>In this report we examine the efficiency of distributors</w:t>
      </w:r>
      <w:r w:rsidR="003F7DAE">
        <w:t xml:space="preserve"> overall, </w:t>
      </w:r>
      <w:r w:rsidR="00F12E6B">
        <w:t>unlike our determinations where we examine the efficiency of the distributors' forecast opex and capex</w:t>
      </w:r>
      <w:r>
        <w:t>.</w:t>
      </w:r>
      <w:r w:rsidRPr="0025550E">
        <w:t xml:space="preserve"> </w:t>
      </w:r>
      <w:r>
        <w:t>We must have regard to the benchmarking analysis presented in this report, as part of our revenue determinations.</w:t>
      </w:r>
      <w:r>
        <w:rPr>
          <w:rStyle w:val="FootnoteReference"/>
        </w:rPr>
        <w:footnoteReference w:id="3"/>
      </w:r>
      <w:r>
        <w:t xml:space="preserve"> </w:t>
      </w:r>
      <w:r w:rsidR="0046603B">
        <w:t xml:space="preserve">However, </w:t>
      </w:r>
      <w:r w:rsidR="00742DA2">
        <w:t xml:space="preserve">when making our revenue determinations, </w:t>
      </w:r>
      <w:r w:rsidR="00F12E6B">
        <w:t>w</w:t>
      </w:r>
      <w:r w:rsidRPr="0025550E">
        <w:t>e are likely to</w:t>
      </w:r>
      <w:r w:rsidR="003F7DAE">
        <w:t xml:space="preserve"> also</w:t>
      </w:r>
      <w:r w:rsidRPr="0025550E">
        <w:t xml:space="preserve"> undertake </w:t>
      </w:r>
      <w:r w:rsidR="00742DA2">
        <w:t>additional</w:t>
      </w:r>
      <w:r w:rsidRPr="0025550E">
        <w:t xml:space="preserve"> detailed modelling and</w:t>
      </w:r>
      <w:r w:rsidR="003F7DAE">
        <w:t xml:space="preserve"> benchmarking</w:t>
      </w:r>
      <w:r w:rsidRPr="0025550E">
        <w:t xml:space="preserve"> analysis that focuses on </w:t>
      </w:r>
      <w:r w:rsidR="00F12E6B">
        <w:t xml:space="preserve">the opex and capex </w:t>
      </w:r>
      <w:r w:rsidRPr="0025550E">
        <w:t>of distributors</w:t>
      </w:r>
      <w:r>
        <w:t>.</w:t>
      </w:r>
    </w:p>
    <w:p w:rsidR="00674903" w:rsidRDefault="00743EB9" w:rsidP="00743EB9">
      <w:pPr>
        <w:pStyle w:val="AERbodytext"/>
      </w:pPr>
      <w:r w:rsidRPr="00743EB9">
        <w:t xml:space="preserve">The AER has consulted broadly on the benchmarking of </w:t>
      </w:r>
      <w:r>
        <w:t>the distributors</w:t>
      </w:r>
      <w:r w:rsidRPr="00743EB9">
        <w:t>. This consultation was initiated by a joint ACCC/AER report on benchmarking the capex and opex of energy networks published in 2012.</w:t>
      </w:r>
      <w:r w:rsidR="00E46F2C">
        <w:rPr>
          <w:rStyle w:val="FootnoteReference"/>
        </w:rPr>
        <w:footnoteReference w:id="4"/>
      </w:r>
      <w:r w:rsidRPr="00743EB9">
        <w:t xml:space="preserve"> Subsequent to this,</w:t>
      </w:r>
      <w:r w:rsidR="00F14CDD">
        <w:t xml:space="preserve"> in 2013 as part of the Better R</w:t>
      </w:r>
      <w:r w:rsidR="00E843DB">
        <w:t>egulation program that</w:t>
      </w:r>
      <w:r w:rsidRPr="00743EB9">
        <w:t xml:space="preserve"> followed amendments to the NER, we developed a new benchmarking and information framework. </w:t>
      </w:r>
    </w:p>
    <w:p w:rsidR="00FD1F8A" w:rsidRPr="00FD1F8A" w:rsidRDefault="00FD1F8A" w:rsidP="00FD1F8A">
      <w:pPr>
        <w:pStyle w:val="AERbodytext"/>
      </w:pPr>
      <w:r w:rsidRPr="00FD1F8A">
        <w:t xml:space="preserve">As part of this work, we considered the data requirements for benchmarking and the application of benchmarking in our regulatory determinations. In doing this we hosted numerous workshops seeking feedback from stakeholders on the data requirements for the benchmarking of electricity networks. </w:t>
      </w:r>
    </w:p>
    <w:p w:rsidR="00FE413B" w:rsidRDefault="005F2B20" w:rsidP="00732BB7">
      <w:pPr>
        <w:pStyle w:val="AERbodytext"/>
      </w:pPr>
      <w:r>
        <w:t>We developed the benchmarking report</w:t>
      </w:r>
      <w:r w:rsidR="00FD1F8A" w:rsidRPr="00FD1F8A">
        <w:t xml:space="preserve"> using the data that we consulted on and collected using regulatory information notices </w:t>
      </w:r>
      <w:r>
        <w:t xml:space="preserve">(RINs) </w:t>
      </w:r>
      <w:r w:rsidR="00FD1F8A" w:rsidRPr="00FD1F8A">
        <w:t>after the release of the guidelines. This data has been compiled in accordance with our consistent information requirements and</w:t>
      </w:r>
      <w:r w:rsidR="00FD1F8A">
        <w:t xml:space="preserve"> five years of data</w:t>
      </w:r>
      <w:r w:rsidR="00FD1F8A" w:rsidRPr="00FD1F8A">
        <w:t xml:space="preserve"> has been audited by the </w:t>
      </w:r>
      <w:r w:rsidR="00FD1F8A">
        <w:t>distributors</w:t>
      </w:r>
      <w:r w:rsidR="00FD1F8A" w:rsidRPr="00FD1F8A">
        <w:t xml:space="preserve">. </w:t>
      </w:r>
      <w:r>
        <w:t>We have published this data</w:t>
      </w:r>
      <w:r w:rsidR="00FD1F8A" w:rsidRPr="00FD1F8A">
        <w:t xml:space="preserve"> on our website.</w:t>
      </w:r>
      <w:r w:rsidR="00FD1F8A">
        <w:rPr>
          <w:rStyle w:val="FootnoteReference"/>
        </w:rPr>
        <w:footnoteReference w:id="5"/>
      </w:r>
      <w:r w:rsidR="00FD1F8A" w:rsidRPr="00FD1F8A">
        <w:t xml:space="preserve"> </w:t>
      </w:r>
      <w:r w:rsidR="00FE413B">
        <w:t xml:space="preserve">While no dataset will likely ever be perfect, this data is the most consistent and thoroughly examined dataset </w:t>
      </w:r>
      <w:r w:rsidR="003E739C">
        <w:t xml:space="preserve">of the distributors </w:t>
      </w:r>
      <w:r w:rsidR="00FE413B">
        <w:t>yet assembled in Australia.</w:t>
      </w:r>
      <w:r w:rsidR="00FE413B">
        <w:rPr>
          <w:rStyle w:val="FootnoteReference"/>
        </w:rPr>
        <w:footnoteReference w:id="6"/>
      </w:r>
      <w:r w:rsidR="00FE413B">
        <w:t xml:space="preserve"> </w:t>
      </w:r>
    </w:p>
    <w:p w:rsidR="00494020" w:rsidRDefault="00494020" w:rsidP="00732BB7">
      <w:pPr>
        <w:pStyle w:val="AERbodytext"/>
      </w:pPr>
      <w:r w:rsidRPr="00494020">
        <w:t>As required under the NER we circulated a draft of this report to distributors and other stakeholders in August 2014. In light of comments made by stakeholders we have made some changes to the report.</w:t>
      </w:r>
      <w:r w:rsidR="007E24C2">
        <w:rPr>
          <w:rStyle w:val="FootnoteReference"/>
        </w:rPr>
        <w:footnoteReference w:id="7"/>
      </w:r>
    </w:p>
    <w:p w:rsidR="00DC79E0" w:rsidRDefault="00732BB7" w:rsidP="00732BB7">
      <w:pPr>
        <w:pStyle w:val="AERbodytext"/>
      </w:pPr>
      <w:r>
        <w:t>This report presents the results of our overall benchmarking measures including MTFP and PPIs</w:t>
      </w:r>
      <w:r w:rsidR="00B54970">
        <w:t>.</w:t>
      </w:r>
      <w:r w:rsidR="00CD6B58">
        <w:t xml:space="preserve"> </w:t>
      </w:r>
      <w:r w:rsidR="00AC0600">
        <w:fldChar w:fldCharType="begin"/>
      </w:r>
      <w:r w:rsidR="00AC0600">
        <w:instrText xml:space="preserve"> REF _Ref404154990 \h </w:instrText>
      </w:r>
      <w:r w:rsidR="00AC0600">
        <w:fldChar w:fldCharType="separate"/>
      </w:r>
      <w:r w:rsidR="00421701">
        <w:t xml:space="preserve">Figure </w:t>
      </w:r>
      <w:r w:rsidR="00421701">
        <w:rPr>
          <w:noProof/>
        </w:rPr>
        <w:t>1</w:t>
      </w:r>
      <w:r w:rsidR="00AC0600">
        <w:fldChar w:fldCharType="end"/>
      </w:r>
      <w:r w:rsidR="00CD6B58">
        <w:t xml:space="preserve"> shows the results of our MTFP analysis.</w:t>
      </w:r>
    </w:p>
    <w:p w:rsidR="000E0CAF" w:rsidRDefault="00C272EF" w:rsidP="00C272EF">
      <w:pPr>
        <w:pStyle w:val="Caption"/>
      </w:pPr>
      <w:bookmarkStart w:id="10" w:name="_Ref404154990"/>
      <w:r>
        <w:lastRenderedPageBreak/>
        <w:t xml:space="preserve">Figure </w:t>
      </w:r>
      <w:fldSimple w:instr=" SEQ Figure \* ARABIC ">
        <w:r w:rsidR="00421701">
          <w:rPr>
            <w:noProof/>
          </w:rPr>
          <w:t>1</w:t>
        </w:r>
      </w:fldSimple>
      <w:bookmarkEnd w:id="10"/>
      <w:r>
        <w:tab/>
      </w:r>
      <w:r w:rsidR="008A4CBA">
        <w:t>State wide multilateral total factor productivity</w:t>
      </w:r>
    </w:p>
    <w:p w:rsidR="000E0CAF" w:rsidRPr="00101506" w:rsidRDefault="00336303" w:rsidP="00336303">
      <w:pPr>
        <w:pStyle w:val="AERbodytext"/>
      </w:pPr>
      <w:r w:rsidRPr="00336303">
        <w:drawing>
          <wp:inline distT="0" distB="0" distL="0" distR="0">
            <wp:extent cx="5728970" cy="3712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3712845"/>
                    </a:xfrm>
                    <a:prstGeom prst="rect">
                      <a:avLst/>
                    </a:prstGeom>
                    <a:noFill/>
                    <a:ln>
                      <a:noFill/>
                    </a:ln>
                  </pic:spPr>
                </pic:pic>
              </a:graphicData>
            </a:graphic>
          </wp:inline>
        </w:drawing>
      </w:r>
    </w:p>
    <w:p w:rsidR="00380126" w:rsidRDefault="00380126" w:rsidP="00CD6B58">
      <w:pPr>
        <w:pStyle w:val="AERbodytext"/>
      </w:pPr>
      <w:r>
        <w:t>The results of our MTFP analysis show that:</w:t>
      </w:r>
    </w:p>
    <w:p w:rsidR="003666ED" w:rsidRDefault="00AA580D" w:rsidP="003666ED">
      <w:pPr>
        <w:pStyle w:val="AERbulletlistfirststyle"/>
      </w:pPr>
      <w:r>
        <w:t>T</w:t>
      </w:r>
      <w:r w:rsidR="003666ED">
        <w:t xml:space="preserve">he </w:t>
      </w:r>
      <w:r>
        <w:t xml:space="preserve">state wide average indicates that the </w:t>
      </w:r>
      <w:r w:rsidR="00380126">
        <w:t xml:space="preserve">Victorian </w:t>
      </w:r>
      <w:r w:rsidR="008A4CBA">
        <w:t>and South Australian distributors</w:t>
      </w:r>
      <w:r w:rsidR="00380126">
        <w:t xml:space="preserve"> appear to be the most productive.</w:t>
      </w:r>
      <w:r w:rsidR="00386F6D">
        <w:t xml:space="preserve"> </w:t>
      </w:r>
      <w:r w:rsidR="003666ED">
        <w:t>That said</w:t>
      </w:r>
      <w:proofErr w:type="gramStart"/>
      <w:r w:rsidR="003666ED">
        <w:t>,</w:t>
      </w:r>
      <w:proofErr w:type="gramEnd"/>
      <w:r w:rsidR="003666ED">
        <w:t xml:space="preserve"> one </w:t>
      </w:r>
      <w:r w:rsidR="00014439">
        <w:t xml:space="preserve">Queensland </w:t>
      </w:r>
      <w:r w:rsidR="003666ED">
        <w:t xml:space="preserve">distributor </w:t>
      </w:r>
      <w:proofErr w:type="spellStart"/>
      <w:r w:rsidR="003666ED">
        <w:t>Energex</w:t>
      </w:r>
      <w:proofErr w:type="spellEnd"/>
      <w:r w:rsidR="003666ED">
        <w:t xml:space="preserve"> outperforms </w:t>
      </w:r>
      <w:r w:rsidR="00014439">
        <w:t xml:space="preserve">a Victorian distributor </w:t>
      </w:r>
      <w:proofErr w:type="spellStart"/>
      <w:r w:rsidR="003666ED">
        <w:t>AusNet</w:t>
      </w:r>
      <w:proofErr w:type="spellEnd"/>
      <w:r w:rsidR="003666ED">
        <w:t xml:space="preserve"> Services on average over the observed period.</w:t>
      </w:r>
    </w:p>
    <w:p w:rsidR="00380126" w:rsidRDefault="008A4CBA" w:rsidP="00927789">
      <w:pPr>
        <w:pStyle w:val="AERbulletlistfirststyle"/>
      </w:pPr>
      <w:r>
        <w:t xml:space="preserve">The ACT, NSW and Tasmanian distributors </w:t>
      </w:r>
      <w:r w:rsidR="00927789" w:rsidRPr="00927789">
        <w:t>appear to be the least productive</w:t>
      </w:r>
      <w:r w:rsidR="00927789">
        <w:t>.</w:t>
      </w:r>
    </w:p>
    <w:p w:rsidR="00712184" w:rsidRDefault="00927789" w:rsidP="0025550E">
      <w:pPr>
        <w:pStyle w:val="AERbulletlistfirststyle"/>
      </w:pPr>
      <w:r>
        <w:t>P</w:t>
      </w:r>
      <w:r w:rsidR="00CD6B58">
        <w:t>roductivity</w:t>
      </w:r>
      <w:r w:rsidR="00CD6B58" w:rsidRPr="00101506">
        <w:t xml:space="preserve"> across the whole sector is declining. This </w:t>
      </w:r>
      <w:r w:rsidR="00CD6B58">
        <w:t>has been</w:t>
      </w:r>
      <w:r w:rsidR="00CD6B58" w:rsidRPr="00101506">
        <w:t xml:space="preserve"> caused by </w:t>
      </w:r>
      <w:r w:rsidR="00CD6B58">
        <w:t>large increases in the</w:t>
      </w:r>
      <w:r w:rsidR="00CD6B58" w:rsidRPr="00101506">
        <w:t xml:space="preserve"> expenditure of distributors </w:t>
      </w:r>
      <w:r w:rsidR="00CD6B58">
        <w:t>at</w:t>
      </w:r>
      <w:r w:rsidR="00CD6B58" w:rsidRPr="00101506">
        <w:t xml:space="preserve"> a time </w:t>
      </w:r>
      <w:r w:rsidR="00CD6B58">
        <w:t xml:space="preserve">when </w:t>
      </w:r>
      <w:r w:rsidR="00CD6B58" w:rsidRPr="00101506">
        <w:t xml:space="preserve">demand for their services </w:t>
      </w:r>
      <w:r w:rsidR="00CD6B58">
        <w:t xml:space="preserve">has been </w:t>
      </w:r>
      <w:r w:rsidR="00CD6B58" w:rsidRPr="00101506">
        <w:t xml:space="preserve">relatively stable </w:t>
      </w:r>
      <w:r w:rsidR="00CD6B58">
        <w:t>or declining</w:t>
      </w:r>
      <w:r w:rsidR="00CD6B58" w:rsidRPr="00101506">
        <w:t xml:space="preserve">. </w:t>
      </w:r>
      <w:r w:rsidR="00CD6B58">
        <w:t>We recognise however, that some of the decrease in productivity may be attributable to changes in the operating environment, which are unaccounted for in the modelling, for example changes to bushfire related regulatory requirements.</w:t>
      </w:r>
    </w:p>
    <w:p w:rsidR="006E171E" w:rsidRDefault="00A052C8" w:rsidP="006E171E">
      <w:pPr>
        <w:pStyle w:val="AERbulletlistfirststyle"/>
        <w:numPr>
          <w:ilvl w:val="0"/>
          <w:numId w:val="0"/>
        </w:numPr>
      </w:pPr>
      <w:r>
        <w:t>Taken together, t</w:t>
      </w:r>
      <w:r w:rsidR="0091374C">
        <w:t xml:space="preserve">he PPIs </w:t>
      </w:r>
      <w:r>
        <w:t>also show that the Victorian and South Australian distributors generally appear the most productive. They also highlight the impact customer density has on a distributors' expenditure.</w:t>
      </w:r>
    </w:p>
    <w:p w:rsidR="00313AD6" w:rsidDel="003657B9" w:rsidRDefault="0039005A" w:rsidP="00C57B24">
      <w:pPr>
        <w:pStyle w:val="AERbodytext"/>
      </w:pPr>
      <w:r>
        <w:rPr>
          <w:rStyle w:val="AERbody"/>
        </w:rPr>
        <w:t>We are required under the NER to provide a</w:t>
      </w:r>
      <w:r w:rsidRPr="00B16C14">
        <w:rPr>
          <w:rStyle w:val="AERbody"/>
        </w:rPr>
        <w:t xml:space="preserve"> specific analysis focusing on a 12 month period.</w:t>
      </w:r>
      <w:r w:rsidRPr="00B16C14">
        <w:rPr>
          <w:rStyle w:val="FootnoteReference"/>
        </w:rPr>
        <w:footnoteReference w:id="8"/>
      </w:r>
      <w:r>
        <w:rPr>
          <w:rStyle w:val="AERbody"/>
        </w:rPr>
        <w:t xml:space="preserve"> </w:t>
      </w:r>
      <w:r w:rsidRPr="00B16C14">
        <w:rPr>
          <w:rStyle w:val="AERbody"/>
        </w:rPr>
        <w:t xml:space="preserve"> </w:t>
      </w:r>
      <w:r>
        <w:t>However, because this is the first time we have presented expenditure benchmarking results, th</w:t>
      </w:r>
      <w:r w:rsidR="003B6720">
        <w:t>is report focuses on the 2006-</w:t>
      </w:r>
      <w:r>
        <w:t xml:space="preserve">13 </w:t>
      </w:r>
      <w:proofErr w:type="gramStart"/>
      <w:r>
        <w:t>period</w:t>
      </w:r>
      <w:proofErr w:type="gramEnd"/>
      <w:r>
        <w:t xml:space="preserve">, and the most recent historical year. </w:t>
      </w:r>
      <w:r>
        <w:rPr>
          <w:rStyle w:val="AERbody"/>
        </w:rPr>
        <w:t>With results presented over a longer period, stakeholders will gain insight into the distributors' current expenditure and productivity trends.</w:t>
      </w:r>
    </w:p>
    <w:p w:rsidR="00061CC7" w:rsidRDefault="00014439" w:rsidP="00061CC7">
      <w:pPr>
        <w:pStyle w:val="AERbodytext"/>
        <w:numPr>
          <w:ilvl w:val="0"/>
          <w:numId w:val="0"/>
        </w:numPr>
      </w:pPr>
      <w:r>
        <w:lastRenderedPageBreak/>
        <w:t>Charges for</w:t>
      </w:r>
      <w:r w:rsidR="00061CC7">
        <w:t xml:space="preserve"> distribution network </w:t>
      </w:r>
      <w:r>
        <w:t>services</w:t>
      </w:r>
      <w:r w:rsidR="00061CC7">
        <w:t xml:space="preserve"> are </w:t>
      </w:r>
      <w:r w:rsidR="00461659">
        <w:t xml:space="preserve">only </w:t>
      </w:r>
      <w:r w:rsidR="00061CC7">
        <w:t xml:space="preserve">part of the </w:t>
      </w:r>
      <w:r w:rsidR="00461659">
        <w:t xml:space="preserve">electricity </w:t>
      </w:r>
      <w:r w:rsidR="00F12E6B">
        <w:t>prices</w:t>
      </w:r>
      <w:r w:rsidR="00461659">
        <w:t xml:space="preserve"> paid by consumers. </w:t>
      </w:r>
      <w:r>
        <w:t>As such, t</w:t>
      </w:r>
      <w:r w:rsidR="00461659">
        <w:t>he relative performance</w:t>
      </w:r>
      <w:r w:rsidR="00061CC7">
        <w:t xml:space="preserve"> </w:t>
      </w:r>
      <w:r w:rsidR="00461659">
        <w:t xml:space="preserve">of each of the distributors shown in this report does not necessarily mean that consumers on less productive networks pay more overall. </w:t>
      </w:r>
      <w:r w:rsidR="00C57B24">
        <w:t xml:space="preserve">Other </w:t>
      </w:r>
      <w:r>
        <w:t>components</w:t>
      </w:r>
      <w:r w:rsidR="00C57B24">
        <w:t xml:space="preserve"> of the electricity market</w:t>
      </w:r>
      <w:r>
        <w:t>,</w:t>
      </w:r>
      <w:r w:rsidR="00C57B24">
        <w:t xml:space="preserve"> includ</w:t>
      </w:r>
      <w:r>
        <w:t>ing</w:t>
      </w:r>
      <w:r w:rsidR="00C57B24">
        <w:t xml:space="preserve"> the wholesale generation of electricity and the retail component</w:t>
      </w:r>
      <w:r>
        <w:t>, may lead to price differences</w:t>
      </w:r>
      <w:r w:rsidR="00C57B24">
        <w:t>. We consider the performance of electricity retailers in a separate report.</w:t>
      </w:r>
      <w:r w:rsidR="00C57B24">
        <w:rPr>
          <w:rStyle w:val="FootnoteReference"/>
        </w:rPr>
        <w:footnoteReference w:id="9"/>
      </w:r>
    </w:p>
    <w:p w:rsidR="001326AC" w:rsidRDefault="001326AC" w:rsidP="001326AC">
      <w:pPr>
        <w:pStyle w:val="Heading1"/>
      </w:pPr>
      <w:bookmarkStart w:id="11" w:name="_Ref389729361"/>
      <w:bookmarkStart w:id="12" w:name="_Toc404010809"/>
      <w:bookmarkStart w:id="13" w:name="_Toc404244859"/>
      <w:r>
        <w:lastRenderedPageBreak/>
        <w:t>Network characteristics</w:t>
      </w:r>
      <w:bookmarkEnd w:id="11"/>
      <w:bookmarkEnd w:id="12"/>
      <w:bookmarkEnd w:id="13"/>
    </w:p>
    <w:p w:rsidR="00CC5BE9" w:rsidRDefault="00EC67A5" w:rsidP="007D2234">
      <w:pPr>
        <w:pStyle w:val="AERbodytext"/>
      </w:pPr>
      <w:r>
        <w:t xml:space="preserve">This benchmarking report considers the efficiency of the 13 </w:t>
      </w:r>
      <w:r w:rsidR="0099042B">
        <w:t>distributors</w:t>
      </w:r>
      <w:r>
        <w:t xml:space="preserve"> </w:t>
      </w:r>
      <w:r w:rsidR="00F14CDD">
        <w:t>in the National Electricity M</w:t>
      </w:r>
      <w:r w:rsidR="00ED586C">
        <w:t>arket</w:t>
      </w:r>
      <w:r w:rsidR="0099042B" w:rsidRPr="0099042B">
        <w:t xml:space="preserve"> (NEM)</w:t>
      </w:r>
      <w:r w:rsidR="00ED586C">
        <w:t>.</w:t>
      </w:r>
      <w:r w:rsidR="005A0E13">
        <w:t xml:space="preserve"> The </w:t>
      </w:r>
      <w:r w:rsidR="0099042B">
        <w:t xml:space="preserve">NEM </w:t>
      </w:r>
      <w:r w:rsidR="005A0E13">
        <w:t>connect</w:t>
      </w:r>
      <w:r w:rsidR="0099042B">
        <w:t>s</w:t>
      </w:r>
      <w:r w:rsidR="005A0E13">
        <w:t xml:space="preserve"> electricity </w:t>
      </w:r>
      <w:r w:rsidR="001A61D6">
        <w:t>generators and customers from Queensland through to New South Wales, the Australian Capital Territory, Victoria, South Australia and Tasmania</w:t>
      </w:r>
      <w:r w:rsidR="00476E41">
        <w:t>.</w:t>
      </w:r>
    </w:p>
    <w:p w:rsidR="001A61D6" w:rsidRDefault="001A61D6" w:rsidP="001A61D6">
      <w:pPr>
        <w:pStyle w:val="Caption"/>
      </w:pPr>
      <w:bookmarkStart w:id="14" w:name="_Ref389494912"/>
      <w:r>
        <w:t xml:space="preserve">Figure </w:t>
      </w:r>
      <w:fldSimple w:instr=" SEQ Figure \* ARABIC ">
        <w:r w:rsidR="00421701">
          <w:rPr>
            <w:noProof/>
          </w:rPr>
          <w:t>2</w:t>
        </w:r>
      </w:fldSimple>
      <w:bookmarkEnd w:id="14"/>
      <w:r>
        <w:tab/>
        <w:t xml:space="preserve">Electricity </w:t>
      </w:r>
      <w:r w:rsidR="00846A0F">
        <w:t xml:space="preserve">distribution </w:t>
      </w:r>
      <w:r>
        <w:t>networks within the National Electricity Market</w:t>
      </w:r>
    </w:p>
    <w:p w:rsidR="00100D94" w:rsidRPr="00EF288E" w:rsidRDefault="00675FB0" w:rsidP="00675FB0">
      <w:pPr>
        <w:pStyle w:val="AERbodytext"/>
        <w:rPr>
          <w:rStyle w:val="AERtextorange"/>
          <w:b/>
          <w:bCs/>
          <w:color w:val="auto"/>
          <w:szCs w:val="18"/>
        </w:rPr>
      </w:pPr>
      <w:r w:rsidRPr="00675FB0">
        <w:rPr>
          <w:noProof/>
          <w:lang w:eastAsia="en-AU"/>
        </w:rPr>
        <w:drawing>
          <wp:inline distT="0" distB="0" distL="0" distR="0" wp14:anchorId="00E99291" wp14:editId="1BA876E2">
            <wp:extent cx="4597879" cy="5863576"/>
            <wp:effectExtent l="0" t="0" r="0" b="0"/>
            <wp:docPr id="19" name="Picture 19" descr="C:\Documents and Settings\csmith\Local Settings\Temporary Internet Files\Content.Outlook\Q4J6QZKR\AusNet Servic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mith\Local Settings\Temporary Internet Files\Content.Outlook\Q4J6QZKR\AusNet Services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8073" cy="5863823"/>
                    </a:xfrm>
                    <a:prstGeom prst="rect">
                      <a:avLst/>
                    </a:prstGeom>
                    <a:noFill/>
                    <a:ln>
                      <a:noFill/>
                    </a:ln>
                  </pic:spPr>
                </pic:pic>
              </a:graphicData>
            </a:graphic>
          </wp:inline>
        </w:drawing>
      </w:r>
    </w:p>
    <w:p w:rsidR="00161B5F" w:rsidRPr="00EF288E" w:rsidRDefault="00100D94" w:rsidP="00476E41">
      <w:pPr>
        <w:pStyle w:val="HeadingOrange"/>
        <w:rPr>
          <w:rStyle w:val="AERtextorange"/>
          <w:b w:val="0"/>
          <w:color w:val="auto"/>
        </w:rPr>
      </w:pPr>
      <w:r>
        <w:rPr>
          <w:rStyle w:val="AERtextorange"/>
        </w:rPr>
        <w:t>Note: th</w:t>
      </w:r>
      <w:r w:rsidRPr="00EF288E">
        <w:rPr>
          <w:rStyle w:val="AERtextorange"/>
        </w:rPr>
        <w:t xml:space="preserve">e colour coding of the distributors in this chart has been adopted for other charts in this document to allow for the easy identification of individual distributors. </w:t>
      </w:r>
    </w:p>
    <w:p w:rsidR="0039120A" w:rsidRDefault="00AC0600" w:rsidP="00EB7E1B">
      <w:pPr>
        <w:pStyle w:val="AERbodytext"/>
      </w:pPr>
      <w:r>
        <w:fldChar w:fldCharType="begin"/>
      </w:r>
      <w:r>
        <w:instrText xml:space="preserve"> REF _Ref389494912 \h </w:instrText>
      </w:r>
      <w:r>
        <w:fldChar w:fldCharType="separate"/>
      </w:r>
      <w:r w:rsidR="00421701">
        <w:t xml:space="preserve">Figure </w:t>
      </w:r>
      <w:r w:rsidR="00421701">
        <w:rPr>
          <w:noProof/>
        </w:rPr>
        <w:t>2</w:t>
      </w:r>
      <w:r>
        <w:fldChar w:fldCharType="end"/>
      </w:r>
      <w:r w:rsidR="00575F95">
        <w:t xml:space="preserve"> </w:t>
      </w:r>
      <w:r w:rsidR="005E279F">
        <w:t xml:space="preserve">illustrates the network areas for which the distributors are responsible. The distributors also differ in respect to scale of the services that they provide </w:t>
      </w:r>
      <w:r w:rsidR="003D00A2">
        <w:t xml:space="preserve">(outputs) </w:t>
      </w:r>
      <w:r w:rsidR="005E279F">
        <w:t>and the</w:t>
      </w:r>
      <w:r w:rsidR="00EF714B">
        <w:t xml:space="preserve"> mix of</w:t>
      </w:r>
      <w:r w:rsidR="005E279F">
        <w:t xml:space="preserve"> inputs that they use to provide those services. </w:t>
      </w:r>
    </w:p>
    <w:p w:rsidR="00476E41" w:rsidRDefault="00476E41" w:rsidP="00476E41">
      <w:pPr>
        <w:pStyle w:val="AERbodytext"/>
      </w:pPr>
      <w:r>
        <w:t xml:space="preserve">The distributors are responsible for transporting electricity </w:t>
      </w:r>
      <w:r w:rsidR="006E171E">
        <w:t xml:space="preserve">between </w:t>
      </w:r>
      <w:r>
        <w:t>the high voltage transmission networks</w:t>
      </w:r>
      <w:r w:rsidR="006E171E">
        <w:t>, embedded generators and</w:t>
      </w:r>
      <w:r>
        <w:t xml:space="preserve"> electricity customers. They are not responsible for the </w:t>
      </w:r>
      <w:r>
        <w:lastRenderedPageBreak/>
        <w:t xml:space="preserve">generation or sale of electricity. These functions are the responsibility of generators and retailors, respectively. </w:t>
      </w:r>
      <w:r w:rsidR="00B30637">
        <w:fldChar w:fldCharType="begin"/>
      </w:r>
      <w:r w:rsidR="00B30637">
        <w:instrText xml:space="preserve"> REF _Ref395019085 \h </w:instrText>
      </w:r>
      <w:r w:rsidR="00B30637">
        <w:fldChar w:fldCharType="separate"/>
      </w:r>
      <w:r w:rsidR="00421701">
        <w:t xml:space="preserve">Figure </w:t>
      </w:r>
      <w:r w:rsidR="00421701">
        <w:rPr>
          <w:noProof/>
        </w:rPr>
        <w:t>3</w:t>
      </w:r>
      <w:r w:rsidR="00B30637">
        <w:fldChar w:fldCharType="end"/>
      </w:r>
      <w:r w:rsidR="00B30637">
        <w:t xml:space="preserve"> </w:t>
      </w:r>
      <w:r>
        <w:t>outlines the structure of the national electricity market.</w:t>
      </w:r>
    </w:p>
    <w:p w:rsidR="00476E41" w:rsidRDefault="00476E41" w:rsidP="00476E41">
      <w:pPr>
        <w:pStyle w:val="Caption"/>
      </w:pPr>
      <w:bookmarkStart w:id="15" w:name="_Ref395019085"/>
      <w:r>
        <w:t xml:space="preserve">Figure </w:t>
      </w:r>
      <w:r w:rsidRPr="00CC5BE9">
        <w:fldChar w:fldCharType="begin"/>
      </w:r>
      <w:r>
        <w:instrText xml:space="preserve"> SEQ Figure \* ARABIC </w:instrText>
      </w:r>
      <w:r w:rsidRPr="00CC5BE9">
        <w:fldChar w:fldCharType="separate"/>
      </w:r>
      <w:r w:rsidR="00421701">
        <w:rPr>
          <w:noProof/>
        </w:rPr>
        <w:t>3</w:t>
      </w:r>
      <w:r w:rsidRPr="00CC5BE9">
        <w:fldChar w:fldCharType="end"/>
      </w:r>
      <w:bookmarkEnd w:id="15"/>
      <w:r>
        <w:tab/>
        <w:t>Structure of the national electricity market</w:t>
      </w:r>
    </w:p>
    <w:p w:rsidR="00476E41" w:rsidRDefault="00476E41" w:rsidP="00476E41">
      <w:pPr>
        <w:pStyle w:val="AERbodytextcentre"/>
      </w:pPr>
      <w:r w:rsidRPr="00476E41">
        <w:rPr>
          <w:noProof/>
          <w:lang w:eastAsia="en-AU"/>
        </w:rPr>
        <w:drawing>
          <wp:inline distT="0" distB="0" distL="0" distR="0" wp14:anchorId="5AEB2065" wp14:editId="0946A932">
            <wp:extent cx="4171950" cy="510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5105400"/>
                    </a:xfrm>
                    <a:prstGeom prst="rect">
                      <a:avLst/>
                    </a:prstGeom>
                    <a:noFill/>
                    <a:ln>
                      <a:noFill/>
                    </a:ln>
                  </pic:spPr>
                </pic:pic>
              </a:graphicData>
            </a:graphic>
          </wp:inline>
        </w:drawing>
      </w:r>
    </w:p>
    <w:p w:rsidR="00476E41" w:rsidRPr="00476E41" w:rsidRDefault="00476E41" w:rsidP="00476E41">
      <w:pPr>
        <w:pStyle w:val="AERbodytext"/>
      </w:pPr>
      <w:r w:rsidRPr="00476E41">
        <w:t xml:space="preserve">Benchmarking analysis considers the efficiency of a business in using inputs to deliver outputs given the operating environment within which they function. The inputs and outputs of </w:t>
      </w:r>
      <w:r>
        <w:t>the distributors</w:t>
      </w:r>
      <w:r w:rsidRPr="00476E41">
        <w:t xml:space="preserve"> are considered in the following sections. </w:t>
      </w:r>
    </w:p>
    <w:p w:rsidR="00476E41" w:rsidRDefault="00476E41" w:rsidP="00EB7E1B">
      <w:pPr>
        <w:pStyle w:val="AERbodytext"/>
      </w:pPr>
    </w:p>
    <w:p w:rsidR="0039120A" w:rsidRDefault="0039120A" w:rsidP="0039120A">
      <w:pPr>
        <w:pStyle w:val="AERbodytext"/>
      </w:pPr>
      <w:r>
        <w:br w:type="page"/>
      </w:r>
    </w:p>
    <w:p w:rsidR="0039120A" w:rsidRDefault="00B63A17" w:rsidP="005E279F">
      <w:pPr>
        <w:pStyle w:val="Heading2"/>
      </w:pPr>
      <w:bookmarkStart w:id="16" w:name="_Toc404010810"/>
      <w:bookmarkStart w:id="17" w:name="_Toc404244860"/>
      <w:r>
        <w:lastRenderedPageBreak/>
        <w:t>Framework for efficiency measurement</w:t>
      </w:r>
      <w:bookmarkEnd w:id="16"/>
      <w:bookmarkEnd w:id="17"/>
    </w:p>
    <w:p w:rsidR="00870424" w:rsidRPr="002072D1" w:rsidRDefault="007875A1" w:rsidP="00870424">
      <w:pPr>
        <w:pStyle w:val="AERbodytext"/>
      </w:pPr>
      <w:r>
        <w:t>Our approach to b</w:t>
      </w:r>
      <w:r w:rsidR="00870424" w:rsidRPr="002072D1">
        <w:t>enchmarki</w:t>
      </w:r>
      <w:r w:rsidR="0017760B">
        <w:t>ng measures the efficiency of a business</w:t>
      </w:r>
      <w:r w:rsidR="0017760B" w:rsidRPr="002072D1">
        <w:t xml:space="preserve"> </w:t>
      </w:r>
      <w:r w:rsidR="0017760B">
        <w:t>in using its inputs to produce outputs</w:t>
      </w:r>
      <w:r w:rsidR="00870424" w:rsidRPr="002072D1">
        <w:t xml:space="preserve"> by comparing its current performance to its own past performance and to the performance of other NSPs. All </w:t>
      </w:r>
      <w:r w:rsidR="00870424">
        <w:t xml:space="preserve">the distributors </w:t>
      </w:r>
      <w:r w:rsidR="00870424" w:rsidRPr="002072D1">
        <w:t>use a range of inputs</w:t>
      </w:r>
      <w:r>
        <w:t xml:space="preserve"> to</w:t>
      </w:r>
      <w:r w:rsidR="00870424" w:rsidRPr="002072D1">
        <w:t xml:space="preserve"> produce the outputs they supply. If the </w:t>
      </w:r>
      <w:r w:rsidR="00870424">
        <w:t>distributors</w:t>
      </w:r>
      <w:r w:rsidR="00870424" w:rsidRPr="002072D1">
        <w:t xml:space="preserve"> </w:t>
      </w:r>
      <w:r w:rsidR="00870424">
        <w:t>are</w:t>
      </w:r>
      <w:r w:rsidR="00870424" w:rsidRPr="002072D1">
        <w:t xml:space="preserve"> not using </w:t>
      </w:r>
      <w:r w:rsidR="00AE1A9E">
        <w:t>their</w:t>
      </w:r>
      <w:r w:rsidR="00870424" w:rsidRPr="002072D1">
        <w:t xml:space="preserve"> inputs as efficiently as possible then there is scope to lower </w:t>
      </w:r>
      <w:r>
        <w:t>network service</w:t>
      </w:r>
      <w:r w:rsidR="00870424" w:rsidRPr="002072D1">
        <w:t xml:space="preserve"> costs and, hence, the prices charged to energy consumers, through efficiency improvements. </w:t>
      </w:r>
    </w:p>
    <w:p w:rsidR="00870424" w:rsidRPr="00870424" w:rsidRDefault="007875A1" w:rsidP="00870424">
      <w:r w:rsidRPr="00870424">
        <w:t>M</w:t>
      </w:r>
      <w:r>
        <w:t>any</w:t>
      </w:r>
      <w:r w:rsidRPr="00870424">
        <w:t xml:space="preserve"> </w:t>
      </w:r>
      <w:r w:rsidR="00870424" w:rsidRPr="00870424">
        <w:t xml:space="preserve">benchmarking techniques compare the quantity of outputs produced to the quantity of inputs used and costs incurred over time and/or across </w:t>
      </w:r>
      <w:r w:rsidR="0024559E">
        <w:t>distributors</w:t>
      </w:r>
      <w:r w:rsidR="00870424" w:rsidRPr="00870424">
        <w:t>.</w:t>
      </w:r>
      <w:r w:rsidR="00870424">
        <w:rPr>
          <w:rStyle w:val="FootnoteReference"/>
        </w:rPr>
        <w:footnoteReference w:id="10"/>
      </w:r>
      <w:r w:rsidR="00870424" w:rsidRPr="00870424">
        <w:t xml:space="preserve"> The relationship between outputs, inputs and efficiency measurement is considered in box 1.</w:t>
      </w:r>
    </w:p>
    <w:p w:rsidR="001E6694" w:rsidRPr="0046136A" w:rsidRDefault="001E6694" w:rsidP="001E6694">
      <w:pPr>
        <w:pStyle w:val="Caption"/>
      </w:pPr>
      <w:r>
        <w:t xml:space="preserve">Box </w:t>
      </w:r>
      <w:fldSimple w:instr=" SEQ Box \* ARABIC ">
        <w:r w:rsidR="00421701">
          <w:rPr>
            <w:noProof/>
          </w:rPr>
          <w:t>1</w:t>
        </w:r>
      </w:fldSimple>
      <w:r>
        <w:tab/>
        <w:t>Efficiency measurement</w:t>
      </w:r>
    </w:p>
    <w:tbl>
      <w:tblPr>
        <w:tblStyle w:val="TableGrid"/>
        <w:tblW w:w="0" w:type="auto"/>
        <w:tblLook w:val="04A0" w:firstRow="1" w:lastRow="0" w:firstColumn="1" w:lastColumn="0" w:noHBand="0" w:noVBand="1"/>
      </w:tblPr>
      <w:tblGrid>
        <w:gridCol w:w="9242"/>
      </w:tblGrid>
      <w:tr w:rsidR="001E6694" w:rsidTr="009354B6">
        <w:tc>
          <w:tcPr>
            <w:tcW w:w="9242" w:type="dxa"/>
          </w:tcPr>
          <w:p w:rsidR="001E6694" w:rsidRPr="001E6694" w:rsidRDefault="001E6694" w:rsidP="001E6694">
            <w:r>
              <w:t xml:space="preserve">Economic efficiency is achieved when </w:t>
            </w:r>
            <w:r w:rsidRPr="001E6694">
              <w:t xml:space="preserve">inputs are optimally selected and used in order to deliver outputs that align with customer preferences. Three components of economic efficiency were set out by </w:t>
            </w:r>
            <w:proofErr w:type="spellStart"/>
            <w:r w:rsidRPr="001E6694">
              <w:t>Hilmer</w:t>
            </w:r>
            <w:proofErr w:type="spellEnd"/>
            <w:r w:rsidRPr="001E6694">
              <w:t xml:space="preserve"> – ‘productive efficiency’, ‘</w:t>
            </w:r>
            <w:proofErr w:type="spellStart"/>
            <w:r w:rsidRPr="001E6694">
              <w:t>allocative</w:t>
            </w:r>
            <w:proofErr w:type="spellEnd"/>
            <w:r w:rsidRPr="001E6694">
              <w:t xml:space="preserve"> efficiency’ and ‘dynamic efficiency’.</w:t>
            </w:r>
            <w:r w:rsidRPr="001E6694">
              <w:rPr>
                <w:rStyle w:val="FootnoteReference"/>
              </w:rPr>
              <w:footnoteReference w:id="11"/>
            </w:r>
          </w:p>
          <w:p w:rsidR="001E6694" w:rsidRPr="001E6694" w:rsidRDefault="001E6694">
            <w:pPr>
              <w:pStyle w:val="HeadingBoldBlue"/>
            </w:pPr>
            <w:r w:rsidRPr="009354B6">
              <w:rPr>
                <w:rStyle w:val="AERbody"/>
                <w:color w:val="365F91" w:themeColor="accent1" w:themeShade="BF"/>
                <w:sz w:val="24"/>
              </w:rPr>
              <w:t>Productive efficiency</w:t>
            </w:r>
          </w:p>
          <w:p w:rsidR="001E6694" w:rsidRDefault="001E6694" w:rsidP="001E6694">
            <w:pPr>
              <w:pStyle w:val="AERbodytext"/>
            </w:pPr>
            <w:r w:rsidRPr="0097035B">
              <w:t xml:space="preserve">Productive efficiency is achieved </w:t>
            </w:r>
            <w:r w:rsidR="00575F95" w:rsidRPr="0097035B">
              <w:t>whe</w:t>
            </w:r>
            <w:r w:rsidR="00575F95">
              <w:t>n</w:t>
            </w:r>
            <w:r w:rsidR="00575F95" w:rsidRPr="0097035B">
              <w:t xml:space="preserve"> </w:t>
            </w:r>
            <w:r>
              <w:t>distributors</w:t>
            </w:r>
            <w:r w:rsidRPr="0097035B">
              <w:t xml:space="preserve"> produce the</w:t>
            </w:r>
            <w:r>
              <w:t>ir</w:t>
            </w:r>
            <w:r w:rsidRPr="0097035B">
              <w:t xml:space="preserve"> goods and services </w:t>
            </w:r>
            <w:r>
              <w:t xml:space="preserve">at least </w:t>
            </w:r>
            <w:r w:rsidR="00575F95">
              <w:t xml:space="preserve">possible </w:t>
            </w:r>
            <w:r>
              <w:t>cost. To achieve this</w:t>
            </w:r>
            <w:r w:rsidR="008F2F61">
              <w:t>,</w:t>
            </w:r>
            <w:r>
              <w:t xml:space="preserve"> distributors must </w:t>
            </w:r>
            <w:r w:rsidR="00575F95">
              <w:t xml:space="preserve">be technically efficient (produce the most output possible from the combination of inputs used) while also </w:t>
            </w:r>
            <w:r>
              <w:t>select</w:t>
            </w:r>
            <w:r w:rsidR="00575F95">
              <w:t>ing</w:t>
            </w:r>
            <w:r>
              <w:t xml:space="preserve"> the lowest cost combination of inputs </w:t>
            </w:r>
            <w:r w:rsidR="00575F95">
              <w:t>given prevailing input prices</w:t>
            </w:r>
            <w:r>
              <w:t>.</w:t>
            </w:r>
          </w:p>
          <w:p w:rsidR="001E6694" w:rsidRDefault="001E6694" w:rsidP="001E6694">
            <w:pPr>
              <w:pStyle w:val="HeadingBoldBlue"/>
            </w:pPr>
            <w:proofErr w:type="spellStart"/>
            <w:r>
              <w:t>Allocative</w:t>
            </w:r>
            <w:proofErr w:type="spellEnd"/>
            <w:r>
              <w:t xml:space="preserve"> efficiency</w:t>
            </w:r>
          </w:p>
          <w:p w:rsidR="001E6694" w:rsidRDefault="001E6694" w:rsidP="001E6694">
            <w:pPr>
              <w:pStyle w:val="AERbodytext"/>
            </w:pPr>
            <w:proofErr w:type="spellStart"/>
            <w:r w:rsidRPr="0097035B">
              <w:t>Allocative</w:t>
            </w:r>
            <w:proofErr w:type="spellEnd"/>
            <w:r w:rsidRPr="0097035B">
              <w:t xml:space="preserve"> efficiency is achieved where resources used to produce a set of goods or services are allocated to their highest valued uses (i.e., those that provide the greate</w:t>
            </w:r>
            <w:r>
              <w:t>st benefit relative to costs). To achieve this, prices of the goods and services of distributors must reflect the productive</w:t>
            </w:r>
            <w:r w:rsidR="002F69AC">
              <w:t>ly</w:t>
            </w:r>
            <w:r>
              <w:t xml:space="preserve"> efficient costs of providing those goods and services.</w:t>
            </w:r>
          </w:p>
          <w:p w:rsidR="001E6694" w:rsidRDefault="001E6694" w:rsidP="001E6694">
            <w:pPr>
              <w:pStyle w:val="HeadingBoldBlue"/>
            </w:pPr>
            <w:r>
              <w:t>Dynamic efficiency</w:t>
            </w:r>
          </w:p>
          <w:p w:rsidR="001E6694" w:rsidRDefault="001E6694" w:rsidP="002F69AC">
            <w:pPr>
              <w:pStyle w:val="AERbodytext"/>
            </w:pPr>
            <w:r w:rsidRPr="00E913F9">
              <w:t>Dynamic efficiency reflects the need for industries to make timely changes to technology and products in response to changes in consumer tastes a</w:t>
            </w:r>
            <w:r>
              <w:t xml:space="preserve">nd in productive opportunities. Dynamic efficiency is achieved when distributors are productively and </w:t>
            </w:r>
            <w:proofErr w:type="spellStart"/>
            <w:r w:rsidR="002F69AC">
              <w:t>allocatively</w:t>
            </w:r>
            <w:proofErr w:type="spellEnd"/>
            <w:r w:rsidR="002F69AC">
              <w:t xml:space="preserve"> </w:t>
            </w:r>
            <w:r>
              <w:t xml:space="preserve">efficient over time. </w:t>
            </w:r>
          </w:p>
        </w:tc>
      </w:tr>
    </w:tbl>
    <w:p w:rsidR="0037555D" w:rsidRDefault="0037555D" w:rsidP="002E022C">
      <w:pPr>
        <w:pStyle w:val="AERbodytext"/>
        <w:numPr>
          <w:ilvl w:val="0"/>
          <w:numId w:val="0"/>
        </w:numPr>
      </w:pPr>
    </w:p>
    <w:p w:rsidR="002E022C" w:rsidRDefault="002E022C" w:rsidP="002E022C">
      <w:pPr>
        <w:pStyle w:val="AERbodytext"/>
      </w:pPr>
      <w:r w:rsidRPr="0097035B">
        <w:t xml:space="preserve">We consider that </w:t>
      </w:r>
      <w:r>
        <w:t>the b</w:t>
      </w:r>
      <w:r w:rsidRPr="0097035B">
        <w:t>enchmarking techniques</w:t>
      </w:r>
      <w:r>
        <w:t xml:space="preserve"> in this report</w:t>
      </w:r>
      <w:r w:rsidRPr="0097035B">
        <w:t xml:space="preserve"> primarily assist us in forming a view on the productive efficiency of </w:t>
      </w:r>
      <w:r>
        <w:t>distributors</w:t>
      </w:r>
      <w:r w:rsidRPr="0097035B">
        <w:t xml:space="preserve">. </w:t>
      </w:r>
      <w:r>
        <w:t xml:space="preserve">However measuring productive efficiency will assist us in </w:t>
      </w:r>
      <w:r w:rsidR="00181B77">
        <w:t>assessing whether</w:t>
      </w:r>
      <w:r>
        <w:t xml:space="preserve"> distributors are </w:t>
      </w:r>
      <w:proofErr w:type="spellStart"/>
      <w:r>
        <w:t>allocatively</w:t>
      </w:r>
      <w:proofErr w:type="spellEnd"/>
      <w:r>
        <w:t xml:space="preserve"> and dynamically efficient. Measuring productive efficiency will assist us in determining the efficient prices</w:t>
      </w:r>
      <w:r w:rsidR="00870424">
        <w:t>/revenues</w:t>
      </w:r>
      <w:r>
        <w:t xml:space="preserve"> for services promoting </w:t>
      </w:r>
      <w:proofErr w:type="spellStart"/>
      <w:r>
        <w:t>allocative</w:t>
      </w:r>
      <w:proofErr w:type="spellEnd"/>
      <w:r>
        <w:t xml:space="preserve"> efficiency. Measuring productive efficiency over time provides an insight into the dynamic efficiency of distributors.</w:t>
      </w:r>
    </w:p>
    <w:p w:rsidR="002E022C" w:rsidRDefault="002E022C" w:rsidP="002E022C">
      <w:pPr>
        <w:pStyle w:val="AERbodytext"/>
        <w:numPr>
          <w:ilvl w:val="0"/>
          <w:numId w:val="0"/>
        </w:numPr>
      </w:pPr>
      <w:r>
        <w:t>The benchmarking metrics used in this report measure relative productivity.</w:t>
      </w:r>
      <w:r w:rsidRPr="002E022C">
        <w:rPr>
          <w:rStyle w:val="FootnoteReference"/>
        </w:rPr>
        <w:footnoteReference w:id="12"/>
      </w:r>
      <w:r w:rsidRPr="002E022C">
        <w:t xml:space="preserve"> The measurement of productive efficiency requires determining a firm's position relative to its industry's technological </w:t>
      </w:r>
      <w:r w:rsidRPr="002E022C">
        <w:lastRenderedPageBreak/>
        <w:t>frontier. A firm's position relative to its industry's technological frontier can be inferred through observation of the relative productivity of firms</w:t>
      </w:r>
      <w:r w:rsidR="002F69AC">
        <w:t xml:space="preserve"> (usually by assuming the most efficient firms in the sample lie on the efficient frontier).</w:t>
      </w:r>
    </w:p>
    <w:p w:rsidR="0037555D" w:rsidRPr="00877C78" w:rsidRDefault="0037555D" w:rsidP="002E022C">
      <w:pPr>
        <w:pStyle w:val="AERbodytext"/>
        <w:numPr>
          <w:ilvl w:val="0"/>
          <w:numId w:val="0"/>
        </w:numPr>
      </w:pPr>
      <w:r>
        <w:t xml:space="preserve">There has been discussion </w:t>
      </w:r>
      <w:r w:rsidR="00181B77">
        <w:t xml:space="preserve">about </w:t>
      </w:r>
      <w:r>
        <w:t>the correct approach to measuring the inputs and outputs of electricity distribution networks. This includes whether outputs should be measured on a "billed" or "</w:t>
      </w:r>
      <w:r w:rsidR="002F69AC">
        <w:t>functional</w:t>
      </w:r>
      <w:r>
        <w:t xml:space="preserve">" basis, whether maximum demand or network capacity should be used as an output measure and how capital should be incorporated into benchmarking </w:t>
      </w:r>
      <w:r w:rsidR="002F69AC">
        <w:t>analyses</w:t>
      </w:r>
      <w:r>
        <w:t xml:space="preserve">. We considered this as part of our consultation on the measurement of the inputs and outputs of distributors </w:t>
      </w:r>
      <w:r w:rsidR="00E4288B">
        <w:t>in 2013</w:t>
      </w:r>
      <w:r>
        <w:t>.</w:t>
      </w:r>
      <w:r>
        <w:rPr>
          <w:rStyle w:val="FootnoteReference"/>
        </w:rPr>
        <w:footnoteReference w:id="13"/>
      </w:r>
      <w:r>
        <w:t xml:space="preserve"> We have collected and published data that facilitates the measurement of inputs and outputs in accordance with the different approaches. This will allow stakeholders to conduct their own benchmarking </w:t>
      </w:r>
      <w:r w:rsidR="002F69AC">
        <w:t>analys</w:t>
      </w:r>
      <w:r w:rsidR="00AE1A9E">
        <w:t>is,</w:t>
      </w:r>
      <w:r w:rsidR="002F69AC">
        <w:t xml:space="preserve"> </w:t>
      </w:r>
      <w:r>
        <w:t>testing different output specifications.</w:t>
      </w:r>
      <w:r>
        <w:rPr>
          <w:rStyle w:val="FootnoteReference"/>
        </w:rPr>
        <w:footnoteReference w:id="14"/>
      </w:r>
      <w:r>
        <w:t xml:space="preserve"> </w:t>
      </w:r>
      <w:r w:rsidR="008719D2" w:rsidRPr="008719D2">
        <w:t xml:space="preserve">We encourage both networks and other stakeholders to do so. Using a common data set for analysing network </w:t>
      </w:r>
      <w:r w:rsidR="008719D2" w:rsidRPr="008719D2">
        <w:rPr>
          <w:rFonts w:hint="eastAsia"/>
        </w:rPr>
        <w:t>performance</w:t>
      </w:r>
      <w:r w:rsidR="008719D2" w:rsidRPr="008719D2">
        <w:t xml:space="preserve"> will greatly assist transparency and constructive discussions </w:t>
      </w:r>
      <w:r w:rsidR="008719D2" w:rsidRPr="008719D2">
        <w:rPr>
          <w:rFonts w:hint="eastAsia"/>
        </w:rPr>
        <w:t>between</w:t>
      </w:r>
      <w:r w:rsidR="008719D2" w:rsidRPr="008719D2">
        <w:t xml:space="preserve"> the networks and their customers.</w:t>
      </w:r>
    </w:p>
    <w:p w:rsidR="002F74A2" w:rsidRDefault="002F74A2" w:rsidP="002F74A2">
      <w:pPr>
        <w:pStyle w:val="Heading3"/>
      </w:pPr>
      <w:bookmarkStart w:id="18" w:name="_Toc404010811"/>
      <w:r>
        <w:t xml:space="preserve">Network </w:t>
      </w:r>
      <w:r w:rsidRPr="002F74A2">
        <w:t>outputs</w:t>
      </w:r>
      <w:bookmarkEnd w:id="18"/>
    </w:p>
    <w:p w:rsidR="000914A3" w:rsidRDefault="00870424" w:rsidP="00870424">
      <w:pPr>
        <w:pStyle w:val="AERbodytext"/>
      </w:pPr>
      <w:r w:rsidRPr="00870424">
        <w:t xml:space="preserve">In efficiency analysis outputs are generally considered to be all of the total goods and services produced by a business. </w:t>
      </w:r>
      <w:r w:rsidR="00A40D9E">
        <w:t xml:space="preserve">There are many different facets to the outputs provided by distributors. </w:t>
      </w:r>
      <w:r w:rsidR="003D00A2">
        <w:t xml:space="preserve">Broadly </w:t>
      </w:r>
      <w:r w:rsidR="00A40D9E">
        <w:t xml:space="preserve">distributors provide </w:t>
      </w:r>
      <w:r w:rsidR="003D00A2">
        <w:t>access to electricity via the</w:t>
      </w:r>
      <w:r w:rsidR="00A40D9E">
        <w:t>ir</w:t>
      </w:r>
      <w:r w:rsidR="003D00A2">
        <w:t xml:space="preserve"> network</w:t>
      </w:r>
      <w:r w:rsidR="00A40D9E">
        <w:t xml:space="preserve">s. In doing this they transport electricity </w:t>
      </w:r>
      <w:r w:rsidR="009D2846">
        <w:t xml:space="preserve">between </w:t>
      </w:r>
      <w:r w:rsidR="00A40D9E">
        <w:t xml:space="preserve">transmission nodes </w:t>
      </w:r>
      <w:r w:rsidR="009D2846">
        <w:t xml:space="preserve">and </w:t>
      </w:r>
      <w:r w:rsidR="00A40D9E">
        <w:t xml:space="preserve">distribution customers. They will also </w:t>
      </w:r>
      <w:r w:rsidR="00C25DB6">
        <w:t>meet the demand of their customers both over the course of a year and when this demand is greatest. Distributors will also seek to minimi</w:t>
      </w:r>
      <w:r w:rsidR="00A776E8">
        <w:t>s</w:t>
      </w:r>
      <w:r w:rsidR="00C25DB6">
        <w:t>e interruptions to electricity supply</w:t>
      </w:r>
      <w:r w:rsidR="008719D2" w:rsidRPr="008719D2">
        <w:rPr>
          <w:rFonts w:eastAsia="Calibri"/>
        </w:rPr>
        <w:t xml:space="preserve"> </w:t>
      </w:r>
      <w:r w:rsidR="008719D2" w:rsidRPr="008719D2">
        <w:t>in the most cost-effective way and in accordance with reliability standards</w:t>
      </w:r>
      <w:r w:rsidR="00C25DB6">
        <w:t>.</w:t>
      </w:r>
      <w:r w:rsidR="000914A3">
        <w:t xml:space="preserve"> </w:t>
      </w:r>
    </w:p>
    <w:p w:rsidR="002F74A2" w:rsidRDefault="00E064DD" w:rsidP="002F74A2">
      <w:pPr>
        <w:pStyle w:val="AERbodytext"/>
      </w:pPr>
      <w:r>
        <w:t>Some</w:t>
      </w:r>
      <w:r w:rsidR="000914A3">
        <w:t xml:space="preserve"> </w:t>
      </w:r>
      <w:r w:rsidR="008F2F61">
        <w:t>distributors</w:t>
      </w:r>
      <w:r w:rsidR="000914A3">
        <w:t xml:space="preserve"> provide other </w:t>
      </w:r>
      <w:r w:rsidR="008F2F61">
        <w:t>services</w:t>
      </w:r>
      <w:r w:rsidR="000914A3">
        <w:t xml:space="preserve"> such as metering and public lighting</w:t>
      </w:r>
      <w:r>
        <w:t xml:space="preserve">. There are other less material aspects to the quality and reliability of distribution services such </w:t>
      </w:r>
      <w:r w:rsidR="009D2846">
        <w:t>safety, aesthetics and quality</w:t>
      </w:r>
      <w:r w:rsidR="000914A3">
        <w:t>. In this report we have chosen to focus on the primary outputs of the distributors that relate to the provision of their core 'poles and wire</w:t>
      </w:r>
      <w:r>
        <w:t>s</w:t>
      </w:r>
      <w:r w:rsidR="000914A3">
        <w:t>' distribution service.</w:t>
      </w:r>
    </w:p>
    <w:p w:rsidR="002F74A2" w:rsidRPr="00B675C3" w:rsidRDefault="002F74A2" w:rsidP="002F74A2">
      <w:pPr>
        <w:pStyle w:val="HeadingBoldBlue"/>
      </w:pPr>
      <w:r>
        <w:t>Customer numbers</w:t>
      </w:r>
    </w:p>
    <w:p w:rsidR="00870424" w:rsidRDefault="009354B6" w:rsidP="002F74A2">
      <w:pPr>
        <w:pStyle w:val="AERbodytext"/>
      </w:pPr>
      <w:r>
        <w:t xml:space="preserve">An important </w:t>
      </w:r>
      <w:r w:rsidR="002F74A2">
        <w:t>output of distribution networks is granting their customers access to electricity through their networks.</w:t>
      </w:r>
      <w:r w:rsidR="00092797">
        <w:t xml:space="preserve"> </w:t>
      </w:r>
      <w:r w:rsidR="003D6EBD">
        <w:t xml:space="preserve">There are a number of </w:t>
      </w:r>
      <w:r w:rsidR="009D2846">
        <w:t xml:space="preserve">tasks </w:t>
      </w:r>
      <w:r w:rsidR="003D6EBD">
        <w:t xml:space="preserve">the distributor has to </w:t>
      </w:r>
      <w:r w:rsidR="009D2846">
        <w:t xml:space="preserve">undertake </w:t>
      </w:r>
      <w:r w:rsidR="003D6EBD">
        <w:t xml:space="preserve">to facilitate the delivery of electricity, regardless of how much </w:t>
      </w:r>
      <w:r w:rsidR="00E4288B">
        <w:t xml:space="preserve">electricity </w:t>
      </w:r>
      <w:r w:rsidR="003D6EBD">
        <w:t xml:space="preserve">the consumer uses. </w:t>
      </w:r>
      <w:r w:rsidR="00092797">
        <w:t>Economic Insights has modelled the cost</w:t>
      </w:r>
      <w:r w:rsidR="003D6EBD">
        <w:t>s</w:t>
      </w:r>
      <w:r w:rsidR="00092797">
        <w:t xml:space="preserve"> of distributors and determined that customer numbers is the most significant output measure.</w:t>
      </w:r>
      <w:r w:rsidR="00092797">
        <w:rPr>
          <w:rStyle w:val="FootnoteReference"/>
        </w:rPr>
        <w:footnoteReference w:id="15"/>
      </w:r>
      <w:r w:rsidR="002F74A2">
        <w:t xml:space="preserve"> </w:t>
      </w:r>
      <w:r w:rsidR="003D00A2">
        <w:t xml:space="preserve">The number of customers </w:t>
      </w:r>
      <w:r w:rsidR="00944708">
        <w:t xml:space="preserve">on their network reflects this </w:t>
      </w:r>
      <w:r w:rsidR="003D6EBD">
        <w:t>fixed output that the network has to provide</w:t>
      </w:r>
      <w:r w:rsidR="003D00A2">
        <w:t xml:space="preserve">. We measure the number of customers as the number of active connections on a </w:t>
      </w:r>
      <w:r w:rsidR="008719D2" w:rsidRPr="008719D2">
        <w:t>network</w:t>
      </w:r>
      <w:r w:rsidR="003D00A2">
        <w:t>.</w:t>
      </w:r>
    </w:p>
    <w:p w:rsidR="002F74A2" w:rsidRDefault="00826570" w:rsidP="002F74A2">
      <w:pPr>
        <w:pStyle w:val="AERbodytext"/>
      </w:pPr>
      <w:r>
        <w:fldChar w:fldCharType="begin"/>
      </w:r>
      <w:r>
        <w:instrText xml:space="preserve"> REF _Ref404155621 \h </w:instrText>
      </w:r>
      <w:r>
        <w:fldChar w:fldCharType="separate"/>
      </w:r>
      <w:r w:rsidR="00421701">
        <w:t xml:space="preserve">Figure </w:t>
      </w:r>
      <w:r w:rsidR="00421701">
        <w:rPr>
          <w:noProof/>
        </w:rPr>
        <w:t>4</w:t>
      </w:r>
      <w:r>
        <w:fldChar w:fldCharType="end"/>
      </w:r>
      <w:r w:rsidR="00870424">
        <w:t xml:space="preserve"> below sets out the average customer numbers of the distributors over a five year period.</w:t>
      </w:r>
    </w:p>
    <w:p w:rsidR="004E1AAA" w:rsidRDefault="004E1AAA" w:rsidP="004E1AAA">
      <w:pPr>
        <w:pStyle w:val="Caption"/>
      </w:pPr>
      <w:bookmarkStart w:id="19" w:name="_Ref404155621"/>
      <w:r>
        <w:lastRenderedPageBreak/>
        <w:t xml:space="preserve">Figure </w:t>
      </w:r>
      <w:fldSimple w:instr=" SEQ Figure \* ARABIC ">
        <w:r w:rsidR="00421701">
          <w:rPr>
            <w:noProof/>
          </w:rPr>
          <w:t>4</w:t>
        </w:r>
      </w:fldSimple>
      <w:bookmarkEnd w:id="19"/>
      <w:r>
        <w:tab/>
      </w:r>
      <w:r w:rsidR="00B33BF0">
        <w:t>Distributor's five year average customer numbers</w:t>
      </w:r>
      <w:r w:rsidR="004C3960">
        <w:t xml:space="preserve"> (2009–2013)</w:t>
      </w:r>
    </w:p>
    <w:p w:rsidR="004E1AAA" w:rsidRDefault="00336303" w:rsidP="00336303">
      <w:pPr>
        <w:pStyle w:val="AERbodytext"/>
      </w:pPr>
      <w:r w:rsidRPr="00336303">
        <w:drawing>
          <wp:inline distT="0" distB="0" distL="0" distR="0">
            <wp:extent cx="5299075" cy="3536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3536315"/>
                    </a:xfrm>
                    <a:prstGeom prst="rect">
                      <a:avLst/>
                    </a:prstGeom>
                    <a:noFill/>
                    <a:ln>
                      <a:noFill/>
                    </a:ln>
                  </pic:spPr>
                </pic:pic>
              </a:graphicData>
            </a:graphic>
          </wp:inline>
        </w:drawing>
      </w:r>
    </w:p>
    <w:p w:rsidR="002F74A2" w:rsidRDefault="00870424" w:rsidP="002F74A2">
      <w:pPr>
        <w:pStyle w:val="HeadingBoldBlue"/>
      </w:pPr>
      <w:r>
        <w:t>Route l</w:t>
      </w:r>
      <w:r w:rsidR="002F74A2">
        <w:t>ine length</w:t>
      </w:r>
    </w:p>
    <w:p w:rsidR="002F74A2" w:rsidRDefault="000313AA" w:rsidP="002F74A2">
      <w:pPr>
        <w:pStyle w:val="AERbodytext"/>
      </w:pPr>
      <w:r>
        <w:t>Route line length reflects the distances over which distributors deliver electricity to their customers. To provide their customers with access to electricity, distributors have to transport electricity from the transmission network to its customers' premises.</w:t>
      </w:r>
      <w:r w:rsidR="00314294">
        <w:t xml:space="preserve"> Distributors will typically </w:t>
      </w:r>
      <w:r w:rsidR="00F80969">
        <w:t>operate networks that</w:t>
      </w:r>
      <w:r w:rsidR="00314294">
        <w:t xml:space="preserve"> transport electricity over thousands of kilometres.</w:t>
      </w:r>
    </w:p>
    <w:p w:rsidR="002F74A2" w:rsidRDefault="002F74A2" w:rsidP="002F74A2">
      <w:pPr>
        <w:pStyle w:val="AERbodytext"/>
      </w:pPr>
      <w:r>
        <w:t>In this report line length is predominantly measured in terms of</w:t>
      </w:r>
      <w:r w:rsidRPr="009E1941">
        <w:t xml:space="preserve"> </w:t>
      </w:r>
      <w:r w:rsidR="00944708">
        <w:t>'</w:t>
      </w:r>
      <w:r w:rsidRPr="009E1941">
        <w:t>route line length</w:t>
      </w:r>
      <w:r w:rsidR="00944708">
        <w:t>'</w:t>
      </w:r>
      <w:r>
        <w:t>. This</w:t>
      </w:r>
      <w:r w:rsidRPr="009E1941">
        <w:t xml:space="preserve"> is the aggregate length in kilometres </w:t>
      </w:r>
      <w:r w:rsidR="00E73195">
        <w:t>of</w:t>
      </w:r>
      <w:r w:rsidRPr="009E1941">
        <w:t xml:space="preserve"> </w:t>
      </w:r>
      <w:r w:rsidR="004162AC">
        <w:t>each pole and tower line and underground line</w:t>
      </w:r>
      <w:r w:rsidRPr="009E1941">
        <w:t xml:space="preserve">. </w:t>
      </w:r>
    </w:p>
    <w:p w:rsidR="00B33BF0" w:rsidRDefault="00B33BF0" w:rsidP="00B33BF0">
      <w:pPr>
        <w:pStyle w:val="Caption"/>
      </w:pPr>
      <w:r>
        <w:lastRenderedPageBreak/>
        <w:t xml:space="preserve">Figure </w:t>
      </w:r>
      <w:fldSimple w:instr=" SEQ Figure \* ARABIC ">
        <w:r w:rsidR="00421701">
          <w:rPr>
            <w:noProof/>
          </w:rPr>
          <w:t>5</w:t>
        </w:r>
      </w:fldSimple>
      <w:r>
        <w:tab/>
        <w:t>Distributor's five year average route line length</w:t>
      </w:r>
      <w:r w:rsidR="003D6EBD">
        <w:t xml:space="preserve"> (</w:t>
      </w:r>
      <w:r w:rsidR="004C3960">
        <w:t xml:space="preserve">2009–2013, </w:t>
      </w:r>
      <w:r w:rsidR="003D6EBD">
        <w:t>kilometres)</w:t>
      </w:r>
    </w:p>
    <w:p w:rsidR="00B33BF0" w:rsidRDefault="00336303" w:rsidP="00336303">
      <w:pPr>
        <w:pStyle w:val="AERbodytext"/>
      </w:pPr>
      <w:r w:rsidRPr="00336303">
        <w:drawing>
          <wp:inline distT="0" distB="0" distL="0" distR="0">
            <wp:extent cx="5299075" cy="3536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075" cy="3536315"/>
                    </a:xfrm>
                    <a:prstGeom prst="rect">
                      <a:avLst/>
                    </a:prstGeom>
                    <a:noFill/>
                    <a:ln>
                      <a:noFill/>
                    </a:ln>
                  </pic:spPr>
                </pic:pic>
              </a:graphicData>
            </a:graphic>
          </wp:inline>
        </w:drawing>
      </w:r>
    </w:p>
    <w:p w:rsidR="00300FEA" w:rsidRPr="00300FEA" w:rsidRDefault="00944708" w:rsidP="00300FEA">
      <w:pPr>
        <w:pStyle w:val="HeadingBoldBlue"/>
      </w:pPr>
      <w:r>
        <w:t>M</w:t>
      </w:r>
      <w:r w:rsidR="002F74A2">
        <w:t>aximum demand</w:t>
      </w:r>
      <w:r w:rsidR="00B068C4">
        <w:t>,</w:t>
      </w:r>
      <w:r w:rsidR="002E022C">
        <w:t xml:space="preserve"> </w:t>
      </w:r>
      <w:r>
        <w:t>capacity</w:t>
      </w:r>
      <w:r w:rsidR="00B068C4">
        <w:t xml:space="preserve"> and energy delivered</w:t>
      </w:r>
    </w:p>
    <w:p w:rsidR="00944708" w:rsidRDefault="00944708" w:rsidP="00944708">
      <w:pPr>
        <w:pStyle w:val="AERbodytext"/>
      </w:pPr>
      <w:r>
        <w:t xml:space="preserve">Distributors </w:t>
      </w:r>
      <w:r w:rsidR="00181B77">
        <w:t>are required</w:t>
      </w:r>
      <w:r>
        <w:t xml:space="preserve"> to meet and manage the demand of their customers. </w:t>
      </w:r>
      <w:r w:rsidR="00564D16">
        <w:t xml:space="preserve">This means that they must build </w:t>
      </w:r>
      <w:r w:rsidR="00F80969">
        <w:t xml:space="preserve">and operate </w:t>
      </w:r>
      <w:r w:rsidR="00564D16">
        <w:t>their networks to have sufficient capacity to meet the expected demand for electricity when it is at its peak</w:t>
      </w:r>
      <w:r>
        <w:t>.</w:t>
      </w:r>
      <w:r w:rsidRPr="00944708">
        <w:t xml:space="preserve"> </w:t>
      </w:r>
      <w:r w:rsidR="00564D16">
        <w:t xml:space="preserve">Maximum demand is a measure of the overall peak in customer demand experienced by the </w:t>
      </w:r>
      <w:r w:rsidR="004C3960" w:rsidRPr="004C3960">
        <w:t>network</w:t>
      </w:r>
      <w:r w:rsidR="00564D16">
        <w:t>.</w:t>
      </w:r>
      <w:r w:rsidR="002E308D">
        <w:rPr>
          <w:rStyle w:val="FootnoteReference"/>
        </w:rPr>
        <w:footnoteReference w:id="16"/>
      </w:r>
      <w:r w:rsidR="00E308CE">
        <w:t xml:space="preserve"> </w:t>
      </w:r>
    </w:p>
    <w:p w:rsidR="00E308CE" w:rsidRDefault="00E308CE" w:rsidP="00944708">
      <w:pPr>
        <w:pStyle w:val="AERbodytext"/>
      </w:pPr>
      <w:r>
        <w:t xml:space="preserve">An alternative approach to measuring </w:t>
      </w:r>
      <w:r w:rsidR="00C25DB6">
        <w:t>a distributor's service in meeting the demand of its customers at times of peak demand is to</w:t>
      </w:r>
      <w:r>
        <w:t xml:space="preserve"> measure </w:t>
      </w:r>
      <w:r w:rsidR="00B068C4">
        <w:t>network capacity</w:t>
      </w:r>
      <w:r>
        <w:t>.</w:t>
      </w:r>
      <w:r w:rsidR="00C25DB6">
        <w:t xml:space="preserve"> In this report we measure </w:t>
      </w:r>
      <w:r w:rsidR="004C3960" w:rsidRPr="004C3960">
        <w:t xml:space="preserve">capacity </w:t>
      </w:r>
      <w:r w:rsidR="00C25DB6">
        <w:t xml:space="preserve">as distribution transformer capacity which is the capacity of transformers that convert electricity from high voltages to the </w:t>
      </w:r>
      <w:r w:rsidR="00DD56C1">
        <w:t xml:space="preserve">standard </w:t>
      </w:r>
      <w:r w:rsidR="00C25DB6">
        <w:t>customer connection</w:t>
      </w:r>
      <w:r w:rsidR="00DD56C1">
        <w:t xml:space="preserve"> voltage</w:t>
      </w:r>
      <w:r w:rsidR="00C25DB6">
        <w:t>.</w:t>
      </w:r>
      <w:r w:rsidR="00434931">
        <w:rPr>
          <w:rStyle w:val="FootnoteReference"/>
        </w:rPr>
        <w:footnoteReference w:id="17"/>
      </w:r>
      <w:r w:rsidR="00C25DB6">
        <w:t xml:space="preserve"> </w:t>
      </w:r>
    </w:p>
    <w:p w:rsidR="00421701" w:rsidRPr="00131174" w:rsidRDefault="002F74A2" w:rsidP="008C3650">
      <w:pPr>
        <w:pStyle w:val="AERbodytext"/>
        <w:rPr>
          <w:b/>
          <w:bCs/>
          <w:szCs w:val="18"/>
        </w:rPr>
      </w:pPr>
      <w:r>
        <w:t xml:space="preserve">Energy delivered is </w:t>
      </w:r>
      <w:r w:rsidR="00615EE4">
        <w:t xml:space="preserve">a measure of </w:t>
      </w:r>
      <w:r>
        <w:t>the amount of electricity that distributors deliver to their customers.</w:t>
      </w:r>
      <w:r w:rsidR="008F2F61">
        <w:t xml:space="preserve"> </w:t>
      </w:r>
      <w:r w:rsidR="00B068C4">
        <w:t>This reflects the</w:t>
      </w:r>
      <w:r w:rsidR="008F2F61">
        <w:t xml:space="preserve"> overall </w:t>
      </w:r>
      <w:r w:rsidR="00F80969">
        <w:t xml:space="preserve">throughput </w:t>
      </w:r>
      <w:r w:rsidR="008F2F61">
        <w:t>on the network.</w:t>
      </w:r>
      <w:r w:rsidR="00B068C4">
        <w:rPr>
          <w:rStyle w:val="FootnoteReference"/>
        </w:rPr>
        <w:footnoteReference w:id="18"/>
      </w:r>
      <w:r w:rsidR="006A7C59">
        <w:t xml:space="preserve"> Energy delivered is not a driver of costs as </w:t>
      </w:r>
      <w:r w:rsidR="009922C7">
        <w:t>distribution networks are typically engineered to manage maximum demand. However the energy delivered is an output for which customers are bi</w:t>
      </w:r>
      <w:r w:rsidR="00686F0B">
        <w:t>lled.</w:t>
      </w:r>
      <w:r w:rsidR="008274F9">
        <w:rPr>
          <w:rFonts w:eastAsia="Calibri"/>
          <w:szCs w:val="20"/>
        </w:rPr>
        <w:fldChar w:fldCharType="begin"/>
      </w:r>
      <w:r w:rsidR="00B33BF0">
        <w:instrText xml:space="preserve"> REF _Ref389495168 \h </w:instrText>
      </w:r>
      <w:r w:rsidR="008274F9">
        <w:rPr>
          <w:rFonts w:eastAsia="Calibri"/>
          <w:szCs w:val="20"/>
        </w:rPr>
      </w:r>
      <w:r w:rsidR="008274F9">
        <w:rPr>
          <w:rFonts w:eastAsia="Calibri"/>
          <w:szCs w:val="20"/>
        </w:rPr>
        <w:fldChar w:fldCharType="separate"/>
      </w:r>
    </w:p>
    <w:p w:rsidR="0023166C" w:rsidRPr="00131174" w:rsidRDefault="00421701" w:rsidP="008C3650">
      <w:pPr>
        <w:pStyle w:val="AERbodytext"/>
        <w:rPr>
          <w:b/>
          <w:bCs/>
          <w:szCs w:val="18"/>
        </w:rPr>
      </w:pPr>
      <w:r w:rsidRPr="00B33BF0">
        <w:t xml:space="preserve">Table </w:t>
      </w:r>
      <w:r>
        <w:rPr>
          <w:noProof/>
        </w:rPr>
        <w:t>1</w:t>
      </w:r>
      <w:r w:rsidR="008274F9">
        <w:fldChar w:fldCharType="end"/>
      </w:r>
      <w:r w:rsidR="00B33BF0">
        <w:t xml:space="preserve"> presents the average capacity, maximum demand and energy delivered for each of the distributors for the 2009-2013 years.</w:t>
      </w:r>
      <w:bookmarkStart w:id="20" w:name="_Ref389495168"/>
    </w:p>
    <w:p w:rsidR="00B33BF0" w:rsidRPr="00B33BF0" w:rsidRDefault="00B33BF0" w:rsidP="00B33BF0">
      <w:pPr>
        <w:pStyle w:val="Caption"/>
      </w:pPr>
      <w:r w:rsidRPr="00B33BF0">
        <w:lastRenderedPageBreak/>
        <w:t xml:space="preserve">Table </w:t>
      </w:r>
      <w:fldSimple w:instr=" SEQ Table \* ARABIC ">
        <w:r w:rsidR="00421701">
          <w:rPr>
            <w:noProof/>
          </w:rPr>
          <w:t>1</w:t>
        </w:r>
      </w:fldSimple>
      <w:bookmarkEnd w:id="20"/>
      <w:r w:rsidRPr="00B33BF0">
        <w:tab/>
      </w:r>
      <w:r w:rsidR="006C6ED9">
        <w:t>C</w:t>
      </w:r>
      <w:r w:rsidRPr="00B33BF0">
        <w:t xml:space="preserve">apacity, maximum demand and energy </w:t>
      </w:r>
      <w:r w:rsidR="004C3960" w:rsidRPr="004C3960">
        <w:t xml:space="preserve">delivered </w:t>
      </w:r>
      <w:r w:rsidR="006C6ED9">
        <w:t>of the distributors</w:t>
      </w:r>
      <w:r w:rsidRPr="00B33BF0">
        <w:t xml:space="preserve"> </w:t>
      </w:r>
    </w:p>
    <w:tbl>
      <w:tblPr>
        <w:tblStyle w:val="AERtable-text"/>
        <w:tblW w:w="5000" w:type="pct"/>
        <w:tblLook w:val="04A0" w:firstRow="1" w:lastRow="0" w:firstColumn="1" w:lastColumn="0" w:noHBand="0" w:noVBand="1"/>
      </w:tblPr>
      <w:tblGrid>
        <w:gridCol w:w="2668"/>
        <w:gridCol w:w="2190"/>
        <w:gridCol w:w="2192"/>
        <w:gridCol w:w="2192"/>
      </w:tblGrid>
      <w:tr w:rsidR="00B33BF0" w:rsidRPr="00E96A49" w:rsidTr="00B33BF0">
        <w:trPr>
          <w:cnfStyle w:val="100000000000" w:firstRow="1" w:lastRow="0" w:firstColumn="0" w:lastColumn="0" w:oddVBand="0" w:evenVBand="0" w:oddHBand="0" w:evenHBand="0" w:firstRowFirstColumn="0" w:firstRowLastColumn="0" w:lastRowFirstColumn="0" w:lastRowLastColumn="0"/>
          <w:trHeight w:val="300"/>
        </w:trPr>
        <w:tc>
          <w:tcPr>
            <w:tcW w:w="1443" w:type="pct"/>
            <w:noWrap/>
            <w:hideMark/>
          </w:tcPr>
          <w:p w:rsidR="00B33BF0" w:rsidRPr="00874D49" w:rsidRDefault="00B33BF0" w:rsidP="00B33BF0">
            <w:pPr>
              <w:pStyle w:val="AERtablesource"/>
            </w:pPr>
          </w:p>
        </w:tc>
        <w:tc>
          <w:tcPr>
            <w:tcW w:w="1185" w:type="pct"/>
          </w:tcPr>
          <w:p w:rsidR="00B33BF0" w:rsidRPr="00B33BF0" w:rsidRDefault="00B33BF0" w:rsidP="00B33BF0">
            <w:pPr>
              <w:pStyle w:val="AERtabletextleft"/>
            </w:pPr>
            <w:r>
              <w:t>Network capacity (</w:t>
            </w:r>
            <w:proofErr w:type="spellStart"/>
            <w:r w:rsidRPr="00B33BF0">
              <w:t>MVa</w:t>
            </w:r>
            <w:proofErr w:type="spellEnd"/>
            <w:r w:rsidRPr="00B33BF0">
              <w:t>)</w:t>
            </w:r>
          </w:p>
        </w:tc>
        <w:tc>
          <w:tcPr>
            <w:tcW w:w="1186" w:type="pct"/>
            <w:noWrap/>
            <w:hideMark/>
          </w:tcPr>
          <w:p w:rsidR="00B33BF0" w:rsidRPr="00B33BF0" w:rsidRDefault="00B33BF0" w:rsidP="00B33BF0">
            <w:pPr>
              <w:pStyle w:val="AERtabletextleft"/>
            </w:pPr>
            <w:r w:rsidRPr="00E96A49">
              <w:t>maximum demand</w:t>
            </w:r>
            <w:r w:rsidRPr="00B33BF0">
              <w:t xml:space="preserve"> (MW)</w:t>
            </w:r>
          </w:p>
        </w:tc>
        <w:tc>
          <w:tcPr>
            <w:tcW w:w="1186" w:type="pct"/>
            <w:noWrap/>
            <w:hideMark/>
          </w:tcPr>
          <w:p w:rsidR="00B33BF0" w:rsidRPr="00B33BF0" w:rsidRDefault="00B33BF0" w:rsidP="00B33BF0">
            <w:pPr>
              <w:pStyle w:val="AERtabletextleft"/>
            </w:pPr>
            <w:r w:rsidRPr="00E96A49">
              <w:t>energy delivered</w:t>
            </w:r>
            <w:r w:rsidRPr="00B33BF0">
              <w:t xml:space="preserve"> (</w:t>
            </w:r>
            <w:proofErr w:type="spellStart"/>
            <w:r w:rsidRPr="00B33BF0">
              <w:t>MW</w:t>
            </w:r>
            <w:r w:rsidR="003D6EBD">
              <w:t>h</w:t>
            </w:r>
            <w:proofErr w:type="spellEnd"/>
            <w:r w:rsidRPr="00B33BF0">
              <w:t>)</w:t>
            </w:r>
          </w:p>
        </w:tc>
      </w:tr>
      <w:tr w:rsidR="00B33BF0" w:rsidRPr="00E96A49" w:rsidTr="00B33BF0">
        <w:trPr>
          <w:trHeight w:val="300"/>
        </w:trPr>
        <w:tc>
          <w:tcPr>
            <w:tcW w:w="1443" w:type="pct"/>
            <w:noWrap/>
            <w:hideMark/>
          </w:tcPr>
          <w:p w:rsidR="00B33BF0" w:rsidRPr="00B33BF0" w:rsidRDefault="00B33BF0" w:rsidP="00B33BF0">
            <w:pPr>
              <w:pStyle w:val="AERtabletextleft"/>
            </w:pPr>
            <w:proofErr w:type="spellStart"/>
            <w:r w:rsidRPr="009E6D0B">
              <w:t>ActewAGL</w:t>
            </w:r>
            <w:proofErr w:type="spellEnd"/>
            <w:r w:rsidRPr="00B33BF0">
              <w:t xml:space="preserve"> (ACT)</w:t>
            </w:r>
          </w:p>
        </w:tc>
        <w:tc>
          <w:tcPr>
            <w:tcW w:w="1185" w:type="pct"/>
          </w:tcPr>
          <w:p w:rsidR="00B33BF0" w:rsidRPr="00B33BF0" w:rsidRDefault="00F12E6B" w:rsidP="00B33BF0">
            <w:pPr>
              <w:pStyle w:val="AERtabletextright"/>
            </w:pPr>
            <w:r>
              <w:t>1,980</w:t>
            </w:r>
          </w:p>
        </w:tc>
        <w:tc>
          <w:tcPr>
            <w:tcW w:w="1186" w:type="pct"/>
            <w:noWrap/>
            <w:hideMark/>
          </w:tcPr>
          <w:p w:rsidR="00B33BF0" w:rsidRPr="00E96A49" w:rsidRDefault="00B33BF0" w:rsidP="00B33BF0">
            <w:pPr>
              <w:pStyle w:val="AERtabletextright"/>
            </w:pPr>
            <w:r w:rsidRPr="00E96A49">
              <w:t>650.65</w:t>
            </w:r>
          </w:p>
        </w:tc>
        <w:tc>
          <w:tcPr>
            <w:tcW w:w="1186" w:type="pct"/>
            <w:noWrap/>
            <w:hideMark/>
          </w:tcPr>
          <w:p w:rsidR="00B33BF0" w:rsidRPr="00E96A49" w:rsidRDefault="00B33BF0" w:rsidP="00B33BF0">
            <w:pPr>
              <w:pStyle w:val="AERtabletextright"/>
            </w:pPr>
            <w:r w:rsidRPr="00E96A49">
              <w:t>2,894,863</w:t>
            </w:r>
          </w:p>
        </w:tc>
      </w:tr>
      <w:tr w:rsidR="00B33BF0"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B33BF0" w:rsidRPr="00B33BF0" w:rsidRDefault="005409F1" w:rsidP="00B33BF0">
            <w:pPr>
              <w:pStyle w:val="AERtabletextleft"/>
            </w:pPr>
            <w:proofErr w:type="spellStart"/>
            <w:r>
              <w:t>Ausg</w:t>
            </w:r>
            <w:r w:rsidR="00B33BF0" w:rsidRPr="009E6D0B">
              <w:t>rid</w:t>
            </w:r>
            <w:proofErr w:type="spellEnd"/>
            <w:r w:rsidR="00B33BF0" w:rsidRPr="00B33BF0">
              <w:t xml:space="preserve"> (AGD)</w:t>
            </w:r>
          </w:p>
        </w:tc>
        <w:tc>
          <w:tcPr>
            <w:tcW w:w="1185" w:type="pct"/>
          </w:tcPr>
          <w:p w:rsidR="00B33BF0" w:rsidRPr="00B33BF0" w:rsidRDefault="00F12E6B" w:rsidP="00B33BF0">
            <w:pPr>
              <w:pStyle w:val="AERtabletextright"/>
            </w:pPr>
            <w:r>
              <w:t>16,272</w:t>
            </w:r>
          </w:p>
        </w:tc>
        <w:tc>
          <w:tcPr>
            <w:tcW w:w="1186" w:type="pct"/>
            <w:noWrap/>
            <w:hideMark/>
          </w:tcPr>
          <w:p w:rsidR="00B33BF0" w:rsidRPr="00E96A49" w:rsidRDefault="00B33BF0" w:rsidP="00B33BF0">
            <w:pPr>
              <w:pStyle w:val="AERtabletextright"/>
            </w:pPr>
            <w:r w:rsidRPr="00E96A49">
              <w:t>6,239.19</w:t>
            </w:r>
          </w:p>
        </w:tc>
        <w:tc>
          <w:tcPr>
            <w:tcW w:w="1186" w:type="pct"/>
            <w:noWrap/>
            <w:hideMark/>
          </w:tcPr>
          <w:p w:rsidR="00B33BF0" w:rsidRPr="00E96A49" w:rsidRDefault="00B33BF0" w:rsidP="00B33BF0">
            <w:pPr>
              <w:pStyle w:val="AERtabletextright"/>
            </w:pPr>
            <w:r w:rsidRPr="00E96A49">
              <w:t>29,498,623</w:t>
            </w:r>
          </w:p>
        </w:tc>
      </w:tr>
      <w:tr w:rsidR="00EA2491" w:rsidRPr="00E96A49" w:rsidTr="00B33BF0">
        <w:trPr>
          <w:trHeight w:val="300"/>
        </w:trPr>
        <w:tc>
          <w:tcPr>
            <w:tcW w:w="1443" w:type="pct"/>
            <w:noWrap/>
          </w:tcPr>
          <w:p w:rsidR="00EA2491" w:rsidRPr="00EA2491" w:rsidRDefault="00EA2491" w:rsidP="00EA2491">
            <w:pPr>
              <w:pStyle w:val="AERtabletextleft"/>
            </w:pPr>
            <w:proofErr w:type="spellStart"/>
            <w:r w:rsidRPr="009E6D0B">
              <w:t>AusNet</w:t>
            </w:r>
            <w:proofErr w:type="spellEnd"/>
            <w:r w:rsidRPr="00EA2491">
              <w:t xml:space="preserve"> Services (AND)</w:t>
            </w:r>
          </w:p>
        </w:tc>
        <w:tc>
          <w:tcPr>
            <w:tcW w:w="1185" w:type="pct"/>
          </w:tcPr>
          <w:p w:rsidR="00EA2491" w:rsidRPr="00EA2491" w:rsidRDefault="00F12E6B" w:rsidP="00EA2491">
            <w:pPr>
              <w:pStyle w:val="AERtabletextright"/>
            </w:pPr>
            <w:r>
              <w:t>5,938</w:t>
            </w:r>
          </w:p>
        </w:tc>
        <w:tc>
          <w:tcPr>
            <w:tcW w:w="1186" w:type="pct"/>
            <w:noWrap/>
          </w:tcPr>
          <w:p w:rsidR="00EA2491" w:rsidRPr="00EA2491" w:rsidRDefault="00EA2491" w:rsidP="00EA2491">
            <w:pPr>
              <w:pStyle w:val="AERtabletextright"/>
            </w:pPr>
            <w:r w:rsidRPr="00E96A49">
              <w:t>1,868.20</w:t>
            </w:r>
          </w:p>
        </w:tc>
        <w:tc>
          <w:tcPr>
            <w:tcW w:w="1186" w:type="pct"/>
            <w:noWrap/>
          </w:tcPr>
          <w:p w:rsidR="00EA2491" w:rsidRPr="00EA2491" w:rsidRDefault="00EA2491" w:rsidP="00EA2491">
            <w:pPr>
              <w:pStyle w:val="AERtabletextright"/>
            </w:pPr>
            <w:r w:rsidRPr="00E96A49">
              <w:t>7,676,880</w:t>
            </w:r>
          </w:p>
        </w:tc>
      </w:tr>
      <w:tr w:rsidR="00EA2491"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EA2491" w:rsidRPr="00EA2491" w:rsidRDefault="00EA2491" w:rsidP="00EA2491">
            <w:pPr>
              <w:pStyle w:val="AERtabletextleft"/>
            </w:pPr>
            <w:proofErr w:type="spellStart"/>
            <w:r w:rsidRPr="009E6D0B">
              <w:t>CitiPower</w:t>
            </w:r>
            <w:proofErr w:type="spellEnd"/>
            <w:r w:rsidRPr="00EA2491">
              <w:t xml:space="preserve"> (CIT)</w:t>
            </w:r>
          </w:p>
        </w:tc>
        <w:tc>
          <w:tcPr>
            <w:tcW w:w="1185" w:type="pct"/>
          </w:tcPr>
          <w:p w:rsidR="00EA2491" w:rsidRPr="00EA2491" w:rsidRDefault="00F12E6B" w:rsidP="00EA2491">
            <w:pPr>
              <w:pStyle w:val="AERtabletextright"/>
            </w:pPr>
            <w:r>
              <w:t>4,099</w:t>
            </w:r>
          </w:p>
        </w:tc>
        <w:tc>
          <w:tcPr>
            <w:tcW w:w="1186" w:type="pct"/>
            <w:noWrap/>
            <w:hideMark/>
          </w:tcPr>
          <w:p w:rsidR="00EA2491" w:rsidRPr="00EA2491" w:rsidRDefault="00EA2491" w:rsidP="00EA2491">
            <w:pPr>
              <w:pStyle w:val="AERtabletextright"/>
            </w:pPr>
            <w:r w:rsidRPr="00E96A49">
              <w:t>1,415.44</w:t>
            </w:r>
          </w:p>
        </w:tc>
        <w:tc>
          <w:tcPr>
            <w:tcW w:w="1186" w:type="pct"/>
            <w:noWrap/>
            <w:hideMark/>
          </w:tcPr>
          <w:p w:rsidR="00EA2491" w:rsidRPr="00EA2491" w:rsidRDefault="00EA2491" w:rsidP="00EA2491">
            <w:pPr>
              <w:pStyle w:val="AERtabletextright"/>
            </w:pPr>
            <w:r w:rsidRPr="00E96A49">
              <w:t>6,095,544</w:t>
            </w:r>
          </w:p>
        </w:tc>
      </w:tr>
      <w:tr w:rsidR="00EA2491" w:rsidRPr="00E96A49" w:rsidTr="00B33BF0">
        <w:trPr>
          <w:trHeight w:val="300"/>
        </w:trPr>
        <w:tc>
          <w:tcPr>
            <w:tcW w:w="1443" w:type="pct"/>
            <w:noWrap/>
            <w:hideMark/>
          </w:tcPr>
          <w:p w:rsidR="00EA2491" w:rsidRPr="00EA2491" w:rsidRDefault="00EA2491" w:rsidP="00EA2491">
            <w:pPr>
              <w:pStyle w:val="AERtabletextleft"/>
            </w:pPr>
            <w:r w:rsidRPr="009E6D0B">
              <w:t>Endeavour Energy</w:t>
            </w:r>
            <w:r w:rsidRPr="00EA2491">
              <w:t xml:space="preserve"> (END)</w:t>
            </w:r>
          </w:p>
        </w:tc>
        <w:tc>
          <w:tcPr>
            <w:tcW w:w="1185" w:type="pct"/>
          </w:tcPr>
          <w:p w:rsidR="00EA2491" w:rsidRPr="00EA2491" w:rsidRDefault="00D9057B" w:rsidP="00EA2491">
            <w:pPr>
              <w:pStyle w:val="AERtabletextright"/>
            </w:pPr>
            <w:r>
              <w:t>8,849</w:t>
            </w:r>
          </w:p>
        </w:tc>
        <w:tc>
          <w:tcPr>
            <w:tcW w:w="1186" w:type="pct"/>
            <w:noWrap/>
            <w:hideMark/>
          </w:tcPr>
          <w:p w:rsidR="00EA2491" w:rsidRPr="00EA2491" w:rsidRDefault="00EA2491" w:rsidP="00EA2491">
            <w:pPr>
              <w:pStyle w:val="AERtabletextright"/>
            </w:pPr>
            <w:r w:rsidRPr="00E96A49">
              <w:t>3,859.44</w:t>
            </w:r>
          </w:p>
        </w:tc>
        <w:tc>
          <w:tcPr>
            <w:tcW w:w="1186" w:type="pct"/>
            <w:noWrap/>
            <w:hideMark/>
          </w:tcPr>
          <w:p w:rsidR="00EA2491" w:rsidRPr="00EA2491" w:rsidRDefault="00EA2491" w:rsidP="00EA2491">
            <w:pPr>
              <w:pStyle w:val="AERtabletextright"/>
            </w:pPr>
            <w:r w:rsidRPr="00E96A49">
              <w:t>16,968,906</w:t>
            </w:r>
          </w:p>
        </w:tc>
      </w:tr>
      <w:tr w:rsidR="00EA2491"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EA2491" w:rsidRPr="00EA2491" w:rsidRDefault="00EA2491" w:rsidP="00EA2491">
            <w:pPr>
              <w:pStyle w:val="AERtabletextleft"/>
            </w:pPr>
            <w:proofErr w:type="spellStart"/>
            <w:r w:rsidRPr="009E6D0B">
              <w:t>Energex</w:t>
            </w:r>
            <w:proofErr w:type="spellEnd"/>
            <w:r w:rsidRPr="00EA2491">
              <w:t xml:space="preserve"> (ENX)</w:t>
            </w:r>
          </w:p>
        </w:tc>
        <w:tc>
          <w:tcPr>
            <w:tcW w:w="1185" w:type="pct"/>
          </w:tcPr>
          <w:p w:rsidR="00EA2491" w:rsidRPr="00EA2491" w:rsidRDefault="00D9057B" w:rsidP="00EA2491">
            <w:pPr>
              <w:pStyle w:val="AERtabletextright"/>
            </w:pPr>
            <w:r>
              <w:t>15,045</w:t>
            </w:r>
          </w:p>
        </w:tc>
        <w:tc>
          <w:tcPr>
            <w:tcW w:w="1186" w:type="pct"/>
            <w:noWrap/>
            <w:hideMark/>
          </w:tcPr>
          <w:p w:rsidR="00EA2491" w:rsidRPr="00EA2491" w:rsidRDefault="00EA2491" w:rsidP="00EA2491">
            <w:pPr>
              <w:pStyle w:val="AERtabletextright"/>
            </w:pPr>
            <w:r w:rsidRPr="00E96A49">
              <w:t>4,938.72</w:t>
            </w:r>
          </w:p>
        </w:tc>
        <w:tc>
          <w:tcPr>
            <w:tcW w:w="1186" w:type="pct"/>
            <w:noWrap/>
            <w:hideMark/>
          </w:tcPr>
          <w:p w:rsidR="00EA2491" w:rsidRPr="00EA2491" w:rsidRDefault="00EA2491" w:rsidP="00EA2491">
            <w:pPr>
              <w:pStyle w:val="AERtabletextright"/>
            </w:pPr>
            <w:r w:rsidRPr="00E96A49">
              <w:t>21,581,200</w:t>
            </w:r>
          </w:p>
        </w:tc>
      </w:tr>
      <w:tr w:rsidR="00EA2491" w:rsidRPr="00E96A49" w:rsidTr="00B33BF0">
        <w:trPr>
          <w:trHeight w:val="300"/>
        </w:trPr>
        <w:tc>
          <w:tcPr>
            <w:tcW w:w="1443" w:type="pct"/>
            <w:noWrap/>
            <w:hideMark/>
          </w:tcPr>
          <w:p w:rsidR="00EA2491" w:rsidRPr="00EA2491" w:rsidRDefault="00EA2491" w:rsidP="00EA2491">
            <w:pPr>
              <w:pStyle w:val="AERtabletextleft"/>
            </w:pPr>
            <w:proofErr w:type="spellStart"/>
            <w:r w:rsidRPr="009E6D0B">
              <w:t>Ergon</w:t>
            </w:r>
            <w:proofErr w:type="spellEnd"/>
            <w:r w:rsidRPr="009E6D0B">
              <w:t xml:space="preserve"> Energy</w:t>
            </w:r>
            <w:r w:rsidRPr="00EA2491">
              <w:t xml:space="preserve"> (ERG)</w:t>
            </w:r>
          </w:p>
        </w:tc>
        <w:tc>
          <w:tcPr>
            <w:tcW w:w="1185" w:type="pct"/>
          </w:tcPr>
          <w:p w:rsidR="00EA2491" w:rsidRPr="00EA2491" w:rsidRDefault="00D9057B" w:rsidP="00EA2491">
            <w:pPr>
              <w:pStyle w:val="AERtabletextright"/>
            </w:pPr>
            <w:r>
              <w:t>8,848</w:t>
            </w:r>
          </w:p>
        </w:tc>
        <w:tc>
          <w:tcPr>
            <w:tcW w:w="1186" w:type="pct"/>
            <w:noWrap/>
            <w:hideMark/>
          </w:tcPr>
          <w:p w:rsidR="00EA2491" w:rsidRPr="00EA2491" w:rsidRDefault="00EA2491" w:rsidP="00EA2491">
            <w:pPr>
              <w:pStyle w:val="AERtabletextright"/>
            </w:pPr>
            <w:r w:rsidRPr="00E96A49">
              <w:t>3,139.67</w:t>
            </w:r>
          </w:p>
        </w:tc>
        <w:tc>
          <w:tcPr>
            <w:tcW w:w="1186" w:type="pct"/>
            <w:noWrap/>
            <w:hideMark/>
          </w:tcPr>
          <w:p w:rsidR="00EA2491" w:rsidRPr="00EA2491" w:rsidRDefault="00EA2491" w:rsidP="00EA2491">
            <w:pPr>
              <w:pStyle w:val="AERtabletextright"/>
            </w:pPr>
            <w:r w:rsidRPr="00E96A49">
              <w:t>13,760,202</w:t>
            </w:r>
          </w:p>
        </w:tc>
      </w:tr>
      <w:tr w:rsidR="00EA2491"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EA2491" w:rsidRPr="00EA2491" w:rsidRDefault="00EA2491" w:rsidP="00EA2491">
            <w:pPr>
              <w:pStyle w:val="AERtabletextleft"/>
            </w:pPr>
            <w:r w:rsidRPr="009E6D0B">
              <w:t>Essential Energy</w:t>
            </w:r>
            <w:r w:rsidRPr="00EA2491">
              <w:t xml:space="preserve"> (ESS)</w:t>
            </w:r>
          </w:p>
        </w:tc>
        <w:tc>
          <w:tcPr>
            <w:tcW w:w="1185" w:type="pct"/>
          </w:tcPr>
          <w:p w:rsidR="00EA2491" w:rsidRPr="00EA2491" w:rsidRDefault="00D9057B" w:rsidP="00EA2491">
            <w:pPr>
              <w:pStyle w:val="AERtabletextright"/>
            </w:pPr>
            <w:r>
              <w:t>10,315</w:t>
            </w:r>
          </w:p>
        </w:tc>
        <w:tc>
          <w:tcPr>
            <w:tcW w:w="1186" w:type="pct"/>
            <w:noWrap/>
            <w:hideMark/>
          </w:tcPr>
          <w:p w:rsidR="00EA2491" w:rsidRPr="00EA2491" w:rsidRDefault="00EA2491" w:rsidP="00EA2491">
            <w:pPr>
              <w:pStyle w:val="AERtabletextright"/>
            </w:pPr>
            <w:r w:rsidRPr="00E96A49">
              <w:t>2,549.34</w:t>
            </w:r>
          </w:p>
        </w:tc>
        <w:tc>
          <w:tcPr>
            <w:tcW w:w="1186" w:type="pct"/>
            <w:noWrap/>
            <w:hideMark/>
          </w:tcPr>
          <w:p w:rsidR="00EA2491" w:rsidRPr="00EA2491" w:rsidRDefault="00EA2491" w:rsidP="00EA2491">
            <w:pPr>
              <w:pStyle w:val="AERtabletextright"/>
            </w:pPr>
            <w:r w:rsidRPr="00E96A49">
              <w:t>12,062,538</w:t>
            </w:r>
          </w:p>
        </w:tc>
      </w:tr>
      <w:tr w:rsidR="00EA2491" w:rsidRPr="00E96A49" w:rsidTr="00B33BF0">
        <w:trPr>
          <w:trHeight w:val="300"/>
        </w:trPr>
        <w:tc>
          <w:tcPr>
            <w:tcW w:w="1443" w:type="pct"/>
            <w:noWrap/>
            <w:hideMark/>
          </w:tcPr>
          <w:p w:rsidR="00EA2491" w:rsidRPr="00EA2491" w:rsidRDefault="00EA2491" w:rsidP="00EA2491">
            <w:pPr>
              <w:pStyle w:val="AERtabletextleft"/>
            </w:pPr>
            <w:proofErr w:type="spellStart"/>
            <w:r w:rsidRPr="009E6D0B">
              <w:t>Jemena</w:t>
            </w:r>
            <w:proofErr w:type="spellEnd"/>
            <w:r w:rsidRPr="00EA2491">
              <w:t xml:space="preserve"> (JEN)</w:t>
            </w:r>
          </w:p>
        </w:tc>
        <w:tc>
          <w:tcPr>
            <w:tcW w:w="1185" w:type="pct"/>
          </w:tcPr>
          <w:p w:rsidR="00EA2491" w:rsidRPr="00EA2491" w:rsidRDefault="00D9057B" w:rsidP="00EA2491">
            <w:pPr>
              <w:pStyle w:val="AERtabletextright"/>
            </w:pPr>
            <w:r>
              <w:t>2,484</w:t>
            </w:r>
          </w:p>
        </w:tc>
        <w:tc>
          <w:tcPr>
            <w:tcW w:w="1186" w:type="pct"/>
            <w:noWrap/>
            <w:hideMark/>
          </w:tcPr>
          <w:p w:rsidR="00EA2491" w:rsidRPr="00EA2491" w:rsidRDefault="00EA2491" w:rsidP="00EA2491">
            <w:pPr>
              <w:pStyle w:val="AERtabletextright"/>
            </w:pPr>
            <w:r w:rsidRPr="00E96A49">
              <w:t>979.92</w:t>
            </w:r>
          </w:p>
        </w:tc>
        <w:tc>
          <w:tcPr>
            <w:tcW w:w="1186" w:type="pct"/>
            <w:noWrap/>
            <w:hideMark/>
          </w:tcPr>
          <w:p w:rsidR="00EA2491" w:rsidRPr="00EA2491" w:rsidRDefault="00EA2491" w:rsidP="00EA2491">
            <w:pPr>
              <w:pStyle w:val="AERtabletextright"/>
            </w:pPr>
            <w:r w:rsidRPr="00E96A49">
              <w:t>4,372,000</w:t>
            </w:r>
          </w:p>
        </w:tc>
      </w:tr>
      <w:tr w:rsidR="00EA2491"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EA2491" w:rsidRPr="00EA2491" w:rsidRDefault="00EA2491" w:rsidP="00EA2491">
            <w:pPr>
              <w:pStyle w:val="AERtabletextleft"/>
            </w:pPr>
            <w:proofErr w:type="spellStart"/>
            <w:r w:rsidRPr="009E6D0B">
              <w:t>Powercor</w:t>
            </w:r>
            <w:proofErr w:type="spellEnd"/>
            <w:r w:rsidRPr="00EA2491">
              <w:t xml:space="preserve"> (PCR)</w:t>
            </w:r>
          </w:p>
        </w:tc>
        <w:tc>
          <w:tcPr>
            <w:tcW w:w="1185" w:type="pct"/>
          </w:tcPr>
          <w:p w:rsidR="00EA2491" w:rsidRPr="00EA2491" w:rsidRDefault="00D9057B" w:rsidP="00EA2491">
            <w:pPr>
              <w:pStyle w:val="AERtabletextright"/>
            </w:pPr>
            <w:r>
              <w:t>6,659</w:t>
            </w:r>
          </w:p>
        </w:tc>
        <w:tc>
          <w:tcPr>
            <w:tcW w:w="1186" w:type="pct"/>
            <w:noWrap/>
            <w:hideMark/>
          </w:tcPr>
          <w:p w:rsidR="00EA2491" w:rsidRPr="00EA2491" w:rsidRDefault="00EA2491" w:rsidP="00EA2491">
            <w:pPr>
              <w:pStyle w:val="AERtabletextright"/>
            </w:pPr>
            <w:r w:rsidRPr="00E96A49">
              <w:t>2,405.46</w:t>
            </w:r>
          </w:p>
        </w:tc>
        <w:tc>
          <w:tcPr>
            <w:tcW w:w="1186" w:type="pct"/>
            <w:noWrap/>
            <w:hideMark/>
          </w:tcPr>
          <w:p w:rsidR="00EA2491" w:rsidRPr="00EA2491" w:rsidRDefault="00EA2491" w:rsidP="00EA2491">
            <w:pPr>
              <w:pStyle w:val="AERtabletextright"/>
            </w:pPr>
            <w:r w:rsidRPr="00E96A49">
              <w:t>10,587,837</w:t>
            </w:r>
          </w:p>
        </w:tc>
      </w:tr>
      <w:tr w:rsidR="00EA2491" w:rsidRPr="00E96A49" w:rsidTr="00B33BF0">
        <w:trPr>
          <w:trHeight w:val="300"/>
        </w:trPr>
        <w:tc>
          <w:tcPr>
            <w:tcW w:w="1443" w:type="pct"/>
            <w:noWrap/>
            <w:hideMark/>
          </w:tcPr>
          <w:p w:rsidR="00EA2491" w:rsidRPr="00EA2491" w:rsidRDefault="00EA2491" w:rsidP="00EA2491">
            <w:pPr>
              <w:pStyle w:val="AERtabletextleft"/>
            </w:pPr>
            <w:r w:rsidRPr="009E6D0B">
              <w:t>SA Power Networks</w:t>
            </w:r>
            <w:r w:rsidRPr="00EA2491">
              <w:t xml:space="preserve"> (SAP)</w:t>
            </w:r>
          </w:p>
        </w:tc>
        <w:tc>
          <w:tcPr>
            <w:tcW w:w="1185" w:type="pct"/>
          </w:tcPr>
          <w:p w:rsidR="00EA2491" w:rsidRPr="00EA2491" w:rsidRDefault="00D9057B" w:rsidP="00EA2491">
            <w:pPr>
              <w:pStyle w:val="AERtabletextright"/>
            </w:pPr>
            <w:r>
              <w:t>8,738</w:t>
            </w:r>
          </w:p>
        </w:tc>
        <w:tc>
          <w:tcPr>
            <w:tcW w:w="1186" w:type="pct"/>
            <w:noWrap/>
            <w:hideMark/>
          </w:tcPr>
          <w:p w:rsidR="00EA2491" w:rsidRPr="00EA2491" w:rsidRDefault="00EA2491" w:rsidP="00EA2491">
            <w:pPr>
              <w:pStyle w:val="AERtabletextright"/>
            </w:pPr>
            <w:r w:rsidRPr="00E96A49">
              <w:t>3,011.17</w:t>
            </w:r>
          </w:p>
        </w:tc>
        <w:tc>
          <w:tcPr>
            <w:tcW w:w="1186" w:type="pct"/>
            <w:noWrap/>
            <w:hideMark/>
          </w:tcPr>
          <w:p w:rsidR="00EA2491" w:rsidRPr="00EA2491" w:rsidRDefault="00EA2491" w:rsidP="00EA2491">
            <w:pPr>
              <w:pStyle w:val="AERtabletextright"/>
            </w:pPr>
            <w:r w:rsidRPr="00E96A49">
              <w:t>11,211,160</w:t>
            </w:r>
          </w:p>
        </w:tc>
      </w:tr>
      <w:tr w:rsidR="00EA2491" w:rsidRPr="00E96A49" w:rsidTr="00B33BF0">
        <w:trPr>
          <w:cnfStyle w:val="000000010000" w:firstRow="0" w:lastRow="0" w:firstColumn="0" w:lastColumn="0" w:oddVBand="0" w:evenVBand="0" w:oddHBand="0" w:evenHBand="1" w:firstRowFirstColumn="0" w:firstRowLastColumn="0" w:lastRowFirstColumn="0" w:lastRowLastColumn="0"/>
          <w:trHeight w:val="300"/>
        </w:trPr>
        <w:tc>
          <w:tcPr>
            <w:tcW w:w="1443" w:type="pct"/>
            <w:noWrap/>
            <w:hideMark/>
          </w:tcPr>
          <w:p w:rsidR="00EA2491" w:rsidRPr="00EA2491" w:rsidRDefault="00EA2491" w:rsidP="00EA2491">
            <w:pPr>
              <w:pStyle w:val="AERtabletextleft"/>
            </w:pPr>
            <w:r>
              <w:t>TasNetworks (TND)</w:t>
            </w:r>
          </w:p>
        </w:tc>
        <w:tc>
          <w:tcPr>
            <w:tcW w:w="1185" w:type="pct"/>
          </w:tcPr>
          <w:p w:rsidR="00EA2491" w:rsidRPr="00EA2491" w:rsidRDefault="00D9057B" w:rsidP="00EA2491">
            <w:pPr>
              <w:pStyle w:val="AERtabletextright"/>
            </w:pPr>
            <w:r>
              <w:t>3,456</w:t>
            </w:r>
          </w:p>
        </w:tc>
        <w:tc>
          <w:tcPr>
            <w:tcW w:w="1186" w:type="pct"/>
            <w:noWrap/>
            <w:hideMark/>
          </w:tcPr>
          <w:p w:rsidR="00EA2491" w:rsidRPr="00EA2491" w:rsidRDefault="00EA2491" w:rsidP="00EA2491">
            <w:pPr>
              <w:pStyle w:val="AERtabletextright"/>
            </w:pPr>
            <w:r w:rsidRPr="00E96A49">
              <w:t>1,078.20</w:t>
            </w:r>
          </w:p>
        </w:tc>
        <w:tc>
          <w:tcPr>
            <w:tcW w:w="1186" w:type="pct"/>
            <w:noWrap/>
            <w:hideMark/>
          </w:tcPr>
          <w:p w:rsidR="00EA2491" w:rsidRPr="00EA2491" w:rsidRDefault="00EA2491" w:rsidP="00EA2491">
            <w:pPr>
              <w:pStyle w:val="AERtabletextright"/>
            </w:pPr>
            <w:r w:rsidRPr="00E96A49">
              <w:t>4,428,350</w:t>
            </w:r>
          </w:p>
        </w:tc>
      </w:tr>
      <w:tr w:rsidR="00EA2491" w:rsidRPr="00E96A49" w:rsidTr="00B33BF0">
        <w:trPr>
          <w:trHeight w:val="300"/>
        </w:trPr>
        <w:tc>
          <w:tcPr>
            <w:tcW w:w="1443" w:type="pct"/>
            <w:noWrap/>
            <w:hideMark/>
          </w:tcPr>
          <w:p w:rsidR="00EA2491" w:rsidRPr="00EA2491" w:rsidRDefault="00EA2491" w:rsidP="00EA2491">
            <w:pPr>
              <w:pStyle w:val="AERtabletextleft"/>
            </w:pPr>
            <w:r w:rsidRPr="009E6D0B">
              <w:t>United Energy</w:t>
            </w:r>
            <w:r w:rsidRPr="00EA2491">
              <w:t xml:space="preserve"> (UED)</w:t>
            </w:r>
          </w:p>
        </w:tc>
        <w:tc>
          <w:tcPr>
            <w:tcW w:w="1185" w:type="pct"/>
          </w:tcPr>
          <w:p w:rsidR="00EA2491" w:rsidRPr="00EA2491" w:rsidRDefault="00D9057B" w:rsidP="00EA2491">
            <w:pPr>
              <w:pStyle w:val="AERtabletextright"/>
            </w:pPr>
            <w:r>
              <w:t>4,547</w:t>
            </w:r>
          </w:p>
        </w:tc>
        <w:tc>
          <w:tcPr>
            <w:tcW w:w="1186" w:type="pct"/>
            <w:noWrap/>
            <w:hideMark/>
          </w:tcPr>
          <w:p w:rsidR="00EA2491" w:rsidRPr="00EA2491" w:rsidRDefault="00EA2491" w:rsidP="00EA2491">
            <w:pPr>
              <w:pStyle w:val="AERtabletextright"/>
            </w:pPr>
            <w:r w:rsidRPr="00E96A49">
              <w:t>2,000.53</w:t>
            </w:r>
          </w:p>
        </w:tc>
        <w:tc>
          <w:tcPr>
            <w:tcW w:w="1186" w:type="pct"/>
            <w:noWrap/>
            <w:hideMark/>
          </w:tcPr>
          <w:p w:rsidR="00EA2491" w:rsidRPr="00EA2491" w:rsidRDefault="00EA2491" w:rsidP="00EA2491">
            <w:pPr>
              <w:pStyle w:val="AERtabletextright"/>
            </w:pPr>
            <w:r w:rsidRPr="00E96A49">
              <w:t>8,035,225</w:t>
            </w:r>
          </w:p>
        </w:tc>
      </w:tr>
    </w:tbl>
    <w:p w:rsidR="00874D49" w:rsidRDefault="00874D49" w:rsidP="00874D49">
      <w:pPr>
        <w:pStyle w:val="HeadingBoldBlue"/>
      </w:pPr>
      <w:r>
        <w:t>Reliability</w:t>
      </w:r>
    </w:p>
    <w:p w:rsidR="00874D49" w:rsidRDefault="00874D49" w:rsidP="00874D49">
      <w:pPr>
        <w:pStyle w:val="AERbodytext"/>
      </w:pPr>
      <w:r>
        <w:t xml:space="preserve">Another dimension of the outputs of network businesses is their reliability. The reliability of distributors is </w:t>
      </w:r>
      <w:r w:rsidR="00434931">
        <w:t xml:space="preserve">commonly </w:t>
      </w:r>
      <w:r>
        <w:t xml:space="preserve">measured as </w:t>
      </w:r>
      <w:r w:rsidR="00434931">
        <w:t xml:space="preserve">the average number of minutes off supply per customer (per annum) or the average number </w:t>
      </w:r>
      <w:r>
        <w:t xml:space="preserve">of interruptions per customer. </w:t>
      </w:r>
      <w:r w:rsidR="008274F9">
        <w:fldChar w:fldCharType="begin"/>
      </w:r>
      <w:r w:rsidR="00B068C4">
        <w:instrText xml:space="preserve"> REF _Ref393099232 \h </w:instrText>
      </w:r>
      <w:r w:rsidR="008274F9">
        <w:fldChar w:fldCharType="separate"/>
      </w:r>
      <w:r w:rsidR="00421701">
        <w:t xml:space="preserve">Figure </w:t>
      </w:r>
      <w:r w:rsidR="00421701">
        <w:rPr>
          <w:noProof/>
        </w:rPr>
        <w:t>6</w:t>
      </w:r>
      <w:r w:rsidR="008274F9">
        <w:fldChar w:fldCharType="end"/>
      </w:r>
      <w:r w:rsidR="00B068C4">
        <w:t xml:space="preserve"> </w:t>
      </w:r>
      <w:r>
        <w:t xml:space="preserve">presents the average number of </w:t>
      </w:r>
      <w:r w:rsidR="003D6EBD">
        <w:t>minutes off supply per customer</w:t>
      </w:r>
      <w:r>
        <w:t xml:space="preserve">. </w:t>
      </w:r>
      <w:r w:rsidR="008274F9">
        <w:fldChar w:fldCharType="begin"/>
      </w:r>
      <w:r w:rsidR="00B068C4">
        <w:instrText xml:space="preserve"> REF _Ref393099246 \h </w:instrText>
      </w:r>
      <w:r w:rsidR="008274F9">
        <w:fldChar w:fldCharType="separate"/>
      </w:r>
      <w:r w:rsidR="00421701">
        <w:t xml:space="preserve">Figure </w:t>
      </w:r>
      <w:r w:rsidR="00421701">
        <w:rPr>
          <w:noProof/>
        </w:rPr>
        <w:t>7</w:t>
      </w:r>
      <w:r w:rsidR="008274F9">
        <w:fldChar w:fldCharType="end"/>
      </w:r>
      <w:r>
        <w:t xml:space="preserve"> presents the average number of</w:t>
      </w:r>
      <w:r w:rsidR="003D6EBD">
        <w:t xml:space="preserve"> interruptions to supply per customer</w:t>
      </w:r>
      <w:r>
        <w:t>.</w:t>
      </w:r>
      <w:r w:rsidR="004473E2">
        <w:t xml:space="preserve"> There are other measurements of </w:t>
      </w:r>
      <w:r w:rsidR="00B068C4">
        <w:t>reliability;</w:t>
      </w:r>
      <w:r w:rsidR="004473E2">
        <w:t xml:space="preserve"> however the frequency and duration of interruptions to supply</w:t>
      </w:r>
      <w:r w:rsidR="006915AD">
        <w:t xml:space="preserve"> per customer</w:t>
      </w:r>
      <w:r w:rsidR="004473E2">
        <w:t xml:space="preserve"> are the </w:t>
      </w:r>
      <w:r w:rsidR="00522EA6">
        <w:t>standard measures</w:t>
      </w:r>
      <w:r w:rsidR="00B068C4">
        <w:t xml:space="preserve"> for distributors</w:t>
      </w:r>
      <w:r w:rsidR="004473E2">
        <w:t>.</w:t>
      </w:r>
      <w:r w:rsidR="006915AD">
        <w:rPr>
          <w:rStyle w:val="FootnoteReference"/>
        </w:rPr>
        <w:footnoteReference w:id="19"/>
      </w:r>
    </w:p>
    <w:p w:rsidR="00E95FCD" w:rsidRDefault="00E95FCD" w:rsidP="00E95FCD">
      <w:pPr>
        <w:pStyle w:val="Caption"/>
      </w:pPr>
      <w:bookmarkStart w:id="21" w:name="_Ref393099232"/>
      <w:r>
        <w:lastRenderedPageBreak/>
        <w:t xml:space="preserve">Figure </w:t>
      </w:r>
      <w:r w:rsidR="008274F9">
        <w:fldChar w:fldCharType="begin"/>
      </w:r>
      <w:r w:rsidR="002E3EC9">
        <w:instrText xml:space="preserve"> SEQ Figure \* ARABIC </w:instrText>
      </w:r>
      <w:r w:rsidR="008274F9">
        <w:fldChar w:fldCharType="separate"/>
      </w:r>
      <w:r w:rsidR="00421701">
        <w:rPr>
          <w:noProof/>
        </w:rPr>
        <w:t>6</w:t>
      </w:r>
      <w:r w:rsidR="008274F9">
        <w:rPr>
          <w:noProof/>
        </w:rPr>
        <w:fldChar w:fldCharType="end"/>
      </w:r>
      <w:bookmarkEnd w:id="21"/>
      <w:proofErr w:type="gramStart"/>
      <w:r>
        <w:tab/>
        <w:t>Average number</w:t>
      </w:r>
      <w:proofErr w:type="gramEnd"/>
      <w:r>
        <w:t xml:space="preserve"> of minutes off supply per customer (2009–2013)</w:t>
      </w:r>
      <w:r w:rsidR="00522EA6">
        <w:rPr>
          <w:rStyle w:val="FootnoteReference"/>
        </w:rPr>
        <w:footnoteReference w:id="20"/>
      </w:r>
    </w:p>
    <w:p w:rsidR="00B33BF0" w:rsidRDefault="00A75623" w:rsidP="00A75623">
      <w:pPr>
        <w:pStyle w:val="AERbodytext"/>
      </w:pPr>
      <w:r w:rsidRPr="00A75623">
        <w:drawing>
          <wp:inline distT="0" distB="0" distL="0" distR="0">
            <wp:extent cx="5299075" cy="3514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075" cy="3514090"/>
                    </a:xfrm>
                    <a:prstGeom prst="rect">
                      <a:avLst/>
                    </a:prstGeom>
                    <a:noFill/>
                    <a:ln>
                      <a:noFill/>
                    </a:ln>
                  </pic:spPr>
                </pic:pic>
              </a:graphicData>
            </a:graphic>
          </wp:inline>
        </w:drawing>
      </w:r>
    </w:p>
    <w:p w:rsidR="00E95FCD" w:rsidRDefault="00E95FCD" w:rsidP="00E95FCD">
      <w:pPr>
        <w:pStyle w:val="Caption"/>
      </w:pPr>
      <w:bookmarkStart w:id="22" w:name="_Ref393099246"/>
      <w:r>
        <w:t xml:space="preserve">Figure </w:t>
      </w:r>
      <w:r w:rsidR="008274F9">
        <w:fldChar w:fldCharType="begin"/>
      </w:r>
      <w:r w:rsidR="002E3EC9">
        <w:instrText xml:space="preserve"> SEQ Figure \* ARABIC </w:instrText>
      </w:r>
      <w:r w:rsidR="008274F9">
        <w:fldChar w:fldCharType="separate"/>
      </w:r>
      <w:r w:rsidR="00421701">
        <w:rPr>
          <w:noProof/>
        </w:rPr>
        <w:t>7</w:t>
      </w:r>
      <w:r w:rsidR="008274F9">
        <w:rPr>
          <w:noProof/>
        </w:rPr>
        <w:fldChar w:fldCharType="end"/>
      </w:r>
      <w:bookmarkEnd w:id="22"/>
      <w:proofErr w:type="gramStart"/>
      <w:r>
        <w:tab/>
        <w:t>Average number</w:t>
      </w:r>
      <w:proofErr w:type="gramEnd"/>
      <w:r>
        <w:t xml:space="preserve"> of interruptions per customer</w:t>
      </w:r>
      <w:r w:rsidR="00522EA6">
        <w:rPr>
          <w:rStyle w:val="FootnoteReference"/>
        </w:rPr>
        <w:footnoteReference w:id="21"/>
      </w:r>
    </w:p>
    <w:p w:rsidR="00B33BF0" w:rsidRDefault="00A75623" w:rsidP="00A75623">
      <w:pPr>
        <w:pStyle w:val="AERbodytext"/>
      </w:pPr>
      <w:r w:rsidRPr="00A75623">
        <w:drawing>
          <wp:inline distT="0" distB="0" distL="0" distR="0">
            <wp:extent cx="5299075" cy="3514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9075" cy="3514090"/>
                    </a:xfrm>
                    <a:prstGeom prst="rect">
                      <a:avLst/>
                    </a:prstGeom>
                    <a:noFill/>
                    <a:ln>
                      <a:noFill/>
                    </a:ln>
                  </pic:spPr>
                </pic:pic>
              </a:graphicData>
            </a:graphic>
          </wp:inline>
        </w:drawing>
      </w:r>
    </w:p>
    <w:p w:rsidR="002F74A2" w:rsidRPr="002F74A2" w:rsidRDefault="002F74A2" w:rsidP="002F74A2">
      <w:pPr>
        <w:pStyle w:val="Heading3"/>
      </w:pPr>
      <w:bookmarkStart w:id="23" w:name="_Toc404010812"/>
      <w:r w:rsidRPr="002F74A2">
        <w:lastRenderedPageBreak/>
        <w:t>Network inputs</w:t>
      </w:r>
      <w:bookmarkEnd w:id="23"/>
    </w:p>
    <w:p w:rsidR="002F74A2" w:rsidRDefault="002F74A2" w:rsidP="002F74A2">
      <w:r w:rsidRPr="002F74A2">
        <w:t xml:space="preserve">Network inputs are the resources that distributors use to deliver </w:t>
      </w:r>
      <w:r w:rsidR="00434931">
        <w:t>services (</w:t>
      </w:r>
      <w:r w:rsidRPr="002F74A2">
        <w:t>outputs</w:t>
      </w:r>
      <w:r w:rsidR="00434931">
        <w:t>)</w:t>
      </w:r>
      <w:r w:rsidRPr="002F74A2">
        <w:t xml:space="preserve"> to their customers. The inputs used to provide distribution services can be separated into those that are consumed in the year that they are </w:t>
      </w:r>
      <w:r w:rsidR="00B277CB">
        <w:t>purchased</w:t>
      </w:r>
      <w:r w:rsidR="00B277CB" w:rsidRPr="002F74A2">
        <w:t xml:space="preserve"> </w:t>
      </w:r>
      <w:r w:rsidRPr="002F74A2">
        <w:t xml:space="preserve">and those that may </w:t>
      </w:r>
      <w:r w:rsidR="00E95FCD">
        <w:t>be used over</w:t>
      </w:r>
      <w:r w:rsidRPr="002F74A2">
        <w:t xml:space="preserve"> several years</w:t>
      </w:r>
      <w:r w:rsidR="00B277CB">
        <w:t xml:space="preserve"> or, in the case of energy networks, over several decades</w:t>
      </w:r>
      <w:r w:rsidRPr="002F74A2">
        <w:t>. The former is normally referred to as operating expenditure (opex) and the latter as assets or capital</w:t>
      </w:r>
      <w:r w:rsidR="002E3EC9">
        <w:t xml:space="preserve"> stock</w:t>
      </w:r>
      <w:r w:rsidRPr="002F74A2">
        <w:t xml:space="preserve">. </w:t>
      </w:r>
    </w:p>
    <w:p w:rsidR="00870424" w:rsidRPr="00F2218C" w:rsidRDefault="00870424" w:rsidP="00870424">
      <w:pPr>
        <w:pStyle w:val="AERbodytext"/>
      </w:pPr>
      <w:r>
        <w:t xml:space="preserve">Assets will </w:t>
      </w:r>
      <w:r w:rsidRPr="00F2218C">
        <w:t>provide useful service over a number of years</w:t>
      </w:r>
      <w:r>
        <w:t>. However benchmarking studies will typically focus on a shorter period of time, such as a year.</w:t>
      </w:r>
      <w:r w:rsidRPr="00F2218C">
        <w:t xml:space="preserve"> </w:t>
      </w:r>
      <w:r>
        <w:t>As such, the incorporation of assets into benchmarking</w:t>
      </w:r>
      <w:r w:rsidRPr="00F2218C">
        <w:t xml:space="preserve"> requires </w:t>
      </w:r>
      <w:r>
        <w:t xml:space="preserve">careful </w:t>
      </w:r>
      <w:r w:rsidRPr="00F2218C">
        <w:t>consideration.</w:t>
      </w:r>
      <w:r>
        <w:rPr>
          <w:rStyle w:val="FootnoteReference"/>
        </w:rPr>
        <w:footnoteReference w:id="22"/>
      </w:r>
      <w:r w:rsidRPr="00F2218C">
        <w:t xml:space="preserve">  A number of measures have been used </w:t>
      </w:r>
      <w:r>
        <w:t xml:space="preserve">to proxy the cost of </w:t>
      </w:r>
      <w:r w:rsidRPr="00F2218C">
        <w:t>asse</w:t>
      </w:r>
      <w:r>
        <w:t>t</w:t>
      </w:r>
      <w:r w:rsidRPr="00F2218C">
        <w:t xml:space="preserve"> input</w:t>
      </w:r>
      <w:r>
        <w:t xml:space="preserve"> in benchmarking studies,</w:t>
      </w:r>
      <w:r w:rsidRPr="00F2218C">
        <w:t xml:space="preserve"> </w:t>
      </w:r>
      <w:r>
        <w:t>including;</w:t>
      </w:r>
      <w:r w:rsidRPr="00F2218C">
        <w:t xml:space="preserve"> capital expenditure (capex) and the </w:t>
      </w:r>
      <w:r>
        <w:t xml:space="preserve">constant price </w:t>
      </w:r>
      <w:r w:rsidRPr="00F2218C">
        <w:t xml:space="preserve">value of the asset base (the regulatory asset base or RAB). </w:t>
      </w:r>
      <w:r>
        <w:t>T</w:t>
      </w:r>
      <w:r w:rsidRPr="00F2218C">
        <w:t xml:space="preserve">hese measures have </w:t>
      </w:r>
      <w:r>
        <w:t>various strengths and</w:t>
      </w:r>
      <w:r w:rsidRPr="00F2218C">
        <w:t xml:space="preserve"> weaknesses.</w:t>
      </w:r>
      <w:r w:rsidRPr="00F2218C">
        <w:rPr>
          <w:rStyle w:val="FootnoteReference"/>
        </w:rPr>
        <w:footnoteReference w:id="23"/>
      </w:r>
      <w:r w:rsidR="00C356D9">
        <w:t xml:space="preserve"> In S</w:t>
      </w:r>
      <w:r w:rsidR="00E73195">
        <w:t xml:space="preserve">ection </w:t>
      </w:r>
      <w:r w:rsidR="00E73195">
        <w:fldChar w:fldCharType="begin"/>
      </w:r>
      <w:r w:rsidR="00E73195">
        <w:instrText xml:space="preserve"> REF _Ref395000914 \w \h </w:instrText>
      </w:r>
      <w:r w:rsidR="00E73195">
        <w:fldChar w:fldCharType="separate"/>
      </w:r>
      <w:r w:rsidR="00421701">
        <w:t>2.1</w:t>
      </w:r>
      <w:r w:rsidR="00E73195">
        <w:fldChar w:fldCharType="end"/>
      </w:r>
      <w:r w:rsidR="00E73195">
        <w:t xml:space="preserve"> we consider these input measures further.</w:t>
      </w:r>
    </w:p>
    <w:p w:rsidR="00FA7379" w:rsidRDefault="00870424" w:rsidP="00FA7379">
      <w:pPr>
        <w:pStyle w:val="AERbodytext"/>
        <w:rPr>
          <w:rStyle w:val="AERbody"/>
        </w:rPr>
      </w:pPr>
      <w:r w:rsidRPr="00F2218C">
        <w:t xml:space="preserve">For the purpose of this benchmarking analysis we are using the </w:t>
      </w:r>
      <w:r>
        <w:t>'</w:t>
      </w:r>
      <w:r w:rsidRPr="00F2218C">
        <w:t>asset cost</w:t>
      </w:r>
      <w:r>
        <w:t>'</w:t>
      </w:r>
      <w:r w:rsidRPr="00F2218C">
        <w:t xml:space="preserve"> of </w:t>
      </w:r>
      <w:r>
        <w:t>distribution networks</w:t>
      </w:r>
      <w:r w:rsidRPr="00F2218C">
        <w:t>. The asset cost i</w:t>
      </w:r>
      <w:r>
        <w:t>s the summation of annual depreciation and</w:t>
      </w:r>
      <w:r w:rsidRPr="00F2218C">
        <w:t xml:space="preserve"> return on investment.</w:t>
      </w:r>
      <w:r>
        <w:t xml:space="preserve"> </w:t>
      </w:r>
      <w:r w:rsidRPr="00F2218C">
        <w:t xml:space="preserve">This measure has the advantage of reflecting the total annual costs of assets </w:t>
      </w:r>
      <w:r>
        <w:t>for which customers are billed</w:t>
      </w:r>
      <w:r w:rsidRPr="00F2218C">
        <w:t xml:space="preserve">. </w:t>
      </w:r>
      <w:r>
        <w:t>Asset costs are</w:t>
      </w:r>
      <w:r w:rsidR="00FA7379">
        <w:t xml:space="preserve"> described in more detail below.</w:t>
      </w:r>
      <w:r w:rsidR="00FA7379">
        <w:rPr>
          <w:rStyle w:val="AERbody"/>
        </w:rPr>
        <w:t xml:space="preserve"> </w:t>
      </w:r>
    </w:p>
    <w:p w:rsidR="00FA7379" w:rsidRPr="00FA7379" w:rsidRDefault="00FA7379" w:rsidP="00FA7379">
      <w:pPr>
        <w:pStyle w:val="AERbodytext"/>
      </w:pPr>
      <w:r>
        <w:rPr>
          <w:rStyle w:val="AERbody"/>
        </w:rPr>
        <w:fldChar w:fldCharType="begin"/>
      </w:r>
      <w:r>
        <w:rPr>
          <w:rStyle w:val="AERbody"/>
        </w:rPr>
        <w:instrText xml:space="preserve"> REF _Ref404353491 \h </w:instrText>
      </w:r>
      <w:r>
        <w:rPr>
          <w:rStyle w:val="AERbody"/>
        </w:rPr>
      </w:r>
      <w:r>
        <w:rPr>
          <w:rStyle w:val="AERbody"/>
        </w:rPr>
        <w:fldChar w:fldCharType="separate"/>
      </w:r>
      <w:r w:rsidR="00421701" w:rsidRPr="002F74A2">
        <w:t xml:space="preserve">Table </w:t>
      </w:r>
      <w:r w:rsidR="00421701">
        <w:rPr>
          <w:noProof/>
        </w:rPr>
        <w:t>2</w:t>
      </w:r>
      <w:r>
        <w:rPr>
          <w:rStyle w:val="AERbody"/>
        </w:rPr>
        <w:fldChar w:fldCharType="end"/>
      </w:r>
      <w:r>
        <w:rPr>
          <w:rStyle w:val="AERbody"/>
        </w:rPr>
        <w:t xml:space="preserve"> </w:t>
      </w:r>
      <w:r w:rsidR="002F74A2" w:rsidRPr="008C3650">
        <w:rPr>
          <w:rStyle w:val="AERbody"/>
        </w:rPr>
        <w:t xml:space="preserve">presents </w:t>
      </w:r>
      <w:r w:rsidR="008B79E1" w:rsidRPr="008C3650">
        <w:rPr>
          <w:rStyle w:val="AERbody"/>
        </w:rPr>
        <w:t>various measures of the</w:t>
      </w:r>
      <w:r w:rsidR="002F74A2" w:rsidRPr="008C3650">
        <w:rPr>
          <w:rStyle w:val="AERbody"/>
        </w:rPr>
        <w:t xml:space="preserve"> cost of network inputs for all the distributors in the NEM.</w:t>
      </w:r>
      <w:r w:rsidR="00181B77" w:rsidRPr="008C3650">
        <w:rPr>
          <w:rStyle w:val="AERbody"/>
        </w:rPr>
        <w:t xml:space="preserve"> We have presented the average annual network costs over five years in this table to </w:t>
      </w:r>
      <w:r w:rsidR="00870424" w:rsidRPr="008C3650">
        <w:rPr>
          <w:rStyle w:val="AERbody"/>
        </w:rPr>
        <w:t>moderate</w:t>
      </w:r>
      <w:r w:rsidR="00181B77" w:rsidRPr="008C3650">
        <w:rPr>
          <w:rStyle w:val="AERbody"/>
        </w:rPr>
        <w:t xml:space="preserve"> the effect of any once-off fluctuations in expenditure.</w:t>
      </w:r>
      <w:bookmarkStart w:id="24" w:name="_Ref389743239"/>
    </w:p>
    <w:p w:rsidR="00FA7379" w:rsidRDefault="00FA7379">
      <w:pPr>
        <w:spacing w:after="0" w:line="240" w:lineRule="auto"/>
        <w:jc w:val="left"/>
        <w:rPr>
          <w:rFonts w:eastAsia="Times New Roman"/>
          <w:b/>
          <w:bCs/>
          <w:szCs w:val="18"/>
        </w:rPr>
      </w:pPr>
      <w:r>
        <w:br w:type="page"/>
      </w:r>
    </w:p>
    <w:p w:rsidR="002F74A2" w:rsidRPr="002F74A2" w:rsidRDefault="002F74A2" w:rsidP="00FA7379">
      <w:pPr>
        <w:pStyle w:val="Caption"/>
        <w:ind w:left="0" w:firstLine="0"/>
      </w:pPr>
      <w:bookmarkStart w:id="25" w:name="_Ref404353491"/>
      <w:r w:rsidRPr="002F74A2">
        <w:lastRenderedPageBreak/>
        <w:t xml:space="preserve">Table </w:t>
      </w:r>
      <w:fldSimple w:instr=" SEQ Table \* ARABIC ">
        <w:r w:rsidR="00421701">
          <w:rPr>
            <w:noProof/>
          </w:rPr>
          <w:t>2</w:t>
        </w:r>
      </w:fldSimple>
      <w:bookmarkEnd w:id="24"/>
      <w:bookmarkEnd w:id="25"/>
      <w:r w:rsidRPr="002F74A2">
        <w:tab/>
        <w:t xml:space="preserve">Average </w:t>
      </w:r>
      <w:r w:rsidR="00181B77">
        <w:t xml:space="preserve">annual </w:t>
      </w:r>
      <w:r w:rsidRPr="002F74A2">
        <w:t>total cost for network inputs for 2009–2013</w:t>
      </w:r>
      <w:r w:rsidR="00F7759C">
        <w:rPr>
          <w:rStyle w:val="FootnoteReference"/>
        </w:rPr>
        <w:footnoteReference w:id="24"/>
      </w:r>
    </w:p>
    <w:tbl>
      <w:tblPr>
        <w:tblStyle w:val="AERtable-text"/>
        <w:tblW w:w="5000" w:type="pct"/>
        <w:tblLook w:val="04A0" w:firstRow="1" w:lastRow="0" w:firstColumn="1" w:lastColumn="0" w:noHBand="0" w:noVBand="1"/>
      </w:tblPr>
      <w:tblGrid>
        <w:gridCol w:w="2115"/>
        <w:gridCol w:w="1336"/>
        <w:gridCol w:w="1336"/>
        <w:gridCol w:w="1488"/>
        <w:gridCol w:w="1486"/>
        <w:gridCol w:w="1481"/>
      </w:tblGrid>
      <w:tr w:rsidR="00E73195" w:rsidRPr="002F74A2" w:rsidTr="00EA2491">
        <w:trPr>
          <w:cnfStyle w:val="100000000000" w:firstRow="1" w:lastRow="0" w:firstColumn="0" w:lastColumn="0" w:oddVBand="0" w:evenVBand="0" w:oddHBand="0" w:evenHBand="0" w:firstRowFirstColumn="0" w:firstRowLastColumn="0" w:lastRowFirstColumn="0" w:lastRowLastColumn="0"/>
          <w:trHeight w:val="300"/>
        </w:trPr>
        <w:tc>
          <w:tcPr>
            <w:tcW w:w="1144" w:type="pct"/>
            <w:noWrap/>
            <w:hideMark/>
          </w:tcPr>
          <w:p w:rsidR="00E73195" w:rsidRPr="002F74A2" w:rsidRDefault="00E73195" w:rsidP="0017760B">
            <w:pPr>
              <w:pStyle w:val="AERtabletextleft"/>
            </w:pPr>
            <w:r w:rsidRPr="002F74A2">
              <w:t xml:space="preserve">$2013 </w:t>
            </w:r>
            <w:r w:rsidR="0017760B">
              <w:t>thousands</w:t>
            </w:r>
          </w:p>
        </w:tc>
        <w:tc>
          <w:tcPr>
            <w:tcW w:w="723" w:type="pct"/>
            <w:noWrap/>
            <w:hideMark/>
          </w:tcPr>
          <w:p w:rsidR="00E73195" w:rsidRPr="002F74A2" w:rsidRDefault="00E73195" w:rsidP="00E95FCD">
            <w:pPr>
              <w:pStyle w:val="AERtabletextright"/>
            </w:pPr>
            <w:r w:rsidRPr="002F74A2">
              <w:t>Opex</w:t>
            </w:r>
          </w:p>
        </w:tc>
        <w:tc>
          <w:tcPr>
            <w:tcW w:w="723" w:type="pct"/>
            <w:noWrap/>
            <w:hideMark/>
          </w:tcPr>
          <w:p w:rsidR="00E73195" w:rsidRPr="002F74A2" w:rsidRDefault="00E73195" w:rsidP="00E95FCD">
            <w:pPr>
              <w:pStyle w:val="AERtabletextright"/>
            </w:pPr>
            <w:r w:rsidRPr="002F74A2">
              <w:t>Capex</w:t>
            </w:r>
          </w:p>
        </w:tc>
        <w:tc>
          <w:tcPr>
            <w:tcW w:w="805" w:type="pct"/>
            <w:noWrap/>
            <w:hideMark/>
          </w:tcPr>
          <w:p w:rsidR="00E73195" w:rsidRPr="002F74A2" w:rsidRDefault="00E73195" w:rsidP="00E95FCD">
            <w:pPr>
              <w:pStyle w:val="AERtabletextright"/>
            </w:pPr>
            <w:proofErr w:type="spellStart"/>
            <w:r w:rsidRPr="002F74A2">
              <w:t>RAB</w:t>
            </w:r>
            <w:r w:rsidRPr="00E95FCD">
              <w:rPr>
                <w:rStyle w:val="AERsuperscript"/>
              </w:rPr>
              <w:t>a</w:t>
            </w:r>
            <w:proofErr w:type="spellEnd"/>
          </w:p>
        </w:tc>
        <w:tc>
          <w:tcPr>
            <w:tcW w:w="804" w:type="pct"/>
          </w:tcPr>
          <w:p w:rsidR="00E73195" w:rsidRPr="002F74A2" w:rsidRDefault="00E73195" w:rsidP="00E95FCD">
            <w:pPr>
              <w:pStyle w:val="AERtabletextright"/>
            </w:pPr>
            <w:r>
              <w:t>Depreciation</w:t>
            </w:r>
          </w:p>
        </w:tc>
        <w:tc>
          <w:tcPr>
            <w:tcW w:w="801" w:type="pct"/>
          </w:tcPr>
          <w:p w:rsidR="00E73195" w:rsidRPr="002F74A2" w:rsidRDefault="00E73195" w:rsidP="00E95FCD">
            <w:pPr>
              <w:pStyle w:val="AERtabletextright"/>
            </w:pPr>
            <w:r w:rsidRPr="002F74A2">
              <w:t>Asset cost</w:t>
            </w:r>
          </w:p>
        </w:tc>
      </w:tr>
      <w:tr w:rsidR="00E73195" w:rsidRPr="002F74A2" w:rsidTr="00EA2491">
        <w:trPr>
          <w:trHeight w:val="300"/>
        </w:trPr>
        <w:tc>
          <w:tcPr>
            <w:tcW w:w="1144" w:type="pct"/>
            <w:noWrap/>
            <w:hideMark/>
          </w:tcPr>
          <w:p w:rsidR="00E73195" w:rsidRPr="00E73195" w:rsidRDefault="00E73195" w:rsidP="00E73195">
            <w:pPr>
              <w:pStyle w:val="AERtabletextleft"/>
            </w:pPr>
            <w:proofErr w:type="spellStart"/>
            <w:r w:rsidRPr="00E73195">
              <w:t>ActewAGL</w:t>
            </w:r>
            <w:proofErr w:type="spellEnd"/>
            <w:r w:rsidRPr="00E73195">
              <w:t xml:space="preserve"> (ACT)</w:t>
            </w:r>
          </w:p>
        </w:tc>
        <w:tc>
          <w:tcPr>
            <w:tcW w:w="723" w:type="pct"/>
            <w:noWrap/>
            <w:hideMark/>
          </w:tcPr>
          <w:p w:rsidR="00E73195" w:rsidRPr="00E73195" w:rsidRDefault="00E73195" w:rsidP="00E73195">
            <w:pPr>
              <w:pStyle w:val="AERtabletextright"/>
            </w:pPr>
            <w:r w:rsidRPr="00E73195">
              <w:t>66,325</w:t>
            </w:r>
          </w:p>
        </w:tc>
        <w:tc>
          <w:tcPr>
            <w:tcW w:w="723" w:type="pct"/>
            <w:noWrap/>
            <w:hideMark/>
          </w:tcPr>
          <w:p w:rsidR="00E73195" w:rsidRPr="00E73195" w:rsidRDefault="00E73195" w:rsidP="00E73195">
            <w:pPr>
              <w:pStyle w:val="AERtabletextright"/>
            </w:pPr>
            <w:r w:rsidRPr="00E73195">
              <w:t>67,369</w:t>
            </w:r>
          </w:p>
        </w:tc>
        <w:tc>
          <w:tcPr>
            <w:tcW w:w="805" w:type="pct"/>
            <w:noWrap/>
            <w:hideMark/>
          </w:tcPr>
          <w:p w:rsidR="00E73195" w:rsidRPr="00E73195" w:rsidRDefault="00E73195" w:rsidP="00E73195">
            <w:pPr>
              <w:pStyle w:val="AERtabletextright"/>
            </w:pPr>
            <w:r w:rsidRPr="00E73195">
              <w:t>721,955</w:t>
            </w:r>
          </w:p>
        </w:tc>
        <w:tc>
          <w:tcPr>
            <w:tcW w:w="804" w:type="pct"/>
            <w:vAlign w:val="top"/>
          </w:tcPr>
          <w:p w:rsidR="00E73195" w:rsidRPr="00E73195" w:rsidRDefault="00E73195" w:rsidP="00E73195">
            <w:pPr>
              <w:pStyle w:val="AERtabletextright"/>
            </w:pPr>
            <w:r w:rsidRPr="00E73195">
              <w:t>36,789</w:t>
            </w:r>
          </w:p>
        </w:tc>
        <w:tc>
          <w:tcPr>
            <w:tcW w:w="801" w:type="pct"/>
          </w:tcPr>
          <w:p w:rsidR="00E73195" w:rsidRPr="00E73195" w:rsidRDefault="00375BCC" w:rsidP="00E73195">
            <w:pPr>
              <w:pStyle w:val="AERtabletextright"/>
            </w:pPr>
            <w:r>
              <w:t>80,768</w:t>
            </w:r>
          </w:p>
        </w:tc>
      </w:tr>
      <w:tr w:rsidR="00E73195"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73195" w:rsidRPr="00E73195" w:rsidRDefault="005409F1" w:rsidP="00E73195">
            <w:pPr>
              <w:pStyle w:val="AERtabletextleft"/>
            </w:pPr>
            <w:proofErr w:type="spellStart"/>
            <w:r>
              <w:t>Ausg</w:t>
            </w:r>
            <w:r w:rsidR="00E73195" w:rsidRPr="00E73195">
              <w:t>rid</w:t>
            </w:r>
            <w:proofErr w:type="spellEnd"/>
            <w:r w:rsidR="00E73195" w:rsidRPr="00E73195">
              <w:t xml:space="preserve"> (AGD)</w:t>
            </w:r>
          </w:p>
        </w:tc>
        <w:tc>
          <w:tcPr>
            <w:tcW w:w="723" w:type="pct"/>
            <w:noWrap/>
            <w:hideMark/>
          </w:tcPr>
          <w:p w:rsidR="00E73195" w:rsidRPr="00E73195" w:rsidRDefault="00E73195" w:rsidP="00E73195">
            <w:pPr>
              <w:pStyle w:val="AERtabletextright"/>
            </w:pPr>
            <w:r w:rsidRPr="00E73195">
              <w:t>541,381</w:t>
            </w:r>
          </w:p>
        </w:tc>
        <w:tc>
          <w:tcPr>
            <w:tcW w:w="723" w:type="pct"/>
            <w:noWrap/>
            <w:hideMark/>
          </w:tcPr>
          <w:p w:rsidR="00E73195" w:rsidRPr="00E73195" w:rsidRDefault="00E73195" w:rsidP="00E73195">
            <w:pPr>
              <w:pStyle w:val="AERtabletextright"/>
            </w:pPr>
            <w:r w:rsidRPr="00E73195">
              <w:t>1,443,712</w:t>
            </w:r>
          </w:p>
        </w:tc>
        <w:tc>
          <w:tcPr>
            <w:tcW w:w="805" w:type="pct"/>
            <w:noWrap/>
            <w:hideMark/>
          </w:tcPr>
          <w:p w:rsidR="00E73195" w:rsidRPr="00E73195" w:rsidRDefault="00E73195" w:rsidP="00E73195">
            <w:pPr>
              <w:pStyle w:val="AERtabletextright"/>
            </w:pPr>
            <w:r w:rsidRPr="00E73195">
              <w:t>10,847,069</w:t>
            </w:r>
          </w:p>
        </w:tc>
        <w:tc>
          <w:tcPr>
            <w:tcW w:w="804" w:type="pct"/>
            <w:vAlign w:val="top"/>
          </w:tcPr>
          <w:p w:rsidR="00E73195" w:rsidRPr="00E73195" w:rsidRDefault="00E73195" w:rsidP="00E73195">
            <w:pPr>
              <w:pStyle w:val="AERtabletextright"/>
            </w:pPr>
            <w:r w:rsidRPr="00E73195">
              <w:t>371,729</w:t>
            </w:r>
          </w:p>
        </w:tc>
        <w:tc>
          <w:tcPr>
            <w:tcW w:w="801" w:type="pct"/>
          </w:tcPr>
          <w:p w:rsidR="00E73195" w:rsidRPr="00E73195" w:rsidRDefault="00375BCC" w:rsidP="00375BCC">
            <w:pPr>
              <w:pStyle w:val="AERtabletextright"/>
            </w:pPr>
            <w:r>
              <w:t>1,032,505</w:t>
            </w:r>
          </w:p>
        </w:tc>
      </w:tr>
      <w:tr w:rsidR="00EA2491" w:rsidRPr="002F74A2" w:rsidTr="00EA2491">
        <w:trPr>
          <w:trHeight w:val="300"/>
        </w:trPr>
        <w:tc>
          <w:tcPr>
            <w:tcW w:w="1144" w:type="pct"/>
            <w:noWrap/>
          </w:tcPr>
          <w:p w:rsidR="00EA2491" w:rsidRPr="00EA2491" w:rsidRDefault="00EA2491" w:rsidP="00EA2491">
            <w:pPr>
              <w:pStyle w:val="AERtabletextleft"/>
            </w:pPr>
            <w:proofErr w:type="spellStart"/>
            <w:r w:rsidRPr="00E73195">
              <w:t>AusNet</w:t>
            </w:r>
            <w:proofErr w:type="spellEnd"/>
            <w:r w:rsidRPr="00E73195">
              <w:t xml:space="preserve"> </w:t>
            </w:r>
            <w:r>
              <w:t xml:space="preserve">Services </w:t>
            </w:r>
            <w:r w:rsidRPr="00E73195">
              <w:t>(</w:t>
            </w:r>
            <w:r>
              <w:t>AN</w:t>
            </w:r>
            <w:r w:rsidRPr="00E73195">
              <w:t>D)</w:t>
            </w:r>
          </w:p>
        </w:tc>
        <w:tc>
          <w:tcPr>
            <w:tcW w:w="723" w:type="pct"/>
            <w:noWrap/>
          </w:tcPr>
          <w:p w:rsidR="00EA2491" w:rsidRPr="00EA2491" w:rsidRDefault="00EA2491" w:rsidP="00EA2491">
            <w:pPr>
              <w:pStyle w:val="AERtabletextright"/>
            </w:pPr>
            <w:r w:rsidRPr="00E73195">
              <w:t>162,594</w:t>
            </w:r>
          </w:p>
        </w:tc>
        <w:tc>
          <w:tcPr>
            <w:tcW w:w="723" w:type="pct"/>
            <w:noWrap/>
          </w:tcPr>
          <w:p w:rsidR="00EA2491" w:rsidRPr="00EA2491" w:rsidRDefault="00EA2491" w:rsidP="00EA2491">
            <w:pPr>
              <w:pStyle w:val="AERtabletextright"/>
            </w:pPr>
            <w:r w:rsidRPr="00E73195">
              <w:t>301,536</w:t>
            </w:r>
          </w:p>
        </w:tc>
        <w:tc>
          <w:tcPr>
            <w:tcW w:w="805" w:type="pct"/>
            <w:noWrap/>
          </w:tcPr>
          <w:p w:rsidR="00EA2491" w:rsidRPr="00EA2491" w:rsidRDefault="00EA2491" w:rsidP="00EA2491">
            <w:pPr>
              <w:pStyle w:val="AERtabletextright"/>
            </w:pPr>
            <w:r w:rsidRPr="00E73195">
              <w:t>2,327,552</w:t>
            </w:r>
          </w:p>
        </w:tc>
        <w:tc>
          <w:tcPr>
            <w:tcW w:w="804" w:type="pct"/>
            <w:vAlign w:val="top"/>
          </w:tcPr>
          <w:p w:rsidR="00EA2491" w:rsidRPr="00EA2491" w:rsidRDefault="00EA2491" w:rsidP="00EA2491">
            <w:pPr>
              <w:pStyle w:val="AERtabletextright"/>
            </w:pPr>
            <w:r w:rsidRPr="00E73195">
              <w:t>115,509</w:t>
            </w:r>
          </w:p>
        </w:tc>
        <w:tc>
          <w:tcPr>
            <w:tcW w:w="801" w:type="pct"/>
          </w:tcPr>
          <w:p w:rsidR="00EA2491" w:rsidRPr="00EA2491" w:rsidRDefault="00375BCC" w:rsidP="00375BCC">
            <w:pPr>
              <w:pStyle w:val="AERtabletextright"/>
            </w:pPr>
            <w:r>
              <w:t>257,297</w:t>
            </w:r>
          </w:p>
        </w:tc>
      </w:tr>
      <w:tr w:rsidR="00EA2491"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A2491" w:rsidRPr="00EA2491" w:rsidRDefault="00EA2491" w:rsidP="00EA2491">
            <w:pPr>
              <w:pStyle w:val="AERtabletextleft"/>
            </w:pPr>
            <w:proofErr w:type="spellStart"/>
            <w:r w:rsidRPr="00E73195">
              <w:t>CitiPower</w:t>
            </w:r>
            <w:proofErr w:type="spellEnd"/>
            <w:r w:rsidRPr="00E73195">
              <w:t xml:space="preserve"> (CIT)</w:t>
            </w:r>
          </w:p>
        </w:tc>
        <w:tc>
          <w:tcPr>
            <w:tcW w:w="723" w:type="pct"/>
            <w:noWrap/>
            <w:hideMark/>
          </w:tcPr>
          <w:p w:rsidR="00EA2491" w:rsidRPr="00EA2491" w:rsidRDefault="00EA2491" w:rsidP="00EA2491">
            <w:pPr>
              <w:pStyle w:val="AERtabletextright"/>
            </w:pPr>
            <w:r w:rsidRPr="00E73195">
              <w:t>49,711</w:t>
            </w:r>
          </w:p>
        </w:tc>
        <w:tc>
          <w:tcPr>
            <w:tcW w:w="723" w:type="pct"/>
            <w:noWrap/>
            <w:hideMark/>
          </w:tcPr>
          <w:p w:rsidR="00EA2491" w:rsidRPr="00EA2491" w:rsidRDefault="00EA2491" w:rsidP="00EA2491">
            <w:pPr>
              <w:pStyle w:val="AERtabletextright"/>
            </w:pPr>
            <w:r w:rsidRPr="00E73195">
              <w:t>109,820</w:t>
            </w:r>
          </w:p>
        </w:tc>
        <w:tc>
          <w:tcPr>
            <w:tcW w:w="805" w:type="pct"/>
            <w:noWrap/>
            <w:hideMark/>
          </w:tcPr>
          <w:p w:rsidR="00EA2491" w:rsidRPr="00EA2491" w:rsidRDefault="00EA2491" w:rsidP="00EA2491">
            <w:pPr>
              <w:pStyle w:val="AERtabletextright"/>
            </w:pPr>
            <w:r w:rsidRPr="00E73195">
              <w:t>1,149,809</w:t>
            </w:r>
          </w:p>
        </w:tc>
        <w:tc>
          <w:tcPr>
            <w:tcW w:w="804" w:type="pct"/>
            <w:vAlign w:val="top"/>
          </w:tcPr>
          <w:p w:rsidR="00EA2491" w:rsidRPr="00EA2491" w:rsidRDefault="00EA2491" w:rsidP="00EA2491">
            <w:pPr>
              <w:pStyle w:val="AERtabletextright"/>
            </w:pPr>
            <w:r w:rsidRPr="00E73195">
              <w:t>59,578</w:t>
            </w:r>
          </w:p>
        </w:tc>
        <w:tc>
          <w:tcPr>
            <w:tcW w:w="801" w:type="pct"/>
          </w:tcPr>
          <w:p w:rsidR="00EA2491" w:rsidRPr="00EA2491" w:rsidRDefault="00375BCC" w:rsidP="00EA2491">
            <w:pPr>
              <w:pStyle w:val="AERtabletextright"/>
            </w:pPr>
            <w:r>
              <w:t>129,621</w:t>
            </w:r>
          </w:p>
        </w:tc>
      </w:tr>
      <w:tr w:rsidR="00EA2491" w:rsidRPr="002F74A2" w:rsidTr="00EA2491">
        <w:trPr>
          <w:trHeight w:val="300"/>
        </w:trPr>
        <w:tc>
          <w:tcPr>
            <w:tcW w:w="1144" w:type="pct"/>
            <w:noWrap/>
            <w:hideMark/>
          </w:tcPr>
          <w:p w:rsidR="00EA2491" w:rsidRPr="00EA2491" w:rsidRDefault="00EA2491" w:rsidP="00EA2491">
            <w:pPr>
              <w:pStyle w:val="AERtabletextleft"/>
            </w:pPr>
            <w:r w:rsidRPr="00E73195">
              <w:t>Endeavour Energy (END)</w:t>
            </w:r>
          </w:p>
        </w:tc>
        <w:tc>
          <w:tcPr>
            <w:tcW w:w="723" w:type="pct"/>
            <w:noWrap/>
            <w:hideMark/>
          </w:tcPr>
          <w:p w:rsidR="00EA2491" w:rsidRPr="00EA2491" w:rsidRDefault="00375BCC" w:rsidP="00EA2491">
            <w:pPr>
              <w:pStyle w:val="AERtabletextright"/>
            </w:pPr>
            <w:r>
              <w:t>241,332</w:t>
            </w:r>
          </w:p>
        </w:tc>
        <w:tc>
          <w:tcPr>
            <w:tcW w:w="723" w:type="pct"/>
            <w:noWrap/>
            <w:hideMark/>
          </w:tcPr>
          <w:p w:rsidR="00EA2491" w:rsidRPr="00EA2491" w:rsidRDefault="00EA2491" w:rsidP="00EA2491">
            <w:pPr>
              <w:pStyle w:val="AERtabletextright"/>
            </w:pPr>
            <w:r w:rsidRPr="00E73195">
              <w:t>566,196</w:t>
            </w:r>
          </w:p>
        </w:tc>
        <w:tc>
          <w:tcPr>
            <w:tcW w:w="805" w:type="pct"/>
            <w:noWrap/>
            <w:hideMark/>
          </w:tcPr>
          <w:p w:rsidR="00EA2491" w:rsidRPr="00EA2491" w:rsidRDefault="00EA2491" w:rsidP="00EA2491">
            <w:pPr>
              <w:pStyle w:val="AERtabletextright"/>
            </w:pPr>
            <w:r w:rsidRPr="00E73195">
              <w:t>4,508,391</w:t>
            </w:r>
          </w:p>
        </w:tc>
        <w:tc>
          <w:tcPr>
            <w:tcW w:w="804" w:type="pct"/>
            <w:vAlign w:val="top"/>
          </w:tcPr>
          <w:p w:rsidR="00EA2491" w:rsidRPr="00EA2491" w:rsidRDefault="00EA2491" w:rsidP="00EA2491">
            <w:pPr>
              <w:pStyle w:val="AERtabletextright"/>
            </w:pPr>
            <w:r w:rsidRPr="00E73195">
              <w:t>233,696</w:t>
            </w:r>
          </w:p>
        </w:tc>
        <w:tc>
          <w:tcPr>
            <w:tcW w:w="801" w:type="pct"/>
          </w:tcPr>
          <w:p w:rsidR="00EA2491" w:rsidRPr="00EA2491" w:rsidRDefault="00375BCC" w:rsidP="00EA2491">
            <w:pPr>
              <w:pStyle w:val="AERtabletextright"/>
            </w:pPr>
            <w:r>
              <w:t>508,335</w:t>
            </w:r>
          </w:p>
        </w:tc>
      </w:tr>
      <w:tr w:rsidR="00EA2491"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A2491" w:rsidRPr="00EA2491" w:rsidRDefault="00EA2491" w:rsidP="00EA2491">
            <w:pPr>
              <w:pStyle w:val="AERtabletextleft"/>
            </w:pPr>
            <w:proofErr w:type="spellStart"/>
            <w:r w:rsidRPr="00E73195">
              <w:t>Energex</w:t>
            </w:r>
            <w:proofErr w:type="spellEnd"/>
            <w:r w:rsidRPr="00E73195">
              <w:t xml:space="preserve"> (ENX)</w:t>
            </w:r>
          </w:p>
        </w:tc>
        <w:tc>
          <w:tcPr>
            <w:tcW w:w="723" w:type="pct"/>
            <w:noWrap/>
            <w:hideMark/>
          </w:tcPr>
          <w:p w:rsidR="00EA2491" w:rsidRPr="00EA2491" w:rsidRDefault="00375BCC" w:rsidP="00EA2491">
            <w:pPr>
              <w:pStyle w:val="AERtabletextright"/>
            </w:pPr>
            <w:r>
              <w:t>345,186</w:t>
            </w:r>
          </w:p>
        </w:tc>
        <w:tc>
          <w:tcPr>
            <w:tcW w:w="723" w:type="pct"/>
            <w:noWrap/>
            <w:hideMark/>
          </w:tcPr>
          <w:p w:rsidR="00EA2491" w:rsidRPr="00EA2491" w:rsidRDefault="00EA2491" w:rsidP="00EA2491">
            <w:pPr>
              <w:pStyle w:val="AERtabletextright"/>
            </w:pPr>
            <w:r w:rsidRPr="00E73195">
              <w:t>825,515</w:t>
            </w:r>
          </w:p>
        </w:tc>
        <w:tc>
          <w:tcPr>
            <w:tcW w:w="805" w:type="pct"/>
            <w:noWrap/>
            <w:hideMark/>
          </w:tcPr>
          <w:p w:rsidR="00EA2491" w:rsidRPr="00EA2491" w:rsidRDefault="00EA2491" w:rsidP="00EA2491">
            <w:pPr>
              <w:pStyle w:val="AERtabletextright"/>
            </w:pPr>
            <w:r w:rsidRPr="00E73195">
              <w:t>6,900,276</w:t>
            </w:r>
          </w:p>
        </w:tc>
        <w:tc>
          <w:tcPr>
            <w:tcW w:w="804" w:type="pct"/>
            <w:vAlign w:val="top"/>
          </w:tcPr>
          <w:p w:rsidR="00EA2491" w:rsidRPr="00EA2491" w:rsidRDefault="00EA2491" w:rsidP="00EA2491">
            <w:pPr>
              <w:pStyle w:val="AERtabletextright"/>
            </w:pPr>
            <w:r w:rsidRPr="00E73195">
              <w:t>299,924</w:t>
            </w:r>
          </w:p>
        </w:tc>
        <w:tc>
          <w:tcPr>
            <w:tcW w:w="801" w:type="pct"/>
          </w:tcPr>
          <w:p w:rsidR="00EA2491" w:rsidRPr="00EA2491" w:rsidRDefault="00375BCC" w:rsidP="00EA2491">
            <w:pPr>
              <w:pStyle w:val="AERtabletextright"/>
            </w:pPr>
            <w:r>
              <w:t>720,272</w:t>
            </w:r>
          </w:p>
        </w:tc>
      </w:tr>
      <w:tr w:rsidR="00EA2491" w:rsidRPr="002F74A2" w:rsidTr="00EA2491">
        <w:trPr>
          <w:trHeight w:val="300"/>
        </w:trPr>
        <w:tc>
          <w:tcPr>
            <w:tcW w:w="1144" w:type="pct"/>
            <w:noWrap/>
            <w:hideMark/>
          </w:tcPr>
          <w:p w:rsidR="00EA2491" w:rsidRPr="00EA2491" w:rsidRDefault="00EA2491" w:rsidP="00EA2491">
            <w:pPr>
              <w:pStyle w:val="AERtabletextleft"/>
            </w:pPr>
            <w:proofErr w:type="spellStart"/>
            <w:r w:rsidRPr="00E73195">
              <w:t>Ergon</w:t>
            </w:r>
            <w:proofErr w:type="spellEnd"/>
            <w:r w:rsidRPr="00EA2491">
              <w:t xml:space="preserve"> Energy (ERG)</w:t>
            </w:r>
          </w:p>
        </w:tc>
        <w:tc>
          <w:tcPr>
            <w:tcW w:w="723" w:type="pct"/>
            <w:noWrap/>
            <w:hideMark/>
          </w:tcPr>
          <w:p w:rsidR="00EA2491" w:rsidRPr="00EA2491" w:rsidRDefault="00375BCC" w:rsidP="00EA2491">
            <w:pPr>
              <w:pStyle w:val="AERtabletextright"/>
            </w:pPr>
            <w:r>
              <w:t>355,504</w:t>
            </w:r>
          </w:p>
        </w:tc>
        <w:tc>
          <w:tcPr>
            <w:tcW w:w="723" w:type="pct"/>
            <w:noWrap/>
            <w:hideMark/>
          </w:tcPr>
          <w:p w:rsidR="00EA2491" w:rsidRPr="00EA2491" w:rsidRDefault="00EA2491" w:rsidP="00EA2491">
            <w:pPr>
              <w:pStyle w:val="AERtabletextright"/>
            </w:pPr>
            <w:r w:rsidRPr="00E73195">
              <w:t>636,740</w:t>
            </w:r>
          </w:p>
        </w:tc>
        <w:tc>
          <w:tcPr>
            <w:tcW w:w="805" w:type="pct"/>
            <w:noWrap/>
            <w:hideMark/>
          </w:tcPr>
          <w:p w:rsidR="00EA2491" w:rsidRPr="00EA2491" w:rsidRDefault="00EA2491" w:rsidP="00EA2491">
            <w:pPr>
              <w:pStyle w:val="AERtabletextright"/>
            </w:pPr>
            <w:r w:rsidRPr="00E73195">
              <w:t>6,387,623</w:t>
            </w:r>
          </w:p>
        </w:tc>
        <w:tc>
          <w:tcPr>
            <w:tcW w:w="804" w:type="pct"/>
            <w:vAlign w:val="top"/>
          </w:tcPr>
          <w:p w:rsidR="00EA2491" w:rsidRPr="00EA2491" w:rsidRDefault="00EA2491" w:rsidP="00EA2491">
            <w:pPr>
              <w:pStyle w:val="AERtabletextright"/>
            </w:pPr>
            <w:r w:rsidRPr="00E73195">
              <w:t>286,578</w:t>
            </w:r>
          </w:p>
        </w:tc>
        <w:tc>
          <w:tcPr>
            <w:tcW w:w="801" w:type="pct"/>
          </w:tcPr>
          <w:p w:rsidR="00EA2491" w:rsidRPr="00EA2491" w:rsidRDefault="00375BCC" w:rsidP="00EA2491">
            <w:pPr>
              <w:pStyle w:val="AERtabletextright"/>
            </w:pPr>
            <w:r>
              <w:t>675,695</w:t>
            </w:r>
          </w:p>
        </w:tc>
      </w:tr>
      <w:tr w:rsidR="00EA2491"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A2491" w:rsidRPr="00EA2491" w:rsidRDefault="00EA2491" w:rsidP="00EA2491">
            <w:pPr>
              <w:pStyle w:val="AERtabletextleft"/>
            </w:pPr>
            <w:r w:rsidRPr="00E73195">
              <w:t>Essential Energy (ESS)</w:t>
            </w:r>
          </w:p>
        </w:tc>
        <w:tc>
          <w:tcPr>
            <w:tcW w:w="723" w:type="pct"/>
            <w:noWrap/>
            <w:hideMark/>
          </w:tcPr>
          <w:p w:rsidR="00EA2491" w:rsidRPr="00EA2491" w:rsidRDefault="00EA2491" w:rsidP="00EA2491">
            <w:pPr>
              <w:pStyle w:val="AERtabletextright"/>
            </w:pPr>
            <w:r w:rsidRPr="00E73195">
              <w:t>384,875</w:t>
            </w:r>
          </w:p>
        </w:tc>
        <w:tc>
          <w:tcPr>
            <w:tcW w:w="723" w:type="pct"/>
            <w:noWrap/>
            <w:hideMark/>
          </w:tcPr>
          <w:p w:rsidR="00EA2491" w:rsidRPr="00EA2491" w:rsidRDefault="00EA2491" w:rsidP="00EA2491">
            <w:pPr>
              <w:pStyle w:val="AERtabletextright"/>
            </w:pPr>
            <w:r w:rsidRPr="00E73195">
              <w:t>749,426</w:t>
            </w:r>
          </w:p>
        </w:tc>
        <w:tc>
          <w:tcPr>
            <w:tcW w:w="805" w:type="pct"/>
            <w:noWrap/>
            <w:hideMark/>
          </w:tcPr>
          <w:p w:rsidR="00EA2491" w:rsidRPr="00EA2491" w:rsidRDefault="00EA2491" w:rsidP="00EA2491">
            <w:pPr>
              <w:pStyle w:val="AERtabletextright"/>
            </w:pPr>
            <w:r w:rsidRPr="00E73195">
              <w:t>5,430,219</w:t>
            </w:r>
          </w:p>
        </w:tc>
        <w:tc>
          <w:tcPr>
            <w:tcW w:w="804" w:type="pct"/>
            <w:vAlign w:val="top"/>
          </w:tcPr>
          <w:p w:rsidR="00EA2491" w:rsidRPr="00EA2491" w:rsidRDefault="00EA2491" w:rsidP="00EA2491">
            <w:pPr>
              <w:pStyle w:val="AERtabletextright"/>
            </w:pPr>
            <w:r w:rsidRPr="00E73195">
              <w:t>278,806</w:t>
            </w:r>
          </w:p>
        </w:tc>
        <w:tc>
          <w:tcPr>
            <w:tcW w:w="801" w:type="pct"/>
          </w:tcPr>
          <w:p w:rsidR="00EA2491" w:rsidRPr="00EA2491" w:rsidRDefault="00EA2491" w:rsidP="00375BCC">
            <w:pPr>
              <w:pStyle w:val="AERtabletextright"/>
            </w:pPr>
            <w:r w:rsidRPr="00E73195">
              <w:t>609,</w:t>
            </w:r>
            <w:r w:rsidR="00375BCC" w:rsidRPr="00E73195">
              <w:t>6</w:t>
            </w:r>
            <w:r w:rsidR="00375BCC">
              <w:t>01</w:t>
            </w:r>
          </w:p>
        </w:tc>
      </w:tr>
      <w:tr w:rsidR="00EA2491" w:rsidRPr="002F74A2" w:rsidTr="00EA2491">
        <w:trPr>
          <w:trHeight w:val="300"/>
        </w:trPr>
        <w:tc>
          <w:tcPr>
            <w:tcW w:w="1144" w:type="pct"/>
            <w:noWrap/>
            <w:hideMark/>
          </w:tcPr>
          <w:p w:rsidR="00EA2491" w:rsidRPr="00EA2491" w:rsidRDefault="00EA2491" w:rsidP="00EA2491">
            <w:pPr>
              <w:pStyle w:val="AERtabletextleft"/>
            </w:pPr>
            <w:proofErr w:type="spellStart"/>
            <w:r w:rsidRPr="00E73195">
              <w:t>Jemena</w:t>
            </w:r>
            <w:proofErr w:type="spellEnd"/>
            <w:r w:rsidRPr="00E73195">
              <w:t xml:space="preserve"> (JEN)</w:t>
            </w:r>
          </w:p>
        </w:tc>
        <w:tc>
          <w:tcPr>
            <w:tcW w:w="723" w:type="pct"/>
            <w:noWrap/>
            <w:hideMark/>
          </w:tcPr>
          <w:p w:rsidR="00EA2491" w:rsidRPr="00EA2491" w:rsidRDefault="00EA2491" w:rsidP="00EA2491">
            <w:pPr>
              <w:pStyle w:val="AERtabletextright"/>
            </w:pPr>
            <w:r w:rsidRPr="00E73195">
              <w:t>65,118</w:t>
            </w:r>
          </w:p>
        </w:tc>
        <w:tc>
          <w:tcPr>
            <w:tcW w:w="723" w:type="pct"/>
            <w:noWrap/>
            <w:hideMark/>
          </w:tcPr>
          <w:p w:rsidR="00EA2491" w:rsidRPr="00EA2491" w:rsidRDefault="00EA2491" w:rsidP="00EA2491">
            <w:pPr>
              <w:pStyle w:val="AERtabletextright"/>
            </w:pPr>
            <w:r w:rsidRPr="00E73195">
              <w:t>101,912</w:t>
            </w:r>
          </w:p>
        </w:tc>
        <w:tc>
          <w:tcPr>
            <w:tcW w:w="805" w:type="pct"/>
            <w:noWrap/>
            <w:hideMark/>
          </w:tcPr>
          <w:p w:rsidR="00EA2491" w:rsidRPr="00EA2491" w:rsidRDefault="00EA2491" w:rsidP="00EA2491">
            <w:pPr>
              <w:pStyle w:val="AERtabletextright"/>
            </w:pPr>
            <w:r w:rsidRPr="00E73195">
              <w:t>740,762</w:t>
            </w:r>
          </w:p>
        </w:tc>
        <w:tc>
          <w:tcPr>
            <w:tcW w:w="804" w:type="pct"/>
            <w:vAlign w:val="top"/>
          </w:tcPr>
          <w:p w:rsidR="00EA2491" w:rsidRPr="00EA2491" w:rsidRDefault="00EA2491" w:rsidP="00EA2491">
            <w:pPr>
              <w:pStyle w:val="AERtabletextright"/>
            </w:pPr>
            <w:r w:rsidRPr="00E73195">
              <w:t>43,281</w:t>
            </w:r>
          </w:p>
        </w:tc>
        <w:tc>
          <w:tcPr>
            <w:tcW w:w="801" w:type="pct"/>
          </w:tcPr>
          <w:p w:rsidR="00EA2491" w:rsidRPr="00EA2491" w:rsidRDefault="00375BCC" w:rsidP="00EA2491">
            <w:pPr>
              <w:pStyle w:val="AERtabletextright"/>
            </w:pPr>
            <w:r>
              <w:t>88,406</w:t>
            </w:r>
          </w:p>
        </w:tc>
      </w:tr>
      <w:tr w:rsidR="00EA2491"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A2491" w:rsidRPr="00EA2491" w:rsidRDefault="00EA2491" w:rsidP="00EA2491">
            <w:pPr>
              <w:pStyle w:val="AERtabletextleft"/>
            </w:pPr>
            <w:proofErr w:type="spellStart"/>
            <w:r w:rsidRPr="00E73195">
              <w:t>Powercor</w:t>
            </w:r>
            <w:proofErr w:type="spellEnd"/>
            <w:r w:rsidRPr="00E73195">
              <w:t xml:space="preserve"> (PCR)</w:t>
            </w:r>
          </w:p>
        </w:tc>
        <w:tc>
          <w:tcPr>
            <w:tcW w:w="723" w:type="pct"/>
            <w:noWrap/>
            <w:hideMark/>
          </w:tcPr>
          <w:p w:rsidR="00EA2491" w:rsidRPr="00EA2491" w:rsidRDefault="00EA2491" w:rsidP="00EA2491">
            <w:pPr>
              <w:pStyle w:val="AERtabletextright"/>
            </w:pPr>
            <w:r w:rsidRPr="00E73195">
              <w:t>161,582</w:t>
            </w:r>
          </w:p>
        </w:tc>
        <w:tc>
          <w:tcPr>
            <w:tcW w:w="723" w:type="pct"/>
            <w:noWrap/>
            <w:hideMark/>
          </w:tcPr>
          <w:p w:rsidR="00EA2491" w:rsidRPr="00EA2491" w:rsidRDefault="00EA2491" w:rsidP="00EA2491">
            <w:pPr>
              <w:pStyle w:val="AERtabletextright"/>
            </w:pPr>
            <w:r w:rsidRPr="00E73195">
              <w:t>215,784</w:t>
            </w:r>
          </w:p>
        </w:tc>
        <w:tc>
          <w:tcPr>
            <w:tcW w:w="805" w:type="pct"/>
            <w:noWrap/>
            <w:hideMark/>
          </w:tcPr>
          <w:p w:rsidR="00EA2491" w:rsidRPr="00EA2491" w:rsidRDefault="00EA2491" w:rsidP="00EA2491">
            <w:pPr>
              <w:pStyle w:val="AERtabletextright"/>
            </w:pPr>
            <w:r w:rsidRPr="00E73195">
              <w:t>2,044,972</w:t>
            </w:r>
          </w:p>
        </w:tc>
        <w:tc>
          <w:tcPr>
            <w:tcW w:w="804" w:type="pct"/>
            <w:vAlign w:val="top"/>
          </w:tcPr>
          <w:p w:rsidR="00EA2491" w:rsidRPr="00EA2491" w:rsidRDefault="00EA2491" w:rsidP="00EA2491">
            <w:pPr>
              <w:pStyle w:val="AERtabletextright"/>
            </w:pPr>
            <w:r w:rsidRPr="00E73195">
              <w:t>105,873</w:t>
            </w:r>
          </w:p>
        </w:tc>
        <w:tc>
          <w:tcPr>
            <w:tcW w:w="801" w:type="pct"/>
          </w:tcPr>
          <w:p w:rsidR="00EA2491" w:rsidRPr="00EA2491" w:rsidRDefault="00375BCC" w:rsidP="00EA2491">
            <w:pPr>
              <w:pStyle w:val="AERtabletextright"/>
            </w:pPr>
            <w:r>
              <w:t>230,446</w:t>
            </w:r>
          </w:p>
        </w:tc>
      </w:tr>
      <w:tr w:rsidR="00EA2491" w:rsidRPr="002F74A2" w:rsidTr="00EA2491">
        <w:trPr>
          <w:trHeight w:val="300"/>
        </w:trPr>
        <w:tc>
          <w:tcPr>
            <w:tcW w:w="1144" w:type="pct"/>
            <w:noWrap/>
            <w:hideMark/>
          </w:tcPr>
          <w:p w:rsidR="00EA2491" w:rsidRPr="00EA2491" w:rsidRDefault="00EA2491" w:rsidP="00EA2491">
            <w:pPr>
              <w:pStyle w:val="AERtabletextleft"/>
            </w:pPr>
            <w:r w:rsidRPr="00E73195">
              <w:t>SA Power Networks (SAP)</w:t>
            </w:r>
          </w:p>
        </w:tc>
        <w:tc>
          <w:tcPr>
            <w:tcW w:w="723" w:type="pct"/>
            <w:noWrap/>
            <w:hideMark/>
          </w:tcPr>
          <w:p w:rsidR="00EA2491" w:rsidRPr="00EA2491" w:rsidRDefault="00EA2491" w:rsidP="00EA2491">
            <w:pPr>
              <w:pStyle w:val="AERtabletextright"/>
            </w:pPr>
            <w:r w:rsidRPr="00E73195">
              <w:t>195,737</w:t>
            </w:r>
          </w:p>
        </w:tc>
        <w:tc>
          <w:tcPr>
            <w:tcW w:w="723" w:type="pct"/>
            <w:noWrap/>
            <w:hideMark/>
          </w:tcPr>
          <w:p w:rsidR="00EA2491" w:rsidRPr="00EA2491" w:rsidRDefault="00EA2491" w:rsidP="00EA2491">
            <w:pPr>
              <w:pStyle w:val="AERtabletextright"/>
            </w:pPr>
            <w:r w:rsidRPr="00E73195">
              <w:t>249,715</w:t>
            </w:r>
          </w:p>
        </w:tc>
        <w:tc>
          <w:tcPr>
            <w:tcW w:w="805" w:type="pct"/>
            <w:noWrap/>
            <w:hideMark/>
          </w:tcPr>
          <w:p w:rsidR="00EA2491" w:rsidRPr="00EA2491" w:rsidRDefault="00EA2491" w:rsidP="00EA2491">
            <w:pPr>
              <w:pStyle w:val="AERtabletextright"/>
            </w:pPr>
            <w:r w:rsidRPr="00E73195">
              <w:t>3,107,236</w:t>
            </w:r>
          </w:p>
        </w:tc>
        <w:tc>
          <w:tcPr>
            <w:tcW w:w="804" w:type="pct"/>
            <w:vAlign w:val="top"/>
          </w:tcPr>
          <w:p w:rsidR="00EA2491" w:rsidRPr="00EA2491" w:rsidRDefault="00EA2491" w:rsidP="00EA2491">
            <w:pPr>
              <w:pStyle w:val="AERtabletextright"/>
            </w:pPr>
            <w:r w:rsidRPr="00E73195">
              <w:t>188,741</w:t>
            </w:r>
          </w:p>
        </w:tc>
        <w:tc>
          <w:tcPr>
            <w:tcW w:w="801" w:type="pct"/>
          </w:tcPr>
          <w:p w:rsidR="00EA2491" w:rsidRPr="00EA2491" w:rsidRDefault="00375BCC" w:rsidP="00EA2491">
            <w:pPr>
              <w:pStyle w:val="AERtabletextright"/>
            </w:pPr>
            <w:r>
              <w:t>378,025</w:t>
            </w:r>
          </w:p>
        </w:tc>
      </w:tr>
      <w:tr w:rsidR="00EA2491" w:rsidRPr="002F74A2" w:rsidTr="00EA2491">
        <w:trPr>
          <w:cnfStyle w:val="000000010000" w:firstRow="0" w:lastRow="0" w:firstColumn="0" w:lastColumn="0" w:oddVBand="0" w:evenVBand="0" w:oddHBand="0" w:evenHBand="1" w:firstRowFirstColumn="0" w:firstRowLastColumn="0" w:lastRowFirstColumn="0" w:lastRowLastColumn="0"/>
          <w:trHeight w:val="300"/>
        </w:trPr>
        <w:tc>
          <w:tcPr>
            <w:tcW w:w="1144" w:type="pct"/>
            <w:noWrap/>
            <w:hideMark/>
          </w:tcPr>
          <w:p w:rsidR="00EA2491" w:rsidRPr="00EA2491" w:rsidRDefault="00EA2491" w:rsidP="00EA2491">
            <w:pPr>
              <w:pStyle w:val="AERtabletextleft"/>
            </w:pPr>
            <w:r w:rsidRPr="00E73195">
              <w:t>TasNetworks (TND)</w:t>
            </w:r>
          </w:p>
        </w:tc>
        <w:tc>
          <w:tcPr>
            <w:tcW w:w="723" w:type="pct"/>
            <w:noWrap/>
            <w:hideMark/>
          </w:tcPr>
          <w:p w:rsidR="00EA2491" w:rsidRPr="00EA2491" w:rsidRDefault="00EA2491" w:rsidP="00EA2491">
            <w:pPr>
              <w:pStyle w:val="AERtabletextright"/>
            </w:pPr>
            <w:r w:rsidRPr="00E73195">
              <w:t>79,180</w:t>
            </w:r>
          </w:p>
        </w:tc>
        <w:tc>
          <w:tcPr>
            <w:tcW w:w="723" w:type="pct"/>
            <w:noWrap/>
            <w:hideMark/>
          </w:tcPr>
          <w:p w:rsidR="00EA2491" w:rsidRPr="00EA2491" w:rsidRDefault="00EA2491" w:rsidP="00EA2491">
            <w:pPr>
              <w:pStyle w:val="AERtabletextright"/>
            </w:pPr>
            <w:r w:rsidRPr="00E73195">
              <w:t>123,202</w:t>
            </w:r>
          </w:p>
        </w:tc>
        <w:tc>
          <w:tcPr>
            <w:tcW w:w="805" w:type="pct"/>
            <w:noWrap/>
            <w:hideMark/>
          </w:tcPr>
          <w:p w:rsidR="00EA2491" w:rsidRPr="00EA2491" w:rsidRDefault="00EA2491" w:rsidP="00EA2491">
            <w:pPr>
              <w:pStyle w:val="AERtabletextright"/>
            </w:pPr>
            <w:r w:rsidRPr="00E73195">
              <w:t>1,280,602</w:t>
            </w:r>
          </w:p>
        </w:tc>
        <w:tc>
          <w:tcPr>
            <w:tcW w:w="804" w:type="pct"/>
            <w:vAlign w:val="top"/>
          </w:tcPr>
          <w:p w:rsidR="00EA2491" w:rsidRPr="00EA2491" w:rsidRDefault="00EA2491" w:rsidP="00EA2491">
            <w:pPr>
              <w:pStyle w:val="AERtabletextright"/>
            </w:pPr>
            <w:r w:rsidRPr="00E73195">
              <w:t>63,915</w:t>
            </w:r>
          </w:p>
        </w:tc>
        <w:tc>
          <w:tcPr>
            <w:tcW w:w="801" w:type="pct"/>
          </w:tcPr>
          <w:p w:rsidR="00EA2491" w:rsidRPr="00EA2491" w:rsidRDefault="00375BCC" w:rsidP="00EA2491">
            <w:pPr>
              <w:pStyle w:val="AERtabletextright"/>
            </w:pPr>
            <w:r>
              <w:t>141,926</w:t>
            </w:r>
          </w:p>
        </w:tc>
      </w:tr>
      <w:tr w:rsidR="00EA2491" w:rsidRPr="002F74A2" w:rsidTr="00EA2491">
        <w:trPr>
          <w:trHeight w:val="300"/>
        </w:trPr>
        <w:tc>
          <w:tcPr>
            <w:tcW w:w="1144" w:type="pct"/>
            <w:noWrap/>
            <w:hideMark/>
          </w:tcPr>
          <w:p w:rsidR="00EA2491" w:rsidRPr="00EA2491" w:rsidRDefault="00EA2491" w:rsidP="00EA2491">
            <w:pPr>
              <w:pStyle w:val="AERtabletextleft"/>
            </w:pPr>
            <w:r w:rsidRPr="002F74A2">
              <w:t>United Energy (UED)</w:t>
            </w:r>
          </w:p>
        </w:tc>
        <w:tc>
          <w:tcPr>
            <w:tcW w:w="723" w:type="pct"/>
            <w:noWrap/>
            <w:hideMark/>
          </w:tcPr>
          <w:p w:rsidR="00EA2491" w:rsidRPr="00EA2491" w:rsidRDefault="00EA2491" w:rsidP="00EA2491">
            <w:pPr>
              <w:pStyle w:val="AERtabletextright"/>
            </w:pPr>
            <w:r w:rsidRPr="002F74A2">
              <w:t>116,999</w:t>
            </w:r>
          </w:p>
        </w:tc>
        <w:tc>
          <w:tcPr>
            <w:tcW w:w="723" w:type="pct"/>
            <w:noWrap/>
            <w:hideMark/>
          </w:tcPr>
          <w:p w:rsidR="00EA2491" w:rsidRPr="00EA2491" w:rsidRDefault="00EA2491" w:rsidP="00EA2491">
            <w:pPr>
              <w:pStyle w:val="AERtabletextright"/>
            </w:pPr>
            <w:r w:rsidRPr="002F74A2">
              <w:t>163,413</w:t>
            </w:r>
          </w:p>
        </w:tc>
        <w:tc>
          <w:tcPr>
            <w:tcW w:w="805" w:type="pct"/>
            <w:noWrap/>
            <w:hideMark/>
          </w:tcPr>
          <w:p w:rsidR="00EA2491" w:rsidRPr="00EA2491" w:rsidRDefault="00EA2491" w:rsidP="00EA2491">
            <w:pPr>
              <w:pStyle w:val="AERtabletextright"/>
            </w:pPr>
            <w:r w:rsidRPr="002F74A2">
              <w:t>1,496,858</w:t>
            </w:r>
          </w:p>
        </w:tc>
        <w:tc>
          <w:tcPr>
            <w:tcW w:w="804" w:type="pct"/>
          </w:tcPr>
          <w:p w:rsidR="00EA2491" w:rsidRDefault="00375BCC" w:rsidP="00EA2491">
            <w:pPr>
              <w:pStyle w:val="AERtabletextright"/>
            </w:pPr>
            <w:r>
              <w:t>84,530</w:t>
            </w:r>
          </w:p>
        </w:tc>
        <w:tc>
          <w:tcPr>
            <w:tcW w:w="801" w:type="pct"/>
          </w:tcPr>
          <w:p w:rsidR="00EA2491" w:rsidRPr="00EA2491" w:rsidRDefault="00375BCC" w:rsidP="00EA2491">
            <w:pPr>
              <w:pStyle w:val="AERtabletextright"/>
            </w:pPr>
            <w:r>
              <w:t>175,714</w:t>
            </w:r>
          </w:p>
        </w:tc>
      </w:tr>
    </w:tbl>
    <w:p w:rsidR="002F74A2" w:rsidRPr="00874D49" w:rsidRDefault="002F74A2" w:rsidP="00874D49">
      <w:pPr>
        <w:pStyle w:val="AERtablesource"/>
      </w:pPr>
      <w:r w:rsidRPr="00874D49">
        <w:t>Source:</w:t>
      </w:r>
      <w:r w:rsidRPr="00874D49">
        <w:tab/>
        <w:t>Economic benchmarking RIN responses. Note that the data for the Victorian distributors is for calendar years whereas the data for the other distributors is for financial years.</w:t>
      </w:r>
    </w:p>
    <w:p w:rsidR="002F74A2" w:rsidRDefault="002F74A2" w:rsidP="00874D49">
      <w:pPr>
        <w:pStyle w:val="AERtablesource"/>
      </w:pPr>
      <w:proofErr w:type="gramStart"/>
      <w:r w:rsidRPr="00874D49">
        <w:t>a</w:t>
      </w:r>
      <w:proofErr w:type="gramEnd"/>
      <w:r w:rsidRPr="00874D49">
        <w:t>:</w:t>
      </w:r>
      <w:r w:rsidRPr="00874D49">
        <w:tab/>
        <w:t>Average of opening and closing RAB</w:t>
      </w:r>
    </w:p>
    <w:p w:rsidR="00FA7379" w:rsidRPr="00FA7379" w:rsidRDefault="00FA7379" w:rsidP="00FA7379">
      <w:pPr>
        <w:pStyle w:val="AERbodytext"/>
      </w:pPr>
    </w:p>
    <w:p w:rsidR="00A80B2B" w:rsidRDefault="002F74A2" w:rsidP="002F74A2">
      <w:pPr>
        <w:pStyle w:val="Heading3"/>
      </w:pPr>
      <w:bookmarkStart w:id="26" w:name="_Toc404010813"/>
      <w:r>
        <w:t xml:space="preserve">Operating environment </w:t>
      </w:r>
      <w:r w:rsidR="00F31850">
        <w:t>factors</w:t>
      </w:r>
      <w:bookmarkEnd w:id="26"/>
    </w:p>
    <w:p w:rsidR="001D6BEF" w:rsidRDefault="00D0000B" w:rsidP="00A40D9E">
      <w:pPr>
        <w:pStyle w:val="AERbodytext"/>
      </w:pPr>
      <w:r>
        <w:t xml:space="preserve">To measure the efficiency of distributors it is necessary to consider the environment within which they operate. </w:t>
      </w:r>
      <w:r w:rsidR="00F93A46">
        <w:t>While</w:t>
      </w:r>
      <w:r>
        <w:t xml:space="preserve"> it may not be possible to account for every </w:t>
      </w:r>
      <w:r w:rsidR="00796C2C">
        <w:t xml:space="preserve">operating </w:t>
      </w:r>
      <w:r>
        <w:t>environmen</w:t>
      </w:r>
      <w:r w:rsidR="00796C2C">
        <w:t>t</w:t>
      </w:r>
      <w:r>
        <w:t xml:space="preserve"> factor</w:t>
      </w:r>
      <w:r w:rsidR="00461AFE">
        <w:t xml:space="preserve"> </w:t>
      </w:r>
      <w:r w:rsidR="00F31850">
        <w:t>directly in our modelling</w:t>
      </w:r>
      <w:r w:rsidR="00F93A46">
        <w:t>, w</w:t>
      </w:r>
      <w:r w:rsidR="00F31850">
        <w:t>e can estimate</w:t>
      </w:r>
      <w:r w:rsidR="00AF0BCD">
        <w:t xml:space="preserve"> the impact of the operating environment in other ways.</w:t>
      </w:r>
      <w:r w:rsidR="00F93A46">
        <w:t xml:space="preserve"> </w:t>
      </w:r>
    </w:p>
    <w:p w:rsidR="00F31850" w:rsidRDefault="00F31850" w:rsidP="00F31850">
      <w:pPr>
        <w:pStyle w:val="AERbodytext"/>
      </w:pPr>
      <w:r>
        <w:t>We have accounted for a number of operating environment differences in our benchmarking analysis. There are other differences between the operating environments of distributors in Australia. The impact of these operating environment factors is a matter of contention. In consultation on the economic benchmarking regulatory information notice the distributors noted a number of operating environment differences that may affect the ability to convert inputs into outputs. These include:</w:t>
      </w:r>
    </w:p>
    <w:p w:rsidR="00F31850" w:rsidRDefault="00F31850" w:rsidP="00F31850">
      <w:pPr>
        <w:pStyle w:val="AERbulletlistfirststyle"/>
      </w:pPr>
      <w:r>
        <w:t>Differences in the scope of distribution services</w:t>
      </w:r>
      <w:r w:rsidR="001F5057">
        <w:t>;</w:t>
      </w:r>
    </w:p>
    <w:p w:rsidR="00F31850" w:rsidRDefault="00F31850" w:rsidP="00F31850">
      <w:pPr>
        <w:pStyle w:val="AERbulletlistfirststyle"/>
      </w:pPr>
      <w:r>
        <w:t>Differences in the size and density of networks</w:t>
      </w:r>
      <w:r w:rsidR="001F5057">
        <w:t>;</w:t>
      </w:r>
    </w:p>
    <w:p w:rsidR="00F31850" w:rsidRDefault="001F5057" w:rsidP="00F31850">
      <w:pPr>
        <w:pStyle w:val="AERbulletlistfirststyle"/>
      </w:pPr>
      <w:r>
        <w:t>Differences in network terrain;</w:t>
      </w:r>
    </w:p>
    <w:p w:rsidR="00796C2C" w:rsidRDefault="001F5057" w:rsidP="00F31850">
      <w:pPr>
        <w:pStyle w:val="AERbulletlistfirststyle"/>
      </w:pPr>
      <w:r>
        <w:t>Differences in climate;</w:t>
      </w:r>
      <w:r w:rsidR="00796C2C">
        <w:t xml:space="preserve"> and</w:t>
      </w:r>
      <w:r w:rsidR="00F31850">
        <w:t xml:space="preserve"> </w:t>
      </w:r>
    </w:p>
    <w:p w:rsidR="00F31850" w:rsidRDefault="00796C2C" w:rsidP="00F31850">
      <w:pPr>
        <w:pStyle w:val="AERbulletlistfirststyle"/>
      </w:pPr>
      <w:r>
        <w:t xml:space="preserve">Differences in </w:t>
      </w:r>
      <w:r w:rsidR="00F31850">
        <w:t>jurisdiction specific requirements.</w:t>
      </w:r>
    </w:p>
    <w:p w:rsidR="00F31850" w:rsidRDefault="00F31850" w:rsidP="00F31850">
      <w:pPr>
        <w:pStyle w:val="AERbodytext"/>
      </w:pPr>
      <w:r>
        <w:lastRenderedPageBreak/>
        <w:t>To account for differences in the scope of distribution services we have chosen to benchmark only the core 'poles and wires' component of distribution services. We have excluded the costs and assets associated with other services that distributors provide including metering and public lighting.</w:t>
      </w:r>
    </w:p>
    <w:p w:rsidR="00F31850" w:rsidRDefault="00F31850" w:rsidP="00F31850">
      <w:pPr>
        <w:pStyle w:val="AERbodytext"/>
      </w:pPr>
      <w:r>
        <w:t xml:space="preserve">The way that we account for operating environment differences depends on the benchmarking technique that we apply. The multilateral total factor productivity analysis presented below accounts for more </w:t>
      </w:r>
      <w:r w:rsidR="00A94B8C">
        <w:t xml:space="preserve">operating </w:t>
      </w:r>
      <w:r>
        <w:t>environment factors than the partial performance analysis. This is because the multilateral total factor productivity can accommodate more variables.</w:t>
      </w:r>
    </w:p>
    <w:p w:rsidR="00386F6D" w:rsidRDefault="00F31850" w:rsidP="00386F6D">
      <w:pPr>
        <w:pStyle w:val="AERbodytext"/>
      </w:pPr>
      <w:r>
        <w:t xml:space="preserve">That being said, we have not accounted for every potential operating environment factor that may affect relative efficiency of distributors. As such, there may remain some unquantified operating environment factors. </w:t>
      </w:r>
      <w:r w:rsidR="00BA67E6">
        <w:t>T</w:t>
      </w:r>
      <w:r w:rsidR="00D0000B">
        <w:t>he presence of un</w:t>
      </w:r>
      <w:r w:rsidR="008F2F61">
        <w:t xml:space="preserve">quantified </w:t>
      </w:r>
      <w:r w:rsidR="00D0000B">
        <w:t>differences</w:t>
      </w:r>
      <w:r w:rsidR="00352C5D">
        <w:t xml:space="preserve"> in the operating environment</w:t>
      </w:r>
      <w:r w:rsidR="00D0000B">
        <w:t xml:space="preserve"> </w:t>
      </w:r>
      <w:r w:rsidR="00181B77">
        <w:t xml:space="preserve">does not </w:t>
      </w:r>
      <w:r w:rsidR="00D0000B">
        <w:t>preclude</w:t>
      </w:r>
      <w:r w:rsidR="00181B77">
        <w:t xml:space="preserve"> us or other parties from</w:t>
      </w:r>
      <w:r w:rsidR="00D0000B">
        <w:t xml:space="preserve"> forming a </w:t>
      </w:r>
      <w:r w:rsidR="009F14AE">
        <w:t xml:space="preserve">quantified </w:t>
      </w:r>
      <w:r w:rsidR="00D0000B">
        <w:t xml:space="preserve">view about the relative efficiency of distributors. It may be that the </w:t>
      </w:r>
      <w:r w:rsidR="008B79E1">
        <w:t xml:space="preserve">net </w:t>
      </w:r>
      <w:r w:rsidR="00D0000B">
        <w:t xml:space="preserve">impact of some </w:t>
      </w:r>
      <w:r>
        <w:t xml:space="preserve">operating </w:t>
      </w:r>
      <w:r w:rsidR="00D0000B">
        <w:t>environmen</w:t>
      </w:r>
      <w:r>
        <w:t>t</w:t>
      </w:r>
      <w:r w:rsidR="00D0000B">
        <w:t xml:space="preserve"> factors will be immaterial to the consideration of efficiency. Further, the gap in relative efficiency may prove to be so great that </w:t>
      </w:r>
      <w:r>
        <w:t xml:space="preserve">operating </w:t>
      </w:r>
      <w:r w:rsidR="00D0000B">
        <w:t xml:space="preserve">environment factors alone could not account for the difference in relative efficiency. </w:t>
      </w:r>
    </w:p>
    <w:p w:rsidR="001F4B01" w:rsidRPr="001F4B01" w:rsidRDefault="001F4B01" w:rsidP="001F4B01">
      <w:pPr>
        <w:pStyle w:val="HeadingBoldBlue"/>
      </w:pPr>
      <w:r>
        <w:t>Density</w:t>
      </w:r>
    </w:p>
    <w:p w:rsidR="0023166C" w:rsidRDefault="00B277CB" w:rsidP="00402016">
      <w:pPr>
        <w:pStyle w:val="AERbodytext"/>
      </w:pPr>
      <w:r>
        <w:t xml:space="preserve">Network density </w:t>
      </w:r>
      <w:r w:rsidR="001F4B01">
        <w:t xml:space="preserve">will affect the benchmark performance depending on the benchmark applied. Low density networks such as predominantly rural distributors will have low costs per </w:t>
      </w:r>
      <w:r w:rsidR="004C3960" w:rsidRPr="004C3960">
        <w:t xml:space="preserve">km of line length </w:t>
      </w:r>
      <w:r w:rsidR="00BA24A5">
        <w:t xml:space="preserve">and high costs per customer. </w:t>
      </w:r>
      <w:r w:rsidR="006A683D">
        <w:t xml:space="preserve">This is because the customers of a rural distributor are more dispersed than those of an urban distributor. </w:t>
      </w:r>
    </w:p>
    <w:p w:rsidR="00EB7E1B" w:rsidRPr="00EB7E1B" w:rsidRDefault="00EB7E1B" w:rsidP="00402016">
      <w:pPr>
        <w:pStyle w:val="AERbodytext"/>
      </w:pPr>
      <w:r w:rsidRPr="00EB7E1B">
        <w:t>The customer density (measured as the number of customers per km of line length</w:t>
      </w:r>
      <w:r w:rsidR="00D21830">
        <w:t>)</w:t>
      </w:r>
      <w:r w:rsidRPr="00EB7E1B">
        <w:t xml:space="preserve"> is presented in</w:t>
      </w:r>
      <w:r w:rsidR="00256166">
        <w:t xml:space="preserve"> </w:t>
      </w:r>
      <w:r w:rsidR="008274F9">
        <w:fldChar w:fldCharType="begin"/>
      </w:r>
      <w:r w:rsidR="00256166">
        <w:instrText xml:space="preserve"> REF _Ref393099581 \h </w:instrText>
      </w:r>
      <w:r w:rsidR="008274F9">
        <w:fldChar w:fldCharType="separate"/>
      </w:r>
      <w:r w:rsidR="00421701" w:rsidRPr="00EB7E1B">
        <w:t xml:space="preserve">Figure </w:t>
      </w:r>
      <w:r w:rsidR="00421701">
        <w:rPr>
          <w:noProof/>
        </w:rPr>
        <w:t>8</w:t>
      </w:r>
      <w:r w:rsidR="008274F9">
        <w:fldChar w:fldCharType="end"/>
      </w:r>
      <w:r w:rsidRPr="00EB7E1B">
        <w:t>.</w:t>
      </w:r>
      <w:r w:rsidR="00402016">
        <w:t xml:space="preserve"> Density measures are likely to be the most important </w:t>
      </w:r>
      <w:r w:rsidR="00402016" w:rsidRPr="00402016">
        <w:t>operating environment factors affecting efficiency comparisons.</w:t>
      </w:r>
      <w:r w:rsidR="00402016">
        <w:rPr>
          <w:rStyle w:val="FootnoteReference"/>
        </w:rPr>
        <w:footnoteReference w:id="25"/>
      </w:r>
    </w:p>
    <w:p w:rsidR="00EB7E1B" w:rsidRDefault="00EB7E1B" w:rsidP="00EB7E1B">
      <w:pPr>
        <w:pStyle w:val="Caption"/>
      </w:pPr>
      <w:bookmarkStart w:id="27" w:name="_Ref393099581"/>
      <w:r w:rsidRPr="00EB7E1B">
        <w:lastRenderedPageBreak/>
        <w:t xml:space="preserve">Figure </w:t>
      </w:r>
      <w:r w:rsidR="008274F9">
        <w:fldChar w:fldCharType="begin"/>
      </w:r>
      <w:r w:rsidR="002E3EC9">
        <w:instrText xml:space="preserve"> SEQ Figure \* ARABIC </w:instrText>
      </w:r>
      <w:r w:rsidR="008274F9">
        <w:fldChar w:fldCharType="separate"/>
      </w:r>
      <w:r w:rsidR="00421701">
        <w:rPr>
          <w:noProof/>
        </w:rPr>
        <w:t>8</w:t>
      </w:r>
      <w:r w:rsidR="008274F9">
        <w:rPr>
          <w:noProof/>
        </w:rPr>
        <w:fldChar w:fldCharType="end"/>
      </w:r>
      <w:bookmarkEnd w:id="27"/>
      <w:proofErr w:type="gramStart"/>
      <w:r w:rsidRPr="00EB7E1B">
        <w:tab/>
        <w:t>Customer density</w:t>
      </w:r>
      <w:proofErr w:type="gramEnd"/>
      <w:r w:rsidRPr="00EB7E1B">
        <w:t xml:space="preserve"> (customers / km of route line </w:t>
      </w:r>
      <w:r w:rsidR="0016501E" w:rsidRPr="0016501E">
        <w:t>length</w:t>
      </w:r>
      <w:r w:rsidR="002E308D">
        <w:t xml:space="preserve">, </w:t>
      </w:r>
      <w:r w:rsidR="009B30C7">
        <w:t xml:space="preserve">average </w:t>
      </w:r>
      <w:r w:rsidR="002E308D">
        <w:t>2009–2013</w:t>
      </w:r>
      <w:r w:rsidRPr="00EB7E1B">
        <w:t>)</w:t>
      </w:r>
    </w:p>
    <w:p w:rsidR="00E5713A" w:rsidRDefault="00A75623" w:rsidP="00A75623">
      <w:pPr>
        <w:pStyle w:val="AERbodytext"/>
      </w:pPr>
      <w:r w:rsidRPr="00A75623">
        <w:drawing>
          <wp:inline distT="0" distB="0" distL="0" distR="0">
            <wp:extent cx="5276850" cy="3591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591560"/>
                    </a:xfrm>
                    <a:prstGeom prst="rect">
                      <a:avLst/>
                    </a:prstGeom>
                    <a:noFill/>
                    <a:ln>
                      <a:noFill/>
                    </a:ln>
                  </pic:spPr>
                </pic:pic>
              </a:graphicData>
            </a:graphic>
          </wp:inline>
        </w:drawing>
      </w:r>
    </w:p>
    <w:p w:rsidR="00EB7E1B" w:rsidRPr="00EB7E1B" w:rsidRDefault="008274F9" w:rsidP="00EB7E1B">
      <w:pPr>
        <w:pStyle w:val="AERbodytext"/>
      </w:pPr>
      <w:r>
        <w:fldChar w:fldCharType="begin"/>
      </w:r>
      <w:r w:rsidR="00256166">
        <w:instrText xml:space="preserve"> REF _Ref393099581 \h </w:instrText>
      </w:r>
      <w:r>
        <w:fldChar w:fldCharType="separate"/>
      </w:r>
      <w:r w:rsidR="00421701" w:rsidRPr="00EB7E1B">
        <w:t xml:space="preserve">Figure </w:t>
      </w:r>
      <w:r w:rsidR="00421701">
        <w:rPr>
          <w:noProof/>
        </w:rPr>
        <w:t>8</w:t>
      </w:r>
      <w:r>
        <w:fldChar w:fldCharType="end"/>
      </w:r>
      <w:r w:rsidR="00256166">
        <w:t xml:space="preserve"> </w:t>
      </w:r>
      <w:r w:rsidR="00EB7E1B" w:rsidRPr="00EB7E1B">
        <w:t xml:space="preserve">shows that the customer density of distributors in Australia varies from less than </w:t>
      </w:r>
      <w:r w:rsidR="00686F0B">
        <w:t>5</w:t>
      </w:r>
      <w:r w:rsidR="00EB7E1B" w:rsidRPr="00EB7E1B">
        <w:t xml:space="preserve"> customers per km (in the case of </w:t>
      </w:r>
      <w:proofErr w:type="spellStart"/>
      <w:r w:rsidR="00EB7E1B" w:rsidRPr="00EB7E1B">
        <w:t>Ergon</w:t>
      </w:r>
      <w:proofErr w:type="spellEnd"/>
      <w:r w:rsidR="00EB7E1B" w:rsidRPr="00EB7E1B">
        <w:t xml:space="preserve"> and Essential Energy) to more than 100 customers per km </w:t>
      </w:r>
      <w:r w:rsidR="00B277CB">
        <w:t>(</w:t>
      </w:r>
      <w:r w:rsidR="00EB7E1B" w:rsidRPr="00EB7E1B">
        <w:t xml:space="preserve">in the case of </w:t>
      </w:r>
      <w:proofErr w:type="spellStart"/>
      <w:r w:rsidR="00CB6F3D" w:rsidRPr="00EB7E1B">
        <w:t>CitiPower</w:t>
      </w:r>
      <w:proofErr w:type="spellEnd"/>
      <w:r w:rsidR="00B277CB">
        <w:t>)</w:t>
      </w:r>
      <w:r w:rsidR="00EB7E1B" w:rsidRPr="00EB7E1B">
        <w:t xml:space="preserve">. </w:t>
      </w:r>
      <w:r w:rsidR="00BA24A5">
        <w:t xml:space="preserve">The </w:t>
      </w:r>
      <w:r w:rsidR="00EB7E1B">
        <w:t xml:space="preserve">positive relationship between customer density and </w:t>
      </w:r>
      <w:r w:rsidR="000E0EBE">
        <w:t xml:space="preserve">cost per km of </w:t>
      </w:r>
      <w:r w:rsidR="00BA24A5">
        <w:t xml:space="preserve">line length </w:t>
      </w:r>
      <w:r w:rsidR="008B79E1">
        <w:t xml:space="preserve">is </w:t>
      </w:r>
      <w:r w:rsidR="00BA24A5">
        <w:t>illustrated</w:t>
      </w:r>
      <w:r w:rsidR="00EB7E1B" w:rsidRPr="00EB7E1B">
        <w:t xml:space="preserve"> in</w:t>
      </w:r>
      <w:r w:rsidR="00256166">
        <w:t xml:space="preserve"> </w:t>
      </w:r>
      <w:r w:rsidR="00E64219">
        <w:fldChar w:fldCharType="begin"/>
      </w:r>
      <w:r w:rsidR="00E64219">
        <w:instrText xml:space="preserve"> REF _Ref404157683 \h </w:instrText>
      </w:r>
      <w:r w:rsidR="00E64219">
        <w:fldChar w:fldCharType="separate"/>
      </w:r>
      <w:r w:rsidR="00421701" w:rsidRPr="00CB3108">
        <w:t xml:space="preserve">Figure </w:t>
      </w:r>
      <w:r w:rsidR="00421701">
        <w:rPr>
          <w:noProof/>
        </w:rPr>
        <w:t>29</w:t>
      </w:r>
      <w:r w:rsidR="00E64219">
        <w:fldChar w:fldCharType="end"/>
      </w:r>
      <w:r w:rsidR="00285C6C">
        <w:t xml:space="preserve"> </w:t>
      </w:r>
      <w:r w:rsidR="000E0EBE">
        <w:t>in Appendix A</w:t>
      </w:r>
      <w:r w:rsidR="00EB7E1B" w:rsidRPr="00EB7E1B">
        <w:t>.</w:t>
      </w:r>
      <w:r w:rsidR="003E3A02">
        <w:t xml:space="preserve"> </w:t>
      </w:r>
      <w:r w:rsidR="003E3A02">
        <w:rPr>
          <w:rStyle w:val="AERbody"/>
        </w:rPr>
        <w:t>E</w:t>
      </w:r>
      <w:r w:rsidR="003E3A02" w:rsidRPr="00BA24A5">
        <w:rPr>
          <w:rStyle w:val="AERbody"/>
        </w:rPr>
        <w:t xml:space="preserve">nergy density and maximum demand density </w:t>
      </w:r>
      <w:r w:rsidR="009F14AE">
        <w:rPr>
          <w:rStyle w:val="AERbody"/>
        </w:rPr>
        <w:t>may also be used as density measures for the distributors</w:t>
      </w:r>
      <w:r w:rsidR="003E3A02">
        <w:rPr>
          <w:rStyle w:val="AERbody"/>
        </w:rPr>
        <w:t>. However, we find that energy density and maximum demand density are correlated to customer density so we have chosen to use customer density in this report.</w:t>
      </w:r>
    </w:p>
    <w:p w:rsidR="00BA24A5" w:rsidRPr="00BA24A5" w:rsidRDefault="00402016" w:rsidP="00BA24A5">
      <w:pPr>
        <w:pStyle w:val="AERbodytext"/>
        <w:rPr>
          <w:rStyle w:val="AERbody"/>
        </w:rPr>
      </w:pPr>
      <w:r>
        <w:rPr>
          <w:rStyle w:val="AERbody"/>
        </w:rPr>
        <w:t>E</w:t>
      </w:r>
      <w:r w:rsidR="00BA24A5" w:rsidRPr="00BA24A5">
        <w:rPr>
          <w:rStyle w:val="AERbody"/>
        </w:rPr>
        <w:t xml:space="preserve">nergy </w:t>
      </w:r>
      <w:r w:rsidR="003E3A02">
        <w:rPr>
          <w:rStyle w:val="AERbody"/>
        </w:rPr>
        <w:t>delivered per customer</w:t>
      </w:r>
      <w:r w:rsidR="003E3A02" w:rsidRPr="00BA24A5">
        <w:rPr>
          <w:rStyle w:val="AERbody"/>
        </w:rPr>
        <w:t xml:space="preserve"> </w:t>
      </w:r>
      <w:r w:rsidR="00BA24A5" w:rsidRPr="00BA24A5">
        <w:rPr>
          <w:rStyle w:val="AERbody"/>
        </w:rPr>
        <w:t>and maximum demand</w:t>
      </w:r>
      <w:r w:rsidR="003E3A02">
        <w:rPr>
          <w:rStyle w:val="AERbody"/>
        </w:rPr>
        <w:t xml:space="preserve"> per customer</w:t>
      </w:r>
      <w:r w:rsidR="00BA24A5" w:rsidRPr="00BA24A5">
        <w:rPr>
          <w:rStyle w:val="AERbody"/>
        </w:rPr>
        <w:t xml:space="preserve"> </w:t>
      </w:r>
      <w:r w:rsidR="009F14AE">
        <w:rPr>
          <w:rStyle w:val="AERbody"/>
        </w:rPr>
        <w:t xml:space="preserve">might </w:t>
      </w:r>
      <w:r w:rsidR="00B277CB">
        <w:rPr>
          <w:rStyle w:val="AERbody"/>
        </w:rPr>
        <w:t xml:space="preserve">also </w:t>
      </w:r>
      <w:r w:rsidR="009F14AE">
        <w:rPr>
          <w:rStyle w:val="AERbody"/>
        </w:rPr>
        <w:t xml:space="preserve">be </w:t>
      </w:r>
      <w:r w:rsidR="00B277CB">
        <w:rPr>
          <w:rStyle w:val="AERbody"/>
        </w:rPr>
        <w:t>operating environment factors</w:t>
      </w:r>
      <w:r w:rsidR="00BA24A5" w:rsidRPr="00BA24A5">
        <w:rPr>
          <w:rStyle w:val="AERbody"/>
        </w:rPr>
        <w:t xml:space="preserve">. </w:t>
      </w:r>
      <w:r w:rsidR="0072746E">
        <w:fldChar w:fldCharType="begin"/>
      </w:r>
      <w:r w:rsidR="0072746E">
        <w:instrText xml:space="preserve"> REF _Ref392166325 \h  \* MERGEFORMAT </w:instrText>
      </w:r>
      <w:r w:rsidR="0072746E">
        <w:fldChar w:fldCharType="separate"/>
      </w:r>
      <w:r w:rsidR="00421701" w:rsidRPr="00421701">
        <w:rPr>
          <w:rStyle w:val="AERbody"/>
        </w:rPr>
        <w:t>Figure 9</w:t>
      </w:r>
      <w:r w:rsidR="0072746E">
        <w:fldChar w:fldCharType="end"/>
      </w:r>
      <w:r w:rsidR="00BA24A5" w:rsidRPr="00BA24A5">
        <w:rPr>
          <w:rStyle w:val="AERbody"/>
        </w:rPr>
        <w:t xml:space="preserve"> and </w:t>
      </w:r>
      <w:r w:rsidR="0072746E">
        <w:fldChar w:fldCharType="begin"/>
      </w:r>
      <w:r w:rsidR="0072746E">
        <w:instrText xml:space="preserve"> REF _Ref392166332 \h  \* MERGEFORMAT </w:instrText>
      </w:r>
      <w:r w:rsidR="0072746E">
        <w:fldChar w:fldCharType="separate"/>
      </w:r>
      <w:r w:rsidR="00421701" w:rsidRPr="00421701">
        <w:rPr>
          <w:rStyle w:val="AERbody"/>
        </w:rPr>
        <w:t>Figure 10</w:t>
      </w:r>
      <w:r w:rsidR="0072746E">
        <w:fldChar w:fldCharType="end"/>
      </w:r>
      <w:r w:rsidR="00BA24A5" w:rsidRPr="00BA24A5">
        <w:rPr>
          <w:rStyle w:val="AERbody"/>
        </w:rPr>
        <w:t xml:space="preserve"> show the maximum demand </w:t>
      </w:r>
      <w:r w:rsidR="003E3A02">
        <w:rPr>
          <w:rStyle w:val="AERbody"/>
        </w:rPr>
        <w:t>per customer</w:t>
      </w:r>
      <w:r w:rsidR="003E3A02" w:rsidRPr="00BA24A5">
        <w:rPr>
          <w:rStyle w:val="AERbody"/>
        </w:rPr>
        <w:t xml:space="preserve"> </w:t>
      </w:r>
      <w:r w:rsidR="00BA24A5" w:rsidRPr="00BA24A5">
        <w:rPr>
          <w:rStyle w:val="AERbody"/>
        </w:rPr>
        <w:t>and the energy</w:t>
      </w:r>
      <w:r w:rsidR="003E3A02">
        <w:rPr>
          <w:rStyle w:val="AERbody"/>
        </w:rPr>
        <w:t xml:space="preserve"> delivered</w:t>
      </w:r>
      <w:r w:rsidR="00BA24A5" w:rsidRPr="00BA24A5">
        <w:rPr>
          <w:rStyle w:val="AERbody"/>
        </w:rPr>
        <w:t xml:space="preserve"> </w:t>
      </w:r>
      <w:r w:rsidR="003E3A02">
        <w:rPr>
          <w:rStyle w:val="AERbody"/>
        </w:rPr>
        <w:t>per customer</w:t>
      </w:r>
      <w:r w:rsidR="003E3A02" w:rsidRPr="00BA24A5">
        <w:rPr>
          <w:rStyle w:val="AERbody"/>
        </w:rPr>
        <w:t xml:space="preserve"> </w:t>
      </w:r>
      <w:r w:rsidR="009F14AE">
        <w:rPr>
          <w:rStyle w:val="AERbody"/>
        </w:rPr>
        <w:t>for</w:t>
      </w:r>
      <w:r w:rsidR="009F14AE" w:rsidRPr="00BA24A5">
        <w:rPr>
          <w:rStyle w:val="AERbody"/>
        </w:rPr>
        <w:t xml:space="preserve"> </w:t>
      </w:r>
      <w:r w:rsidR="00BA24A5" w:rsidRPr="00BA24A5">
        <w:rPr>
          <w:rStyle w:val="AERbody"/>
        </w:rPr>
        <w:t>the distributors.</w:t>
      </w:r>
      <w:r w:rsidR="000E0EBE">
        <w:rPr>
          <w:rStyle w:val="AERbody"/>
        </w:rPr>
        <w:t xml:space="preserve"> We compare </w:t>
      </w:r>
      <w:r w:rsidR="003E3A02">
        <w:rPr>
          <w:rStyle w:val="AERbody"/>
        </w:rPr>
        <w:t xml:space="preserve">these measures to </w:t>
      </w:r>
      <w:r w:rsidR="000E0EBE">
        <w:rPr>
          <w:rStyle w:val="AERbody"/>
        </w:rPr>
        <w:t xml:space="preserve">cost per MW of maximum demand and </w:t>
      </w:r>
      <w:proofErr w:type="spellStart"/>
      <w:r w:rsidR="000E0EBE">
        <w:rPr>
          <w:rStyle w:val="AERbody"/>
        </w:rPr>
        <w:t>MWh</w:t>
      </w:r>
      <w:proofErr w:type="spellEnd"/>
      <w:r w:rsidR="000E0EBE">
        <w:rPr>
          <w:rStyle w:val="AERbody"/>
        </w:rPr>
        <w:t xml:space="preserve"> of energy delivered in Appendix A. </w:t>
      </w:r>
      <w:r w:rsidR="00CD743B">
        <w:rPr>
          <w:rStyle w:val="AERbody"/>
        </w:rPr>
        <w:t>There does not appear to be a relationship between costs and these measures of density.</w:t>
      </w:r>
    </w:p>
    <w:p w:rsidR="00E5713A" w:rsidRDefault="00E5713A" w:rsidP="00E5713A">
      <w:pPr>
        <w:pStyle w:val="Caption"/>
      </w:pPr>
      <w:bookmarkStart w:id="28" w:name="_Ref392166325"/>
      <w:r>
        <w:lastRenderedPageBreak/>
        <w:t xml:space="preserve">Figure </w:t>
      </w:r>
      <w:fldSimple w:instr=" SEQ Figure \* ARABIC ">
        <w:r w:rsidR="00421701">
          <w:rPr>
            <w:noProof/>
          </w:rPr>
          <w:t>9</w:t>
        </w:r>
      </w:fldSimple>
      <w:bookmarkEnd w:id="28"/>
      <w:r>
        <w:tab/>
        <w:t xml:space="preserve">Maximum demand </w:t>
      </w:r>
      <w:r w:rsidR="003E3A02">
        <w:t xml:space="preserve">per customer </w:t>
      </w:r>
      <w:r>
        <w:t>(</w:t>
      </w:r>
      <w:r w:rsidR="0012414A">
        <w:t>K</w:t>
      </w:r>
      <w:r w:rsidR="00224ADA">
        <w:t xml:space="preserve">W </w:t>
      </w:r>
      <w:r>
        <w:t xml:space="preserve">maximum demand / per </w:t>
      </w:r>
      <w:r w:rsidR="0012414A">
        <w:t>customer</w:t>
      </w:r>
      <w:r w:rsidR="009B30C7">
        <w:t>, average 2009-–2013</w:t>
      </w:r>
      <w:r>
        <w:t>)</w:t>
      </w:r>
    </w:p>
    <w:p w:rsidR="0012414A" w:rsidRDefault="00172E23" w:rsidP="00172E23">
      <w:pPr>
        <w:pStyle w:val="AERbodytext"/>
      </w:pPr>
      <w:r w:rsidRPr="00172E23">
        <w:drawing>
          <wp:inline distT="0" distB="0" distL="0" distR="0">
            <wp:extent cx="5233035" cy="3745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35" cy="3745865"/>
                    </a:xfrm>
                    <a:prstGeom prst="rect">
                      <a:avLst/>
                    </a:prstGeom>
                    <a:noFill/>
                    <a:ln>
                      <a:noFill/>
                    </a:ln>
                  </pic:spPr>
                </pic:pic>
              </a:graphicData>
            </a:graphic>
          </wp:inline>
        </w:drawing>
      </w:r>
    </w:p>
    <w:p w:rsidR="00E5713A" w:rsidRPr="00E5713A" w:rsidRDefault="00E5713A" w:rsidP="00E5713A">
      <w:pPr>
        <w:pStyle w:val="Caption"/>
      </w:pPr>
      <w:bookmarkStart w:id="29" w:name="_Ref392166332"/>
      <w:r>
        <w:t xml:space="preserve">Figure </w:t>
      </w:r>
      <w:r w:rsidR="008274F9">
        <w:fldChar w:fldCharType="begin"/>
      </w:r>
      <w:r w:rsidR="002E3EC9">
        <w:instrText xml:space="preserve"> SEQ Figure \* ARABIC </w:instrText>
      </w:r>
      <w:r w:rsidR="008274F9">
        <w:fldChar w:fldCharType="separate"/>
      </w:r>
      <w:r w:rsidR="00421701">
        <w:rPr>
          <w:noProof/>
        </w:rPr>
        <w:t>10</w:t>
      </w:r>
      <w:r w:rsidR="008274F9">
        <w:rPr>
          <w:noProof/>
        </w:rPr>
        <w:fldChar w:fldCharType="end"/>
      </w:r>
      <w:bookmarkEnd w:id="29"/>
      <w:r>
        <w:tab/>
        <w:t xml:space="preserve">Energy </w:t>
      </w:r>
      <w:r w:rsidR="003E3A02">
        <w:t xml:space="preserve">delivered per customer </w:t>
      </w:r>
      <w:r>
        <w:t>(energy delivered</w:t>
      </w:r>
      <w:r w:rsidR="00224ADA">
        <w:t xml:space="preserve"> </w:t>
      </w:r>
      <w:proofErr w:type="spellStart"/>
      <w:r w:rsidR="00224ADA">
        <w:t>MW</w:t>
      </w:r>
      <w:r w:rsidR="00490775">
        <w:t>h</w:t>
      </w:r>
      <w:proofErr w:type="spellEnd"/>
      <w:r>
        <w:t xml:space="preserve"> / </w:t>
      </w:r>
      <w:r w:rsidR="0012414A">
        <w:t>customer</w:t>
      </w:r>
      <w:r w:rsidR="009B30C7">
        <w:t>, average 2009–2013</w:t>
      </w:r>
      <w:r>
        <w:t>)</w:t>
      </w:r>
    </w:p>
    <w:p w:rsidR="00E5713A" w:rsidRDefault="00172E23" w:rsidP="00172E23">
      <w:pPr>
        <w:pStyle w:val="AERbodytext"/>
      </w:pPr>
      <w:r w:rsidRPr="00172E23">
        <w:drawing>
          <wp:inline distT="0" distB="0" distL="0" distR="0">
            <wp:extent cx="5166995" cy="3745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995" cy="3745865"/>
                    </a:xfrm>
                    <a:prstGeom prst="rect">
                      <a:avLst/>
                    </a:prstGeom>
                    <a:noFill/>
                    <a:ln>
                      <a:noFill/>
                    </a:ln>
                  </pic:spPr>
                </pic:pic>
              </a:graphicData>
            </a:graphic>
          </wp:inline>
        </w:drawing>
      </w:r>
    </w:p>
    <w:p w:rsidR="00592E1C" w:rsidRDefault="00592E1C" w:rsidP="00592E1C">
      <w:pPr>
        <w:pStyle w:val="HeadingBoldBlue"/>
      </w:pPr>
      <w:r>
        <w:lastRenderedPageBreak/>
        <w:t>Undergrounding</w:t>
      </w:r>
    </w:p>
    <w:p w:rsidR="00592E1C" w:rsidRDefault="00592E1C" w:rsidP="00592E1C">
      <w:pPr>
        <w:pStyle w:val="AERbodytext"/>
      </w:pPr>
      <w:r>
        <w:t>Another environmental factor that increases the costs of networks is the extent to which their circuits run underground. Underground circuits are considerably more expensive to install than overhead circuits</w:t>
      </w:r>
      <w:r w:rsidR="00490775">
        <w:t xml:space="preserve"> but are then usually less expensive to maintain</w:t>
      </w:r>
      <w:r>
        <w:t>.</w:t>
      </w:r>
      <w:r w:rsidR="001262BF">
        <w:rPr>
          <w:rStyle w:val="FootnoteReference"/>
        </w:rPr>
        <w:footnoteReference w:id="26"/>
      </w:r>
      <w:r>
        <w:t xml:space="preserve"> </w:t>
      </w:r>
    </w:p>
    <w:p w:rsidR="002F5CEC" w:rsidRDefault="002F5CEC" w:rsidP="002F5CEC">
      <w:pPr>
        <w:pStyle w:val="Caption"/>
      </w:pPr>
      <w:r>
        <w:t xml:space="preserve">Figure </w:t>
      </w:r>
      <w:fldSimple w:instr=" SEQ Figure \* ARABIC ">
        <w:r w:rsidR="00421701">
          <w:rPr>
            <w:noProof/>
          </w:rPr>
          <w:t>11</w:t>
        </w:r>
      </w:fldSimple>
      <w:r>
        <w:tab/>
        <w:t xml:space="preserve">Proportion of underground </w:t>
      </w:r>
      <w:r w:rsidR="00224ADA">
        <w:t xml:space="preserve">and overhead </w:t>
      </w:r>
      <w:r>
        <w:t>circuits</w:t>
      </w:r>
    </w:p>
    <w:p w:rsidR="00592E1C" w:rsidRDefault="00224ADA" w:rsidP="00172E23">
      <w:pPr>
        <w:pStyle w:val="AERbodytext"/>
      </w:pPr>
      <w:r w:rsidRPr="00224ADA">
        <w:t xml:space="preserve"> </w:t>
      </w:r>
      <w:r w:rsidR="00172E23" w:rsidRPr="00172E23">
        <w:drawing>
          <wp:inline distT="0" distB="0" distL="0" distR="0">
            <wp:extent cx="5442585" cy="3371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2585" cy="3371215"/>
                    </a:xfrm>
                    <a:prstGeom prst="rect">
                      <a:avLst/>
                    </a:prstGeom>
                    <a:noFill/>
                    <a:ln>
                      <a:noFill/>
                    </a:ln>
                  </pic:spPr>
                </pic:pic>
              </a:graphicData>
            </a:graphic>
          </wp:inline>
        </w:drawing>
      </w:r>
    </w:p>
    <w:p w:rsidR="00EE008D" w:rsidRPr="007D30E7" w:rsidRDefault="00EE008D" w:rsidP="007D30E7">
      <w:pPr>
        <w:pStyle w:val="Heading3"/>
        <w:rPr>
          <w:rStyle w:val="AERtextbold"/>
          <w:b/>
        </w:rPr>
      </w:pPr>
      <w:bookmarkStart w:id="30" w:name="_Toc404010814"/>
      <w:bookmarkStart w:id="31" w:name="_Ref404161628"/>
      <w:bookmarkStart w:id="32" w:name="_Ref404162273"/>
      <w:bookmarkStart w:id="33" w:name="_Ref404162288"/>
      <w:bookmarkStart w:id="34" w:name="_Ref404163126"/>
      <w:bookmarkStart w:id="35" w:name="_Ref404163149"/>
      <w:r w:rsidRPr="007D30E7">
        <w:rPr>
          <w:rStyle w:val="AERtextbold"/>
          <w:b/>
        </w:rPr>
        <w:t xml:space="preserve">Unaccounted for </w:t>
      </w:r>
      <w:r w:rsidR="00052678" w:rsidRPr="007D30E7">
        <w:rPr>
          <w:rStyle w:val="AERtextbold"/>
          <w:b/>
        </w:rPr>
        <w:t>operating environment</w:t>
      </w:r>
      <w:r w:rsidRPr="007D30E7">
        <w:rPr>
          <w:rStyle w:val="AERtextbold"/>
          <w:b/>
        </w:rPr>
        <w:t xml:space="preserve"> factors</w:t>
      </w:r>
      <w:bookmarkEnd w:id="30"/>
      <w:bookmarkEnd w:id="31"/>
      <w:bookmarkEnd w:id="32"/>
      <w:bookmarkEnd w:id="33"/>
      <w:bookmarkEnd w:id="34"/>
      <w:bookmarkEnd w:id="35"/>
      <w:r w:rsidRPr="007D30E7">
        <w:rPr>
          <w:rStyle w:val="AERtextbold"/>
          <w:b/>
        </w:rPr>
        <w:t xml:space="preserve"> </w:t>
      </w:r>
    </w:p>
    <w:p w:rsidR="003D225C" w:rsidRDefault="003C1364">
      <w:pPr>
        <w:pStyle w:val="AERbodytext"/>
      </w:pPr>
      <w:r>
        <w:t>S</w:t>
      </w:r>
      <w:r w:rsidRPr="00B7151E">
        <w:t xml:space="preserve">ervice providers do not operate under exactly the same operating environment conditions. Operating environment conditions may have a significant impact on measured efficiency through their impact on a service provider's </w:t>
      </w:r>
      <w:r w:rsidR="004162AC">
        <w:t>expenditure</w:t>
      </w:r>
      <w:r w:rsidRPr="00B7151E">
        <w:t xml:space="preserve">. It is desirable to adjust for </w:t>
      </w:r>
      <w:r w:rsidR="00494020">
        <w:t>material operating environment</w:t>
      </w:r>
      <w:r w:rsidRPr="00B7151E">
        <w:t xml:space="preserve"> differences to ensure that when comparisons are made across service providers, we are comparing like with like to the greatest extent possible.</w:t>
      </w:r>
      <w:r>
        <w:t xml:space="preserve"> </w:t>
      </w:r>
      <w:r w:rsidR="00670515">
        <w:t xml:space="preserve">We received submissions on our draft report noting that there are environmental factors that are </w:t>
      </w:r>
      <w:r w:rsidR="006D1A54">
        <w:t xml:space="preserve">considered </w:t>
      </w:r>
      <w:r w:rsidR="00670515">
        <w:t>material but haven't been taken into account in our models.</w:t>
      </w:r>
      <w:r w:rsidR="00670515">
        <w:rPr>
          <w:rStyle w:val="FootnoteReference"/>
        </w:rPr>
        <w:footnoteReference w:id="27"/>
      </w:r>
      <w:r w:rsidR="00194B5E">
        <w:t xml:space="preserve"> Stakeholders specifically raised </w:t>
      </w:r>
      <w:proofErr w:type="spellStart"/>
      <w:r w:rsidR="00194B5E">
        <w:t>subtransmission</w:t>
      </w:r>
      <w:proofErr w:type="spellEnd"/>
      <w:r w:rsidR="00194B5E">
        <w:t xml:space="preserve"> assets, geography/terrain, regulatory obligations, </w:t>
      </w:r>
      <w:r w:rsidR="00D026AA">
        <w:t xml:space="preserve">capitalisation policies, cost allocation methods, </w:t>
      </w:r>
      <w:r w:rsidR="00194B5E">
        <w:t xml:space="preserve">network design, ownership structures, reliability licence conditions and security of supply as </w:t>
      </w:r>
      <w:r w:rsidR="000344FB">
        <w:t xml:space="preserve">operating environment </w:t>
      </w:r>
      <w:r w:rsidR="00194B5E">
        <w:t>factors that had been unaccounted for in the draft report.</w:t>
      </w:r>
      <w:r w:rsidR="00194B5E">
        <w:rPr>
          <w:rStyle w:val="FootnoteReference"/>
        </w:rPr>
        <w:footnoteReference w:id="28"/>
      </w:r>
      <w:r w:rsidR="00026668" w:rsidRPr="00592E1C">
        <w:t xml:space="preserve"> </w:t>
      </w:r>
    </w:p>
    <w:p w:rsidR="0082588D" w:rsidRDefault="0082588D" w:rsidP="007F0B4B">
      <w:pPr>
        <w:pStyle w:val="AERbodytext"/>
        <w:rPr>
          <w:rStyle w:val="AERbody"/>
        </w:rPr>
      </w:pPr>
      <w:r w:rsidRPr="0082588D">
        <w:rPr>
          <w:rStyle w:val="AERbody"/>
        </w:rPr>
        <w:lastRenderedPageBreak/>
        <w:t xml:space="preserve">There are a number of </w:t>
      </w:r>
      <w:r w:rsidR="00D026F1">
        <w:rPr>
          <w:rStyle w:val="AERbody"/>
        </w:rPr>
        <w:t xml:space="preserve">operating environment </w:t>
      </w:r>
      <w:r w:rsidRPr="0082588D">
        <w:rPr>
          <w:rStyle w:val="AERbody"/>
        </w:rPr>
        <w:t xml:space="preserve">factors that have </w:t>
      </w:r>
      <w:r w:rsidR="00AE1A9E">
        <w:rPr>
          <w:rStyle w:val="AERbody"/>
        </w:rPr>
        <w:t xml:space="preserve">not </w:t>
      </w:r>
      <w:r w:rsidRPr="0082588D">
        <w:rPr>
          <w:rStyle w:val="AERbody"/>
        </w:rPr>
        <w:t xml:space="preserve">been considered in this analysis; however we do not consider that </w:t>
      </w:r>
      <w:r w:rsidR="00AE1A9E">
        <w:rPr>
          <w:rStyle w:val="AERbody"/>
        </w:rPr>
        <w:t>these account for</w:t>
      </w:r>
      <w:r w:rsidRPr="0082588D">
        <w:rPr>
          <w:rStyle w:val="AERbody"/>
        </w:rPr>
        <w:t xml:space="preserve"> the whole gap in relative productivity between the frontier networks and other networks. Quantifying these effects is of importance in our decision making</w:t>
      </w:r>
      <w:r w:rsidR="007F0B4B">
        <w:rPr>
          <w:rStyle w:val="AERbody"/>
        </w:rPr>
        <w:t xml:space="preserve"> process. </w:t>
      </w:r>
      <w:r w:rsidR="007F0B4B">
        <w:t>We have not formed a view on the operating environment factors that need to be considered as this requires examination of the operating environment for all distributors against all their counterparts.</w:t>
      </w:r>
      <w:r w:rsidR="007F0B4B">
        <w:rPr>
          <w:rStyle w:val="AERbody"/>
        </w:rPr>
        <w:t xml:space="preserve"> </w:t>
      </w:r>
      <w:r w:rsidRPr="0082588D">
        <w:rPr>
          <w:rStyle w:val="AERbody"/>
        </w:rPr>
        <w:t xml:space="preserve">We will consider the impact of </w:t>
      </w:r>
      <w:r w:rsidR="00D026F1">
        <w:rPr>
          <w:rStyle w:val="AERbody"/>
        </w:rPr>
        <w:t>operating environment</w:t>
      </w:r>
      <w:r w:rsidRPr="0082588D">
        <w:rPr>
          <w:rStyle w:val="AERbody"/>
        </w:rPr>
        <w:t xml:space="preserve"> factors in greater detail in future regulatory determinations.</w:t>
      </w:r>
    </w:p>
    <w:p w:rsidR="007F0B4B" w:rsidRDefault="0025550E" w:rsidP="007F0B4B">
      <w:pPr>
        <w:pStyle w:val="AERbodytext"/>
      </w:pPr>
      <w:r>
        <w:t>That said we have</w:t>
      </w:r>
      <w:r w:rsidR="002367A6">
        <w:t xml:space="preserve"> </w:t>
      </w:r>
      <w:r w:rsidR="00964E6B">
        <w:t>consider</w:t>
      </w:r>
      <w:r>
        <w:t>ed</w:t>
      </w:r>
      <w:r w:rsidR="00964E6B">
        <w:t xml:space="preserve"> the impact of </w:t>
      </w:r>
      <w:r w:rsidR="00D026F1">
        <w:t>operating environment</w:t>
      </w:r>
      <w:r w:rsidR="00964E6B">
        <w:t xml:space="preserve"> factors </w:t>
      </w:r>
      <w:r w:rsidR="0082588D">
        <w:t xml:space="preserve">on the NSW distributors and </w:t>
      </w:r>
      <w:proofErr w:type="spellStart"/>
      <w:r w:rsidR="0082588D">
        <w:t>ActewAGL</w:t>
      </w:r>
      <w:proofErr w:type="spellEnd"/>
      <w:r w:rsidR="0082588D">
        <w:t xml:space="preserve"> in</w:t>
      </w:r>
      <w:r w:rsidR="002367A6">
        <w:t xml:space="preserve"> the NSW/</w:t>
      </w:r>
      <w:proofErr w:type="spellStart"/>
      <w:r w:rsidR="002367A6">
        <w:t>A</w:t>
      </w:r>
      <w:r w:rsidR="0082588D">
        <w:t>ctewAGL</w:t>
      </w:r>
      <w:proofErr w:type="spellEnd"/>
      <w:r w:rsidR="002367A6">
        <w:t xml:space="preserve"> 201</w:t>
      </w:r>
      <w:r w:rsidR="00872969">
        <w:t>4</w:t>
      </w:r>
      <w:r w:rsidR="002367A6">
        <w:t>–</w:t>
      </w:r>
      <w:r w:rsidR="00872969">
        <w:t>19</w:t>
      </w:r>
      <w:r w:rsidR="002367A6">
        <w:t xml:space="preserve"> revenue proposal draft decisions.</w:t>
      </w:r>
      <w:r w:rsidR="002367A6" w:rsidRPr="002367A6">
        <w:rPr>
          <w:rStyle w:val="FootnoteReference"/>
        </w:rPr>
        <w:footnoteReference w:id="29"/>
      </w:r>
      <w:r w:rsidR="007F0B4B" w:rsidRPr="007F0B4B">
        <w:t xml:space="preserve"> </w:t>
      </w:r>
      <w:r w:rsidR="007F0B4B">
        <w:t>Where environment factors have not been directly accounted for in our modelling we have considered their effect qualitatively</w:t>
      </w:r>
      <w:r w:rsidR="007F0B4B" w:rsidRPr="00B7151E">
        <w:t>.</w:t>
      </w:r>
      <w:r w:rsidR="007F0B4B">
        <w:t xml:space="preserve"> We consider that the presence of unquantified operating environment differences should not preclude us from presenting our benchmarking results. </w:t>
      </w:r>
    </w:p>
    <w:p w:rsidR="009C310B" w:rsidRDefault="009C310B" w:rsidP="000C68D7">
      <w:pPr>
        <w:pStyle w:val="AERbodytext"/>
        <w:numPr>
          <w:ilvl w:val="0"/>
          <w:numId w:val="0"/>
        </w:numPr>
      </w:pPr>
    </w:p>
    <w:p w:rsidR="001326AC" w:rsidRDefault="001326AC" w:rsidP="001326AC">
      <w:pPr>
        <w:pStyle w:val="Heading1"/>
      </w:pPr>
      <w:bookmarkStart w:id="36" w:name="_Toc404010815"/>
      <w:bookmarkStart w:id="37" w:name="_Toc404244861"/>
      <w:r>
        <w:lastRenderedPageBreak/>
        <w:t>Benchmarking</w:t>
      </w:r>
      <w:bookmarkEnd w:id="36"/>
      <w:bookmarkEnd w:id="37"/>
      <w:r w:rsidR="002F74A2">
        <w:t xml:space="preserve"> </w:t>
      </w:r>
    </w:p>
    <w:p w:rsidR="00B2416B" w:rsidRPr="00B074EC" w:rsidRDefault="007A2D5A" w:rsidP="00780DD9">
      <w:pPr>
        <w:pStyle w:val="AERbodytext"/>
      </w:pPr>
      <w:r>
        <w:t xml:space="preserve">There are many possible approaches to benchmarking the efficiency of distributors. </w:t>
      </w:r>
      <w:r w:rsidR="004A05CE">
        <w:t xml:space="preserve">These have been detailed </w:t>
      </w:r>
      <w:r w:rsidR="00B074EC">
        <w:t>in the ACCC/AER's working paper on benchmarking opex and capex in electricity networks</w:t>
      </w:r>
      <w:r w:rsidR="00D0000B">
        <w:t xml:space="preserve"> and the AER's explanatory statement to the expenditure forecast assessment guideline</w:t>
      </w:r>
      <w:r w:rsidR="00B074EC">
        <w:t>.</w:t>
      </w:r>
      <w:r w:rsidR="00B074EC">
        <w:rPr>
          <w:rStyle w:val="FootnoteReference"/>
        </w:rPr>
        <w:footnoteReference w:id="30"/>
      </w:r>
      <w:r>
        <w:t xml:space="preserve"> </w:t>
      </w:r>
      <w:r w:rsidR="00B074EC">
        <w:t xml:space="preserve">These benchmarking approaches </w:t>
      </w:r>
      <w:r w:rsidR="00780DD9">
        <w:t xml:space="preserve">differ in complexity </w:t>
      </w:r>
      <w:r w:rsidR="00780DD9" w:rsidRPr="00780DD9">
        <w:t xml:space="preserve">and </w:t>
      </w:r>
      <w:r w:rsidR="00B074EC">
        <w:t>have their advantages and disadvantages</w:t>
      </w:r>
      <w:r w:rsidR="00427E5B">
        <w:t>.</w:t>
      </w:r>
    </w:p>
    <w:p w:rsidR="007A2D5A" w:rsidRDefault="00B2416B" w:rsidP="006A683D">
      <w:pPr>
        <w:pStyle w:val="AERbodytext"/>
      </w:pPr>
      <w:r>
        <w:t xml:space="preserve">The benchmarking approaches that we have chosen to apply </w:t>
      </w:r>
      <w:r w:rsidR="00336969">
        <w:t xml:space="preserve">in this first report </w:t>
      </w:r>
      <w:r w:rsidR="000C68D7">
        <w:t>are PPIs</w:t>
      </w:r>
      <w:r w:rsidR="006A683D">
        <w:t xml:space="preserve"> </w:t>
      </w:r>
      <w:r>
        <w:t xml:space="preserve">and </w:t>
      </w:r>
      <w:r w:rsidR="000C68D7">
        <w:t>MTFP</w:t>
      </w:r>
      <w:r>
        <w:t>.</w:t>
      </w:r>
      <w:r w:rsidR="00F74A76">
        <w:t xml:space="preserve"> </w:t>
      </w:r>
    </w:p>
    <w:p w:rsidR="00B2416B" w:rsidRDefault="00490775" w:rsidP="00B2416B">
      <w:pPr>
        <w:pStyle w:val="AERbodytext"/>
      </w:pPr>
      <w:r>
        <w:t xml:space="preserve">The </w:t>
      </w:r>
      <w:r w:rsidR="006A683D">
        <w:t>PPIs</w:t>
      </w:r>
      <w:r w:rsidR="00B2416B" w:rsidRPr="00B2416B">
        <w:t xml:space="preserve"> </w:t>
      </w:r>
      <w:r>
        <w:t xml:space="preserve">presented in this report </w:t>
      </w:r>
      <w:r w:rsidR="00B2416B" w:rsidRPr="00B2416B">
        <w:t xml:space="preserve">compare the performance of businesses </w:t>
      </w:r>
      <w:r>
        <w:t xml:space="preserve">in </w:t>
      </w:r>
      <w:r w:rsidR="008B79E1">
        <w:t>delivering</w:t>
      </w:r>
      <w:r w:rsidR="00B2416B" w:rsidRPr="00B2416B">
        <w:t xml:space="preserve"> </w:t>
      </w:r>
      <w:r w:rsidR="00F74A76">
        <w:t>one type of</w:t>
      </w:r>
      <w:r w:rsidR="00B2416B" w:rsidRPr="00B2416B">
        <w:t xml:space="preserve"> output. </w:t>
      </w:r>
      <w:r w:rsidR="008B79E1" w:rsidRPr="00B2416B">
        <w:t xml:space="preserve">PPIs provide a useful means of </w:t>
      </w:r>
      <w:r w:rsidR="006D1A54">
        <w:t xml:space="preserve">focussing on a </w:t>
      </w:r>
      <w:r w:rsidR="008B79E1">
        <w:t xml:space="preserve">certain aspect of the operation; for example, it may provide </w:t>
      </w:r>
      <w:r w:rsidR="008B79E1" w:rsidRPr="00B2416B">
        <w:t>an indication of where certain expenditure may be above efficient levels.</w:t>
      </w:r>
    </w:p>
    <w:p w:rsidR="003C4D7E" w:rsidRDefault="00E654C9" w:rsidP="00384037">
      <w:pPr>
        <w:pStyle w:val="AERbodytext"/>
      </w:pPr>
      <w:r w:rsidRPr="00E654C9">
        <w:rPr>
          <w:rStyle w:val="AERbody"/>
        </w:rPr>
        <w:t xml:space="preserve">Using </w:t>
      </w:r>
      <w:r w:rsidR="00826796">
        <w:rPr>
          <w:rStyle w:val="AERbody"/>
        </w:rPr>
        <w:t>MTFP</w:t>
      </w:r>
      <w:r w:rsidRPr="00E654C9">
        <w:rPr>
          <w:rStyle w:val="AERbody"/>
        </w:rPr>
        <w:t xml:space="preserve"> we measure the productivity of </w:t>
      </w:r>
      <w:r w:rsidR="0024559E">
        <w:rPr>
          <w:rStyle w:val="AERbody"/>
        </w:rPr>
        <w:t>distributor</w:t>
      </w:r>
      <w:r w:rsidRPr="00E654C9">
        <w:rPr>
          <w:rStyle w:val="AERbody"/>
        </w:rPr>
        <w:t xml:space="preserve">s across time and relative to each other. MTFP measures total outputs relative to all input quantities and takes into account the multiple types of inputs and outputs of </w:t>
      </w:r>
      <w:r w:rsidR="0024559E">
        <w:rPr>
          <w:rStyle w:val="AERbody"/>
        </w:rPr>
        <w:t>distributor</w:t>
      </w:r>
      <w:r w:rsidRPr="00E654C9">
        <w:rPr>
          <w:rStyle w:val="AERbody"/>
        </w:rPr>
        <w:t>s. This differs to PPIs which only examine the ratio of input cost to a single output.</w:t>
      </w:r>
    </w:p>
    <w:p w:rsidR="001326AC" w:rsidRDefault="001326AC" w:rsidP="001326AC">
      <w:pPr>
        <w:pStyle w:val="Heading2"/>
      </w:pPr>
      <w:bookmarkStart w:id="38" w:name="_Ref395000914"/>
      <w:bookmarkStart w:id="39" w:name="_Toc404010816"/>
      <w:bookmarkStart w:id="40" w:name="_Toc404244862"/>
      <w:r>
        <w:t xml:space="preserve">Partial </w:t>
      </w:r>
      <w:r w:rsidR="00FE28FD">
        <w:t>performance</w:t>
      </w:r>
      <w:r>
        <w:t xml:space="preserve"> </w:t>
      </w:r>
      <w:r w:rsidR="000E021B">
        <w:t>indicators</w:t>
      </w:r>
      <w:bookmarkEnd w:id="38"/>
      <w:bookmarkEnd w:id="39"/>
      <w:bookmarkEnd w:id="40"/>
    </w:p>
    <w:p w:rsidR="002F74A2" w:rsidRDefault="001441D4" w:rsidP="006D1A54">
      <w:pPr>
        <w:pStyle w:val="AERbodytext"/>
      </w:pPr>
      <w:r>
        <w:t>In this section we</w:t>
      </w:r>
      <w:r w:rsidR="00B25282">
        <w:t xml:space="preserve"> present the partial </w:t>
      </w:r>
      <w:r w:rsidR="00224ADA">
        <w:t>performance</w:t>
      </w:r>
      <w:r w:rsidR="00B25282">
        <w:t xml:space="preserve"> of operating expenditures, asset costs</w:t>
      </w:r>
      <w:r>
        <w:t xml:space="preserve"> and the sum of opex and asset costs</w:t>
      </w:r>
      <w:r w:rsidR="00B25282">
        <w:t xml:space="preserve">. </w:t>
      </w:r>
      <w:r w:rsidR="006D1A54">
        <w:t>W</w:t>
      </w:r>
      <w:r w:rsidR="00B25282">
        <w:t xml:space="preserve">e compare the cost of these inputs against the outputs of customer numbers, line length, </w:t>
      </w:r>
      <w:r>
        <w:t>and maximum demand.</w:t>
      </w:r>
      <w:r w:rsidR="00F428E4">
        <w:t xml:space="preserve"> The relative </w:t>
      </w:r>
      <w:r w:rsidR="00447F0F">
        <w:t xml:space="preserve">network densities </w:t>
      </w:r>
      <w:r w:rsidR="00F428E4">
        <w:t xml:space="preserve">of distributors </w:t>
      </w:r>
      <w:r w:rsidR="00447F0F">
        <w:t>are</w:t>
      </w:r>
      <w:r w:rsidR="00F428E4">
        <w:t xml:space="preserve"> </w:t>
      </w:r>
      <w:r w:rsidR="00F428E4" w:rsidRPr="002F74A2">
        <w:rPr>
          <w:rStyle w:val="AERbody"/>
        </w:rPr>
        <w:t>environmental</w:t>
      </w:r>
      <w:r w:rsidR="00F428E4">
        <w:t xml:space="preserve"> factor</w:t>
      </w:r>
      <w:r w:rsidR="00447F0F">
        <w:t>s</w:t>
      </w:r>
      <w:r w:rsidR="00F428E4">
        <w:t xml:space="preserve"> that </w:t>
      </w:r>
      <w:r w:rsidR="00163663">
        <w:t xml:space="preserve">may affect </w:t>
      </w:r>
      <w:r w:rsidR="00F428E4">
        <w:t>their costs. To allow for a c</w:t>
      </w:r>
      <w:r w:rsidR="006832CC">
        <w:t xml:space="preserve">omparison that takes this into account we plot the PPIs of businesses against their </w:t>
      </w:r>
      <w:r w:rsidR="00447F0F">
        <w:t xml:space="preserve">network </w:t>
      </w:r>
      <w:r w:rsidR="006832CC">
        <w:t xml:space="preserve">densities. </w:t>
      </w:r>
    </w:p>
    <w:p w:rsidR="00226F40" w:rsidRDefault="00226F40" w:rsidP="002F74A2">
      <w:r>
        <w:t xml:space="preserve">We consider that </w:t>
      </w:r>
      <w:r w:rsidR="00427E5B">
        <w:t>the most significant output</w:t>
      </w:r>
      <w:r>
        <w:t xml:space="preserve"> of distributors is customer numbers. The number of customers on a distributor's network will drive the demand on that network. Also, the comparison of inputs per customer is an intuitive measure that reflects the relative efficiency of distributors. As such, we present the partial performance of the distributors in this section of the report</w:t>
      </w:r>
      <w:r w:rsidR="00447F0F">
        <w:t xml:space="preserve"> using customer numbers as the output</w:t>
      </w:r>
      <w:r>
        <w:t xml:space="preserve">. </w:t>
      </w:r>
      <w:r w:rsidR="00E97150">
        <w:t xml:space="preserve">Appendix A presents graphs of the partial performance of distributors with respect to their </w:t>
      </w:r>
      <w:r w:rsidR="008B79E1">
        <w:t xml:space="preserve">other </w:t>
      </w:r>
      <w:r w:rsidR="00E97150">
        <w:t>outputs.</w:t>
      </w:r>
    </w:p>
    <w:p w:rsidR="005363E8" w:rsidRDefault="005363E8" w:rsidP="005363E8">
      <w:pPr>
        <w:pStyle w:val="AERbodytext"/>
      </w:pPr>
      <w:r>
        <w:t>By examining the ratios of inputs to outputs we account for the relative size of networks. We consider the impacts of density by plotting the ratios of inputs to outputs against customer density.</w:t>
      </w:r>
      <w:r>
        <w:rPr>
          <w:rStyle w:val="FootnoteReference"/>
        </w:rPr>
        <w:footnoteReference w:id="31"/>
      </w:r>
      <w:r>
        <w:t xml:space="preserve"> </w:t>
      </w:r>
    </w:p>
    <w:p w:rsidR="005363E8" w:rsidRDefault="005363E8" w:rsidP="002F74A2">
      <w:pPr>
        <w:pStyle w:val="AERbodytext"/>
      </w:pPr>
      <w:r>
        <w:t>Our analysis also accounts for anomalous or once-off fluctuations in costs due to exogenous factors. We do this by presenting average input and output</w:t>
      </w:r>
      <w:r w:rsidR="00447F0F">
        <w:t xml:space="preserve"> measures</w:t>
      </w:r>
      <w:r>
        <w:t xml:space="preserve"> over a five year period.</w:t>
      </w:r>
    </w:p>
    <w:p w:rsidR="00846A0F" w:rsidRDefault="00846A0F" w:rsidP="002F74A2">
      <w:pPr>
        <w:pStyle w:val="Heading3"/>
      </w:pPr>
      <w:bookmarkStart w:id="41" w:name="_Toc404010817"/>
      <w:r>
        <w:t>Operating expenditure</w:t>
      </w:r>
      <w:bookmarkEnd w:id="41"/>
    </w:p>
    <w:p w:rsidR="00DD0865" w:rsidRDefault="007E3842" w:rsidP="007E3842">
      <w:pPr>
        <w:pStyle w:val="AERbodytext"/>
      </w:pPr>
      <w:r>
        <w:t>Total annual</w:t>
      </w:r>
      <w:r w:rsidR="00BC6A0D">
        <w:t xml:space="preserve"> opex </w:t>
      </w:r>
      <w:r>
        <w:t xml:space="preserve">differs across each of the distributors, with </w:t>
      </w:r>
      <w:proofErr w:type="spellStart"/>
      <w:r>
        <w:t>Ausgrid</w:t>
      </w:r>
      <w:proofErr w:type="spellEnd"/>
      <w:r>
        <w:t xml:space="preserve"> spending</w:t>
      </w:r>
      <w:r w:rsidR="00803134">
        <w:t xml:space="preserve"> the most,</w:t>
      </w:r>
      <w:r w:rsidR="00BC6A0D">
        <w:t xml:space="preserve"> </w:t>
      </w:r>
      <w:r w:rsidR="00803134">
        <w:t xml:space="preserve">approximately </w:t>
      </w:r>
      <w:r w:rsidR="00BC6A0D">
        <w:t>$</w:t>
      </w:r>
      <w:r w:rsidR="00215E61">
        <w:t xml:space="preserve">484 </w:t>
      </w:r>
      <w:r w:rsidR="00BC6A0D">
        <w:t>million</w:t>
      </w:r>
      <w:r w:rsidR="00215E61">
        <w:t xml:space="preserve"> </w:t>
      </w:r>
      <w:r w:rsidR="00BC6A0D">
        <w:t xml:space="preserve">in 2013 </w:t>
      </w:r>
      <w:r>
        <w:t xml:space="preserve">and </w:t>
      </w:r>
      <w:proofErr w:type="spellStart"/>
      <w:r>
        <w:t>Citi</w:t>
      </w:r>
      <w:r w:rsidR="006D1A54">
        <w:t>P</w:t>
      </w:r>
      <w:r>
        <w:t>ower</w:t>
      </w:r>
      <w:proofErr w:type="spellEnd"/>
      <w:r>
        <w:t xml:space="preserve"> spending</w:t>
      </w:r>
      <w:r w:rsidR="00803134">
        <w:t xml:space="preserve"> the least,</w:t>
      </w:r>
      <w:r w:rsidR="00BC6A0D">
        <w:t xml:space="preserve"> </w:t>
      </w:r>
      <w:r w:rsidR="00803134">
        <w:t xml:space="preserve">approximately </w:t>
      </w:r>
      <w:r w:rsidR="00BC6A0D">
        <w:t xml:space="preserve">$55 million in </w:t>
      </w:r>
      <w:r>
        <w:t>the same year</w:t>
      </w:r>
      <w:r w:rsidR="00BC6A0D">
        <w:t xml:space="preserve">. Because there are large differences in the operating expenditure for the networks it is necessary to consider the size of their networks. </w:t>
      </w:r>
    </w:p>
    <w:p w:rsidR="00A572FC" w:rsidRDefault="00E232A7" w:rsidP="00A572FC">
      <w:r>
        <w:lastRenderedPageBreak/>
        <w:fldChar w:fldCharType="begin"/>
      </w:r>
      <w:r>
        <w:instrText xml:space="preserve"> REF _Ref404161604 \h </w:instrText>
      </w:r>
      <w:r>
        <w:fldChar w:fldCharType="separate"/>
      </w:r>
      <w:r w:rsidR="00421701">
        <w:t xml:space="preserve">Figure </w:t>
      </w:r>
      <w:r w:rsidR="00421701">
        <w:rPr>
          <w:noProof/>
        </w:rPr>
        <w:t>12</w:t>
      </w:r>
      <w:r>
        <w:fldChar w:fldCharType="end"/>
      </w:r>
      <w:r w:rsidR="0005432D">
        <w:t xml:space="preserve"> </w:t>
      </w:r>
      <w:r w:rsidR="00766897">
        <w:t xml:space="preserve">illustrates the </w:t>
      </w:r>
      <w:r w:rsidR="006832CC">
        <w:t>PPI ratio of</w:t>
      </w:r>
      <w:r w:rsidR="00766897">
        <w:t xml:space="preserve"> </w:t>
      </w:r>
      <w:r w:rsidR="00B176A9">
        <w:t xml:space="preserve">five year average </w:t>
      </w:r>
      <w:r w:rsidR="00766897">
        <w:t>operating expenditure</w:t>
      </w:r>
      <w:r w:rsidR="006832CC">
        <w:t xml:space="preserve"> per customer</w:t>
      </w:r>
      <w:r w:rsidR="00766897">
        <w:t>.</w:t>
      </w:r>
      <w:r w:rsidR="00B25282">
        <w:t xml:space="preserve"> </w:t>
      </w:r>
      <w:r w:rsidR="008F043C">
        <w:t>Under this measure the Victorian and South Australian distributors appear the most productive in their use of opex.</w:t>
      </w:r>
      <w:r w:rsidR="00C56D8C">
        <w:t xml:space="preserve"> </w:t>
      </w:r>
      <w:r w:rsidR="006959C4">
        <w:t>T</w:t>
      </w:r>
      <w:r w:rsidR="00B176A9">
        <w:t>hey have the lowest ratio of opex to customers regardless of their</w:t>
      </w:r>
      <w:r w:rsidR="00447F0F">
        <w:t xml:space="preserve"> customer</w:t>
      </w:r>
      <w:r w:rsidR="00B176A9">
        <w:t xml:space="preserve"> density.</w:t>
      </w:r>
      <w:r w:rsidR="00BC6A0D">
        <w:t xml:space="preserve"> This is because they spend the lowest amount of opex per customer at about $200 per customer each. </w:t>
      </w:r>
      <w:proofErr w:type="spellStart"/>
      <w:r w:rsidR="00BC6A0D">
        <w:t>Ergon</w:t>
      </w:r>
      <w:proofErr w:type="spellEnd"/>
      <w:r w:rsidR="00BC6A0D">
        <w:t xml:space="preserve"> has the highest opex spend per customer, being approximately double that of the Victorian networks and South Australian networks. </w:t>
      </w:r>
    </w:p>
    <w:p w:rsidR="00766897" w:rsidRDefault="00D026F1" w:rsidP="00826796">
      <w:r>
        <w:t>We note that t</w:t>
      </w:r>
      <w:r w:rsidRPr="00036AF4">
        <w:t xml:space="preserve">here </w:t>
      </w:r>
      <w:r>
        <w:t>may be</w:t>
      </w:r>
      <w:r w:rsidRPr="00036AF4">
        <w:t xml:space="preserve"> operating environment factors (see </w:t>
      </w:r>
      <w:r w:rsidR="00E232A7">
        <w:t xml:space="preserve">Section </w:t>
      </w:r>
      <w:r w:rsidR="00E232A7">
        <w:fldChar w:fldCharType="begin"/>
      </w:r>
      <w:r w:rsidR="00E232A7">
        <w:instrText xml:space="preserve"> REF _Ref404161628 \n \h </w:instrText>
      </w:r>
      <w:r w:rsidR="00E232A7">
        <w:fldChar w:fldCharType="separate"/>
      </w:r>
      <w:r w:rsidR="00421701">
        <w:t>1.1.4</w:t>
      </w:r>
      <w:r w:rsidR="00E232A7">
        <w:fldChar w:fldCharType="end"/>
      </w:r>
      <w:r w:rsidRPr="00036AF4">
        <w:t xml:space="preserve">) that are outside the control of the service provider and unaccounted for in our </w:t>
      </w:r>
      <w:r>
        <w:t>MTFP results</w:t>
      </w:r>
      <w:r w:rsidRPr="00036AF4">
        <w:t>; the</w:t>
      </w:r>
      <w:r>
        <w:t xml:space="preserve"> presence of operating environment factors should be considered when examining the</w:t>
      </w:r>
      <w:r w:rsidRPr="00036AF4">
        <w:t xml:space="preserve"> results</w:t>
      </w:r>
      <w:r>
        <w:t xml:space="preserve"> in this section. </w:t>
      </w:r>
      <w:r w:rsidR="00A572FC" w:rsidRPr="00036AF4">
        <w:t xml:space="preserve"> </w:t>
      </w:r>
    </w:p>
    <w:p w:rsidR="00D91141" w:rsidRDefault="0005432D" w:rsidP="0005432D">
      <w:pPr>
        <w:pStyle w:val="Caption"/>
      </w:pPr>
      <w:bookmarkStart w:id="42" w:name="_Ref404161604"/>
      <w:r>
        <w:t xml:space="preserve">Figure </w:t>
      </w:r>
      <w:fldSimple w:instr=" SEQ Figure \* ARABIC ">
        <w:r w:rsidR="00421701">
          <w:rPr>
            <w:noProof/>
          </w:rPr>
          <w:t>12</w:t>
        </w:r>
      </w:fldSimple>
      <w:bookmarkEnd w:id="42"/>
      <w:proofErr w:type="gramStart"/>
      <w:r w:rsidR="00D91141">
        <w:tab/>
        <w:t>Operating expenditure per customer</w:t>
      </w:r>
      <w:proofErr w:type="gramEnd"/>
      <w:r w:rsidR="00F53613">
        <w:t xml:space="preserve"> compared to customer density</w:t>
      </w:r>
      <w:r w:rsidR="00C44A7F">
        <w:t xml:space="preserve"> (average 2009–2013)</w:t>
      </w:r>
      <w:r w:rsidR="0016501E">
        <w:tab/>
      </w:r>
    </w:p>
    <w:p w:rsidR="00D91141" w:rsidRPr="00C958F6" w:rsidRDefault="00172E23" w:rsidP="00D91141">
      <w:pPr>
        <w:pStyle w:val="Caption"/>
      </w:pPr>
      <w:r w:rsidRPr="00172E23">
        <w:drawing>
          <wp:inline distT="0" distB="0" distL="0" distR="0">
            <wp:extent cx="5309870" cy="3580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C63DD1" w:rsidRDefault="00E97150" w:rsidP="00B25282">
      <w:pPr>
        <w:pStyle w:val="AERbodytext"/>
      </w:pPr>
      <w:r>
        <w:t>There is</w:t>
      </w:r>
      <w:r w:rsidR="008B79E1">
        <w:t xml:space="preserve"> some</w:t>
      </w:r>
      <w:r>
        <w:t xml:space="preserve"> va</w:t>
      </w:r>
      <w:r w:rsidR="00457A25">
        <w:t xml:space="preserve">riability </w:t>
      </w:r>
      <w:r>
        <w:t xml:space="preserve">in the partial </w:t>
      </w:r>
      <w:r w:rsidR="00224ADA">
        <w:t>performance</w:t>
      </w:r>
      <w:r>
        <w:t xml:space="preserve"> of opex depending on the output selected (</w:t>
      </w:r>
      <w:r w:rsidR="00826796">
        <w:t>as evidenced by the figures in A</w:t>
      </w:r>
      <w:r>
        <w:t xml:space="preserve">ppendix A). </w:t>
      </w:r>
      <w:r w:rsidR="00457A25">
        <w:t xml:space="preserve">However, </w:t>
      </w:r>
      <w:r w:rsidR="004D477B">
        <w:t>under most of the measures the Victorian and South Australian distributors appear more productive in their use of opex</w:t>
      </w:r>
      <w:r w:rsidR="00C56D8C" w:rsidRPr="00C56D8C">
        <w:t xml:space="preserve"> </w:t>
      </w:r>
      <w:r w:rsidR="00C56D8C">
        <w:t xml:space="preserve">because </w:t>
      </w:r>
      <w:r w:rsidR="00B176A9">
        <w:t>they generally have the lowest ratio of opex per unit of output</w:t>
      </w:r>
      <w:r w:rsidR="004D477B">
        <w:t>.</w:t>
      </w:r>
    </w:p>
    <w:p w:rsidR="00683A95" w:rsidRPr="00D91141" w:rsidRDefault="00683A95" w:rsidP="00B25282">
      <w:pPr>
        <w:pStyle w:val="AERbodytext"/>
      </w:pPr>
      <w:r>
        <w:t xml:space="preserve">It is important to note that opex is only one of the two broad inputs that distributors can use to deliver their services. </w:t>
      </w:r>
      <w:r w:rsidR="004D477B">
        <w:t>T</w:t>
      </w:r>
      <w:r>
        <w:t>he assets that distributors use in providing their services</w:t>
      </w:r>
      <w:r w:rsidR="004D477B">
        <w:t xml:space="preserve"> </w:t>
      </w:r>
      <w:r w:rsidR="00A66758">
        <w:t xml:space="preserve">are </w:t>
      </w:r>
      <w:r w:rsidR="004D477B">
        <w:t>also a significant input into the provision of distribution services. This is considered in the next section</w:t>
      </w:r>
      <w:r>
        <w:t>.</w:t>
      </w:r>
    </w:p>
    <w:p w:rsidR="00846A0F" w:rsidRDefault="003348F6" w:rsidP="00846A0F">
      <w:pPr>
        <w:pStyle w:val="Heading3"/>
      </w:pPr>
      <w:bookmarkStart w:id="43" w:name="_Ref394042571"/>
      <w:bookmarkStart w:id="44" w:name="_Toc404010818"/>
      <w:r w:rsidRPr="003348F6">
        <w:t>Asset</w:t>
      </w:r>
      <w:r w:rsidR="000C68D7">
        <w:t xml:space="preserve"> cost</w:t>
      </w:r>
      <w:bookmarkEnd w:id="43"/>
      <w:bookmarkEnd w:id="44"/>
    </w:p>
    <w:p w:rsidR="00C14BE3" w:rsidRDefault="00C14BE3" w:rsidP="00C14BE3">
      <w:pPr>
        <w:pStyle w:val="AERbodytext"/>
      </w:pPr>
      <w:r>
        <w:t xml:space="preserve">As opex is consumed in the period that it is </w:t>
      </w:r>
      <w:r w:rsidR="004440A7">
        <w:t xml:space="preserve">purchased </w:t>
      </w:r>
      <w:r>
        <w:t xml:space="preserve">it is relatively simple to compare it to outputs </w:t>
      </w:r>
      <w:r w:rsidR="0016278A">
        <w:t>delivered</w:t>
      </w:r>
      <w:r>
        <w:t xml:space="preserve"> in that period. The comparison of </w:t>
      </w:r>
      <w:r w:rsidR="00304D07">
        <w:t>the input of assets</w:t>
      </w:r>
      <w:r>
        <w:t xml:space="preserve"> </w:t>
      </w:r>
      <w:r w:rsidR="003C30E8">
        <w:t xml:space="preserve">across distributors </w:t>
      </w:r>
      <w:r>
        <w:t xml:space="preserve">is more complex because </w:t>
      </w:r>
      <w:r w:rsidR="0016278A">
        <w:t>assets</w:t>
      </w:r>
      <w:r>
        <w:t xml:space="preserve"> will provide </w:t>
      </w:r>
      <w:r w:rsidR="00683A95">
        <w:t>services</w:t>
      </w:r>
      <w:r>
        <w:t xml:space="preserve"> over a number of years</w:t>
      </w:r>
      <w:r w:rsidR="004440A7">
        <w:t xml:space="preserve"> and, indeed, a number of decades</w:t>
      </w:r>
      <w:r>
        <w:t xml:space="preserve">. This means that comparing expenditure on </w:t>
      </w:r>
      <w:r w:rsidR="0016278A">
        <w:t>assets</w:t>
      </w:r>
      <w:r w:rsidR="000E6A30">
        <w:t xml:space="preserve"> (capital expenditure or capex)</w:t>
      </w:r>
      <w:r>
        <w:t xml:space="preserve"> in a period to output in that period </w:t>
      </w:r>
      <w:r w:rsidR="004440A7">
        <w:t xml:space="preserve">is unlikely to be a useful </w:t>
      </w:r>
      <w:r>
        <w:t xml:space="preserve">comparison as </w:t>
      </w:r>
      <w:r w:rsidR="0016278A">
        <w:t>capex</w:t>
      </w:r>
      <w:r>
        <w:t xml:space="preserve"> may fluctuate from period to period. </w:t>
      </w:r>
      <w:r w:rsidR="008B79E1">
        <w:t xml:space="preserve">Capex also reflects new assets installed in </w:t>
      </w:r>
      <w:r w:rsidR="00823097">
        <w:t xml:space="preserve">the period which may have only provided services for part of the </w:t>
      </w:r>
      <w:r w:rsidR="00823097">
        <w:lastRenderedPageBreak/>
        <w:t xml:space="preserve">period. </w:t>
      </w:r>
      <w:r>
        <w:t xml:space="preserve">Further, such a comparison would not consider the </w:t>
      </w:r>
      <w:r w:rsidR="00823097">
        <w:t xml:space="preserve">quantity </w:t>
      </w:r>
      <w:r>
        <w:t xml:space="preserve">of </w:t>
      </w:r>
      <w:r w:rsidR="000E6A30">
        <w:t xml:space="preserve">assets </w:t>
      </w:r>
      <w:r>
        <w:t xml:space="preserve">in place being used to provide </w:t>
      </w:r>
      <w:r w:rsidR="004440A7">
        <w:t xml:space="preserve">the bulk of </w:t>
      </w:r>
      <w:r>
        <w:t>services.</w:t>
      </w:r>
    </w:p>
    <w:p w:rsidR="00FB05BD" w:rsidRDefault="00B847BF" w:rsidP="0041626D">
      <w:pPr>
        <w:pStyle w:val="AERbodytext"/>
      </w:pPr>
      <w:r>
        <w:t xml:space="preserve">To measure the cost of assets used to provide services we have chosen to use </w:t>
      </w:r>
      <w:r w:rsidR="000E6A30">
        <w:t>a measure of asset cost to consumers (asset cost)</w:t>
      </w:r>
      <w:r>
        <w:t xml:space="preserve">. This represents the amount that consumers are </w:t>
      </w:r>
      <w:r w:rsidR="00823097">
        <w:t>charged</w:t>
      </w:r>
      <w:r>
        <w:t xml:space="preserve"> for the </w:t>
      </w:r>
      <w:r w:rsidR="0016278A">
        <w:t>asset</w:t>
      </w:r>
      <w:r>
        <w:t xml:space="preserve"> inputs of the </w:t>
      </w:r>
      <w:r w:rsidR="00823097">
        <w:t>distributors</w:t>
      </w:r>
      <w:r w:rsidR="00336969">
        <w:t xml:space="preserve"> on annual basis</w:t>
      </w:r>
      <w:r>
        <w:t xml:space="preserve">. The </w:t>
      </w:r>
      <w:r w:rsidR="000E6A30">
        <w:t>asset cost</w:t>
      </w:r>
      <w:r>
        <w:t xml:space="preserve"> is made up of </w:t>
      </w:r>
      <w:r w:rsidR="00C924DE">
        <w:t xml:space="preserve">depreciation </w:t>
      </w:r>
      <w:r w:rsidR="00336969">
        <w:t xml:space="preserve">(return of capital) </w:t>
      </w:r>
      <w:r w:rsidR="00C924DE">
        <w:t xml:space="preserve">and the return on investment </w:t>
      </w:r>
      <w:r w:rsidR="00336969">
        <w:t xml:space="preserve">(return on capital) </w:t>
      </w:r>
      <w:r w:rsidR="00B9733E">
        <w:t>o</w:t>
      </w:r>
      <w:r w:rsidR="00C924DE">
        <w:t>f the</w:t>
      </w:r>
      <w:r w:rsidR="00823097">
        <w:t xml:space="preserve"> distributors</w:t>
      </w:r>
      <w:r w:rsidR="004A66CB">
        <w:t>.</w:t>
      </w:r>
    </w:p>
    <w:p w:rsidR="00C64656" w:rsidRDefault="009922C7" w:rsidP="00C64656">
      <w:pPr>
        <w:pStyle w:val="AERbodytext"/>
      </w:pPr>
      <w:r>
        <w:t xml:space="preserve">To calculate the asset costs we have applied the average return on capital </w:t>
      </w:r>
      <w:r w:rsidR="00033334">
        <w:t>over the period.</w:t>
      </w:r>
      <w:r w:rsidR="00033334">
        <w:rPr>
          <w:rStyle w:val="FootnoteReference"/>
        </w:rPr>
        <w:footnoteReference w:id="32"/>
      </w:r>
      <w:r>
        <w:t xml:space="preserve"> </w:t>
      </w:r>
      <w:r w:rsidR="00033334">
        <w:t>Applying the average return on capital over the period accounts for variations in the return on capital across distributors and over time.</w:t>
      </w:r>
      <w:r w:rsidR="00C64656">
        <w:t xml:space="preserve"> We have adopted a consistent return on capital over time and across distributors to avoid differences in the return on capital being a source of difference in our benchmarking measures.</w:t>
      </w:r>
    </w:p>
    <w:p w:rsidR="00B47F35" w:rsidRDefault="00B47F35" w:rsidP="00C64656">
      <w:pPr>
        <w:pStyle w:val="AERbodytext"/>
      </w:pPr>
      <w:r>
        <w:t xml:space="preserve">In the calculation of total cost we use straight line depreciation as reported by the businesses in their response to our economic benchmarking RIN. </w:t>
      </w:r>
      <w:r w:rsidR="00F7759C" w:rsidRPr="0069076E">
        <w:t>The RIN required that straight line depreciation be</w:t>
      </w:r>
      <w:r w:rsidR="00F7759C" w:rsidRPr="00F7759C">
        <w:t xml:space="preserve"> reported in accordance with the approach applied in calculating the regulatory asset base.</w:t>
      </w:r>
      <w:r w:rsidR="001C3DAC">
        <w:rPr>
          <w:rStyle w:val="FootnoteReference"/>
        </w:rPr>
        <w:footnoteReference w:id="33"/>
      </w:r>
    </w:p>
    <w:p w:rsidR="00CC1856" w:rsidRDefault="00CC1856" w:rsidP="000C68D7">
      <w:pPr>
        <w:pStyle w:val="AERbodytext"/>
        <w:numPr>
          <w:ilvl w:val="0"/>
          <w:numId w:val="0"/>
        </w:numPr>
      </w:pPr>
      <w:r>
        <w:t xml:space="preserve">Our measure of asset costs tracks closely to the RABs of the distributors. This is expected as the asset costs are </w:t>
      </w:r>
      <w:r w:rsidR="009F14AE">
        <w:t xml:space="preserve">driven by the size of the </w:t>
      </w:r>
      <w:r>
        <w:t>RAB</w:t>
      </w:r>
      <w:r w:rsidR="009F14AE">
        <w:t xml:space="preserve">. </w:t>
      </w:r>
      <w:r w:rsidR="001C3DAC">
        <w:t>D</w:t>
      </w:r>
      <w:r w:rsidR="009F14AE">
        <w:t>epreciation and the return on investment are proportionate to the size of the RAB</w:t>
      </w:r>
      <w:r w:rsidR="0041626D">
        <w:t xml:space="preserve">, </w:t>
      </w:r>
      <w:r w:rsidR="00094BE8">
        <w:fldChar w:fldCharType="begin"/>
      </w:r>
      <w:r w:rsidR="00094BE8">
        <w:instrText xml:space="preserve"> REF _Ref404161709 \h </w:instrText>
      </w:r>
      <w:r w:rsidR="00094BE8">
        <w:fldChar w:fldCharType="separate"/>
      </w:r>
      <w:r w:rsidR="00421701">
        <w:t xml:space="preserve">Figure </w:t>
      </w:r>
      <w:r w:rsidR="00421701">
        <w:rPr>
          <w:noProof/>
        </w:rPr>
        <w:t>22</w:t>
      </w:r>
      <w:r w:rsidR="00094BE8">
        <w:fldChar w:fldCharType="end"/>
      </w:r>
      <w:r w:rsidR="0041626D">
        <w:t xml:space="preserve"> and </w:t>
      </w:r>
      <w:r w:rsidR="00094BE8">
        <w:fldChar w:fldCharType="begin"/>
      </w:r>
      <w:r w:rsidR="00094BE8">
        <w:instrText xml:space="preserve"> REF _Ref404161723 \h </w:instrText>
      </w:r>
      <w:r w:rsidR="00094BE8">
        <w:fldChar w:fldCharType="separate"/>
      </w:r>
      <w:r w:rsidR="00421701">
        <w:t xml:space="preserve">Figure </w:t>
      </w:r>
      <w:r w:rsidR="00421701">
        <w:rPr>
          <w:noProof/>
        </w:rPr>
        <w:t>23</w:t>
      </w:r>
      <w:r w:rsidR="00094BE8">
        <w:fldChar w:fldCharType="end"/>
      </w:r>
      <w:r w:rsidR="0041626D">
        <w:t xml:space="preserve"> in Appendix A </w:t>
      </w:r>
      <w:proofErr w:type="gramStart"/>
      <w:r w:rsidR="0041626D">
        <w:t>show</w:t>
      </w:r>
      <w:proofErr w:type="gramEnd"/>
      <w:r w:rsidR="0041626D">
        <w:t xml:space="preserve"> this relationship.</w:t>
      </w:r>
    </w:p>
    <w:p w:rsidR="00C924DE" w:rsidRDefault="00271732" w:rsidP="0041626D">
      <w:pPr>
        <w:pStyle w:val="AERbodytext"/>
      </w:pPr>
      <w:bookmarkStart w:id="45" w:name="_Ref390695664"/>
      <w:bookmarkStart w:id="46" w:name="_Ref390695660"/>
      <w:r w:rsidRPr="008B79E1">
        <w:t xml:space="preserve">When asset cost per customer </w:t>
      </w:r>
      <w:r>
        <w:t xml:space="preserve">is compared to customer density the benchmarking results appear similar to those for opex. </w:t>
      </w:r>
    </w:p>
    <w:p w:rsidR="003C30E8" w:rsidRDefault="003C30E8" w:rsidP="003C30E8">
      <w:pPr>
        <w:pStyle w:val="Caption"/>
      </w:pPr>
      <w:bookmarkStart w:id="47" w:name="_Ref404161801"/>
      <w:r>
        <w:lastRenderedPageBreak/>
        <w:t xml:space="preserve">Figure </w:t>
      </w:r>
      <w:r w:rsidR="008274F9" w:rsidRPr="003C30E8">
        <w:fldChar w:fldCharType="begin"/>
      </w:r>
      <w:r>
        <w:instrText xml:space="preserve"> SEQ Figure \* ARABIC </w:instrText>
      </w:r>
      <w:r w:rsidR="008274F9" w:rsidRPr="003C30E8">
        <w:fldChar w:fldCharType="separate"/>
      </w:r>
      <w:r w:rsidR="00421701">
        <w:rPr>
          <w:noProof/>
        </w:rPr>
        <w:t>13</w:t>
      </w:r>
      <w:r w:rsidR="008274F9" w:rsidRPr="003C30E8">
        <w:fldChar w:fldCharType="end"/>
      </w:r>
      <w:bookmarkEnd w:id="45"/>
      <w:bookmarkEnd w:id="47"/>
      <w:r>
        <w:tab/>
        <w:t xml:space="preserve">Asset cost per </w:t>
      </w:r>
      <w:r w:rsidR="003348F6" w:rsidRPr="003348F6">
        <w:t>customer</w:t>
      </w:r>
      <w:r w:rsidR="00F53613">
        <w:t xml:space="preserve"> compared to customer density</w:t>
      </w:r>
      <w:r w:rsidR="00C44A7F">
        <w:t xml:space="preserve"> (average </w:t>
      </w:r>
      <w:r w:rsidR="009148D0">
        <w:t>2009–2013)</w:t>
      </w:r>
    </w:p>
    <w:p w:rsidR="003C30E8" w:rsidRDefault="00172E23" w:rsidP="00172E23">
      <w:pPr>
        <w:pStyle w:val="AERbodytext"/>
      </w:pPr>
      <w:r w:rsidRPr="00172E23">
        <w:drawing>
          <wp:inline distT="0" distB="0" distL="0" distR="0">
            <wp:extent cx="5309870" cy="35807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E97150" w:rsidRDefault="00CC271E" w:rsidP="001D5FE6">
      <w:pPr>
        <w:pStyle w:val="AERbodytext"/>
        <w:numPr>
          <w:ilvl w:val="0"/>
          <w:numId w:val="0"/>
        </w:numPr>
      </w:pPr>
      <w:r>
        <w:t xml:space="preserve">Similar to </w:t>
      </w:r>
      <w:r w:rsidR="001D5FE6">
        <w:t xml:space="preserve">the partial performance indicators for opex there is variability in the performance of the distributors </w:t>
      </w:r>
      <w:r w:rsidR="0005432D">
        <w:t xml:space="preserve">on asset cost </w:t>
      </w:r>
      <w:r w:rsidR="001D5FE6">
        <w:t xml:space="preserve">depending on the </w:t>
      </w:r>
      <w:r w:rsidR="00427E5B">
        <w:t>output measure</w:t>
      </w:r>
      <w:r w:rsidR="001D5FE6">
        <w:t xml:space="preserve"> used</w:t>
      </w:r>
      <w:r w:rsidR="0005432D">
        <w:t xml:space="preserve"> (see </w:t>
      </w:r>
      <w:r w:rsidR="00223600">
        <w:fldChar w:fldCharType="begin"/>
      </w:r>
      <w:r w:rsidR="00223600">
        <w:instrText xml:space="preserve"> REF _Ref404161801 \h </w:instrText>
      </w:r>
      <w:r w:rsidR="00223600">
        <w:fldChar w:fldCharType="separate"/>
      </w:r>
      <w:r w:rsidR="00421701">
        <w:t xml:space="preserve">Figure </w:t>
      </w:r>
      <w:r w:rsidR="00421701">
        <w:rPr>
          <w:noProof/>
        </w:rPr>
        <w:t>13</w:t>
      </w:r>
      <w:r w:rsidR="00223600">
        <w:fldChar w:fldCharType="end"/>
      </w:r>
      <w:r w:rsidR="0005432D">
        <w:t xml:space="preserve"> and Appendix A)</w:t>
      </w:r>
      <w:r w:rsidR="001D5FE6">
        <w:t>. T</w:t>
      </w:r>
      <w:r w:rsidR="00E97150">
        <w:t>he</w:t>
      </w:r>
      <w:r w:rsidR="001D5FE6">
        <w:t xml:space="preserve"> </w:t>
      </w:r>
      <w:r w:rsidR="00E97150">
        <w:t>Victorian distributors appear the most efficient</w:t>
      </w:r>
      <w:r w:rsidR="001D5FE6">
        <w:t xml:space="preserve"> in the use of assets</w:t>
      </w:r>
      <w:r>
        <w:t xml:space="preserve"> because </w:t>
      </w:r>
      <w:r w:rsidR="00271732">
        <w:t>they have the lowest asset cost per customer regardless of</w:t>
      </w:r>
      <w:r w:rsidR="00653D70">
        <w:t xml:space="preserve"> customer</w:t>
      </w:r>
      <w:r w:rsidR="00271732">
        <w:t xml:space="preserve"> density.</w:t>
      </w:r>
    </w:p>
    <w:p w:rsidR="00846A0F" w:rsidRDefault="00846A0F" w:rsidP="00846A0F">
      <w:pPr>
        <w:pStyle w:val="Heading3"/>
      </w:pPr>
      <w:bookmarkStart w:id="48" w:name="_Toc404010819"/>
      <w:bookmarkEnd w:id="46"/>
      <w:r>
        <w:t>Total costs</w:t>
      </w:r>
      <w:bookmarkEnd w:id="48"/>
    </w:p>
    <w:p w:rsidR="00557D41" w:rsidRPr="00557D41" w:rsidRDefault="00B42208" w:rsidP="001329CB">
      <w:pPr>
        <w:pStyle w:val="AERbodytext"/>
      </w:pPr>
      <w:r>
        <w:t xml:space="preserve">To consider the total input for each output we have </w:t>
      </w:r>
      <w:r w:rsidR="005D11A6">
        <w:t xml:space="preserve">added </w:t>
      </w:r>
      <w:r>
        <w:t xml:space="preserve">opex and </w:t>
      </w:r>
      <w:r w:rsidR="000E6A30">
        <w:t xml:space="preserve">asset </w:t>
      </w:r>
      <w:r>
        <w:t>cost</w:t>
      </w:r>
      <w:r w:rsidR="005D11A6">
        <w:t>s</w:t>
      </w:r>
      <w:r>
        <w:t xml:space="preserve">. </w:t>
      </w:r>
      <w:r w:rsidR="001D5FE6">
        <w:t>The</w:t>
      </w:r>
      <w:r w:rsidR="00701FDB">
        <w:t xml:space="preserve"> PPI results for this benchmarking is similar to that of the benchmarking of opex costs and asset cost.</w:t>
      </w:r>
      <w:r w:rsidR="001D5FE6">
        <w:t xml:space="preserve"> </w:t>
      </w:r>
      <w:r w:rsidR="00223600">
        <w:fldChar w:fldCharType="begin"/>
      </w:r>
      <w:r w:rsidR="00223600">
        <w:instrText xml:space="preserve"> REF _Ref390849670 \h </w:instrText>
      </w:r>
      <w:r w:rsidR="00223600">
        <w:fldChar w:fldCharType="separate"/>
      </w:r>
      <w:r w:rsidR="00421701">
        <w:t xml:space="preserve">Figure </w:t>
      </w:r>
      <w:r w:rsidR="00421701">
        <w:rPr>
          <w:noProof/>
        </w:rPr>
        <w:t>14</w:t>
      </w:r>
      <w:r w:rsidR="00223600">
        <w:fldChar w:fldCharType="end"/>
      </w:r>
      <w:r w:rsidR="0005432D">
        <w:t xml:space="preserve"> shows w</w:t>
      </w:r>
      <w:r w:rsidR="00557D41">
        <w:t xml:space="preserve">hen </w:t>
      </w:r>
      <w:r w:rsidR="00367F54">
        <w:t>total cost</w:t>
      </w:r>
      <w:r w:rsidR="00557D41">
        <w:t xml:space="preserve"> per customer is compared to customer density the Victorian distributors appear the most efficient regardless of customer density.</w:t>
      </w:r>
    </w:p>
    <w:p w:rsidR="00701FDB" w:rsidRDefault="00701FDB" w:rsidP="00701FDB">
      <w:pPr>
        <w:pStyle w:val="Caption"/>
      </w:pPr>
      <w:bookmarkStart w:id="49" w:name="_Ref390849670"/>
      <w:r>
        <w:lastRenderedPageBreak/>
        <w:t xml:space="preserve">Figure </w:t>
      </w:r>
      <w:r w:rsidR="008274F9" w:rsidRPr="00701FDB">
        <w:fldChar w:fldCharType="begin"/>
      </w:r>
      <w:r>
        <w:instrText xml:space="preserve"> SEQ Figure \* ARABIC </w:instrText>
      </w:r>
      <w:r w:rsidR="008274F9" w:rsidRPr="00701FDB">
        <w:fldChar w:fldCharType="separate"/>
      </w:r>
      <w:r w:rsidR="00421701">
        <w:rPr>
          <w:noProof/>
        </w:rPr>
        <w:t>14</w:t>
      </w:r>
      <w:r w:rsidR="008274F9" w:rsidRPr="00701FDB">
        <w:fldChar w:fldCharType="end"/>
      </w:r>
      <w:bookmarkEnd w:id="49"/>
      <w:r>
        <w:tab/>
      </w:r>
      <w:r w:rsidR="000E6A30">
        <w:t>Total</w:t>
      </w:r>
      <w:r>
        <w:t xml:space="preserve"> cost per customer</w:t>
      </w:r>
      <w:r w:rsidR="00F53613">
        <w:t xml:space="preserve"> compared to customer density</w:t>
      </w:r>
      <w:r w:rsidR="009B30C7">
        <w:t xml:space="preserve"> (average 2009–2013)</w:t>
      </w:r>
    </w:p>
    <w:p w:rsidR="005363E8" w:rsidRDefault="00172E23" w:rsidP="00172E23">
      <w:pPr>
        <w:pStyle w:val="AERbodytext"/>
      </w:pPr>
      <w:r w:rsidRPr="00172E23">
        <w:drawing>
          <wp:inline distT="0" distB="0" distL="0" distR="0">
            <wp:extent cx="5309870" cy="35807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5363E8" w:rsidRDefault="005363E8">
      <w:pPr>
        <w:spacing w:after="0" w:line="240" w:lineRule="auto"/>
        <w:jc w:val="left"/>
        <w:rPr>
          <w:rFonts w:eastAsia="Times New Roman"/>
          <w:szCs w:val="24"/>
        </w:rPr>
      </w:pPr>
      <w:r>
        <w:br w:type="page"/>
      </w:r>
    </w:p>
    <w:p w:rsidR="000E021B" w:rsidRDefault="000E021B" w:rsidP="000E021B">
      <w:pPr>
        <w:pStyle w:val="Heading2"/>
      </w:pPr>
      <w:bookmarkStart w:id="50" w:name="_Toc404010820"/>
      <w:bookmarkStart w:id="51" w:name="_Ref404169279"/>
      <w:bookmarkStart w:id="52" w:name="_Toc404244863"/>
      <w:r>
        <w:lastRenderedPageBreak/>
        <w:t>Multilateral total factor productivity</w:t>
      </w:r>
      <w:bookmarkEnd w:id="50"/>
      <w:bookmarkEnd w:id="51"/>
      <w:bookmarkEnd w:id="52"/>
    </w:p>
    <w:p w:rsidR="00F1450D" w:rsidRDefault="00557D41" w:rsidP="00F1450D">
      <w:pPr>
        <w:pStyle w:val="AERbodytext"/>
      </w:pPr>
      <w:r>
        <w:t xml:space="preserve">In the </w:t>
      </w:r>
      <w:r w:rsidR="00F1450D">
        <w:t>figures</w:t>
      </w:r>
      <w:r w:rsidR="009D1D5B">
        <w:t xml:space="preserve"> in S</w:t>
      </w:r>
      <w:r w:rsidR="00F1450D">
        <w:t xml:space="preserve">ection </w:t>
      </w:r>
      <w:r w:rsidR="00223600">
        <w:fldChar w:fldCharType="begin"/>
      </w:r>
      <w:r w:rsidR="00223600">
        <w:instrText xml:space="preserve"> REF _Ref395000914 \n \h </w:instrText>
      </w:r>
      <w:r w:rsidR="00223600">
        <w:fldChar w:fldCharType="separate"/>
      </w:r>
      <w:r w:rsidR="00421701">
        <w:t>2.1</w:t>
      </w:r>
      <w:r w:rsidR="00223600">
        <w:fldChar w:fldCharType="end"/>
      </w:r>
      <w:r w:rsidR="005363E8">
        <w:t xml:space="preserve"> </w:t>
      </w:r>
      <w:r>
        <w:t xml:space="preserve">and Appendix </w:t>
      </w:r>
      <w:proofErr w:type="gramStart"/>
      <w:r>
        <w:t>A</w:t>
      </w:r>
      <w:proofErr w:type="gramEnd"/>
      <w:r>
        <w:t xml:space="preserve"> the Victorian </w:t>
      </w:r>
      <w:r w:rsidR="009D1D5B">
        <w:t xml:space="preserve">and South Australian </w:t>
      </w:r>
      <w:r w:rsidR="00823097">
        <w:t>distributors</w:t>
      </w:r>
      <w:r>
        <w:t xml:space="preserve"> generally appear more productive than their counterparts</w:t>
      </w:r>
      <w:r w:rsidR="006A07E6">
        <w:t>.</w:t>
      </w:r>
      <w:r w:rsidR="005363E8">
        <w:t xml:space="preserve"> </w:t>
      </w:r>
      <w:r w:rsidR="006A07E6">
        <w:t>However, t</w:t>
      </w:r>
      <w:r w:rsidR="005363E8">
        <w:t>he</w:t>
      </w:r>
      <w:r>
        <w:t xml:space="preserve"> performance of the</w:t>
      </w:r>
      <w:r w:rsidR="00F1450D">
        <w:t xml:space="preserve"> distributors differ</w:t>
      </w:r>
      <w:r>
        <w:t>s</w:t>
      </w:r>
      <w:r w:rsidR="00F1450D">
        <w:t xml:space="preserve"> </w:t>
      </w:r>
      <w:r>
        <w:t>depending on the</w:t>
      </w:r>
      <w:r w:rsidR="00E558B8">
        <w:t xml:space="preserve"> PPI selected</w:t>
      </w:r>
      <w:r w:rsidR="00F1450D">
        <w:t xml:space="preserve">. </w:t>
      </w:r>
      <w:r w:rsidR="006A07E6">
        <w:t>This makes it</w:t>
      </w:r>
      <w:r w:rsidR="00416A5D">
        <w:t xml:space="preserve"> difficult to </w:t>
      </w:r>
      <w:r w:rsidR="005D11A6">
        <w:t>quantify</w:t>
      </w:r>
      <w:r w:rsidR="00416A5D">
        <w:t xml:space="preserve"> about the efficiency of distributors from observing the PPI benchmarks alone. </w:t>
      </w:r>
      <w:r w:rsidR="006A07E6">
        <w:t>T</w:t>
      </w:r>
      <w:r w:rsidR="00416A5D">
        <w:t xml:space="preserve">he PPIs only consider the delivery of individual outputs. To </w:t>
      </w:r>
      <w:r w:rsidR="00667CA5">
        <w:t>quantify</w:t>
      </w:r>
      <w:r w:rsidR="00416A5D">
        <w:t xml:space="preserve"> on the overall productivity of distributors it is necessary to weight all </w:t>
      </w:r>
      <w:r w:rsidR="00653D70">
        <w:t xml:space="preserve">outputs relative to all </w:t>
      </w:r>
      <w:r w:rsidR="00416A5D">
        <w:t xml:space="preserve">inputs. MTFP </w:t>
      </w:r>
      <w:r w:rsidR="007A79A1">
        <w:t>measures the productivity of distributors in their use of</w:t>
      </w:r>
      <w:r w:rsidR="00E558B8">
        <w:t xml:space="preserve"> inputs </w:t>
      </w:r>
      <w:r w:rsidR="00823097">
        <w:t xml:space="preserve">to produce </w:t>
      </w:r>
      <w:r w:rsidR="00E558B8">
        <w:t>outputs</w:t>
      </w:r>
      <w:r w:rsidR="00416A5D">
        <w:t>.</w:t>
      </w:r>
    </w:p>
    <w:p w:rsidR="00004A90" w:rsidRDefault="00520C95" w:rsidP="00004A90">
      <w:pPr>
        <w:pStyle w:val="AERbodytext"/>
        <w:numPr>
          <w:ilvl w:val="0"/>
          <w:numId w:val="0"/>
        </w:numPr>
      </w:pPr>
      <w:r>
        <w:t xml:space="preserve">We have engaged Economic Insights to develop </w:t>
      </w:r>
      <w:r w:rsidR="00653D70">
        <w:t xml:space="preserve">and </w:t>
      </w:r>
      <w:r>
        <w:t xml:space="preserve">undertake MTFP analysis of the distributors. The </w:t>
      </w:r>
      <w:r w:rsidR="00823097">
        <w:t xml:space="preserve">key </w:t>
      </w:r>
      <w:r>
        <w:t>findings of their analysis are presented in this section of the report.</w:t>
      </w:r>
      <w:r w:rsidR="0010338D">
        <w:t xml:space="preserve"> </w:t>
      </w:r>
      <w:r w:rsidR="00004A90">
        <w:t xml:space="preserve">Economic Insights has prepared a </w:t>
      </w:r>
      <w:r w:rsidR="00CC228E">
        <w:t xml:space="preserve">report </w:t>
      </w:r>
      <w:r w:rsidR="00004A90">
        <w:t xml:space="preserve">on the development </w:t>
      </w:r>
      <w:r w:rsidR="006A07E6">
        <w:t>and rational</w:t>
      </w:r>
      <w:r w:rsidR="00B9733E">
        <w:t>e</w:t>
      </w:r>
      <w:r w:rsidR="006A07E6">
        <w:t xml:space="preserve"> for</w:t>
      </w:r>
      <w:r w:rsidR="00004A90">
        <w:t xml:space="preserve"> the MTFP model for the distributors.</w:t>
      </w:r>
      <w:r w:rsidR="006A07E6" w:rsidRPr="006A07E6">
        <w:rPr>
          <w:rStyle w:val="FootnoteReference"/>
        </w:rPr>
        <w:footnoteReference w:id="34"/>
      </w:r>
    </w:p>
    <w:p w:rsidR="00DC5EA2" w:rsidRDefault="00DC5EA2" w:rsidP="00DC5EA2">
      <w:pPr>
        <w:pStyle w:val="AERbodytext"/>
      </w:pPr>
      <w:r w:rsidRPr="0085234B">
        <w:t xml:space="preserve">Productivity is measured by </w:t>
      </w:r>
      <w:r>
        <w:t>constructing</w:t>
      </w:r>
      <w:r w:rsidRPr="0085234B">
        <w:t xml:space="preserve"> a ratio of</w:t>
      </w:r>
      <w:r>
        <w:t xml:space="preserve"> output produced over </w:t>
      </w:r>
      <w:r w:rsidRPr="0085234B">
        <w:t>inputs used.</w:t>
      </w:r>
      <w:r>
        <w:t xml:space="preserve"> Total factor productivity (</w:t>
      </w:r>
      <w:r w:rsidRPr="0085234B">
        <w:t>TFP</w:t>
      </w:r>
      <w:r>
        <w:t>) is one type of productivity measure,</w:t>
      </w:r>
      <w:r w:rsidRPr="0085234B">
        <w:t xml:space="preserve"> measur</w:t>
      </w:r>
      <w:r>
        <w:t>ing</w:t>
      </w:r>
      <w:r w:rsidRPr="0085234B">
        <w:t xml:space="preserve"> total output relative to an index of all inputs used. </w:t>
      </w:r>
      <w:r>
        <w:t>Total factor p</w:t>
      </w:r>
      <w:r w:rsidRPr="005438D3">
        <w:t>roductivity indexes are formed by aggregating output quantities into a measure of total output quantity and aggregating input quantities into a measure of total input quantity.</w:t>
      </w:r>
      <w:r>
        <w:rPr>
          <w:rStyle w:val="FootnoteReference"/>
        </w:rPr>
        <w:footnoteReference w:id="35"/>
      </w:r>
    </w:p>
    <w:p w:rsidR="006A07E6" w:rsidRDefault="006A07E6" w:rsidP="0010338D">
      <w:pPr>
        <w:pStyle w:val="AERbodytext"/>
      </w:pPr>
      <w:r>
        <w:t xml:space="preserve">This MTFP analysis compares the outputs (energy delivered, customer numbers, ratcheted maximum demand, </w:t>
      </w:r>
      <w:proofErr w:type="gramStart"/>
      <w:r>
        <w:t>reliability</w:t>
      </w:r>
      <w:proofErr w:type="gramEnd"/>
      <w:r>
        <w:t xml:space="preserve"> and circuit line length) against the inputs (opex and capital). In this analysis capital</w:t>
      </w:r>
      <w:r w:rsidR="007E24C2">
        <w:t xml:space="preserve"> input</w:t>
      </w:r>
      <w:r>
        <w:t xml:space="preserve"> is sp</w:t>
      </w:r>
      <w:r w:rsidR="00E163DE">
        <w:t>lit into five</w:t>
      </w:r>
      <w:r>
        <w:t xml:space="preserve"> distinct components – overhead </w:t>
      </w:r>
      <w:r w:rsidR="00E163DE">
        <w:t xml:space="preserve">distribution </w:t>
      </w:r>
      <w:r>
        <w:t>lines,</w:t>
      </w:r>
      <w:r w:rsidR="00E163DE">
        <w:t xml:space="preserve"> overhead </w:t>
      </w:r>
      <w:proofErr w:type="spellStart"/>
      <w:r w:rsidR="00E163DE">
        <w:t>subtransmission</w:t>
      </w:r>
      <w:proofErr w:type="spellEnd"/>
      <w:r w:rsidR="00E163DE">
        <w:t xml:space="preserve"> lines,</w:t>
      </w:r>
      <w:r>
        <w:t xml:space="preserve"> underground</w:t>
      </w:r>
      <w:r w:rsidR="00E163DE">
        <w:t xml:space="preserve"> distribution</w:t>
      </w:r>
      <w:r>
        <w:t xml:space="preserve"> cables</w:t>
      </w:r>
      <w:r w:rsidR="00E163DE">
        <w:t xml:space="preserve">, underground </w:t>
      </w:r>
      <w:proofErr w:type="spellStart"/>
      <w:r w:rsidR="00E163DE">
        <w:t>subtransmission</w:t>
      </w:r>
      <w:proofErr w:type="spellEnd"/>
      <w:r w:rsidR="00E163DE">
        <w:t xml:space="preserve"> cables</w:t>
      </w:r>
      <w:r w:rsidR="00653D70">
        <w:t>,</w:t>
      </w:r>
      <w:r>
        <w:t xml:space="preserve"> and transformers and other. </w:t>
      </w:r>
    </w:p>
    <w:p w:rsidR="00520C95" w:rsidRDefault="0010338D" w:rsidP="00261080">
      <w:pPr>
        <w:pStyle w:val="AERbodytext"/>
      </w:pPr>
      <w:r>
        <w:t xml:space="preserve">In developing this input/output specification Economic Insights considered a number of </w:t>
      </w:r>
      <w:r w:rsidR="00653D70">
        <w:t xml:space="preserve">different </w:t>
      </w:r>
      <w:r>
        <w:t xml:space="preserve">specifications. </w:t>
      </w:r>
      <w:r w:rsidR="003A1110">
        <w:t>T</w:t>
      </w:r>
      <w:r w:rsidR="00823097">
        <w:t>he</w:t>
      </w:r>
      <w:r>
        <w:t xml:space="preserve"> input/output specification presented here is </w:t>
      </w:r>
      <w:r w:rsidR="003A1110">
        <w:t>Economic Insight's preferred specification</w:t>
      </w:r>
      <w:r>
        <w:t>.</w:t>
      </w:r>
      <w:r w:rsidR="006A07E6">
        <w:t xml:space="preserve"> </w:t>
      </w:r>
      <w:r w:rsidR="003A1110">
        <w:t>We also consider that this is the best specification</w:t>
      </w:r>
      <w:r w:rsidR="006A07E6">
        <w:t>.</w:t>
      </w:r>
      <w:r w:rsidR="00261080">
        <w:t xml:space="preserve"> </w:t>
      </w:r>
      <w:r>
        <w:t xml:space="preserve">Other specifications tested, unlike this specification, appeared to disadvantage either urban or rural distributors. </w:t>
      </w:r>
      <w:r w:rsidR="003A1110">
        <w:t>Also,</w:t>
      </w:r>
      <w:r>
        <w:t xml:space="preserve"> this specification takes into account the </w:t>
      </w:r>
      <w:r w:rsidR="00653D70">
        <w:t xml:space="preserve">operating </w:t>
      </w:r>
      <w:r>
        <w:t>environment variable of customer density by including both customers and line length as outputs.</w:t>
      </w:r>
      <w:r w:rsidR="00653D70">
        <w:t xml:space="preserve"> It similarly includes some allowance for differences in energy density and demand density by including energy delivered and a measure of maximum demand as outputs.</w:t>
      </w:r>
      <w:r>
        <w:t xml:space="preserve"> Further this specification includes the reliability dimension of outputs.</w:t>
      </w:r>
      <w:r w:rsidR="00653D70">
        <w:t xml:space="preserve"> </w:t>
      </w:r>
      <w:r w:rsidR="00B16C10">
        <w:t>It also</w:t>
      </w:r>
      <w:r w:rsidR="00653D70">
        <w:t xml:space="preserve"> makes some allowances for differences in system structure and complexity across distributors</w:t>
      </w:r>
      <w:r w:rsidR="00B16C10">
        <w:t>, such as the delineation between transmission and distribution networks in NSW and QLD</w:t>
      </w:r>
      <w:r w:rsidR="00653D70">
        <w:t>.</w:t>
      </w:r>
      <w:r w:rsidR="008361D9">
        <w:t xml:space="preserve"> </w:t>
      </w:r>
    </w:p>
    <w:p w:rsidR="00A32BED" w:rsidRDefault="009A41A6" w:rsidP="00A32BED">
      <w:pPr>
        <w:pStyle w:val="AERbodytext"/>
      </w:pPr>
      <w:r>
        <w:t xml:space="preserve">To weight the inputs and outputs a </w:t>
      </w:r>
      <w:r w:rsidR="00823097">
        <w:t>cost share or price</w:t>
      </w:r>
      <w:r w:rsidR="00823097" w:rsidRPr="00E942D4">
        <w:t xml:space="preserve"> </w:t>
      </w:r>
      <w:r>
        <w:t>is required for each</w:t>
      </w:r>
      <w:r w:rsidRPr="00E942D4">
        <w:t xml:space="preserve"> out</w:t>
      </w:r>
      <w:r>
        <w:t>put and each input</w:t>
      </w:r>
      <w:r w:rsidRPr="00E942D4">
        <w:t>.</w:t>
      </w:r>
      <w:r>
        <w:t xml:space="preserve"> </w:t>
      </w:r>
      <w:r w:rsidR="00520C95">
        <w:t xml:space="preserve">Economic Insights has derived unit </w:t>
      </w:r>
      <w:r w:rsidR="00823097">
        <w:t xml:space="preserve">cost shares </w:t>
      </w:r>
      <w:r w:rsidR="00520C95">
        <w:t>for the inputs by dividing their costs by their quantities</w:t>
      </w:r>
      <w:r w:rsidR="00653D70">
        <w:t>.</w:t>
      </w:r>
      <w:r>
        <w:t xml:space="preserve"> </w:t>
      </w:r>
      <w:r w:rsidR="00520C95">
        <w:t>Economic Insights</w:t>
      </w:r>
      <w:r>
        <w:t xml:space="preserve"> ha</w:t>
      </w:r>
      <w:r w:rsidR="00520C95">
        <w:t>s</w:t>
      </w:r>
      <w:r>
        <w:t xml:space="preserve"> weighted outputs in accordance with econometric modelling of their unit costs.</w:t>
      </w:r>
      <w:r w:rsidR="00AE1A9E">
        <w:rPr>
          <w:rStyle w:val="FootnoteReference"/>
        </w:rPr>
        <w:footnoteReference w:id="36"/>
      </w:r>
      <w:r>
        <w:t xml:space="preserve"> </w:t>
      </w:r>
    </w:p>
    <w:p w:rsidR="001E5A80" w:rsidRDefault="001E5A80" w:rsidP="001E5A80">
      <w:pPr>
        <w:pStyle w:val="AERbodytext"/>
      </w:pPr>
      <w:r>
        <w:t xml:space="preserve">As noted above, this specification takes into account a number of important operating environment factors. Customer density is implicitly included in the model because both customer numbers and line length are included as outputs. Further, the modelling has separate input indexes for overhead and underground lines. As MTFP is measured over a long time period the effect of once-off variations in </w:t>
      </w:r>
      <w:r>
        <w:lastRenderedPageBreak/>
        <w:t>inputs and outputs can be identified. Economic insights also excluded HV transformer assets, as these are used by some distributors but not others, from this specification.</w:t>
      </w:r>
    </w:p>
    <w:p w:rsidR="00010563" w:rsidRPr="00010563" w:rsidRDefault="00010563" w:rsidP="009D1D5B">
      <w:pPr>
        <w:pStyle w:val="HeadingBoldBlue"/>
      </w:pPr>
      <w:r>
        <w:t>MTFP results</w:t>
      </w:r>
    </w:p>
    <w:p w:rsidR="005C0AAE" w:rsidRDefault="007174A8" w:rsidP="007F4D1C">
      <w:pPr>
        <w:pStyle w:val="AERbodytext"/>
        <w:numPr>
          <w:ilvl w:val="0"/>
          <w:numId w:val="0"/>
        </w:numPr>
      </w:pPr>
      <w:r>
        <w:t xml:space="preserve">The MTFP results indicate that </w:t>
      </w:r>
      <w:r w:rsidR="00380126">
        <w:t xml:space="preserve">distributors including </w:t>
      </w:r>
      <w:proofErr w:type="spellStart"/>
      <w:r w:rsidR="00380126">
        <w:t>CitiPower</w:t>
      </w:r>
      <w:proofErr w:type="spellEnd"/>
      <w:r w:rsidR="00380126">
        <w:t>, United Energy</w:t>
      </w:r>
      <w:r w:rsidR="00A776E8">
        <w:t>,</w:t>
      </w:r>
      <w:r w:rsidR="00380126">
        <w:t xml:space="preserve"> </w:t>
      </w:r>
      <w:proofErr w:type="spellStart"/>
      <w:r w:rsidR="00380126">
        <w:t>Jemena</w:t>
      </w:r>
      <w:proofErr w:type="spellEnd"/>
      <w:r w:rsidR="00380126">
        <w:t>,</w:t>
      </w:r>
      <w:r>
        <w:t xml:space="preserve"> and </w:t>
      </w:r>
      <w:r w:rsidR="00380126">
        <w:t>SA Power Networks</w:t>
      </w:r>
      <w:r>
        <w:t xml:space="preserve"> are the most productive</w:t>
      </w:r>
      <w:r w:rsidR="00927789">
        <w:t>;</w:t>
      </w:r>
      <w:r>
        <w:t xml:space="preserve"> </w:t>
      </w:r>
      <w:r w:rsidR="005409F1">
        <w:t xml:space="preserve">and </w:t>
      </w:r>
      <w:proofErr w:type="spellStart"/>
      <w:r w:rsidR="005409F1">
        <w:t>ActewAGL</w:t>
      </w:r>
      <w:proofErr w:type="spellEnd"/>
      <w:r w:rsidR="005409F1">
        <w:t xml:space="preserve">, </w:t>
      </w:r>
      <w:proofErr w:type="spellStart"/>
      <w:r w:rsidR="005409F1">
        <w:t>Ausg</w:t>
      </w:r>
      <w:r w:rsidR="00552F22">
        <w:t>rid</w:t>
      </w:r>
      <w:proofErr w:type="spellEnd"/>
      <w:r w:rsidR="009D1D5B">
        <w:t xml:space="preserve">, </w:t>
      </w:r>
      <w:proofErr w:type="spellStart"/>
      <w:r w:rsidR="009D1D5B">
        <w:t>Ergon</w:t>
      </w:r>
      <w:proofErr w:type="spellEnd"/>
      <w:r w:rsidR="009D1D5B">
        <w:t xml:space="preserve"> Energy, </w:t>
      </w:r>
      <w:r w:rsidR="00552F22">
        <w:t xml:space="preserve">Essential </w:t>
      </w:r>
      <w:r w:rsidR="009D1D5B">
        <w:t xml:space="preserve">Energy and </w:t>
      </w:r>
      <w:r w:rsidR="00A66758">
        <w:t xml:space="preserve">TasNetworks </w:t>
      </w:r>
      <w:r w:rsidR="00552F22">
        <w:t>appear to be the least productive distributors. However</w:t>
      </w:r>
      <w:r>
        <w:t xml:space="preserve"> productivity across the whole sector has </w:t>
      </w:r>
      <w:r w:rsidR="00552F22">
        <w:t>declined over</w:t>
      </w:r>
      <w:r w:rsidR="00F11DB4">
        <w:t xml:space="preserve"> the 2006–13 period as seen in </w:t>
      </w:r>
      <w:r w:rsidR="004D3BAE">
        <w:fldChar w:fldCharType="begin"/>
      </w:r>
      <w:r w:rsidR="004D3BAE">
        <w:instrText xml:space="preserve"> REF _Ref393102756 \h </w:instrText>
      </w:r>
      <w:r w:rsidR="004D3BAE">
        <w:fldChar w:fldCharType="separate"/>
      </w:r>
      <w:r w:rsidR="00421701">
        <w:t xml:space="preserve">Figure </w:t>
      </w:r>
      <w:r w:rsidR="00421701">
        <w:rPr>
          <w:noProof/>
        </w:rPr>
        <w:t>15</w:t>
      </w:r>
      <w:r w:rsidR="004D3BAE">
        <w:fldChar w:fldCharType="end"/>
      </w:r>
      <w:r>
        <w:t xml:space="preserve">. </w:t>
      </w:r>
      <w:r w:rsidR="00CD2AF8">
        <w:t>The reason that overall productivity has been declining across the sector over the last eight years is that some outputs have remained relatively steady or declined while all or most distributors have increased input use significantly.</w:t>
      </w:r>
      <w:r w:rsidR="004A784C">
        <w:t xml:space="preserve"> We recognise however, that some of the decrease in productivity may be attributable to changes in </w:t>
      </w:r>
      <w:r w:rsidR="0070103C">
        <w:t>obligations on the distributors</w:t>
      </w:r>
      <w:r w:rsidR="004A784C">
        <w:t>.</w:t>
      </w:r>
    </w:p>
    <w:p w:rsidR="00874E61" w:rsidRDefault="004D3BAE" w:rsidP="007F4D1C">
      <w:pPr>
        <w:pStyle w:val="AERbodytext"/>
        <w:numPr>
          <w:ilvl w:val="0"/>
          <w:numId w:val="0"/>
        </w:numPr>
      </w:pPr>
      <w:r>
        <w:fldChar w:fldCharType="begin"/>
      </w:r>
      <w:r>
        <w:instrText xml:space="preserve"> REF _Ref404162172 \h </w:instrText>
      </w:r>
      <w:r>
        <w:fldChar w:fldCharType="separate"/>
      </w:r>
      <w:r w:rsidR="00421701">
        <w:t xml:space="preserve">Figure </w:t>
      </w:r>
      <w:r w:rsidR="00421701">
        <w:rPr>
          <w:noProof/>
        </w:rPr>
        <w:t>16</w:t>
      </w:r>
      <w:r>
        <w:fldChar w:fldCharType="end"/>
      </w:r>
      <w:r w:rsidR="00C65205">
        <w:t xml:space="preserve"> shows the MTFP results over the 2006–13 </w:t>
      </w:r>
      <w:proofErr w:type="gramStart"/>
      <w:r w:rsidR="00C65205">
        <w:t>period</w:t>
      </w:r>
      <w:proofErr w:type="gramEnd"/>
      <w:r w:rsidR="00C65205">
        <w:t xml:space="preserve"> for each distributor. The decline in productivity over the period can be observed for all distributors except </w:t>
      </w:r>
      <w:proofErr w:type="spellStart"/>
      <w:r w:rsidR="00C65205">
        <w:t>Ergon</w:t>
      </w:r>
      <w:proofErr w:type="spellEnd"/>
      <w:r w:rsidR="009D1D5B">
        <w:t xml:space="preserve"> Energy</w:t>
      </w:r>
      <w:r w:rsidR="00C65205">
        <w:t>.</w:t>
      </w:r>
      <w:r w:rsidR="00C21EB9">
        <w:t xml:space="preserve"> </w:t>
      </w:r>
      <w:r>
        <w:fldChar w:fldCharType="begin"/>
      </w:r>
      <w:r>
        <w:instrText xml:space="preserve"> REF _Ref404162172 \h </w:instrText>
      </w:r>
      <w:r>
        <w:fldChar w:fldCharType="separate"/>
      </w:r>
      <w:r w:rsidR="00421701">
        <w:t xml:space="preserve">Figure </w:t>
      </w:r>
      <w:r w:rsidR="00421701">
        <w:rPr>
          <w:noProof/>
        </w:rPr>
        <w:t>16</w:t>
      </w:r>
      <w:r>
        <w:fldChar w:fldCharType="end"/>
      </w:r>
      <w:r w:rsidR="00C21EB9">
        <w:t xml:space="preserve"> also shows </w:t>
      </w:r>
      <w:r w:rsidR="00A00106">
        <w:t xml:space="preserve">the </w:t>
      </w:r>
      <w:r w:rsidR="001174CD">
        <w:t xml:space="preserve">relative performance of the distributors </w:t>
      </w:r>
      <w:r w:rsidR="00A00106">
        <w:t>noted above</w:t>
      </w:r>
      <w:r w:rsidR="001174CD">
        <w:t>.</w:t>
      </w:r>
    </w:p>
    <w:p w:rsidR="00C65205" w:rsidRDefault="004D3BAE" w:rsidP="007F4D1C">
      <w:pPr>
        <w:pStyle w:val="AERbodytext"/>
        <w:numPr>
          <w:ilvl w:val="0"/>
          <w:numId w:val="0"/>
        </w:numPr>
      </w:pPr>
      <w:r>
        <w:fldChar w:fldCharType="begin"/>
      </w:r>
      <w:r>
        <w:instrText xml:space="preserve"> REF _Ref404162194 \h </w:instrText>
      </w:r>
      <w:r>
        <w:fldChar w:fldCharType="separate"/>
      </w:r>
      <w:r w:rsidR="00421701">
        <w:t xml:space="preserve">Figure </w:t>
      </w:r>
      <w:r w:rsidR="00421701">
        <w:rPr>
          <w:noProof/>
        </w:rPr>
        <w:t>17</w:t>
      </w:r>
      <w:r>
        <w:fldChar w:fldCharType="end"/>
      </w:r>
      <w:r w:rsidR="00874E61">
        <w:t xml:space="preserve"> shows the MTFP scores for the distributors grouped by state, </w:t>
      </w:r>
      <w:r w:rsidR="009C7C99">
        <w:t xml:space="preserve">highlighting </w:t>
      </w:r>
      <w:r w:rsidR="00874E61">
        <w:t xml:space="preserve">the difference </w:t>
      </w:r>
      <w:r w:rsidR="009C7C99">
        <w:t xml:space="preserve">in productivity observed across states, </w:t>
      </w:r>
      <w:r w:rsidR="00A00106">
        <w:t xml:space="preserve">again </w:t>
      </w:r>
      <w:r w:rsidR="009C7C99">
        <w:t>with South Australia and Victoria performing the most favourably.</w:t>
      </w:r>
    </w:p>
    <w:p w:rsidR="00C65205" w:rsidRDefault="005C0AAE" w:rsidP="00A572FC">
      <w:r>
        <w:t xml:space="preserve">We also present </w:t>
      </w:r>
      <w:r w:rsidR="00C22689">
        <w:t xml:space="preserve">multilateral </w:t>
      </w:r>
      <w:r>
        <w:t xml:space="preserve">partial factor productivity results for </w:t>
      </w:r>
      <w:r w:rsidR="004D3BAE">
        <w:t>capital</w:t>
      </w:r>
      <w:r w:rsidR="00C22689">
        <w:t xml:space="preserve"> and </w:t>
      </w:r>
      <w:r w:rsidR="004D3BAE">
        <w:t>opex</w:t>
      </w:r>
      <w:r w:rsidR="00C22689">
        <w:t xml:space="preserve"> below</w:t>
      </w:r>
      <w:r w:rsidR="0011749F">
        <w:t xml:space="preserve"> (</w:t>
      </w:r>
      <w:r w:rsidR="004D3BAE">
        <w:fldChar w:fldCharType="begin"/>
      </w:r>
      <w:r w:rsidR="004D3BAE">
        <w:instrText xml:space="preserve"> REF _Ref404162208 \h </w:instrText>
      </w:r>
      <w:r w:rsidR="004D3BAE">
        <w:fldChar w:fldCharType="separate"/>
      </w:r>
      <w:r w:rsidR="00421701">
        <w:t xml:space="preserve">Figure </w:t>
      </w:r>
      <w:r w:rsidR="00421701">
        <w:rPr>
          <w:noProof/>
        </w:rPr>
        <w:t>18</w:t>
      </w:r>
      <w:r w:rsidR="004D3BAE">
        <w:fldChar w:fldCharType="end"/>
      </w:r>
      <w:r w:rsidR="00C21EB9">
        <w:t xml:space="preserve"> </w:t>
      </w:r>
      <w:r w:rsidR="0011749F">
        <w:t xml:space="preserve">and </w:t>
      </w:r>
      <w:r w:rsidR="004D3BAE">
        <w:fldChar w:fldCharType="begin"/>
      </w:r>
      <w:r w:rsidR="004D3BAE">
        <w:instrText xml:space="preserve"> REF _Ref404162237 \h </w:instrText>
      </w:r>
      <w:r w:rsidR="004D3BAE">
        <w:fldChar w:fldCharType="separate"/>
      </w:r>
      <w:r w:rsidR="00421701">
        <w:t xml:space="preserve">Figure </w:t>
      </w:r>
      <w:r w:rsidR="00421701">
        <w:rPr>
          <w:noProof/>
        </w:rPr>
        <w:t>19</w:t>
      </w:r>
      <w:r w:rsidR="004D3BAE">
        <w:fldChar w:fldCharType="end"/>
      </w:r>
      <w:r w:rsidR="004D3BAE">
        <w:t xml:space="preserve"> respectively</w:t>
      </w:r>
      <w:r w:rsidR="0011749F">
        <w:t>)</w:t>
      </w:r>
      <w:r w:rsidR="00C22689">
        <w:t xml:space="preserve">. These differ from the MTFP results presented below in that they only examine the productivity of opex and capital. However the capital partial factor productivity considers the productivity of transformers, overhead lines and underground cables together. As would be expected, the rankings of the distributors change somewhat under these results. This reflects the differing input combinations of the networks. However the results are broadly consistent with the MTFP results. Under both measures Victorian and South Australian distributors appear the most </w:t>
      </w:r>
      <w:r w:rsidR="007F4D1C">
        <w:t>productive</w:t>
      </w:r>
      <w:r w:rsidR="00C22689">
        <w:t>.</w:t>
      </w:r>
      <w:r w:rsidR="00A572FC" w:rsidRPr="00A572FC">
        <w:t xml:space="preserve"> </w:t>
      </w:r>
    </w:p>
    <w:p w:rsidR="00A572FC" w:rsidRPr="00036AF4" w:rsidRDefault="00A572FC" w:rsidP="00A572FC">
      <w:r>
        <w:t>We note that t</w:t>
      </w:r>
      <w:r w:rsidRPr="00036AF4">
        <w:t xml:space="preserve">here </w:t>
      </w:r>
      <w:r w:rsidR="00B03759">
        <w:t>may be</w:t>
      </w:r>
      <w:r w:rsidRPr="00036AF4">
        <w:t xml:space="preserve"> operating environment factors (see Section </w:t>
      </w:r>
      <w:r w:rsidR="004D3BAE">
        <w:fldChar w:fldCharType="begin"/>
      </w:r>
      <w:r w:rsidR="004D3BAE">
        <w:instrText xml:space="preserve"> REF _Ref404162273 \r \h </w:instrText>
      </w:r>
      <w:r w:rsidR="004D3BAE">
        <w:fldChar w:fldCharType="separate"/>
      </w:r>
      <w:r w:rsidR="00421701">
        <w:t>1.1.4</w:t>
      </w:r>
      <w:r w:rsidR="004D3BAE">
        <w:fldChar w:fldCharType="end"/>
      </w:r>
      <w:r w:rsidRPr="00036AF4">
        <w:t xml:space="preserve">) that are outside the control of the service provider and unaccounted for in our </w:t>
      </w:r>
      <w:r>
        <w:t>MTFP results</w:t>
      </w:r>
      <w:r w:rsidRPr="00036AF4">
        <w:t>; the</w:t>
      </w:r>
      <w:r w:rsidR="00B03759">
        <w:t xml:space="preserve"> presence of operating environment factors should be considered </w:t>
      </w:r>
      <w:r>
        <w:t>when examining the</w:t>
      </w:r>
      <w:r w:rsidRPr="00036AF4">
        <w:t xml:space="preserve"> results</w:t>
      </w:r>
      <w:r>
        <w:t xml:space="preserve"> in this section</w:t>
      </w:r>
      <w:r w:rsidRPr="00036AF4">
        <w:t xml:space="preserve">. </w:t>
      </w:r>
    </w:p>
    <w:p w:rsidR="000B5656" w:rsidRDefault="000B5656" w:rsidP="004C0C5B">
      <w:pPr>
        <w:pStyle w:val="AERbodytext"/>
        <w:numPr>
          <w:ilvl w:val="0"/>
          <w:numId w:val="0"/>
        </w:numPr>
      </w:pPr>
    </w:p>
    <w:p w:rsidR="00D079A3" w:rsidRPr="007F4D1C" w:rsidRDefault="00D079A3" w:rsidP="004C0C5B">
      <w:pPr>
        <w:pStyle w:val="AERbodytext"/>
        <w:numPr>
          <w:ilvl w:val="0"/>
          <w:numId w:val="0"/>
        </w:numPr>
        <w:sectPr w:rsidR="00D079A3" w:rsidRPr="007F4D1C" w:rsidSect="0045608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rsidR="009D7489" w:rsidRDefault="009D7489" w:rsidP="009D7489">
      <w:pPr>
        <w:pStyle w:val="Caption"/>
      </w:pPr>
      <w:bookmarkStart w:id="53" w:name="_Ref393102756"/>
      <w:r>
        <w:lastRenderedPageBreak/>
        <w:t xml:space="preserve">Figure </w:t>
      </w:r>
      <w:r w:rsidR="008274F9" w:rsidRPr="009D7489">
        <w:fldChar w:fldCharType="begin"/>
      </w:r>
      <w:r>
        <w:instrText xml:space="preserve"> SEQ Figure \* ARABIC </w:instrText>
      </w:r>
      <w:r w:rsidR="008274F9" w:rsidRPr="009D7489">
        <w:fldChar w:fldCharType="separate"/>
      </w:r>
      <w:r w:rsidR="00421701">
        <w:rPr>
          <w:noProof/>
        </w:rPr>
        <w:t>15</w:t>
      </w:r>
      <w:r w:rsidR="008274F9" w:rsidRPr="009D7489">
        <w:fldChar w:fldCharType="end"/>
      </w:r>
      <w:bookmarkEnd w:id="53"/>
      <w:r>
        <w:tab/>
        <w:t>MTFP output index as compared to MTFP input index</w:t>
      </w:r>
      <w:r w:rsidR="00667CA5">
        <w:t xml:space="preserve"> for all distributors</w:t>
      </w:r>
    </w:p>
    <w:p w:rsidR="009D7489" w:rsidRDefault="00172E23" w:rsidP="009D7489">
      <w:pPr>
        <w:pStyle w:val="Caption"/>
      </w:pPr>
      <w:bookmarkStart w:id="54" w:name="_GoBack"/>
      <w:r w:rsidRPr="00172E23">
        <w:drawing>
          <wp:inline distT="0" distB="0" distL="0" distR="0">
            <wp:extent cx="8317865" cy="5376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17865" cy="5376545"/>
                    </a:xfrm>
                    <a:prstGeom prst="rect">
                      <a:avLst/>
                    </a:prstGeom>
                    <a:noFill/>
                    <a:ln>
                      <a:noFill/>
                    </a:ln>
                  </pic:spPr>
                </pic:pic>
              </a:graphicData>
            </a:graphic>
          </wp:inline>
        </w:drawing>
      </w:r>
      <w:bookmarkEnd w:id="54"/>
    </w:p>
    <w:p w:rsidR="00985F84" w:rsidRPr="00985F84" w:rsidRDefault="009D7489" w:rsidP="009819E2">
      <w:pPr>
        <w:pStyle w:val="Caption"/>
      </w:pPr>
      <w:r>
        <w:br w:type="page"/>
      </w:r>
      <w:bookmarkStart w:id="55" w:name="_Ref404162172"/>
      <w:r w:rsidR="009819E2">
        <w:lastRenderedPageBreak/>
        <w:t xml:space="preserve">Figure </w:t>
      </w:r>
      <w:fldSimple w:instr=" SEQ Figure \* ARABIC ">
        <w:r w:rsidR="00421701">
          <w:rPr>
            <w:noProof/>
          </w:rPr>
          <w:t>16</w:t>
        </w:r>
      </w:fldSimple>
      <w:bookmarkEnd w:id="55"/>
      <w:proofErr w:type="gramStart"/>
      <w:r w:rsidR="00985F84">
        <w:tab/>
        <w:t>Multilateral total factor productivity</w:t>
      </w:r>
      <w:r w:rsidR="00F10363">
        <w:t xml:space="preserve"> for each distributor</w:t>
      </w:r>
      <w:proofErr w:type="gramEnd"/>
    </w:p>
    <w:p w:rsidR="00F10363" w:rsidRDefault="00172E23" w:rsidP="00172E23">
      <w:pPr>
        <w:pStyle w:val="AERbodytext"/>
      </w:pPr>
      <w:r w:rsidRPr="00172E23">
        <w:drawing>
          <wp:inline distT="0" distB="0" distL="0" distR="0">
            <wp:extent cx="8240395" cy="5387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40395" cy="5387340"/>
                    </a:xfrm>
                    <a:prstGeom prst="rect">
                      <a:avLst/>
                    </a:prstGeom>
                    <a:noFill/>
                    <a:ln>
                      <a:noFill/>
                    </a:ln>
                  </pic:spPr>
                </pic:pic>
              </a:graphicData>
            </a:graphic>
          </wp:inline>
        </w:drawing>
      </w:r>
    </w:p>
    <w:p w:rsidR="00F10363" w:rsidRDefault="009819E2" w:rsidP="009819E2">
      <w:pPr>
        <w:pStyle w:val="Caption"/>
      </w:pPr>
      <w:bookmarkStart w:id="56" w:name="_Ref404162194"/>
      <w:r>
        <w:lastRenderedPageBreak/>
        <w:t xml:space="preserve">Figure </w:t>
      </w:r>
      <w:r w:rsidR="00421701">
        <w:fldChar w:fldCharType="begin"/>
      </w:r>
      <w:r w:rsidR="00421701">
        <w:instrText xml:space="preserve"> SEQ Figure \* ARABIC </w:instrText>
      </w:r>
      <w:r w:rsidR="00421701">
        <w:fldChar w:fldCharType="separate"/>
      </w:r>
      <w:proofErr w:type="gramStart"/>
      <w:r w:rsidR="00421701">
        <w:rPr>
          <w:noProof/>
        </w:rPr>
        <w:t>17</w:t>
      </w:r>
      <w:r w:rsidR="00421701">
        <w:rPr>
          <w:noProof/>
        </w:rPr>
        <w:fldChar w:fldCharType="end"/>
      </w:r>
      <w:bookmarkEnd w:id="56"/>
      <w:r w:rsidR="0024559E">
        <w:tab/>
      </w:r>
      <w:r w:rsidR="00F10363">
        <w:t>State wide multilateral total factor productivity</w:t>
      </w:r>
      <w:proofErr w:type="gramEnd"/>
    </w:p>
    <w:p w:rsidR="00C02985" w:rsidRDefault="00172E23" w:rsidP="00C02985">
      <w:pPr>
        <w:pStyle w:val="AERbodytext"/>
        <w:numPr>
          <w:ilvl w:val="0"/>
          <w:numId w:val="0"/>
        </w:numPr>
      </w:pPr>
      <w:r w:rsidRPr="00172E23">
        <w:drawing>
          <wp:inline distT="0" distB="0" distL="0" distR="0">
            <wp:extent cx="8350885" cy="5420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50885" cy="5420360"/>
                    </a:xfrm>
                    <a:prstGeom prst="rect">
                      <a:avLst/>
                    </a:prstGeom>
                    <a:noFill/>
                    <a:ln>
                      <a:noFill/>
                    </a:ln>
                  </pic:spPr>
                </pic:pic>
              </a:graphicData>
            </a:graphic>
          </wp:inline>
        </w:drawing>
      </w:r>
    </w:p>
    <w:p w:rsidR="00C628A8" w:rsidRDefault="009819E2" w:rsidP="009819E2">
      <w:pPr>
        <w:pStyle w:val="Caption"/>
      </w:pPr>
      <w:bookmarkStart w:id="57" w:name="_Ref404162208"/>
      <w:r>
        <w:lastRenderedPageBreak/>
        <w:t xml:space="preserve">Figure </w:t>
      </w:r>
      <w:fldSimple w:instr=" SEQ Figure \* ARABIC ">
        <w:r w:rsidR="00421701">
          <w:rPr>
            <w:noProof/>
          </w:rPr>
          <w:t>18</w:t>
        </w:r>
      </w:fldSimple>
      <w:bookmarkEnd w:id="57"/>
      <w:r w:rsidR="005C0AAE">
        <w:tab/>
        <w:t>Partial factor productivity of capital (transformers, overhead and underground lines)</w:t>
      </w:r>
    </w:p>
    <w:p w:rsidR="00C628A8" w:rsidRDefault="00172E23" w:rsidP="004C0C5B">
      <w:pPr>
        <w:pStyle w:val="Caption"/>
      </w:pPr>
      <w:r w:rsidRPr="00172E23">
        <w:drawing>
          <wp:inline distT="0" distB="0" distL="0" distR="0">
            <wp:extent cx="8361680" cy="53765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61680" cy="5376545"/>
                    </a:xfrm>
                    <a:prstGeom prst="rect">
                      <a:avLst/>
                    </a:prstGeom>
                    <a:noFill/>
                    <a:ln>
                      <a:noFill/>
                    </a:ln>
                  </pic:spPr>
                </pic:pic>
              </a:graphicData>
            </a:graphic>
          </wp:inline>
        </w:drawing>
      </w:r>
    </w:p>
    <w:p w:rsidR="00C628A8" w:rsidRDefault="009819E2" w:rsidP="009819E2">
      <w:pPr>
        <w:pStyle w:val="Caption"/>
      </w:pPr>
      <w:bookmarkStart w:id="58" w:name="_Ref404162237"/>
      <w:r>
        <w:lastRenderedPageBreak/>
        <w:t xml:space="preserve">Figure </w:t>
      </w:r>
      <w:fldSimple w:instr=" SEQ Figure \* ARABIC ">
        <w:r w:rsidR="00421701">
          <w:rPr>
            <w:noProof/>
          </w:rPr>
          <w:t>19</w:t>
        </w:r>
      </w:fldSimple>
      <w:bookmarkEnd w:id="58"/>
      <w:r>
        <w:tab/>
      </w:r>
      <w:r w:rsidR="00C628A8">
        <w:t>Part</w:t>
      </w:r>
      <w:r w:rsidR="00923B36">
        <w:t>ial factor productivity of opex</w:t>
      </w:r>
    </w:p>
    <w:p w:rsidR="00923B36" w:rsidRDefault="00172E23" w:rsidP="00C02985">
      <w:pPr>
        <w:pStyle w:val="AERbodytext"/>
        <w:numPr>
          <w:ilvl w:val="0"/>
          <w:numId w:val="0"/>
        </w:numPr>
        <w:sectPr w:rsidR="00923B36" w:rsidSect="00004A90">
          <w:pgSz w:w="16838" w:h="11906" w:orient="landscape"/>
          <w:pgMar w:top="1440" w:right="1440" w:bottom="1440" w:left="1440" w:header="709" w:footer="709" w:gutter="0"/>
          <w:cols w:space="708"/>
          <w:docGrid w:linePitch="360"/>
        </w:sectPr>
      </w:pPr>
      <w:r w:rsidRPr="00172E23">
        <w:drawing>
          <wp:inline distT="0" distB="0" distL="0" distR="0">
            <wp:extent cx="8482965" cy="5342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2965" cy="5342890"/>
                    </a:xfrm>
                    <a:prstGeom prst="rect">
                      <a:avLst/>
                    </a:prstGeom>
                    <a:noFill/>
                    <a:ln>
                      <a:noFill/>
                    </a:ln>
                  </pic:spPr>
                </pic:pic>
              </a:graphicData>
            </a:graphic>
          </wp:inline>
        </w:drawing>
      </w:r>
    </w:p>
    <w:p w:rsidR="006B6A80" w:rsidRDefault="006B6A80" w:rsidP="000D6071">
      <w:pPr>
        <w:pStyle w:val="Heading1"/>
        <w:numPr>
          <w:ilvl w:val="0"/>
          <w:numId w:val="0"/>
        </w:numPr>
      </w:pPr>
      <w:bookmarkStart w:id="59" w:name="_Toc404010821"/>
      <w:bookmarkStart w:id="60" w:name="_Toc404244864"/>
      <w:bookmarkStart w:id="61" w:name="_Ref390785240"/>
      <w:r>
        <w:lastRenderedPageBreak/>
        <w:t>Appendix A</w:t>
      </w:r>
      <w:bookmarkEnd w:id="59"/>
      <w:bookmarkEnd w:id="60"/>
    </w:p>
    <w:p w:rsidR="00501352" w:rsidRDefault="00501352" w:rsidP="00CC1EC2">
      <w:pPr>
        <w:pStyle w:val="AERbodytext"/>
      </w:pPr>
      <w:r>
        <w:t>In this appendix we present partial productivity measures for opex and asset costs. These measures provide some insight into the relative partial performance of the distribution networks with respect to their use of opex and assets respectively.</w:t>
      </w:r>
    </w:p>
    <w:p w:rsidR="00D026F1" w:rsidRPr="00D026F1" w:rsidRDefault="00D026F1" w:rsidP="00D026F1">
      <w:pPr>
        <w:pStyle w:val="AERbodytext"/>
      </w:pPr>
      <w:r>
        <w:t>T</w:t>
      </w:r>
      <w:r w:rsidRPr="00D026F1">
        <w:t xml:space="preserve">here may be operating environment factors (see Section </w:t>
      </w:r>
      <w:r w:rsidR="004D3BAE">
        <w:fldChar w:fldCharType="begin"/>
      </w:r>
      <w:r w:rsidR="004D3BAE">
        <w:instrText xml:space="preserve"> REF _Ref404162288 \r \h </w:instrText>
      </w:r>
      <w:r w:rsidR="004D3BAE">
        <w:fldChar w:fldCharType="separate"/>
      </w:r>
      <w:r w:rsidR="00421701">
        <w:t>1.1.4</w:t>
      </w:r>
      <w:r w:rsidR="004D3BAE">
        <w:fldChar w:fldCharType="end"/>
      </w:r>
      <w:r w:rsidRPr="00D026F1">
        <w:t xml:space="preserve">) that are outside the control of the service provider and unaccounted for in our MTFP results; the presence of operating environment factors should be considered when examining the results in this section. </w:t>
      </w:r>
    </w:p>
    <w:p w:rsidR="002401D8" w:rsidRDefault="00F868AE" w:rsidP="00187511">
      <w:pPr>
        <w:pStyle w:val="HeadingBoldBlue"/>
      </w:pPr>
      <w:r>
        <w:t>Overall expenditures</w:t>
      </w:r>
    </w:p>
    <w:p w:rsidR="00792105" w:rsidRDefault="00792105">
      <w:pPr>
        <w:pStyle w:val="Caption"/>
      </w:pPr>
      <w:bookmarkStart w:id="62" w:name="_Ref394916203"/>
      <w:r>
        <w:t xml:space="preserve">Figure </w:t>
      </w:r>
      <w:r w:rsidRPr="00792105">
        <w:fldChar w:fldCharType="begin"/>
      </w:r>
      <w:r>
        <w:instrText xml:space="preserve"> SEQ Figure \* ARABIC </w:instrText>
      </w:r>
      <w:r w:rsidRPr="00792105">
        <w:fldChar w:fldCharType="separate"/>
      </w:r>
      <w:r w:rsidR="00421701">
        <w:rPr>
          <w:noProof/>
        </w:rPr>
        <w:t>20</w:t>
      </w:r>
      <w:r w:rsidRPr="00792105">
        <w:fldChar w:fldCharType="end"/>
      </w:r>
      <w:bookmarkEnd w:id="62"/>
      <w:r>
        <w:tab/>
      </w:r>
      <w:r w:rsidR="008B6896">
        <w:t>Opex by</w:t>
      </w:r>
      <w:r>
        <w:t xml:space="preserve"> </w:t>
      </w:r>
      <w:r w:rsidR="00826428">
        <w:t>distributor</w:t>
      </w:r>
      <w:r>
        <w:t xml:space="preserve"> ($millions, 2013)</w:t>
      </w:r>
      <w:r>
        <w:rPr>
          <w:rStyle w:val="FootnoteReference"/>
        </w:rPr>
        <w:footnoteReference w:id="37"/>
      </w:r>
    </w:p>
    <w:p w:rsidR="00792105" w:rsidRDefault="00172E23" w:rsidP="002401D8">
      <w:r w:rsidRPr="00172E23">
        <w:drawing>
          <wp:inline distT="0" distB="0" distL="0" distR="0">
            <wp:extent cx="5728970" cy="3801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8970" cy="3801110"/>
                    </a:xfrm>
                    <a:prstGeom prst="rect">
                      <a:avLst/>
                    </a:prstGeom>
                    <a:noFill/>
                    <a:ln>
                      <a:noFill/>
                    </a:ln>
                  </pic:spPr>
                </pic:pic>
              </a:graphicData>
            </a:graphic>
          </wp:inline>
        </w:drawing>
      </w:r>
    </w:p>
    <w:p w:rsidR="002401D8" w:rsidRPr="00DC003D" w:rsidRDefault="004D3BAE" w:rsidP="00DC003D">
      <w:pPr>
        <w:rPr>
          <w:rStyle w:val="AERbody"/>
        </w:rPr>
      </w:pPr>
      <w:r>
        <w:rPr>
          <w:rStyle w:val="AERbody"/>
        </w:rPr>
        <w:fldChar w:fldCharType="begin"/>
      </w:r>
      <w:r>
        <w:rPr>
          <w:rStyle w:val="AERbody"/>
        </w:rPr>
        <w:instrText xml:space="preserve"> REF _Ref394916203 \h </w:instrText>
      </w:r>
      <w:r>
        <w:rPr>
          <w:rStyle w:val="AERbody"/>
        </w:rPr>
      </w:r>
      <w:r>
        <w:rPr>
          <w:rStyle w:val="AERbody"/>
        </w:rPr>
        <w:fldChar w:fldCharType="separate"/>
      </w:r>
      <w:r w:rsidR="00421701">
        <w:t xml:space="preserve">Figure </w:t>
      </w:r>
      <w:r w:rsidR="00421701">
        <w:rPr>
          <w:noProof/>
        </w:rPr>
        <w:t>20</w:t>
      </w:r>
      <w:r>
        <w:rPr>
          <w:rStyle w:val="AERbody"/>
        </w:rPr>
        <w:fldChar w:fldCharType="end"/>
      </w:r>
      <w:r w:rsidR="002401D8" w:rsidRPr="00DC003D">
        <w:rPr>
          <w:rStyle w:val="AERbody"/>
        </w:rPr>
        <w:t xml:space="preserve"> presents total opex over the 2006–13 </w:t>
      </w:r>
      <w:proofErr w:type="gramStart"/>
      <w:r w:rsidR="002401D8" w:rsidRPr="00DC003D">
        <w:rPr>
          <w:rStyle w:val="AERbody"/>
        </w:rPr>
        <w:t>period</w:t>
      </w:r>
      <w:proofErr w:type="gramEnd"/>
      <w:r w:rsidR="00DC003D">
        <w:rPr>
          <w:rStyle w:val="AERbody"/>
        </w:rPr>
        <w:t>. It</w:t>
      </w:r>
      <w:r w:rsidR="00DC003D" w:rsidRPr="00DC003D">
        <w:rPr>
          <w:rStyle w:val="AERbody"/>
        </w:rPr>
        <w:t xml:space="preserve"> illustrates that there is considerable difference</w:t>
      </w:r>
      <w:r w:rsidR="00DC003D">
        <w:rPr>
          <w:rStyle w:val="AERbody"/>
        </w:rPr>
        <w:t xml:space="preserve"> in opex for each of the distributors </w:t>
      </w:r>
      <w:r w:rsidR="00DC003D">
        <w:t xml:space="preserve">with </w:t>
      </w:r>
      <w:proofErr w:type="spellStart"/>
      <w:r w:rsidR="00DC003D">
        <w:t>Ausgrid</w:t>
      </w:r>
      <w:proofErr w:type="spellEnd"/>
      <w:r w:rsidR="00DC003D">
        <w:t xml:space="preserve"> spending the most, approximately $484 million in 2013 and </w:t>
      </w:r>
      <w:proofErr w:type="spellStart"/>
      <w:r w:rsidR="00DC003D">
        <w:t>Citi</w:t>
      </w:r>
      <w:r w:rsidR="00386F6D">
        <w:t>P</w:t>
      </w:r>
      <w:r w:rsidR="00DC003D">
        <w:t>ower</w:t>
      </w:r>
      <w:proofErr w:type="spellEnd"/>
      <w:r w:rsidR="00DC003D">
        <w:t xml:space="preserve"> spending the least, approximately $55 million in the same year. It is also clear that most distributors have increased their annual opex over the observed period.</w:t>
      </w:r>
    </w:p>
    <w:p w:rsidR="00DC003D" w:rsidRDefault="00792105" w:rsidP="00966319">
      <w:pPr>
        <w:pStyle w:val="Caption"/>
      </w:pPr>
      <w:bookmarkStart w:id="63" w:name="_Ref404162349"/>
      <w:r>
        <w:lastRenderedPageBreak/>
        <w:t xml:space="preserve">Figure </w:t>
      </w:r>
      <w:r w:rsidRPr="00792105">
        <w:fldChar w:fldCharType="begin"/>
      </w:r>
      <w:r>
        <w:instrText xml:space="preserve"> SEQ Figure \* ARABIC </w:instrText>
      </w:r>
      <w:r w:rsidRPr="00792105">
        <w:fldChar w:fldCharType="separate"/>
      </w:r>
      <w:r w:rsidR="00421701">
        <w:rPr>
          <w:noProof/>
        </w:rPr>
        <w:t>21</w:t>
      </w:r>
      <w:r w:rsidRPr="00792105">
        <w:fldChar w:fldCharType="end"/>
      </w:r>
      <w:bookmarkEnd w:id="63"/>
      <w:r>
        <w:tab/>
        <w:t>Capex ($millions 2013)</w:t>
      </w:r>
    </w:p>
    <w:p w:rsidR="00792105" w:rsidRDefault="00892061" w:rsidP="00966319">
      <w:r w:rsidRPr="00892061">
        <w:drawing>
          <wp:inline distT="0" distB="0" distL="0" distR="0">
            <wp:extent cx="5728970" cy="3723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8970" cy="3723640"/>
                    </a:xfrm>
                    <a:prstGeom prst="rect">
                      <a:avLst/>
                    </a:prstGeom>
                    <a:noFill/>
                    <a:ln>
                      <a:noFill/>
                    </a:ln>
                  </pic:spPr>
                </pic:pic>
              </a:graphicData>
            </a:graphic>
          </wp:inline>
        </w:drawing>
      </w:r>
    </w:p>
    <w:p w:rsidR="00DC003D" w:rsidRPr="00DC003D" w:rsidRDefault="004D3BAE" w:rsidP="00966319">
      <w:r>
        <w:fldChar w:fldCharType="begin"/>
      </w:r>
      <w:r>
        <w:instrText xml:space="preserve"> REF _Ref404162349 \h </w:instrText>
      </w:r>
      <w:r>
        <w:fldChar w:fldCharType="separate"/>
      </w:r>
      <w:r w:rsidR="00421701">
        <w:t xml:space="preserve">Figure </w:t>
      </w:r>
      <w:r w:rsidR="00421701">
        <w:rPr>
          <w:noProof/>
        </w:rPr>
        <w:t>21</w:t>
      </w:r>
      <w:r>
        <w:fldChar w:fldCharType="end"/>
      </w:r>
      <w:r w:rsidR="00DC003D">
        <w:t xml:space="preserve"> presents total capex over the 2006–13 </w:t>
      </w:r>
      <w:proofErr w:type="gramStart"/>
      <w:r w:rsidR="00DC003D">
        <w:t>period</w:t>
      </w:r>
      <w:proofErr w:type="gramEnd"/>
      <w:r w:rsidR="00DC003D">
        <w:t>. It is apparent that the NSW distributors have increased their annual capex over the period but increases in capex can be observed for most distributors.</w:t>
      </w:r>
      <w:r w:rsidR="00966319">
        <w:t xml:space="preserve"> Comparisons of capex for the purpose of this report are complex because assets will provide services ov</w:t>
      </w:r>
      <w:r w:rsidR="00585B61">
        <w:t xml:space="preserve">er a number of years or decades, as noted in Section </w:t>
      </w:r>
      <w:r>
        <w:fldChar w:fldCharType="begin"/>
      </w:r>
      <w:r>
        <w:instrText xml:space="preserve"> REF _Ref394042571 \n \h </w:instrText>
      </w:r>
      <w:r>
        <w:fldChar w:fldCharType="separate"/>
      </w:r>
      <w:r w:rsidR="00421701">
        <w:t>2.1.2</w:t>
      </w:r>
      <w:r>
        <w:fldChar w:fldCharType="end"/>
      </w:r>
      <w:r w:rsidR="00585B61">
        <w:t>.</w:t>
      </w:r>
    </w:p>
    <w:p w:rsidR="00792105" w:rsidRDefault="00837974" w:rsidP="00966319">
      <w:pPr>
        <w:pStyle w:val="Caption"/>
      </w:pPr>
      <w:bookmarkStart w:id="64" w:name="_Ref404161709"/>
      <w:r>
        <w:lastRenderedPageBreak/>
        <w:t xml:space="preserve">Figure </w:t>
      </w:r>
      <w:r w:rsidRPr="00837974">
        <w:fldChar w:fldCharType="begin"/>
      </w:r>
      <w:r>
        <w:instrText xml:space="preserve"> SEQ Figure \* ARABIC </w:instrText>
      </w:r>
      <w:r w:rsidRPr="00837974">
        <w:fldChar w:fldCharType="separate"/>
      </w:r>
      <w:r w:rsidR="00421701">
        <w:rPr>
          <w:noProof/>
        </w:rPr>
        <w:t>22</w:t>
      </w:r>
      <w:r w:rsidRPr="00837974">
        <w:fldChar w:fldCharType="end"/>
      </w:r>
      <w:bookmarkEnd w:id="64"/>
      <w:r>
        <w:tab/>
        <w:t>Asset cost ($millions 2013)</w:t>
      </w:r>
    </w:p>
    <w:p w:rsidR="00966319" w:rsidRDefault="00892061" w:rsidP="00966319">
      <w:bookmarkStart w:id="65" w:name="_Ref394934491"/>
      <w:r w:rsidRPr="00892061">
        <w:drawing>
          <wp:inline distT="0" distB="0" distL="0" distR="0">
            <wp:extent cx="5519420" cy="3679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9420" cy="3679825"/>
                    </a:xfrm>
                    <a:prstGeom prst="rect">
                      <a:avLst/>
                    </a:prstGeom>
                    <a:noFill/>
                    <a:ln>
                      <a:noFill/>
                    </a:ln>
                  </pic:spPr>
                </pic:pic>
              </a:graphicData>
            </a:graphic>
          </wp:inline>
        </w:drawing>
      </w:r>
    </w:p>
    <w:p w:rsidR="00552B30" w:rsidRDefault="004D3BAE" w:rsidP="00966319">
      <w:r>
        <w:fldChar w:fldCharType="begin"/>
      </w:r>
      <w:r>
        <w:instrText xml:space="preserve"> REF _Ref404161709 \h </w:instrText>
      </w:r>
      <w:r>
        <w:fldChar w:fldCharType="separate"/>
      </w:r>
      <w:r w:rsidR="00421701">
        <w:t xml:space="preserve">Figure </w:t>
      </w:r>
      <w:r w:rsidR="00421701">
        <w:rPr>
          <w:noProof/>
        </w:rPr>
        <w:t>22</w:t>
      </w:r>
      <w:r>
        <w:fldChar w:fldCharType="end"/>
      </w:r>
      <w:r w:rsidR="00552B30">
        <w:t xml:space="preserve"> presents asset cost over the 2006–13 </w:t>
      </w:r>
      <w:proofErr w:type="gramStart"/>
      <w:r w:rsidR="00552B30">
        <w:t>period</w:t>
      </w:r>
      <w:proofErr w:type="gramEnd"/>
      <w:r w:rsidR="00552B30">
        <w:t xml:space="preserve">. Asset cost is made up of depreciation (return of capital) and the return on investment (return on capital) of the distributors. </w:t>
      </w:r>
      <w:r w:rsidR="0099761C">
        <w:t xml:space="preserve">This represents the amount that consumers are charged for the asset inputs of the distributors on an annual basis. It closely tracks the RAB of the distributors as observed in </w:t>
      </w:r>
      <w:r>
        <w:fldChar w:fldCharType="begin"/>
      </w:r>
      <w:r>
        <w:instrText xml:space="preserve"> REF _Ref404161723 \h </w:instrText>
      </w:r>
      <w:r>
        <w:fldChar w:fldCharType="separate"/>
      </w:r>
      <w:r w:rsidR="00421701">
        <w:t xml:space="preserve">Figure </w:t>
      </w:r>
      <w:r w:rsidR="00421701">
        <w:rPr>
          <w:noProof/>
        </w:rPr>
        <w:t>23</w:t>
      </w:r>
      <w:r>
        <w:fldChar w:fldCharType="end"/>
      </w:r>
      <w:r w:rsidR="0099761C">
        <w:t>. This is expected as asset costs are driven by the size of the RAB.</w:t>
      </w:r>
    </w:p>
    <w:p w:rsidR="00837974" w:rsidRDefault="00837974" w:rsidP="00966319">
      <w:pPr>
        <w:pStyle w:val="Caption"/>
      </w:pPr>
      <w:bookmarkStart w:id="66" w:name="_Ref404161723"/>
      <w:r>
        <w:lastRenderedPageBreak/>
        <w:t xml:space="preserve">Figure </w:t>
      </w:r>
      <w:r w:rsidRPr="00837974">
        <w:fldChar w:fldCharType="begin"/>
      </w:r>
      <w:r>
        <w:instrText xml:space="preserve"> SEQ Figure \* ARABIC </w:instrText>
      </w:r>
      <w:r w:rsidRPr="00837974">
        <w:fldChar w:fldCharType="separate"/>
      </w:r>
      <w:r w:rsidR="00421701">
        <w:rPr>
          <w:noProof/>
        </w:rPr>
        <w:t>23</w:t>
      </w:r>
      <w:r w:rsidRPr="00837974">
        <w:fldChar w:fldCharType="end"/>
      </w:r>
      <w:bookmarkEnd w:id="65"/>
      <w:bookmarkEnd w:id="66"/>
      <w:r>
        <w:tab/>
        <w:t>Regulatory asset base ($millions 2013)</w:t>
      </w:r>
    </w:p>
    <w:p w:rsidR="00837974" w:rsidRDefault="00892061" w:rsidP="00837974">
      <w:r w:rsidRPr="00892061">
        <w:drawing>
          <wp:inline distT="0" distB="0" distL="0" distR="0">
            <wp:extent cx="5728970" cy="3514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970" cy="3514090"/>
                    </a:xfrm>
                    <a:prstGeom prst="rect">
                      <a:avLst/>
                    </a:prstGeom>
                    <a:noFill/>
                    <a:ln>
                      <a:noFill/>
                    </a:ln>
                  </pic:spPr>
                </pic:pic>
              </a:graphicData>
            </a:graphic>
          </wp:inline>
        </w:drawing>
      </w:r>
    </w:p>
    <w:p w:rsidR="00837974" w:rsidRDefault="004D3BAE" w:rsidP="00837974">
      <w:r>
        <w:fldChar w:fldCharType="begin"/>
      </w:r>
      <w:r>
        <w:instrText xml:space="preserve"> REF _Ref404161723 \h </w:instrText>
      </w:r>
      <w:r>
        <w:fldChar w:fldCharType="separate"/>
      </w:r>
      <w:r w:rsidR="00421701">
        <w:t xml:space="preserve">Figure </w:t>
      </w:r>
      <w:r w:rsidR="00421701">
        <w:rPr>
          <w:noProof/>
        </w:rPr>
        <w:t>23</w:t>
      </w:r>
      <w:r>
        <w:fldChar w:fldCharType="end"/>
      </w:r>
      <w:r w:rsidR="0099761C">
        <w:t xml:space="preserve"> shows the change in the RAB for distributor over the 2006–13 </w:t>
      </w:r>
      <w:proofErr w:type="gramStart"/>
      <w:r w:rsidR="0099761C">
        <w:t>period</w:t>
      </w:r>
      <w:proofErr w:type="gramEnd"/>
      <w:r w:rsidR="0099761C">
        <w:t xml:space="preserve">. Increases in the RAB are attributable to increases in capex, as observed in </w:t>
      </w:r>
      <w:r>
        <w:fldChar w:fldCharType="begin"/>
      </w:r>
      <w:r>
        <w:instrText xml:space="preserve"> REF _Ref404162349 \h </w:instrText>
      </w:r>
      <w:r>
        <w:fldChar w:fldCharType="separate"/>
      </w:r>
      <w:r w:rsidR="00421701">
        <w:t xml:space="preserve">Figure </w:t>
      </w:r>
      <w:r w:rsidR="00421701">
        <w:rPr>
          <w:noProof/>
        </w:rPr>
        <w:t>21</w:t>
      </w:r>
      <w:r>
        <w:fldChar w:fldCharType="end"/>
      </w:r>
      <w:r w:rsidR="0099761C">
        <w:t>.</w:t>
      </w:r>
    </w:p>
    <w:p w:rsidR="00837974" w:rsidRDefault="00837974" w:rsidP="00840CD1">
      <w:pPr>
        <w:pStyle w:val="Caption"/>
      </w:pPr>
      <w:bookmarkStart w:id="67" w:name="_Ref404162518"/>
      <w:r>
        <w:t xml:space="preserve">Figure </w:t>
      </w:r>
      <w:r w:rsidRPr="00837974">
        <w:fldChar w:fldCharType="begin"/>
      </w:r>
      <w:r>
        <w:instrText xml:space="preserve"> SEQ Figure \* ARABIC </w:instrText>
      </w:r>
      <w:r w:rsidRPr="00837974">
        <w:fldChar w:fldCharType="separate"/>
      </w:r>
      <w:r w:rsidR="00421701">
        <w:rPr>
          <w:noProof/>
        </w:rPr>
        <w:t>24</w:t>
      </w:r>
      <w:r w:rsidRPr="00837974">
        <w:fldChar w:fldCharType="end"/>
      </w:r>
      <w:bookmarkEnd w:id="67"/>
      <w:r>
        <w:tab/>
        <w:t>Average</w:t>
      </w:r>
      <w:r w:rsidRPr="00271732">
        <w:t xml:space="preserve"> </w:t>
      </w:r>
      <w:r>
        <w:t>decomposition of total costs 2009–13 ($million 2013)</w:t>
      </w:r>
    </w:p>
    <w:p w:rsidR="00837974" w:rsidRDefault="00892061" w:rsidP="00837974">
      <w:r w:rsidRPr="00892061">
        <w:drawing>
          <wp:inline distT="0" distB="0" distL="0" distR="0">
            <wp:extent cx="5189220" cy="3404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9220" cy="3404235"/>
                    </a:xfrm>
                    <a:prstGeom prst="rect">
                      <a:avLst/>
                    </a:prstGeom>
                    <a:noFill/>
                    <a:ln>
                      <a:noFill/>
                    </a:ln>
                  </pic:spPr>
                </pic:pic>
              </a:graphicData>
            </a:graphic>
          </wp:inline>
        </w:drawing>
      </w:r>
    </w:p>
    <w:p w:rsidR="00837974" w:rsidRDefault="009125E8" w:rsidP="00407D51">
      <w:r>
        <w:fldChar w:fldCharType="begin"/>
      </w:r>
      <w:r>
        <w:instrText xml:space="preserve"> REF _Ref404162518 \h </w:instrText>
      </w:r>
      <w:r>
        <w:fldChar w:fldCharType="separate"/>
      </w:r>
      <w:r w:rsidR="00421701">
        <w:t xml:space="preserve">Figure </w:t>
      </w:r>
      <w:r w:rsidR="00421701">
        <w:rPr>
          <w:noProof/>
        </w:rPr>
        <w:t>24</w:t>
      </w:r>
      <w:r>
        <w:fldChar w:fldCharType="end"/>
      </w:r>
      <w:r w:rsidR="0099761C">
        <w:t xml:space="preserve"> shows the average decomposition of total cost over a five year period. It illustrates the impact opex and the two components of asset cost have on the total annual cost consumers are charged.</w:t>
      </w:r>
    </w:p>
    <w:p w:rsidR="004E3CB6" w:rsidRDefault="004E3CB6" w:rsidP="00187511">
      <w:pPr>
        <w:pStyle w:val="HeadingBoldBlue"/>
      </w:pPr>
      <w:r>
        <w:lastRenderedPageBreak/>
        <w:t>Opex PPIs</w:t>
      </w:r>
    </w:p>
    <w:p w:rsidR="006B6A80" w:rsidRPr="00C14BE3" w:rsidRDefault="006B6A80" w:rsidP="006B6A80">
      <w:pPr>
        <w:pStyle w:val="Caption"/>
      </w:pPr>
      <w:bookmarkStart w:id="68" w:name="_Ref404162537"/>
      <w:r>
        <w:t xml:space="preserve">Figure </w:t>
      </w:r>
      <w:r w:rsidR="008274F9" w:rsidRPr="006B6A80">
        <w:fldChar w:fldCharType="begin"/>
      </w:r>
      <w:r>
        <w:instrText xml:space="preserve"> SEQ Figure \* ARABIC </w:instrText>
      </w:r>
      <w:r w:rsidR="008274F9" w:rsidRPr="006B6A80">
        <w:fldChar w:fldCharType="separate"/>
      </w:r>
      <w:r w:rsidR="00421701">
        <w:rPr>
          <w:noProof/>
        </w:rPr>
        <w:t>25</w:t>
      </w:r>
      <w:r w:rsidR="008274F9" w:rsidRPr="006B6A80">
        <w:fldChar w:fldCharType="end"/>
      </w:r>
      <w:bookmarkEnd w:id="68"/>
      <w:r>
        <w:tab/>
      </w:r>
      <w:r w:rsidR="004B4752">
        <w:t>Opex</w:t>
      </w:r>
      <w:r>
        <w:t xml:space="preserve"> per MW of maximum demand</w:t>
      </w:r>
      <w:r w:rsidR="004377B3">
        <w:t xml:space="preserve"> </w:t>
      </w:r>
      <w:r w:rsidR="00F53613">
        <w:t xml:space="preserve">compared to customer density </w:t>
      </w:r>
      <w:r w:rsidR="004377B3">
        <w:t>(average 2009–2013)</w:t>
      </w:r>
    </w:p>
    <w:p w:rsidR="004E3CB6" w:rsidRDefault="004E3CB6" w:rsidP="006B6A80">
      <w:pPr>
        <w:pStyle w:val="AERbodytext"/>
      </w:pPr>
    </w:p>
    <w:p w:rsidR="006B6A80" w:rsidRDefault="00892061" w:rsidP="00892061">
      <w:pPr>
        <w:pStyle w:val="AERbodytext"/>
      </w:pPr>
      <w:r w:rsidRPr="00892061">
        <w:drawing>
          <wp:inline distT="0" distB="0" distL="0" distR="0">
            <wp:extent cx="5309870" cy="35807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187511" w:rsidRDefault="00187511" w:rsidP="004E3CB6">
      <w:r>
        <w:t xml:space="preserve">Maximum demand is an indirect driver of opex </w:t>
      </w:r>
      <w:r w:rsidR="004F006C">
        <w:t xml:space="preserve">as demand increases drive increased capex, and additional capital requires additional expenditure to maintain. </w:t>
      </w:r>
      <w:r w:rsidR="009125E8">
        <w:fldChar w:fldCharType="begin"/>
      </w:r>
      <w:r w:rsidR="009125E8">
        <w:instrText xml:space="preserve"> REF _Ref404162537 \h </w:instrText>
      </w:r>
      <w:r w:rsidR="009125E8">
        <w:fldChar w:fldCharType="separate"/>
      </w:r>
      <w:r w:rsidR="00421701">
        <w:t xml:space="preserve">Figure </w:t>
      </w:r>
      <w:r w:rsidR="00421701">
        <w:rPr>
          <w:noProof/>
        </w:rPr>
        <w:t>25</w:t>
      </w:r>
      <w:r w:rsidR="009125E8">
        <w:fldChar w:fldCharType="end"/>
      </w:r>
      <w:r w:rsidR="004E3CB6">
        <w:t xml:space="preserve"> </w:t>
      </w:r>
      <w:r w:rsidR="00BA5400">
        <w:t>shows</w:t>
      </w:r>
      <w:r w:rsidR="004E3CB6" w:rsidRPr="00D94F03">
        <w:t xml:space="preserve"> </w:t>
      </w:r>
      <w:r>
        <w:t xml:space="preserve">there is clear variability in </w:t>
      </w:r>
      <w:r w:rsidR="00BD1FAA">
        <w:t>opex per maximum demand</w:t>
      </w:r>
      <w:r>
        <w:t>, with E</w:t>
      </w:r>
      <w:r w:rsidR="00725A84">
        <w:t xml:space="preserve">ndeavour and </w:t>
      </w:r>
      <w:proofErr w:type="spellStart"/>
      <w:r w:rsidR="00725A84">
        <w:t>Energex</w:t>
      </w:r>
      <w:proofErr w:type="spellEnd"/>
      <w:r w:rsidR="00725A84">
        <w:t xml:space="preserve"> performing </w:t>
      </w:r>
      <w:r>
        <w:t>well on this metric alongside most of the Victorian distributors and SAPN.</w:t>
      </w:r>
    </w:p>
    <w:p w:rsidR="004E3CB6" w:rsidRDefault="004E3CB6" w:rsidP="00FD2F9B">
      <w:r>
        <w:t xml:space="preserve">We would expect the results </w:t>
      </w:r>
      <w:r w:rsidR="002C4FA6">
        <w:t>to favour</w:t>
      </w:r>
      <w:r>
        <w:t xml:space="preserve"> those </w:t>
      </w:r>
      <w:r w:rsidR="00BA5400">
        <w:t>distributors</w:t>
      </w:r>
      <w:r>
        <w:t xml:space="preserve"> with </w:t>
      </w:r>
      <w:r w:rsidR="00385CF7">
        <w:t>higher</w:t>
      </w:r>
      <w:r>
        <w:t xml:space="preserve"> customer density, because </w:t>
      </w:r>
      <w:r w:rsidR="00385CF7">
        <w:t>higher</w:t>
      </w:r>
      <w:r>
        <w:t xml:space="preserve"> density networks have </w:t>
      </w:r>
      <w:r w:rsidR="00CD5315">
        <w:t>fewer</w:t>
      </w:r>
      <w:r>
        <w:t xml:space="preserve"> assets per customer that must be maintained</w:t>
      </w:r>
      <w:r w:rsidR="002C4FA6">
        <w:t xml:space="preserve">, irrespective of </w:t>
      </w:r>
      <w:r w:rsidR="00BD1FAA">
        <w:t>the maximum demand of the network.</w:t>
      </w:r>
    </w:p>
    <w:p w:rsidR="00BA5400" w:rsidRDefault="00BA5400" w:rsidP="004E3CB6"/>
    <w:p w:rsidR="004E3CB6" w:rsidRDefault="004E3CB6" w:rsidP="006B6A80">
      <w:pPr>
        <w:pStyle w:val="AERbodytext"/>
      </w:pPr>
    </w:p>
    <w:p w:rsidR="006B6A80" w:rsidRPr="00B675C3" w:rsidRDefault="006B6A80" w:rsidP="006B6A80">
      <w:pPr>
        <w:pStyle w:val="Caption"/>
      </w:pPr>
      <w:bookmarkStart w:id="69" w:name="_Ref390693909"/>
      <w:bookmarkStart w:id="70" w:name="_Ref390848704"/>
      <w:bookmarkStart w:id="71" w:name="_Ref390848700"/>
      <w:r w:rsidRPr="00B675C3">
        <w:lastRenderedPageBreak/>
        <w:t xml:space="preserve">Figure </w:t>
      </w:r>
      <w:r w:rsidR="008274F9" w:rsidRPr="006B6A80">
        <w:fldChar w:fldCharType="begin"/>
      </w:r>
      <w:r>
        <w:instrText xml:space="preserve"> SEQ Figure \* ARABIC </w:instrText>
      </w:r>
      <w:r w:rsidR="008274F9" w:rsidRPr="006B6A80">
        <w:fldChar w:fldCharType="separate"/>
      </w:r>
      <w:r w:rsidR="00421701">
        <w:rPr>
          <w:noProof/>
        </w:rPr>
        <w:t>26</w:t>
      </w:r>
      <w:r w:rsidR="008274F9" w:rsidRPr="006B6A80">
        <w:fldChar w:fldCharType="end"/>
      </w:r>
      <w:bookmarkEnd w:id="69"/>
      <w:bookmarkEnd w:id="70"/>
      <w:r w:rsidRPr="00B675C3">
        <w:tab/>
      </w:r>
      <w:r>
        <w:t>Opex per customer compared to line length</w:t>
      </w:r>
      <w:bookmarkEnd w:id="71"/>
      <w:r w:rsidR="004377B3">
        <w:t xml:space="preserve"> (average 2009–2013)</w:t>
      </w:r>
    </w:p>
    <w:p w:rsidR="006B6A80" w:rsidRDefault="00892061" w:rsidP="00892061">
      <w:pPr>
        <w:pStyle w:val="AERbodytext"/>
      </w:pPr>
      <w:r w:rsidRPr="00892061">
        <w:drawing>
          <wp:inline distT="0" distB="0" distL="0" distR="0">
            <wp:extent cx="5309870" cy="3569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9870" cy="3569335"/>
                    </a:xfrm>
                    <a:prstGeom prst="rect">
                      <a:avLst/>
                    </a:prstGeom>
                    <a:noFill/>
                    <a:ln>
                      <a:noFill/>
                    </a:ln>
                  </pic:spPr>
                </pic:pic>
              </a:graphicData>
            </a:graphic>
          </wp:inline>
        </w:drawing>
      </w:r>
    </w:p>
    <w:p w:rsidR="001D39F2" w:rsidRDefault="00725A84" w:rsidP="00CB39DB">
      <w:pPr>
        <w:pStyle w:val="AERbodytext"/>
      </w:pPr>
      <w:r w:rsidRPr="00725A84">
        <w:t xml:space="preserve">We would expect the results of </w:t>
      </w:r>
      <w:r w:rsidR="009125E8">
        <w:fldChar w:fldCharType="begin"/>
      </w:r>
      <w:r w:rsidR="009125E8">
        <w:instrText xml:space="preserve"> REF _Ref390693909 \h </w:instrText>
      </w:r>
      <w:r w:rsidR="009125E8">
        <w:fldChar w:fldCharType="separate"/>
      </w:r>
      <w:r w:rsidR="00421701" w:rsidRPr="00B675C3">
        <w:t xml:space="preserve">Figure </w:t>
      </w:r>
      <w:r w:rsidR="00421701">
        <w:rPr>
          <w:noProof/>
        </w:rPr>
        <w:t>26</w:t>
      </w:r>
      <w:r w:rsidR="009125E8">
        <w:fldChar w:fldCharType="end"/>
      </w:r>
      <w:r w:rsidRPr="00725A84">
        <w:t xml:space="preserve"> to show higher opex per customer for those </w:t>
      </w:r>
      <w:r w:rsidR="000C417B">
        <w:t>distributors</w:t>
      </w:r>
      <w:r w:rsidRPr="00725A84">
        <w:t xml:space="preserve"> with greater route line length, as they have a greater length of lines to maintain.</w:t>
      </w:r>
      <w:r w:rsidR="009203E4">
        <w:t xml:space="preserve"> </w:t>
      </w:r>
      <w:r w:rsidR="001D39F2">
        <w:t xml:space="preserve">However it is difficult to draw this conclusion from </w:t>
      </w:r>
      <w:r w:rsidR="009125E8">
        <w:fldChar w:fldCharType="begin"/>
      </w:r>
      <w:r w:rsidR="009125E8">
        <w:instrText xml:space="preserve"> REF _Ref390693909 \h </w:instrText>
      </w:r>
      <w:r w:rsidR="009125E8">
        <w:fldChar w:fldCharType="separate"/>
      </w:r>
      <w:r w:rsidR="00421701" w:rsidRPr="00B675C3">
        <w:t xml:space="preserve">Figure </w:t>
      </w:r>
      <w:r w:rsidR="00421701">
        <w:rPr>
          <w:noProof/>
        </w:rPr>
        <w:t>26</w:t>
      </w:r>
      <w:r w:rsidR="009125E8">
        <w:fldChar w:fldCharType="end"/>
      </w:r>
      <w:r w:rsidR="001D39F2">
        <w:t>, as there is great variability in performance, particularly for distributors with lower route line lengths.</w:t>
      </w:r>
    </w:p>
    <w:p w:rsidR="00E97150" w:rsidRDefault="00E97150" w:rsidP="00794D44">
      <w:pPr>
        <w:pStyle w:val="HeadingBoldBlue"/>
        <w:numPr>
          <w:ilvl w:val="0"/>
          <w:numId w:val="0"/>
        </w:numPr>
      </w:pPr>
      <w:r>
        <w:lastRenderedPageBreak/>
        <w:t>Asset cost</w:t>
      </w:r>
      <w:r w:rsidR="00CC1EC2">
        <w:t xml:space="preserve"> PPIs</w:t>
      </w:r>
    </w:p>
    <w:p w:rsidR="00F41A7D" w:rsidRDefault="00F41A7D" w:rsidP="00F41A7D">
      <w:pPr>
        <w:pStyle w:val="Caption"/>
      </w:pPr>
      <w:bookmarkStart w:id="72" w:name="_Ref404162577"/>
      <w:r>
        <w:t xml:space="preserve">Figure </w:t>
      </w:r>
      <w:r w:rsidR="008274F9" w:rsidRPr="00F41A7D">
        <w:fldChar w:fldCharType="begin"/>
      </w:r>
      <w:r>
        <w:instrText xml:space="preserve"> SEQ Figure \* ARABIC </w:instrText>
      </w:r>
      <w:r w:rsidR="008274F9" w:rsidRPr="00F41A7D">
        <w:fldChar w:fldCharType="separate"/>
      </w:r>
      <w:r w:rsidR="00421701">
        <w:rPr>
          <w:noProof/>
        </w:rPr>
        <w:t>27</w:t>
      </w:r>
      <w:r w:rsidR="008274F9" w:rsidRPr="00F41A7D">
        <w:fldChar w:fldCharType="end"/>
      </w:r>
      <w:bookmarkEnd w:id="72"/>
      <w:r>
        <w:tab/>
      </w:r>
      <w:r w:rsidR="00BD1FAA">
        <w:t xml:space="preserve">Asset </w:t>
      </w:r>
      <w:r>
        <w:t xml:space="preserve">cost per MW of maximum </w:t>
      </w:r>
      <w:r w:rsidR="00E137E4" w:rsidRPr="00E137E4">
        <w:t>demand</w:t>
      </w:r>
      <w:r w:rsidR="00F53613">
        <w:t xml:space="preserve"> compared to customer density</w:t>
      </w:r>
      <w:r w:rsidR="004377B3">
        <w:t xml:space="preserve"> (average 2009–2013)</w:t>
      </w:r>
    </w:p>
    <w:p w:rsidR="00F41A7D" w:rsidRDefault="00892061" w:rsidP="00892061">
      <w:pPr>
        <w:pStyle w:val="AERbodytext"/>
      </w:pPr>
      <w:r w:rsidRPr="00892061">
        <w:drawing>
          <wp:inline distT="0" distB="0" distL="0" distR="0">
            <wp:extent cx="5309870" cy="35807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794D44" w:rsidRDefault="00794D44" w:rsidP="00794D44">
      <w:pPr>
        <w:pStyle w:val="AERbodytext"/>
      </w:pPr>
      <w:r>
        <w:t>Maximum demand is a driver of capex. We consider capex as asset cost, which indicates</w:t>
      </w:r>
      <w:r w:rsidRPr="00794D44">
        <w:t xml:space="preserve"> </w:t>
      </w:r>
      <w:r>
        <w:t>the amount that consumers are charged annually for the asset inputs of the distributors.</w:t>
      </w:r>
      <w:r w:rsidR="00B965A7">
        <w:t xml:space="preserve"> Most of the Victorian distributors appear to perform favourably </w:t>
      </w:r>
      <w:r w:rsidR="00CD5315">
        <w:t xml:space="preserve">in </w:t>
      </w:r>
      <w:r w:rsidR="009125E8">
        <w:fldChar w:fldCharType="begin"/>
      </w:r>
      <w:r w:rsidR="009125E8">
        <w:instrText xml:space="preserve"> REF _Ref404162577 \h </w:instrText>
      </w:r>
      <w:r w:rsidR="009125E8">
        <w:fldChar w:fldCharType="separate"/>
      </w:r>
      <w:r w:rsidR="00421701">
        <w:t xml:space="preserve">Figure </w:t>
      </w:r>
      <w:r w:rsidR="00421701">
        <w:rPr>
          <w:noProof/>
        </w:rPr>
        <w:t>27</w:t>
      </w:r>
      <w:r w:rsidR="009125E8">
        <w:fldChar w:fldCharType="end"/>
      </w:r>
      <w:r w:rsidR="00B965A7">
        <w:t>.</w:t>
      </w:r>
    </w:p>
    <w:p w:rsidR="00FD3BD7" w:rsidRDefault="00FD3BD7" w:rsidP="00794D44">
      <w:pPr>
        <w:pStyle w:val="AERbodytext"/>
      </w:pPr>
      <w:r>
        <w:t>We would expect the results to favour those distributors</w:t>
      </w:r>
      <w:r w:rsidR="00385CF7">
        <w:t xml:space="preserve"> with higher</w:t>
      </w:r>
      <w:r>
        <w:t xml:space="preserve"> customer density, because </w:t>
      </w:r>
      <w:r w:rsidR="00385CF7">
        <w:t>higher</w:t>
      </w:r>
      <w:r>
        <w:t xml:space="preserve"> density networks have </w:t>
      </w:r>
      <w:r w:rsidR="00CD5315">
        <w:t>fewer</w:t>
      </w:r>
      <w:r>
        <w:t xml:space="preserve"> assets per customer, irrespective of the maximum demand of the network.</w:t>
      </w:r>
    </w:p>
    <w:p w:rsidR="00CB39DB" w:rsidRDefault="00CB39DB" w:rsidP="00FD2F9B">
      <w:pPr>
        <w:pStyle w:val="AERbodytext"/>
        <w:numPr>
          <w:ilvl w:val="0"/>
          <w:numId w:val="0"/>
        </w:numPr>
      </w:pPr>
    </w:p>
    <w:p w:rsidR="001D5FE6" w:rsidRDefault="001D5FE6" w:rsidP="001D5FE6">
      <w:pPr>
        <w:pStyle w:val="HeadingBoldBlue"/>
      </w:pPr>
      <w:r>
        <w:lastRenderedPageBreak/>
        <w:t>Total cost</w:t>
      </w:r>
      <w:r w:rsidR="00CC1EC2">
        <w:t xml:space="preserve"> PPIs</w:t>
      </w:r>
    </w:p>
    <w:p w:rsidR="00F41A7D" w:rsidRPr="00E13C51" w:rsidRDefault="00F41A7D" w:rsidP="00F41A7D">
      <w:pPr>
        <w:pStyle w:val="Caption"/>
      </w:pPr>
      <w:bookmarkStart w:id="73" w:name="_Ref404162592"/>
      <w:r>
        <w:t xml:space="preserve">Figure </w:t>
      </w:r>
      <w:r w:rsidR="008274F9" w:rsidRPr="00F41A7D">
        <w:fldChar w:fldCharType="begin"/>
      </w:r>
      <w:r>
        <w:instrText xml:space="preserve"> SEQ Figure \* ARABIC </w:instrText>
      </w:r>
      <w:r w:rsidR="008274F9" w:rsidRPr="00F41A7D">
        <w:fldChar w:fldCharType="separate"/>
      </w:r>
      <w:r w:rsidR="00421701">
        <w:rPr>
          <w:noProof/>
        </w:rPr>
        <w:t>28</w:t>
      </w:r>
      <w:r w:rsidR="008274F9" w:rsidRPr="00F41A7D">
        <w:fldChar w:fldCharType="end"/>
      </w:r>
      <w:bookmarkEnd w:id="73"/>
      <w:r>
        <w:tab/>
        <w:t>Total cost per MW of maximum demand</w:t>
      </w:r>
      <w:r w:rsidR="00F53613">
        <w:t xml:space="preserve"> compared to customer </w:t>
      </w:r>
      <w:proofErr w:type="spellStart"/>
      <w:r w:rsidR="00F53613">
        <w:t>denisty</w:t>
      </w:r>
      <w:proofErr w:type="spellEnd"/>
      <w:r w:rsidR="004377B3">
        <w:t xml:space="preserve"> (average 2009–2013)</w:t>
      </w:r>
    </w:p>
    <w:p w:rsidR="00F41A7D" w:rsidRDefault="00892061" w:rsidP="00892061">
      <w:pPr>
        <w:pStyle w:val="AERbodytext"/>
      </w:pPr>
      <w:r w:rsidRPr="00892061">
        <w:drawing>
          <wp:inline distT="0" distB="0" distL="0" distR="0">
            <wp:extent cx="5309870" cy="35807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CD5315" w:rsidRDefault="009125E8" w:rsidP="00CD5315">
      <w:pPr>
        <w:pStyle w:val="AERbodytext"/>
      </w:pPr>
      <w:r>
        <w:fldChar w:fldCharType="begin"/>
      </w:r>
      <w:r>
        <w:instrText xml:space="preserve"> REF _Ref404162592 \h </w:instrText>
      </w:r>
      <w:r>
        <w:fldChar w:fldCharType="separate"/>
      </w:r>
      <w:r w:rsidR="00421701">
        <w:t xml:space="preserve">Figure </w:t>
      </w:r>
      <w:r w:rsidR="00421701">
        <w:rPr>
          <w:noProof/>
        </w:rPr>
        <w:t>28</w:t>
      </w:r>
      <w:r>
        <w:fldChar w:fldCharType="end"/>
      </w:r>
      <w:r w:rsidR="009819E2">
        <w:t xml:space="preserve"> </w:t>
      </w:r>
      <w:r w:rsidR="00CD5315">
        <w:t xml:space="preserve">shows our PPI results for total cost per MW of maximum demand. Total cost is the sum of opex and asset costs for each distributor; therefore comments above also apply here. </w:t>
      </w:r>
      <w:r w:rsidR="00A52612">
        <w:t>Again most of the Victorian distributors appear to perform favourably on this metric.</w:t>
      </w:r>
    </w:p>
    <w:p w:rsidR="00CB3108" w:rsidRPr="00CB3108" w:rsidRDefault="00CB3108" w:rsidP="00386F6D">
      <w:pPr>
        <w:pStyle w:val="Caption"/>
      </w:pPr>
      <w:bookmarkStart w:id="74" w:name="_Ref404157683"/>
      <w:r w:rsidRPr="00CB3108">
        <w:lastRenderedPageBreak/>
        <w:t xml:space="preserve">Figure </w:t>
      </w:r>
      <w:fldSimple w:instr=" SEQ Figure \* ARABIC ">
        <w:r w:rsidR="00421701">
          <w:rPr>
            <w:noProof/>
          </w:rPr>
          <w:t>29</w:t>
        </w:r>
      </w:fldSimple>
      <w:bookmarkEnd w:id="74"/>
      <w:r w:rsidRPr="00CB3108">
        <w:tab/>
        <w:t>Total cost per km of line length compared to customer density (average 2009–2013)</w:t>
      </w:r>
    </w:p>
    <w:p w:rsidR="00CB3108" w:rsidRPr="00CB3108" w:rsidRDefault="00892061" w:rsidP="00892061">
      <w:pPr>
        <w:pStyle w:val="AERbodytext"/>
      </w:pPr>
      <w:r w:rsidRPr="00892061">
        <w:drawing>
          <wp:inline distT="0" distB="0" distL="0" distR="0">
            <wp:extent cx="5309870" cy="37236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9870" cy="3723640"/>
                    </a:xfrm>
                    <a:prstGeom prst="rect">
                      <a:avLst/>
                    </a:prstGeom>
                    <a:noFill/>
                    <a:ln>
                      <a:noFill/>
                    </a:ln>
                  </pic:spPr>
                </pic:pic>
              </a:graphicData>
            </a:graphic>
          </wp:inline>
        </w:drawing>
      </w:r>
    </w:p>
    <w:p w:rsidR="00CB3108" w:rsidRPr="00CB3108" w:rsidRDefault="009125E8" w:rsidP="00CB3108">
      <w:pPr>
        <w:pStyle w:val="AERbodytext"/>
      </w:pPr>
      <w:r>
        <w:fldChar w:fldCharType="begin"/>
      </w:r>
      <w:r>
        <w:instrText xml:space="preserve"> REF _Ref404157683 \h </w:instrText>
      </w:r>
      <w:r>
        <w:fldChar w:fldCharType="separate"/>
      </w:r>
      <w:r w:rsidR="00421701" w:rsidRPr="00CB3108">
        <w:t xml:space="preserve">Figure </w:t>
      </w:r>
      <w:r w:rsidR="00421701">
        <w:rPr>
          <w:noProof/>
        </w:rPr>
        <w:t>29</w:t>
      </w:r>
      <w:r>
        <w:fldChar w:fldCharType="end"/>
      </w:r>
      <w:r w:rsidR="00CB3108" w:rsidRPr="00CB3108">
        <w:t xml:space="preserve"> shows total cost per km of line length against customer density. We would expect a strong positive relationship between these two variables because both user cost per km and customer </w:t>
      </w:r>
      <w:proofErr w:type="gramStart"/>
      <w:r w:rsidR="00CB3108" w:rsidRPr="00CB3108">
        <w:t>density are</w:t>
      </w:r>
      <w:proofErr w:type="gramEnd"/>
      <w:r w:rsidR="00CB3108" w:rsidRPr="00CB3108">
        <w:t xml:space="preserve"> driven by line length, and indeed the results show this is the case. However </w:t>
      </w:r>
      <w:proofErr w:type="spellStart"/>
      <w:r w:rsidR="00CB3108" w:rsidRPr="00CB3108">
        <w:t>Ausgrid</w:t>
      </w:r>
      <w:proofErr w:type="spellEnd"/>
      <w:r w:rsidR="00CB3108" w:rsidRPr="00CB3108">
        <w:t xml:space="preserve"> and </w:t>
      </w:r>
      <w:proofErr w:type="spellStart"/>
      <w:r w:rsidR="00CB3108" w:rsidRPr="00CB3108">
        <w:t>ActewAGL</w:t>
      </w:r>
      <w:proofErr w:type="spellEnd"/>
      <w:r w:rsidR="00CB3108" w:rsidRPr="00CB3108">
        <w:t xml:space="preserve"> perform poorly on this metric</w:t>
      </w:r>
      <w:r w:rsidR="00CB3108">
        <w:t xml:space="preserve"> because they spend more per km than </w:t>
      </w:r>
      <w:proofErr w:type="spellStart"/>
      <w:r w:rsidR="00CB3108">
        <w:t>Jemena</w:t>
      </w:r>
      <w:proofErr w:type="spellEnd"/>
      <w:r w:rsidR="00CB3108">
        <w:t xml:space="preserve"> and United Energy, which both have</w:t>
      </w:r>
      <w:r w:rsidR="0067052B">
        <w:t xml:space="preserve"> a</w:t>
      </w:r>
      <w:r w:rsidR="00CB3108">
        <w:t xml:space="preserve"> higher customer density</w:t>
      </w:r>
      <w:r w:rsidR="00CB3108" w:rsidRPr="00CB3108">
        <w:t>.</w:t>
      </w:r>
    </w:p>
    <w:p w:rsidR="00CD5315" w:rsidRDefault="00CD5315" w:rsidP="00F41A7D">
      <w:pPr>
        <w:pStyle w:val="AERbodytext"/>
      </w:pPr>
    </w:p>
    <w:p w:rsidR="0097243F" w:rsidRPr="00DB2FF3" w:rsidRDefault="001D5FE6" w:rsidP="005B196E">
      <w:pPr>
        <w:pStyle w:val="HeadingBoldBlue"/>
      </w:pPr>
      <w:r>
        <w:lastRenderedPageBreak/>
        <w:t>Reliability</w:t>
      </w:r>
      <w:r w:rsidR="00CC1EC2">
        <w:t xml:space="preserve"> PPIs</w:t>
      </w:r>
    </w:p>
    <w:p w:rsidR="001D5FE6" w:rsidRPr="00DB2FF3" w:rsidRDefault="001D5FE6" w:rsidP="001D5FE6">
      <w:pPr>
        <w:pStyle w:val="Caption"/>
      </w:pPr>
      <w:bookmarkStart w:id="75" w:name="_Ref404162620"/>
      <w:r w:rsidRPr="00DB2FF3">
        <w:t xml:space="preserve">Figure </w:t>
      </w:r>
      <w:r w:rsidR="008274F9" w:rsidRPr="001D5FE6">
        <w:fldChar w:fldCharType="begin"/>
      </w:r>
      <w:r>
        <w:instrText xml:space="preserve"> SEQ Figure \* ARABIC </w:instrText>
      </w:r>
      <w:r w:rsidR="008274F9" w:rsidRPr="001D5FE6">
        <w:fldChar w:fldCharType="separate"/>
      </w:r>
      <w:r w:rsidR="00421701">
        <w:rPr>
          <w:noProof/>
        </w:rPr>
        <w:t>30</w:t>
      </w:r>
      <w:r w:rsidR="008274F9" w:rsidRPr="001D5FE6">
        <w:fldChar w:fldCharType="end"/>
      </w:r>
      <w:bookmarkEnd w:id="75"/>
      <w:r w:rsidRPr="00DB2FF3">
        <w:tab/>
        <w:t xml:space="preserve">Total cost per customer and </w:t>
      </w:r>
      <w:r w:rsidR="00F53D67">
        <w:t xml:space="preserve">unplanned </w:t>
      </w:r>
      <w:r w:rsidR="00F16D00" w:rsidRPr="00F16D00">
        <w:t>minutes off supply per customer</w:t>
      </w:r>
      <w:r w:rsidR="00F53D67">
        <w:t xml:space="preserve"> (excluding MEDs, average 2009–2013)</w:t>
      </w:r>
    </w:p>
    <w:p w:rsidR="001D5FE6" w:rsidRPr="00DB2FF3" w:rsidRDefault="00892061" w:rsidP="00892061">
      <w:pPr>
        <w:pStyle w:val="AERbodytext"/>
      </w:pPr>
      <w:r w:rsidRPr="00892061">
        <w:drawing>
          <wp:inline distT="0" distB="0" distL="0" distR="0">
            <wp:extent cx="5299075" cy="37236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9075" cy="3723640"/>
                    </a:xfrm>
                    <a:prstGeom prst="rect">
                      <a:avLst/>
                    </a:prstGeom>
                    <a:noFill/>
                    <a:ln>
                      <a:noFill/>
                    </a:ln>
                  </pic:spPr>
                </pic:pic>
              </a:graphicData>
            </a:graphic>
          </wp:inline>
        </w:drawing>
      </w:r>
    </w:p>
    <w:p w:rsidR="00682B81" w:rsidRDefault="00682B81" w:rsidP="00682B81">
      <w:pPr>
        <w:pStyle w:val="AERbodytext"/>
      </w:pPr>
      <w:r w:rsidRPr="00DB2FF3">
        <w:t xml:space="preserve">The other important dimension of network performance is a network's ability to maintain reliable supply of electricity. In this report, when benchmarking reliability, we have excluded the effect of large, abnormal outage events. This is because these events can be unforeseeable, uncontrollable and may affect measured </w:t>
      </w:r>
      <w:r>
        <w:t>performance</w:t>
      </w:r>
      <w:r w:rsidRPr="00DB2FF3">
        <w:t>.</w:t>
      </w:r>
    </w:p>
    <w:p w:rsidR="001D5FE6" w:rsidRPr="00DB2FF3" w:rsidRDefault="009125E8" w:rsidP="00682B81">
      <w:pPr>
        <w:pStyle w:val="AERbodytext"/>
      </w:pPr>
      <w:r>
        <w:fldChar w:fldCharType="begin"/>
      </w:r>
      <w:r>
        <w:instrText xml:space="preserve"> REF _Ref404162620 \h </w:instrText>
      </w:r>
      <w:r>
        <w:fldChar w:fldCharType="separate"/>
      </w:r>
      <w:r w:rsidR="00421701" w:rsidRPr="00DB2FF3">
        <w:t xml:space="preserve">Figure </w:t>
      </w:r>
      <w:r w:rsidR="00421701">
        <w:rPr>
          <w:noProof/>
        </w:rPr>
        <w:t>30</w:t>
      </w:r>
      <w:r>
        <w:fldChar w:fldCharType="end"/>
      </w:r>
      <w:r w:rsidR="00CB3108">
        <w:t xml:space="preserve"> </w:t>
      </w:r>
      <w:r w:rsidR="00682B81">
        <w:t>shows that w</w:t>
      </w:r>
      <w:r w:rsidR="001D5FE6" w:rsidRPr="00DB2FF3">
        <w:t xml:space="preserve">hen the cost per customer is compared to the minutes off supply per customer the Victorian and South Australian distributors appear the most productive. </w:t>
      </w:r>
      <w:r w:rsidR="008E67F7">
        <w:t xml:space="preserve">We would expect those distributors with greater route line lengths to incur higher minutes off supply per customer, </w:t>
      </w:r>
      <w:r w:rsidR="008B6896">
        <w:t>as they may need to travel further distances</w:t>
      </w:r>
      <w:r w:rsidR="008E67F7">
        <w:t xml:space="preserve"> when responding to outages.</w:t>
      </w:r>
    </w:p>
    <w:p w:rsidR="00F41A7D" w:rsidRPr="00DB2FF3" w:rsidRDefault="00F41A7D" w:rsidP="00F41A7D">
      <w:pPr>
        <w:pStyle w:val="Caption"/>
      </w:pPr>
      <w:bookmarkStart w:id="76" w:name="_Ref404162632"/>
      <w:r w:rsidRPr="00DB2FF3">
        <w:lastRenderedPageBreak/>
        <w:t xml:space="preserve">Figure </w:t>
      </w:r>
      <w:fldSimple w:instr=" SEQ Figure \* ARABIC ">
        <w:r w:rsidR="00421701">
          <w:rPr>
            <w:noProof/>
          </w:rPr>
          <w:t>31</w:t>
        </w:r>
      </w:fldSimple>
      <w:bookmarkEnd w:id="76"/>
      <w:r w:rsidRPr="00DB2FF3">
        <w:tab/>
        <w:t xml:space="preserve">Total spend per km and </w:t>
      </w:r>
      <w:r w:rsidR="00F53D67">
        <w:t xml:space="preserve">unplanned </w:t>
      </w:r>
      <w:r w:rsidRPr="00DB2FF3">
        <w:t>minutes off supply per customer</w:t>
      </w:r>
      <w:r w:rsidR="00F53D67">
        <w:t xml:space="preserve"> (excluding MEDs, average 2009–2013)</w:t>
      </w:r>
    </w:p>
    <w:p w:rsidR="00F41A7D" w:rsidRPr="00DB2FF3" w:rsidRDefault="00892061" w:rsidP="00892061">
      <w:pPr>
        <w:pStyle w:val="AERbodytext"/>
      </w:pPr>
      <w:r w:rsidRPr="00892061">
        <w:drawing>
          <wp:inline distT="0" distB="0" distL="0" distR="0">
            <wp:extent cx="5309870" cy="37236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9870" cy="3723640"/>
                    </a:xfrm>
                    <a:prstGeom prst="rect">
                      <a:avLst/>
                    </a:prstGeom>
                    <a:noFill/>
                    <a:ln>
                      <a:noFill/>
                    </a:ln>
                  </pic:spPr>
                </pic:pic>
              </a:graphicData>
            </a:graphic>
          </wp:inline>
        </w:drawing>
      </w:r>
    </w:p>
    <w:p w:rsidR="00784613" w:rsidRDefault="00784613" w:rsidP="00E137E4">
      <w:pPr>
        <w:pStyle w:val="AERbodytext"/>
      </w:pPr>
      <w:r>
        <w:t>Recognising that larger distributors by</w:t>
      </w:r>
      <w:r w:rsidR="00AD58C1">
        <w:t xml:space="preserve"> route</w:t>
      </w:r>
      <w:r>
        <w:t xml:space="preserve"> line length</w:t>
      </w:r>
      <w:r w:rsidR="00AD58C1">
        <w:t xml:space="preserve"> would incur higher minutes off supply, we consider total cost per km in </w:t>
      </w:r>
      <w:r w:rsidR="009125E8">
        <w:fldChar w:fldCharType="begin"/>
      </w:r>
      <w:r w:rsidR="009125E8">
        <w:instrText xml:space="preserve"> REF _Ref404162632 \h </w:instrText>
      </w:r>
      <w:r w:rsidR="009125E8">
        <w:fldChar w:fldCharType="separate"/>
      </w:r>
      <w:r w:rsidR="00421701" w:rsidRPr="00DB2FF3">
        <w:t xml:space="preserve">Figure </w:t>
      </w:r>
      <w:r w:rsidR="00421701">
        <w:rPr>
          <w:noProof/>
        </w:rPr>
        <w:t>31</w:t>
      </w:r>
      <w:r w:rsidR="009125E8">
        <w:fldChar w:fldCharType="end"/>
      </w:r>
      <w:r w:rsidR="00AD58C1">
        <w:t>. We would expect those distributors with greater line length to spend less per km and exhibit longer outage durations. The results are consistent with this expectation, with respective urban and rural distributors grouped together on this metric.</w:t>
      </w:r>
    </w:p>
    <w:bookmarkEnd w:id="61"/>
    <w:p w:rsidR="00101506" w:rsidRDefault="00101506" w:rsidP="00E137E4"/>
    <w:p w:rsidR="00622C0C" w:rsidRDefault="00622C0C" w:rsidP="00B05A57">
      <w:pPr>
        <w:pStyle w:val="AERbodytext"/>
        <w:numPr>
          <w:ilvl w:val="0"/>
          <w:numId w:val="0"/>
        </w:numPr>
      </w:pPr>
    </w:p>
    <w:p w:rsidR="00B05A57" w:rsidRDefault="00FD2F9B" w:rsidP="000D6071">
      <w:pPr>
        <w:pStyle w:val="Heading1"/>
        <w:numPr>
          <w:ilvl w:val="0"/>
          <w:numId w:val="0"/>
        </w:numPr>
      </w:pPr>
      <w:bookmarkStart w:id="77" w:name="_Toc404010822"/>
      <w:bookmarkStart w:id="78" w:name="_Toc404244865"/>
      <w:r w:rsidRPr="00AA2F2D">
        <w:lastRenderedPageBreak/>
        <w:t>Appendix</w:t>
      </w:r>
      <w:r>
        <w:t xml:space="preserve"> B</w:t>
      </w:r>
      <w:bookmarkEnd w:id="77"/>
      <w:bookmarkEnd w:id="78"/>
    </w:p>
    <w:p w:rsidR="00FD2F9B" w:rsidRDefault="00FD2F9B" w:rsidP="00FD2F9B">
      <w:pPr>
        <w:pStyle w:val="AERbodytext"/>
      </w:pPr>
      <w:r>
        <w:t>In this appendix we discuss the submissions we received from stakeholders in response to the draft report.</w:t>
      </w:r>
    </w:p>
    <w:p w:rsidR="00FD2F9B" w:rsidRPr="00384037" w:rsidRDefault="00FD2F9B" w:rsidP="001D7D46">
      <w:pPr>
        <w:pStyle w:val="HeadingBoldBlue"/>
        <w:numPr>
          <w:ilvl w:val="0"/>
          <w:numId w:val="0"/>
        </w:numPr>
        <w:rPr>
          <w:rStyle w:val="AERbody"/>
          <w:rFonts w:eastAsia="Calibri"/>
          <w:color w:val="365F91" w:themeColor="accent1" w:themeShade="BF"/>
          <w:sz w:val="24"/>
        </w:rPr>
      </w:pPr>
      <w:r w:rsidRPr="00384037">
        <w:rPr>
          <w:rStyle w:val="AERbody"/>
          <w:color w:val="365F91" w:themeColor="accent1" w:themeShade="BF"/>
          <w:sz w:val="24"/>
        </w:rPr>
        <w:t>Submissions on benchmarking</w:t>
      </w:r>
    </w:p>
    <w:p w:rsidR="00FA7796" w:rsidRPr="00FA7796" w:rsidRDefault="00FD2F9B" w:rsidP="00FA7796">
      <w:pPr>
        <w:pStyle w:val="AERbodytext"/>
      </w:pPr>
      <w:r>
        <w:t>One stakeholder submitted</w:t>
      </w:r>
      <w:r w:rsidRPr="006A77BB">
        <w:t xml:space="preserve"> that this report should note that the data in the first benchmarking report has many limitations, with regard to the accuracy and reliability of estimated information.</w:t>
      </w:r>
      <w:r w:rsidRPr="006A77BB">
        <w:rPr>
          <w:rStyle w:val="AERsuperscript"/>
        </w:rPr>
        <w:footnoteReference w:id="38"/>
      </w:r>
      <w:r w:rsidRPr="00FD2F9B">
        <w:rPr>
          <w:rFonts w:eastAsia="Calibri"/>
        </w:rPr>
        <w:t xml:space="preserve"> We </w:t>
      </w:r>
      <w:r w:rsidRPr="006A77BB">
        <w:t xml:space="preserve">consider the economic benchmarking data </w:t>
      </w:r>
      <w:r>
        <w:t>is robust</w:t>
      </w:r>
      <w:r w:rsidRPr="006A77BB">
        <w:t xml:space="preserve">. </w:t>
      </w:r>
      <w:r w:rsidR="00FA7796" w:rsidRPr="00FA7796">
        <w:t xml:space="preserve">We have dedicated significant effort to ensuring that the data that we are using for benchmarking is accurate. </w:t>
      </w:r>
    </w:p>
    <w:p w:rsidR="00FA7796" w:rsidRPr="00FA7796" w:rsidRDefault="00FA7796" w:rsidP="00FA7796">
      <w:r w:rsidRPr="00FA7796">
        <w:t>We developed our benchmarking information requirements through a year-long consultation process. We initiated our consultation in November 2012 with the publication of our expenditure forecast assessment guideline issues paper. As part of this consultation we held numerous, open stakeholder workshops. These included nine workshops on our economic benchmarking information requirements (upon which we have based the bulk of our benchmarking analysis) from March to June in 2013. We also published numerous papers covering the data requirements for economic benchmarking. We met with each of the network businesses and circulated a number of drafts of the benchmarking data requirements.</w:t>
      </w:r>
    </w:p>
    <w:p w:rsidR="00FA7796" w:rsidRPr="00FA7796" w:rsidRDefault="00FA7796" w:rsidP="00FA7796">
      <w:r w:rsidRPr="00FA7796">
        <w:t>We released our draft economic benchmarking information instruments in August 2013 and the final information instruments in November 2013. Subsequent to the release of the benchmarking data requirements we required the network businesses to submit unaudited information responses to review in March 2014. In reviewing these templates we identified and resolved data issues.</w:t>
      </w:r>
    </w:p>
    <w:p w:rsidR="00FA7796" w:rsidRPr="00FA7796" w:rsidRDefault="00FA7796" w:rsidP="00FA7796">
      <w:r w:rsidRPr="00FA7796">
        <w:t>We required the distributors to audit their final benchmarking data which was due on 30 April 2014. We also required the CEO of the distributors to certify the accuracy of the information provided. Once we received the benchmarking data we published the data on our website. We called for cross submissions on the economic benchmarking data. No significant data issues were identified in the cross submissions.</w:t>
      </w:r>
    </w:p>
    <w:p w:rsidR="00FA7796" w:rsidRDefault="00FA7796" w:rsidP="00FA7796">
      <w:r w:rsidRPr="00FA7796">
        <w:t>On 5 August we circulated our draft annual benchmarking report for distribution network service providers an</w:t>
      </w:r>
      <w:r>
        <w:t>d</w:t>
      </w:r>
      <w:r w:rsidRPr="00FA7796">
        <w:t xml:space="preserve"> associated modelling and data. In responding to this report service providers were afforded yet another opportunity to identify data issues.</w:t>
      </w:r>
      <w:r>
        <w:t xml:space="preserve"> As we note in response to other submissions in this section, service providers have identified some relatively minor modelling issues that we have subsequently addressed.</w:t>
      </w:r>
      <w:r w:rsidRPr="00FA7796">
        <w:t xml:space="preserve"> </w:t>
      </w:r>
    </w:p>
    <w:p w:rsidR="00FD2F9B" w:rsidRPr="00FD2F9B" w:rsidRDefault="00FD2F9B" w:rsidP="00FD2F9B">
      <w:pPr>
        <w:pStyle w:val="AERbodytext"/>
        <w:rPr>
          <w:rStyle w:val="AERbody"/>
          <w:rFonts w:eastAsia="Calibri"/>
        </w:rPr>
      </w:pPr>
      <w:r w:rsidRPr="00FD2F9B">
        <w:rPr>
          <w:rFonts w:eastAsia="Calibri"/>
        </w:rPr>
        <w:t>One submission stated that we should acknowledge limitations of benchmarking, including difficulties in identifying and measuring drivers, and noting the presence of unmeasured, uncontrollable operating environment factors.</w:t>
      </w:r>
      <w:r w:rsidRPr="00FD2F9B">
        <w:rPr>
          <w:rStyle w:val="FootnoteReference"/>
          <w:rFonts w:eastAsia="Calibri"/>
        </w:rPr>
        <w:footnoteReference w:id="39"/>
      </w:r>
      <w:r w:rsidRPr="00FD2F9B">
        <w:rPr>
          <w:rFonts w:eastAsia="Calibri"/>
        </w:rPr>
        <w:t xml:space="preserve"> </w:t>
      </w:r>
      <w:r w:rsidR="00F73CB5">
        <w:t>We recognise that t</w:t>
      </w:r>
      <w:r w:rsidR="00F73CB5" w:rsidRPr="00036AF4">
        <w:t xml:space="preserve">here </w:t>
      </w:r>
      <w:r w:rsidR="00F73CB5">
        <w:t>may be</w:t>
      </w:r>
      <w:r w:rsidR="00F73CB5" w:rsidRPr="00036AF4">
        <w:t xml:space="preserve"> operating environment factors (see Section </w:t>
      </w:r>
      <w:r w:rsidR="00BA1527">
        <w:fldChar w:fldCharType="begin"/>
      </w:r>
      <w:r w:rsidR="00BA1527">
        <w:instrText xml:space="preserve"> REF _Ref404163126 \n \h </w:instrText>
      </w:r>
      <w:r w:rsidR="00BA1527">
        <w:fldChar w:fldCharType="separate"/>
      </w:r>
      <w:r w:rsidR="00421701">
        <w:t>1.1.4</w:t>
      </w:r>
      <w:r w:rsidR="00BA1527">
        <w:fldChar w:fldCharType="end"/>
      </w:r>
      <w:r w:rsidR="00F73CB5" w:rsidRPr="00036AF4">
        <w:t xml:space="preserve">) that are outside the control of the service provider and unaccounted for in our </w:t>
      </w:r>
      <w:r w:rsidR="00F73CB5">
        <w:t>benchmarking</w:t>
      </w:r>
      <w:r w:rsidR="00F73CB5" w:rsidRPr="00036AF4">
        <w:t>; the</w:t>
      </w:r>
      <w:r w:rsidR="00F73CB5">
        <w:t xml:space="preserve"> presence of operating environment factors should be considered when examining the</w:t>
      </w:r>
      <w:r w:rsidR="00F73CB5" w:rsidRPr="00036AF4">
        <w:t xml:space="preserve"> results</w:t>
      </w:r>
      <w:r w:rsidR="00F73CB5">
        <w:t xml:space="preserve"> in this report.</w:t>
      </w:r>
    </w:p>
    <w:p w:rsidR="00FD2F9B" w:rsidRDefault="00FD2F9B" w:rsidP="00FD2F9B">
      <w:pPr>
        <w:pStyle w:val="AERbodytext"/>
      </w:pPr>
      <w:r>
        <w:lastRenderedPageBreak/>
        <w:t>Stakeholders noted that we have previously considered using data envelopment analysis (DEA) as a cross check of MTFP results, therefore the DEA results should be made available.</w:t>
      </w:r>
      <w:r>
        <w:rPr>
          <w:rStyle w:val="FootnoteReference"/>
        </w:rPr>
        <w:footnoteReference w:id="40"/>
      </w:r>
      <w:r>
        <w:t xml:space="preserve"> Economic Insights explain why they have not included DEA results in Section 2.4 of their report.</w:t>
      </w:r>
      <w:r>
        <w:rPr>
          <w:rStyle w:val="FootnoteReference"/>
        </w:rPr>
        <w:footnoteReference w:id="41"/>
      </w:r>
    </w:p>
    <w:p w:rsidR="00FD2F9B" w:rsidRDefault="00FD2F9B" w:rsidP="00FD2F9B">
      <w:pPr>
        <w:pStyle w:val="AERbodytext"/>
      </w:pPr>
      <w:r>
        <w:t>Stakeholders observed that we had included opex associated with solar feed-in-tariffs in our results in the draft benchmarking report, which is a specific jurisdictional requirement and outside the control of the service provider.</w:t>
      </w:r>
      <w:r>
        <w:rPr>
          <w:rStyle w:val="FootnoteReference"/>
        </w:rPr>
        <w:footnoteReference w:id="42"/>
      </w:r>
      <w:r>
        <w:t xml:space="preserve"> We have removed this expenditure from the figures in this report.</w:t>
      </w:r>
    </w:p>
    <w:p w:rsidR="00FD2F9B" w:rsidRDefault="00FD2F9B" w:rsidP="00FD2F9B">
      <w:pPr>
        <w:pStyle w:val="AERbodytext"/>
      </w:pPr>
      <w:r>
        <w:rPr>
          <w:rStyle w:val="AERbody"/>
        </w:rPr>
        <w:t>One stakeholder submitted that b</w:t>
      </w:r>
      <w:r w:rsidRPr="003C4D7E">
        <w:t>enchmarking may not fully consider where NSPs are in terms of their investment cycle.</w:t>
      </w:r>
      <w:r>
        <w:rPr>
          <w:rStyle w:val="FootnoteReference"/>
        </w:rPr>
        <w:footnoteReference w:id="43"/>
      </w:r>
      <w:r>
        <w:t xml:space="preserve"> We consider we address this through the use of asset cost in our modelling of total costs. We explain in Section </w:t>
      </w:r>
      <w:r w:rsidR="00BA1527">
        <w:fldChar w:fldCharType="begin"/>
      </w:r>
      <w:r w:rsidR="00BA1527">
        <w:instrText xml:space="preserve"> REF _Ref394042571 \n \h </w:instrText>
      </w:r>
      <w:r w:rsidR="00BA1527">
        <w:fldChar w:fldCharType="separate"/>
      </w:r>
      <w:r w:rsidR="00421701">
        <w:t>2.1.2</w:t>
      </w:r>
      <w:r w:rsidR="00BA1527">
        <w:fldChar w:fldCharType="end"/>
      </w:r>
      <w:r>
        <w:t xml:space="preserve"> that if a distributor is undertaking significant capex on their network, their RAB will increase that in turn means the distributor incurs higher depreciation costs and have a higher return on investment, which is captured in asset costs. Conversely, if distributor has not invested significantly, we would expect opex to be higher due to increased maintenance on aging assets.</w:t>
      </w:r>
    </w:p>
    <w:p w:rsidR="00384037" w:rsidRDefault="00384037" w:rsidP="00384037">
      <w:pPr>
        <w:pStyle w:val="HeadingBoldBlue"/>
      </w:pPr>
      <w:r>
        <w:t>Submissions on PPIs</w:t>
      </w:r>
    </w:p>
    <w:p w:rsidR="002F3531" w:rsidRDefault="00384037" w:rsidP="002F3531">
      <w:pPr>
        <w:pStyle w:val="AERbodytext"/>
      </w:pPr>
      <w:r>
        <w:t>We received submissions from stakeholders that we should in</w:t>
      </w:r>
      <w:r w:rsidR="002F3531">
        <w:t>clude</w:t>
      </w:r>
      <w:r>
        <w:t xml:space="preserve"> trend lines </w:t>
      </w:r>
      <w:r w:rsidR="002F3531">
        <w:t>in our PPI figures.</w:t>
      </w:r>
      <w:r w:rsidR="002F3531">
        <w:rPr>
          <w:rStyle w:val="FootnoteReference"/>
        </w:rPr>
        <w:footnoteReference w:id="44"/>
      </w:r>
      <w:r w:rsidR="002F3531">
        <w:t xml:space="preserve"> </w:t>
      </w:r>
      <w:r w:rsidR="0070103C">
        <w:t>There are a</w:t>
      </w:r>
      <w:r w:rsidR="00552E09">
        <w:t xml:space="preserve"> number of functions that can be used </w:t>
      </w:r>
      <w:r w:rsidR="0070103C">
        <w:t>to develop trend lines. These assume certain relationships between PPI inputs and outputs. We consider that including these could be misleading as any trend line will assume a certain relationship between inputs and outputs</w:t>
      </w:r>
      <w:r w:rsidR="00552E09">
        <w:t>, which we have not verified</w:t>
      </w:r>
      <w:r w:rsidR="0070103C">
        <w:t>.</w:t>
      </w:r>
      <w:r w:rsidR="00C30F29">
        <w:t xml:space="preserve"> Further trend lines may not necessarily reflect the relationship between inputs and outputs</w:t>
      </w:r>
      <w:r w:rsidR="00552E09">
        <w:t xml:space="preserve">, </w:t>
      </w:r>
      <w:r w:rsidR="00C30F29">
        <w:t>as they may be affected by outlying results and inefficient performers.</w:t>
      </w:r>
    </w:p>
    <w:p w:rsidR="00FD2F9B" w:rsidRDefault="00FD2F9B" w:rsidP="00FD2F9B">
      <w:pPr>
        <w:pStyle w:val="HeadingBoldBlue"/>
      </w:pPr>
      <w:r>
        <w:t>Submissions on MTFP modelling</w:t>
      </w:r>
    </w:p>
    <w:p w:rsidR="00FE3CCD" w:rsidRDefault="00FD2F9B" w:rsidP="00EB3740">
      <w:pPr>
        <w:pStyle w:val="AERbodytext"/>
      </w:pPr>
      <w:r>
        <w:t>We received submissions that there are differences between the businesses (not just customer density) that cannot be normalised</w:t>
      </w:r>
      <w:r w:rsidRPr="00663181">
        <w:t xml:space="preserve"> </w:t>
      </w:r>
      <w:r>
        <w:t>with a single model specification.</w:t>
      </w:r>
      <w:r>
        <w:rPr>
          <w:rStyle w:val="FootnoteReference"/>
        </w:rPr>
        <w:footnoteReference w:id="45"/>
      </w:r>
      <w:r>
        <w:t xml:space="preserve"> We accept that there are differences between businesses </w:t>
      </w:r>
      <w:r w:rsidR="00A776E8">
        <w:t xml:space="preserve">that </w:t>
      </w:r>
      <w:r w:rsidR="000E4F86">
        <w:t>remain</w:t>
      </w:r>
      <w:r>
        <w:t xml:space="preserve"> unaccounted for in the MTFP modelling, and consider these need be taken into account when considering our benchmarking results</w:t>
      </w:r>
      <w:r w:rsidR="003A16AC">
        <w:t xml:space="preserve">, as we note in Section </w:t>
      </w:r>
      <w:r w:rsidR="00BA1527">
        <w:fldChar w:fldCharType="begin"/>
      </w:r>
      <w:r w:rsidR="00BA1527">
        <w:instrText xml:space="preserve"> REF _Ref404163149 \n \h </w:instrText>
      </w:r>
      <w:r w:rsidR="00BA1527">
        <w:fldChar w:fldCharType="separate"/>
      </w:r>
      <w:r w:rsidR="00421701">
        <w:t>1.1.4</w:t>
      </w:r>
      <w:r w:rsidR="00BA1527">
        <w:fldChar w:fldCharType="end"/>
      </w:r>
      <w:r>
        <w:t xml:space="preserve">. </w:t>
      </w:r>
    </w:p>
    <w:p w:rsidR="00FD2F9B" w:rsidRDefault="00FE3CCD" w:rsidP="00950F21">
      <w:pPr>
        <w:pStyle w:val="AERbodytext"/>
      </w:pPr>
      <w:r>
        <w:t xml:space="preserve">We received submissions that </w:t>
      </w:r>
      <w:r w:rsidR="00950F21">
        <w:t xml:space="preserve">the MTFP input specification had not accounted for </w:t>
      </w:r>
      <w:proofErr w:type="spellStart"/>
      <w:r w:rsidR="00950F21">
        <w:t>subtransmission</w:t>
      </w:r>
      <w:proofErr w:type="spellEnd"/>
      <w:r w:rsidR="00950F21">
        <w:t xml:space="preserve"> assets operated by some of the distributors.</w:t>
      </w:r>
      <w:r w:rsidR="00950F21">
        <w:rPr>
          <w:rStyle w:val="FootnoteReference"/>
        </w:rPr>
        <w:footnoteReference w:id="46"/>
      </w:r>
      <w:r w:rsidR="00950F21">
        <w:t xml:space="preserve"> </w:t>
      </w:r>
      <w:r>
        <w:t xml:space="preserve">Economic Insights have modified the input specification of the MTFP modelling in light of these submissions. Overhead and underground lines are now each split into separate inputs, reflecting both distribution and </w:t>
      </w:r>
      <w:proofErr w:type="spellStart"/>
      <w:r>
        <w:t>subtransmission</w:t>
      </w:r>
      <w:proofErr w:type="spellEnd"/>
      <w:r>
        <w:t xml:space="preserve"> assets.</w:t>
      </w:r>
    </w:p>
    <w:p w:rsidR="004B27CE" w:rsidRPr="004B27CE" w:rsidRDefault="00FD2F9B" w:rsidP="004B27CE">
      <w:pPr>
        <w:pStyle w:val="AERbodytext"/>
      </w:pPr>
      <w:r>
        <w:lastRenderedPageBreak/>
        <w:t>A number of submissions commented on the lack of robustness of the model specification and the results.</w:t>
      </w:r>
      <w:r>
        <w:rPr>
          <w:rStyle w:val="FootnoteReference"/>
        </w:rPr>
        <w:footnoteReference w:id="47"/>
      </w:r>
      <w:r>
        <w:t xml:space="preserve"> </w:t>
      </w:r>
      <w:r w:rsidRPr="00B80C27">
        <w:t>We agree with the assertion of the networks that model specification may affect efficiency results. However, we consider that our approach to selecting the model specification is objective</w:t>
      </w:r>
      <w:r w:rsidR="0070103C">
        <w:t>,</w:t>
      </w:r>
      <w:r w:rsidRPr="00B80C27">
        <w:t xml:space="preserve"> </w:t>
      </w:r>
      <w:r w:rsidR="006959C4">
        <w:t xml:space="preserve">and has </w:t>
      </w:r>
      <w:r w:rsidR="0070103C">
        <w:t>th</w:t>
      </w:r>
      <w:r w:rsidR="006959C4">
        <w:t>u</w:t>
      </w:r>
      <w:r w:rsidR="001B1B1F">
        <w:t>s</w:t>
      </w:r>
      <w:r w:rsidRPr="00B80C27">
        <w:t xml:space="preserve"> led to us developing an appropriate model specification. </w:t>
      </w:r>
      <w:r w:rsidR="004B27CE" w:rsidRPr="004B27CE">
        <w:t xml:space="preserve">The results of our benchmarking have shown an even spread of results across different types of distributors. The two most efficient businesses </w:t>
      </w:r>
      <w:r w:rsidR="00E54750">
        <w:t xml:space="preserve">on average over the 2006–2013 </w:t>
      </w:r>
      <w:proofErr w:type="gramStart"/>
      <w:r w:rsidR="00E54750">
        <w:t>period</w:t>
      </w:r>
      <w:proofErr w:type="gramEnd"/>
      <w:r w:rsidR="00E54750">
        <w:t xml:space="preserve"> </w:t>
      </w:r>
      <w:r w:rsidR="004B27CE" w:rsidRPr="004B27CE">
        <w:t xml:space="preserve">are urban and rural networks respectively. The two least efficient businesses </w:t>
      </w:r>
      <w:r w:rsidR="00E54750">
        <w:t xml:space="preserve">on average over the 2006–2013 </w:t>
      </w:r>
      <w:proofErr w:type="gramStart"/>
      <w:r w:rsidR="00E54750">
        <w:t>period</w:t>
      </w:r>
      <w:proofErr w:type="gramEnd"/>
      <w:r w:rsidR="00E54750">
        <w:t xml:space="preserve"> </w:t>
      </w:r>
      <w:r w:rsidR="004B27CE" w:rsidRPr="004B27CE">
        <w:t>are the smallest and largest (in terms of customer numbers).</w:t>
      </w:r>
    </w:p>
    <w:p w:rsidR="00FD2F9B" w:rsidRPr="00B80C27" w:rsidRDefault="004B27CE" w:rsidP="004B27CE">
      <w:pPr>
        <w:pStyle w:val="AERbodytext"/>
      </w:pPr>
      <w:r w:rsidRPr="004B27CE">
        <w:t>Further, we have taken an objective approach to developing our benchmarking analysis. We developed our input and output specifications with regard to economic theory, expert engineering knowledge and cost driver analysis. Our preferred model specification reflects all material inputs and outputs. Further, as outlined below, we have gone through an extensive process to ensure that our benchmarking data is robust.</w:t>
      </w:r>
    </w:p>
    <w:p w:rsidR="00FD2F9B" w:rsidRDefault="00FD2F9B" w:rsidP="00FD2F9B">
      <w:pPr>
        <w:pStyle w:val="AERbodytext"/>
      </w:pPr>
      <w:r>
        <w:t>Stakeholders submitted that the MTFP model has not fully accounted for customer density across the service providers. Stakeholders identified two main issues:</w:t>
      </w:r>
    </w:p>
    <w:p w:rsidR="00FD2F9B" w:rsidRDefault="00FD2F9B" w:rsidP="00FD2F9B">
      <w:pPr>
        <w:pStyle w:val="AERbulletlistfirststyle"/>
      </w:pPr>
      <w:r>
        <w:t xml:space="preserve">The output index of the MTFP model gives uneven weights to customer numbers and line length (45 and 23 </w:t>
      </w:r>
      <w:proofErr w:type="spellStart"/>
      <w:r>
        <w:t>percent</w:t>
      </w:r>
      <w:proofErr w:type="spellEnd"/>
      <w:r>
        <w:t xml:space="preserve"> respectively); meaning the service providers with higher customer density will be favoured.</w:t>
      </w:r>
      <w:r>
        <w:rPr>
          <w:rStyle w:val="FootnoteReference"/>
        </w:rPr>
        <w:footnoteReference w:id="48"/>
      </w:r>
    </w:p>
    <w:p w:rsidR="00FD2F9B" w:rsidRDefault="00FD2F9B" w:rsidP="00FD2F9B">
      <w:pPr>
        <w:pStyle w:val="AERbulletlistfirststyle"/>
      </w:pPr>
      <w:r>
        <w:t>The input variables include overhead and underground MVA-km, which also favours those service providers with higher customer density.</w:t>
      </w:r>
      <w:r>
        <w:rPr>
          <w:rStyle w:val="FootnoteReference"/>
        </w:rPr>
        <w:footnoteReference w:id="49"/>
      </w:r>
    </w:p>
    <w:p w:rsidR="00FD2F9B" w:rsidRDefault="00FD2F9B" w:rsidP="00FD2F9B">
      <w:r>
        <w:t xml:space="preserve">The output weights used in the MTFP model are derived as a share of output cost and the weights are therefore reflective of the cost of operating and maintaining electricity networks. </w:t>
      </w:r>
      <w:r w:rsidR="002139C1">
        <w:t xml:space="preserve">We consider the MTFP results do not reflect these concerns. There appears to be a fairly even spread of MTFP results regardless of customer density, with </w:t>
      </w:r>
      <w:proofErr w:type="spellStart"/>
      <w:r w:rsidR="002139C1">
        <w:t>CitiPower</w:t>
      </w:r>
      <w:proofErr w:type="spellEnd"/>
      <w:r w:rsidR="002139C1">
        <w:t xml:space="preserve"> (a high density network) and SA Power Networks (a relatively low density network) the most productive distributors</w:t>
      </w:r>
      <w:r w:rsidR="006421B2">
        <w:t xml:space="preserve"> on average over the 2006–2013 </w:t>
      </w:r>
      <w:proofErr w:type="gramStart"/>
      <w:r w:rsidR="006421B2">
        <w:t>period</w:t>
      </w:r>
      <w:proofErr w:type="gramEnd"/>
      <w:r w:rsidR="002139C1">
        <w:t>.</w:t>
      </w:r>
    </w:p>
    <w:p w:rsidR="00FD2F9B" w:rsidRDefault="002F3531" w:rsidP="00FD2F9B">
      <w:r>
        <w:t xml:space="preserve">Economic Insights </w:t>
      </w:r>
      <w:r w:rsidR="001B1B1F">
        <w:t>has</w:t>
      </w:r>
      <w:r w:rsidR="00386F6D">
        <w:t xml:space="preserve"> </w:t>
      </w:r>
      <w:r>
        <w:t>considered the input specification in detail. Economic Insights explain the process of forming the input specification in Section 3.2 of their economic benchmarking assessment report.</w:t>
      </w:r>
      <w:r>
        <w:rPr>
          <w:rStyle w:val="FootnoteReference"/>
        </w:rPr>
        <w:footnoteReference w:id="50"/>
      </w:r>
      <w:r>
        <w:t xml:space="preserve"> </w:t>
      </w:r>
      <w:r w:rsidR="00360F87">
        <w:t xml:space="preserve">The weightings for the outputs were developed using a </w:t>
      </w:r>
      <w:r w:rsidR="002B0450">
        <w:t>cost function</w:t>
      </w:r>
      <w:r w:rsidR="00360F87">
        <w:t xml:space="preserve">, therefore the cost of delivering the outputs </w:t>
      </w:r>
      <w:r w:rsidR="007A3B2A">
        <w:t xml:space="preserve">has been estimated and applied in developing </w:t>
      </w:r>
      <w:r w:rsidR="00360F87">
        <w:t>the output weights.</w:t>
      </w:r>
      <w:r w:rsidR="002B0450">
        <w:rPr>
          <w:rStyle w:val="FootnoteReference"/>
        </w:rPr>
        <w:footnoteReference w:id="51"/>
      </w:r>
    </w:p>
    <w:p w:rsidR="00FD2F9B" w:rsidRDefault="00FD2F9B" w:rsidP="00E6080E">
      <w:pPr>
        <w:pStyle w:val="AERbodytext"/>
      </w:pPr>
      <w:r>
        <w:lastRenderedPageBreak/>
        <w:t>One submission said that one flaw with the MTFP specification is it doesn't include an output measure to value security of supply investments, and consideration should be given to removing these investments from our analysis.</w:t>
      </w:r>
      <w:r>
        <w:rPr>
          <w:rStyle w:val="FootnoteReference"/>
        </w:rPr>
        <w:footnoteReference w:id="52"/>
      </w:r>
      <w:r>
        <w:t xml:space="preserve"> </w:t>
      </w:r>
      <w:r w:rsidR="00E6080E">
        <w:t xml:space="preserve">We consider that from a customer's perspective, security of supply is no different from reliability, which is accounted for </w:t>
      </w:r>
      <w:r w:rsidR="00A776E8">
        <w:t xml:space="preserve">in </w:t>
      </w:r>
      <w:r w:rsidR="00E6080E">
        <w:t xml:space="preserve">our modelling. </w:t>
      </w:r>
      <w:r>
        <w:t xml:space="preserve">We consider investment in security of supply is a reflection of the service provider's risk appetite. </w:t>
      </w:r>
      <w:r w:rsidR="00D652D8" w:rsidRPr="00D652D8">
        <w:t>Part of the role of a corporation's management is to select the level of risk that they are willing to bear.</w:t>
      </w:r>
      <w:r w:rsidR="00D652D8" w:rsidRPr="0025550E">
        <w:rPr>
          <w:rStyle w:val="AERsuperscript"/>
        </w:rPr>
        <w:footnoteReference w:id="53"/>
      </w:r>
    </w:p>
    <w:p w:rsidR="00FD2F9B" w:rsidRDefault="00FD2F9B" w:rsidP="00FD2F9B">
      <w:r>
        <w:t>In issuing the draft benchmarking report, we proposed to adjust the value of Value of Customer Reliability (VCR) in our modelling, and requested feedback from stakeholders. We received submissions that historical VCRs should be applied, and should be consistent with the VCR we use in other applications.</w:t>
      </w:r>
      <w:r>
        <w:rPr>
          <w:rStyle w:val="FootnoteReference"/>
        </w:rPr>
        <w:footnoteReference w:id="54"/>
      </w:r>
      <w:r>
        <w:t xml:space="preserve"> AEMO has since released its</w:t>
      </w:r>
      <w:r w:rsidR="008E610C">
        <w:t xml:space="preserve"> final report of its VCR review that</w:t>
      </w:r>
      <w:r>
        <w:t xml:space="preserve"> </w:t>
      </w:r>
      <w:r w:rsidR="001479EF">
        <w:t xml:space="preserve">includes </w:t>
      </w:r>
      <w:r>
        <w:t>updated state-level VCRs.</w:t>
      </w:r>
      <w:r>
        <w:rPr>
          <w:rStyle w:val="FootnoteReference"/>
        </w:rPr>
        <w:footnoteReference w:id="55"/>
      </w:r>
      <w:r>
        <w:t xml:space="preserve"> Residential VCR values have not substantially changed since the 2007–08 values, although the values for the commercial sector are notably lower.</w:t>
      </w:r>
      <w:r>
        <w:rPr>
          <w:rStyle w:val="FootnoteReference"/>
        </w:rPr>
        <w:footnoteReference w:id="56"/>
      </w:r>
      <w:r>
        <w:t xml:space="preserve"> We have adopted the values from the VCR review. </w:t>
      </w:r>
    </w:p>
    <w:p w:rsidR="00FD2F9B" w:rsidRPr="004A784C" w:rsidRDefault="00FD2F9B" w:rsidP="00FD2F9B">
      <w:pPr>
        <w:pStyle w:val="AERbodytext"/>
      </w:pPr>
      <w:r w:rsidRPr="004A784C">
        <w:t>We received submissions that we should not infer declining productivity means declining efficiency.</w:t>
      </w:r>
      <w:r w:rsidRPr="004A784C">
        <w:rPr>
          <w:rStyle w:val="FootnoteReference"/>
        </w:rPr>
        <w:footnoteReference w:id="57"/>
      </w:r>
      <w:r w:rsidRPr="004A784C">
        <w:t xml:space="preserve"> We recognise there is a distinction between productivity and efficiency</w:t>
      </w:r>
      <w:r w:rsidR="00A776E8">
        <w:t xml:space="preserve">, and now note </w:t>
      </w:r>
      <w:r w:rsidR="00355C4D">
        <w:t xml:space="preserve">in the </w:t>
      </w:r>
      <w:r w:rsidR="006421B2">
        <w:t>overview</w:t>
      </w:r>
      <w:r w:rsidR="00355C4D">
        <w:t xml:space="preserve"> and in </w:t>
      </w:r>
      <w:r>
        <w:t xml:space="preserve">Section </w:t>
      </w:r>
      <w:r w:rsidR="00BE4782">
        <w:fldChar w:fldCharType="begin"/>
      </w:r>
      <w:r w:rsidR="00BE4782">
        <w:instrText xml:space="preserve"> REF _Ref404169279 \n \h </w:instrText>
      </w:r>
      <w:r w:rsidR="00BE4782">
        <w:fldChar w:fldCharType="separate"/>
      </w:r>
      <w:r w:rsidR="00421701">
        <w:t>2.2</w:t>
      </w:r>
      <w:r w:rsidR="00BE4782">
        <w:fldChar w:fldCharType="end"/>
      </w:r>
      <w:r>
        <w:t xml:space="preserve"> that the decline in productivity can be attributed to changes in the operating environment.</w:t>
      </w:r>
      <w:r w:rsidRPr="004A784C">
        <w:t xml:space="preserve"> </w:t>
      </w:r>
    </w:p>
    <w:p w:rsidR="00FD2F9B" w:rsidRPr="00FD2F9B" w:rsidRDefault="00FD2F9B" w:rsidP="00A42843">
      <w:pPr>
        <w:pStyle w:val="AERbodytext"/>
      </w:pPr>
      <w:r>
        <w:rPr>
          <w:rStyle w:val="AERbody"/>
        </w:rPr>
        <w:t>We received a submission</w:t>
      </w:r>
      <w:r w:rsidRPr="00FD2F9B">
        <w:rPr>
          <w:rStyle w:val="AERbody"/>
        </w:rPr>
        <w:t xml:space="preserve"> that at a minimum, we should include specific analysis focusing on a 12 month period as required by the Rules.</w:t>
      </w:r>
      <w:r w:rsidRPr="00FD2F9B">
        <w:rPr>
          <w:rStyle w:val="FootnoteReference"/>
        </w:rPr>
        <w:footnoteReference w:id="58"/>
      </w:r>
      <w:r w:rsidR="00A42843">
        <w:rPr>
          <w:rStyle w:val="AERbody"/>
        </w:rPr>
        <w:t xml:space="preserve"> We consider that because this is the first benchmarking report, there is value in presenting the results over the 2006–13 </w:t>
      </w:r>
      <w:proofErr w:type="gramStart"/>
      <w:r w:rsidR="00A42843">
        <w:rPr>
          <w:rStyle w:val="AERbody"/>
        </w:rPr>
        <w:t>period</w:t>
      </w:r>
      <w:proofErr w:type="gramEnd"/>
      <w:r w:rsidR="00A42843">
        <w:rPr>
          <w:rStyle w:val="AERbody"/>
        </w:rPr>
        <w:t>, and in the most recent historical year, as noted in the overview.</w:t>
      </w:r>
    </w:p>
    <w:sectPr w:rsidR="00FD2F9B" w:rsidRPr="00FD2F9B" w:rsidSect="005363E8">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F9E146" w15:done="0"/>
  <w15:commentEx w15:paraId="574427F9" w15:done="0"/>
  <w15:commentEx w15:paraId="6CBE6A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303" w:rsidRPr="00AB4345" w:rsidRDefault="00336303" w:rsidP="00AB4345">
      <w:r>
        <w:separator/>
      </w:r>
    </w:p>
  </w:endnote>
  <w:endnote w:type="continuationSeparator" w:id="0">
    <w:p w:rsidR="00336303" w:rsidRPr="00AB4345" w:rsidRDefault="00336303"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Content>
      <w:p w:rsidR="00336303" w:rsidRPr="00824CC8" w:rsidRDefault="00336303" w:rsidP="00824CC8">
        <w:pPr>
          <w:pStyle w:val="Footer"/>
        </w:pPr>
        <w:r>
          <w:fldChar w:fldCharType="begin"/>
        </w:r>
        <w:r>
          <w:instrText xml:space="preserve"> PAGE   \* MERGEFORMAT </w:instrText>
        </w:r>
        <w:r>
          <w:fldChar w:fldCharType="separate"/>
        </w:r>
        <w:r>
          <w:rPr>
            <w:noProof/>
          </w:rPr>
          <w:t>18</w:t>
        </w:r>
        <w:r>
          <w:rPr>
            <w:noProof/>
          </w:rPr>
          <w:fldChar w:fldCharType="end"/>
        </w:r>
        <w:r w:rsidRPr="00824CC8">
          <w:tab/>
        </w:r>
        <w:r w:rsidRPr="00824CC8">
          <w:rPr>
            <w:rStyle w:val="AERbody"/>
          </w:rPr>
          <w:t>Attachment heading | Distribution/transmission determination heading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3" w:rsidRPr="00824CC8" w:rsidRDefault="00336303" w:rsidP="00824CC8">
    <w:pPr>
      <w:pStyle w:val="Footer"/>
      <w:rPr>
        <w:rStyle w:val="AERbody"/>
      </w:rPr>
    </w:pPr>
    <w:r>
      <w:rPr>
        <w:rStyle w:val="AERbody"/>
      </w:rPr>
      <w:t>Annual distribution benchmarking report</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892061">
      <w:rPr>
        <w:rStyle w:val="AERbody"/>
        <w:noProof/>
      </w:rPr>
      <w:t>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3" w:rsidRDefault="00336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303" w:rsidRPr="00AB4345" w:rsidRDefault="00336303" w:rsidP="00AB4345">
      <w:r>
        <w:separator/>
      </w:r>
    </w:p>
  </w:footnote>
  <w:footnote w:type="continuationSeparator" w:id="0">
    <w:p w:rsidR="00336303" w:rsidRPr="00AB4345" w:rsidRDefault="00336303" w:rsidP="00AB4345">
      <w:r>
        <w:continuationSeparator/>
      </w:r>
    </w:p>
  </w:footnote>
  <w:footnote w:id="1">
    <w:p w:rsidR="00336303" w:rsidRDefault="00336303" w:rsidP="00C630BC">
      <w:pPr>
        <w:pStyle w:val="FootnoteText"/>
      </w:pPr>
      <w:r>
        <w:rPr>
          <w:rStyle w:val="FootnoteReference"/>
        </w:rPr>
        <w:footnoteRef/>
      </w:r>
      <w:r>
        <w:t xml:space="preserve"> </w:t>
      </w:r>
      <w:r>
        <w:tab/>
        <w:t xml:space="preserve">Under clause </w:t>
      </w:r>
      <w:r w:rsidRPr="00C630BC">
        <w:t>6.27</w:t>
      </w:r>
      <w:r>
        <w:t>(a) of the National Electricity Rules we are required to publish an annual benchmarking r</w:t>
      </w:r>
      <w:r w:rsidRPr="00C630BC">
        <w:t>eport</w:t>
      </w:r>
      <w:r>
        <w:t xml:space="preserve">. The purpose of this report is to </w:t>
      </w:r>
      <w:r w:rsidRPr="00C630BC">
        <w:t>describe, in reasonably plain language, the relative efficiency of each Distribution Network Service Provider in providing direct control services over a 12 month period.</w:t>
      </w:r>
    </w:p>
  </w:footnote>
  <w:footnote w:id="2">
    <w:p w:rsidR="00336303" w:rsidRDefault="00336303" w:rsidP="00A17EDA">
      <w:pPr>
        <w:pStyle w:val="FootnoteText"/>
      </w:pPr>
      <w:r>
        <w:rPr>
          <w:rStyle w:val="FootnoteReference"/>
        </w:rPr>
        <w:footnoteRef/>
      </w:r>
      <w:r>
        <w:t xml:space="preserve"> </w:t>
      </w:r>
      <w:r>
        <w:tab/>
      </w:r>
      <w:proofErr w:type="gramStart"/>
      <w:r w:rsidRPr="00840EEE">
        <w:t xml:space="preserve">AEMC, </w:t>
      </w:r>
      <w:r w:rsidRPr="00D769C0">
        <w:rPr>
          <w:rStyle w:val="AERtextitalic"/>
        </w:rPr>
        <w:t>Rule determination</w:t>
      </w:r>
      <w:r>
        <w:t xml:space="preserve">, </w:t>
      </w:r>
      <w:r w:rsidRPr="00A545A0">
        <w:t>29 November 2012,</w:t>
      </w:r>
      <w:r>
        <w:t xml:space="preserve"> p. </w:t>
      </w:r>
      <w:r w:rsidRPr="00840EEE">
        <w:t>1</w:t>
      </w:r>
      <w:r>
        <w:t>08</w:t>
      </w:r>
      <w:r w:rsidRPr="00840EEE">
        <w:t>.</w:t>
      </w:r>
      <w:proofErr w:type="gramEnd"/>
    </w:p>
  </w:footnote>
  <w:footnote w:id="3">
    <w:p w:rsidR="00336303" w:rsidRDefault="00336303">
      <w:pPr>
        <w:pStyle w:val="FootnoteText"/>
      </w:pPr>
      <w:r>
        <w:rPr>
          <w:rStyle w:val="FootnoteReference"/>
        </w:rPr>
        <w:footnoteRef/>
      </w:r>
      <w:r>
        <w:t xml:space="preserve"> </w:t>
      </w:r>
      <w:r>
        <w:tab/>
        <w:t>NER clause 6.5.6(e)(4), 6.5.7(e)(4)</w:t>
      </w:r>
    </w:p>
  </w:footnote>
  <w:footnote w:id="4">
    <w:p w:rsidR="00336303" w:rsidRDefault="00336303">
      <w:pPr>
        <w:pStyle w:val="FootnoteText"/>
      </w:pPr>
      <w:r>
        <w:rPr>
          <w:rStyle w:val="FootnoteReference"/>
        </w:rPr>
        <w:footnoteRef/>
      </w:r>
      <w:r>
        <w:t xml:space="preserve"> </w:t>
      </w:r>
      <w:r>
        <w:tab/>
      </w:r>
      <w:proofErr w:type="gramStart"/>
      <w:r w:rsidRPr="00B074EC">
        <w:t>ACCC/AER Working Paper Series</w:t>
      </w:r>
      <w:r>
        <w:t xml:space="preserve">, </w:t>
      </w:r>
      <w:r w:rsidRPr="00B074EC">
        <w:rPr>
          <w:rStyle w:val="AERtextitalic"/>
        </w:rPr>
        <w:t>Benchmarking Opex and Capex in Energy Networks</w:t>
      </w:r>
      <w:r>
        <w:t xml:space="preserve">, </w:t>
      </w:r>
      <w:r w:rsidRPr="00B074EC">
        <w:t>Working Paper no.6, May 2012</w:t>
      </w:r>
      <w:r>
        <w:t>.</w:t>
      </w:r>
      <w:proofErr w:type="gramEnd"/>
    </w:p>
  </w:footnote>
  <w:footnote w:id="5">
    <w:p w:rsidR="00336303" w:rsidRDefault="00336303" w:rsidP="00FD1F8A">
      <w:pPr>
        <w:pStyle w:val="FootnoteText"/>
      </w:pPr>
      <w:r>
        <w:rPr>
          <w:rStyle w:val="FootnoteReference"/>
        </w:rPr>
        <w:footnoteRef/>
      </w:r>
      <w:r>
        <w:t xml:space="preserve"> </w:t>
      </w:r>
      <w:r>
        <w:tab/>
        <w:t xml:space="preserve">This data is available  at: </w:t>
      </w:r>
      <w:hyperlink r:id="rId1" w:history="1">
        <w:r w:rsidRPr="007F5C13">
          <w:rPr>
            <w:rStyle w:val="Hyperlink"/>
          </w:rPr>
          <w:t>https://www.aer.gov.au/node/483</w:t>
        </w:r>
      </w:hyperlink>
      <w:r>
        <w:t xml:space="preserve"> </w:t>
      </w:r>
    </w:p>
  </w:footnote>
  <w:footnote w:id="6">
    <w:p w:rsidR="00336303" w:rsidRDefault="00336303">
      <w:pPr>
        <w:pStyle w:val="FootnoteText"/>
      </w:pPr>
      <w:r>
        <w:rPr>
          <w:rStyle w:val="FootnoteReference"/>
        </w:rPr>
        <w:footnoteRef/>
      </w:r>
      <w:r>
        <w:t xml:space="preserve"> </w:t>
      </w:r>
      <w:r>
        <w:tab/>
      </w:r>
      <w:proofErr w:type="gramStart"/>
      <w:r>
        <w:t xml:space="preserve">Economic Insights, </w:t>
      </w:r>
      <w:r w:rsidRPr="00AC0600">
        <w:rPr>
          <w:rStyle w:val="AERtextitalic"/>
        </w:rPr>
        <w:t>Economic benchmarking assessment of operating expenditure for NSW and ACT electricity DNSPs</w:t>
      </w:r>
      <w:r>
        <w:t>, November 2014, p. 3.</w:t>
      </w:r>
      <w:proofErr w:type="gramEnd"/>
    </w:p>
  </w:footnote>
  <w:footnote w:id="7">
    <w:p w:rsidR="00336303" w:rsidRDefault="00336303">
      <w:pPr>
        <w:pStyle w:val="FootnoteText"/>
      </w:pPr>
      <w:r>
        <w:rPr>
          <w:rStyle w:val="FootnoteReference"/>
        </w:rPr>
        <w:footnoteRef/>
      </w:r>
      <w:r>
        <w:t xml:space="preserve"> </w:t>
      </w:r>
      <w:r>
        <w:tab/>
        <w:t xml:space="preserve">We have adjusted the MTFP input specification to account for </w:t>
      </w:r>
      <w:proofErr w:type="spellStart"/>
      <w:r>
        <w:t>subtransmission</w:t>
      </w:r>
      <w:proofErr w:type="spellEnd"/>
      <w:r>
        <w:t xml:space="preserve"> assets. This follows feedback from </w:t>
      </w:r>
      <w:proofErr w:type="spellStart"/>
      <w:r>
        <w:t>ActewAGL</w:t>
      </w:r>
      <w:proofErr w:type="spellEnd"/>
      <w:r>
        <w:t xml:space="preserve"> and </w:t>
      </w:r>
      <w:proofErr w:type="spellStart"/>
      <w:r>
        <w:t>Huegin</w:t>
      </w:r>
      <w:proofErr w:type="spellEnd"/>
      <w:r>
        <w:t xml:space="preserve"> consulting, as we note in Appendix B.</w:t>
      </w:r>
    </w:p>
  </w:footnote>
  <w:footnote w:id="8">
    <w:p w:rsidR="00336303" w:rsidRDefault="00336303" w:rsidP="0039005A">
      <w:pPr>
        <w:pStyle w:val="FootnoteText"/>
      </w:pPr>
      <w:r>
        <w:rPr>
          <w:rStyle w:val="FootnoteReference"/>
        </w:rPr>
        <w:footnoteRef/>
      </w:r>
      <w:r>
        <w:t xml:space="preserve"> </w:t>
      </w:r>
      <w:r>
        <w:tab/>
        <w:t>NER clause 6.27(a)</w:t>
      </w:r>
    </w:p>
  </w:footnote>
  <w:footnote w:id="9">
    <w:p w:rsidR="00336303" w:rsidRDefault="00336303">
      <w:pPr>
        <w:pStyle w:val="FootnoteText"/>
      </w:pPr>
      <w:r>
        <w:rPr>
          <w:rStyle w:val="FootnoteReference"/>
        </w:rPr>
        <w:footnoteRef/>
      </w:r>
      <w:r>
        <w:t xml:space="preserve"> </w:t>
      </w:r>
      <w:r>
        <w:tab/>
      </w:r>
      <w:proofErr w:type="gramStart"/>
      <w:r>
        <w:t xml:space="preserve">AER, </w:t>
      </w:r>
      <w:r w:rsidRPr="00386F6D">
        <w:rPr>
          <w:rStyle w:val="AERtextitalic"/>
        </w:rPr>
        <w:t>Annual report on the performance of the retail energy market</w:t>
      </w:r>
      <w:r>
        <w:rPr>
          <w:rStyle w:val="AERtextitalic"/>
        </w:rPr>
        <w:t xml:space="preserve"> 2012–13</w:t>
      </w:r>
      <w:r>
        <w:t>, February 2014.</w:t>
      </w:r>
      <w:proofErr w:type="gramEnd"/>
    </w:p>
  </w:footnote>
  <w:footnote w:id="10">
    <w:p w:rsidR="00336303" w:rsidRDefault="00336303" w:rsidP="00870424">
      <w:pPr>
        <w:pStyle w:val="FootnoteText"/>
      </w:pPr>
      <w:r>
        <w:rPr>
          <w:rStyle w:val="FootnoteReference"/>
        </w:rPr>
        <w:footnoteRef/>
      </w:r>
      <w:r>
        <w:t xml:space="preserve"> </w:t>
      </w:r>
      <w:r>
        <w:tab/>
        <w:t xml:space="preserve">Economic Insights, </w:t>
      </w:r>
      <w:r w:rsidRPr="001A4B32">
        <w:rPr>
          <w:rStyle w:val="AERtextitalic"/>
        </w:rPr>
        <w:t>Economic Benchmarking of Electricity Network Service Providers Report prepared for Australian Energy Regulator</w:t>
      </w:r>
      <w:r>
        <w:t xml:space="preserve">, </w:t>
      </w:r>
      <w:r w:rsidRPr="004B265B">
        <w:t>25 June 2013</w:t>
      </w:r>
      <w:r>
        <w:t>, p. ii.</w:t>
      </w:r>
    </w:p>
  </w:footnote>
  <w:footnote w:id="11">
    <w:p w:rsidR="00336303" w:rsidRDefault="00336303" w:rsidP="001E6694">
      <w:pPr>
        <w:pStyle w:val="FootnoteText"/>
      </w:pPr>
      <w:r>
        <w:rPr>
          <w:rStyle w:val="FootnoteReference"/>
        </w:rPr>
        <w:footnoteRef/>
      </w:r>
      <w:r>
        <w:t xml:space="preserve"> </w:t>
      </w:r>
      <w:r>
        <w:tab/>
      </w:r>
      <w:proofErr w:type="gramStart"/>
      <w:r w:rsidRPr="00576E6A">
        <w:t xml:space="preserve">Independent Inquiry into National Competition Policy (F </w:t>
      </w:r>
      <w:proofErr w:type="spellStart"/>
      <w:r w:rsidRPr="00576E6A">
        <w:t>Hilmer</w:t>
      </w:r>
      <w:proofErr w:type="spellEnd"/>
      <w:r w:rsidRPr="00576E6A">
        <w:t xml:space="preserve">, Chair), </w:t>
      </w:r>
      <w:r w:rsidRPr="00FF731E">
        <w:rPr>
          <w:rStyle w:val="AERtextitalic"/>
        </w:rPr>
        <w:t>National Competition Policy</w:t>
      </w:r>
      <w:r w:rsidRPr="00576E6A">
        <w:t>, Australian Government Publishing Service, Canberra</w:t>
      </w:r>
      <w:r>
        <w:t>, 1993</w:t>
      </w:r>
      <w:r w:rsidRPr="00576E6A">
        <w:t>.</w:t>
      </w:r>
      <w:proofErr w:type="gramEnd"/>
    </w:p>
  </w:footnote>
  <w:footnote w:id="12">
    <w:p w:rsidR="00336303" w:rsidRDefault="00336303" w:rsidP="002E022C">
      <w:pPr>
        <w:pStyle w:val="FootnoteText"/>
      </w:pPr>
      <w:r>
        <w:rPr>
          <w:rStyle w:val="FootnoteReference"/>
        </w:rPr>
        <w:footnoteRef/>
      </w:r>
      <w:r>
        <w:t xml:space="preserve"> </w:t>
      </w:r>
      <w:r>
        <w:tab/>
      </w:r>
      <w:r w:rsidRPr="00D91890">
        <w:t xml:space="preserve">Productivity can be defined as the ratio of aggregate output </w:t>
      </w:r>
      <w:r>
        <w:t xml:space="preserve">quantity </w:t>
      </w:r>
      <w:r w:rsidRPr="00D91890">
        <w:t>to aggregate input</w:t>
      </w:r>
      <w:r>
        <w:t xml:space="preserve"> quantity</w:t>
      </w:r>
      <w:r w:rsidRPr="00D91890">
        <w:t xml:space="preserve">. Where a firm has one output and </w:t>
      </w:r>
      <w:proofErr w:type="gramStart"/>
      <w:r w:rsidRPr="00D91890">
        <w:t>one input productivity</w:t>
      </w:r>
      <w:proofErr w:type="gramEnd"/>
      <w:r w:rsidRPr="00D91890">
        <w:t xml:space="preserve"> can be measured</w:t>
      </w:r>
      <w:r>
        <w:t xml:space="preserve"> by</w:t>
      </w:r>
      <w:r w:rsidRPr="00D91890">
        <w:t xml:space="preserve"> a simple ratio of the output to the</w:t>
      </w:r>
      <w:r>
        <w:t xml:space="preserve"> </w:t>
      </w:r>
      <w:r w:rsidRPr="00D91890">
        <w:t>input. However, where a firm has multiple outputs and multiple</w:t>
      </w:r>
      <w:r w:rsidRPr="002F69AC">
        <w:t xml:space="preserve"> </w:t>
      </w:r>
      <w:r w:rsidRPr="00D91890">
        <w:t xml:space="preserve">inputs, weights are required to construct an output index and an input index. This allows the calculation </w:t>
      </w:r>
      <w:r>
        <w:t xml:space="preserve">of </w:t>
      </w:r>
      <w:r w:rsidRPr="00D91890">
        <w:t xml:space="preserve">total factor productivity which is the ratio of an </w:t>
      </w:r>
      <w:r>
        <w:t xml:space="preserve">index of total </w:t>
      </w:r>
      <w:r w:rsidRPr="00D91890">
        <w:t xml:space="preserve">output </w:t>
      </w:r>
      <w:r>
        <w:t xml:space="preserve">quantity to </w:t>
      </w:r>
      <w:r w:rsidRPr="00D91890">
        <w:t>an</w:t>
      </w:r>
      <w:r>
        <w:t xml:space="preserve"> index of total</w:t>
      </w:r>
      <w:r w:rsidRPr="00D91890">
        <w:t xml:space="preserve"> input </w:t>
      </w:r>
      <w:r>
        <w:t>quantity</w:t>
      </w:r>
      <w:r w:rsidRPr="00D91890">
        <w:t>.</w:t>
      </w:r>
      <w:r>
        <w:t xml:space="preserve"> The output and input quantities are normally weighted by the prices of outputs and inputs in forming the relevant index, where these prices are can be observed and reflect the unit costs of outputs and inputs. (See </w:t>
      </w:r>
      <w:proofErr w:type="spellStart"/>
      <w:r>
        <w:t>Coelli</w:t>
      </w:r>
      <w:proofErr w:type="spellEnd"/>
      <w:r>
        <w:t xml:space="preserve">,  A </w:t>
      </w:r>
      <w:proofErr w:type="spellStart"/>
      <w:r>
        <w:t>Estache</w:t>
      </w:r>
      <w:proofErr w:type="spellEnd"/>
      <w:r>
        <w:t xml:space="preserve">, S Perelman, and L Trujillo, </w:t>
      </w:r>
      <w:r w:rsidRPr="00BB70D6">
        <w:rPr>
          <w:rStyle w:val="AERtextitalic"/>
        </w:rPr>
        <w:t xml:space="preserve">A </w:t>
      </w:r>
      <w:r>
        <w:rPr>
          <w:rStyle w:val="AERtextitalic"/>
        </w:rPr>
        <w:t>p</w:t>
      </w:r>
      <w:r w:rsidRPr="00BB70D6">
        <w:rPr>
          <w:rStyle w:val="AERtextitalic"/>
        </w:rPr>
        <w:t xml:space="preserve">rimer on </w:t>
      </w:r>
      <w:r>
        <w:rPr>
          <w:rStyle w:val="AERtextitalic"/>
        </w:rPr>
        <w:t>e</w:t>
      </w:r>
      <w:r w:rsidRPr="00BB70D6">
        <w:rPr>
          <w:rStyle w:val="AERtextitalic"/>
        </w:rPr>
        <w:t xml:space="preserve">fficiency </w:t>
      </w:r>
      <w:r>
        <w:rPr>
          <w:rStyle w:val="AERtextitalic"/>
        </w:rPr>
        <w:t>m</w:t>
      </w:r>
      <w:r w:rsidRPr="00BB70D6">
        <w:rPr>
          <w:rStyle w:val="AERtextitalic"/>
        </w:rPr>
        <w:t xml:space="preserve">easurement for </w:t>
      </w:r>
      <w:r>
        <w:rPr>
          <w:rStyle w:val="AERtextitalic"/>
        </w:rPr>
        <w:t>u</w:t>
      </w:r>
      <w:r w:rsidRPr="00BB70D6">
        <w:rPr>
          <w:rStyle w:val="AERtextitalic"/>
        </w:rPr>
        <w:t xml:space="preserve">tilities and </w:t>
      </w:r>
      <w:r>
        <w:rPr>
          <w:rStyle w:val="AERtextitalic"/>
        </w:rPr>
        <w:t>t</w:t>
      </w:r>
      <w:r w:rsidRPr="00BB70D6">
        <w:rPr>
          <w:rStyle w:val="AERtextitalic"/>
        </w:rPr>
        <w:t xml:space="preserve">ransport </w:t>
      </w:r>
      <w:r>
        <w:rPr>
          <w:rStyle w:val="AERtextitalic"/>
        </w:rPr>
        <w:t>r</w:t>
      </w:r>
      <w:r w:rsidRPr="00BB70D6">
        <w:rPr>
          <w:rStyle w:val="AERtextitalic"/>
        </w:rPr>
        <w:t>egulators</w:t>
      </w:r>
      <w:r>
        <w:t>, World Bank Publications, 2003, pp. 10-11).</w:t>
      </w:r>
    </w:p>
  </w:footnote>
  <w:footnote w:id="13">
    <w:p w:rsidR="00336303" w:rsidRDefault="00336303" w:rsidP="0037555D">
      <w:pPr>
        <w:pStyle w:val="FootnoteText"/>
      </w:pPr>
      <w:r>
        <w:rPr>
          <w:rStyle w:val="FootnoteReference"/>
        </w:rPr>
        <w:footnoteRef/>
      </w:r>
      <w:r>
        <w:t xml:space="preserve"> </w:t>
      </w:r>
      <w:r>
        <w:tab/>
        <w:t xml:space="preserve">For a comprehensive outline of the discussions on input and output measurement see: Economic Insights, </w:t>
      </w:r>
      <w:r w:rsidRPr="001A4B32">
        <w:rPr>
          <w:rStyle w:val="AERtextitalic"/>
        </w:rPr>
        <w:t>Economic Benchmarking of Electricity Network Service Providers Report prepared for Australian Energy Regulator</w:t>
      </w:r>
      <w:r>
        <w:t xml:space="preserve">, </w:t>
      </w:r>
      <w:r w:rsidRPr="004B265B">
        <w:t>25 June 2013</w:t>
      </w:r>
      <w:r>
        <w:t>, pp. 6–71.</w:t>
      </w:r>
      <w:r w:rsidRPr="004B265B">
        <w:t xml:space="preserve"> </w:t>
      </w:r>
    </w:p>
  </w:footnote>
  <w:footnote w:id="14">
    <w:p w:rsidR="00336303" w:rsidRDefault="00336303" w:rsidP="0037555D">
      <w:pPr>
        <w:pStyle w:val="FootnoteText"/>
      </w:pPr>
      <w:r>
        <w:rPr>
          <w:rStyle w:val="FootnoteReference"/>
        </w:rPr>
        <w:footnoteRef/>
      </w:r>
      <w:r>
        <w:t xml:space="preserve"> </w:t>
      </w:r>
      <w:r>
        <w:tab/>
        <w:t xml:space="preserve">This data has been published on our website and is available here: </w:t>
      </w:r>
      <w:hyperlink r:id="rId2" w:history="1">
        <w:r w:rsidRPr="007F5C13">
          <w:rPr>
            <w:rStyle w:val="Hyperlink"/>
          </w:rPr>
          <w:t>https://www.aer.gov.au/node/483</w:t>
        </w:r>
      </w:hyperlink>
      <w:r>
        <w:t xml:space="preserve"> </w:t>
      </w:r>
    </w:p>
  </w:footnote>
  <w:footnote w:id="15">
    <w:p w:rsidR="00336303" w:rsidRDefault="00336303">
      <w:pPr>
        <w:pStyle w:val="FootnoteText"/>
      </w:pPr>
      <w:r>
        <w:rPr>
          <w:rStyle w:val="FootnoteReference"/>
        </w:rPr>
        <w:footnoteRef/>
      </w:r>
      <w:r>
        <w:t xml:space="preserve"> </w:t>
      </w:r>
      <w:r>
        <w:tab/>
      </w:r>
      <w:proofErr w:type="gramStart"/>
      <w:r>
        <w:t xml:space="preserve">Economic Insights, </w:t>
      </w:r>
      <w:r w:rsidRPr="00AC0600">
        <w:rPr>
          <w:rStyle w:val="AERtextitalic"/>
        </w:rPr>
        <w:t>Economic benchmarking assessment of operating expenditure for NSW and ACT electricity DNSPs</w:t>
      </w:r>
      <w:r>
        <w:t>, November 2014, pp. 11–12.</w:t>
      </w:r>
      <w:proofErr w:type="gramEnd"/>
    </w:p>
  </w:footnote>
  <w:footnote w:id="16">
    <w:p w:rsidR="00336303" w:rsidRDefault="00336303">
      <w:pPr>
        <w:pStyle w:val="FootnoteText"/>
      </w:pPr>
      <w:r>
        <w:rPr>
          <w:rStyle w:val="FootnoteReference"/>
        </w:rPr>
        <w:footnoteRef/>
      </w:r>
      <w:r>
        <w:t xml:space="preserve"> </w:t>
      </w:r>
      <w:r>
        <w:tab/>
        <w:t>Our maximum demand measure is non-coincident summated raw system annual maximum demand, at the transmission connection point.</w:t>
      </w:r>
    </w:p>
  </w:footnote>
  <w:footnote w:id="17">
    <w:p w:rsidR="00336303" w:rsidRDefault="00336303">
      <w:pPr>
        <w:pStyle w:val="FootnoteText"/>
      </w:pPr>
      <w:r>
        <w:rPr>
          <w:rStyle w:val="FootnoteReference"/>
        </w:rPr>
        <w:footnoteRef/>
      </w:r>
      <w:r>
        <w:t xml:space="preserve"> </w:t>
      </w:r>
      <w:r>
        <w:tab/>
        <w:t xml:space="preserve">High voltage and </w:t>
      </w:r>
      <w:proofErr w:type="spellStart"/>
      <w:r>
        <w:t>subtransmission</w:t>
      </w:r>
      <w:proofErr w:type="spellEnd"/>
      <w:r>
        <w:t xml:space="preserve"> customers are not included in this measure.</w:t>
      </w:r>
    </w:p>
  </w:footnote>
  <w:footnote w:id="18">
    <w:p w:rsidR="00336303" w:rsidRDefault="00336303">
      <w:pPr>
        <w:pStyle w:val="FootnoteText"/>
      </w:pPr>
      <w:r>
        <w:rPr>
          <w:rStyle w:val="FootnoteReference"/>
        </w:rPr>
        <w:footnoteRef/>
      </w:r>
      <w:r>
        <w:t xml:space="preserve"> </w:t>
      </w:r>
      <w:r>
        <w:tab/>
        <w:t xml:space="preserve">There has been some consideration as to whether maximum demand, network capacity and energy delivered should be used as measures of a distributor's output. For further discussion of this matter please see: Economic Insights, </w:t>
      </w:r>
      <w:r w:rsidRPr="001A4B32">
        <w:rPr>
          <w:rStyle w:val="AERtextitalic"/>
        </w:rPr>
        <w:t>Economic Benchmarking of Electricity Network Service Providers</w:t>
      </w:r>
      <w:r>
        <w:rPr>
          <w:rStyle w:val="AERtextitalic"/>
        </w:rPr>
        <w:t>,</w:t>
      </w:r>
      <w:r w:rsidRPr="001A4B32">
        <w:rPr>
          <w:rStyle w:val="AERtextitalic"/>
        </w:rPr>
        <w:t xml:space="preserve"> Report prepared for Australian Energy Regulator</w:t>
      </w:r>
      <w:r>
        <w:t xml:space="preserve">, </w:t>
      </w:r>
      <w:r w:rsidRPr="004B265B">
        <w:t>25 June 2013</w:t>
      </w:r>
      <w:r>
        <w:t xml:space="preserve">, </w:t>
      </w:r>
      <w:proofErr w:type="gramStart"/>
      <w:r>
        <w:t>pp</w:t>
      </w:r>
      <w:proofErr w:type="gramEnd"/>
      <w:r>
        <w:t>. 6–15.</w:t>
      </w:r>
    </w:p>
  </w:footnote>
  <w:footnote w:id="19">
    <w:p w:rsidR="00336303" w:rsidRDefault="00336303">
      <w:pPr>
        <w:pStyle w:val="FootnoteText"/>
      </w:pPr>
      <w:r>
        <w:rPr>
          <w:rStyle w:val="FootnoteReference"/>
        </w:rPr>
        <w:footnoteRef/>
      </w:r>
      <w:r>
        <w:t xml:space="preserve"> </w:t>
      </w:r>
      <w:r>
        <w:tab/>
      </w:r>
      <w:r w:rsidRPr="006915AD">
        <w:t>The Institute of Electrical and Electronics Engineers</w:t>
      </w:r>
      <w:r>
        <w:t xml:space="preserve"> (IEEE)</w:t>
      </w:r>
      <w:r w:rsidRPr="006915AD">
        <w:t>, Inc.</w:t>
      </w:r>
      <w:r>
        <w:t xml:space="preserve"> </w:t>
      </w:r>
      <w:r w:rsidRPr="005363E8">
        <w:rPr>
          <w:rStyle w:val="AERtextitalic"/>
        </w:rPr>
        <w:t>IEEE Guide for Electric Power Distribution Reliability Indices</w:t>
      </w:r>
      <w:r>
        <w:rPr>
          <w:rStyle w:val="AERtextitalic"/>
        </w:rPr>
        <w:t>,</w:t>
      </w:r>
      <w:r>
        <w:t xml:space="preserve"> </w:t>
      </w:r>
      <w:r w:rsidRPr="006915AD">
        <w:t>1366TM</w:t>
      </w:r>
      <w:r>
        <w:t>,</w:t>
      </w:r>
      <w:r w:rsidRPr="006915AD">
        <w:t xml:space="preserve"> Published by</w:t>
      </w:r>
      <w:r>
        <w:t xml:space="preserve"> </w:t>
      </w:r>
      <w:r w:rsidRPr="006915AD">
        <w:t>3 Park Avenue, New York, NY 10016-5997, USA</w:t>
      </w:r>
      <w:r>
        <w:t xml:space="preserve">, </w:t>
      </w:r>
      <w:r w:rsidRPr="006915AD">
        <w:t>14 May 2004</w:t>
      </w:r>
      <w:r>
        <w:t>, p. 3.</w:t>
      </w:r>
    </w:p>
  </w:footnote>
  <w:footnote w:id="20">
    <w:p w:rsidR="00336303" w:rsidRDefault="00336303">
      <w:pPr>
        <w:pStyle w:val="FootnoteText"/>
      </w:pPr>
      <w:r>
        <w:rPr>
          <w:rStyle w:val="FootnoteReference"/>
        </w:rPr>
        <w:footnoteRef/>
      </w:r>
      <w:r>
        <w:t xml:space="preserve"> </w:t>
      </w:r>
      <w:r>
        <w:tab/>
        <w:t>The effects of major events, planned outages and transmission outages have been excluded from the minutes off supply reported in this figure.</w:t>
      </w:r>
    </w:p>
  </w:footnote>
  <w:footnote w:id="21">
    <w:p w:rsidR="00336303" w:rsidRDefault="00336303">
      <w:pPr>
        <w:pStyle w:val="FootnoteText"/>
      </w:pPr>
      <w:r>
        <w:rPr>
          <w:rStyle w:val="FootnoteReference"/>
        </w:rPr>
        <w:footnoteRef/>
      </w:r>
      <w:r>
        <w:t xml:space="preserve"> </w:t>
      </w:r>
      <w:r>
        <w:tab/>
      </w:r>
      <w:r w:rsidRPr="00522EA6">
        <w:t>The effects of major events</w:t>
      </w:r>
      <w:r>
        <w:t>, planned outages and transmission outages</w:t>
      </w:r>
      <w:r w:rsidRPr="00522EA6">
        <w:t xml:space="preserve"> have been excluded from the minutes off supply reported in this figure.</w:t>
      </w:r>
    </w:p>
  </w:footnote>
  <w:footnote w:id="22">
    <w:p w:rsidR="00336303" w:rsidRDefault="00336303" w:rsidP="00870424">
      <w:pPr>
        <w:pStyle w:val="FootnoteText"/>
      </w:pPr>
      <w:r>
        <w:rPr>
          <w:rStyle w:val="FootnoteReference"/>
        </w:rPr>
        <w:footnoteRef/>
      </w:r>
      <w:r>
        <w:t xml:space="preserve"> </w:t>
      </w:r>
      <w:r>
        <w:tab/>
        <w:t xml:space="preserve">For further consideration of this issue see: </w:t>
      </w:r>
      <w:r w:rsidRPr="00E26E78">
        <w:t xml:space="preserve">Economic Insights, </w:t>
      </w:r>
      <w:r w:rsidRPr="00E26E78">
        <w:rPr>
          <w:rStyle w:val="AERtextitalic"/>
        </w:rPr>
        <w:t>Economic Benchmarking of Electricity Network Service Providers Report prepared for Australian Energy Regulator</w:t>
      </w:r>
      <w:r w:rsidRPr="00E26E78">
        <w:t>, 25 June 2013</w:t>
      </w:r>
      <w:r>
        <w:t>, pp. 47–71.</w:t>
      </w:r>
    </w:p>
  </w:footnote>
  <w:footnote w:id="23">
    <w:p w:rsidR="00336303" w:rsidRDefault="00336303" w:rsidP="00870424">
      <w:pPr>
        <w:pStyle w:val="FootnoteText"/>
      </w:pPr>
      <w:r>
        <w:rPr>
          <w:rStyle w:val="FootnoteReference"/>
        </w:rPr>
        <w:footnoteRef/>
      </w:r>
      <w:r>
        <w:t xml:space="preserve"> </w:t>
      </w:r>
      <w:r>
        <w:tab/>
        <w:t xml:space="preserve">This is considered in greater detail in: </w:t>
      </w:r>
      <w:r w:rsidRPr="009E6D0B">
        <w:t xml:space="preserve">AER, </w:t>
      </w:r>
      <w:r w:rsidRPr="009E6D0B">
        <w:rPr>
          <w:rStyle w:val="AERtextitalic"/>
        </w:rPr>
        <w:t>Better regulation, expenditure forecast assessment guidelines for electricity distribution and transmission issues paper</w:t>
      </w:r>
      <w:r w:rsidRPr="009E6D0B">
        <w:t>, December 2012</w:t>
      </w:r>
      <w:r>
        <w:t>, pp. 62–71.</w:t>
      </w:r>
    </w:p>
  </w:footnote>
  <w:footnote w:id="24">
    <w:p w:rsidR="00336303" w:rsidRDefault="00336303">
      <w:pPr>
        <w:pStyle w:val="FootnoteText"/>
      </w:pPr>
      <w:r>
        <w:rPr>
          <w:rStyle w:val="FootnoteReference"/>
        </w:rPr>
        <w:footnoteRef/>
      </w:r>
      <w:r>
        <w:t xml:space="preserve"> </w:t>
      </w:r>
      <w:r>
        <w:tab/>
        <w:t xml:space="preserve">This has been converted into constant dollar terms using the ABS </w:t>
      </w:r>
      <w:r w:rsidRPr="0069076E">
        <w:t>Weighted Average of Eight Capital Cities</w:t>
      </w:r>
      <w:r w:rsidRPr="000946E7">
        <w:t xml:space="preserve"> </w:t>
      </w:r>
      <w:r w:rsidRPr="0069076E">
        <w:t>CPI</w:t>
      </w:r>
      <w:r>
        <w:t xml:space="preserve">. We have used this index to convert all reported nominal financial amounts into real $2013 in this report. </w:t>
      </w:r>
    </w:p>
  </w:footnote>
  <w:footnote w:id="25">
    <w:p w:rsidR="00336303" w:rsidRDefault="00336303">
      <w:pPr>
        <w:pStyle w:val="FootnoteText"/>
      </w:pPr>
      <w:r>
        <w:rPr>
          <w:rStyle w:val="FootnoteReference"/>
        </w:rPr>
        <w:footnoteRef/>
      </w:r>
      <w:r>
        <w:t xml:space="preserve"> </w:t>
      </w:r>
      <w:r>
        <w:tab/>
      </w:r>
      <w:r w:rsidRPr="00402016">
        <w:t xml:space="preserve">Economic Insights, </w:t>
      </w:r>
      <w:r w:rsidRPr="00402016">
        <w:rPr>
          <w:rStyle w:val="AERtextitalic"/>
        </w:rPr>
        <w:t>Economic Benchmarking of Electricity Network Service Providers Report prepared for Australian Energy Regulator</w:t>
      </w:r>
      <w:r w:rsidRPr="00402016">
        <w:t xml:space="preserve">, 25 June 2013, p. </w:t>
      </w:r>
      <w:r>
        <w:t>73</w:t>
      </w:r>
      <w:r w:rsidRPr="00402016">
        <w:t>.</w:t>
      </w:r>
    </w:p>
  </w:footnote>
  <w:footnote w:id="26">
    <w:p w:rsidR="00336303" w:rsidRDefault="00336303" w:rsidP="00D1304E">
      <w:pPr>
        <w:pStyle w:val="FootnoteText"/>
      </w:pPr>
      <w:r>
        <w:rPr>
          <w:rStyle w:val="FootnoteReference"/>
        </w:rPr>
        <w:footnoteRef/>
      </w:r>
      <w:r>
        <w:t xml:space="preserve"> </w:t>
      </w:r>
      <w:r>
        <w:tab/>
      </w:r>
      <w:proofErr w:type="gramStart"/>
      <w:r>
        <w:t xml:space="preserve">Economic Insights, </w:t>
      </w:r>
      <w:r w:rsidRPr="00AC0600">
        <w:rPr>
          <w:rStyle w:val="AERtextitalic"/>
        </w:rPr>
        <w:t>Economic benchmarking assessment of operating expenditure for NSW and ACT electricity DNSPs</w:t>
      </w:r>
      <w:r>
        <w:t>, November 2014, pp. 6–7.</w:t>
      </w:r>
      <w:proofErr w:type="gramEnd"/>
    </w:p>
  </w:footnote>
  <w:footnote w:id="27">
    <w:p w:rsidR="00336303" w:rsidRDefault="00336303">
      <w:pPr>
        <w:pStyle w:val="FootnoteText"/>
      </w:pPr>
      <w:r>
        <w:rPr>
          <w:rStyle w:val="FootnoteReference"/>
        </w:rPr>
        <w:footnoteRef/>
      </w:r>
      <w:r>
        <w:t xml:space="preserve"> </w:t>
      </w:r>
      <w:r>
        <w:tab/>
        <w:t xml:space="preserve">TasNetworks, Submission to the draft benchmarking report, August 2014, p. 2; </w:t>
      </w:r>
      <w:proofErr w:type="spellStart"/>
      <w:r>
        <w:t>ActewAGL</w:t>
      </w:r>
      <w:proofErr w:type="spellEnd"/>
      <w:r>
        <w:t xml:space="preserve">, </w:t>
      </w:r>
      <w:r w:rsidRPr="00877FE5">
        <w:rPr>
          <w:rStyle w:val="AERtextitalic"/>
        </w:rPr>
        <w:t>Response to the AER's draft annual benchmarking report</w:t>
      </w:r>
      <w:r>
        <w:t xml:space="preserve">, September 2014, pp. 5–9; </w:t>
      </w:r>
      <w:proofErr w:type="spellStart"/>
      <w:r>
        <w:t>Huegin</w:t>
      </w:r>
      <w:proofErr w:type="spellEnd"/>
      <w:r>
        <w:t xml:space="preserve"> Consulting, </w:t>
      </w:r>
      <w:r w:rsidRPr="00C2111B">
        <w:rPr>
          <w:rStyle w:val="AERtextitalic"/>
        </w:rPr>
        <w:t>Benchmarking results for Networks NSW businesses: A review of the AER annual benchmarking report</w:t>
      </w:r>
      <w:r>
        <w:t xml:space="preserve">, August 2014, p. 7; </w:t>
      </w:r>
      <w:proofErr w:type="spellStart"/>
      <w:r>
        <w:t>Ergon</w:t>
      </w:r>
      <w:proofErr w:type="spellEnd"/>
      <w:r>
        <w:t xml:space="preserve"> Energy, </w:t>
      </w:r>
      <w:r w:rsidRPr="00B4092C">
        <w:rPr>
          <w:rStyle w:val="AERtextitalic"/>
        </w:rPr>
        <w:t>Submission on the draft electricity distribution network service providers – 2014 annual benchmarking report</w:t>
      </w:r>
      <w:r>
        <w:t xml:space="preserve">, August 2014, p. 6; NSW DNSPs, </w:t>
      </w:r>
      <w:r w:rsidRPr="00B4092C">
        <w:rPr>
          <w:rStyle w:val="AERtextitalic"/>
        </w:rPr>
        <w:t xml:space="preserve">NSW DNSPs' </w:t>
      </w:r>
      <w:r>
        <w:rPr>
          <w:rStyle w:val="AERtextitalic"/>
        </w:rPr>
        <w:t>c</w:t>
      </w:r>
      <w:r w:rsidRPr="00B4092C">
        <w:rPr>
          <w:rStyle w:val="AERtextitalic"/>
        </w:rPr>
        <w:t>omments on draft annual benchmarking report</w:t>
      </w:r>
      <w:r>
        <w:t>, August 2014, p. 11.</w:t>
      </w:r>
    </w:p>
  </w:footnote>
  <w:footnote w:id="28">
    <w:p w:rsidR="00336303" w:rsidRDefault="00336303">
      <w:pPr>
        <w:pStyle w:val="FootnoteText"/>
      </w:pPr>
      <w:r>
        <w:rPr>
          <w:rStyle w:val="FootnoteReference"/>
        </w:rPr>
        <w:footnoteRef/>
      </w:r>
      <w:r>
        <w:t xml:space="preserve"> </w:t>
      </w:r>
      <w:r>
        <w:tab/>
      </w:r>
      <w:proofErr w:type="spellStart"/>
      <w:r>
        <w:t>ActewAGL</w:t>
      </w:r>
      <w:proofErr w:type="spellEnd"/>
      <w:r>
        <w:t xml:space="preserve">, </w:t>
      </w:r>
      <w:r w:rsidRPr="00877FE5">
        <w:rPr>
          <w:rStyle w:val="AERtextitalic"/>
        </w:rPr>
        <w:t>Response to the AER's draft annual benchmarking report</w:t>
      </w:r>
      <w:r>
        <w:t xml:space="preserve">, September 2014, pp. 5–9; CP/PC/SAPN, Submission to draft benchmarking report, August 2014, p. 2; </w:t>
      </w:r>
      <w:proofErr w:type="spellStart"/>
      <w:r>
        <w:t>Energex</w:t>
      </w:r>
      <w:proofErr w:type="spellEnd"/>
      <w:r>
        <w:t xml:space="preserve">, </w:t>
      </w:r>
      <w:proofErr w:type="spellStart"/>
      <w:r w:rsidRPr="00B4092C">
        <w:rPr>
          <w:rStyle w:val="AERtextitalic"/>
        </w:rPr>
        <w:t>Energex</w:t>
      </w:r>
      <w:proofErr w:type="spellEnd"/>
      <w:r w:rsidRPr="00B4092C">
        <w:rPr>
          <w:rStyle w:val="AERtextitalic"/>
        </w:rPr>
        <w:t xml:space="preserve"> response to AER's draft annual benchmarking report</w:t>
      </w:r>
      <w:r>
        <w:t xml:space="preserve">, August 2014, p. 2; NSW DNSPs, </w:t>
      </w:r>
      <w:r w:rsidRPr="00B4092C">
        <w:rPr>
          <w:rStyle w:val="AERtextitalic"/>
        </w:rPr>
        <w:t xml:space="preserve">NSW DNSPs' </w:t>
      </w:r>
      <w:r>
        <w:rPr>
          <w:rStyle w:val="AERtextitalic"/>
        </w:rPr>
        <w:t>c</w:t>
      </w:r>
      <w:r w:rsidRPr="00B4092C">
        <w:rPr>
          <w:rStyle w:val="AERtextitalic"/>
        </w:rPr>
        <w:t>omments on draft annual benchmarking report</w:t>
      </w:r>
      <w:r>
        <w:t>, August 2014, pp. 10–11.</w:t>
      </w:r>
    </w:p>
  </w:footnote>
  <w:footnote w:id="29">
    <w:p w:rsidR="00336303" w:rsidRDefault="00336303" w:rsidP="002367A6">
      <w:pPr>
        <w:pStyle w:val="FootnoteText"/>
      </w:pPr>
      <w:r>
        <w:rPr>
          <w:rStyle w:val="FootnoteReference"/>
        </w:rPr>
        <w:footnoteRef/>
      </w:r>
      <w:r>
        <w:t xml:space="preserve"> </w:t>
      </w:r>
      <w:r>
        <w:tab/>
        <w:t xml:space="preserve">AER, </w:t>
      </w:r>
      <w:r w:rsidRPr="00A63B47">
        <w:rPr>
          <w:rStyle w:val="AERtextitalic"/>
        </w:rPr>
        <w:t xml:space="preserve">Draft decision </w:t>
      </w:r>
      <w:proofErr w:type="spellStart"/>
      <w:r w:rsidRPr="00A63B47">
        <w:rPr>
          <w:rStyle w:val="AERtextitalic"/>
        </w:rPr>
        <w:t>ActewAGL</w:t>
      </w:r>
      <w:proofErr w:type="spellEnd"/>
      <w:r w:rsidRPr="00A63B47">
        <w:rPr>
          <w:rStyle w:val="AERtextitalic"/>
        </w:rPr>
        <w:t xml:space="preserve"> distribution determination 2014–19 </w:t>
      </w:r>
      <w:r w:rsidRPr="001B747F">
        <w:rPr>
          <w:rStyle w:val="AERtextitalic"/>
        </w:rPr>
        <w:t>Attachment 7: Operating expenditure</w:t>
      </w:r>
      <w:r>
        <w:t xml:space="preserve">, November 2014, pp. 86–117. Our consideration of the impact of the operating environment for the three NSW DNSPs can be found in any of the respective NSW DNSP revenue proposal draft decisions, for example: AER, </w:t>
      </w:r>
      <w:r w:rsidRPr="00D5185A">
        <w:rPr>
          <w:rStyle w:val="AERtextitalic"/>
        </w:rPr>
        <w:t>Draft decision Endeavour Energy distribution determination 2014–19 Attachment 7: Operating expenditure</w:t>
      </w:r>
      <w:r>
        <w:t>, November 2014, pp. 98–128.</w:t>
      </w:r>
    </w:p>
  </w:footnote>
  <w:footnote w:id="30">
    <w:p w:rsidR="00336303" w:rsidRDefault="00336303" w:rsidP="00B074EC">
      <w:pPr>
        <w:pStyle w:val="FootnoteText"/>
      </w:pPr>
      <w:r>
        <w:rPr>
          <w:rStyle w:val="FootnoteReference"/>
        </w:rPr>
        <w:footnoteRef/>
      </w:r>
      <w:r>
        <w:t xml:space="preserve"> </w:t>
      </w:r>
      <w:r>
        <w:tab/>
      </w:r>
      <w:r w:rsidRPr="00B074EC">
        <w:t>ACCC/AER Working Paper Series</w:t>
      </w:r>
      <w:r>
        <w:t xml:space="preserve">, </w:t>
      </w:r>
      <w:r w:rsidRPr="00B074EC">
        <w:rPr>
          <w:rStyle w:val="AERtextitalic"/>
        </w:rPr>
        <w:t>Benchmarking Opex and Capex in Energy Networks</w:t>
      </w:r>
      <w:r>
        <w:t xml:space="preserve">, Working Paper no.6, May 2012; </w:t>
      </w:r>
    </w:p>
    <w:p w:rsidR="00336303" w:rsidRDefault="00336303" w:rsidP="00D0000B">
      <w:pPr>
        <w:pStyle w:val="FootnoteText"/>
      </w:pPr>
      <w:r>
        <w:tab/>
        <w:t xml:space="preserve">AER, </w:t>
      </w:r>
      <w:r w:rsidRPr="00D0000B">
        <w:rPr>
          <w:rStyle w:val="AERtextitalic"/>
        </w:rPr>
        <w:t>Better Regulation Expenditure forecast assessment guidelines for electricity distribution and transmission, Issues paper,</w:t>
      </w:r>
      <w:r>
        <w:t xml:space="preserve"> </w:t>
      </w:r>
      <w:r w:rsidRPr="00D0000B">
        <w:t>December 2012</w:t>
      </w:r>
      <w:r>
        <w:t>, pp. 46–87.</w:t>
      </w:r>
    </w:p>
  </w:footnote>
  <w:footnote w:id="31">
    <w:p w:rsidR="00336303" w:rsidRDefault="00336303" w:rsidP="005363E8">
      <w:pPr>
        <w:pStyle w:val="FootnoteText"/>
      </w:pPr>
      <w:r>
        <w:rPr>
          <w:rStyle w:val="FootnoteReference"/>
        </w:rPr>
        <w:footnoteRef/>
      </w:r>
      <w:r>
        <w:t xml:space="preserve"> </w:t>
      </w:r>
      <w:r>
        <w:tab/>
        <w:t>Customer density is measured as the number of customers per km of route line length.</w:t>
      </w:r>
    </w:p>
  </w:footnote>
  <w:footnote w:id="32">
    <w:p w:rsidR="00336303" w:rsidRDefault="00336303">
      <w:pPr>
        <w:pStyle w:val="FootnoteText"/>
      </w:pPr>
      <w:r>
        <w:rPr>
          <w:rStyle w:val="FootnoteReference"/>
        </w:rPr>
        <w:footnoteRef/>
      </w:r>
      <w:r>
        <w:t xml:space="preserve"> </w:t>
      </w:r>
      <w:r>
        <w:tab/>
      </w:r>
      <w:r w:rsidRPr="00C64656">
        <w:t>We have applied a real vanilla weighted average cost of capital of 6.09. In calculating this average return on capital, we applied the parameters in the AER's rate of return guideline where possible, used a market risk premium of 6.5 per cent based our most recent transmission determination, a risk free rate based on the yield 10 year CGS 365 day averaging period, and a debt risk premium ba</w:t>
      </w:r>
      <w:r>
        <w:t>sed on an extrapolation of the B</w:t>
      </w:r>
      <w:r w:rsidRPr="00C64656">
        <w:t>loomberg BBB fair yield curve.</w:t>
      </w:r>
    </w:p>
  </w:footnote>
  <w:footnote w:id="33">
    <w:p w:rsidR="00336303" w:rsidRDefault="00336303">
      <w:pPr>
        <w:pStyle w:val="FootnoteText"/>
      </w:pPr>
      <w:r>
        <w:rPr>
          <w:rStyle w:val="FootnoteReference"/>
        </w:rPr>
        <w:footnoteRef/>
      </w:r>
      <w:r>
        <w:t xml:space="preserve"> </w:t>
      </w:r>
      <w:r>
        <w:tab/>
        <w:t xml:space="preserve">Straight line depreciation entails a constant rate of depreciation over the expected life of an asset. Under this measure asset age should not affect the rate of depreciation unless fully depreciated assets are still utilised. However, asset age will influence the return on investment. The return on investment is calculated as a percentage of the total value of the RAB. This means that as an asset base gets older the return that distributors earn on it will decrease with time. </w:t>
      </w:r>
    </w:p>
  </w:footnote>
  <w:footnote w:id="34">
    <w:p w:rsidR="00336303" w:rsidRDefault="00336303" w:rsidP="006A07E6">
      <w:pPr>
        <w:pStyle w:val="FootnoteText"/>
      </w:pPr>
      <w:r>
        <w:rPr>
          <w:rStyle w:val="FootnoteReference"/>
        </w:rPr>
        <w:footnoteRef/>
      </w:r>
      <w:r>
        <w:t xml:space="preserve"> </w:t>
      </w:r>
      <w:r>
        <w:tab/>
      </w:r>
      <w:proofErr w:type="gramStart"/>
      <w:r>
        <w:t xml:space="preserve">Economic Insights, </w:t>
      </w:r>
      <w:r w:rsidRPr="00223600">
        <w:rPr>
          <w:rStyle w:val="AERtextitalic"/>
        </w:rPr>
        <w:t>Economic benchmarking assessment of operating expenditure for NSW and ACT electricity DNSPs</w:t>
      </w:r>
      <w:r>
        <w:t>, November 2014.</w:t>
      </w:r>
      <w:proofErr w:type="gramEnd"/>
    </w:p>
  </w:footnote>
  <w:footnote w:id="35">
    <w:p w:rsidR="00336303" w:rsidRDefault="00336303" w:rsidP="00D17BC9">
      <w:pPr>
        <w:pStyle w:val="FootnoteText"/>
      </w:pPr>
      <w:r>
        <w:rPr>
          <w:rStyle w:val="FootnoteReference"/>
        </w:rPr>
        <w:footnoteRef/>
      </w:r>
      <w:r>
        <w:t xml:space="preserve"> </w:t>
      </w:r>
      <w:r>
        <w:tab/>
      </w:r>
      <w:proofErr w:type="gramStart"/>
      <w:r>
        <w:t xml:space="preserve">Economic Insights, </w:t>
      </w:r>
      <w:r w:rsidRPr="00223600">
        <w:rPr>
          <w:rStyle w:val="AERtextitalic"/>
        </w:rPr>
        <w:t>Economic benchmarking assessment of operating expenditure for NSW and ACT electricity DNSPs, November 2014</w:t>
      </w:r>
      <w:r>
        <w:t>, pp. 4–5.</w:t>
      </w:r>
      <w:proofErr w:type="gramEnd"/>
    </w:p>
  </w:footnote>
  <w:footnote w:id="36">
    <w:p w:rsidR="00336303" w:rsidRDefault="00336303">
      <w:pPr>
        <w:pStyle w:val="FootnoteText"/>
      </w:pPr>
      <w:r>
        <w:rPr>
          <w:rStyle w:val="FootnoteReference"/>
        </w:rPr>
        <w:footnoteRef/>
      </w:r>
      <w:r>
        <w:t xml:space="preserve"> </w:t>
      </w:r>
      <w:r>
        <w:tab/>
      </w:r>
      <w:proofErr w:type="gramStart"/>
      <w:r>
        <w:t xml:space="preserve">Economic Insights, </w:t>
      </w:r>
      <w:r w:rsidRPr="00223600">
        <w:rPr>
          <w:rStyle w:val="AERtextitalic"/>
        </w:rPr>
        <w:t>Economic benchmarking assessment of operating expenditure for NSW and ACT electricity DNSPs, November 2014</w:t>
      </w:r>
      <w:r>
        <w:t>, p. 12.</w:t>
      </w:r>
      <w:proofErr w:type="gramEnd"/>
    </w:p>
  </w:footnote>
  <w:footnote w:id="37">
    <w:p w:rsidR="00336303" w:rsidRDefault="00336303" w:rsidP="00792105">
      <w:pPr>
        <w:pStyle w:val="FootnoteText"/>
      </w:pPr>
      <w:r>
        <w:rPr>
          <w:rStyle w:val="FootnoteReference"/>
        </w:rPr>
        <w:footnoteRef/>
      </w:r>
      <w:r>
        <w:t xml:space="preserve"> </w:t>
      </w:r>
      <w:r>
        <w:tab/>
        <w:t xml:space="preserve">This has been converted into constant dollar terms using the ABS </w:t>
      </w:r>
      <w:r w:rsidRPr="0069076E">
        <w:t>Weighted Average of Eight Capital Cities</w:t>
      </w:r>
      <w:r w:rsidRPr="000946E7">
        <w:t xml:space="preserve"> </w:t>
      </w:r>
      <w:r w:rsidRPr="0069076E">
        <w:t>CPI</w:t>
      </w:r>
      <w:r>
        <w:t>. We have applied this approach consistently across all figures in this report.</w:t>
      </w:r>
    </w:p>
  </w:footnote>
  <w:footnote w:id="38">
    <w:p w:rsidR="00336303" w:rsidRDefault="00336303" w:rsidP="00FD2F9B">
      <w:pPr>
        <w:pStyle w:val="FootnoteText"/>
      </w:pPr>
      <w:r>
        <w:rPr>
          <w:rStyle w:val="FootnoteReference"/>
        </w:rPr>
        <w:footnoteRef/>
      </w:r>
      <w:r>
        <w:t xml:space="preserve"> </w:t>
      </w:r>
      <w:r>
        <w:tab/>
      </w:r>
      <w:proofErr w:type="spellStart"/>
      <w:proofErr w:type="gramStart"/>
      <w:r>
        <w:t>Jemena</w:t>
      </w:r>
      <w:proofErr w:type="spellEnd"/>
      <w:r>
        <w:t xml:space="preserve"> Electricity Networks, Submission to the draft benchmarking report, August 2014, p. 1.</w:t>
      </w:r>
      <w:proofErr w:type="gramEnd"/>
    </w:p>
  </w:footnote>
  <w:footnote w:id="39">
    <w:p w:rsidR="00336303" w:rsidRDefault="00336303" w:rsidP="00FD2F9B">
      <w:pPr>
        <w:pStyle w:val="FootnoteText"/>
      </w:pPr>
      <w:r>
        <w:rPr>
          <w:rStyle w:val="FootnoteReference"/>
        </w:rPr>
        <w:footnoteRef/>
      </w:r>
      <w:r>
        <w:t xml:space="preserve"> </w:t>
      </w:r>
      <w:r>
        <w:tab/>
        <w:t xml:space="preserve">CP/PC/SAPN, </w:t>
      </w:r>
      <w:r w:rsidRPr="00E0398F">
        <w:rPr>
          <w:rStyle w:val="AERtextitalic"/>
        </w:rPr>
        <w:t>Joint submission to AER on draft annual benchmarking report for electricity distribution network service providers</w:t>
      </w:r>
      <w:r>
        <w:t>, August 2014, pp. 1–2.</w:t>
      </w:r>
    </w:p>
  </w:footnote>
  <w:footnote w:id="40">
    <w:p w:rsidR="00336303" w:rsidRDefault="00336303" w:rsidP="00FD2F9B">
      <w:pPr>
        <w:pStyle w:val="FootnoteText"/>
      </w:pPr>
      <w:r>
        <w:rPr>
          <w:rStyle w:val="FootnoteReference"/>
        </w:rPr>
        <w:footnoteRef/>
      </w:r>
      <w:r>
        <w:t xml:space="preserve"> </w:t>
      </w:r>
      <w:r>
        <w:tab/>
      </w:r>
      <w:proofErr w:type="spellStart"/>
      <w:r>
        <w:t>ActewAGL</w:t>
      </w:r>
      <w:proofErr w:type="spellEnd"/>
      <w:r>
        <w:t xml:space="preserve">, </w:t>
      </w:r>
      <w:r w:rsidRPr="00877FE5">
        <w:rPr>
          <w:rStyle w:val="AERtextitalic"/>
        </w:rPr>
        <w:t>Response to the AER's draft annual benchmarking report</w:t>
      </w:r>
      <w:r>
        <w:t xml:space="preserve">, September 2014, p. 12; </w:t>
      </w:r>
      <w:proofErr w:type="spellStart"/>
      <w:r>
        <w:t>Huegin</w:t>
      </w:r>
      <w:proofErr w:type="spellEnd"/>
      <w:r>
        <w:t xml:space="preserve"> Consulting, </w:t>
      </w:r>
      <w:r w:rsidRPr="00C2111B">
        <w:rPr>
          <w:rStyle w:val="AERtextitalic"/>
        </w:rPr>
        <w:t>Benchmarking results for Networks NSW businesses: A review of the AER annual benchmarking report</w:t>
      </w:r>
      <w:r>
        <w:t>, August 2014, p. 2.</w:t>
      </w:r>
    </w:p>
  </w:footnote>
  <w:footnote w:id="41">
    <w:p w:rsidR="00336303" w:rsidRDefault="00336303" w:rsidP="00FD2F9B">
      <w:pPr>
        <w:pStyle w:val="FootnoteText"/>
      </w:pPr>
      <w:r>
        <w:rPr>
          <w:rStyle w:val="FootnoteReference"/>
        </w:rPr>
        <w:footnoteRef/>
      </w:r>
      <w:r>
        <w:t xml:space="preserve"> </w:t>
      </w:r>
      <w:r>
        <w:tab/>
      </w:r>
      <w:proofErr w:type="gramStart"/>
      <w:r>
        <w:t xml:space="preserve">Economic Insights, </w:t>
      </w:r>
      <w:r w:rsidRPr="009F050F">
        <w:rPr>
          <w:rStyle w:val="AERtextitalic"/>
        </w:rPr>
        <w:t>Economic benchmarking assessment of operating expenditure for NSW and ACT electricity DNSPs</w:t>
      </w:r>
      <w:r>
        <w:t>, November 2014, p. 7.</w:t>
      </w:r>
      <w:proofErr w:type="gramEnd"/>
    </w:p>
  </w:footnote>
  <w:footnote w:id="42">
    <w:p w:rsidR="00336303" w:rsidRDefault="00336303" w:rsidP="00FD2F9B">
      <w:pPr>
        <w:pStyle w:val="FootnoteText"/>
      </w:pPr>
      <w:r>
        <w:rPr>
          <w:rStyle w:val="FootnoteReference"/>
        </w:rPr>
        <w:footnoteRef/>
      </w:r>
      <w:r>
        <w:t xml:space="preserve"> </w:t>
      </w:r>
      <w:r>
        <w:tab/>
        <w:t xml:space="preserve">NSW DNSPs, </w:t>
      </w:r>
      <w:r w:rsidRPr="00B4092C">
        <w:rPr>
          <w:rStyle w:val="AERtextitalic"/>
        </w:rPr>
        <w:t xml:space="preserve">NSW DNSPs' </w:t>
      </w:r>
      <w:r>
        <w:rPr>
          <w:rStyle w:val="AERtextitalic"/>
        </w:rPr>
        <w:t>c</w:t>
      </w:r>
      <w:r w:rsidRPr="00B4092C">
        <w:rPr>
          <w:rStyle w:val="AERtextitalic"/>
        </w:rPr>
        <w:t>omments on draft annual benchmarking report</w:t>
      </w:r>
      <w:r>
        <w:t xml:space="preserve">, August 2014, p. 12; </w:t>
      </w:r>
      <w:proofErr w:type="spellStart"/>
      <w:r>
        <w:t>Ergon</w:t>
      </w:r>
      <w:proofErr w:type="spellEnd"/>
      <w:r>
        <w:t xml:space="preserve"> Energy, </w:t>
      </w:r>
      <w:r w:rsidRPr="00B4092C">
        <w:rPr>
          <w:rStyle w:val="AERtextitalic"/>
        </w:rPr>
        <w:t>Submission on the draft electricity distribution network service providers – 2014 annual benchmarking report</w:t>
      </w:r>
      <w:r>
        <w:t xml:space="preserve">, August 2014, p. 5; </w:t>
      </w:r>
      <w:proofErr w:type="spellStart"/>
      <w:r>
        <w:t>Energex</w:t>
      </w:r>
      <w:proofErr w:type="spellEnd"/>
      <w:r>
        <w:t xml:space="preserve">, </w:t>
      </w:r>
      <w:proofErr w:type="spellStart"/>
      <w:r w:rsidRPr="00B4092C">
        <w:rPr>
          <w:rStyle w:val="AERtextitalic"/>
        </w:rPr>
        <w:t>Energex</w:t>
      </w:r>
      <w:proofErr w:type="spellEnd"/>
      <w:r w:rsidRPr="00B4092C">
        <w:rPr>
          <w:rStyle w:val="AERtextitalic"/>
        </w:rPr>
        <w:t xml:space="preserve"> response to AER's draft annual benchmarking report</w:t>
      </w:r>
      <w:r>
        <w:t>, August 2014, pp. 1–2.</w:t>
      </w:r>
    </w:p>
  </w:footnote>
  <w:footnote w:id="43">
    <w:p w:rsidR="00336303" w:rsidRDefault="00336303" w:rsidP="00FD2F9B">
      <w:pPr>
        <w:pStyle w:val="FootnoteText"/>
      </w:pPr>
      <w:r>
        <w:rPr>
          <w:rStyle w:val="FootnoteReference"/>
        </w:rPr>
        <w:footnoteRef/>
      </w:r>
      <w:r>
        <w:t xml:space="preserve"> </w:t>
      </w:r>
      <w:r>
        <w:tab/>
      </w:r>
      <w:proofErr w:type="gramStart"/>
      <w:r>
        <w:t>TasNetworks, Submission to the draft benchmarking report, August 2014, p. 2.</w:t>
      </w:r>
      <w:proofErr w:type="gramEnd"/>
    </w:p>
  </w:footnote>
  <w:footnote w:id="44">
    <w:p w:rsidR="00336303" w:rsidRDefault="00336303">
      <w:pPr>
        <w:pStyle w:val="FootnoteText"/>
      </w:pPr>
      <w:r>
        <w:rPr>
          <w:rStyle w:val="FootnoteReference"/>
        </w:rPr>
        <w:footnoteRef/>
      </w:r>
      <w:r>
        <w:t xml:space="preserve"> </w:t>
      </w:r>
      <w:r>
        <w:tab/>
        <w:t xml:space="preserve">Consumer Challenge Panel, Written comments on the draft distribution benchmarking report, August 2014; NSW DNSPs, </w:t>
      </w:r>
      <w:r w:rsidRPr="00B4092C">
        <w:rPr>
          <w:rStyle w:val="AERtextitalic"/>
        </w:rPr>
        <w:t xml:space="preserve">NSW DNSPs' </w:t>
      </w:r>
      <w:r>
        <w:rPr>
          <w:rStyle w:val="AERtextitalic"/>
        </w:rPr>
        <w:t>c</w:t>
      </w:r>
      <w:r w:rsidRPr="00B4092C">
        <w:rPr>
          <w:rStyle w:val="AERtextitalic"/>
        </w:rPr>
        <w:t>omments on draft annual benchmarking report</w:t>
      </w:r>
      <w:r>
        <w:t>, August 2014, pp. 6–7.</w:t>
      </w:r>
    </w:p>
  </w:footnote>
  <w:footnote w:id="45">
    <w:p w:rsidR="00336303" w:rsidRDefault="00336303" w:rsidP="00FD2F9B">
      <w:pPr>
        <w:pStyle w:val="FootnoteText"/>
      </w:pPr>
      <w:r>
        <w:rPr>
          <w:rStyle w:val="FootnoteReference"/>
        </w:rPr>
        <w:footnoteRef/>
      </w:r>
      <w:r>
        <w:t xml:space="preserve"> </w:t>
      </w:r>
      <w:r>
        <w:tab/>
        <w:t xml:space="preserve">NSW DNSPs, </w:t>
      </w:r>
      <w:r w:rsidRPr="00B4092C">
        <w:rPr>
          <w:rStyle w:val="AERtextitalic"/>
        </w:rPr>
        <w:t xml:space="preserve">NSW DNSPs' </w:t>
      </w:r>
      <w:r>
        <w:rPr>
          <w:rStyle w:val="AERtextitalic"/>
        </w:rPr>
        <w:t>c</w:t>
      </w:r>
      <w:r w:rsidRPr="00B4092C">
        <w:rPr>
          <w:rStyle w:val="AERtextitalic"/>
        </w:rPr>
        <w:t>omments on draft annual benchmarking report</w:t>
      </w:r>
      <w:r>
        <w:t xml:space="preserve">, August 2014, p. 8; </w:t>
      </w:r>
      <w:proofErr w:type="spellStart"/>
      <w:r>
        <w:t>Energex</w:t>
      </w:r>
      <w:proofErr w:type="spellEnd"/>
      <w:r>
        <w:t xml:space="preserve">, </w:t>
      </w:r>
      <w:proofErr w:type="spellStart"/>
      <w:r w:rsidRPr="00B4092C">
        <w:rPr>
          <w:rStyle w:val="AERtextitalic"/>
        </w:rPr>
        <w:t>Energex</w:t>
      </w:r>
      <w:proofErr w:type="spellEnd"/>
      <w:r w:rsidRPr="00B4092C">
        <w:rPr>
          <w:rStyle w:val="AERtextitalic"/>
        </w:rPr>
        <w:t xml:space="preserve"> response to AER's draft annual benchmarking report</w:t>
      </w:r>
      <w:r>
        <w:t>, August 2014, p. 2.</w:t>
      </w:r>
    </w:p>
  </w:footnote>
  <w:footnote w:id="46">
    <w:p w:rsidR="00336303" w:rsidRDefault="00336303" w:rsidP="00950F21">
      <w:pPr>
        <w:pStyle w:val="FootnoteText"/>
      </w:pPr>
      <w:r>
        <w:rPr>
          <w:rStyle w:val="FootnoteReference"/>
        </w:rPr>
        <w:footnoteRef/>
      </w:r>
      <w:r>
        <w:t xml:space="preserve"> </w:t>
      </w:r>
      <w:r>
        <w:tab/>
      </w:r>
      <w:proofErr w:type="spellStart"/>
      <w:r>
        <w:t>ActewAGL</w:t>
      </w:r>
      <w:proofErr w:type="spellEnd"/>
      <w:r>
        <w:t xml:space="preserve">, </w:t>
      </w:r>
      <w:r w:rsidRPr="00877FE5">
        <w:rPr>
          <w:rStyle w:val="AERtextitalic"/>
        </w:rPr>
        <w:t>Response to the AER's draft annual benchmarking report</w:t>
      </w:r>
      <w:r>
        <w:t xml:space="preserve">, September 2014, pp. 6–10; </w:t>
      </w:r>
      <w:proofErr w:type="spellStart"/>
      <w:r>
        <w:t>Huegin</w:t>
      </w:r>
      <w:proofErr w:type="spellEnd"/>
      <w:r>
        <w:t xml:space="preserve"> Consulting, </w:t>
      </w:r>
      <w:r w:rsidRPr="00C2111B">
        <w:rPr>
          <w:rStyle w:val="AERtextitalic"/>
        </w:rPr>
        <w:t>Benchmarking results for Networks NSW businesses: A review of the AER annual benchmarking report</w:t>
      </w:r>
      <w:r>
        <w:t>, August 2014, pp. 9–11.</w:t>
      </w:r>
    </w:p>
    <w:p w:rsidR="00336303" w:rsidRDefault="00336303">
      <w:pPr>
        <w:pStyle w:val="FootnoteText"/>
      </w:pPr>
    </w:p>
  </w:footnote>
  <w:footnote w:id="47">
    <w:p w:rsidR="00336303" w:rsidRDefault="00336303" w:rsidP="00FD2F9B">
      <w:pPr>
        <w:pStyle w:val="FootnoteText"/>
      </w:pPr>
      <w:r>
        <w:rPr>
          <w:rStyle w:val="FootnoteReference"/>
        </w:rPr>
        <w:footnoteRef/>
      </w:r>
      <w:r>
        <w:t xml:space="preserve"> </w:t>
      </w:r>
      <w:r>
        <w:tab/>
      </w:r>
      <w:proofErr w:type="spellStart"/>
      <w:r>
        <w:t>Ergon</w:t>
      </w:r>
      <w:proofErr w:type="spellEnd"/>
      <w:r>
        <w:t xml:space="preserve"> Energy, </w:t>
      </w:r>
      <w:r w:rsidRPr="00B4092C">
        <w:rPr>
          <w:rStyle w:val="AERtextitalic"/>
        </w:rPr>
        <w:t>Submission on the draft electricity distribution network service providers – 2014 annual benchmarking report</w:t>
      </w:r>
      <w:r>
        <w:t xml:space="preserve">, August 2014, pp. 7–9; NSW DNSPs, </w:t>
      </w:r>
      <w:r w:rsidRPr="00B4092C">
        <w:rPr>
          <w:rStyle w:val="AERtextitalic"/>
        </w:rPr>
        <w:t xml:space="preserve">NSW DNSPs' </w:t>
      </w:r>
      <w:r>
        <w:rPr>
          <w:rStyle w:val="AERtextitalic"/>
        </w:rPr>
        <w:t>c</w:t>
      </w:r>
      <w:r w:rsidRPr="00B4092C">
        <w:rPr>
          <w:rStyle w:val="AERtextitalic"/>
        </w:rPr>
        <w:t>omments on draft annual benchmarking report</w:t>
      </w:r>
      <w:r>
        <w:t xml:space="preserve">, August 2014, pp. 7–13; </w:t>
      </w:r>
      <w:proofErr w:type="spellStart"/>
      <w:r>
        <w:t>ActewAGL</w:t>
      </w:r>
      <w:proofErr w:type="spellEnd"/>
      <w:r>
        <w:t xml:space="preserve">, </w:t>
      </w:r>
      <w:r w:rsidRPr="009F050F">
        <w:rPr>
          <w:rStyle w:val="AERtextitalic"/>
        </w:rPr>
        <w:t>Response to the AER's draft annual benchmarking report</w:t>
      </w:r>
      <w:r>
        <w:t xml:space="preserve">, September 2014, pp. 11–13; </w:t>
      </w:r>
      <w:proofErr w:type="spellStart"/>
      <w:r>
        <w:t>Huegin</w:t>
      </w:r>
      <w:proofErr w:type="spellEnd"/>
      <w:r>
        <w:t xml:space="preserve"> Consulting, </w:t>
      </w:r>
      <w:r w:rsidRPr="00C2111B">
        <w:rPr>
          <w:rStyle w:val="AERtextitalic"/>
        </w:rPr>
        <w:t>Benchmarking results for Networks NSW businesses: A review of the AER annual benchmarking report</w:t>
      </w:r>
      <w:r>
        <w:t xml:space="preserve">, August 2014, p. 4; </w:t>
      </w:r>
      <w:proofErr w:type="spellStart"/>
      <w:r>
        <w:t>Energex</w:t>
      </w:r>
      <w:proofErr w:type="spellEnd"/>
      <w:r>
        <w:t xml:space="preserve">, </w:t>
      </w:r>
      <w:proofErr w:type="spellStart"/>
      <w:r w:rsidRPr="00B4092C">
        <w:rPr>
          <w:rStyle w:val="AERtextitalic"/>
        </w:rPr>
        <w:t>Energex</w:t>
      </w:r>
      <w:proofErr w:type="spellEnd"/>
      <w:r w:rsidRPr="00B4092C">
        <w:rPr>
          <w:rStyle w:val="AERtextitalic"/>
        </w:rPr>
        <w:t xml:space="preserve"> response to AER's draft annual benchmarking report</w:t>
      </w:r>
      <w:r>
        <w:t>, August 2014, p. 2.</w:t>
      </w:r>
    </w:p>
  </w:footnote>
  <w:footnote w:id="48">
    <w:p w:rsidR="00336303" w:rsidRDefault="00336303" w:rsidP="00FD2F9B">
      <w:pPr>
        <w:pStyle w:val="FootnoteText"/>
      </w:pPr>
      <w:r>
        <w:rPr>
          <w:rStyle w:val="FootnoteReference"/>
        </w:rPr>
        <w:footnoteRef/>
      </w:r>
      <w:r>
        <w:t xml:space="preserve"> </w:t>
      </w:r>
      <w:r>
        <w:tab/>
        <w:t xml:space="preserve">CP/PC/SAPN, </w:t>
      </w:r>
      <w:r w:rsidRPr="00E0398F">
        <w:rPr>
          <w:rStyle w:val="AERtextitalic"/>
        </w:rPr>
        <w:t>Joint submission to AER on draft annual benchmarking report for electricity distribution network service providers</w:t>
      </w:r>
      <w:r>
        <w:t xml:space="preserve">, August 2014, p. 2; NSW DNSPs, </w:t>
      </w:r>
      <w:r w:rsidRPr="00B4092C">
        <w:rPr>
          <w:rStyle w:val="AERtextitalic"/>
        </w:rPr>
        <w:t xml:space="preserve">NSW DNSPs' </w:t>
      </w:r>
      <w:r>
        <w:rPr>
          <w:rStyle w:val="AERtextitalic"/>
        </w:rPr>
        <w:t>c</w:t>
      </w:r>
      <w:r w:rsidRPr="00B4092C">
        <w:rPr>
          <w:rStyle w:val="AERtextitalic"/>
        </w:rPr>
        <w:t>omments on draft annual benchmarking report</w:t>
      </w:r>
      <w:r>
        <w:t xml:space="preserve">, August 2014, p. 11; </w:t>
      </w:r>
      <w:proofErr w:type="spellStart"/>
      <w:r>
        <w:t>Huegin</w:t>
      </w:r>
      <w:proofErr w:type="spellEnd"/>
      <w:r>
        <w:t xml:space="preserve"> Consulting, </w:t>
      </w:r>
      <w:r w:rsidRPr="00C2111B">
        <w:rPr>
          <w:rStyle w:val="AERtextitalic"/>
        </w:rPr>
        <w:t>Benchmarking results for Networks NSW businesses: A review of the AER annual benchmarking report</w:t>
      </w:r>
      <w:r>
        <w:t>, August 2014, p. 7.</w:t>
      </w:r>
    </w:p>
  </w:footnote>
  <w:footnote w:id="49">
    <w:p w:rsidR="00336303" w:rsidRDefault="00336303" w:rsidP="00FD2F9B">
      <w:pPr>
        <w:pStyle w:val="FootnoteText"/>
      </w:pPr>
      <w:r>
        <w:rPr>
          <w:rStyle w:val="FootnoteReference"/>
        </w:rPr>
        <w:footnoteRef/>
      </w:r>
      <w:r>
        <w:t xml:space="preserve"> </w:t>
      </w:r>
      <w:r>
        <w:tab/>
        <w:t xml:space="preserve">CP/PC/SAPN, </w:t>
      </w:r>
      <w:r w:rsidRPr="00E0398F">
        <w:rPr>
          <w:rStyle w:val="AERtextitalic"/>
        </w:rPr>
        <w:t>Joint submission to AER on draft annual benchmarking report for electricity distribution network service providers</w:t>
      </w:r>
      <w:r>
        <w:t xml:space="preserve">, August 2014, pp. 2–3; </w:t>
      </w:r>
      <w:proofErr w:type="spellStart"/>
      <w:r>
        <w:t>Huegin</w:t>
      </w:r>
      <w:proofErr w:type="spellEnd"/>
      <w:r>
        <w:t xml:space="preserve"> Consulting, </w:t>
      </w:r>
      <w:r w:rsidRPr="00C2111B">
        <w:rPr>
          <w:rStyle w:val="AERtextitalic"/>
        </w:rPr>
        <w:t>Benchmarking results for Networks NSW businesses: A review of the AER annual benchmarking report</w:t>
      </w:r>
      <w:r>
        <w:t xml:space="preserve">, August 2014, p. 7; </w:t>
      </w:r>
      <w:proofErr w:type="spellStart"/>
      <w:r>
        <w:t>ActewAGL</w:t>
      </w:r>
      <w:proofErr w:type="spellEnd"/>
      <w:r>
        <w:t xml:space="preserve">, </w:t>
      </w:r>
      <w:r w:rsidRPr="009F050F">
        <w:rPr>
          <w:rStyle w:val="AERtextitalic"/>
        </w:rPr>
        <w:t>Response to the AER's draft annual benchmarking report</w:t>
      </w:r>
      <w:r>
        <w:t>, September 2014, pp. 6–9.</w:t>
      </w:r>
    </w:p>
  </w:footnote>
  <w:footnote w:id="50">
    <w:p w:rsidR="00336303" w:rsidRDefault="00336303" w:rsidP="002F3531">
      <w:pPr>
        <w:pStyle w:val="FootnoteText"/>
      </w:pPr>
      <w:r>
        <w:rPr>
          <w:rStyle w:val="FootnoteReference"/>
        </w:rPr>
        <w:footnoteRef/>
      </w:r>
      <w:r>
        <w:t xml:space="preserve"> </w:t>
      </w:r>
      <w:r>
        <w:tab/>
      </w:r>
      <w:proofErr w:type="gramStart"/>
      <w:r>
        <w:t xml:space="preserve">Economic Insights, </w:t>
      </w:r>
      <w:r w:rsidRPr="009F050F">
        <w:rPr>
          <w:rStyle w:val="AERtextitalic"/>
        </w:rPr>
        <w:t>Economic benchmarking assessment of operating expenditure for NSW and ACT electricity DNSPs</w:t>
      </w:r>
      <w:r>
        <w:t>, November 2014, p. 12.</w:t>
      </w:r>
      <w:proofErr w:type="gramEnd"/>
    </w:p>
  </w:footnote>
  <w:footnote w:id="51">
    <w:p w:rsidR="00336303" w:rsidRDefault="00336303">
      <w:pPr>
        <w:pStyle w:val="FootnoteText"/>
      </w:pPr>
      <w:r>
        <w:rPr>
          <w:rStyle w:val="FootnoteReference"/>
        </w:rPr>
        <w:footnoteRef/>
      </w:r>
      <w:r>
        <w:t xml:space="preserve"> </w:t>
      </w:r>
      <w:r>
        <w:tab/>
        <w:t xml:space="preserve">Economic Insights, </w:t>
      </w:r>
      <w:r w:rsidRPr="009F050F">
        <w:rPr>
          <w:rStyle w:val="AERtextitalic"/>
        </w:rPr>
        <w:t>Economic benchmarking assessment of operating expenditure for NSW and ACT electricity DNSPs</w:t>
      </w:r>
      <w:r>
        <w:t>, November 2014, p. 12–14.</w:t>
      </w:r>
    </w:p>
  </w:footnote>
  <w:footnote w:id="52">
    <w:p w:rsidR="00336303" w:rsidRDefault="00336303" w:rsidP="00FD2F9B">
      <w:pPr>
        <w:pStyle w:val="FootnoteText"/>
      </w:pPr>
      <w:r>
        <w:rPr>
          <w:rStyle w:val="FootnoteReference"/>
        </w:rPr>
        <w:footnoteRef/>
      </w:r>
      <w:r>
        <w:t xml:space="preserve"> </w:t>
      </w:r>
      <w:r>
        <w:tab/>
        <w:t xml:space="preserve">NSW DNSPs, </w:t>
      </w:r>
      <w:r w:rsidRPr="00B4092C">
        <w:rPr>
          <w:rStyle w:val="AERtextitalic"/>
        </w:rPr>
        <w:t xml:space="preserve">NSW DNSPs' </w:t>
      </w:r>
      <w:r>
        <w:rPr>
          <w:rStyle w:val="AERtextitalic"/>
        </w:rPr>
        <w:t>c</w:t>
      </w:r>
      <w:r w:rsidRPr="00B4092C">
        <w:rPr>
          <w:rStyle w:val="AERtextitalic"/>
        </w:rPr>
        <w:t>omments on draft annual benchmarking report</w:t>
      </w:r>
      <w:r>
        <w:t>, August 2014, p. 11.</w:t>
      </w:r>
    </w:p>
  </w:footnote>
  <w:footnote w:id="53">
    <w:p w:rsidR="00336303" w:rsidRDefault="00336303" w:rsidP="00D652D8">
      <w:pPr>
        <w:pStyle w:val="FootnoteText"/>
      </w:pPr>
      <w:r>
        <w:rPr>
          <w:rStyle w:val="FootnoteReference"/>
        </w:rPr>
        <w:footnoteRef/>
      </w:r>
      <w:r>
        <w:t xml:space="preserve"> </w:t>
      </w:r>
      <w:r>
        <w:tab/>
      </w:r>
      <w:proofErr w:type="spellStart"/>
      <w:r>
        <w:t>Nocco</w:t>
      </w:r>
      <w:proofErr w:type="spellEnd"/>
      <w:r>
        <w:t xml:space="preserve">, B. W. and Schultz, R. M. 2006, 'Enterprise Risk Management: Theory and Practice', </w:t>
      </w:r>
      <w:r w:rsidRPr="00A933B3">
        <w:rPr>
          <w:rStyle w:val="AERtextitalic"/>
        </w:rPr>
        <w:t>Journal of Applied Corporate Finance</w:t>
      </w:r>
      <w:r>
        <w:t>, vol.</w:t>
      </w:r>
      <w:r w:rsidRPr="00A933B3">
        <w:t xml:space="preserve"> 18</w:t>
      </w:r>
      <w:r>
        <w:t>, no.</w:t>
      </w:r>
      <w:r w:rsidRPr="00A933B3">
        <w:t xml:space="preserve"> 4</w:t>
      </w:r>
      <w:r>
        <w:t>, p. 11.</w:t>
      </w:r>
    </w:p>
  </w:footnote>
  <w:footnote w:id="54">
    <w:p w:rsidR="00336303" w:rsidRDefault="00336303" w:rsidP="00FD2F9B">
      <w:pPr>
        <w:pStyle w:val="FootnoteText"/>
      </w:pPr>
      <w:r>
        <w:rPr>
          <w:rStyle w:val="FootnoteReference"/>
        </w:rPr>
        <w:footnoteRef/>
      </w:r>
      <w:r>
        <w:t xml:space="preserve"> </w:t>
      </w:r>
      <w:r>
        <w:tab/>
        <w:t xml:space="preserve">NSW DNSPs, </w:t>
      </w:r>
      <w:r w:rsidRPr="00B4092C">
        <w:rPr>
          <w:rStyle w:val="AERtextitalic"/>
        </w:rPr>
        <w:t xml:space="preserve">NSW DNSPs' </w:t>
      </w:r>
      <w:r>
        <w:rPr>
          <w:rStyle w:val="AERtextitalic"/>
        </w:rPr>
        <w:t>c</w:t>
      </w:r>
      <w:r w:rsidRPr="00B4092C">
        <w:rPr>
          <w:rStyle w:val="AERtextitalic"/>
        </w:rPr>
        <w:t>omments on draft annual benchmarking report</w:t>
      </w:r>
      <w:r>
        <w:t xml:space="preserve">, August 2014, p. 11; </w:t>
      </w:r>
      <w:proofErr w:type="spellStart"/>
      <w:r>
        <w:t>Ergon</w:t>
      </w:r>
      <w:proofErr w:type="spellEnd"/>
      <w:r>
        <w:t xml:space="preserve"> Energy, </w:t>
      </w:r>
      <w:r w:rsidRPr="00B4092C">
        <w:rPr>
          <w:rStyle w:val="AERtextitalic"/>
        </w:rPr>
        <w:t>Submission on the draft electricity distribution network service providers – 2014 annual benchmarking report</w:t>
      </w:r>
      <w:r>
        <w:t xml:space="preserve">, August 2014, p. 9; </w:t>
      </w:r>
      <w:proofErr w:type="spellStart"/>
      <w:r>
        <w:t>Energex</w:t>
      </w:r>
      <w:proofErr w:type="spellEnd"/>
      <w:r>
        <w:t xml:space="preserve">, </w:t>
      </w:r>
      <w:proofErr w:type="spellStart"/>
      <w:r w:rsidRPr="00B4092C">
        <w:rPr>
          <w:rStyle w:val="AERtextitalic"/>
        </w:rPr>
        <w:t>Energex</w:t>
      </w:r>
      <w:proofErr w:type="spellEnd"/>
      <w:r w:rsidRPr="00B4092C">
        <w:rPr>
          <w:rStyle w:val="AERtextitalic"/>
        </w:rPr>
        <w:t xml:space="preserve"> response to AER's draft annual benchmarking report</w:t>
      </w:r>
      <w:r>
        <w:t>, August 2014, p. 2; TasNetworks, Submission to the draft benchmarking report, August 2014, p. 2.</w:t>
      </w:r>
    </w:p>
  </w:footnote>
  <w:footnote w:id="55">
    <w:p w:rsidR="00336303" w:rsidRDefault="00336303" w:rsidP="00FD2F9B">
      <w:pPr>
        <w:pStyle w:val="FootnoteText"/>
      </w:pPr>
      <w:r>
        <w:rPr>
          <w:rStyle w:val="FootnoteReference"/>
        </w:rPr>
        <w:footnoteRef/>
      </w:r>
      <w:r>
        <w:t xml:space="preserve"> </w:t>
      </w:r>
      <w:r>
        <w:tab/>
        <w:t xml:space="preserve">AEMO, </w:t>
      </w:r>
      <w:r w:rsidRPr="009F050F">
        <w:rPr>
          <w:rStyle w:val="AERtextitalic"/>
        </w:rPr>
        <w:t>Value of customer reliability review: Final report</w:t>
      </w:r>
      <w:r>
        <w:t>, September 2014.</w:t>
      </w:r>
    </w:p>
  </w:footnote>
  <w:footnote w:id="56">
    <w:p w:rsidR="00336303" w:rsidRDefault="00336303" w:rsidP="00FD2F9B">
      <w:pPr>
        <w:pStyle w:val="FootnoteText"/>
      </w:pPr>
      <w:r>
        <w:rPr>
          <w:rStyle w:val="FootnoteReference"/>
        </w:rPr>
        <w:footnoteRef/>
      </w:r>
      <w:r>
        <w:t xml:space="preserve"> </w:t>
      </w:r>
      <w:r>
        <w:tab/>
        <w:t xml:space="preserve">AEMO, </w:t>
      </w:r>
      <w:r w:rsidRPr="009F050F">
        <w:rPr>
          <w:rStyle w:val="AERtextitalic"/>
        </w:rPr>
        <w:t>Value of customer reliability review: Final report</w:t>
      </w:r>
      <w:r>
        <w:t>, September 2014, p. 1.</w:t>
      </w:r>
    </w:p>
  </w:footnote>
  <w:footnote w:id="57">
    <w:p w:rsidR="00336303" w:rsidRDefault="00336303" w:rsidP="00FD2F9B">
      <w:pPr>
        <w:pStyle w:val="FootnoteText"/>
      </w:pPr>
      <w:r>
        <w:rPr>
          <w:rStyle w:val="FootnoteReference"/>
        </w:rPr>
        <w:footnoteRef/>
      </w:r>
      <w:r>
        <w:t xml:space="preserve"> </w:t>
      </w:r>
      <w:r>
        <w:tab/>
        <w:t xml:space="preserve">CP/PC/SAPN, </w:t>
      </w:r>
      <w:r w:rsidRPr="00E0398F">
        <w:rPr>
          <w:rStyle w:val="AERtextitalic"/>
        </w:rPr>
        <w:t>Joint submission to AER on draft annual benchmarking report for electricity distribution network service providers</w:t>
      </w:r>
      <w:r>
        <w:t xml:space="preserve">, August 2014, p. 4; </w:t>
      </w:r>
      <w:proofErr w:type="spellStart"/>
      <w:r>
        <w:t>ActewAGL</w:t>
      </w:r>
      <w:proofErr w:type="spellEnd"/>
      <w:r>
        <w:t xml:space="preserve">, </w:t>
      </w:r>
      <w:r w:rsidRPr="006C3C91">
        <w:rPr>
          <w:rStyle w:val="AERtextitalic"/>
        </w:rPr>
        <w:t>Response to the AER's draft annual benchmarking report</w:t>
      </w:r>
      <w:r>
        <w:t>, September 2014, pp. 2, 10–11.</w:t>
      </w:r>
    </w:p>
  </w:footnote>
  <w:footnote w:id="58">
    <w:p w:rsidR="00336303" w:rsidRDefault="00336303" w:rsidP="00FD2F9B">
      <w:pPr>
        <w:pStyle w:val="FootnoteText"/>
      </w:pPr>
      <w:r>
        <w:rPr>
          <w:rStyle w:val="FootnoteReference"/>
        </w:rPr>
        <w:footnoteRef/>
      </w:r>
      <w:r>
        <w:t xml:space="preserve"> </w:t>
      </w:r>
      <w:r>
        <w:tab/>
        <w:t xml:space="preserve">NSW DNSPs, </w:t>
      </w:r>
      <w:r w:rsidRPr="00B4092C">
        <w:rPr>
          <w:rStyle w:val="AERtextitalic"/>
        </w:rPr>
        <w:t xml:space="preserve">NSW DNSPs' </w:t>
      </w:r>
      <w:r>
        <w:rPr>
          <w:rStyle w:val="AERtextitalic"/>
        </w:rPr>
        <w:t>c</w:t>
      </w:r>
      <w:r w:rsidRPr="00B4092C">
        <w:rPr>
          <w:rStyle w:val="AERtextitalic"/>
        </w:rPr>
        <w:t>omments on draft annual benchmarking report</w:t>
      </w:r>
      <w:r>
        <w:t>, August 2014, p.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3" w:rsidRDefault="003363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3" w:rsidRDefault="003363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3" w:rsidRDefault="003363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39D4CB02"/>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39D4CB02"/>
    <w:numStyleLink w:val="AERnumberedlist"/>
  </w:abstractNum>
  <w:abstractNum w:abstractNumId="5">
    <w:nsid w:val="176B27A6"/>
    <w:multiLevelType w:val="multilevel"/>
    <w:tmpl w:val="950A1C52"/>
    <w:numStyleLink w:val="AERHeadings"/>
  </w:abstractNum>
  <w:abstractNum w:abstractNumId="6">
    <w:nsid w:val="1972601F"/>
    <w:multiLevelType w:val="multilevel"/>
    <w:tmpl w:val="950A1C52"/>
    <w:numStyleLink w:val="AERHeadings"/>
  </w:abstractNum>
  <w:abstractNum w:abstractNumId="7">
    <w:nsid w:val="1DFA331B"/>
    <w:multiLevelType w:val="multilevel"/>
    <w:tmpl w:val="39D4CB02"/>
    <w:numStyleLink w:val="AERnumberedlist"/>
  </w:abstractNum>
  <w:abstractNum w:abstractNumId="8">
    <w:nsid w:val="233428C7"/>
    <w:multiLevelType w:val="multilevel"/>
    <w:tmpl w:val="39D4CB02"/>
    <w:numStyleLink w:val="AERnumberedlist"/>
  </w:abstractNum>
  <w:abstractNum w:abstractNumId="9">
    <w:nsid w:val="2776270C"/>
    <w:multiLevelType w:val="multilevel"/>
    <w:tmpl w:val="39D4CB02"/>
    <w:numStyleLink w:val="AERnumberedlist"/>
  </w:abstractNum>
  <w:abstractNum w:abstractNumId="10">
    <w:nsid w:val="281977C0"/>
    <w:multiLevelType w:val="multilevel"/>
    <w:tmpl w:val="950A1C52"/>
    <w:numStyleLink w:val="AERHeadings"/>
  </w:abstractNum>
  <w:abstractNum w:abstractNumId="11">
    <w:nsid w:val="295C7239"/>
    <w:multiLevelType w:val="multilevel"/>
    <w:tmpl w:val="950A1C52"/>
    <w:numStyleLink w:val="AERHeadings"/>
  </w:abstractNum>
  <w:abstractNum w:abstractNumId="12">
    <w:nsid w:val="2C2D6B9E"/>
    <w:multiLevelType w:val="multilevel"/>
    <w:tmpl w:val="950A1C52"/>
    <w:numStyleLink w:val="AERHeadings"/>
  </w:abstractNum>
  <w:abstractNum w:abstractNumId="13">
    <w:nsid w:val="2DB12A3A"/>
    <w:multiLevelType w:val="multilevel"/>
    <w:tmpl w:val="950A1C52"/>
    <w:numStyleLink w:val="AERHeadings"/>
  </w:abstractNum>
  <w:abstractNum w:abstractNumId="14">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33E0E05"/>
    <w:multiLevelType w:val="multilevel"/>
    <w:tmpl w:val="950A1C52"/>
    <w:numStyleLink w:val="AERHeadings"/>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21288"/>
    <w:multiLevelType w:val="multilevel"/>
    <w:tmpl w:val="950A1C52"/>
    <w:numStyleLink w:val="AERHeadings"/>
  </w:abstractNum>
  <w:abstractNum w:abstractNumId="2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2">
    <w:nsid w:val="4F037C49"/>
    <w:multiLevelType w:val="multilevel"/>
    <w:tmpl w:val="39D4CB02"/>
    <w:numStyleLink w:val="AERnumberedlist"/>
  </w:abstractNum>
  <w:abstractNum w:abstractNumId="23">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807103"/>
    <w:multiLevelType w:val="multilevel"/>
    <w:tmpl w:val="39D4CB02"/>
    <w:numStyleLink w:val="AERnumberedlist"/>
  </w:abstractNum>
  <w:abstractNum w:abstractNumId="26">
    <w:nsid w:val="5D386EA7"/>
    <w:multiLevelType w:val="multilevel"/>
    <w:tmpl w:val="950A1C52"/>
    <w:numStyleLink w:val="AERHeadings"/>
  </w:abstractNum>
  <w:abstractNum w:abstractNumId="27">
    <w:nsid w:val="5DCC1B18"/>
    <w:multiLevelType w:val="multilevel"/>
    <w:tmpl w:val="39D4CB02"/>
    <w:numStyleLink w:val="AERnumberedlist"/>
  </w:abstractNum>
  <w:abstractNum w:abstractNumId="28">
    <w:nsid w:val="68247CF7"/>
    <w:multiLevelType w:val="multilevel"/>
    <w:tmpl w:val="950A1C52"/>
    <w:numStyleLink w:val="AERHeadings"/>
  </w:abstractNum>
  <w:abstractNum w:abstractNumId="29">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4595980"/>
    <w:multiLevelType w:val="multilevel"/>
    <w:tmpl w:val="950A1C52"/>
    <w:numStyleLink w:val="AERHeadings"/>
  </w:abstractNum>
  <w:abstractNum w:abstractNumId="31">
    <w:nsid w:val="74BB6C5B"/>
    <w:multiLevelType w:val="hybridMultilevel"/>
    <w:tmpl w:val="09C0822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2">
    <w:nsid w:val="74F81DDF"/>
    <w:multiLevelType w:val="multilevel"/>
    <w:tmpl w:val="950A1C52"/>
    <w:numStyleLink w:val="AERHeadings"/>
  </w:abstractNum>
  <w:abstractNum w:abstractNumId="33">
    <w:nsid w:val="787F66A4"/>
    <w:multiLevelType w:val="multilevel"/>
    <w:tmpl w:val="950A1C52"/>
    <w:numStyleLink w:val="AERHeadings"/>
  </w:abstractNum>
  <w:abstractNum w:abstractNumId="34">
    <w:nsid w:val="7AAC6DD7"/>
    <w:multiLevelType w:val="multilevel"/>
    <w:tmpl w:val="950A1C52"/>
    <w:numStyleLink w:val="AERHeadings"/>
  </w:abstractNum>
  <w:abstractNum w:abstractNumId="35">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E97BF8"/>
    <w:multiLevelType w:val="multilevel"/>
    <w:tmpl w:val="950A1C52"/>
    <w:numStyleLink w:val="AERHeadings"/>
  </w:abstractNum>
  <w:abstractNum w:abstractNumId="37">
    <w:nsid w:val="7CDA0F5F"/>
    <w:multiLevelType w:val="multilevel"/>
    <w:tmpl w:val="950A1C52"/>
    <w:numStyleLink w:val="AERHeadings"/>
  </w:abstractNum>
  <w:num w:numId="1">
    <w:abstractNumId w:val="29"/>
  </w:num>
  <w:num w:numId="2">
    <w:abstractNumId w:val="14"/>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lvlOverride w:ilvl="0">
      <w:startOverride w:val="1"/>
    </w:lvlOverride>
  </w:num>
  <w:num w:numId="7">
    <w:abstractNumId w:val="19"/>
  </w:num>
  <w:num w:numId="8">
    <w:abstractNumId w:val="16"/>
  </w:num>
  <w:num w:numId="9">
    <w:abstractNumId w:val="35"/>
  </w:num>
  <w:num w:numId="10">
    <w:abstractNumId w:val="21"/>
    <w:lvlOverride w:ilvl="0">
      <w:startOverride w:val="1"/>
    </w:lvlOverride>
  </w:num>
  <w:num w:numId="11">
    <w:abstractNumId w:val="1"/>
  </w:num>
  <w:num w:numId="12">
    <w:abstractNumId w:val="21"/>
    <w:lvlOverride w:ilvl="0">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2"/>
  </w:num>
  <w:num w:numId="18">
    <w:abstractNumId w:val="7"/>
  </w:num>
  <w:num w:numId="19">
    <w:abstractNumId w:val="9"/>
  </w:num>
  <w:num w:numId="20">
    <w:abstractNumId w:val="32"/>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7"/>
  </w:num>
  <w:num w:numId="28">
    <w:abstractNumId w:val="17"/>
  </w:num>
  <w:num w:numId="29">
    <w:abstractNumId w:val="10"/>
  </w:num>
  <w:num w:numId="30">
    <w:abstractNumId w:val="5"/>
  </w:num>
  <w:num w:numId="31">
    <w:abstractNumId w:val="0"/>
  </w:num>
  <w:num w:numId="32">
    <w:abstractNumId w:val="6"/>
  </w:num>
  <w:num w:numId="33">
    <w:abstractNumId w:val="33"/>
  </w:num>
  <w:num w:numId="34">
    <w:abstractNumId w:val="28"/>
  </w:num>
  <w:num w:numId="35">
    <w:abstractNumId w:val="30"/>
  </w:num>
  <w:num w:numId="36">
    <w:abstractNumId w:val="36"/>
  </w:num>
  <w:num w:numId="37">
    <w:abstractNumId w:val="26"/>
  </w:num>
  <w:num w:numId="38">
    <w:abstractNumId w:val="12"/>
  </w:num>
  <w:num w:numId="39">
    <w:abstractNumId w:val="13"/>
  </w:num>
  <w:num w:numId="40">
    <w:abstractNumId w:val="20"/>
  </w:num>
  <w:num w:numId="41">
    <w:abstractNumId w:val="25"/>
  </w:num>
  <w:num w:numId="42">
    <w:abstractNumId w:val="4"/>
  </w:num>
  <w:num w:numId="43">
    <w:abstractNumId w:val="34"/>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23"/>
  </w:num>
  <w:num w:numId="45">
    <w:abstractNumId w:val="31"/>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0"/>
  </w:num>
  <w:num w:numId="49">
    <w:abstractNumId w:val="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proofState w:spelling="clean" w:grammar="clean"/>
  <w:documentProtection w:formatting="1" w:enforcement="1"/>
  <w:defaultTabStop w:val="720"/>
  <w:drawingGridHorizontalSpacing w:val="10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2"/>
  </w:compat>
  <w:docVars>
    <w:docVar w:name="currentname" w:val="\\cdchnas-evs02\home$\csmith\Benchmarking report\Benchmarking reports for upload\2014 Annual distribution benchmarking report - November 2014.DOCX"/>
  </w:docVars>
  <w:rsids>
    <w:rsidRoot w:val="000C052F"/>
    <w:rsid w:val="00004A90"/>
    <w:rsid w:val="00010563"/>
    <w:rsid w:val="00011129"/>
    <w:rsid w:val="00011590"/>
    <w:rsid w:val="00011DC4"/>
    <w:rsid w:val="0001276C"/>
    <w:rsid w:val="00014439"/>
    <w:rsid w:val="000200B8"/>
    <w:rsid w:val="00022606"/>
    <w:rsid w:val="00026668"/>
    <w:rsid w:val="000313AA"/>
    <w:rsid w:val="00033334"/>
    <w:rsid w:val="000344FB"/>
    <w:rsid w:val="00034A7E"/>
    <w:rsid w:val="00034ACF"/>
    <w:rsid w:val="00034B64"/>
    <w:rsid w:val="00036AF4"/>
    <w:rsid w:val="00040599"/>
    <w:rsid w:val="00040749"/>
    <w:rsid w:val="000436C9"/>
    <w:rsid w:val="00052678"/>
    <w:rsid w:val="0005432D"/>
    <w:rsid w:val="00061CC7"/>
    <w:rsid w:val="000673BD"/>
    <w:rsid w:val="00067EAD"/>
    <w:rsid w:val="00071B05"/>
    <w:rsid w:val="0007468F"/>
    <w:rsid w:val="00077C8D"/>
    <w:rsid w:val="00081D80"/>
    <w:rsid w:val="00083DA2"/>
    <w:rsid w:val="000846F6"/>
    <w:rsid w:val="00085DC0"/>
    <w:rsid w:val="00086F51"/>
    <w:rsid w:val="00086FC4"/>
    <w:rsid w:val="00090145"/>
    <w:rsid w:val="00090E70"/>
    <w:rsid w:val="000914A3"/>
    <w:rsid w:val="0009178E"/>
    <w:rsid w:val="000920D8"/>
    <w:rsid w:val="00092797"/>
    <w:rsid w:val="00094BE8"/>
    <w:rsid w:val="00096082"/>
    <w:rsid w:val="000A1CC2"/>
    <w:rsid w:val="000A1E99"/>
    <w:rsid w:val="000A3365"/>
    <w:rsid w:val="000A340E"/>
    <w:rsid w:val="000A467F"/>
    <w:rsid w:val="000A5342"/>
    <w:rsid w:val="000B15CA"/>
    <w:rsid w:val="000B283E"/>
    <w:rsid w:val="000B5656"/>
    <w:rsid w:val="000B6F28"/>
    <w:rsid w:val="000B6F9F"/>
    <w:rsid w:val="000B7CB5"/>
    <w:rsid w:val="000C052F"/>
    <w:rsid w:val="000C1ECD"/>
    <w:rsid w:val="000C2FBD"/>
    <w:rsid w:val="000C3430"/>
    <w:rsid w:val="000C417B"/>
    <w:rsid w:val="000C68D7"/>
    <w:rsid w:val="000D03C2"/>
    <w:rsid w:val="000D04B1"/>
    <w:rsid w:val="000D33E5"/>
    <w:rsid w:val="000D401F"/>
    <w:rsid w:val="000D494D"/>
    <w:rsid w:val="000D6071"/>
    <w:rsid w:val="000D7892"/>
    <w:rsid w:val="000D7ABF"/>
    <w:rsid w:val="000E021B"/>
    <w:rsid w:val="000E0419"/>
    <w:rsid w:val="000E0498"/>
    <w:rsid w:val="000E0CAF"/>
    <w:rsid w:val="000E0EBE"/>
    <w:rsid w:val="000E1A25"/>
    <w:rsid w:val="000E1F5F"/>
    <w:rsid w:val="000E398E"/>
    <w:rsid w:val="000E4F86"/>
    <w:rsid w:val="000E5AD1"/>
    <w:rsid w:val="000E5AF0"/>
    <w:rsid w:val="000E5DF6"/>
    <w:rsid w:val="000E6A30"/>
    <w:rsid w:val="000F2689"/>
    <w:rsid w:val="000F3A6A"/>
    <w:rsid w:val="000F5BCF"/>
    <w:rsid w:val="000F5C21"/>
    <w:rsid w:val="000F5CC2"/>
    <w:rsid w:val="000F5D30"/>
    <w:rsid w:val="000F6F9A"/>
    <w:rsid w:val="0010024D"/>
    <w:rsid w:val="00100D94"/>
    <w:rsid w:val="00101506"/>
    <w:rsid w:val="00101A0A"/>
    <w:rsid w:val="001022E4"/>
    <w:rsid w:val="0010338D"/>
    <w:rsid w:val="001033B3"/>
    <w:rsid w:val="00104CED"/>
    <w:rsid w:val="00105636"/>
    <w:rsid w:val="001151B5"/>
    <w:rsid w:val="00115B2C"/>
    <w:rsid w:val="00116DC1"/>
    <w:rsid w:val="0011749F"/>
    <w:rsid w:val="001174CD"/>
    <w:rsid w:val="00117AA6"/>
    <w:rsid w:val="001205CF"/>
    <w:rsid w:val="0012414A"/>
    <w:rsid w:val="001262BF"/>
    <w:rsid w:val="00126353"/>
    <w:rsid w:val="001279C8"/>
    <w:rsid w:val="001301BD"/>
    <w:rsid w:val="0013022D"/>
    <w:rsid w:val="00130603"/>
    <w:rsid w:val="001309B5"/>
    <w:rsid w:val="00130BB0"/>
    <w:rsid w:val="00131174"/>
    <w:rsid w:val="00131C5B"/>
    <w:rsid w:val="001326AC"/>
    <w:rsid w:val="001329CB"/>
    <w:rsid w:val="00132F53"/>
    <w:rsid w:val="00134C28"/>
    <w:rsid w:val="00140611"/>
    <w:rsid w:val="00141AD2"/>
    <w:rsid w:val="001441D4"/>
    <w:rsid w:val="00147256"/>
    <w:rsid w:val="001479EF"/>
    <w:rsid w:val="001515F1"/>
    <w:rsid w:val="0015236F"/>
    <w:rsid w:val="001543D2"/>
    <w:rsid w:val="00156FFE"/>
    <w:rsid w:val="00161B5F"/>
    <w:rsid w:val="001623A0"/>
    <w:rsid w:val="0016278A"/>
    <w:rsid w:val="00163663"/>
    <w:rsid w:val="001636FB"/>
    <w:rsid w:val="0016501E"/>
    <w:rsid w:val="00170804"/>
    <w:rsid w:val="00171757"/>
    <w:rsid w:val="001719F0"/>
    <w:rsid w:val="0017225C"/>
    <w:rsid w:val="00172E23"/>
    <w:rsid w:val="0017379A"/>
    <w:rsid w:val="00174026"/>
    <w:rsid w:val="0017760B"/>
    <w:rsid w:val="00177B12"/>
    <w:rsid w:val="00177D0F"/>
    <w:rsid w:val="00181B77"/>
    <w:rsid w:val="00182938"/>
    <w:rsid w:val="001856EE"/>
    <w:rsid w:val="00186BE0"/>
    <w:rsid w:val="00187511"/>
    <w:rsid w:val="00194B5E"/>
    <w:rsid w:val="00194C3C"/>
    <w:rsid w:val="0019531F"/>
    <w:rsid w:val="001A0A52"/>
    <w:rsid w:val="001A61D6"/>
    <w:rsid w:val="001B00BE"/>
    <w:rsid w:val="001B1B1F"/>
    <w:rsid w:val="001B4BA4"/>
    <w:rsid w:val="001B747F"/>
    <w:rsid w:val="001C12E5"/>
    <w:rsid w:val="001C3DAC"/>
    <w:rsid w:val="001D39F2"/>
    <w:rsid w:val="001D4F19"/>
    <w:rsid w:val="001D5FE6"/>
    <w:rsid w:val="001D6BEF"/>
    <w:rsid w:val="001D79FF"/>
    <w:rsid w:val="001D7D46"/>
    <w:rsid w:val="001E1A2E"/>
    <w:rsid w:val="001E2BA2"/>
    <w:rsid w:val="001E5345"/>
    <w:rsid w:val="001E5A80"/>
    <w:rsid w:val="001E655C"/>
    <w:rsid w:val="001E6694"/>
    <w:rsid w:val="001E6E00"/>
    <w:rsid w:val="001F4B01"/>
    <w:rsid w:val="001F5057"/>
    <w:rsid w:val="001F5B34"/>
    <w:rsid w:val="00204830"/>
    <w:rsid w:val="0020711E"/>
    <w:rsid w:val="0021018E"/>
    <w:rsid w:val="00210880"/>
    <w:rsid w:val="002139C1"/>
    <w:rsid w:val="00215B9A"/>
    <w:rsid w:val="00215E61"/>
    <w:rsid w:val="00223368"/>
    <w:rsid w:val="00223600"/>
    <w:rsid w:val="00223903"/>
    <w:rsid w:val="002242B5"/>
    <w:rsid w:val="00224ADA"/>
    <w:rsid w:val="002257B9"/>
    <w:rsid w:val="00226F40"/>
    <w:rsid w:val="002278F6"/>
    <w:rsid w:val="002279D6"/>
    <w:rsid w:val="0023137D"/>
    <w:rsid w:val="0023166C"/>
    <w:rsid w:val="002367A6"/>
    <w:rsid w:val="002401D8"/>
    <w:rsid w:val="00242B1D"/>
    <w:rsid w:val="002432CF"/>
    <w:rsid w:val="00244493"/>
    <w:rsid w:val="00245266"/>
    <w:rsid w:val="0024559E"/>
    <w:rsid w:val="0024650C"/>
    <w:rsid w:val="00247346"/>
    <w:rsid w:val="00252005"/>
    <w:rsid w:val="00254380"/>
    <w:rsid w:val="0025550E"/>
    <w:rsid w:val="00256166"/>
    <w:rsid w:val="002576FA"/>
    <w:rsid w:val="00261080"/>
    <w:rsid w:val="0026239B"/>
    <w:rsid w:val="0026554B"/>
    <w:rsid w:val="00266710"/>
    <w:rsid w:val="00271732"/>
    <w:rsid w:val="0027585D"/>
    <w:rsid w:val="002772C2"/>
    <w:rsid w:val="002805B8"/>
    <w:rsid w:val="00284960"/>
    <w:rsid w:val="00285C6C"/>
    <w:rsid w:val="00286EA4"/>
    <w:rsid w:val="0029068C"/>
    <w:rsid w:val="0029386A"/>
    <w:rsid w:val="002938CE"/>
    <w:rsid w:val="00293BC6"/>
    <w:rsid w:val="00297C54"/>
    <w:rsid w:val="002A071B"/>
    <w:rsid w:val="002A1D81"/>
    <w:rsid w:val="002A2D42"/>
    <w:rsid w:val="002A4BAC"/>
    <w:rsid w:val="002A517B"/>
    <w:rsid w:val="002A6DDA"/>
    <w:rsid w:val="002A73CB"/>
    <w:rsid w:val="002A7604"/>
    <w:rsid w:val="002B0450"/>
    <w:rsid w:val="002B12FC"/>
    <w:rsid w:val="002B2D7A"/>
    <w:rsid w:val="002B4C2C"/>
    <w:rsid w:val="002B64F5"/>
    <w:rsid w:val="002B6640"/>
    <w:rsid w:val="002C1875"/>
    <w:rsid w:val="002C1975"/>
    <w:rsid w:val="002C2689"/>
    <w:rsid w:val="002C3F66"/>
    <w:rsid w:val="002C4FA6"/>
    <w:rsid w:val="002C5B46"/>
    <w:rsid w:val="002C63E9"/>
    <w:rsid w:val="002C74D0"/>
    <w:rsid w:val="002D44E3"/>
    <w:rsid w:val="002D61AC"/>
    <w:rsid w:val="002D65A2"/>
    <w:rsid w:val="002E022C"/>
    <w:rsid w:val="002E0BB3"/>
    <w:rsid w:val="002E16B1"/>
    <w:rsid w:val="002E198A"/>
    <w:rsid w:val="002E1C99"/>
    <w:rsid w:val="002E2526"/>
    <w:rsid w:val="002E2FB1"/>
    <w:rsid w:val="002E308D"/>
    <w:rsid w:val="002E3EC9"/>
    <w:rsid w:val="002E4720"/>
    <w:rsid w:val="002E5562"/>
    <w:rsid w:val="002E5E62"/>
    <w:rsid w:val="002F2AF4"/>
    <w:rsid w:val="002F3531"/>
    <w:rsid w:val="002F5CEC"/>
    <w:rsid w:val="002F69AC"/>
    <w:rsid w:val="002F74A2"/>
    <w:rsid w:val="00300FEA"/>
    <w:rsid w:val="00301454"/>
    <w:rsid w:val="0030338D"/>
    <w:rsid w:val="00303452"/>
    <w:rsid w:val="00304D07"/>
    <w:rsid w:val="00313AD6"/>
    <w:rsid w:val="00314294"/>
    <w:rsid w:val="003159D7"/>
    <w:rsid w:val="00315ABB"/>
    <w:rsid w:val="003236D3"/>
    <w:rsid w:val="003239FF"/>
    <w:rsid w:val="003324F7"/>
    <w:rsid w:val="003334F3"/>
    <w:rsid w:val="0033379D"/>
    <w:rsid w:val="00334320"/>
    <w:rsid w:val="003348F6"/>
    <w:rsid w:val="00334F88"/>
    <w:rsid w:val="003352C6"/>
    <w:rsid w:val="0033621D"/>
    <w:rsid w:val="00336303"/>
    <w:rsid w:val="00336969"/>
    <w:rsid w:val="00336C50"/>
    <w:rsid w:val="00341DD7"/>
    <w:rsid w:val="0034719A"/>
    <w:rsid w:val="00351086"/>
    <w:rsid w:val="0035149B"/>
    <w:rsid w:val="00352C5D"/>
    <w:rsid w:val="003549C3"/>
    <w:rsid w:val="00354EC6"/>
    <w:rsid w:val="0035570E"/>
    <w:rsid w:val="00355C4D"/>
    <w:rsid w:val="0035774C"/>
    <w:rsid w:val="003579BC"/>
    <w:rsid w:val="00360A46"/>
    <w:rsid w:val="00360F87"/>
    <w:rsid w:val="003657B9"/>
    <w:rsid w:val="003666ED"/>
    <w:rsid w:val="00367759"/>
    <w:rsid w:val="00367F54"/>
    <w:rsid w:val="00370624"/>
    <w:rsid w:val="003707B8"/>
    <w:rsid w:val="003707DB"/>
    <w:rsid w:val="0037159D"/>
    <w:rsid w:val="00372340"/>
    <w:rsid w:val="003754F0"/>
    <w:rsid w:val="0037555D"/>
    <w:rsid w:val="00375AEC"/>
    <w:rsid w:val="00375BCC"/>
    <w:rsid w:val="003760BD"/>
    <w:rsid w:val="00376236"/>
    <w:rsid w:val="0037652C"/>
    <w:rsid w:val="003800E4"/>
    <w:rsid w:val="00380126"/>
    <w:rsid w:val="00380FF5"/>
    <w:rsid w:val="00383D9E"/>
    <w:rsid w:val="00383E66"/>
    <w:rsid w:val="00384037"/>
    <w:rsid w:val="0038526C"/>
    <w:rsid w:val="00385CF7"/>
    <w:rsid w:val="00386C9C"/>
    <w:rsid w:val="00386F6D"/>
    <w:rsid w:val="0039005A"/>
    <w:rsid w:val="0039008D"/>
    <w:rsid w:val="0039120A"/>
    <w:rsid w:val="003A1110"/>
    <w:rsid w:val="003A16AC"/>
    <w:rsid w:val="003A3A02"/>
    <w:rsid w:val="003A5781"/>
    <w:rsid w:val="003A6174"/>
    <w:rsid w:val="003A6F1E"/>
    <w:rsid w:val="003B215F"/>
    <w:rsid w:val="003B2E0C"/>
    <w:rsid w:val="003B4ABB"/>
    <w:rsid w:val="003B5B7C"/>
    <w:rsid w:val="003B6720"/>
    <w:rsid w:val="003C1364"/>
    <w:rsid w:val="003C30E8"/>
    <w:rsid w:val="003C4D7E"/>
    <w:rsid w:val="003C7E82"/>
    <w:rsid w:val="003C7EB5"/>
    <w:rsid w:val="003D00A2"/>
    <w:rsid w:val="003D0B04"/>
    <w:rsid w:val="003D225C"/>
    <w:rsid w:val="003D25B5"/>
    <w:rsid w:val="003D506F"/>
    <w:rsid w:val="003D6EBD"/>
    <w:rsid w:val="003E0919"/>
    <w:rsid w:val="003E3A02"/>
    <w:rsid w:val="003E40BF"/>
    <w:rsid w:val="003E4B96"/>
    <w:rsid w:val="003E661F"/>
    <w:rsid w:val="003E739C"/>
    <w:rsid w:val="003E7D20"/>
    <w:rsid w:val="003F122C"/>
    <w:rsid w:val="003F1BD2"/>
    <w:rsid w:val="003F5EAA"/>
    <w:rsid w:val="003F78E4"/>
    <w:rsid w:val="003F7AAF"/>
    <w:rsid w:val="003F7DAE"/>
    <w:rsid w:val="00401808"/>
    <w:rsid w:val="00402016"/>
    <w:rsid w:val="004030AB"/>
    <w:rsid w:val="00407D51"/>
    <w:rsid w:val="00410D64"/>
    <w:rsid w:val="00412282"/>
    <w:rsid w:val="0041234B"/>
    <w:rsid w:val="00413C3F"/>
    <w:rsid w:val="00414EA0"/>
    <w:rsid w:val="0041545F"/>
    <w:rsid w:val="0041626D"/>
    <w:rsid w:val="004162AC"/>
    <w:rsid w:val="004167D7"/>
    <w:rsid w:val="00416A5D"/>
    <w:rsid w:val="004170CE"/>
    <w:rsid w:val="00421701"/>
    <w:rsid w:val="00422998"/>
    <w:rsid w:val="004256BA"/>
    <w:rsid w:val="00425AE8"/>
    <w:rsid w:val="00425F20"/>
    <w:rsid w:val="0042612F"/>
    <w:rsid w:val="00427A63"/>
    <w:rsid w:val="00427E5B"/>
    <w:rsid w:val="00431999"/>
    <w:rsid w:val="0043358E"/>
    <w:rsid w:val="0043391B"/>
    <w:rsid w:val="00434931"/>
    <w:rsid w:val="00435682"/>
    <w:rsid w:val="004377B3"/>
    <w:rsid w:val="00443AB7"/>
    <w:rsid w:val="004440A7"/>
    <w:rsid w:val="004448C6"/>
    <w:rsid w:val="004473E2"/>
    <w:rsid w:val="00447F0F"/>
    <w:rsid w:val="0045040C"/>
    <w:rsid w:val="004523F7"/>
    <w:rsid w:val="00456081"/>
    <w:rsid w:val="00457A25"/>
    <w:rsid w:val="00461659"/>
    <w:rsid w:val="00461AFE"/>
    <w:rsid w:val="004634F9"/>
    <w:rsid w:val="00464F5D"/>
    <w:rsid w:val="0046603B"/>
    <w:rsid w:val="00466F0F"/>
    <w:rsid w:val="00470386"/>
    <w:rsid w:val="004704EE"/>
    <w:rsid w:val="004714AB"/>
    <w:rsid w:val="00471749"/>
    <w:rsid w:val="0047301F"/>
    <w:rsid w:val="00474923"/>
    <w:rsid w:val="00474F38"/>
    <w:rsid w:val="00474FBD"/>
    <w:rsid w:val="00475EB2"/>
    <w:rsid w:val="00476E41"/>
    <w:rsid w:val="00483049"/>
    <w:rsid w:val="00483F48"/>
    <w:rsid w:val="00484644"/>
    <w:rsid w:val="00486A92"/>
    <w:rsid w:val="00490775"/>
    <w:rsid w:val="00490B47"/>
    <w:rsid w:val="00491D7D"/>
    <w:rsid w:val="00491EDA"/>
    <w:rsid w:val="0049306D"/>
    <w:rsid w:val="0049383D"/>
    <w:rsid w:val="00493972"/>
    <w:rsid w:val="00494020"/>
    <w:rsid w:val="004943FF"/>
    <w:rsid w:val="004972CB"/>
    <w:rsid w:val="004A05CE"/>
    <w:rsid w:val="004A4DA8"/>
    <w:rsid w:val="004A5D51"/>
    <w:rsid w:val="004A66CB"/>
    <w:rsid w:val="004A784C"/>
    <w:rsid w:val="004B265B"/>
    <w:rsid w:val="004B27CE"/>
    <w:rsid w:val="004B4752"/>
    <w:rsid w:val="004B5D29"/>
    <w:rsid w:val="004B7B9A"/>
    <w:rsid w:val="004C0C5B"/>
    <w:rsid w:val="004C3960"/>
    <w:rsid w:val="004C3F45"/>
    <w:rsid w:val="004D3BAE"/>
    <w:rsid w:val="004D477B"/>
    <w:rsid w:val="004D4848"/>
    <w:rsid w:val="004D6480"/>
    <w:rsid w:val="004E0C11"/>
    <w:rsid w:val="004E1592"/>
    <w:rsid w:val="004E1AAA"/>
    <w:rsid w:val="004E1D7C"/>
    <w:rsid w:val="004E2313"/>
    <w:rsid w:val="004E3CB6"/>
    <w:rsid w:val="004E40EF"/>
    <w:rsid w:val="004E45AA"/>
    <w:rsid w:val="004E73F7"/>
    <w:rsid w:val="004F006C"/>
    <w:rsid w:val="004F1BE8"/>
    <w:rsid w:val="004F5832"/>
    <w:rsid w:val="004F76A0"/>
    <w:rsid w:val="00500E7F"/>
    <w:rsid w:val="00501352"/>
    <w:rsid w:val="00504449"/>
    <w:rsid w:val="005056A0"/>
    <w:rsid w:val="00505CD2"/>
    <w:rsid w:val="00510022"/>
    <w:rsid w:val="005129F7"/>
    <w:rsid w:val="00512B86"/>
    <w:rsid w:val="005132E6"/>
    <w:rsid w:val="00520286"/>
    <w:rsid w:val="00520C95"/>
    <w:rsid w:val="0052179D"/>
    <w:rsid w:val="00522EA6"/>
    <w:rsid w:val="00524D40"/>
    <w:rsid w:val="00524DD6"/>
    <w:rsid w:val="00534FD4"/>
    <w:rsid w:val="005363E8"/>
    <w:rsid w:val="0053663E"/>
    <w:rsid w:val="0054069B"/>
    <w:rsid w:val="005409F1"/>
    <w:rsid w:val="00540F58"/>
    <w:rsid w:val="00542C8A"/>
    <w:rsid w:val="00543479"/>
    <w:rsid w:val="005456A9"/>
    <w:rsid w:val="00547273"/>
    <w:rsid w:val="005476AF"/>
    <w:rsid w:val="00552B30"/>
    <w:rsid w:val="00552E09"/>
    <w:rsid w:val="00552F22"/>
    <w:rsid w:val="00555D52"/>
    <w:rsid w:val="005566D7"/>
    <w:rsid w:val="00557D41"/>
    <w:rsid w:val="00561338"/>
    <w:rsid w:val="00561F7F"/>
    <w:rsid w:val="0056204C"/>
    <w:rsid w:val="00563ACF"/>
    <w:rsid w:val="00563ED4"/>
    <w:rsid w:val="00563EE7"/>
    <w:rsid w:val="00564243"/>
    <w:rsid w:val="00564C12"/>
    <w:rsid w:val="00564D16"/>
    <w:rsid w:val="00565A3E"/>
    <w:rsid w:val="00566B35"/>
    <w:rsid w:val="00567B53"/>
    <w:rsid w:val="00571BCE"/>
    <w:rsid w:val="005732CC"/>
    <w:rsid w:val="0057483C"/>
    <w:rsid w:val="005753E4"/>
    <w:rsid w:val="00575422"/>
    <w:rsid w:val="00575F95"/>
    <w:rsid w:val="005820BD"/>
    <w:rsid w:val="00585369"/>
    <w:rsid w:val="00585B61"/>
    <w:rsid w:val="0058639B"/>
    <w:rsid w:val="00592E1C"/>
    <w:rsid w:val="00593515"/>
    <w:rsid w:val="005938C6"/>
    <w:rsid w:val="00593C2A"/>
    <w:rsid w:val="005943BC"/>
    <w:rsid w:val="00595705"/>
    <w:rsid w:val="005A0431"/>
    <w:rsid w:val="005A057B"/>
    <w:rsid w:val="005A0E13"/>
    <w:rsid w:val="005A214F"/>
    <w:rsid w:val="005A2FFA"/>
    <w:rsid w:val="005A4781"/>
    <w:rsid w:val="005B196E"/>
    <w:rsid w:val="005B3752"/>
    <w:rsid w:val="005B61C2"/>
    <w:rsid w:val="005C0AAE"/>
    <w:rsid w:val="005C2B24"/>
    <w:rsid w:val="005C48AF"/>
    <w:rsid w:val="005C4F7D"/>
    <w:rsid w:val="005D0844"/>
    <w:rsid w:val="005D11A6"/>
    <w:rsid w:val="005D206E"/>
    <w:rsid w:val="005D26B7"/>
    <w:rsid w:val="005D4AA1"/>
    <w:rsid w:val="005D4DE8"/>
    <w:rsid w:val="005D537B"/>
    <w:rsid w:val="005E279F"/>
    <w:rsid w:val="005E31B4"/>
    <w:rsid w:val="005E3285"/>
    <w:rsid w:val="005E5A45"/>
    <w:rsid w:val="005E5ED6"/>
    <w:rsid w:val="005E6D4F"/>
    <w:rsid w:val="005F0B7F"/>
    <w:rsid w:val="005F2B20"/>
    <w:rsid w:val="005F398F"/>
    <w:rsid w:val="005F3C06"/>
    <w:rsid w:val="005F415E"/>
    <w:rsid w:val="005F5825"/>
    <w:rsid w:val="005F6440"/>
    <w:rsid w:val="005F6999"/>
    <w:rsid w:val="00601051"/>
    <w:rsid w:val="0060146C"/>
    <w:rsid w:val="0060207D"/>
    <w:rsid w:val="006039F2"/>
    <w:rsid w:val="006061B0"/>
    <w:rsid w:val="00606B53"/>
    <w:rsid w:val="0060732E"/>
    <w:rsid w:val="006076A9"/>
    <w:rsid w:val="0061056C"/>
    <w:rsid w:val="00610C84"/>
    <w:rsid w:val="0061150C"/>
    <w:rsid w:val="00615EE4"/>
    <w:rsid w:val="0061603F"/>
    <w:rsid w:val="00616B05"/>
    <w:rsid w:val="00622C0C"/>
    <w:rsid w:val="00624252"/>
    <w:rsid w:val="0062735C"/>
    <w:rsid w:val="006279D0"/>
    <w:rsid w:val="006305B3"/>
    <w:rsid w:val="0063083F"/>
    <w:rsid w:val="00633C44"/>
    <w:rsid w:val="0063573D"/>
    <w:rsid w:val="00635DAF"/>
    <w:rsid w:val="00637075"/>
    <w:rsid w:val="00637711"/>
    <w:rsid w:val="00641360"/>
    <w:rsid w:val="006421B2"/>
    <w:rsid w:val="0064265A"/>
    <w:rsid w:val="00644617"/>
    <w:rsid w:val="00645786"/>
    <w:rsid w:val="00647655"/>
    <w:rsid w:val="00651985"/>
    <w:rsid w:val="00653D70"/>
    <w:rsid w:val="006544EA"/>
    <w:rsid w:val="00661BE2"/>
    <w:rsid w:val="00663181"/>
    <w:rsid w:val="0066569F"/>
    <w:rsid w:val="00666898"/>
    <w:rsid w:val="00667CA5"/>
    <w:rsid w:val="0067004C"/>
    <w:rsid w:val="00670515"/>
    <w:rsid w:val="0067052B"/>
    <w:rsid w:val="00670AB0"/>
    <w:rsid w:val="00674903"/>
    <w:rsid w:val="00675FB0"/>
    <w:rsid w:val="00681C53"/>
    <w:rsid w:val="00682B81"/>
    <w:rsid w:val="006832CC"/>
    <w:rsid w:val="00683A95"/>
    <w:rsid w:val="00684DE5"/>
    <w:rsid w:val="00686F0B"/>
    <w:rsid w:val="0069004B"/>
    <w:rsid w:val="006915AD"/>
    <w:rsid w:val="00691D94"/>
    <w:rsid w:val="00691F2C"/>
    <w:rsid w:val="006959C4"/>
    <w:rsid w:val="0069613E"/>
    <w:rsid w:val="00697AB0"/>
    <w:rsid w:val="006A07E6"/>
    <w:rsid w:val="006A683D"/>
    <w:rsid w:val="006A7326"/>
    <w:rsid w:val="006A77BB"/>
    <w:rsid w:val="006A7C59"/>
    <w:rsid w:val="006B0604"/>
    <w:rsid w:val="006B08EB"/>
    <w:rsid w:val="006B1259"/>
    <w:rsid w:val="006B2ECE"/>
    <w:rsid w:val="006B439F"/>
    <w:rsid w:val="006B481F"/>
    <w:rsid w:val="006B5112"/>
    <w:rsid w:val="006B57FC"/>
    <w:rsid w:val="006B5A82"/>
    <w:rsid w:val="006B6A80"/>
    <w:rsid w:val="006B6A8E"/>
    <w:rsid w:val="006C3488"/>
    <w:rsid w:val="006C3C91"/>
    <w:rsid w:val="006C6ED9"/>
    <w:rsid w:val="006D1A54"/>
    <w:rsid w:val="006D3040"/>
    <w:rsid w:val="006E171E"/>
    <w:rsid w:val="006E30E3"/>
    <w:rsid w:val="006E31B5"/>
    <w:rsid w:val="006E5F84"/>
    <w:rsid w:val="006E7378"/>
    <w:rsid w:val="006E78DE"/>
    <w:rsid w:val="006F19CF"/>
    <w:rsid w:val="006F23A5"/>
    <w:rsid w:val="006F2939"/>
    <w:rsid w:val="006F59C9"/>
    <w:rsid w:val="006F638E"/>
    <w:rsid w:val="006F6B19"/>
    <w:rsid w:val="006F7A09"/>
    <w:rsid w:val="0070103C"/>
    <w:rsid w:val="007017A7"/>
    <w:rsid w:val="00701FDB"/>
    <w:rsid w:val="0070339C"/>
    <w:rsid w:val="00703E42"/>
    <w:rsid w:val="007049C5"/>
    <w:rsid w:val="00705947"/>
    <w:rsid w:val="00705C29"/>
    <w:rsid w:val="007065AC"/>
    <w:rsid w:val="00706CDD"/>
    <w:rsid w:val="00710E96"/>
    <w:rsid w:val="00712184"/>
    <w:rsid w:val="00712D29"/>
    <w:rsid w:val="007139D2"/>
    <w:rsid w:val="007174A8"/>
    <w:rsid w:val="00717BE3"/>
    <w:rsid w:val="007204EE"/>
    <w:rsid w:val="00720B35"/>
    <w:rsid w:val="0072100F"/>
    <w:rsid w:val="00722107"/>
    <w:rsid w:val="00724431"/>
    <w:rsid w:val="00725A84"/>
    <w:rsid w:val="0072746E"/>
    <w:rsid w:val="00731E14"/>
    <w:rsid w:val="00732BB7"/>
    <w:rsid w:val="00733F7D"/>
    <w:rsid w:val="007368AD"/>
    <w:rsid w:val="00742DA2"/>
    <w:rsid w:val="00743259"/>
    <w:rsid w:val="00743EB9"/>
    <w:rsid w:val="00744A20"/>
    <w:rsid w:val="00746840"/>
    <w:rsid w:val="007472D9"/>
    <w:rsid w:val="0075142E"/>
    <w:rsid w:val="00751974"/>
    <w:rsid w:val="00751D2A"/>
    <w:rsid w:val="00752E8B"/>
    <w:rsid w:val="00754048"/>
    <w:rsid w:val="00755095"/>
    <w:rsid w:val="0075568A"/>
    <w:rsid w:val="0076109E"/>
    <w:rsid w:val="00766897"/>
    <w:rsid w:val="00770281"/>
    <w:rsid w:val="00772DFF"/>
    <w:rsid w:val="00776DAD"/>
    <w:rsid w:val="00780DD9"/>
    <w:rsid w:val="00781489"/>
    <w:rsid w:val="007835DB"/>
    <w:rsid w:val="0078436D"/>
    <w:rsid w:val="00784613"/>
    <w:rsid w:val="00786C60"/>
    <w:rsid w:val="00787455"/>
    <w:rsid w:val="007875A1"/>
    <w:rsid w:val="00791552"/>
    <w:rsid w:val="00792105"/>
    <w:rsid w:val="00792FAC"/>
    <w:rsid w:val="00793823"/>
    <w:rsid w:val="00794D44"/>
    <w:rsid w:val="00796A07"/>
    <w:rsid w:val="00796C2C"/>
    <w:rsid w:val="007A0C5E"/>
    <w:rsid w:val="007A1C68"/>
    <w:rsid w:val="007A2739"/>
    <w:rsid w:val="007A2D5A"/>
    <w:rsid w:val="007A3B2A"/>
    <w:rsid w:val="007A3F24"/>
    <w:rsid w:val="007A61F3"/>
    <w:rsid w:val="007A6EF5"/>
    <w:rsid w:val="007A79A1"/>
    <w:rsid w:val="007B0E27"/>
    <w:rsid w:val="007B1220"/>
    <w:rsid w:val="007B12E7"/>
    <w:rsid w:val="007B14FE"/>
    <w:rsid w:val="007B5119"/>
    <w:rsid w:val="007C07AC"/>
    <w:rsid w:val="007C144E"/>
    <w:rsid w:val="007C3E1E"/>
    <w:rsid w:val="007C7D72"/>
    <w:rsid w:val="007C7F16"/>
    <w:rsid w:val="007D2234"/>
    <w:rsid w:val="007D30E7"/>
    <w:rsid w:val="007D3D6D"/>
    <w:rsid w:val="007D4493"/>
    <w:rsid w:val="007E24C2"/>
    <w:rsid w:val="007E3842"/>
    <w:rsid w:val="007E55EA"/>
    <w:rsid w:val="007E5C36"/>
    <w:rsid w:val="007F0B4B"/>
    <w:rsid w:val="007F10E3"/>
    <w:rsid w:val="007F1188"/>
    <w:rsid w:val="007F2C0E"/>
    <w:rsid w:val="007F3F6D"/>
    <w:rsid w:val="007F4A25"/>
    <w:rsid w:val="007F4D1C"/>
    <w:rsid w:val="007F60B6"/>
    <w:rsid w:val="007F750C"/>
    <w:rsid w:val="007F7AB3"/>
    <w:rsid w:val="00802E4B"/>
    <w:rsid w:val="00803134"/>
    <w:rsid w:val="0080377E"/>
    <w:rsid w:val="00804AEB"/>
    <w:rsid w:val="00806478"/>
    <w:rsid w:val="00806803"/>
    <w:rsid w:val="00807701"/>
    <w:rsid w:val="00810B9E"/>
    <w:rsid w:val="008164EA"/>
    <w:rsid w:val="008218A2"/>
    <w:rsid w:val="00821DBA"/>
    <w:rsid w:val="00821F41"/>
    <w:rsid w:val="00822121"/>
    <w:rsid w:val="00823097"/>
    <w:rsid w:val="00824AA6"/>
    <w:rsid w:val="00824CC8"/>
    <w:rsid w:val="0082588D"/>
    <w:rsid w:val="00826428"/>
    <w:rsid w:val="00826570"/>
    <w:rsid w:val="00826796"/>
    <w:rsid w:val="00826E4A"/>
    <w:rsid w:val="008273EF"/>
    <w:rsid w:val="008274F9"/>
    <w:rsid w:val="008310BB"/>
    <w:rsid w:val="008361D9"/>
    <w:rsid w:val="00836C77"/>
    <w:rsid w:val="00836D17"/>
    <w:rsid w:val="00837974"/>
    <w:rsid w:val="00840A55"/>
    <w:rsid w:val="00840CD1"/>
    <w:rsid w:val="00841E25"/>
    <w:rsid w:val="00843145"/>
    <w:rsid w:val="00844AD8"/>
    <w:rsid w:val="008464CD"/>
    <w:rsid w:val="00846A0F"/>
    <w:rsid w:val="00846F88"/>
    <w:rsid w:val="0085043A"/>
    <w:rsid w:val="008515EE"/>
    <w:rsid w:val="00857F5A"/>
    <w:rsid w:val="00861C4E"/>
    <w:rsid w:val="00866D21"/>
    <w:rsid w:val="00866ED4"/>
    <w:rsid w:val="00870424"/>
    <w:rsid w:val="00871818"/>
    <w:rsid w:val="008719D2"/>
    <w:rsid w:val="00872969"/>
    <w:rsid w:val="00872D85"/>
    <w:rsid w:val="00873EA8"/>
    <w:rsid w:val="00874D49"/>
    <w:rsid w:val="00874E61"/>
    <w:rsid w:val="00875559"/>
    <w:rsid w:val="008763E3"/>
    <w:rsid w:val="00877C78"/>
    <w:rsid w:val="00877FE5"/>
    <w:rsid w:val="00882710"/>
    <w:rsid w:val="00883DDA"/>
    <w:rsid w:val="0088401C"/>
    <w:rsid w:val="00886706"/>
    <w:rsid w:val="00887A8E"/>
    <w:rsid w:val="008908EE"/>
    <w:rsid w:val="00890F95"/>
    <w:rsid w:val="00891FF9"/>
    <w:rsid w:val="00892061"/>
    <w:rsid w:val="00893017"/>
    <w:rsid w:val="00893367"/>
    <w:rsid w:val="008936BC"/>
    <w:rsid w:val="00893D07"/>
    <w:rsid w:val="008947E1"/>
    <w:rsid w:val="00896A1D"/>
    <w:rsid w:val="008978DC"/>
    <w:rsid w:val="008A2E32"/>
    <w:rsid w:val="008A3AE0"/>
    <w:rsid w:val="008A4CBA"/>
    <w:rsid w:val="008A54F8"/>
    <w:rsid w:val="008A6057"/>
    <w:rsid w:val="008B06A1"/>
    <w:rsid w:val="008B5186"/>
    <w:rsid w:val="008B6896"/>
    <w:rsid w:val="008B7956"/>
    <w:rsid w:val="008B79E1"/>
    <w:rsid w:val="008C233B"/>
    <w:rsid w:val="008C3650"/>
    <w:rsid w:val="008C3722"/>
    <w:rsid w:val="008C3B67"/>
    <w:rsid w:val="008C3F48"/>
    <w:rsid w:val="008C5AA8"/>
    <w:rsid w:val="008C64CF"/>
    <w:rsid w:val="008C7DF9"/>
    <w:rsid w:val="008D0C23"/>
    <w:rsid w:val="008D28C0"/>
    <w:rsid w:val="008D34BD"/>
    <w:rsid w:val="008D49B4"/>
    <w:rsid w:val="008D5628"/>
    <w:rsid w:val="008D73E6"/>
    <w:rsid w:val="008D7498"/>
    <w:rsid w:val="008D76F8"/>
    <w:rsid w:val="008E4488"/>
    <w:rsid w:val="008E610C"/>
    <w:rsid w:val="008E67F7"/>
    <w:rsid w:val="008F043C"/>
    <w:rsid w:val="008F0F83"/>
    <w:rsid w:val="008F2F61"/>
    <w:rsid w:val="008F585C"/>
    <w:rsid w:val="008F6EB8"/>
    <w:rsid w:val="008F70C1"/>
    <w:rsid w:val="00900FC7"/>
    <w:rsid w:val="00901C55"/>
    <w:rsid w:val="009037AC"/>
    <w:rsid w:val="00906673"/>
    <w:rsid w:val="00907C41"/>
    <w:rsid w:val="0091019D"/>
    <w:rsid w:val="009125E8"/>
    <w:rsid w:val="00912D5A"/>
    <w:rsid w:val="0091374C"/>
    <w:rsid w:val="00913821"/>
    <w:rsid w:val="0091484B"/>
    <w:rsid w:val="009148D0"/>
    <w:rsid w:val="00915A10"/>
    <w:rsid w:val="009203E4"/>
    <w:rsid w:val="00923B36"/>
    <w:rsid w:val="009265BD"/>
    <w:rsid w:val="00927789"/>
    <w:rsid w:val="00932E96"/>
    <w:rsid w:val="00933215"/>
    <w:rsid w:val="0093402D"/>
    <w:rsid w:val="009342B1"/>
    <w:rsid w:val="0093507F"/>
    <w:rsid w:val="009354B6"/>
    <w:rsid w:val="00937080"/>
    <w:rsid w:val="009418E6"/>
    <w:rsid w:val="0094235F"/>
    <w:rsid w:val="0094279F"/>
    <w:rsid w:val="00942DEF"/>
    <w:rsid w:val="00944162"/>
    <w:rsid w:val="00944708"/>
    <w:rsid w:val="00946430"/>
    <w:rsid w:val="00946596"/>
    <w:rsid w:val="00946B98"/>
    <w:rsid w:val="00947445"/>
    <w:rsid w:val="0095052A"/>
    <w:rsid w:val="00950F21"/>
    <w:rsid w:val="009536F1"/>
    <w:rsid w:val="00954D0D"/>
    <w:rsid w:val="009622B3"/>
    <w:rsid w:val="00964E6B"/>
    <w:rsid w:val="009658F0"/>
    <w:rsid w:val="00966319"/>
    <w:rsid w:val="00966946"/>
    <w:rsid w:val="00966D0D"/>
    <w:rsid w:val="00971655"/>
    <w:rsid w:val="0097180B"/>
    <w:rsid w:val="00971C63"/>
    <w:rsid w:val="009722AE"/>
    <w:rsid w:val="0097243F"/>
    <w:rsid w:val="00972901"/>
    <w:rsid w:val="00975920"/>
    <w:rsid w:val="00977C2C"/>
    <w:rsid w:val="009819E2"/>
    <w:rsid w:val="0098388F"/>
    <w:rsid w:val="00985106"/>
    <w:rsid w:val="009854BB"/>
    <w:rsid w:val="00985F84"/>
    <w:rsid w:val="00986168"/>
    <w:rsid w:val="009874D3"/>
    <w:rsid w:val="0099042B"/>
    <w:rsid w:val="009922C7"/>
    <w:rsid w:val="00996508"/>
    <w:rsid w:val="00996BCB"/>
    <w:rsid w:val="009975F4"/>
    <w:rsid w:val="0099761C"/>
    <w:rsid w:val="009A41A6"/>
    <w:rsid w:val="009A4A5B"/>
    <w:rsid w:val="009A4AE9"/>
    <w:rsid w:val="009B2512"/>
    <w:rsid w:val="009B30C7"/>
    <w:rsid w:val="009B499D"/>
    <w:rsid w:val="009B62B2"/>
    <w:rsid w:val="009C0D10"/>
    <w:rsid w:val="009C310B"/>
    <w:rsid w:val="009C38B0"/>
    <w:rsid w:val="009C71D5"/>
    <w:rsid w:val="009C7C99"/>
    <w:rsid w:val="009D1D5B"/>
    <w:rsid w:val="009D2846"/>
    <w:rsid w:val="009D2CEF"/>
    <w:rsid w:val="009D32D2"/>
    <w:rsid w:val="009D57CA"/>
    <w:rsid w:val="009D7489"/>
    <w:rsid w:val="009D7BF3"/>
    <w:rsid w:val="009E14C0"/>
    <w:rsid w:val="009E1941"/>
    <w:rsid w:val="009E257C"/>
    <w:rsid w:val="009E2B14"/>
    <w:rsid w:val="009E405C"/>
    <w:rsid w:val="009E4451"/>
    <w:rsid w:val="009E6D0B"/>
    <w:rsid w:val="009E75ED"/>
    <w:rsid w:val="009F050F"/>
    <w:rsid w:val="009F14AE"/>
    <w:rsid w:val="009F6AF6"/>
    <w:rsid w:val="009F6DDB"/>
    <w:rsid w:val="009F6F0F"/>
    <w:rsid w:val="009F71A3"/>
    <w:rsid w:val="009F7CE4"/>
    <w:rsid w:val="00A00106"/>
    <w:rsid w:val="00A03020"/>
    <w:rsid w:val="00A04514"/>
    <w:rsid w:val="00A0461E"/>
    <w:rsid w:val="00A052C8"/>
    <w:rsid w:val="00A05F48"/>
    <w:rsid w:val="00A06D03"/>
    <w:rsid w:val="00A0766D"/>
    <w:rsid w:val="00A11162"/>
    <w:rsid w:val="00A1679B"/>
    <w:rsid w:val="00A16A1F"/>
    <w:rsid w:val="00A17EDA"/>
    <w:rsid w:val="00A23454"/>
    <w:rsid w:val="00A3003C"/>
    <w:rsid w:val="00A31661"/>
    <w:rsid w:val="00A32BED"/>
    <w:rsid w:val="00A33AE6"/>
    <w:rsid w:val="00A34C1B"/>
    <w:rsid w:val="00A3575C"/>
    <w:rsid w:val="00A3580C"/>
    <w:rsid w:val="00A37465"/>
    <w:rsid w:val="00A40D9E"/>
    <w:rsid w:val="00A41D51"/>
    <w:rsid w:val="00A42843"/>
    <w:rsid w:val="00A43227"/>
    <w:rsid w:val="00A4557A"/>
    <w:rsid w:val="00A46739"/>
    <w:rsid w:val="00A46CCD"/>
    <w:rsid w:val="00A46FDC"/>
    <w:rsid w:val="00A52612"/>
    <w:rsid w:val="00A562C3"/>
    <w:rsid w:val="00A572FC"/>
    <w:rsid w:val="00A63B47"/>
    <w:rsid w:val="00A63DDF"/>
    <w:rsid w:val="00A65133"/>
    <w:rsid w:val="00A652C5"/>
    <w:rsid w:val="00A66758"/>
    <w:rsid w:val="00A6688B"/>
    <w:rsid w:val="00A67F5C"/>
    <w:rsid w:val="00A71540"/>
    <w:rsid w:val="00A73EAB"/>
    <w:rsid w:val="00A74B0C"/>
    <w:rsid w:val="00A75623"/>
    <w:rsid w:val="00A776E8"/>
    <w:rsid w:val="00A80B2B"/>
    <w:rsid w:val="00A84AE3"/>
    <w:rsid w:val="00A85C5A"/>
    <w:rsid w:val="00A904B9"/>
    <w:rsid w:val="00A9094F"/>
    <w:rsid w:val="00A91219"/>
    <w:rsid w:val="00A94B8C"/>
    <w:rsid w:val="00A95CE0"/>
    <w:rsid w:val="00A96A08"/>
    <w:rsid w:val="00A96FC1"/>
    <w:rsid w:val="00AA0161"/>
    <w:rsid w:val="00AA23C5"/>
    <w:rsid w:val="00AA2F2D"/>
    <w:rsid w:val="00AA54FA"/>
    <w:rsid w:val="00AA580D"/>
    <w:rsid w:val="00AA742B"/>
    <w:rsid w:val="00AB18C9"/>
    <w:rsid w:val="00AB1D08"/>
    <w:rsid w:val="00AB2835"/>
    <w:rsid w:val="00AB4345"/>
    <w:rsid w:val="00AB4654"/>
    <w:rsid w:val="00AB5BD7"/>
    <w:rsid w:val="00AC0135"/>
    <w:rsid w:val="00AC0600"/>
    <w:rsid w:val="00AC070D"/>
    <w:rsid w:val="00AC1B94"/>
    <w:rsid w:val="00AC68DE"/>
    <w:rsid w:val="00AD0616"/>
    <w:rsid w:val="00AD304D"/>
    <w:rsid w:val="00AD34FF"/>
    <w:rsid w:val="00AD4DE6"/>
    <w:rsid w:val="00AD58C1"/>
    <w:rsid w:val="00AD7E76"/>
    <w:rsid w:val="00AE1A9E"/>
    <w:rsid w:val="00AE1D52"/>
    <w:rsid w:val="00AE50E6"/>
    <w:rsid w:val="00AE5923"/>
    <w:rsid w:val="00AE6DBC"/>
    <w:rsid w:val="00AE7EB3"/>
    <w:rsid w:val="00AF0BCD"/>
    <w:rsid w:val="00AF3281"/>
    <w:rsid w:val="00AF380C"/>
    <w:rsid w:val="00AF3E95"/>
    <w:rsid w:val="00AF4937"/>
    <w:rsid w:val="00AF7C67"/>
    <w:rsid w:val="00B00059"/>
    <w:rsid w:val="00B03759"/>
    <w:rsid w:val="00B05A57"/>
    <w:rsid w:val="00B06875"/>
    <w:rsid w:val="00B068C4"/>
    <w:rsid w:val="00B074EC"/>
    <w:rsid w:val="00B1135E"/>
    <w:rsid w:val="00B117B9"/>
    <w:rsid w:val="00B1407C"/>
    <w:rsid w:val="00B143BE"/>
    <w:rsid w:val="00B14523"/>
    <w:rsid w:val="00B15FE9"/>
    <w:rsid w:val="00B16C10"/>
    <w:rsid w:val="00B176A9"/>
    <w:rsid w:val="00B17A21"/>
    <w:rsid w:val="00B22C66"/>
    <w:rsid w:val="00B23E00"/>
    <w:rsid w:val="00B2416B"/>
    <w:rsid w:val="00B25282"/>
    <w:rsid w:val="00B277CB"/>
    <w:rsid w:val="00B3002A"/>
    <w:rsid w:val="00B30637"/>
    <w:rsid w:val="00B31EA0"/>
    <w:rsid w:val="00B32F9F"/>
    <w:rsid w:val="00B33BF0"/>
    <w:rsid w:val="00B34E22"/>
    <w:rsid w:val="00B37BC3"/>
    <w:rsid w:val="00B4092C"/>
    <w:rsid w:val="00B42208"/>
    <w:rsid w:val="00B43E27"/>
    <w:rsid w:val="00B44A6F"/>
    <w:rsid w:val="00B451B7"/>
    <w:rsid w:val="00B468A0"/>
    <w:rsid w:val="00B47F35"/>
    <w:rsid w:val="00B51883"/>
    <w:rsid w:val="00B547F3"/>
    <w:rsid w:val="00B54970"/>
    <w:rsid w:val="00B55A9D"/>
    <w:rsid w:val="00B562C2"/>
    <w:rsid w:val="00B61FD4"/>
    <w:rsid w:val="00B63A17"/>
    <w:rsid w:val="00B6446B"/>
    <w:rsid w:val="00B674DB"/>
    <w:rsid w:val="00B675C3"/>
    <w:rsid w:val="00B67AF5"/>
    <w:rsid w:val="00B74195"/>
    <w:rsid w:val="00B74D72"/>
    <w:rsid w:val="00B808DE"/>
    <w:rsid w:val="00B80C27"/>
    <w:rsid w:val="00B822A1"/>
    <w:rsid w:val="00B82E8D"/>
    <w:rsid w:val="00B83347"/>
    <w:rsid w:val="00B847BF"/>
    <w:rsid w:val="00B855E6"/>
    <w:rsid w:val="00B9264D"/>
    <w:rsid w:val="00B938A1"/>
    <w:rsid w:val="00B93AED"/>
    <w:rsid w:val="00B9418E"/>
    <w:rsid w:val="00B94D99"/>
    <w:rsid w:val="00B951C7"/>
    <w:rsid w:val="00B9532A"/>
    <w:rsid w:val="00B963F6"/>
    <w:rsid w:val="00B965A7"/>
    <w:rsid w:val="00B9733E"/>
    <w:rsid w:val="00BA1527"/>
    <w:rsid w:val="00BA24A5"/>
    <w:rsid w:val="00BA4358"/>
    <w:rsid w:val="00BA5400"/>
    <w:rsid w:val="00BA67E6"/>
    <w:rsid w:val="00BB3FA1"/>
    <w:rsid w:val="00BB4883"/>
    <w:rsid w:val="00BB62BB"/>
    <w:rsid w:val="00BC05C5"/>
    <w:rsid w:val="00BC30D3"/>
    <w:rsid w:val="00BC5401"/>
    <w:rsid w:val="00BC5528"/>
    <w:rsid w:val="00BC6901"/>
    <w:rsid w:val="00BC6A0D"/>
    <w:rsid w:val="00BD04BE"/>
    <w:rsid w:val="00BD0FEA"/>
    <w:rsid w:val="00BD102D"/>
    <w:rsid w:val="00BD1E71"/>
    <w:rsid w:val="00BD1FAA"/>
    <w:rsid w:val="00BD3CB2"/>
    <w:rsid w:val="00BD6742"/>
    <w:rsid w:val="00BD6F34"/>
    <w:rsid w:val="00BE1219"/>
    <w:rsid w:val="00BE150F"/>
    <w:rsid w:val="00BE3A43"/>
    <w:rsid w:val="00BE3B27"/>
    <w:rsid w:val="00BE4782"/>
    <w:rsid w:val="00BE6187"/>
    <w:rsid w:val="00BE6F28"/>
    <w:rsid w:val="00BE7609"/>
    <w:rsid w:val="00BF1EAD"/>
    <w:rsid w:val="00BF29FA"/>
    <w:rsid w:val="00BF412B"/>
    <w:rsid w:val="00BF678A"/>
    <w:rsid w:val="00BF7444"/>
    <w:rsid w:val="00C01384"/>
    <w:rsid w:val="00C0170B"/>
    <w:rsid w:val="00C02985"/>
    <w:rsid w:val="00C04B33"/>
    <w:rsid w:val="00C04D2B"/>
    <w:rsid w:val="00C061D8"/>
    <w:rsid w:val="00C07B65"/>
    <w:rsid w:val="00C10AF1"/>
    <w:rsid w:val="00C13534"/>
    <w:rsid w:val="00C14403"/>
    <w:rsid w:val="00C14BE3"/>
    <w:rsid w:val="00C1686A"/>
    <w:rsid w:val="00C2111B"/>
    <w:rsid w:val="00C21EB9"/>
    <w:rsid w:val="00C22689"/>
    <w:rsid w:val="00C23886"/>
    <w:rsid w:val="00C2528B"/>
    <w:rsid w:val="00C25DB6"/>
    <w:rsid w:val="00C2709C"/>
    <w:rsid w:val="00C272EF"/>
    <w:rsid w:val="00C277DC"/>
    <w:rsid w:val="00C30F29"/>
    <w:rsid w:val="00C32233"/>
    <w:rsid w:val="00C33E0A"/>
    <w:rsid w:val="00C3431B"/>
    <w:rsid w:val="00C356D9"/>
    <w:rsid w:val="00C402F8"/>
    <w:rsid w:val="00C40508"/>
    <w:rsid w:val="00C40B6A"/>
    <w:rsid w:val="00C42601"/>
    <w:rsid w:val="00C445E3"/>
    <w:rsid w:val="00C44A0E"/>
    <w:rsid w:val="00C44A7F"/>
    <w:rsid w:val="00C44F72"/>
    <w:rsid w:val="00C45FD6"/>
    <w:rsid w:val="00C521F5"/>
    <w:rsid w:val="00C53C8A"/>
    <w:rsid w:val="00C543ED"/>
    <w:rsid w:val="00C54FDA"/>
    <w:rsid w:val="00C560B4"/>
    <w:rsid w:val="00C56BD4"/>
    <w:rsid w:val="00C56D8C"/>
    <w:rsid w:val="00C57B24"/>
    <w:rsid w:val="00C628A8"/>
    <w:rsid w:val="00C630BC"/>
    <w:rsid w:val="00C63D68"/>
    <w:rsid w:val="00C63DD1"/>
    <w:rsid w:val="00C64011"/>
    <w:rsid w:val="00C640EE"/>
    <w:rsid w:val="00C64277"/>
    <w:rsid w:val="00C64656"/>
    <w:rsid w:val="00C65205"/>
    <w:rsid w:val="00C65753"/>
    <w:rsid w:val="00C72724"/>
    <w:rsid w:val="00C737C5"/>
    <w:rsid w:val="00C73A53"/>
    <w:rsid w:val="00C74521"/>
    <w:rsid w:val="00C74BD7"/>
    <w:rsid w:val="00C75326"/>
    <w:rsid w:val="00C76363"/>
    <w:rsid w:val="00C835DB"/>
    <w:rsid w:val="00C85259"/>
    <w:rsid w:val="00C85BF4"/>
    <w:rsid w:val="00C9043C"/>
    <w:rsid w:val="00C91089"/>
    <w:rsid w:val="00C915E2"/>
    <w:rsid w:val="00C924DE"/>
    <w:rsid w:val="00C93172"/>
    <w:rsid w:val="00C958F6"/>
    <w:rsid w:val="00CA27BE"/>
    <w:rsid w:val="00CA3540"/>
    <w:rsid w:val="00CA42E5"/>
    <w:rsid w:val="00CA5B79"/>
    <w:rsid w:val="00CA6545"/>
    <w:rsid w:val="00CA6DED"/>
    <w:rsid w:val="00CA7214"/>
    <w:rsid w:val="00CB1B34"/>
    <w:rsid w:val="00CB3108"/>
    <w:rsid w:val="00CB39DB"/>
    <w:rsid w:val="00CB4D47"/>
    <w:rsid w:val="00CB6F3D"/>
    <w:rsid w:val="00CB7EFD"/>
    <w:rsid w:val="00CC1856"/>
    <w:rsid w:val="00CC1EC2"/>
    <w:rsid w:val="00CC228E"/>
    <w:rsid w:val="00CC271E"/>
    <w:rsid w:val="00CC3BEC"/>
    <w:rsid w:val="00CC49D4"/>
    <w:rsid w:val="00CC4A02"/>
    <w:rsid w:val="00CC4D4A"/>
    <w:rsid w:val="00CC5BE9"/>
    <w:rsid w:val="00CC752A"/>
    <w:rsid w:val="00CC7A01"/>
    <w:rsid w:val="00CD0CA0"/>
    <w:rsid w:val="00CD140F"/>
    <w:rsid w:val="00CD2AF8"/>
    <w:rsid w:val="00CD3A78"/>
    <w:rsid w:val="00CD4A88"/>
    <w:rsid w:val="00CD5315"/>
    <w:rsid w:val="00CD6B58"/>
    <w:rsid w:val="00CD743B"/>
    <w:rsid w:val="00CD7AE5"/>
    <w:rsid w:val="00CE11EC"/>
    <w:rsid w:val="00CE161D"/>
    <w:rsid w:val="00CE2112"/>
    <w:rsid w:val="00CE4CF2"/>
    <w:rsid w:val="00CE4FD2"/>
    <w:rsid w:val="00CE6F5A"/>
    <w:rsid w:val="00CF1005"/>
    <w:rsid w:val="00CF42CF"/>
    <w:rsid w:val="00CF6C86"/>
    <w:rsid w:val="00D0000B"/>
    <w:rsid w:val="00D026AA"/>
    <w:rsid w:val="00D026F1"/>
    <w:rsid w:val="00D03BD5"/>
    <w:rsid w:val="00D079A3"/>
    <w:rsid w:val="00D102E9"/>
    <w:rsid w:val="00D10774"/>
    <w:rsid w:val="00D1304E"/>
    <w:rsid w:val="00D14165"/>
    <w:rsid w:val="00D1688F"/>
    <w:rsid w:val="00D17BC9"/>
    <w:rsid w:val="00D2117F"/>
    <w:rsid w:val="00D21830"/>
    <w:rsid w:val="00D25317"/>
    <w:rsid w:val="00D32C52"/>
    <w:rsid w:val="00D32E65"/>
    <w:rsid w:val="00D34818"/>
    <w:rsid w:val="00D44BC0"/>
    <w:rsid w:val="00D45549"/>
    <w:rsid w:val="00D456C9"/>
    <w:rsid w:val="00D512E5"/>
    <w:rsid w:val="00D51392"/>
    <w:rsid w:val="00D5185A"/>
    <w:rsid w:val="00D543D2"/>
    <w:rsid w:val="00D54E15"/>
    <w:rsid w:val="00D56430"/>
    <w:rsid w:val="00D6071B"/>
    <w:rsid w:val="00D61B26"/>
    <w:rsid w:val="00D6497A"/>
    <w:rsid w:val="00D652D8"/>
    <w:rsid w:val="00D66E8B"/>
    <w:rsid w:val="00D7093A"/>
    <w:rsid w:val="00D71994"/>
    <w:rsid w:val="00D74721"/>
    <w:rsid w:val="00D82CF6"/>
    <w:rsid w:val="00D84B77"/>
    <w:rsid w:val="00D85033"/>
    <w:rsid w:val="00D85715"/>
    <w:rsid w:val="00D8706C"/>
    <w:rsid w:val="00D9057B"/>
    <w:rsid w:val="00D91141"/>
    <w:rsid w:val="00D91A52"/>
    <w:rsid w:val="00D9226E"/>
    <w:rsid w:val="00D92825"/>
    <w:rsid w:val="00D94F03"/>
    <w:rsid w:val="00D952FB"/>
    <w:rsid w:val="00D976D3"/>
    <w:rsid w:val="00DA0CBB"/>
    <w:rsid w:val="00DA1CCA"/>
    <w:rsid w:val="00DA4882"/>
    <w:rsid w:val="00DA4C62"/>
    <w:rsid w:val="00DA515C"/>
    <w:rsid w:val="00DA74FB"/>
    <w:rsid w:val="00DB2FF3"/>
    <w:rsid w:val="00DB594A"/>
    <w:rsid w:val="00DB5A8E"/>
    <w:rsid w:val="00DB6A17"/>
    <w:rsid w:val="00DB6ECC"/>
    <w:rsid w:val="00DC003D"/>
    <w:rsid w:val="00DC2399"/>
    <w:rsid w:val="00DC5EA2"/>
    <w:rsid w:val="00DC79E0"/>
    <w:rsid w:val="00DD0107"/>
    <w:rsid w:val="00DD0865"/>
    <w:rsid w:val="00DD158A"/>
    <w:rsid w:val="00DD2A61"/>
    <w:rsid w:val="00DD4B63"/>
    <w:rsid w:val="00DD4E84"/>
    <w:rsid w:val="00DD5520"/>
    <w:rsid w:val="00DD56C1"/>
    <w:rsid w:val="00DD715E"/>
    <w:rsid w:val="00DE13F7"/>
    <w:rsid w:val="00DE2A36"/>
    <w:rsid w:val="00DE3421"/>
    <w:rsid w:val="00DE457C"/>
    <w:rsid w:val="00DE643F"/>
    <w:rsid w:val="00DF16C2"/>
    <w:rsid w:val="00DF6920"/>
    <w:rsid w:val="00DF7810"/>
    <w:rsid w:val="00E00F76"/>
    <w:rsid w:val="00E01E45"/>
    <w:rsid w:val="00E02BAC"/>
    <w:rsid w:val="00E02FE7"/>
    <w:rsid w:val="00E0398F"/>
    <w:rsid w:val="00E04EDD"/>
    <w:rsid w:val="00E064DD"/>
    <w:rsid w:val="00E11F85"/>
    <w:rsid w:val="00E137E4"/>
    <w:rsid w:val="00E13C51"/>
    <w:rsid w:val="00E163DE"/>
    <w:rsid w:val="00E1709B"/>
    <w:rsid w:val="00E21E75"/>
    <w:rsid w:val="00E22169"/>
    <w:rsid w:val="00E2311E"/>
    <w:rsid w:val="00E232A7"/>
    <w:rsid w:val="00E24666"/>
    <w:rsid w:val="00E308CE"/>
    <w:rsid w:val="00E308F9"/>
    <w:rsid w:val="00E30CEC"/>
    <w:rsid w:val="00E35F3C"/>
    <w:rsid w:val="00E368F7"/>
    <w:rsid w:val="00E4288B"/>
    <w:rsid w:val="00E444D9"/>
    <w:rsid w:val="00E46B4E"/>
    <w:rsid w:val="00E46F2C"/>
    <w:rsid w:val="00E50690"/>
    <w:rsid w:val="00E519DC"/>
    <w:rsid w:val="00E533BE"/>
    <w:rsid w:val="00E54750"/>
    <w:rsid w:val="00E558B8"/>
    <w:rsid w:val="00E5713A"/>
    <w:rsid w:val="00E574C3"/>
    <w:rsid w:val="00E60279"/>
    <w:rsid w:val="00E6080E"/>
    <w:rsid w:val="00E64219"/>
    <w:rsid w:val="00E654C9"/>
    <w:rsid w:val="00E71489"/>
    <w:rsid w:val="00E73195"/>
    <w:rsid w:val="00E7661F"/>
    <w:rsid w:val="00E807DA"/>
    <w:rsid w:val="00E8364D"/>
    <w:rsid w:val="00E843DB"/>
    <w:rsid w:val="00E84E3A"/>
    <w:rsid w:val="00E93085"/>
    <w:rsid w:val="00E942D4"/>
    <w:rsid w:val="00E949C9"/>
    <w:rsid w:val="00E94BFD"/>
    <w:rsid w:val="00E95FCD"/>
    <w:rsid w:val="00E96A49"/>
    <w:rsid w:val="00E97150"/>
    <w:rsid w:val="00E9797C"/>
    <w:rsid w:val="00EA05AF"/>
    <w:rsid w:val="00EA09DA"/>
    <w:rsid w:val="00EA2491"/>
    <w:rsid w:val="00EA362C"/>
    <w:rsid w:val="00EA4076"/>
    <w:rsid w:val="00EA5DA3"/>
    <w:rsid w:val="00EB195E"/>
    <w:rsid w:val="00EB3740"/>
    <w:rsid w:val="00EB5BC1"/>
    <w:rsid w:val="00EB5CDF"/>
    <w:rsid w:val="00EB7560"/>
    <w:rsid w:val="00EB7E1B"/>
    <w:rsid w:val="00EC4275"/>
    <w:rsid w:val="00EC43B9"/>
    <w:rsid w:val="00EC65D9"/>
    <w:rsid w:val="00EC67A5"/>
    <w:rsid w:val="00EC7009"/>
    <w:rsid w:val="00ED1FE7"/>
    <w:rsid w:val="00ED2355"/>
    <w:rsid w:val="00ED29F7"/>
    <w:rsid w:val="00ED4D69"/>
    <w:rsid w:val="00ED586C"/>
    <w:rsid w:val="00EE008D"/>
    <w:rsid w:val="00EE1567"/>
    <w:rsid w:val="00EE362F"/>
    <w:rsid w:val="00EE7D00"/>
    <w:rsid w:val="00EF0E19"/>
    <w:rsid w:val="00EF288E"/>
    <w:rsid w:val="00EF714B"/>
    <w:rsid w:val="00EF7766"/>
    <w:rsid w:val="00F010D0"/>
    <w:rsid w:val="00F05CE3"/>
    <w:rsid w:val="00F100EF"/>
    <w:rsid w:val="00F10363"/>
    <w:rsid w:val="00F114AE"/>
    <w:rsid w:val="00F11DB4"/>
    <w:rsid w:val="00F12E6B"/>
    <w:rsid w:val="00F1393B"/>
    <w:rsid w:val="00F1450D"/>
    <w:rsid w:val="00F14CDD"/>
    <w:rsid w:val="00F1583A"/>
    <w:rsid w:val="00F162CB"/>
    <w:rsid w:val="00F169FB"/>
    <w:rsid w:val="00F16D00"/>
    <w:rsid w:val="00F16E12"/>
    <w:rsid w:val="00F224CE"/>
    <w:rsid w:val="00F22FA7"/>
    <w:rsid w:val="00F300B9"/>
    <w:rsid w:val="00F304B3"/>
    <w:rsid w:val="00F3121F"/>
    <w:rsid w:val="00F31850"/>
    <w:rsid w:val="00F32DCF"/>
    <w:rsid w:val="00F41A7D"/>
    <w:rsid w:val="00F428E4"/>
    <w:rsid w:val="00F43305"/>
    <w:rsid w:val="00F43CA0"/>
    <w:rsid w:val="00F43F8F"/>
    <w:rsid w:val="00F44A7B"/>
    <w:rsid w:val="00F45AC8"/>
    <w:rsid w:val="00F47D33"/>
    <w:rsid w:val="00F51315"/>
    <w:rsid w:val="00F5213F"/>
    <w:rsid w:val="00F53613"/>
    <w:rsid w:val="00F53D67"/>
    <w:rsid w:val="00F55030"/>
    <w:rsid w:val="00F615EF"/>
    <w:rsid w:val="00F67638"/>
    <w:rsid w:val="00F67AE6"/>
    <w:rsid w:val="00F70206"/>
    <w:rsid w:val="00F713B8"/>
    <w:rsid w:val="00F73CB5"/>
    <w:rsid w:val="00F74A76"/>
    <w:rsid w:val="00F7696F"/>
    <w:rsid w:val="00F7759C"/>
    <w:rsid w:val="00F80969"/>
    <w:rsid w:val="00F8209B"/>
    <w:rsid w:val="00F82D42"/>
    <w:rsid w:val="00F868AE"/>
    <w:rsid w:val="00F91188"/>
    <w:rsid w:val="00F93A46"/>
    <w:rsid w:val="00F96078"/>
    <w:rsid w:val="00F97CD9"/>
    <w:rsid w:val="00FA0576"/>
    <w:rsid w:val="00FA7379"/>
    <w:rsid w:val="00FA7796"/>
    <w:rsid w:val="00FB05BD"/>
    <w:rsid w:val="00FB067D"/>
    <w:rsid w:val="00FB158B"/>
    <w:rsid w:val="00FB454A"/>
    <w:rsid w:val="00FB50B4"/>
    <w:rsid w:val="00FB649B"/>
    <w:rsid w:val="00FC1473"/>
    <w:rsid w:val="00FC40A0"/>
    <w:rsid w:val="00FC6814"/>
    <w:rsid w:val="00FC6FA7"/>
    <w:rsid w:val="00FC76A5"/>
    <w:rsid w:val="00FD0088"/>
    <w:rsid w:val="00FD1F8A"/>
    <w:rsid w:val="00FD2F9B"/>
    <w:rsid w:val="00FD3BD7"/>
    <w:rsid w:val="00FD4B97"/>
    <w:rsid w:val="00FD4C8D"/>
    <w:rsid w:val="00FD5071"/>
    <w:rsid w:val="00FE28FD"/>
    <w:rsid w:val="00FE3CCD"/>
    <w:rsid w:val="00FE413B"/>
    <w:rsid w:val="00FE55EB"/>
    <w:rsid w:val="00FE72F1"/>
    <w:rsid w:val="00FF0F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semiHidden="0" w:uiPriority="10" w:unhideWhenUsed="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uiPriority="39" w:qFormat="1"/>
  </w:latentStyles>
  <w:style w:type="paragraph" w:default="1" w:styleId="Normal">
    <w:name w:val="Normal"/>
    <w:semiHidden/>
    <w:qFormat/>
    <w:rsid w:val="00F97CD9"/>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285C6C"/>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character" w:styleId="IntenseEmphasis">
    <w:name w:val="Intense Emphasis"/>
    <w:basedOn w:val="DefaultParagraphFont"/>
    <w:uiPriority w:val="21"/>
    <w:qFormat/>
    <w:rsid w:val="00100D94"/>
    <w:rPr>
      <w:b/>
      <w:bCs/>
      <w:i/>
      <w:iCs/>
      <w:color w:val="4F81BD" w:themeColor="accent1"/>
    </w:rPr>
  </w:style>
  <w:style w:type="paragraph" w:styleId="Revision">
    <w:name w:val="Revision"/>
    <w:hidden/>
    <w:uiPriority w:val="99"/>
    <w:semiHidden/>
    <w:rsid w:val="009354B6"/>
    <w:rPr>
      <w:lang w:eastAsia="en-US"/>
    </w:rPr>
  </w:style>
  <w:style w:type="paragraph" w:styleId="ListNumber2">
    <w:name w:val="List Number 2"/>
    <w:basedOn w:val="Normal"/>
    <w:uiPriority w:val="99"/>
    <w:semiHidden/>
    <w:unhideWhenUsed/>
    <w:locked/>
    <w:rsid w:val="00954D0D"/>
    <w:pPr>
      <w:numPr>
        <w:numId w:val="47"/>
      </w:numPr>
      <w:contextualSpacing/>
    </w:pPr>
  </w:style>
  <w:style w:type="paragraph" w:styleId="ListBullet4">
    <w:name w:val="List Bullet 4"/>
    <w:basedOn w:val="Normal"/>
    <w:uiPriority w:val="99"/>
    <w:semiHidden/>
    <w:unhideWhenUsed/>
    <w:locked/>
    <w:rsid w:val="00C3431B"/>
    <w:pPr>
      <w:tabs>
        <w:tab w:val="num" w:pos="0"/>
      </w:tabs>
      <w:contextualSpacing/>
    </w:pPr>
  </w:style>
  <w:style w:type="character" w:styleId="FollowedHyperlink">
    <w:name w:val="FollowedHyperlink"/>
    <w:basedOn w:val="DefaultParagraphFont"/>
    <w:uiPriority w:val="99"/>
    <w:semiHidden/>
    <w:unhideWhenUsed/>
    <w:rsid w:val="00AC06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66793">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453287704">
      <w:bodyDiv w:val="1"/>
      <w:marLeft w:val="0"/>
      <w:marRight w:val="0"/>
      <w:marTop w:val="0"/>
      <w:marBottom w:val="0"/>
      <w:divBdr>
        <w:top w:val="none" w:sz="0" w:space="0" w:color="auto"/>
        <w:left w:val="none" w:sz="0" w:space="0" w:color="auto"/>
        <w:bottom w:val="none" w:sz="0" w:space="0" w:color="auto"/>
        <w:right w:val="none" w:sz="0" w:space="0" w:color="auto"/>
      </w:divBdr>
    </w:div>
    <w:div w:id="1574972116">
      <w:bodyDiv w:val="1"/>
      <w:marLeft w:val="0"/>
      <w:marRight w:val="0"/>
      <w:marTop w:val="0"/>
      <w:marBottom w:val="0"/>
      <w:divBdr>
        <w:top w:val="none" w:sz="0" w:space="0" w:color="auto"/>
        <w:left w:val="none" w:sz="0" w:space="0" w:color="auto"/>
        <w:bottom w:val="none" w:sz="0" w:space="0" w:color="auto"/>
        <w:right w:val="none" w:sz="0" w:space="0" w:color="auto"/>
      </w:divBdr>
    </w:div>
    <w:div w:id="1789936131">
      <w:bodyDiv w:val="1"/>
      <w:marLeft w:val="0"/>
      <w:marRight w:val="0"/>
      <w:marTop w:val="0"/>
      <w:marBottom w:val="0"/>
      <w:divBdr>
        <w:top w:val="none" w:sz="0" w:space="0" w:color="auto"/>
        <w:left w:val="none" w:sz="0" w:space="0" w:color="auto"/>
        <w:bottom w:val="none" w:sz="0" w:space="0" w:color="auto"/>
        <w:right w:val="none" w:sz="0" w:space="0" w:color="auto"/>
      </w:divBdr>
    </w:div>
    <w:div w:id="214233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eader" Target="header1.xm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image" Target="media/image14.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hyperlink" Target="mailto:publishing.unit@accc.gov.au" TargetMode="External"/><Relationship Id="rId19" Type="http://schemas.openxmlformats.org/officeDocument/2006/relationships/image" Target="media/image9.emf"/><Relationship Id="rId31" Type="http://schemas.openxmlformats.org/officeDocument/2006/relationships/footer" Target="footer3.xml"/><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node/483" TargetMode="External"/><Relationship Id="rId1" Type="http://schemas.openxmlformats.org/officeDocument/2006/relationships/hyperlink" Target="https://www.aer.gov.au/node/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2FF16-7D8A-42C9-ACEE-36AADB4E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75D982BF.dotm</Template>
  <TotalTime>0</TotalTime>
  <Pages>49</Pages>
  <Words>8940</Words>
  <Characters>50963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59784</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2014-11-25T00:35:00Z</dcterms:created>
  <dcterms:modified xsi:type="dcterms:W3CDTF">2014-11-25T23:58:00Z</dcterms:modified>
</cp:coreProperties>
</file>