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8D3D20"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AA0ACD" w:rsidRDefault="00F4578A" w:rsidP="00780239">
                  <w:pPr>
                    <w:pStyle w:val="Title"/>
                    <w:jc w:val="left"/>
                    <w:rPr>
                      <w:i/>
                    </w:rPr>
                  </w:pPr>
                  <w:r w:rsidRPr="00B308D8">
                    <w:t>11</w:t>
                  </w:r>
                  <w:r w:rsidR="009340BA" w:rsidRPr="00AA0ACD">
                    <w:t xml:space="preserve"> to </w:t>
                  </w:r>
                  <w:r w:rsidR="002A3C6B" w:rsidRPr="00AA0ACD">
                    <w:t>1</w:t>
                  </w:r>
                  <w:r w:rsidRPr="00B308D8">
                    <w:t>7</w:t>
                  </w:r>
                  <w:r w:rsidR="009340BA" w:rsidRPr="00AA0ACD">
                    <w:t xml:space="preserve"> </w:t>
                  </w:r>
                  <w:r w:rsidR="002A3C6B" w:rsidRPr="00AA0ACD">
                    <w:t>May</w:t>
                  </w:r>
                  <w:r w:rsidR="00EC411D" w:rsidRPr="00AA0ACD">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9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B308D8" w:rsidRDefault="0078358A" w:rsidP="0078358A">
      <w:pPr>
        <w:rPr>
          <w:color w:val="FF0000"/>
        </w:rPr>
      </w:pPr>
      <w:r>
        <w:t xml:space="preserve">Figure 1 shows the spot prices that occurred in each region during the week </w:t>
      </w:r>
      <w:r w:rsidR="00F4578A" w:rsidRPr="00B308D8">
        <w:t>11</w:t>
      </w:r>
      <w:r w:rsidR="00BB0611" w:rsidRPr="00AA0ACD">
        <w:t xml:space="preserve"> </w:t>
      </w:r>
      <w:r w:rsidR="00780239" w:rsidRPr="00AA0ACD">
        <w:t xml:space="preserve">to </w:t>
      </w:r>
      <w:r w:rsidR="006A44D7" w:rsidRPr="00AA0ACD">
        <w:t>1</w:t>
      </w:r>
      <w:r w:rsidR="00F4578A" w:rsidRPr="00B308D8">
        <w:t>7</w:t>
      </w:r>
      <w:r w:rsidR="00BB0611" w:rsidRPr="00AA0ACD">
        <w:t xml:space="preserve"> </w:t>
      </w:r>
      <w:r w:rsidR="006A44D7" w:rsidRPr="00AA0ACD">
        <w:t>May</w:t>
      </w:r>
      <w:r w:rsidRPr="00AA0ACD">
        <w:t xml:space="preserve"> 2014</w:t>
      </w:r>
      <w:r>
        <w:t>.</w:t>
      </w:r>
      <w:r w:rsidR="00827053" w:rsidRPr="00827053">
        <w:t xml:space="preserve"> </w:t>
      </w:r>
    </w:p>
    <w:p w:rsidR="0078358A" w:rsidRPr="00AA0ACD" w:rsidRDefault="0078358A" w:rsidP="0078358A">
      <w:pPr>
        <w:pStyle w:val="Figureheading"/>
        <w:numPr>
          <w:ilvl w:val="0"/>
          <w:numId w:val="0"/>
        </w:numPr>
        <w:spacing w:after="0"/>
        <w:ind w:left="357" w:hanging="357"/>
      </w:pPr>
      <w:r w:rsidRPr="00AA0ACD">
        <w:t xml:space="preserve">Figure 1: Spot price by region ($/MWh) </w:t>
      </w:r>
    </w:p>
    <w:p w:rsidR="00786E64" w:rsidRDefault="00F4578A" w:rsidP="00F50D3A">
      <w:pPr>
        <w:pStyle w:val="AERbodytext"/>
      </w:pPr>
      <w:bookmarkStart w:id="6" w:name="OLE_LINK28"/>
      <w:bookmarkStart w:id="7" w:name="OLE_LINK29"/>
      <w:r w:rsidRPr="00F4578A">
        <w:t xml:space="preserve"> </w:t>
      </w:r>
      <w:r w:rsidR="008D3D20">
        <w:pict>
          <v:shape id="_x0000_i1026" type="#_x0000_t75" alt="Figure 1 shows the spot prices for this week in each region. The markers indicate the daily maximum and minimum spot prices in each region." style="width:450.75pt;height:226.5pt;mso-position-vertical:absolute">
            <v:imagedata r:id="rId10"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AA0ACD" w:rsidRDefault="00687B08">
      <w:pPr>
        <w:pStyle w:val="Figureheading"/>
        <w:numPr>
          <w:ilvl w:val="0"/>
          <w:numId w:val="0"/>
        </w:numPr>
        <w:spacing w:after="0"/>
        <w:ind w:left="357" w:hanging="357"/>
      </w:pPr>
      <w:bookmarkStart w:id="8" w:name="_Ref307219594"/>
      <w:r w:rsidRPr="00AA0ACD">
        <w:lastRenderedPageBreak/>
        <w:t xml:space="preserve">Figure </w:t>
      </w:r>
      <w:bookmarkEnd w:id="8"/>
      <w:r w:rsidR="00786E64" w:rsidRPr="00AA0ACD">
        <w:t>2</w:t>
      </w:r>
      <w:r w:rsidRPr="00AA0ACD">
        <w:t xml:space="preserve">: </w:t>
      </w:r>
      <w:r w:rsidR="00656C5F" w:rsidRPr="00AA0ACD">
        <w:t>Volume weighted average spot price by region ($/MWh)</w:t>
      </w:r>
    </w:p>
    <w:p w:rsidR="00785F23" w:rsidRPr="002D23B9" w:rsidRDefault="00F4578A" w:rsidP="00785F23">
      <w:pPr>
        <w:pStyle w:val="AERbodytext"/>
      </w:pPr>
      <w:r w:rsidRPr="00F4578A">
        <w:t xml:space="preserve"> </w:t>
      </w:r>
      <w:r w:rsidR="00767C38">
        <w:pict>
          <v:shape id="_x0000_i1027" type="#_x0000_t75" alt="Figure 2 shows the volume weighted average (VWA) prices for this week (with prices shown in Table 1) and the preceding 12 weeks, as well as the VWA price over the previous 3 financial years.    &#10;" style="width:451.5pt;height:226.5pt">
            <v:imagedata r:id="rId11" o:title=""/>
          </v:shape>
        </w:pict>
      </w:r>
    </w:p>
    <w:p w:rsidR="00965EA9" w:rsidRPr="00AA0ACD" w:rsidRDefault="00965EA9" w:rsidP="00965EA9">
      <w:pPr>
        <w:pStyle w:val="AERtabletitle"/>
      </w:pPr>
      <w:r w:rsidRPr="00AA0ACD">
        <w:t xml:space="preserve">Table 1: </w:t>
      </w:r>
      <w:r w:rsidR="008B0A6A" w:rsidRPr="00AA0ACD">
        <w:t xml:space="preserve">Volume weighted </w:t>
      </w:r>
      <w:r w:rsidRPr="00AA0ACD">
        <w:t>average spot price</w:t>
      </w:r>
      <w:r w:rsidR="00525D52" w:rsidRPr="00AA0ACD">
        <w:t>s</w:t>
      </w:r>
      <w:r w:rsidRPr="00AA0ACD">
        <w:t xml:space="preserve"> by region</w:t>
      </w:r>
      <w:r w:rsidR="008B0A6A" w:rsidRPr="00AA0ACD">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proofErr w:type="spellStart"/>
            <w:r w:rsidRPr="009340BA">
              <w:rPr>
                <w:rFonts w:cs="Gautami"/>
                <w:b/>
                <w:bCs/>
                <w:color w:val="FFFFFF"/>
                <w:sz w:val="18"/>
                <w:szCs w:val="18"/>
              </w:rPr>
              <w:t>Tas</w:t>
            </w:r>
            <w:proofErr w:type="spellEnd"/>
          </w:p>
        </w:tc>
      </w:tr>
      <w:tr w:rsidR="00F4578A" w:rsidRPr="009340BA" w:rsidTr="00B308D8">
        <w:trPr>
          <w:trHeight w:hRule="exact" w:val="340"/>
        </w:trPr>
        <w:tc>
          <w:tcPr>
            <w:tcW w:w="1357" w:type="pct"/>
            <w:tcBorders>
              <w:top w:val="nil"/>
              <w:left w:val="nil"/>
              <w:bottom w:val="nil"/>
              <w:right w:val="nil"/>
            </w:tcBorders>
            <w:shd w:val="clear" w:color="000000" w:fill="DDD9C3"/>
            <w:noWrap/>
            <w:vAlign w:val="center"/>
            <w:hideMark/>
          </w:tcPr>
          <w:p w:rsidR="00F4578A" w:rsidRPr="009340BA" w:rsidRDefault="00F4578A"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hideMark/>
          </w:tcPr>
          <w:p w:rsidR="00F4578A" w:rsidRDefault="00F4578A">
            <w:pPr>
              <w:jc w:val="center"/>
              <w:rPr>
                <w:rFonts w:cs="Gautami"/>
                <w:sz w:val="16"/>
                <w:szCs w:val="16"/>
              </w:rPr>
            </w:pPr>
            <w:r w:rsidRPr="00CB133B">
              <w:t>49</w:t>
            </w:r>
          </w:p>
        </w:tc>
        <w:tc>
          <w:tcPr>
            <w:tcW w:w="781" w:type="pct"/>
            <w:tcBorders>
              <w:top w:val="nil"/>
              <w:left w:val="nil"/>
              <w:bottom w:val="nil"/>
              <w:right w:val="nil"/>
            </w:tcBorders>
            <w:shd w:val="clear" w:color="000000" w:fill="DDD9C3"/>
            <w:noWrap/>
            <w:hideMark/>
          </w:tcPr>
          <w:p w:rsidR="00F4578A" w:rsidRDefault="00F4578A">
            <w:pPr>
              <w:jc w:val="center"/>
              <w:rPr>
                <w:rFonts w:cs="Gautami"/>
                <w:sz w:val="16"/>
                <w:szCs w:val="16"/>
              </w:rPr>
            </w:pPr>
            <w:r w:rsidRPr="00CB133B">
              <w:t>50</w:t>
            </w:r>
          </w:p>
        </w:tc>
        <w:tc>
          <w:tcPr>
            <w:tcW w:w="781" w:type="pct"/>
            <w:tcBorders>
              <w:top w:val="nil"/>
              <w:left w:val="nil"/>
              <w:bottom w:val="nil"/>
              <w:right w:val="nil"/>
            </w:tcBorders>
            <w:shd w:val="clear" w:color="000000" w:fill="DDD9C3"/>
            <w:noWrap/>
            <w:hideMark/>
          </w:tcPr>
          <w:p w:rsidR="00F4578A" w:rsidRDefault="00F4578A">
            <w:pPr>
              <w:jc w:val="center"/>
              <w:rPr>
                <w:rFonts w:cs="Gautami"/>
                <w:sz w:val="16"/>
                <w:szCs w:val="16"/>
              </w:rPr>
            </w:pPr>
            <w:r w:rsidRPr="00CB133B">
              <w:t>52</w:t>
            </w:r>
          </w:p>
        </w:tc>
        <w:tc>
          <w:tcPr>
            <w:tcW w:w="781" w:type="pct"/>
            <w:tcBorders>
              <w:top w:val="nil"/>
              <w:left w:val="nil"/>
              <w:bottom w:val="nil"/>
              <w:right w:val="nil"/>
            </w:tcBorders>
            <w:shd w:val="clear" w:color="000000" w:fill="DDD9C3"/>
            <w:noWrap/>
            <w:hideMark/>
          </w:tcPr>
          <w:p w:rsidR="00F4578A" w:rsidRDefault="00F4578A">
            <w:pPr>
              <w:jc w:val="center"/>
              <w:rPr>
                <w:rFonts w:cs="Gautami"/>
                <w:sz w:val="16"/>
                <w:szCs w:val="16"/>
              </w:rPr>
            </w:pPr>
            <w:r w:rsidRPr="00CB133B">
              <w:t>54</w:t>
            </w:r>
          </w:p>
        </w:tc>
        <w:tc>
          <w:tcPr>
            <w:tcW w:w="781" w:type="pct"/>
            <w:tcBorders>
              <w:top w:val="nil"/>
              <w:left w:val="nil"/>
              <w:bottom w:val="nil"/>
              <w:right w:val="nil"/>
            </w:tcBorders>
            <w:shd w:val="clear" w:color="000000" w:fill="DDD9C3"/>
            <w:noWrap/>
            <w:hideMark/>
          </w:tcPr>
          <w:p w:rsidR="00F4578A" w:rsidRDefault="00F4578A">
            <w:pPr>
              <w:jc w:val="center"/>
              <w:rPr>
                <w:rFonts w:cs="Gautami"/>
                <w:sz w:val="16"/>
                <w:szCs w:val="16"/>
              </w:rPr>
            </w:pPr>
            <w:r w:rsidRPr="00CB133B">
              <w:t>40</w:t>
            </w:r>
          </w:p>
        </w:tc>
      </w:tr>
      <w:tr w:rsidR="00F4578A" w:rsidRPr="009340BA" w:rsidTr="00B308D8">
        <w:trPr>
          <w:trHeight w:hRule="exact" w:val="340"/>
        </w:trPr>
        <w:tc>
          <w:tcPr>
            <w:tcW w:w="1357" w:type="pct"/>
            <w:tcBorders>
              <w:top w:val="nil"/>
              <w:left w:val="nil"/>
              <w:bottom w:val="nil"/>
              <w:right w:val="nil"/>
            </w:tcBorders>
            <w:shd w:val="clear" w:color="000000" w:fill="EEECE1"/>
            <w:noWrap/>
            <w:vAlign w:val="center"/>
            <w:hideMark/>
          </w:tcPr>
          <w:p w:rsidR="00F4578A" w:rsidRPr="009340BA" w:rsidRDefault="00F4578A" w:rsidP="00BF0E20">
            <w:pPr>
              <w:spacing w:line="240" w:lineRule="auto"/>
              <w:jc w:val="left"/>
              <w:rPr>
                <w:rFonts w:cs="Gautami"/>
                <w:b/>
                <w:bCs/>
                <w:sz w:val="16"/>
                <w:szCs w:val="16"/>
              </w:rPr>
            </w:pPr>
            <w:r w:rsidRPr="009340BA">
              <w:rPr>
                <w:rFonts w:cs="Gautami"/>
                <w:b/>
                <w:bCs/>
                <w:sz w:val="16"/>
                <w:szCs w:val="16"/>
              </w:rPr>
              <w:t>12-13 financial YTD</w:t>
            </w:r>
          </w:p>
        </w:tc>
        <w:tc>
          <w:tcPr>
            <w:tcW w:w="518" w:type="pct"/>
            <w:tcBorders>
              <w:top w:val="nil"/>
              <w:left w:val="nil"/>
              <w:bottom w:val="nil"/>
              <w:right w:val="nil"/>
            </w:tcBorders>
            <w:shd w:val="clear" w:color="000000" w:fill="EEECE1"/>
            <w:noWrap/>
            <w:hideMark/>
          </w:tcPr>
          <w:p w:rsidR="00F4578A" w:rsidRDefault="00F4578A">
            <w:pPr>
              <w:jc w:val="center"/>
              <w:rPr>
                <w:rFonts w:cs="Gautami"/>
                <w:sz w:val="16"/>
                <w:szCs w:val="16"/>
              </w:rPr>
            </w:pPr>
            <w:r w:rsidRPr="00CB133B">
              <w:t>70</w:t>
            </w:r>
          </w:p>
        </w:tc>
        <w:tc>
          <w:tcPr>
            <w:tcW w:w="781" w:type="pct"/>
            <w:tcBorders>
              <w:top w:val="nil"/>
              <w:left w:val="nil"/>
              <w:bottom w:val="nil"/>
              <w:right w:val="nil"/>
            </w:tcBorders>
            <w:shd w:val="clear" w:color="000000" w:fill="EEECE1"/>
            <w:noWrap/>
            <w:hideMark/>
          </w:tcPr>
          <w:p w:rsidR="00F4578A" w:rsidRDefault="00F4578A">
            <w:pPr>
              <w:jc w:val="center"/>
              <w:rPr>
                <w:rFonts w:cs="Gautami"/>
                <w:sz w:val="16"/>
                <w:szCs w:val="16"/>
              </w:rPr>
            </w:pPr>
            <w:r w:rsidRPr="00CB133B">
              <w:t>56</w:t>
            </w:r>
          </w:p>
        </w:tc>
        <w:tc>
          <w:tcPr>
            <w:tcW w:w="781" w:type="pct"/>
            <w:tcBorders>
              <w:top w:val="nil"/>
              <w:left w:val="nil"/>
              <w:bottom w:val="nil"/>
              <w:right w:val="nil"/>
            </w:tcBorders>
            <w:shd w:val="clear" w:color="000000" w:fill="EEECE1"/>
            <w:noWrap/>
            <w:hideMark/>
          </w:tcPr>
          <w:p w:rsidR="00F4578A" w:rsidRDefault="00F4578A">
            <w:pPr>
              <w:jc w:val="center"/>
              <w:rPr>
                <w:rFonts w:cs="Gautami"/>
                <w:sz w:val="16"/>
                <w:szCs w:val="16"/>
              </w:rPr>
            </w:pPr>
            <w:r w:rsidRPr="00CB133B">
              <w:t>61</w:t>
            </w:r>
          </w:p>
        </w:tc>
        <w:tc>
          <w:tcPr>
            <w:tcW w:w="781" w:type="pct"/>
            <w:tcBorders>
              <w:top w:val="nil"/>
              <w:left w:val="nil"/>
              <w:bottom w:val="nil"/>
              <w:right w:val="nil"/>
            </w:tcBorders>
            <w:shd w:val="clear" w:color="000000" w:fill="EEECE1"/>
            <w:noWrap/>
            <w:hideMark/>
          </w:tcPr>
          <w:p w:rsidR="00F4578A" w:rsidRDefault="00F4578A">
            <w:pPr>
              <w:jc w:val="center"/>
              <w:rPr>
                <w:rFonts w:cs="Gautami"/>
                <w:sz w:val="16"/>
                <w:szCs w:val="16"/>
              </w:rPr>
            </w:pPr>
            <w:r w:rsidRPr="00CB133B">
              <w:t>73</w:t>
            </w:r>
          </w:p>
        </w:tc>
        <w:tc>
          <w:tcPr>
            <w:tcW w:w="781" w:type="pct"/>
            <w:tcBorders>
              <w:top w:val="nil"/>
              <w:left w:val="nil"/>
              <w:bottom w:val="nil"/>
              <w:right w:val="nil"/>
            </w:tcBorders>
            <w:shd w:val="clear" w:color="000000" w:fill="EEECE1"/>
            <w:noWrap/>
            <w:hideMark/>
          </w:tcPr>
          <w:p w:rsidR="00F4578A" w:rsidRDefault="00F4578A">
            <w:pPr>
              <w:jc w:val="center"/>
              <w:rPr>
                <w:rFonts w:cs="Gautami"/>
                <w:sz w:val="16"/>
                <w:szCs w:val="16"/>
              </w:rPr>
            </w:pPr>
            <w:r w:rsidRPr="00CB133B">
              <w:t>49</w:t>
            </w:r>
          </w:p>
        </w:tc>
      </w:tr>
      <w:tr w:rsidR="00F4578A" w:rsidRPr="009340BA" w:rsidTr="00B308D8">
        <w:trPr>
          <w:trHeight w:hRule="exact" w:val="340"/>
        </w:trPr>
        <w:tc>
          <w:tcPr>
            <w:tcW w:w="1357" w:type="pct"/>
            <w:tcBorders>
              <w:top w:val="nil"/>
              <w:left w:val="nil"/>
              <w:bottom w:val="single" w:sz="8" w:space="0" w:color="auto"/>
              <w:right w:val="nil"/>
            </w:tcBorders>
            <w:shd w:val="clear" w:color="000000" w:fill="DDD9C3"/>
            <w:noWrap/>
            <w:vAlign w:val="center"/>
            <w:hideMark/>
          </w:tcPr>
          <w:p w:rsidR="00F4578A" w:rsidRPr="009340BA" w:rsidRDefault="00F4578A" w:rsidP="00BF0E20">
            <w:pPr>
              <w:spacing w:line="240" w:lineRule="auto"/>
              <w:jc w:val="left"/>
              <w:rPr>
                <w:rFonts w:cs="Gautami"/>
                <w:b/>
                <w:bCs/>
                <w:sz w:val="16"/>
                <w:szCs w:val="16"/>
              </w:rPr>
            </w:pPr>
            <w:r w:rsidRPr="009340BA">
              <w:rPr>
                <w:rFonts w:cs="Gautami"/>
                <w:b/>
                <w:bCs/>
                <w:sz w:val="16"/>
                <w:szCs w:val="16"/>
              </w:rPr>
              <w:t>13-14 financial YTD</w:t>
            </w:r>
          </w:p>
        </w:tc>
        <w:tc>
          <w:tcPr>
            <w:tcW w:w="518" w:type="pct"/>
            <w:tcBorders>
              <w:top w:val="nil"/>
              <w:left w:val="nil"/>
              <w:bottom w:val="single" w:sz="8" w:space="0" w:color="auto"/>
              <w:right w:val="nil"/>
            </w:tcBorders>
            <w:shd w:val="clear" w:color="000000" w:fill="DDD9C3"/>
            <w:noWrap/>
            <w:hideMark/>
          </w:tcPr>
          <w:p w:rsidR="00F4578A" w:rsidRDefault="00F4578A">
            <w:pPr>
              <w:jc w:val="center"/>
              <w:rPr>
                <w:rFonts w:cs="Gautami"/>
                <w:sz w:val="16"/>
                <w:szCs w:val="16"/>
              </w:rPr>
            </w:pPr>
            <w:r w:rsidRPr="00CB133B">
              <w:t>62</w:t>
            </w:r>
          </w:p>
        </w:tc>
        <w:tc>
          <w:tcPr>
            <w:tcW w:w="781" w:type="pct"/>
            <w:tcBorders>
              <w:top w:val="nil"/>
              <w:left w:val="nil"/>
              <w:bottom w:val="single" w:sz="8" w:space="0" w:color="auto"/>
              <w:right w:val="nil"/>
            </w:tcBorders>
            <w:shd w:val="clear" w:color="000000" w:fill="DDD9C3"/>
            <w:noWrap/>
            <w:hideMark/>
          </w:tcPr>
          <w:p w:rsidR="00F4578A" w:rsidRDefault="00F4578A">
            <w:pPr>
              <w:jc w:val="center"/>
              <w:rPr>
                <w:rFonts w:cs="Gautami"/>
                <w:sz w:val="16"/>
                <w:szCs w:val="16"/>
              </w:rPr>
            </w:pPr>
            <w:r w:rsidRPr="00CB133B">
              <w:t>54</w:t>
            </w:r>
          </w:p>
        </w:tc>
        <w:tc>
          <w:tcPr>
            <w:tcW w:w="781" w:type="pct"/>
            <w:tcBorders>
              <w:top w:val="nil"/>
              <w:left w:val="nil"/>
              <w:bottom w:val="single" w:sz="8" w:space="0" w:color="auto"/>
              <w:right w:val="nil"/>
            </w:tcBorders>
            <w:shd w:val="clear" w:color="000000" w:fill="DDD9C3"/>
            <w:noWrap/>
            <w:hideMark/>
          </w:tcPr>
          <w:p w:rsidR="00F4578A" w:rsidRDefault="00F4578A">
            <w:pPr>
              <w:jc w:val="center"/>
              <w:rPr>
                <w:rFonts w:cs="Gautami"/>
                <w:sz w:val="16"/>
                <w:szCs w:val="16"/>
              </w:rPr>
            </w:pPr>
            <w:r w:rsidRPr="00CB133B">
              <w:t>55</w:t>
            </w:r>
          </w:p>
        </w:tc>
        <w:tc>
          <w:tcPr>
            <w:tcW w:w="781" w:type="pct"/>
            <w:tcBorders>
              <w:top w:val="nil"/>
              <w:left w:val="nil"/>
              <w:bottom w:val="single" w:sz="8" w:space="0" w:color="auto"/>
              <w:right w:val="nil"/>
            </w:tcBorders>
            <w:shd w:val="clear" w:color="000000" w:fill="DDD9C3"/>
            <w:noWrap/>
            <w:hideMark/>
          </w:tcPr>
          <w:p w:rsidR="00F4578A" w:rsidRDefault="00F4578A">
            <w:pPr>
              <w:jc w:val="center"/>
              <w:rPr>
                <w:rFonts w:cs="Gautami"/>
                <w:sz w:val="16"/>
                <w:szCs w:val="16"/>
              </w:rPr>
            </w:pPr>
            <w:r w:rsidRPr="00CB133B">
              <w:t>70</w:t>
            </w:r>
          </w:p>
        </w:tc>
        <w:tc>
          <w:tcPr>
            <w:tcW w:w="781" w:type="pct"/>
            <w:tcBorders>
              <w:top w:val="nil"/>
              <w:left w:val="nil"/>
              <w:bottom w:val="single" w:sz="8" w:space="0" w:color="auto"/>
              <w:right w:val="nil"/>
            </w:tcBorders>
            <w:shd w:val="clear" w:color="000000" w:fill="DDD9C3"/>
            <w:noWrap/>
            <w:hideMark/>
          </w:tcPr>
          <w:p w:rsidR="00F4578A" w:rsidRDefault="00F4578A">
            <w:pPr>
              <w:jc w:val="center"/>
              <w:rPr>
                <w:rFonts w:cs="Gautami"/>
                <w:sz w:val="16"/>
                <w:szCs w:val="16"/>
              </w:rPr>
            </w:pPr>
            <w:r w:rsidRPr="00CB133B">
              <w:t>42</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2" w:history="1">
        <w:r w:rsidR="000F1E82" w:rsidRPr="002D23B9">
          <w:rPr>
            <w:rStyle w:val="Hyperlink"/>
            <w:color w:val="auto"/>
          </w:rPr>
          <w:t>AER website</w:t>
        </w:r>
      </w:hyperlink>
      <w:r w:rsidRPr="002D23B9">
        <w:t xml:space="preserve">. </w:t>
      </w:r>
    </w:p>
    <w:bookmarkEnd w:id="6"/>
    <w:bookmarkEnd w:id="7"/>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9340BA" w:rsidP="009340BA">
      <w:pPr>
        <w:pStyle w:val="AERbodytext"/>
      </w:pPr>
      <w:r>
        <w:t xml:space="preserve">There were </w:t>
      </w:r>
      <w:r w:rsidR="00F4578A" w:rsidRPr="00B308D8">
        <w:t>37</w:t>
      </w:r>
      <w:r w:rsidR="00F4578A" w:rsidRPr="00AA0ACD">
        <w:t xml:space="preserve"> </w:t>
      </w:r>
      <w:r>
        <w:t xml:space="preserve">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601EB7" w:rsidP="00601EB7">
      <w:pPr>
        <w:pStyle w:val="AERbodytext"/>
      </w:pPr>
      <w:r>
        <w:br w:type="page"/>
      </w:r>
    </w:p>
    <w:p w:rsidR="00977DC4" w:rsidRPr="00AA0ACD" w:rsidRDefault="008D0835" w:rsidP="00977DC4">
      <w:pPr>
        <w:pStyle w:val="AERtabletitle"/>
      </w:pPr>
      <w:r w:rsidRPr="00AA0ACD">
        <w:t xml:space="preserve">Table </w:t>
      </w:r>
      <w:r w:rsidR="00965EA9" w:rsidRPr="00AA0ACD">
        <w:t>2</w:t>
      </w:r>
      <w:r w:rsidR="00792C39" w:rsidRPr="00AA0ACD">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F4578A" w:rsidRPr="009340BA" w:rsidTr="00B308D8">
        <w:trPr>
          <w:trHeight w:hRule="exact" w:val="369"/>
        </w:trPr>
        <w:tc>
          <w:tcPr>
            <w:tcW w:w="3636" w:type="dxa"/>
            <w:tcBorders>
              <w:top w:val="nil"/>
              <w:left w:val="nil"/>
              <w:bottom w:val="nil"/>
              <w:right w:val="nil"/>
            </w:tcBorders>
            <w:shd w:val="clear" w:color="000000" w:fill="DDD9C3"/>
            <w:noWrap/>
            <w:vAlign w:val="center"/>
            <w:hideMark/>
          </w:tcPr>
          <w:p w:rsidR="00F4578A" w:rsidRPr="009340BA" w:rsidRDefault="00F4578A" w:rsidP="009340BA">
            <w:pPr>
              <w:spacing w:line="240" w:lineRule="auto"/>
              <w:jc w:val="left"/>
              <w:rPr>
                <w:rFonts w:cs="Gautami"/>
                <w:b/>
                <w:bCs/>
                <w:sz w:val="16"/>
                <w:szCs w:val="16"/>
              </w:rPr>
            </w:pPr>
            <w:r w:rsidRPr="009340BA">
              <w:rPr>
                <w:rFonts w:cs="Gautami"/>
                <w:b/>
                <w:bCs/>
                <w:sz w:val="16"/>
                <w:szCs w:val="16"/>
              </w:rPr>
              <w:t>% of total above forecast</w:t>
            </w:r>
          </w:p>
        </w:tc>
        <w:tc>
          <w:tcPr>
            <w:tcW w:w="1428" w:type="dxa"/>
            <w:tcBorders>
              <w:top w:val="nil"/>
              <w:left w:val="nil"/>
              <w:bottom w:val="nil"/>
              <w:right w:val="nil"/>
            </w:tcBorders>
            <w:shd w:val="clear" w:color="000000" w:fill="DDD9C3"/>
            <w:noWrap/>
            <w:hideMark/>
          </w:tcPr>
          <w:p w:rsidR="00F4578A" w:rsidRDefault="00F4578A">
            <w:pPr>
              <w:jc w:val="center"/>
              <w:rPr>
                <w:rFonts w:cs="Gautami"/>
                <w:sz w:val="16"/>
                <w:szCs w:val="16"/>
              </w:rPr>
            </w:pPr>
            <w:r w:rsidRPr="00D933C5">
              <w:t>0</w:t>
            </w:r>
          </w:p>
        </w:tc>
        <w:tc>
          <w:tcPr>
            <w:tcW w:w="1436" w:type="dxa"/>
            <w:tcBorders>
              <w:top w:val="nil"/>
              <w:left w:val="nil"/>
              <w:bottom w:val="nil"/>
              <w:right w:val="nil"/>
            </w:tcBorders>
            <w:shd w:val="clear" w:color="000000" w:fill="DDD9C3"/>
            <w:noWrap/>
            <w:hideMark/>
          </w:tcPr>
          <w:p w:rsidR="00F4578A" w:rsidRDefault="00F4578A">
            <w:pPr>
              <w:jc w:val="center"/>
              <w:rPr>
                <w:rFonts w:cs="Gautami"/>
                <w:sz w:val="16"/>
                <w:szCs w:val="16"/>
              </w:rPr>
            </w:pPr>
            <w:r w:rsidRPr="00D933C5">
              <w:t>36</w:t>
            </w:r>
          </w:p>
        </w:tc>
        <w:tc>
          <w:tcPr>
            <w:tcW w:w="1297" w:type="dxa"/>
            <w:tcBorders>
              <w:top w:val="nil"/>
              <w:left w:val="nil"/>
              <w:bottom w:val="nil"/>
              <w:right w:val="nil"/>
            </w:tcBorders>
            <w:shd w:val="clear" w:color="000000" w:fill="DDD9C3"/>
            <w:noWrap/>
            <w:hideMark/>
          </w:tcPr>
          <w:p w:rsidR="00F4578A" w:rsidRDefault="00F4578A">
            <w:pPr>
              <w:jc w:val="center"/>
              <w:rPr>
                <w:rFonts w:cs="Gautami"/>
                <w:sz w:val="16"/>
                <w:szCs w:val="16"/>
              </w:rPr>
            </w:pPr>
            <w:r w:rsidRPr="00D933C5">
              <w:t>0</w:t>
            </w:r>
          </w:p>
        </w:tc>
        <w:tc>
          <w:tcPr>
            <w:tcW w:w="1503" w:type="dxa"/>
            <w:tcBorders>
              <w:top w:val="nil"/>
              <w:left w:val="nil"/>
              <w:bottom w:val="nil"/>
              <w:right w:val="nil"/>
            </w:tcBorders>
            <w:shd w:val="clear" w:color="000000" w:fill="DDD9C3"/>
            <w:hideMark/>
          </w:tcPr>
          <w:p w:rsidR="00F4578A" w:rsidRDefault="00F4578A">
            <w:pPr>
              <w:jc w:val="center"/>
              <w:rPr>
                <w:rFonts w:cs="Gautami"/>
                <w:sz w:val="16"/>
                <w:szCs w:val="16"/>
              </w:rPr>
            </w:pPr>
            <w:r w:rsidRPr="00D933C5">
              <w:t>0</w:t>
            </w:r>
          </w:p>
        </w:tc>
      </w:tr>
      <w:tr w:rsidR="00F4578A" w:rsidRPr="009340BA" w:rsidTr="00B308D8">
        <w:trPr>
          <w:trHeight w:hRule="exact" w:val="369"/>
        </w:trPr>
        <w:tc>
          <w:tcPr>
            <w:tcW w:w="3636" w:type="dxa"/>
            <w:tcBorders>
              <w:top w:val="nil"/>
              <w:left w:val="nil"/>
              <w:bottom w:val="single" w:sz="8" w:space="0" w:color="auto"/>
              <w:right w:val="nil"/>
            </w:tcBorders>
            <w:shd w:val="clear" w:color="000000" w:fill="EEECE1"/>
            <w:noWrap/>
            <w:vAlign w:val="center"/>
            <w:hideMark/>
          </w:tcPr>
          <w:p w:rsidR="00F4578A" w:rsidRPr="009340BA" w:rsidRDefault="00F4578A" w:rsidP="009340BA">
            <w:pPr>
              <w:spacing w:line="240" w:lineRule="auto"/>
              <w:jc w:val="left"/>
              <w:rPr>
                <w:rFonts w:cs="Gautami"/>
                <w:b/>
                <w:bCs/>
                <w:sz w:val="16"/>
                <w:szCs w:val="16"/>
              </w:rPr>
            </w:pPr>
            <w:r w:rsidRPr="009340BA">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hideMark/>
          </w:tcPr>
          <w:p w:rsidR="00F4578A" w:rsidRDefault="00F4578A">
            <w:pPr>
              <w:jc w:val="center"/>
              <w:rPr>
                <w:rFonts w:cs="Gautami"/>
                <w:sz w:val="16"/>
                <w:szCs w:val="16"/>
              </w:rPr>
            </w:pPr>
            <w:r w:rsidRPr="00D933C5">
              <w:t>62</w:t>
            </w:r>
          </w:p>
        </w:tc>
        <w:tc>
          <w:tcPr>
            <w:tcW w:w="1436" w:type="dxa"/>
            <w:tcBorders>
              <w:top w:val="nil"/>
              <w:left w:val="nil"/>
              <w:bottom w:val="single" w:sz="8" w:space="0" w:color="auto"/>
              <w:right w:val="nil"/>
            </w:tcBorders>
            <w:shd w:val="clear" w:color="000000" w:fill="EEECE1"/>
            <w:noWrap/>
            <w:hideMark/>
          </w:tcPr>
          <w:p w:rsidR="00F4578A" w:rsidRDefault="00F4578A">
            <w:pPr>
              <w:jc w:val="center"/>
              <w:rPr>
                <w:rFonts w:cs="Gautami"/>
                <w:sz w:val="16"/>
                <w:szCs w:val="16"/>
              </w:rPr>
            </w:pPr>
            <w:r w:rsidRPr="00D933C5">
              <w:t>1</w:t>
            </w:r>
          </w:p>
        </w:tc>
        <w:tc>
          <w:tcPr>
            <w:tcW w:w="1297" w:type="dxa"/>
            <w:tcBorders>
              <w:top w:val="nil"/>
              <w:left w:val="nil"/>
              <w:bottom w:val="single" w:sz="8" w:space="0" w:color="auto"/>
              <w:right w:val="nil"/>
            </w:tcBorders>
            <w:shd w:val="clear" w:color="000000" w:fill="EEECE1"/>
            <w:noWrap/>
            <w:hideMark/>
          </w:tcPr>
          <w:p w:rsidR="00F4578A" w:rsidRDefault="00F4578A">
            <w:pPr>
              <w:jc w:val="center"/>
              <w:rPr>
                <w:rFonts w:cs="Gautami"/>
                <w:sz w:val="16"/>
                <w:szCs w:val="16"/>
              </w:rPr>
            </w:pPr>
            <w:r w:rsidRPr="00D933C5">
              <w:t>0</w:t>
            </w:r>
          </w:p>
        </w:tc>
        <w:tc>
          <w:tcPr>
            <w:tcW w:w="1503" w:type="dxa"/>
            <w:tcBorders>
              <w:top w:val="nil"/>
              <w:left w:val="nil"/>
              <w:bottom w:val="single" w:sz="8" w:space="0" w:color="auto"/>
              <w:right w:val="nil"/>
            </w:tcBorders>
            <w:shd w:val="clear" w:color="000000" w:fill="EEECE1"/>
            <w:hideMark/>
          </w:tcPr>
          <w:p w:rsidR="00F4578A" w:rsidRDefault="00F4578A">
            <w:pPr>
              <w:jc w:val="center"/>
              <w:rPr>
                <w:rFonts w:cs="Gautami"/>
                <w:sz w:val="16"/>
                <w:szCs w:val="16"/>
              </w:rPr>
            </w:pPr>
            <w:r w:rsidRPr="00D933C5">
              <w:t>1</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65847" w:rsidRDefault="00F65847" w:rsidP="00977DC4">
      <w:pPr>
        <w:pStyle w:val="AERbodytext"/>
        <w:spacing w:before="120"/>
      </w:pPr>
      <w:r>
        <w:t xml:space="preserve">The red oval on Figure 3 highlights some day ahead offers by Stanwell where </w:t>
      </w:r>
      <w:r w:rsidR="002B1523">
        <w:t xml:space="preserve">capacity offered at prices above $12 000/MWh was </w:t>
      </w:r>
      <w:r>
        <w:t xml:space="preserve">offered at prices </w:t>
      </w:r>
      <w:r w:rsidR="002B1523">
        <w:t xml:space="preserve">close to the price floor </w:t>
      </w:r>
      <w:r>
        <w:t>at 5.30 AM, 5.30 PM and at 9.30 PM for an hour (</w:t>
      </w:r>
      <w:r w:rsidR="002B1523">
        <w:t xml:space="preserve">to a lesser extent </w:t>
      </w:r>
      <w:r>
        <w:t>CS Energy’s also a</w:t>
      </w:r>
      <w:r w:rsidR="002B1523">
        <w:t>djusted</w:t>
      </w:r>
      <w:r>
        <w:t xml:space="preserve"> their </w:t>
      </w:r>
      <w:r w:rsidR="002B1523">
        <w:t xml:space="preserve">offer </w:t>
      </w:r>
      <w:r>
        <w:t>in the morning</w:t>
      </w:r>
      <w:r w:rsidR="002B1523">
        <w:t>s in a similar manner</w:t>
      </w:r>
      <w:r>
        <w:t xml:space="preserve">).  </w:t>
      </w:r>
    </w:p>
    <w:p w:rsidR="00F4461C" w:rsidRPr="00AA0ACD" w:rsidRDefault="0078358A" w:rsidP="0064299A">
      <w:pPr>
        <w:pStyle w:val="Figureheading"/>
        <w:numPr>
          <w:ilvl w:val="0"/>
          <w:numId w:val="0"/>
        </w:numPr>
      </w:pPr>
      <w:r w:rsidRPr="00AA0ACD">
        <w:t>Figure 3</w:t>
      </w:r>
      <w:r w:rsidR="00F4461C" w:rsidRPr="00AA0ACD">
        <w:t>: Queensland generation and bidding patterns</w:t>
      </w:r>
    </w:p>
    <w:p w:rsidR="00F4461C" w:rsidRPr="002D23B9" w:rsidRDefault="008D3D20" w:rsidP="002652CD">
      <w:pPr>
        <w:pStyle w:val="AERbodytext"/>
      </w:pPr>
      <w:r>
        <w:rPr>
          <w:noProof/>
          <w:lang w:eastAsia="en-AU"/>
        </w:rPr>
        <w:pict>
          <v:oval id="_x0000_s1057" style="position:absolute;left:0;text-align:left;margin-left:151.25pt;margin-top:104.8pt;width:191.5pt;height:85.35pt;z-index:251663360" filled="f" strokecolor="red" strokeweight="1.5pt"/>
        </w:pict>
      </w:r>
      <w:r w:rsidR="00767C38">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0.75pt;height:324pt">
            <v:imagedata r:id="rId13" o:title=""/>
          </v:shape>
        </w:pict>
      </w:r>
    </w:p>
    <w:p w:rsidR="00F4461C" w:rsidRPr="00AA0ACD" w:rsidRDefault="00F4461C" w:rsidP="00F4461C">
      <w:pPr>
        <w:pStyle w:val="Figureheading"/>
        <w:numPr>
          <w:ilvl w:val="0"/>
          <w:numId w:val="0"/>
        </w:numPr>
        <w:ind w:left="357" w:hanging="357"/>
      </w:pPr>
      <w:r w:rsidRPr="00AA0ACD">
        <w:t xml:space="preserve">Figure </w:t>
      </w:r>
      <w:r w:rsidR="0078358A" w:rsidRPr="00AA0ACD">
        <w:t>4</w:t>
      </w:r>
      <w:r w:rsidRPr="00AA0ACD">
        <w:t>: New South Wales generation and bidding patterns</w:t>
      </w:r>
    </w:p>
    <w:p w:rsidR="002652CD" w:rsidRPr="002D23B9" w:rsidRDefault="00767C38" w:rsidP="002652CD">
      <w:pPr>
        <w:pStyle w:val="AERbodytext"/>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0.75pt;height:324.75pt">
            <v:imagedata r:id="rId14" o:title=""/>
          </v:shape>
        </w:pict>
      </w:r>
    </w:p>
    <w:p w:rsidR="00F4461C" w:rsidRPr="00AA0ACD" w:rsidRDefault="00F4461C" w:rsidP="00F4461C">
      <w:pPr>
        <w:pStyle w:val="Figureheading"/>
        <w:numPr>
          <w:ilvl w:val="0"/>
          <w:numId w:val="0"/>
        </w:numPr>
        <w:ind w:left="357" w:hanging="357"/>
      </w:pPr>
      <w:r w:rsidRPr="00AA0ACD">
        <w:t xml:space="preserve">Figure </w:t>
      </w:r>
      <w:r w:rsidR="0078358A" w:rsidRPr="00AA0ACD">
        <w:t>5</w:t>
      </w:r>
      <w:r w:rsidRPr="00AA0ACD">
        <w:t>: Victoria generation and bidding patterns</w:t>
      </w:r>
    </w:p>
    <w:p w:rsidR="00785F23" w:rsidRPr="002D23B9" w:rsidRDefault="00F4578A" w:rsidP="00785F23">
      <w:pPr>
        <w:pStyle w:val="AERbodytext"/>
      </w:pPr>
      <w:r w:rsidRPr="00F4578A">
        <w:t xml:space="preserve"> </w:t>
      </w:r>
      <w:r w:rsidR="00767C38">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0.75pt;height:324.75pt">
            <v:imagedata r:id="rId15" o:title=""/>
          </v:shape>
        </w:pict>
      </w:r>
    </w:p>
    <w:p w:rsidR="00C52BE5" w:rsidRPr="00AA0ACD" w:rsidRDefault="00780239" w:rsidP="00C52BE5">
      <w:pPr>
        <w:pStyle w:val="Figureheading"/>
        <w:numPr>
          <w:ilvl w:val="0"/>
          <w:numId w:val="0"/>
        </w:numPr>
        <w:ind w:left="357" w:hanging="357"/>
      </w:pPr>
      <w:r w:rsidRPr="00AA0ACD">
        <w:t>Fi</w:t>
      </w:r>
      <w:r w:rsidR="00C52BE5" w:rsidRPr="00AA0ACD">
        <w:t xml:space="preserve">gure </w:t>
      </w:r>
      <w:r w:rsidR="0078358A" w:rsidRPr="00AA0ACD">
        <w:t>6</w:t>
      </w:r>
      <w:r w:rsidR="00C52BE5" w:rsidRPr="00AA0ACD">
        <w:t>: South Australia</w:t>
      </w:r>
      <w:r w:rsidR="00D96C94" w:rsidRPr="00AA0ACD">
        <w:t xml:space="preserve"> generation and bidding patterns</w:t>
      </w:r>
    </w:p>
    <w:p w:rsidR="002652CD" w:rsidRPr="002D23B9" w:rsidRDefault="00767C38" w:rsidP="002652CD">
      <w:pPr>
        <w:pStyle w:val="AERbodytext"/>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style="width:450.75pt;height:324pt">
            <v:imagedata r:id="rId16" o:title=""/>
          </v:shape>
        </w:pict>
      </w:r>
    </w:p>
    <w:p w:rsidR="0048688D" w:rsidRPr="00AA0ACD" w:rsidRDefault="0048688D" w:rsidP="0048688D">
      <w:pPr>
        <w:pStyle w:val="Figureheading"/>
        <w:numPr>
          <w:ilvl w:val="0"/>
          <w:numId w:val="0"/>
        </w:numPr>
        <w:ind w:left="357" w:hanging="357"/>
      </w:pPr>
      <w:r w:rsidRPr="00AA0ACD">
        <w:t xml:space="preserve">Figure </w:t>
      </w:r>
      <w:r w:rsidR="0078358A" w:rsidRPr="00AA0ACD">
        <w:t>7</w:t>
      </w:r>
      <w:r w:rsidRPr="00AA0ACD">
        <w:t>: Tasmania</w:t>
      </w:r>
      <w:r w:rsidR="00D96C94" w:rsidRPr="00AA0ACD">
        <w:t xml:space="preserve"> generation and bidding patterns</w:t>
      </w:r>
    </w:p>
    <w:p w:rsidR="00B027E9" w:rsidRDefault="008D3D20" w:rsidP="002652CD">
      <w:pPr>
        <w:pStyle w:val="AERbodytext"/>
      </w:pPr>
      <w:r>
        <w:rPr>
          <w:noProof/>
          <w:lang w:eastAsia="en-AU"/>
        </w:rPr>
        <w:pict>
          <v:oval id="_x0000_s1040" style="position:absolute;left:0;text-align:left;margin-left:341.45pt;margin-top:28.35pt;width:12.25pt;height:116.85pt;z-index:251659264" strokecolor="red" strokeweight="1.5pt">
            <v:fill opacity="0"/>
          </v:oval>
        </w:pict>
      </w:r>
      <w:r>
        <w:rPr>
          <w:noProof/>
          <w:lang w:eastAsia="en-AU"/>
        </w:rPr>
        <w:pict>
          <v:oval id="_x0000_s1041" style="position:absolute;left:0;text-align:left;margin-left:312.25pt;margin-top:31.15pt;width:11.55pt;height:116.85pt;z-index:251660288" strokecolor="red" strokeweight="1.5pt">
            <v:fill opacity="0"/>
          </v:oval>
        </w:pict>
      </w:r>
      <w:r>
        <w:rPr>
          <w:noProof/>
          <w:lang w:eastAsia="en-AU"/>
        </w:rPr>
        <w:pict>
          <v:oval id="_x0000_s1042" style="position:absolute;left:0;text-align:left;margin-left:283.7pt;margin-top:31.15pt;width:13.55pt;height:116.85pt;z-index:251661312" strokecolor="red" strokeweight="1.5pt">
            <v:fill opacity="0"/>
          </v:oval>
        </w:pict>
      </w:r>
      <w:r>
        <w:rPr>
          <w:noProof/>
          <w:lang w:eastAsia="en-AU"/>
        </w:rPr>
        <w:pict>
          <v:oval id="_x0000_s1043" style="position:absolute;left:0;text-align:left;margin-left:223.65pt;margin-top:34.55pt;width:16.8pt;height:116.85pt;z-index:251662336" strokecolor="red" strokeweight="1.5pt">
            <v:fill opacity="0"/>
          </v:oval>
        </w:pict>
      </w:r>
      <w:r w:rsidR="00767C38">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style="width:450.75pt;height:324pt">
            <v:imagedata r:id="rId17" o:title=""/>
          </v:shape>
        </w:pict>
      </w:r>
    </w:p>
    <w:p w:rsidR="00B02F7E" w:rsidRDefault="00B02F7E" w:rsidP="002652CD">
      <w:pPr>
        <w:pStyle w:val="AERbodytext"/>
      </w:pPr>
      <w:r>
        <w:t xml:space="preserve">The price changes in the red </w:t>
      </w:r>
      <w:r w:rsidR="00767C38">
        <w:t>ovals</w:t>
      </w:r>
      <w:r>
        <w:t xml:space="preserve"> were made a day ahead, not a result of rebidding.</w: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5E4D3C" w:rsidRDefault="005E4D3C" w:rsidP="005E4D3C">
      <w:pPr>
        <w:pStyle w:val="AERbodytext"/>
      </w:pPr>
      <w:r>
        <w:t xml:space="preserve">The total cost of FCAS on the mainland for the </w:t>
      </w:r>
      <w:r w:rsidRPr="00AA0ACD">
        <w:t>week was $</w:t>
      </w:r>
      <w:r w:rsidR="0095413E" w:rsidRPr="00B308D8">
        <w:t>815</w:t>
      </w:r>
      <w:r w:rsidR="0095413E" w:rsidRPr="00B308D8">
        <w:rPr>
          <w:rFonts w:hint="eastAsia"/>
        </w:rPr>
        <w:t> </w:t>
      </w:r>
      <w:r w:rsidR="0095413E" w:rsidRPr="00B308D8">
        <w:t>500</w:t>
      </w:r>
      <w:r w:rsidRPr="00AA0ACD">
        <w:t xml:space="preserve"> or less than 1 per cent of energy turnover on the mainland.</w:t>
      </w:r>
    </w:p>
    <w:p w:rsidR="0091431E" w:rsidRDefault="00ED60BF" w:rsidP="005E4D3C">
      <w:pPr>
        <w:pStyle w:val="AERbodytext"/>
        <w:rPr>
          <w:szCs w:val="20"/>
        </w:rPr>
      </w:pPr>
      <w:r>
        <w:rPr>
          <w:szCs w:val="20"/>
        </w:rPr>
        <w:t xml:space="preserve">During periods of peak demand generators which normally provide FCAS services were operating at close to full capacity in energy. This means their ability to provide raise services was reduced. Therefore, when raise services were required at times of peak demand, often the only generators who were able to provide raise services were offering the services at higher prices. </w:t>
      </w:r>
    </w:p>
    <w:p w:rsidR="002638AB" w:rsidRPr="00AA0ACD" w:rsidRDefault="0091431E" w:rsidP="005E4D3C">
      <w:pPr>
        <w:pStyle w:val="AERbodytext"/>
      </w:pPr>
      <w:bookmarkStart w:id="9" w:name="_GoBack"/>
      <w:r>
        <w:t xml:space="preserve">On 16 May, according </w:t>
      </w:r>
      <w:r w:rsidR="004C7E1C">
        <w:t>to AEMO</w:t>
      </w:r>
      <w:r w:rsidR="00F65847">
        <w:t>,</w:t>
      </w:r>
      <w:r w:rsidR="002638AB">
        <w:t xml:space="preserve"> an incorrect input into the Energy Management System resulted in all generating units being incorrectly identified as being off Automatic Generation Control and </w:t>
      </w:r>
      <w:r w:rsidR="004C7E1C">
        <w:t>u</w:t>
      </w:r>
      <w:r w:rsidR="002638AB">
        <w:t>nable to provide regulation FCAS.</w:t>
      </w:r>
      <w:r w:rsidR="004C7E1C">
        <w:t xml:space="preserve"> This saw the price go to $100/MW</w:t>
      </w:r>
      <w:r w:rsidR="00B02F7E">
        <w:t xml:space="preserve"> for one dispatch interval</w:t>
      </w:r>
      <w:r w:rsidR="004C7E1C">
        <w:t>, the AER will further investigate the cause of this event.</w:t>
      </w:r>
    </w:p>
    <w:bookmarkEnd w:id="9"/>
    <w:p w:rsidR="005E4D3C" w:rsidRPr="00AA0ACD" w:rsidRDefault="005E4D3C" w:rsidP="005E4D3C">
      <w:pPr>
        <w:pStyle w:val="AERbodytext"/>
      </w:pPr>
      <w:r>
        <w:t xml:space="preserve">The total cost of FCAS in Tasmania for the week was </w:t>
      </w:r>
      <w:r w:rsidRPr="00AA0ACD">
        <w:t>$</w:t>
      </w:r>
      <w:r w:rsidR="0095413E" w:rsidRPr="00B308D8">
        <w:t>214</w:t>
      </w:r>
      <w:r w:rsidR="008979B1" w:rsidRPr="00AA0ACD">
        <w:t xml:space="preserve"> 000 </w:t>
      </w:r>
      <w:r w:rsidRPr="00AA0ACD">
        <w:t xml:space="preserve">or less than </w:t>
      </w:r>
      <w:r w:rsidR="0095413E">
        <w:t>3</w:t>
      </w:r>
      <w:r w:rsidRPr="00AA0ACD">
        <w:t xml:space="preserve"> per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AA0ACD" w:rsidRDefault="00977DC4" w:rsidP="00977DC4">
      <w:pPr>
        <w:pStyle w:val="Figureheading"/>
        <w:numPr>
          <w:ilvl w:val="0"/>
          <w:numId w:val="0"/>
        </w:numPr>
        <w:ind w:left="357" w:hanging="357"/>
      </w:pPr>
      <w:r w:rsidRPr="00AA0ACD">
        <w:t xml:space="preserve">Figure </w:t>
      </w:r>
      <w:r w:rsidR="0078358A" w:rsidRPr="00AA0ACD">
        <w:t>8</w:t>
      </w:r>
      <w:r w:rsidRPr="00AA0ACD">
        <w:t>: Daily frequency control ancillary service cost</w:t>
      </w:r>
    </w:p>
    <w:p w:rsidR="002652CD" w:rsidRPr="002D23B9" w:rsidRDefault="0095413E" w:rsidP="002652CD">
      <w:pPr>
        <w:pStyle w:val="AERbodytext"/>
      </w:pPr>
      <w:r w:rsidRPr="0095413E">
        <w:t xml:space="preserve"> </w:t>
      </w:r>
      <w:r w:rsidR="00767C38">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0.75pt;height:227.25pt;mso-position-vertical:absolute">
            <v:imagedata r:id="rId18" o:title=""/>
          </v:shape>
        </w:pict>
      </w:r>
    </w:p>
    <w:bookmarkEnd w:id="0"/>
    <w:bookmarkEnd w:id="1"/>
    <w:bookmarkEnd w:id="2"/>
    <w:bookmarkEnd w:id="3"/>
    <w:bookmarkEnd w:id="4"/>
    <w:bookmarkEnd w:id="5"/>
    <w:p w:rsidR="00E96C5A" w:rsidRPr="002D23B9" w:rsidRDefault="00E96C5A" w:rsidP="00C81890">
      <w:pPr>
        <w:pStyle w:val="Heading2"/>
        <w:rPr>
          <w:color w:val="auto"/>
        </w:rPr>
      </w:pPr>
      <w:r w:rsidRPr="002D23B9">
        <w:rPr>
          <w:color w:val="auto"/>
        </w:rPr>
        <w:t>Financial markets</w:t>
      </w:r>
    </w:p>
    <w:p w:rsidR="00ED054D" w:rsidRDefault="00ED054D" w:rsidP="00E96C5A">
      <w:pPr>
        <w:pStyle w:val="AERbodytext"/>
      </w:pPr>
      <w:r>
        <w:t>The high volume of trades this week was a result of the 2014/15 financial year options being converted into quarterly base future contracts on 16 May.</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AA0ACD" w:rsidRDefault="0078358A" w:rsidP="00E96C5A">
      <w:pPr>
        <w:pStyle w:val="Figureheading"/>
        <w:numPr>
          <w:ilvl w:val="0"/>
          <w:numId w:val="0"/>
        </w:numPr>
        <w:ind w:left="357" w:hanging="357"/>
      </w:pPr>
      <w:r w:rsidRPr="00AA0ACD">
        <w:t>Figure 9</w:t>
      </w:r>
      <w:r w:rsidR="00E96C5A" w:rsidRPr="00AA0ACD">
        <w:t xml:space="preserve">: Quarterly base future prices </w:t>
      </w:r>
      <w:r w:rsidR="00BB0611" w:rsidRPr="00AA0ACD">
        <w:t xml:space="preserve">Q2 </w:t>
      </w:r>
      <w:r w:rsidR="00E96C5A" w:rsidRPr="00AA0ACD">
        <w:t>201</w:t>
      </w:r>
      <w:r w:rsidR="00CA7CF5" w:rsidRPr="00AA0ACD">
        <w:t>4</w:t>
      </w:r>
      <w:r w:rsidR="00E96C5A" w:rsidRPr="00AA0ACD">
        <w:t xml:space="preserve"> – </w:t>
      </w:r>
      <w:r w:rsidR="00BB0611" w:rsidRPr="00AA0ACD">
        <w:t>Q1 2018</w:t>
      </w:r>
    </w:p>
    <w:p w:rsidR="00E96C5A" w:rsidRPr="002D23B9" w:rsidRDefault="0095413E" w:rsidP="00170E47">
      <w:pPr>
        <w:pStyle w:val="Sourceandnotes"/>
        <w:ind w:left="0" w:firstLine="0"/>
      </w:pPr>
      <w:r w:rsidRPr="0095413E">
        <w:t xml:space="preserve"> </w:t>
      </w:r>
      <w:r w:rsidR="00767C38">
        <w:pict>
          <v:shape id="_x0000_i1034" type="#_x0000_t75" style="width:450.75pt;height:227.25pt">
            <v:imagedata r:id="rId19" o:title=""/>
          </v:shape>
        </w:pict>
      </w:r>
      <w:r w:rsidR="00E96C5A" w:rsidRPr="002D23B9">
        <w:t xml:space="preserve">Source: </w:t>
      </w:r>
      <w:hyperlink r:id="rId20"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AA0ACD" w:rsidRDefault="00E96C5A" w:rsidP="00E96C5A">
      <w:pPr>
        <w:pStyle w:val="Figureheading"/>
        <w:numPr>
          <w:ilvl w:val="0"/>
          <w:numId w:val="0"/>
        </w:numPr>
        <w:ind w:left="357" w:hanging="357"/>
      </w:pPr>
      <w:r w:rsidRPr="00AA0ACD">
        <w:t xml:space="preserve">Figure </w:t>
      </w:r>
      <w:r w:rsidR="0078358A" w:rsidRPr="00AA0ACD">
        <w:t>10</w:t>
      </w:r>
      <w:r w:rsidRPr="00AA0ACD">
        <w:t>: Price of Q1 201</w:t>
      </w:r>
      <w:r w:rsidR="00754FF0" w:rsidRPr="00AA0ACD">
        <w:t>5</w:t>
      </w:r>
      <w:r w:rsidRPr="00AA0ACD">
        <w:t xml:space="preserve"> base contracts over the past 10 weeks (and the past 2 years)</w:t>
      </w:r>
    </w:p>
    <w:p w:rsidR="00E96C5A" w:rsidRPr="002D23B9" w:rsidRDefault="0095413E" w:rsidP="00942195">
      <w:pPr>
        <w:pStyle w:val="AERbodytext"/>
      </w:pPr>
      <w:r w:rsidRPr="0095413E">
        <w:t xml:space="preserve"> </w:t>
      </w:r>
      <w:r w:rsidR="00767C38">
        <w:pict>
          <v:shape id="_x0000_i1035"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10;" style="width:450.75pt;height:228pt">
            <v:imagedata r:id="rId21"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2"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3"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754FF0" w:rsidRDefault="0078358A" w:rsidP="00E96C5A">
      <w:pPr>
        <w:pStyle w:val="Figureheading"/>
        <w:numPr>
          <w:ilvl w:val="0"/>
          <w:numId w:val="0"/>
        </w:numPr>
        <w:ind w:left="357" w:hanging="357"/>
      </w:pPr>
      <w:r w:rsidRPr="00754FF0">
        <w:t>Figure 11</w:t>
      </w:r>
      <w:r w:rsidR="00E96C5A" w:rsidRPr="00754FF0">
        <w:t>: Price of Q1 201</w:t>
      </w:r>
      <w:r w:rsidR="00754FF0" w:rsidRPr="00754FF0">
        <w:t>5</w:t>
      </w:r>
      <w:r w:rsidR="00E96C5A" w:rsidRPr="00754FF0">
        <w:t xml:space="preserve"> cap contracts over the past 10 weeks (and the past 2 years)</w:t>
      </w:r>
    </w:p>
    <w:p w:rsidR="00E96C5A" w:rsidRPr="002D23B9" w:rsidRDefault="0095413E" w:rsidP="00942195">
      <w:pPr>
        <w:pStyle w:val="AERbodytext"/>
      </w:pPr>
      <w:r w:rsidRPr="0095413E">
        <w:t xml:space="preserve"> </w:t>
      </w:r>
      <w:r w:rsidR="00767C38">
        <w:pict>
          <v:shape id="_x0000_i1036" type="#_x0000_t75" alt="Figure 11 shows how the price for each regional Quarter 1 2014 cap contract has changed over the last 10 weeks (as well as the total number of trades each week). The closing quarter 1 2012 and quarter 1 2013 prices are also shown.        &#10;" style="width:450.75pt;height:225.75pt">
            <v:imagedata r:id="rId24" o:title=""/>
          </v:shape>
        </w:pict>
      </w:r>
    </w:p>
    <w:p w:rsidR="00E96C5A" w:rsidRPr="002D23B9" w:rsidRDefault="00E96C5A" w:rsidP="00170E47">
      <w:pPr>
        <w:pStyle w:val="Sourceandnotes"/>
        <w:spacing w:after="120"/>
      </w:pPr>
      <w:r w:rsidRPr="002D23B9">
        <w:t xml:space="preserve">Source: </w:t>
      </w:r>
      <w:hyperlink r:id="rId25"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794A9A" w:rsidP="003157C3">
      <w:r>
        <w:rPr>
          <w:b/>
        </w:rPr>
        <w:t>May</w:t>
      </w:r>
      <w:r w:rsidR="00795DDE" w:rsidRPr="002D23B9">
        <w:rPr>
          <w:b/>
        </w:rPr>
        <w:t xml:space="preserve"> </w:t>
      </w:r>
      <w:r w:rsidR="0097000C">
        <w:rPr>
          <w:b/>
        </w:rPr>
        <w:t>2014</w:t>
      </w:r>
    </w:p>
    <w:sectPr w:rsidR="00E96C5A" w:rsidRPr="002D23B9" w:rsidSect="00601EB7">
      <w:footerReference w:type="default" r:id="rId26"/>
      <w:footerReference w:type="first" r:id="rId27"/>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C7649B">
      <w:rPr>
        <w:rStyle w:val="PageNumber"/>
        <w:noProof/>
      </w:rPr>
      <w:t>6</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B308D8" w:rsidRDefault="00EC411D" w:rsidP="002633B4">
    <w:pPr>
      <w:pStyle w:val="Footer"/>
      <w:pBdr>
        <w:top w:val="single" w:sz="4" w:space="1" w:color="auto"/>
      </w:pBdr>
      <w:jc w:val="left"/>
      <w:rPr>
        <w:i/>
        <w:color w:val="FF0000"/>
      </w:rPr>
    </w:pPr>
    <w:r w:rsidRPr="00A83DB5">
      <w:rPr>
        <w:i/>
      </w:rPr>
      <w:t>© Commo</w:t>
    </w:r>
    <w:r>
      <w:rPr>
        <w:i/>
      </w:rPr>
      <w:t>n</w:t>
    </w:r>
    <w:r w:rsidRPr="00A83DB5">
      <w:rPr>
        <w:i/>
      </w:rPr>
      <w:t>wealth of Australia</w:t>
    </w:r>
    <w:r>
      <w:rPr>
        <w:i/>
      </w:rPr>
      <w:tab/>
    </w:r>
    <w:r>
      <w:rPr>
        <w:i/>
      </w:rPr>
      <w:tab/>
    </w:r>
    <w:r w:rsidRPr="004211DD">
      <w:rPr>
        <w:i/>
      </w:rPr>
      <w:t xml:space="preserve">AER reference: 39220 – </w:t>
    </w:r>
    <w:r w:rsidR="00F13B95" w:rsidRPr="004211DD">
      <w:rPr>
        <w:i/>
      </w:rPr>
      <w:t>D14/</w:t>
    </w:r>
    <w:r w:rsidR="004211DD" w:rsidRPr="00AA0ACD">
      <w:rPr>
        <w:i/>
      </w:rPr>
      <w:t>6</w:t>
    </w:r>
    <w:r w:rsidR="004211DD" w:rsidRPr="00B308D8">
      <w:rPr>
        <w:i/>
      </w:rPr>
      <w:t>5041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1">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5">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3C721288"/>
    <w:multiLevelType w:val="multilevel"/>
    <w:tmpl w:val="1492709C"/>
    <w:numStyleLink w:val="AERHeadings"/>
  </w:abstractNum>
  <w:abstractNum w:abstractNumId="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 w:numId="3">
    <w:abstractNumId w:val="6"/>
  </w:num>
  <w:num w:numId="4">
    <w:abstractNumId w:val="9"/>
  </w:num>
  <w:num w:numId="5">
    <w:abstractNumId w:val="10"/>
  </w:num>
  <w:num w:numId="6">
    <w:abstractNumId w:val="3"/>
  </w:num>
  <w:num w:numId="7">
    <w:abstractNumId w:val="5"/>
  </w:num>
  <w:num w:numId="8">
    <w:abstractNumId w:val="4"/>
  </w:num>
  <w:num w:numId="9">
    <w:abstractNumId w:val="8"/>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59393">
      <o:colormenu v:ext="edit" fillcolor="none" strokecolor="red"/>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511- 20140517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3ED5"/>
    <w:rsid w:val="00044126"/>
    <w:rsid w:val="00044279"/>
    <w:rsid w:val="00044445"/>
    <w:rsid w:val="00044639"/>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51C"/>
    <w:rsid w:val="00152708"/>
    <w:rsid w:val="001528C3"/>
    <w:rsid w:val="00152EEA"/>
    <w:rsid w:val="00152EFB"/>
    <w:rsid w:val="0015340F"/>
    <w:rsid w:val="00153655"/>
    <w:rsid w:val="00153EE5"/>
    <w:rsid w:val="00153FFF"/>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07"/>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5D55"/>
    <w:rsid w:val="002568F5"/>
    <w:rsid w:val="002569F3"/>
    <w:rsid w:val="00256A2A"/>
    <w:rsid w:val="00256EE5"/>
    <w:rsid w:val="00256F9C"/>
    <w:rsid w:val="00256FAB"/>
    <w:rsid w:val="00257CE6"/>
    <w:rsid w:val="00257D0A"/>
    <w:rsid w:val="00260127"/>
    <w:rsid w:val="00260AF3"/>
    <w:rsid w:val="00260BA3"/>
    <w:rsid w:val="00261A37"/>
    <w:rsid w:val="00261A89"/>
    <w:rsid w:val="002624BC"/>
    <w:rsid w:val="002633B4"/>
    <w:rsid w:val="002638AB"/>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3D"/>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523"/>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EEF"/>
    <w:rsid w:val="002D6FDB"/>
    <w:rsid w:val="002D7091"/>
    <w:rsid w:val="002D7262"/>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064"/>
    <w:rsid w:val="0039282A"/>
    <w:rsid w:val="00392B21"/>
    <w:rsid w:val="00393440"/>
    <w:rsid w:val="003937C5"/>
    <w:rsid w:val="00393B9D"/>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12D3"/>
    <w:rsid w:val="003A182D"/>
    <w:rsid w:val="003A19B7"/>
    <w:rsid w:val="003A1E6B"/>
    <w:rsid w:val="003A2108"/>
    <w:rsid w:val="003A2E14"/>
    <w:rsid w:val="003A309A"/>
    <w:rsid w:val="003A3778"/>
    <w:rsid w:val="003A3A4A"/>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2F7"/>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1DD"/>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604F"/>
    <w:rsid w:val="004C6521"/>
    <w:rsid w:val="004C6629"/>
    <w:rsid w:val="004C6A57"/>
    <w:rsid w:val="004C6B41"/>
    <w:rsid w:val="004C74EF"/>
    <w:rsid w:val="004C7733"/>
    <w:rsid w:val="004C7C32"/>
    <w:rsid w:val="004C7E1C"/>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A51"/>
    <w:rsid w:val="00552FDC"/>
    <w:rsid w:val="0055318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20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4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2F88"/>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65F"/>
    <w:rsid w:val="006408E2"/>
    <w:rsid w:val="006409D2"/>
    <w:rsid w:val="00640D2F"/>
    <w:rsid w:val="00641238"/>
    <w:rsid w:val="0064166B"/>
    <w:rsid w:val="00641A5C"/>
    <w:rsid w:val="006423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9A6"/>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6D"/>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4D7"/>
    <w:rsid w:val="006A4881"/>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C38"/>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48"/>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2C20"/>
    <w:rsid w:val="007B313E"/>
    <w:rsid w:val="007B32A8"/>
    <w:rsid w:val="007B3415"/>
    <w:rsid w:val="007B3BA6"/>
    <w:rsid w:val="007B3C09"/>
    <w:rsid w:val="007B3C3D"/>
    <w:rsid w:val="007B3EA1"/>
    <w:rsid w:val="007B3FAA"/>
    <w:rsid w:val="007B3FBC"/>
    <w:rsid w:val="007B40F8"/>
    <w:rsid w:val="007B429F"/>
    <w:rsid w:val="007B453C"/>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05"/>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D3C"/>
    <w:rsid w:val="0089505B"/>
    <w:rsid w:val="008955F7"/>
    <w:rsid w:val="008956BF"/>
    <w:rsid w:val="00895A22"/>
    <w:rsid w:val="00895E43"/>
    <w:rsid w:val="00896003"/>
    <w:rsid w:val="008963D8"/>
    <w:rsid w:val="0089645F"/>
    <w:rsid w:val="008973ED"/>
    <w:rsid w:val="008974A1"/>
    <w:rsid w:val="008979B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D20"/>
    <w:rsid w:val="008D3F92"/>
    <w:rsid w:val="008D43B5"/>
    <w:rsid w:val="008D4414"/>
    <w:rsid w:val="008D4460"/>
    <w:rsid w:val="008D44DC"/>
    <w:rsid w:val="008D47DF"/>
    <w:rsid w:val="008D491F"/>
    <w:rsid w:val="008D4F1D"/>
    <w:rsid w:val="008D4F32"/>
    <w:rsid w:val="008D502A"/>
    <w:rsid w:val="008D5618"/>
    <w:rsid w:val="008D5BE5"/>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E43"/>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3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13E"/>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1AA"/>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3F"/>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D21"/>
    <w:rsid w:val="00A26E95"/>
    <w:rsid w:val="00A277F5"/>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3D54"/>
    <w:rsid w:val="00A84002"/>
    <w:rsid w:val="00A8437D"/>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ACD"/>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4C43"/>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2F7E"/>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8D8"/>
    <w:rsid w:val="00B30A1F"/>
    <w:rsid w:val="00B31041"/>
    <w:rsid w:val="00B31088"/>
    <w:rsid w:val="00B310C4"/>
    <w:rsid w:val="00B31548"/>
    <w:rsid w:val="00B3181C"/>
    <w:rsid w:val="00B32297"/>
    <w:rsid w:val="00B325E1"/>
    <w:rsid w:val="00B3270B"/>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97E44"/>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D47"/>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AE6"/>
    <w:rsid w:val="00C73666"/>
    <w:rsid w:val="00C73FF9"/>
    <w:rsid w:val="00C740F9"/>
    <w:rsid w:val="00C742E3"/>
    <w:rsid w:val="00C744E5"/>
    <w:rsid w:val="00C746EB"/>
    <w:rsid w:val="00C7486F"/>
    <w:rsid w:val="00C76044"/>
    <w:rsid w:val="00C7649B"/>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A8B"/>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560"/>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4"/>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017"/>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54D"/>
    <w:rsid w:val="00ED0D26"/>
    <w:rsid w:val="00ED137D"/>
    <w:rsid w:val="00ED1496"/>
    <w:rsid w:val="00ED178E"/>
    <w:rsid w:val="00ED1AA3"/>
    <w:rsid w:val="00ED2289"/>
    <w:rsid w:val="00ED2890"/>
    <w:rsid w:val="00ED2A8A"/>
    <w:rsid w:val="00ED3BD6"/>
    <w:rsid w:val="00ED44B9"/>
    <w:rsid w:val="00ED45A6"/>
    <w:rsid w:val="00ED492C"/>
    <w:rsid w:val="00ED49D6"/>
    <w:rsid w:val="00ED4F18"/>
    <w:rsid w:val="00ED51AA"/>
    <w:rsid w:val="00ED53F1"/>
    <w:rsid w:val="00ED53FF"/>
    <w:rsid w:val="00ED5636"/>
    <w:rsid w:val="00ED5C9F"/>
    <w:rsid w:val="00ED5E34"/>
    <w:rsid w:val="00ED60BF"/>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78A"/>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5A2C"/>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9C8"/>
    <w:rsid w:val="00F62CE8"/>
    <w:rsid w:val="00F630C4"/>
    <w:rsid w:val="00F6318C"/>
    <w:rsid w:val="00F631D5"/>
    <w:rsid w:val="00F63A4C"/>
    <w:rsid w:val="00F63CB7"/>
    <w:rsid w:val="00F645A9"/>
    <w:rsid w:val="00F64842"/>
    <w:rsid w:val="00F65032"/>
    <w:rsid w:val="00F65706"/>
    <w:rsid w:val="00F65847"/>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50"/>
    <w:rsid w:val="00FC5A31"/>
    <w:rsid w:val="00FC6970"/>
    <w:rsid w:val="00FC6F72"/>
    <w:rsid w:val="00FC6FCF"/>
    <w:rsid w:val="00FC7251"/>
    <w:rsid w:val="00FC72EC"/>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E20"/>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54B2-4499-49E1-B194-34CC0384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82ACBBA4.dotm</Template>
  <TotalTime>0</TotalTime>
  <Pages>8</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2014-06-02T04:08:00Z</dcterms:created>
  <dcterms:modified xsi:type="dcterms:W3CDTF">2014-06-02T04:13:00Z</dcterms:modified>
</cp:coreProperties>
</file>