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EC5C56"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5270A6" w:rsidP="00780239">
                  <w:pPr>
                    <w:pStyle w:val="Title"/>
                    <w:jc w:val="left"/>
                    <w:rPr>
                      <w:i/>
                    </w:rPr>
                  </w:pPr>
                  <w:r w:rsidRPr="005270A6">
                    <w:t>1</w:t>
                  </w:r>
                  <w:r w:rsidR="0022337C">
                    <w:t>5 to 21</w:t>
                  </w:r>
                  <w:r w:rsidRPr="005270A6">
                    <w:t xml:space="preserve"> June</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bookmarkStart w:id="6" w:name="_GoBack"/>
      <w:bookmarkEnd w:id="6"/>
    </w:p>
    <w:p w:rsidR="0078358A" w:rsidRPr="005270A6" w:rsidRDefault="0078358A" w:rsidP="0078358A">
      <w:r>
        <w:t xml:space="preserve">Figure 1 shows the spot prices </w:t>
      </w:r>
      <w:r w:rsidRPr="005270A6">
        <w:t xml:space="preserve">that occurred in each region during the week </w:t>
      </w:r>
      <w:r w:rsidR="005270A6" w:rsidRPr="005270A6">
        <w:t>1</w:t>
      </w:r>
      <w:r w:rsidR="0022337C">
        <w:t>5</w:t>
      </w:r>
      <w:r w:rsidR="00BB0611" w:rsidRPr="005270A6">
        <w:t xml:space="preserve"> </w:t>
      </w:r>
      <w:r w:rsidR="00780239" w:rsidRPr="005270A6">
        <w:t xml:space="preserve">to </w:t>
      </w:r>
      <w:r w:rsidR="0022337C">
        <w:t>21</w:t>
      </w:r>
      <w:r w:rsidR="00BB0611" w:rsidRPr="005270A6">
        <w:t xml:space="preserve"> </w:t>
      </w:r>
      <w:r w:rsidR="005270A6" w:rsidRPr="005270A6">
        <w:t>June</w:t>
      </w:r>
      <w:r w:rsidRPr="005270A6">
        <w:t xml:space="preserve"> 2014.</w:t>
      </w:r>
      <w:r w:rsidR="00827053" w:rsidRPr="005270A6">
        <w:t xml:space="preserve"> </w:t>
      </w:r>
      <w:r w:rsidR="00206242" w:rsidRPr="00206242">
        <w:t>The Queensland price spike</w:t>
      </w:r>
      <w:r w:rsidR="0018617A">
        <w:t>s</w:t>
      </w:r>
      <w:r w:rsidR="00206242" w:rsidRPr="00206242">
        <w:t xml:space="preserve"> on </w:t>
      </w:r>
      <w:r w:rsidR="00206242">
        <w:t xml:space="preserve">17 </w:t>
      </w:r>
      <w:r w:rsidR="00504F33">
        <w:t xml:space="preserve">June </w:t>
      </w:r>
      <w:r w:rsidR="00206242" w:rsidRPr="00206242">
        <w:t>reached $</w:t>
      </w:r>
      <w:r w:rsidR="00504F33">
        <w:t>2271</w:t>
      </w:r>
      <w:r w:rsidR="00206242" w:rsidRPr="00206242">
        <w:t>/MWh</w:t>
      </w:r>
      <w:r w:rsidR="00504F33">
        <w:t xml:space="preserve"> and 18 June </w:t>
      </w:r>
      <w:r w:rsidR="00504F33" w:rsidRPr="00206242">
        <w:t>reached $</w:t>
      </w:r>
      <w:r w:rsidR="00504F33">
        <w:t>2238</w:t>
      </w:r>
      <w:r w:rsidR="00504F33" w:rsidRPr="00206242">
        <w:t>/MWh</w:t>
      </w:r>
      <w:r w:rsidR="00504F33">
        <w:t xml:space="preserve">. The South Australia </w:t>
      </w:r>
      <w:r w:rsidR="00504F33" w:rsidRPr="00206242">
        <w:t xml:space="preserve">price spike on </w:t>
      </w:r>
      <w:r w:rsidR="00504F33">
        <w:t xml:space="preserve">22 June </w:t>
      </w:r>
      <w:r w:rsidR="009B5416">
        <w:t xml:space="preserve">midnight </w:t>
      </w:r>
      <w:r w:rsidR="00504F33">
        <w:t xml:space="preserve">reached </w:t>
      </w:r>
      <w:r w:rsidR="00504F33" w:rsidRPr="00206242">
        <w:t>$</w:t>
      </w:r>
      <w:r w:rsidR="00504F33">
        <w:t>2236</w:t>
      </w:r>
      <w:r w:rsidR="00504F33" w:rsidRPr="00206242">
        <w:t>/MWh</w:t>
      </w:r>
      <w:r w:rsidR="00504F33">
        <w:t>.</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0C738D" w:rsidP="00F50D3A">
      <w:pPr>
        <w:pStyle w:val="AERbodytext"/>
      </w:pPr>
      <w:bookmarkStart w:id="7" w:name="OLE_LINK28"/>
      <w:bookmarkStart w:id="8" w:name="OLE_LINK29"/>
      <w:r>
        <w:pict>
          <v:shape id="_x0000_i1027" type="#_x0000_t75" style="width:451pt;height:225.8pt">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0C738D" w:rsidP="00785F23">
      <w:pPr>
        <w:pStyle w:val="AERbodytext"/>
      </w:pPr>
      <w:r>
        <w:pict>
          <v:shape id="_x0000_i1028" type="#_x0000_t75" alt="Figure 2 shows the volume weighted average (VWA) prices for this week (with prices shown in Table 1) and the preceding 12 weeks, as well as the VWA price over the previous 3 financial years." style="width:450.45pt;height:225.8pt">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5270A6"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5270A6" w:rsidRPr="009340BA" w:rsidRDefault="005270A6"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5270A6" w:rsidRPr="00EB690D" w:rsidRDefault="0047377A" w:rsidP="008C12B8">
            <w:pPr>
              <w:jc w:val="center"/>
              <w:rPr>
                <w:sz w:val="16"/>
                <w:szCs w:val="16"/>
              </w:rPr>
            </w:pPr>
            <w:r w:rsidRPr="00EB690D">
              <w:rPr>
                <w:sz w:val="16"/>
                <w:szCs w:val="16"/>
              </w:rPr>
              <w:t>65</w:t>
            </w:r>
          </w:p>
        </w:tc>
        <w:tc>
          <w:tcPr>
            <w:tcW w:w="781" w:type="pct"/>
            <w:tcBorders>
              <w:top w:val="nil"/>
              <w:left w:val="nil"/>
              <w:bottom w:val="nil"/>
              <w:right w:val="nil"/>
            </w:tcBorders>
            <w:shd w:val="clear" w:color="000000" w:fill="DDD9C3"/>
            <w:noWrap/>
            <w:vAlign w:val="center"/>
            <w:hideMark/>
          </w:tcPr>
          <w:p w:rsidR="005270A6" w:rsidRPr="00EB690D" w:rsidRDefault="005270A6" w:rsidP="008C12B8">
            <w:pPr>
              <w:jc w:val="center"/>
              <w:rPr>
                <w:sz w:val="16"/>
                <w:szCs w:val="16"/>
              </w:rPr>
            </w:pPr>
            <w:r w:rsidRPr="00EB690D">
              <w:rPr>
                <w:sz w:val="16"/>
                <w:szCs w:val="16"/>
              </w:rPr>
              <w:t>51</w:t>
            </w:r>
          </w:p>
        </w:tc>
        <w:tc>
          <w:tcPr>
            <w:tcW w:w="781" w:type="pct"/>
            <w:tcBorders>
              <w:top w:val="nil"/>
              <w:left w:val="nil"/>
              <w:bottom w:val="nil"/>
              <w:right w:val="nil"/>
            </w:tcBorders>
            <w:shd w:val="clear" w:color="000000" w:fill="DDD9C3"/>
            <w:noWrap/>
            <w:vAlign w:val="center"/>
            <w:hideMark/>
          </w:tcPr>
          <w:p w:rsidR="005270A6" w:rsidRPr="00EB690D" w:rsidRDefault="0047377A" w:rsidP="008C12B8">
            <w:pPr>
              <w:jc w:val="center"/>
              <w:rPr>
                <w:sz w:val="16"/>
                <w:szCs w:val="16"/>
              </w:rPr>
            </w:pPr>
            <w:r w:rsidRPr="00EB690D">
              <w:rPr>
                <w:sz w:val="16"/>
                <w:szCs w:val="16"/>
              </w:rPr>
              <w:t>4</w:t>
            </w:r>
            <w:r w:rsidR="005270A6" w:rsidRPr="00EB690D">
              <w:rPr>
                <w:sz w:val="16"/>
                <w:szCs w:val="16"/>
              </w:rPr>
              <w:t>9</w:t>
            </w:r>
          </w:p>
        </w:tc>
        <w:tc>
          <w:tcPr>
            <w:tcW w:w="781" w:type="pct"/>
            <w:tcBorders>
              <w:top w:val="nil"/>
              <w:left w:val="nil"/>
              <w:bottom w:val="nil"/>
              <w:right w:val="nil"/>
            </w:tcBorders>
            <w:shd w:val="clear" w:color="000000" w:fill="DDD9C3"/>
            <w:noWrap/>
            <w:vAlign w:val="center"/>
            <w:hideMark/>
          </w:tcPr>
          <w:p w:rsidR="005270A6" w:rsidRPr="00EB690D" w:rsidRDefault="0047377A" w:rsidP="008C12B8">
            <w:pPr>
              <w:jc w:val="center"/>
              <w:rPr>
                <w:sz w:val="16"/>
                <w:szCs w:val="16"/>
              </w:rPr>
            </w:pPr>
            <w:r w:rsidRPr="00EB690D">
              <w:rPr>
                <w:sz w:val="16"/>
                <w:szCs w:val="16"/>
              </w:rPr>
              <w:t>62</w:t>
            </w:r>
          </w:p>
        </w:tc>
        <w:tc>
          <w:tcPr>
            <w:tcW w:w="781" w:type="pct"/>
            <w:tcBorders>
              <w:top w:val="nil"/>
              <w:left w:val="nil"/>
              <w:bottom w:val="nil"/>
              <w:right w:val="nil"/>
            </w:tcBorders>
            <w:shd w:val="clear" w:color="000000" w:fill="DDD9C3"/>
            <w:noWrap/>
            <w:vAlign w:val="center"/>
            <w:hideMark/>
          </w:tcPr>
          <w:p w:rsidR="005270A6" w:rsidRPr="00EB690D" w:rsidRDefault="0047377A" w:rsidP="008C12B8">
            <w:pPr>
              <w:jc w:val="center"/>
              <w:rPr>
                <w:sz w:val="16"/>
                <w:szCs w:val="16"/>
              </w:rPr>
            </w:pPr>
            <w:r w:rsidRPr="00EB690D">
              <w:rPr>
                <w:sz w:val="16"/>
                <w:szCs w:val="16"/>
              </w:rPr>
              <w:t>45</w:t>
            </w:r>
          </w:p>
        </w:tc>
      </w:tr>
      <w:tr w:rsidR="005270A6"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5270A6" w:rsidRPr="009340BA" w:rsidRDefault="005270A6"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5270A6" w:rsidRPr="00EB690D" w:rsidRDefault="005270A6" w:rsidP="008C12B8">
            <w:pPr>
              <w:jc w:val="center"/>
              <w:rPr>
                <w:sz w:val="16"/>
                <w:szCs w:val="16"/>
              </w:rPr>
            </w:pPr>
            <w:r w:rsidRPr="00EB690D">
              <w:rPr>
                <w:sz w:val="16"/>
                <w:szCs w:val="16"/>
              </w:rPr>
              <w:t>70</w:t>
            </w:r>
          </w:p>
        </w:tc>
        <w:tc>
          <w:tcPr>
            <w:tcW w:w="781" w:type="pct"/>
            <w:tcBorders>
              <w:top w:val="nil"/>
              <w:left w:val="nil"/>
              <w:bottom w:val="nil"/>
              <w:right w:val="nil"/>
            </w:tcBorders>
            <w:shd w:val="clear" w:color="000000" w:fill="EEECE1"/>
            <w:noWrap/>
            <w:vAlign w:val="center"/>
            <w:hideMark/>
          </w:tcPr>
          <w:p w:rsidR="005270A6" w:rsidRPr="00EB690D" w:rsidRDefault="005270A6" w:rsidP="008C12B8">
            <w:pPr>
              <w:jc w:val="center"/>
              <w:rPr>
                <w:sz w:val="16"/>
                <w:szCs w:val="16"/>
              </w:rPr>
            </w:pPr>
            <w:r w:rsidRPr="00EB690D">
              <w:rPr>
                <w:sz w:val="16"/>
                <w:szCs w:val="16"/>
              </w:rPr>
              <w:t>56</w:t>
            </w:r>
          </w:p>
        </w:tc>
        <w:tc>
          <w:tcPr>
            <w:tcW w:w="781" w:type="pct"/>
            <w:tcBorders>
              <w:top w:val="nil"/>
              <w:left w:val="nil"/>
              <w:bottom w:val="nil"/>
              <w:right w:val="nil"/>
            </w:tcBorders>
            <w:shd w:val="clear" w:color="000000" w:fill="EEECE1"/>
            <w:noWrap/>
            <w:vAlign w:val="center"/>
            <w:hideMark/>
          </w:tcPr>
          <w:p w:rsidR="005270A6" w:rsidRPr="00EB690D" w:rsidRDefault="005270A6" w:rsidP="008C12B8">
            <w:pPr>
              <w:jc w:val="center"/>
              <w:rPr>
                <w:sz w:val="16"/>
                <w:szCs w:val="16"/>
              </w:rPr>
            </w:pPr>
            <w:r w:rsidRPr="00EB690D">
              <w:rPr>
                <w:sz w:val="16"/>
                <w:szCs w:val="16"/>
              </w:rPr>
              <w:t>61</w:t>
            </w:r>
          </w:p>
        </w:tc>
        <w:tc>
          <w:tcPr>
            <w:tcW w:w="781" w:type="pct"/>
            <w:tcBorders>
              <w:top w:val="nil"/>
              <w:left w:val="nil"/>
              <w:bottom w:val="nil"/>
              <w:right w:val="nil"/>
            </w:tcBorders>
            <w:shd w:val="clear" w:color="000000" w:fill="EEECE1"/>
            <w:noWrap/>
            <w:vAlign w:val="center"/>
            <w:hideMark/>
          </w:tcPr>
          <w:p w:rsidR="005270A6" w:rsidRPr="00EB690D" w:rsidRDefault="005270A6" w:rsidP="008C12B8">
            <w:pPr>
              <w:jc w:val="center"/>
              <w:rPr>
                <w:sz w:val="16"/>
                <w:szCs w:val="16"/>
              </w:rPr>
            </w:pPr>
            <w:r w:rsidRPr="00EB690D">
              <w:rPr>
                <w:sz w:val="16"/>
                <w:szCs w:val="16"/>
              </w:rPr>
              <w:t>73</w:t>
            </w:r>
          </w:p>
        </w:tc>
        <w:tc>
          <w:tcPr>
            <w:tcW w:w="781" w:type="pct"/>
            <w:tcBorders>
              <w:top w:val="nil"/>
              <w:left w:val="nil"/>
              <w:bottom w:val="nil"/>
              <w:right w:val="nil"/>
            </w:tcBorders>
            <w:shd w:val="clear" w:color="000000" w:fill="EEECE1"/>
            <w:noWrap/>
            <w:vAlign w:val="center"/>
            <w:hideMark/>
          </w:tcPr>
          <w:p w:rsidR="005270A6" w:rsidRPr="00EB690D" w:rsidRDefault="005270A6" w:rsidP="008C12B8">
            <w:pPr>
              <w:jc w:val="center"/>
              <w:rPr>
                <w:sz w:val="16"/>
                <w:szCs w:val="16"/>
              </w:rPr>
            </w:pPr>
            <w:r w:rsidRPr="00EB690D">
              <w:rPr>
                <w:sz w:val="16"/>
                <w:szCs w:val="16"/>
              </w:rPr>
              <w:t>49</w:t>
            </w:r>
          </w:p>
        </w:tc>
      </w:tr>
      <w:tr w:rsidR="005270A6"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5270A6" w:rsidRPr="009340BA" w:rsidRDefault="005270A6"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5270A6" w:rsidRPr="00EB690D" w:rsidRDefault="005270A6" w:rsidP="008C12B8">
            <w:pPr>
              <w:jc w:val="center"/>
              <w:rPr>
                <w:sz w:val="16"/>
                <w:szCs w:val="16"/>
              </w:rPr>
            </w:pPr>
            <w:r w:rsidRPr="00EB690D">
              <w:rPr>
                <w:sz w:val="16"/>
                <w:szCs w:val="16"/>
              </w:rPr>
              <w:t>61</w:t>
            </w:r>
          </w:p>
        </w:tc>
        <w:tc>
          <w:tcPr>
            <w:tcW w:w="781" w:type="pct"/>
            <w:tcBorders>
              <w:top w:val="nil"/>
              <w:left w:val="nil"/>
              <w:bottom w:val="single" w:sz="8" w:space="0" w:color="auto"/>
              <w:right w:val="nil"/>
            </w:tcBorders>
            <w:shd w:val="clear" w:color="000000" w:fill="DDD9C3"/>
            <w:noWrap/>
            <w:vAlign w:val="center"/>
            <w:hideMark/>
          </w:tcPr>
          <w:p w:rsidR="005270A6" w:rsidRPr="00EB690D" w:rsidRDefault="005270A6" w:rsidP="008C12B8">
            <w:pPr>
              <w:jc w:val="center"/>
              <w:rPr>
                <w:sz w:val="16"/>
                <w:szCs w:val="16"/>
              </w:rPr>
            </w:pPr>
            <w:r w:rsidRPr="00EB690D">
              <w:rPr>
                <w:sz w:val="16"/>
                <w:szCs w:val="16"/>
              </w:rPr>
              <w:t>53</w:t>
            </w:r>
          </w:p>
        </w:tc>
        <w:tc>
          <w:tcPr>
            <w:tcW w:w="781" w:type="pct"/>
            <w:tcBorders>
              <w:top w:val="nil"/>
              <w:left w:val="nil"/>
              <w:bottom w:val="single" w:sz="8" w:space="0" w:color="auto"/>
              <w:right w:val="nil"/>
            </w:tcBorders>
            <w:shd w:val="clear" w:color="000000" w:fill="DDD9C3"/>
            <w:noWrap/>
            <w:vAlign w:val="center"/>
            <w:hideMark/>
          </w:tcPr>
          <w:p w:rsidR="005270A6" w:rsidRPr="00EB690D" w:rsidRDefault="0047377A" w:rsidP="008C12B8">
            <w:pPr>
              <w:jc w:val="center"/>
              <w:rPr>
                <w:sz w:val="16"/>
                <w:szCs w:val="16"/>
              </w:rPr>
            </w:pPr>
            <w:r w:rsidRPr="00EB690D">
              <w:rPr>
                <w:sz w:val="16"/>
                <w:szCs w:val="16"/>
              </w:rPr>
              <w:t>54</w:t>
            </w:r>
          </w:p>
        </w:tc>
        <w:tc>
          <w:tcPr>
            <w:tcW w:w="781" w:type="pct"/>
            <w:tcBorders>
              <w:top w:val="nil"/>
              <w:left w:val="nil"/>
              <w:bottom w:val="single" w:sz="8" w:space="0" w:color="auto"/>
              <w:right w:val="nil"/>
            </w:tcBorders>
            <w:shd w:val="clear" w:color="000000" w:fill="DDD9C3"/>
            <w:noWrap/>
            <w:vAlign w:val="center"/>
            <w:hideMark/>
          </w:tcPr>
          <w:p w:rsidR="005270A6" w:rsidRPr="00EB690D" w:rsidRDefault="0047377A" w:rsidP="008C12B8">
            <w:pPr>
              <w:jc w:val="center"/>
              <w:rPr>
                <w:sz w:val="16"/>
                <w:szCs w:val="16"/>
              </w:rPr>
            </w:pPr>
            <w:r w:rsidRPr="00EB690D">
              <w:rPr>
                <w:sz w:val="16"/>
                <w:szCs w:val="16"/>
              </w:rPr>
              <w:t>68</w:t>
            </w:r>
          </w:p>
        </w:tc>
        <w:tc>
          <w:tcPr>
            <w:tcW w:w="781" w:type="pct"/>
            <w:tcBorders>
              <w:top w:val="nil"/>
              <w:left w:val="nil"/>
              <w:bottom w:val="single" w:sz="8" w:space="0" w:color="auto"/>
              <w:right w:val="nil"/>
            </w:tcBorders>
            <w:shd w:val="clear" w:color="000000" w:fill="DDD9C3"/>
            <w:noWrap/>
            <w:vAlign w:val="center"/>
            <w:hideMark/>
          </w:tcPr>
          <w:p w:rsidR="005270A6" w:rsidRPr="00EB690D" w:rsidRDefault="005270A6" w:rsidP="008C12B8">
            <w:pPr>
              <w:jc w:val="center"/>
              <w:rPr>
                <w:sz w:val="16"/>
                <w:szCs w:val="16"/>
              </w:rPr>
            </w:pPr>
            <w:r w:rsidRPr="00EB690D">
              <w:rPr>
                <w:sz w:val="16"/>
                <w:szCs w:val="16"/>
              </w:rPr>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There were 24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5270A6" w:rsidRPr="00711C86" w:rsidTr="00EB690D">
        <w:trPr>
          <w:trHeight w:hRule="exact" w:val="369"/>
        </w:trPr>
        <w:tc>
          <w:tcPr>
            <w:tcW w:w="3636" w:type="dxa"/>
            <w:tcBorders>
              <w:top w:val="nil"/>
              <w:left w:val="nil"/>
              <w:bottom w:val="nil"/>
              <w:right w:val="nil"/>
            </w:tcBorders>
            <w:shd w:val="clear" w:color="000000" w:fill="DDD9C3"/>
            <w:noWrap/>
            <w:vAlign w:val="center"/>
            <w:hideMark/>
          </w:tcPr>
          <w:p w:rsidR="005270A6" w:rsidRPr="00EB690D" w:rsidRDefault="005270A6" w:rsidP="00EB690D">
            <w:pPr>
              <w:spacing w:line="240" w:lineRule="auto"/>
              <w:jc w:val="left"/>
              <w:rPr>
                <w:rFonts w:cs="Gautami"/>
                <w:b/>
                <w:bCs/>
                <w:sz w:val="16"/>
                <w:szCs w:val="16"/>
              </w:rPr>
            </w:pPr>
            <w:r w:rsidRPr="00EB690D">
              <w:rPr>
                <w:rFonts w:cs="Gautami"/>
                <w:b/>
                <w:bCs/>
                <w:sz w:val="16"/>
                <w:szCs w:val="16"/>
              </w:rPr>
              <w:t>% of total above forecast</w:t>
            </w:r>
          </w:p>
        </w:tc>
        <w:tc>
          <w:tcPr>
            <w:tcW w:w="1428" w:type="dxa"/>
            <w:tcBorders>
              <w:top w:val="nil"/>
              <w:left w:val="nil"/>
              <w:bottom w:val="nil"/>
              <w:right w:val="nil"/>
            </w:tcBorders>
            <w:shd w:val="clear" w:color="000000" w:fill="DDD9C3"/>
            <w:noWrap/>
            <w:vAlign w:val="bottom"/>
            <w:hideMark/>
          </w:tcPr>
          <w:p w:rsidR="005270A6" w:rsidRPr="00EB690D" w:rsidRDefault="00B40AC2" w:rsidP="008C12B8">
            <w:pPr>
              <w:spacing w:line="360" w:lineRule="auto"/>
              <w:jc w:val="center"/>
              <w:rPr>
                <w:sz w:val="16"/>
                <w:szCs w:val="16"/>
              </w:rPr>
            </w:pPr>
            <w:r w:rsidRPr="00EB690D">
              <w:rPr>
                <w:sz w:val="16"/>
                <w:szCs w:val="16"/>
              </w:rPr>
              <w:t>0</w:t>
            </w:r>
          </w:p>
        </w:tc>
        <w:tc>
          <w:tcPr>
            <w:tcW w:w="1436" w:type="dxa"/>
            <w:tcBorders>
              <w:top w:val="nil"/>
              <w:left w:val="nil"/>
              <w:bottom w:val="nil"/>
              <w:right w:val="nil"/>
            </w:tcBorders>
            <w:shd w:val="clear" w:color="000000" w:fill="DDD9C3"/>
            <w:noWrap/>
            <w:vAlign w:val="bottom"/>
            <w:hideMark/>
          </w:tcPr>
          <w:p w:rsidR="005270A6" w:rsidRPr="00EB690D" w:rsidRDefault="00B40AC2" w:rsidP="008C12B8">
            <w:pPr>
              <w:spacing w:line="360" w:lineRule="auto"/>
              <w:jc w:val="center"/>
              <w:rPr>
                <w:sz w:val="16"/>
                <w:szCs w:val="16"/>
              </w:rPr>
            </w:pPr>
            <w:r w:rsidRPr="00EB690D">
              <w:rPr>
                <w:sz w:val="16"/>
                <w:szCs w:val="16"/>
              </w:rPr>
              <w:t>35</w:t>
            </w:r>
          </w:p>
        </w:tc>
        <w:tc>
          <w:tcPr>
            <w:tcW w:w="1297" w:type="dxa"/>
            <w:tcBorders>
              <w:top w:val="nil"/>
              <w:left w:val="nil"/>
              <w:bottom w:val="nil"/>
              <w:right w:val="nil"/>
            </w:tcBorders>
            <w:shd w:val="clear" w:color="000000" w:fill="DDD9C3"/>
            <w:noWrap/>
            <w:vAlign w:val="bottom"/>
            <w:hideMark/>
          </w:tcPr>
          <w:p w:rsidR="005270A6" w:rsidRPr="00EB690D" w:rsidRDefault="00B40AC2" w:rsidP="008C12B8">
            <w:pPr>
              <w:spacing w:line="360" w:lineRule="auto"/>
              <w:jc w:val="center"/>
              <w:rPr>
                <w:sz w:val="16"/>
                <w:szCs w:val="16"/>
              </w:rPr>
            </w:pPr>
            <w:r w:rsidRPr="00EB690D">
              <w:rPr>
                <w:sz w:val="16"/>
                <w:szCs w:val="16"/>
              </w:rPr>
              <w:t>0</w:t>
            </w:r>
          </w:p>
        </w:tc>
        <w:tc>
          <w:tcPr>
            <w:tcW w:w="1503" w:type="dxa"/>
            <w:tcBorders>
              <w:top w:val="nil"/>
              <w:left w:val="nil"/>
              <w:bottom w:val="nil"/>
              <w:right w:val="nil"/>
            </w:tcBorders>
            <w:shd w:val="clear" w:color="000000" w:fill="DDD9C3"/>
            <w:vAlign w:val="bottom"/>
            <w:hideMark/>
          </w:tcPr>
          <w:p w:rsidR="005270A6" w:rsidRPr="00EB690D" w:rsidRDefault="00B40AC2" w:rsidP="008C12B8">
            <w:pPr>
              <w:spacing w:line="360" w:lineRule="auto"/>
              <w:jc w:val="center"/>
              <w:rPr>
                <w:sz w:val="16"/>
                <w:szCs w:val="16"/>
              </w:rPr>
            </w:pPr>
            <w:r w:rsidRPr="00EB690D">
              <w:rPr>
                <w:sz w:val="16"/>
                <w:szCs w:val="16"/>
              </w:rPr>
              <w:t>4</w:t>
            </w:r>
          </w:p>
        </w:tc>
      </w:tr>
      <w:tr w:rsidR="005270A6" w:rsidRPr="00711C86" w:rsidTr="00EB690D">
        <w:trPr>
          <w:trHeight w:hRule="exact" w:val="369"/>
        </w:trPr>
        <w:tc>
          <w:tcPr>
            <w:tcW w:w="3636" w:type="dxa"/>
            <w:tcBorders>
              <w:top w:val="nil"/>
              <w:left w:val="nil"/>
              <w:bottom w:val="single" w:sz="8" w:space="0" w:color="auto"/>
              <w:right w:val="nil"/>
            </w:tcBorders>
            <w:shd w:val="clear" w:color="000000" w:fill="EEECE1"/>
            <w:noWrap/>
            <w:vAlign w:val="center"/>
            <w:hideMark/>
          </w:tcPr>
          <w:p w:rsidR="005270A6" w:rsidRPr="00EB690D" w:rsidRDefault="005270A6" w:rsidP="00EB690D">
            <w:pPr>
              <w:spacing w:line="240" w:lineRule="auto"/>
              <w:jc w:val="left"/>
              <w:rPr>
                <w:rFonts w:cs="Gautami"/>
                <w:b/>
                <w:bCs/>
                <w:sz w:val="16"/>
                <w:szCs w:val="16"/>
              </w:rPr>
            </w:pPr>
            <w:r w:rsidRPr="00EB690D">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bottom"/>
            <w:hideMark/>
          </w:tcPr>
          <w:p w:rsidR="005270A6" w:rsidRPr="00EB690D" w:rsidRDefault="005270A6" w:rsidP="008C12B8">
            <w:pPr>
              <w:spacing w:line="360" w:lineRule="auto"/>
              <w:jc w:val="center"/>
              <w:rPr>
                <w:sz w:val="16"/>
                <w:szCs w:val="16"/>
              </w:rPr>
            </w:pPr>
            <w:r w:rsidRPr="00EB690D">
              <w:rPr>
                <w:sz w:val="16"/>
                <w:szCs w:val="16"/>
              </w:rPr>
              <w:t>1</w:t>
            </w:r>
            <w:r w:rsidR="00B40AC2" w:rsidRPr="00EB690D">
              <w:rPr>
                <w:sz w:val="16"/>
                <w:szCs w:val="16"/>
              </w:rPr>
              <w:t>8</w:t>
            </w:r>
          </w:p>
        </w:tc>
        <w:tc>
          <w:tcPr>
            <w:tcW w:w="1436" w:type="dxa"/>
            <w:tcBorders>
              <w:top w:val="nil"/>
              <w:left w:val="nil"/>
              <w:bottom w:val="single" w:sz="8" w:space="0" w:color="auto"/>
              <w:right w:val="nil"/>
            </w:tcBorders>
            <w:shd w:val="clear" w:color="000000" w:fill="EEECE1"/>
            <w:noWrap/>
            <w:vAlign w:val="bottom"/>
            <w:hideMark/>
          </w:tcPr>
          <w:p w:rsidR="005270A6" w:rsidRPr="00EB690D" w:rsidRDefault="005270A6" w:rsidP="008C12B8">
            <w:pPr>
              <w:spacing w:line="360" w:lineRule="auto"/>
              <w:jc w:val="center"/>
              <w:rPr>
                <w:sz w:val="16"/>
                <w:szCs w:val="16"/>
              </w:rPr>
            </w:pPr>
            <w:r w:rsidRPr="00EB690D">
              <w:rPr>
                <w:sz w:val="16"/>
                <w:szCs w:val="16"/>
              </w:rPr>
              <w:t>22</w:t>
            </w:r>
          </w:p>
        </w:tc>
        <w:tc>
          <w:tcPr>
            <w:tcW w:w="1297" w:type="dxa"/>
            <w:tcBorders>
              <w:top w:val="nil"/>
              <w:left w:val="nil"/>
              <w:bottom w:val="single" w:sz="8" w:space="0" w:color="auto"/>
              <w:right w:val="nil"/>
            </w:tcBorders>
            <w:shd w:val="clear" w:color="000000" w:fill="EEECE1"/>
            <w:noWrap/>
            <w:vAlign w:val="bottom"/>
            <w:hideMark/>
          </w:tcPr>
          <w:p w:rsidR="005270A6" w:rsidRPr="00EB690D" w:rsidRDefault="005270A6" w:rsidP="008C12B8">
            <w:pPr>
              <w:spacing w:line="360" w:lineRule="auto"/>
              <w:jc w:val="center"/>
              <w:rPr>
                <w:sz w:val="16"/>
                <w:szCs w:val="16"/>
              </w:rPr>
            </w:pPr>
            <w:r w:rsidRPr="00EB690D">
              <w:rPr>
                <w:sz w:val="16"/>
                <w:szCs w:val="16"/>
              </w:rPr>
              <w:t>0</w:t>
            </w:r>
          </w:p>
        </w:tc>
        <w:tc>
          <w:tcPr>
            <w:tcW w:w="1503" w:type="dxa"/>
            <w:tcBorders>
              <w:top w:val="nil"/>
              <w:left w:val="nil"/>
              <w:bottom w:val="single" w:sz="8" w:space="0" w:color="auto"/>
              <w:right w:val="nil"/>
            </w:tcBorders>
            <w:shd w:val="clear" w:color="000000" w:fill="EEECE1"/>
            <w:vAlign w:val="bottom"/>
            <w:hideMark/>
          </w:tcPr>
          <w:p w:rsidR="005270A6" w:rsidRPr="00EB690D" w:rsidRDefault="00B40AC2" w:rsidP="008C12B8">
            <w:pPr>
              <w:spacing w:line="360" w:lineRule="auto"/>
              <w:jc w:val="center"/>
              <w:rPr>
                <w:sz w:val="16"/>
                <w:szCs w:val="16"/>
              </w:rPr>
            </w:pPr>
            <w:r w:rsidRPr="00EB690D">
              <w:rPr>
                <w:sz w:val="16"/>
                <w:szCs w:val="16"/>
              </w:rPr>
              <w:t>22</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EC5C56" w:rsidP="002652CD">
      <w:pPr>
        <w:pStyle w:val="AERbodytext"/>
      </w:pPr>
      <w:r>
        <w:rPr>
          <w:noProof/>
          <w:lang w:eastAsia="en-AU"/>
        </w:rPr>
        <w:pict>
          <v:oval id="_x0000_s1054" style="position:absolute;left:0;text-align:left;margin-left:273.05pt;margin-top:56.5pt;width:29.35pt;height:69.1pt;z-index:251660288" filled="f" strokecolor="red" strokeweight="1.5pt"/>
        </w:pict>
      </w:r>
      <w:r>
        <w:rPr>
          <w:noProof/>
          <w:lang w:eastAsia="en-AU"/>
        </w:rPr>
        <w:pict>
          <v:oval id="_x0000_s1055" style="position:absolute;left:0;text-align:left;margin-left:218.8pt;margin-top:56.5pt;width:29.35pt;height:69.1pt;z-index:251661312" filled="f" strokecolor="#0070c0" strokeweight="1.5pt"/>
        </w:pict>
      </w:r>
      <w:r w:rsidR="000C738D">
        <w:pict>
          <v:shape id="_x0000_i1029"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1pt;height:324.3pt">
            <v:imagedata r:id="rId13" o:title=""/>
          </v:shape>
        </w:pict>
      </w:r>
    </w:p>
    <w:p w:rsidR="00257D2A" w:rsidRDefault="004C7C2F" w:rsidP="002652CD">
      <w:pPr>
        <w:pStyle w:val="AERbodytext"/>
      </w:pPr>
      <w:r>
        <w:t>The blue circle highlights an increase in capacity above $5000/MWh as a result of rebidding by Queensland generators</w:t>
      </w:r>
      <w:r w:rsidR="00257D2A">
        <w:t xml:space="preserve">, see </w:t>
      </w:r>
      <w:r>
        <w:t xml:space="preserve">the </w:t>
      </w:r>
      <w:r w:rsidR="00257D2A">
        <w:t>“</w:t>
      </w:r>
      <w:r w:rsidR="00257D2A" w:rsidRPr="00257D2A">
        <w:t xml:space="preserve">Detailed market analysis of </w:t>
      </w:r>
      <w:r w:rsidR="00257D2A" w:rsidRPr="009121A1">
        <w:t>significant price events</w:t>
      </w:r>
      <w:r w:rsidR="00257D2A">
        <w:t xml:space="preserve">” </w:t>
      </w:r>
      <w:r>
        <w:t xml:space="preserve">section </w:t>
      </w:r>
      <w:r w:rsidR="00257D2A">
        <w:t xml:space="preserve">for </w:t>
      </w:r>
      <w:r>
        <w:t xml:space="preserve">further </w:t>
      </w:r>
      <w:r w:rsidR="00257D2A">
        <w:t>details.</w:t>
      </w:r>
    </w:p>
    <w:p w:rsidR="00EF7EE1" w:rsidRPr="002D23B9" w:rsidRDefault="004C7C2F" w:rsidP="002652CD">
      <w:pPr>
        <w:pStyle w:val="AERbodytext"/>
      </w:pPr>
      <w:r>
        <w:t>The red circle highlights an increase in capacity above $5000/MWh as a result of day ahead offers by</w:t>
      </w:r>
      <w:r w:rsidR="000D34DD">
        <w:t xml:space="preserve"> </w:t>
      </w:r>
      <w:r w:rsidR="00F07B8D">
        <w:t>Stanwell</w:t>
      </w:r>
      <w:r>
        <w:t>.</w:t>
      </w:r>
    </w:p>
    <w:p w:rsidR="00F4461C" w:rsidRPr="005270A6" w:rsidRDefault="00F4461C" w:rsidP="00F4461C">
      <w:pPr>
        <w:pStyle w:val="Figureheading"/>
        <w:numPr>
          <w:ilvl w:val="0"/>
          <w:numId w:val="0"/>
        </w:numPr>
        <w:ind w:left="357" w:hanging="357"/>
      </w:pPr>
      <w:r w:rsidRPr="005270A6">
        <w:t xml:space="preserve">Figure </w:t>
      </w:r>
      <w:r w:rsidR="0078358A" w:rsidRPr="005270A6">
        <w:t>4</w:t>
      </w:r>
      <w:r w:rsidRPr="005270A6">
        <w:t>: New South Wales generation and bidding patterns</w:t>
      </w:r>
    </w:p>
    <w:p w:rsidR="002652CD" w:rsidRPr="002D23B9" w:rsidRDefault="000C738D" w:rsidP="002652CD">
      <w:pPr>
        <w:pStyle w:val="AERbodytext"/>
      </w:pPr>
      <w:r>
        <w:pict>
          <v:shape id="_x0000_i1030"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24.85pt">
            <v:imagedata r:id="rId14"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EC5C56" w:rsidP="00785F23">
      <w:pPr>
        <w:pStyle w:val="AERbodytext"/>
      </w:pPr>
      <w:r>
        <w:rPr>
          <w:noProof/>
          <w:lang w:eastAsia="en-AU"/>
        </w:rPr>
        <w:pict>
          <v:oval id="_x0000_s1040" style="position:absolute;left:0;text-align:left;margin-left:89.85pt;margin-top:60.45pt;width:55.3pt;height:73.7pt;z-index:251659264" filled="f" strokecolor="red" strokeweight="1.5pt"/>
        </w:pict>
      </w:r>
      <w:r w:rsidR="000C738D">
        <w:pict>
          <v:shape id="_x0000_i1031"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24.85pt">
            <v:imagedata r:id="rId15" o:title=""/>
          </v:shape>
        </w:pict>
      </w:r>
    </w:p>
    <w:p w:rsidR="00084126" w:rsidRPr="00F07B8D" w:rsidRDefault="00084126" w:rsidP="00785F23">
      <w:pPr>
        <w:pStyle w:val="AERbodytext"/>
      </w:pPr>
      <w:r w:rsidRPr="00F07B8D">
        <w:t xml:space="preserve">Rebidding at Loy Yang </w:t>
      </w:r>
      <w:proofErr w:type="gramStart"/>
      <w:r w:rsidRPr="00F07B8D">
        <w:t>A</w:t>
      </w:r>
      <w:proofErr w:type="gramEnd"/>
      <w:r w:rsidRPr="00F07B8D">
        <w:t xml:space="preserve"> power station </w:t>
      </w:r>
      <w:r w:rsidR="00CD1FF5">
        <w:t xml:space="preserve">shifted </w:t>
      </w:r>
      <w:r w:rsidRPr="00F07B8D">
        <w:t xml:space="preserve">available capacity rebid from below $50/MWh to just over $500/MWh across the day on </w:t>
      </w:r>
      <w:r w:rsidR="00F07B8D" w:rsidRPr="00F07B8D">
        <w:t>15</w:t>
      </w:r>
      <w:r w:rsidRPr="00F07B8D">
        <w:t xml:space="preserve"> and </w:t>
      </w:r>
      <w:r w:rsidR="00F07B8D" w:rsidRPr="00F07B8D">
        <w:t>16</w:t>
      </w:r>
      <w:r w:rsidRPr="00F07B8D">
        <w:t xml:space="preserve"> June. The reasons given for the rebids indicated </w:t>
      </w:r>
      <w:r w:rsidR="00CD1FF5" w:rsidRPr="00F07B8D">
        <w:t xml:space="preserve">plant limitations </w:t>
      </w:r>
      <w:r w:rsidR="00CD1FF5">
        <w:t xml:space="preserve">as a result of </w:t>
      </w:r>
      <w:r w:rsidRPr="00F07B8D">
        <w:t xml:space="preserve">coal </w:t>
      </w:r>
      <w:r w:rsidR="00CD1FF5">
        <w:t>supply</w:t>
      </w:r>
      <w:r w:rsidRPr="00F07B8D">
        <w:t>.</w:t>
      </w:r>
    </w:p>
    <w:p w:rsidR="00C52BE5" w:rsidRPr="006768AE" w:rsidRDefault="00780239" w:rsidP="00C52BE5">
      <w:pPr>
        <w:pStyle w:val="Figureheading"/>
        <w:numPr>
          <w:ilvl w:val="0"/>
          <w:numId w:val="0"/>
        </w:numPr>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0C738D" w:rsidP="002652CD">
      <w:pPr>
        <w:pStyle w:val="AERbodytext"/>
      </w:pPr>
      <w:r>
        <w:pict>
          <v:shape id="_x0000_i1032"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24.3pt">
            <v:imagedata r:id="rId16" o:title=""/>
          </v:shape>
        </w:pic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0C738D" w:rsidP="002652CD">
      <w:pPr>
        <w:pStyle w:val="AERbodytext"/>
      </w:pPr>
      <w:r>
        <w:pict>
          <v:shape id="_x0000_i1033"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24.3pt">
            <v:imagedata r:id="rId17"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F30A4B">
        <w:t>454</w:t>
      </w:r>
      <w:r w:rsidR="00827053" w:rsidRPr="006768AE">
        <w:t> </w:t>
      </w:r>
      <w:r w:rsidR="008979B1" w:rsidRPr="006768AE">
        <w:t>0</w:t>
      </w:r>
      <w:r w:rsidR="0027186D" w:rsidRPr="006768AE">
        <w:t>00</w:t>
      </w:r>
      <w:r w:rsidRPr="006768AE">
        <w:t xml:space="preserve"> or less than 1 per cent of energy turnover on the mainland.</w:t>
      </w:r>
      <w:r w:rsidR="003422CF" w:rsidRPr="006768AE">
        <w:t xml:space="preserve"> </w:t>
      </w:r>
    </w:p>
    <w:p w:rsidR="005E4D3C" w:rsidRPr="006768AE" w:rsidRDefault="005E4D3C" w:rsidP="005E4D3C">
      <w:pPr>
        <w:pStyle w:val="AERbodytext"/>
      </w:pPr>
      <w:r w:rsidRPr="006768AE">
        <w:t>The total cost of FCAS in Tasmania for the week was $</w:t>
      </w:r>
      <w:r w:rsidR="00F30A4B">
        <w:t>1</w:t>
      </w:r>
      <w:r w:rsidR="006768AE" w:rsidRPr="006768AE">
        <w:t>6</w:t>
      </w:r>
      <w:r w:rsidR="00F30A4B">
        <w:t>3 5</w:t>
      </w:r>
      <w:r w:rsidR="008979B1" w:rsidRPr="006768AE">
        <w:t xml:space="preserve">00 </w:t>
      </w:r>
      <w:r w:rsidR="00F30A4B">
        <w:t xml:space="preserve">or </w:t>
      </w:r>
      <w:r w:rsidR="008C12B8">
        <w:t>around</w:t>
      </w:r>
      <w:r w:rsidR="00F30A4B">
        <w:t xml:space="preserve"> 2</w:t>
      </w:r>
      <w:r w:rsidRPr="006768AE">
        <w:t xml:space="preserve">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0C738D" w:rsidP="002652CD">
      <w:pPr>
        <w:pStyle w:val="AERbodytext"/>
      </w:pPr>
      <w:r>
        <w:pict>
          <v:shape id="_x0000_i1034" type="#_x0000_t75" alt="Figure 8 shows the daily breakdown of cost for each FCAS for the NEM, as well as the average cost since the beginning of the previous financial year.&#10;Should you require a description of the data for the week under review, please email us at  AERInquiry@aer.gov.au." style="width:451pt;height:228.1pt">
            <v:imagedata r:id="rId18" o:title=""/>
          </v:shape>
        </w:pict>
      </w:r>
    </w:p>
    <w:bookmarkEnd w:id="0"/>
    <w:bookmarkEnd w:id="1"/>
    <w:bookmarkEnd w:id="2"/>
    <w:bookmarkEnd w:id="3"/>
    <w:bookmarkEnd w:id="4"/>
    <w:bookmarkEnd w:id="5"/>
    <w:p w:rsidR="00DD7CB4" w:rsidRPr="009121A1" w:rsidRDefault="00DD7CB4" w:rsidP="00DD7CB4">
      <w:pPr>
        <w:pStyle w:val="Heading2"/>
        <w:rPr>
          <w:color w:val="auto"/>
        </w:rPr>
      </w:pPr>
      <w:r w:rsidRPr="009121A1">
        <w:rPr>
          <w:color w:val="auto"/>
        </w:rPr>
        <w:t>Detailed market analysis of significant price events</w:t>
      </w:r>
    </w:p>
    <w:p w:rsidR="009121A1" w:rsidRDefault="00DD7CB4" w:rsidP="00DD7CB4">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rsidR="009121A1">
        <w:t xml:space="preserve"> </w:t>
      </w:r>
    </w:p>
    <w:p w:rsidR="009121A1" w:rsidRDefault="009121A1" w:rsidP="00DD7CB4">
      <w:pPr>
        <w:pStyle w:val="AERbodytext"/>
      </w:pPr>
      <w:r>
        <w:t>There were</w:t>
      </w:r>
      <w:r w:rsidRPr="009121A1">
        <w:t xml:space="preserve"> two occasion</w:t>
      </w:r>
      <w:r w:rsidR="00711C86">
        <w:t>s</w:t>
      </w:r>
      <w:r w:rsidRPr="009121A1">
        <w:t xml:space="preserve"> where the spot price in </w:t>
      </w:r>
      <w:r w:rsidR="002D2709">
        <w:t>Queensland</w:t>
      </w:r>
      <w:r w:rsidRPr="009121A1">
        <w:t xml:space="preserve"> was greater than three times the </w:t>
      </w:r>
      <w:r w:rsidR="002D2709">
        <w:t>Queensland</w:t>
      </w:r>
      <w:r w:rsidR="002D2709" w:rsidRPr="009121A1">
        <w:t xml:space="preserve"> </w:t>
      </w:r>
      <w:r w:rsidR="002D2709">
        <w:t>weekly average price of $65</w:t>
      </w:r>
      <w:r w:rsidRPr="009121A1">
        <w:t>/MWh and above $250/MWh.</w:t>
      </w:r>
    </w:p>
    <w:p w:rsidR="009121A1" w:rsidRPr="009121A1" w:rsidRDefault="009121A1" w:rsidP="00DD7CB4">
      <w:pPr>
        <w:pStyle w:val="AERbodytext"/>
        <w:rPr>
          <w:b/>
        </w:rPr>
      </w:pPr>
      <w:r>
        <w:rPr>
          <w:b/>
        </w:rPr>
        <w:t xml:space="preserve">Table </w:t>
      </w:r>
      <w:r w:rsidR="00AB2D03">
        <w:rPr>
          <w:b/>
        </w:rPr>
        <w:t>3</w:t>
      </w:r>
      <w:r>
        <w:rPr>
          <w:b/>
        </w:rPr>
        <w:t xml:space="preserve">: </w:t>
      </w:r>
      <w:r w:rsidR="0037625E">
        <w:rPr>
          <w:b/>
        </w:rPr>
        <w:t>Queensland</w:t>
      </w:r>
      <w:r>
        <w:rPr>
          <w:b/>
        </w:rPr>
        <w:t xml:space="preserve">, </w:t>
      </w:r>
      <w:r w:rsidR="0037625E">
        <w:rPr>
          <w:b/>
        </w:rPr>
        <w:t>Tuesday 17</w:t>
      </w:r>
      <w:r>
        <w:rPr>
          <w:b/>
        </w:rPr>
        <w:t xml:space="preserve"> June</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979"/>
        <w:gridCol w:w="827"/>
        <w:gridCol w:w="993"/>
        <w:gridCol w:w="1137"/>
        <w:gridCol w:w="1113"/>
        <w:gridCol w:w="867"/>
        <w:gridCol w:w="867"/>
        <w:gridCol w:w="725"/>
        <w:gridCol w:w="867"/>
        <w:gridCol w:w="867"/>
      </w:tblGrid>
      <w:tr w:rsidR="00711C86" w:rsidRPr="00711C86" w:rsidTr="00EB690D">
        <w:tc>
          <w:tcPr>
            <w:tcW w:w="530" w:type="pct"/>
            <w:tcBorders>
              <w:top w:val="single" w:sz="4" w:space="0" w:color="auto"/>
              <w:left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rPr>
                <w:b/>
                <w:bCs/>
                <w:color w:val="FFFFFF"/>
                <w:sz w:val="16"/>
                <w:szCs w:val="16"/>
              </w:rPr>
            </w:pPr>
            <w:r w:rsidRPr="00711C86">
              <w:rPr>
                <w:b/>
                <w:bCs/>
                <w:color w:val="FFFFFF"/>
                <w:sz w:val="16"/>
                <w:szCs w:val="16"/>
              </w:rPr>
              <w:t>Time</w:t>
            </w:r>
          </w:p>
        </w:tc>
        <w:tc>
          <w:tcPr>
            <w:tcW w:w="1600" w:type="pct"/>
            <w:gridSpan w:val="3"/>
            <w:tcBorders>
              <w:top w:val="single" w:sz="4" w:space="0" w:color="auto"/>
              <w:bottom w:val="nil"/>
            </w:tcBorders>
            <w:shd w:val="clear" w:color="auto" w:fill="4A442A"/>
            <w:noWrap/>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Price ($/MWh)</w:t>
            </w:r>
          </w:p>
        </w:tc>
        <w:tc>
          <w:tcPr>
            <w:tcW w:w="1540" w:type="pct"/>
            <w:gridSpan w:val="3"/>
            <w:tcBorders>
              <w:top w:val="single" w:sz="4" w:space="0" w:color="auto"/>
              <w:bottom w:val="nil"/>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330" w:type="pct"/>
            <w:gridSpan w:val="3"/>
            <w:tcBorders>
              <w:top w:val="single" w:sz="4" w:space="0" w:color="auto"/>
              <w:bottom w:val="nil"/>
              <w:right w:val="single" w:sz="4" w:space="0" w:color="auto"/>
            </w:tcBorders>
            <w:shd w:val="clear" w:color="auto" w:fill="4A442A"/>
          </w:tcPr>
          <w:p w:rsidR="00711C86" w:rsidRPr="00711C86" w:rsidRDefault="00711C86" w:rsidP="008552D7">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711C86" w:rsidRPr="003D3E89" w:rsidTr="00EB690D">
        <w:tc>
          <w:tcPr>
            <w:tcW w:w="530" w:type="pct"/>
            <w:tcBorders>
              <w:top w:val="nil"/>
              <w:left w:val="single" w:sz="4" w:space="0" w:color="auto"/>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rPr>
                <w:b/>
                <w:bCs/>
                <w:sz w:val="16"/>
                <w:szCs w:val="16"/>
              </w:rPr>
            </w:pPr>
          </w:p>
        </w:tc>
        <w:tc>
          <w:tcPr>
            <w:tcW w:w="448" w:type="pct"/>
            <w:tcBorders>
              <w:top w:val="nil"/>
              <w:left w:val="single" w:sz="6" w:space="0" w:color="auto"/>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537" w:type="pct"/>
            <w:tcBorders>
              <w:top w:val="nil"/>
              <w:left w:val="nil"/>
              <w:bottom w:val="nil"/>
              <w:right w:val="nil"/>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4 hr forecast</w:t>
            </w:r>
          </w:p>
        </w:tc>
        <w:tc>
          <w:tcPr>
            <w:tcW w:w="615" w:type="pct"/>
            <w:tcBorders>
              <w:top w:val="nil"/>
              <w:left w:val="nil"/>
              <w:bottom w:val="nil"/>
              <w:right w:val="single" w:sz="6" w:space="0" w:color="auto"/>
            </w:tcBorders>
            <w:shd w:val="clear" w:color="auto" w:fill="DDD9C3"/>
            <w:noWrap/>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12 hr forecast</w:t>
            </w:r>
          </w:p>
        </w:tc>
        <w:tc>
          <w:tcPr>
            <w:tcW w:w="60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4 hr forecast</w:t>
            </w:r>
          </w:p>
        </w:tc>
        <w:tc>
          <w:tcPr>
            <w:tcW w:w="469" w:type="pct"/>
            <w:tcBorders>
              <w:top w:val="nil"/>
              <w:left w:val="nil"/>
              <w:bottom w:val="nil"/>
              <w:right w:val="single" w:sz="6"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12 hr forecast</w:t>
            </w:r>
          </w:p>
        </w:tc>
        <w:tc>
          <w:tcPr>
            <w:tcW w:w="392" w:type="pct"/>
            <w:tcBorders>
              <w:top w:val="nil"/>
              <w:left w:val="single" w:sz="6" w:space="0" w:color="auto"/>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4 hr forecast</w:t>
            </w:r>
          </w:p>
        </w:tc>
        <w:tc>
          <w:tcPr>
            <w:tcW w:w="469" w:type="pct"/>
            <w:tcBorders>
              <w:top w:val="nil"/>
              <w:left w:val="nil"/>
              <w:bottom w:val="nil"/>
              <w:right w:val="single" w:sz="4" w:space="0" w:color="auto"/>
            </w:tcBorders>
            <w:shd w:val="clear" w:color="auto" w:fill="DDD9C3"/>
          </w:tcPr>
          <w:p w:rsidR="00711C86" w:rsidRPr="003D3E89" w:rsidRDefault="00711C86" w:rsidP="008552D7">
            <w:pPr>
              <w:autoSpaceDE w:val="0"/>
              <w:autoSpaceDN w:val="0"/>
              <w:adjustRightInd w:val="0"/>
              <w:spacing w:before="100" w:after="100"/>
              <w:jc w:val="center"/>
              <w:rPr>
                <w:b/>
                <w:bCs/>
                <w:sz w:val="16"/>
                <w:szCs w:val="16"/>
              </w:rPr>
            </w:pPr>
            <w:r w:rsidRPr="003D3E89">
              <w:rPr>
                <w:b/>
                <w:bCs/>
                <w:sz w:val="16"/>
                <w:szCs w:val="16"/>
              </w:rPr>
              <w:t>12 hr forecast</w:t>
            </w:r>
          </w:p>
        </w:tc>
      </w:tr>
      <w:tr w:rsidR="00711C86" w:rsidRPr="003D3E89" w:rsidTr="00EB690D">
        <w:tc>
          <w:tcPr>
            <w:tcW w:w="530" w:type="pct"/>
            <w:tcBorders>
              <w:top w:val="nil"/>
              <w:left w:val="single" w:sz="4" w:space="0" w:color="auto"/>
              <w:bottom w:val="single" w:sz="4" w:space="0" w:color="auto"/>
              <w:right w:val="single" w:sz="6" w:space="0" w:color="auto"/>
            </w:tcBorders>
            <w:shd w:val="clear" w:color="auto" w:fill="EEECE1"/>
            <w:noWrap/>
          </w:tcPr>
          <w:p w:rsidR="00711C86" w:rsidRPr="003D3E89" w:rsidRDefault="0037625E" w:rsidP="008552D7">
            <w:pPr>
              <w:autoSpaceDE w:val="0"/>
              <w:autoSpaceDN w:val="0"/>
              <w:adjustRightInd w:val="0"/>
              <w:spacing w:before="100" w:after="100"/>
              <w:rPr>
                <w:b/>
                <w:bCs/>
                <w:sz w:val="16"/>
                <w:szCs w:val="16"/>
              </w:rPr>
            </w:pPr>
            <w:r>
              <w:rPr>
                <w:b/>
                <w:bCs/>
                <w:sz w:val="16"/>
                <w:szCs w:val="16"/>
              </w:rPr>
              <w:t>7.0</w:t>
            </w:r>
            <w:r w:rsidR="00711C86" w:rsidRPr="003D3E89">
              <w:rPr>
                <w:b/>
                <w:bCs/>
                <w:sz w:val="16"/>
                <w:szCs w:val="16"/>
              </w:rPr>
              <w:t>0 AM</w:t>
            </w:r>
          </w:p>
        </w:tc>
        <w:tc>
          <w:tcPr>
            <w:tcW w:w="448" w:type="pct"/>
            <w:tcBorders>
              <w:top w:val="nil"/>
              <w:left w:val="single" w:sz="6" w:space="0" w:color="auto"/>
              <w:bottom w:val="single" w:sz="4" w:space="0" w:color="auto"/>
              <w:right w:val="nil"/>
            </w:tcBorders>
            <w:shd w:val="clear" w:color="auto" w:fill="EEECE1"/>
            <w:noWrap/>
            <w:vAlign w:val="center"/>
          </w:tcPr>
          <w:p w:rsidR="00711C86" w:rsidRPr="003D3E89" w:rsidRDefault="00E67E1C" w:rsidP="008552D7">
            <w:pPr>
              <w:jc w:val="center"/>
              <w:rPr>
                <w:sz w:val="16"/>
                <w:szCs w:val="16"/>
              </w:rPr>
            </w:pPr>
            <w:r>
              <w:rPr>
                <w:sz w:val="16"/>
                <w:szCs w:val="16"/>
              </w:rPr>
              <w:t>2271.51</w:t>
            </w:r>
          </w:p>
        </w:tc>
        <w:tc>
          <w:tcPr>
            <w:tcW w:w="537" w:type="pct"/>
            <w:tcBorders>
              <w:top w:val="nil"/>
              <w:left w:val="nil"/>
              <w:bottom w:val="single" w:sz="4" w:space="0" w:color="auto"/>
              <w:right w:val="nil"/>
            </w:tcBorders>
            <w:shd w:val="clear" w:color="auto" w:fill="EEECE1"/>
            <w:noWrap/>
            <w:vAlign w:val="center"/>
          </w:tcPr>
          <w:p w:rsidR="00711C86" w:rsidRPr="003D3E89" w:rsidRDefault="00E67E1C" w:rsidP="008552D7">
            <w:pPr>
              <w:jc w:val="center"/>
              <w:rPr>
                <w:sz w:val="16"/>
                <w:szCs w:val="16"/>
              </w:rPr>
            </w:pPr>
            <w:r>
              <w:rPr>
                <w:sz w:val="16"/>
                <w:szCs w:val="16"/>
              </w:rPr>
              <w:t>54.58</w:t>
            </w:r>
          </w:p>
        </w:tc>
        <w:tc>
          <w:tcPr>
            <w:tcW w:w="615" w:type="pct"/>
            <w:tcBorders>
              <w:top w:val="nil"/>
              <w:left w:val="nil"/>
              <w:bottom w:val="single" w:sz="4" w:space="0" w:color="auto"/>
              <w:right w:val="single" w:sz="6" w:space="0" w:color="auto"/>
            </w:tcBorders>
            <w:shd w:val="clear" w:color="auto" w:fill="EEECE1"/>
            <w:noWrap/>
            <w:vAlign w:val="center"/>
          </w:tcPr>
          <w:p w:rsidR="00711C86" w:rsidRPr="003D3E89" w:rsidRDefault="00E67E1C" w:rsidP="008552D7">
            <w:pPr>
              <w:jc w:val="center"/>
              <w:rPr>
                <w:sz w:val="16"/>
                <w:szCs w:val="16"/>
              </w:rPr>
            </w:pPr>
            <w:r>
              <w:rPr>
                <w:sz w:val="16"/>
                <w:szCs w:val="16"/>
              </w:rPr>
              <w:t>50.41</w:t>
            </w:r>
          </w:p>
        </w:tc>
        <w:tc>
          <w:tcPr>
            <w:tcW w:w="602" w:type="pct"/>
            <w:tcBorders>
              <w:top w:val="nil"/>
              <w:left w:val="single" w:sz="6" w:space="0" w:color="auto"/>
              <w:bottom w:val="single" w:sz="4" w:space="0" w:color="auto"/>
              <w:right w:val="nil"/>
            </w:tcBorders>
            <w:shd w:val="clear" w:color="auto" w:fill="EEECE1"/>
            <w:vAlign w:val="center"/>
          </w:tcPr>
          <w:p w:rsidR="00711C86" w:rsidRPr="003D3E89" w:rsidRDefault="00E67E1C" w:rsidP="008552D7">
            <w:pPr>
              <w:jc w:val="center"/>
              <w:rPr>
                <w:sz w:val="16"/>
                <w:szCs w:val="16"/>
              </w:rPr>
            </w:pPr>
            <w:r>
              <w:rPr>
                <w:sz w:val="16"/>
                <w:szCs w:val="16"/>
              </w:rPr>
              <w:t>6366</w:t>
            </w:r>
          </w:p>
        </w:tc>
        <w:tc>
          <w:tcPr>
            <w:tcW w:w="469" w:type="pct"/>
            <w:tcBorders>
              <w:top w:val="nil"/>
              <w:left w:val="nil"/>
              <w:bottom w:val="single" w:sz="4" w:space="0" w:color="auto"/>
              <w:right w:val="nil"/>
            </w:tcBorders>
            <w:shd w:val="clear" w:color="auto" w:fill="EEECE1"/>
            <w:vAlign w:val="center"/>
          </w:tcPr>
          <w:p w:rsidR="00711C86" w:rsidRPr="003D3E89" w:rsidRDefault="00E67E1C" w:rsidP="008552D7">
            <w:pPr>
              <w:jc w:val="center"/>
              <w:rPr>
                <w:sz w:val="16"/>
                <w:szCs w:val="16"/>
              </w:rPr>
            </w:pPr>
            <w:r>
              <w:rPr>
                <w:sz w:val="16"/>
                <w:szCs w:val="16"/>
              </w:rPr>
              <w:t>6187</w:t>
            </w:r>
          </w:p>
        </w:tc>
        <w:tc>
          <w:tcPr>
            <w:tcW w:w="469" w:type="pct"/>
            <w:tcBorders>
              <w:top w:val="nil"/>
              <w:left w:val="nil"/>
              <w:bottom w:val="single" w:sz="4" w:space="0" w:color="auto"/>
              <w:right w:val="single" w:sz="6" w:space="0" w:color="auto"/>
            </w:tcBorders>
            <w:shd w:val="clear" w:color="auto" w:fill="EEECE1"/>
            <w:vAlign w:val="center"/>
          </w:tcPr>
          <w:p w:rsidR="00711C86" w:rsidRPr="003D3E89" w:rsidRDefault="00E67E1C" w:rsidP="008552D7">
            <w:pPr>
              <w:jc w:val="center"/>
              <w:rPr>
                <w:sz w:val="16"/>
                <w:szCs w:val="16"/>
              </w:rPr>
            </w:pPr>
            <w:r>
              <w:rPr>
                <w:sz w:val="16"/>
                <w:szCs w:val="16"/>
              </w:rPr>
              <w:t>6230</w:t>
            </w:r>
          </w:p>
        </w:tc>
        <w:tc>
          <w:tcPr>
            <w:tcW w:w="392" w:type="pct"/>
            <w:tcBorders>
              <w:top w:val="nil"/>
              <w:left w:val="single" w:sz="6" w:space="0" w:color="auto"/>
              <w:bottom w:val="single" w:sz="4" w:space="0" w:color="auto"/>
              <w:right w:val="nil"/>
            </w:tcBorders>
            <w:shd w:val="clear" w:color="auto" w:fill="EEECE1"/>
            <w:vAlign w:val="center"/>
          </w:tcPr>
          <w:p w:rsidR="00711C86" w:rsidRPr="003D3E89" w:rsidRDefault="00E67E1C" w:rsidP="008552D7">
            <w:pPr>
              <w:jc w:val="center"/>
              <w:rPr>
                <w:sz w:val="16"/>
                <w:szCs w:val="16"/>
              </w:rPr>
            </w:pPr>
            <w:r>
              <w:rPr>
                <w:sz w:val="16"/>
                <w:szCs w:val="16"/>
              </w:rPr>
              <w:t>9506</w:t>
            </w:r>
          </w:p>
        </w:tc>
        <w:tc>
          <w:tcPr>
            <w:tcW w:w="469" w:type="pct"/>
            <w:tcBorders>
              <w:top w:val="nil"/>
              <w:left w:val="nil"/>
              <w:bottom w:val="single" w:sz="4" w:space="0" w:color="auto"/>
              <w:right w:val="nil"/>
            </w:tcBorders>
            <w:shd w:val="clear" w:color="auto" w:fill="EEECE1"/>
            <w:vAlign w:val="center"/>
          </w:tcPr>
          <w:p w:rsidR="00711C86" w:rsidRPr="003D3E89" w:rsidRDefault="00E67E1C" w:rsidP="008552D7">
            <w:pPr>
              <w:jc w:val="center"/>
              <w:rPr>
                <w:sz w:val="16"/>
                <w:szCs w:val="16"/>
              </w:rPr>
            </w:pPr>
            <w:r>
              <w:rPr>
                <w:sz w:val="16"/>
                <w:szCs w:val="16"/>
              </w:rPr>
              <w:t>9609</w:t>
            </w:r>
          </w:p>
        </w:tc>
        <w:tc>
          <w:tcPr>
            <w:tcW w:w="469" w:type="pct"/>
            <w:tcBorders>
              <w:top w:val="nil"/>
              <w:left w:val="nil"/>
              <w:bottom w:val="single" w:sz="4" w:space="0" w:color="auto"/>
              <w:right w:val="single" w:sz="4" w:space="0" w:color="auto"/>
            </w:tcBorders>
            <w:shd w:val="clear" w:color="auto" w:fill="EEECE1"/>
            <w:vAlign w:val="center"/>
          </w:tcPr>
          <w:p w:rsidR="00711C86" w:rsidRPr="003D3E89" w:rsidRDefault="00E67E1C" w:rsidP="008552D7">
            <w:pPr>
              <w:jc w:val="center"/>
              <w:rPr>
                <w:sz w:val="16"/>
                <w:szCs w:val="16"/>
              </w:rPr>
            </w:pPr>
            <w:r>
              <w:rPr>
                <w:sz w:val="16"/>
                <w:szCs w:val="16"/>
              </w:rPr>
              <w:t>10 007</w:t>
            </w:r>
          </w:p>
        </w:tc>
      </w:tr>
    </w:tbl>
    <w:p w:rsidR="00460C30" w:rsidRPr="00460C30" w:rsidRDefault="00460C30" w:rsidP="00460C30">
      <w:pPr>
        <w:pStyle w:val="AERbodytext"/>
        <w:spacing w:after="120"/>
        <w:rPr>
          <w:sz w:val="16"/>
          <w:szCs w:val="16"/>
        </w:rPr>
      </w:pPr>
    </w:p>
    <w:p w:rsidR="00270F64" w:rsidRDefault="00270F64" w:rsidP="00270F64">
      <w:pPr>
        <w:pStyle w:val="AERbodytext"/>
      </w:pPr>
      <w:r>
        <w:t xml:space="preserve">Demand was 179 MW greater than that forecast four hours ahead and available capacity 103 MW less than that forecast four hours ahead. </w:t>
      </w:r>
      <w:r w:rsidR="001B42AF">
        <w:t>The morning peak was higher than usual above 6500 MW by 7 am.</w:t>
      </w:r>
    </w:p>
    <w:p w:rsidR="00212C5F" w:rsidRDefault="008C12B8" w:rsidP="00460C30">
      <w:pPr>
        <w:pStyle w:val="AERbodytext"/>
      </w:pPr>
      <w:r>
        <w:t xml:space="preserve">At </w:t>
      </w:r>
      <w:r w:rsidR="00212C5F">
        <w:t>6.</w:t>
      </w:r>
      <w:r w:rsidR="00212C5F" w:rsidRPr="00460C30">
        <w:t>45</w:t>
      </w:r>
      <w:r w:rsidRPr="00460C30">
        <w:t> </w:t>
      </w:r>
      <w:r w:rsidR="00212C5F">
        <w:t xml:space="preserve">am, </w:t>
      </w:r>
      <w:r>
        <w:t xml:space="preserve">effective for </w:t>
      </w:r>
      <w:r w:rsidR="00212C5F">
        <w:t>6.55</w:t>
      </w:r>
      <w:r>
        <w:t> </w:t>
      </w:r>
      <w:r w:rsidR="00212C5F">
        <w:t>a</w:t>
      </w:r>
      <w:r w:rsidR="00212C5F" w:rsidRPr="00263E6C">
        <w:t xml:space="preserve">m </w:t>
      </w:r>
      <w:r>
        <w:t xml:space="preserve">and 7 am </w:t>
      </w:r>
      <w:r w:rsidR="00212C5F" w:rsidRPr="00263E6C">
        <w:t>dispatch interval</w:t>
      </w:r>
      <w:r>
        <w:t>s</w:t>
      </w:r>
      <w:r w:rsidR="00212C5F" w:rsidRPr="00263E6C">
        <w:t xml:space="preserve">, </w:t>
      </w:r>
      <w:r w:rsidR="00212C5F">
        <w:t>CS Energy rebid 250</w:t>
      </w:r>
      <w:r>
        <w:t> </w:t>
      </w:r>
      <w:r w:rsidR="00212C5F" w:rsidRPr="00323FE2">
        <w:t xml:space="preserve">MW of </w:t>
      </w:r>
      <w:r w:rsidR="00F6229A">
        <w:t xml:space="preserve">available </w:t>
      </w:r>
      <w:r w:rsidR="00212C5F" w:rsidRPr="00323FE2">
        <w:t xml:space="preserve">capacity at Gladstone </w:t>
      </w:r>
      <w:r w:rsidR="00F6229A">
        <w:t xml:space="preserve">from </w:t>
      </w:r>
      <w:r w:rsidR="00212C5F">
        <w:t>price</w:t>
      </w:r>
      <w:r w:rsidR="00F6229A">
        <w:t>s</w:t>
      </w:r>
      <w:r w:rsidR="00212C5F">
        <w:t xml:space="preserve"> below $150</w:t>
      </w:r>
      <w:r w:rsidR="00212C5F" w:rsidRPr="00323FE2">
        <w:t xml:space="preserve">/MWh </w:t>
      </w:r>
      <w:r w:rsidR="00F6229A">
        <w:t xml:space="preserve">(a majority of which was priced below $60/MWh) </w:t>
      </w:r>
      <w:r w:rsidR="00212C5F" w:rsidRPr="00323FE2">
        <w:t>to the price cap. The rea</w:t>
      </w:r>
      <w:r w:rsidR="00212C5F">
        <w:t xml:space="preserve">son </w:t>
      </w:r>
      <w:r w:rsidR="00F6229A">
        <w:t>given</w:t>
      </w:r>
      <w:r w:rsidR="00212C5F">
        <w:t xml:space="preserve"> was “</w:t>
      </w:r>
      <w:r w:rsidR="00212C5F" w:rsidRPr="00212C5F">
        <w:t xml:space="preserve">0643A </w:t>
      </w:r>
      <w:r w:rsidR="00F6229A" w:rsidRPr="00212C5F">
        <w:t>5min pd price higher than 30min forecast</w:t>
      </w:r>
      <w:r w:rsidR="00212C5F" w:rsidRPr="00212C5F">
        <w:t>-SL</w:t>
      </w:r>
      <w:r w:rsidR="00212C5F" w:rsidRPr="00323FE2">
        <w:t xml:space="preserve">”. </w:t>
      </w:r>
    </w:p>
    <w:p w:rsidR="00F6229A" w:rsidRDefault="00F6229A" w:rsidP="00460C30">
      <w:pPr>
        <w:pStyle w:val="AERbodytext"/>
      </w:pPr>
      <w:r>
        <w:t xml:space="preserve">At 6.51 am, effective for 7 am, Alinta Energy rebid 53 MW of available capacity </w:t>
      </w:r>
      <w:r w:rsidR="00460C30">
        <w:t xml:space="preserve">at Braemar unit 1 </w:t>
      </w:r>
      <w:r>
        <w:t xml:space="preserve">from prices below $50/MWh to </w:t>
      </w:r>
      <w:r w:rsidR="00642EE8">
        <w:t xml:space="preserve">above </w:t>
      </w:r>
      <w:r>
        <w:t>$</w:t>
      </w:r>
      <w:r w:rsidR="00642EE8">
        <w:t>9700</w:t>
      </w:r>
      <w:r>
        <w:t>/MWh. The reason given was “</w:t>
      </w:r>
      <w:r w:rsidRPr="00F6229A">
        <w:t xml:space="preserve">0650A </w:t>
      </w:r>
      <w:r w:rsidRPr="00460C30">
        <w:t xml:space="preserve">constraint management </w:t>
      </w:r>
      <w:r w:rsidRPr="00F6229A">
        <w:t>- N^^Q_NIL_B1@06:51</w:t>
      </w:r>
      <w:r>
        <w:t>”.</w:t>
      </w:r>
    </w:p>
    <w:p w:rsidR="00F6229A" w:rsidRDefault="00F6229A" w:rsidP="00460C30">
      <w:pPr>
        <w:pStyle w:val="AERbodytext"/>
      </w:pPr>
      <w:r>
        <w:t xml:space="preserve">At 6.52 am, effective for 7 am, Stanwell rebid 36 MW of available capacity </w:t>
      </w:r>
      <w:r w:rsidR="00460C30">
        <w:t xml:space="preserve">at Kareeya </w:t>
      </w:r>
      <w:r>
        <w:t>from prices below zero to the price cap. The reason given was “</w:t>
      </w:r>
      <w:r w:rsidRPr="00F6229A">
        <w:t>065</w:t>
      </w:r>
      <w:r>
        <w:t>2</w:t>
      </w:r>
      <w:r w:rsidRPr="00F6229A">
        <w:t xml:space="preserve">A </w:t>
      </w:r>
      <w:r>
        <w:t xml:space="preserve">QNI transmission </w:t>
      </w:r>
      <w:r w:rsidR="00642EE8">
        <w:t>constraint</w:t>
      </w:r>
      <w:r w:rsidRPr="00460C30">
        <w:t>:</w:t>
      </w:r>
      <w:r w:rsidR="00642EE8">
        <w:t xml:space="preserve"> </w:t>
      </w:r>
      <w:r w:rsidRPr="00460C30">
        <w:t>SL</w:t>
      </w:r>
      <w:r>
        <w:t>”.</w:t>
      </w:r>
    </w:p>
    <w:p w:rsidR="00F6229A" w:rsidRPr="00323FE2" w:rsidRDefault="00460C30" w:rsidP="00460C30">
      <w:pPr>
        <w:pStyle w:val="AERbodytext"/>
      </w:pPr>
      <w:r>
        <w:t xml:space="preserve">The five minute price went from $63/MWh at 6.50 am to $298/MWh at 6.55 am </w:t>
      </w:r>
      <w:r w:rsidR="00DA0FED">
        <w:t xml:space="preserve">(when interconnector flows bound to avoid voltage collapse at Kogan Creek) </w:t>
      </w:r>
      <w:r>
        <w:t>and then to the price cap at 7 am.</w:t>
      </w:r>
    </w:p>
    <w:p w:rsidR="00CE0F79" w:rsidRDefault="00CE0F79" w:rsidP="00CE0F79">
      <w:pPr>
        <w:pStyle w:val="AERbodytext"/>
      </w:pPr>
      <w:r>
        <w:t xml:space="preserve">There was no </w:t>
      </w:r>
      <w:r w:rsidR="00212C5F">
        <w:t xml:space="preserve">other </w:t>
      </w:r>
      <w:r>
        <w:t>significant rebidding.</w:t>
      </w:r>
    </w:p>
    <w:p w:rsidR="006C019D" w:rsidRPr="00D172CD" w:rsidRDefault="006C019D" w:rsidP="00CE0F79">
      <w:pPr>
        <w:pStyle w:val="AERbodytext"/>
      </w:pPr>
    </w:p>
    <w:p w:rsidR="00027020" w:rsidRDefault="00027020" w:rsidP="00027020">
      <w:pPr>
        <w:pStyle w:val="AERbodytext"/>
        <w:rPr>
          <w:b/>
        </w:rPr>
      </w:pPr>
      <w:r>
        <w:rPr>
          <w:b/>
        </w:rPr>
        <w:t xml:space="preserve">Table </w:t>
      </w:r>
      <w:r w:rsidR="00AB2D03">
        <w:rPr>
          <w:b/>
        </w:rPr>
        <w:t>4</w:t>
      </w:r>
      <w:r>
        <w:rPr>
          <w:b/>
        </w:rPr>
        <w:t xml:space="preserve">: </w:t>
      </w:r>
      <w:r w:rsidR="00E67E1C">
        <w:rPr>
          <w:b/>
        </w:rPr>
        <w:t>Queensland, Wednesday 18 June</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829"/>
        <w:gridCol w:w="934"/>
        <w:gridCol w:w="936"/>
        <w:gridCol w:w="935"/>
        <w:gridCol w:w="935"/>
        <w:gridCol w:w="933"/>
        <w:gridCol w:w="935"/>
        <w:gridCol w:w="935"/>
        <w:gridCol w:w="935"/>
        <w:gridCol w:w="935"/>
        <w:tblGridChange w:id="10">
          <w:tblGrid>
            <w:gridCol w:w="829"/>
            <w:gridCol w:w="934"/>
            <w:gridCol w:w="936"/>
            <w:gridCol w:w="935"/>
            <w:gridCol w:w="935"/>
            <w:gridCol w:w="933"/>
            <w:gridCol w:w="935"/>
            <w:gridCol w:w="935"/>
            <w:gridCol w:w="935"/>
            <w:gridCol w:w="935"/>
          </w:tblGrid>
        </w:tblGridChange>
      </w:tblGrid>
      <w:tr w:rsidR="00711C86" w:rsidRPr="003D3E89" w:rsidTr="000C738D">
        <w:tc>
          <w:tcPr>
            <w:tcW w:w="448" w:type="pct"/>
            <w:tcBorders>
              <w:top w:val="single" w:sz="4" w:space="0" w:color="auto"/>
              <w:left w:val="single" w:sz="4" w:space="0" w:color="auto"/>
              <w:bottom w:val="nil"/>
            </w:tcBorders>
            <w:shd w:val="clear" w:color="auto" w:fill="4A442A"/>
            <w:noWrap/>
          </w:tcPr>
          <w:p w:rsidR="00711C86" w:rsidRPr="00711C86" w:rsidRDefault="00711C86" w:rsidP="000D5AFF">
            <w:pPr>
              <w:autoSpaceDE w:val="0"/>
              <w:autoSpaceDN w:val="0"/>
              <w:adjustRightInd w:val="0"/>
              <w:spacing w:before="100" w:after="100"/>
              <w:jc w:val="center"/>
              <w:rPr>
                <w:b/>
                <w:bCs/>
                <w:color w:val="FFFFFF"/>
                <w:sz w:val="16"/>
                <w:szCs w:val="16"/>
              </w:rPr>
            </w:pPr>
            <w:r w:rsidRPr="00711C86">
              <w:rPr>
                <w:b/>
                <w:bCs/>
                <w:color w:val="FFFFFF"/>
                <w:sz w:val="16"/>
                <w:szCs w:val="16"/>
              </w:rPr>
              <w:t>Time</w:t>
            </w:r>
          </w:p>
        </w:tc>
        <w:tc>
          <w:tcPr>
            <w:tcW w:w="1517" w:type="pct"/>
            <w:gridSpan w:val="3"/>
            <w:tcBorders>
              <w:top w:val="single" w:sz="4" w:space="0" w:color="auto"/>
              <w:bottom w:val="nil"/>
            </w:tcBorders>
            <w:shd w:val="clear" w:color="auto" w:fill="4A442A"/>
            <w:noWrap/>
          </w:tcPr>
          <w:p w:rsidR="00711C86" w:rsidRPr="00711C86" w:rsidRDefault="00711C86" w:rsidP="000D5AFF">
            <w:pPr>
              <w:autoSpaceDE w:val="0"/>
              <w:autoSpaceDN w:val="0"/>
              <w:adjustRightInd w:val="0"/>
              <w:spacing w:before="100" w:after="100"/>
              <w:jc w:val="center"/>
              <w:rPr>
                <w:b/>
                <w:bCs/>
                <w:color w:val="FFFFFF"/>
                <w:sz w:val="16"/>
                <w:szCs w:val="16"/>
              </w:rPr>
            </w:pPr>
            <w:r w:rsidRPr="00711C86">
              <w:rPr>
                <w:b/>
                <w:bCs/>
                <w:color w:val="FFFFFF"/>
                <w:sz w:val="16"/>
                <w:szCs w:val="16"/>
              </w:rPr>
              <w:t>Price ($/MWh)</w:t>
            </w:r>
          </w:p>
        </w:tc>
        <w:tc>
          <w:tcPr>
            <w:tcW w:w="1517" w:type="pct"/>
            <w:gridSpan w:val="3"/>
            <w:tcBorders>
              <w:top w:val="single" w:sz="4" w:space="0" w:color="auto"/>
              <w:bottom w:val="nil"/>
            </w:tcBorders>
            <w:shd w:val="clear" w:color="auto" w:fill="4A442A"/>
          </w:tcPr>
          <w:p w:rsidR="00711C86" w:rsidRPr="00711C86" w:rsidDel="0074250B" w:rsidRDefault="00711C86" w:rsidP="000D5AFF">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518" w:type="pct"/>
            <w:gridSpan w:val="3"/>
            <w:tcBorders>
              <w:top w:val="single" w:sz="4" w:space="0" w:color="auto"/>
              <w:bottom w:val="nil"/>
              <w:right w:val="single" w:sz="4" w:space="0" w:color="auto"/>
            </w:tcBorders>
            <w:shd w:val="clear" w:color="auto" w:fill="4A442A"/>
          </w:tcPr>
          <w:p w:rsidR="00711C86" w:rsidRPr="00711C86" w:rsidDel="0074250B" w:rsidRDefault="00711C86" w:rsidP="000D5AFF">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0C738D" w:rsidRPr="003D3E89" w:rsidTr="000C738D">
        <w:tc>
          <w:tcPr>
            <w:tcW w:w="448" w:type="pct"/>
            <w:tcBorders>
              <w:top w:val="nil"/>
              <w:left w:val="single" w:sz="4" w:space="0" w:color="auto"/>
              <w:bottom w:val="nil"/>
              <w:right w:val="single" w:sz="6" w:space="0" w:color="auto"/>
            </w:tcBorders>
            <w:shd w:val="clear" w:color="auto" w:fill="DDD9C3"/>
            <w:noWrap/>
          </w:tcPr>
          <w:p w:rsidR="00711C86" w:rsidRPr="003D3E89" w:rsidRDefault="00711C86" w:rsidP="000D5AFF">
            <w:pPr>
              <w:autoSpaceDE w:val="0"/>
              <w:autoSpaceDN w:val="0"/>
              <w:adjustRightInd w:val="0"/>
              <w:spacing w:before="100" w:after="100"/>
              <w:jc w:val="center"/>
              <w:rPr>
                <w:b/>
                <w:bCs/>
                <w:sz w:val="16"/>
                <w:szCs w:val="16"/>
              </w:rPr>
            </w:pPr>
          </w:p>
        </w:tc>
        <w:tc>
          <w:tcPr>
            <w:tcW w:w="505" w:type="pct"/>
            <w:tcBorders>
              <w:top w:val="nil"/>
              <w:left w:val="single" w:sz="6" w:space="0" w:color="auto"/>
              <w:bottom w:val="nil"/>
              <w:right w:val="nil"/>
            </w:tcBorders>
            <w:shd w:val="clear" w:color="auto" w:fill="DDD9C3"/>
            <w:noWrap/>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Actual</w:t>
            </w:r>
          </w:p>
        </w:tc>
        <w:tc>
          <w:tcPr>
            <w:tcW w:w="506" w:type="pct"/>
            <w:tcBorders>
              <w:top w:val="nil"/>
              <w:left w:val="nil"/>
              <w:bottom w:val="nil"/>
              <w:right w:val="nil"/>
            </w:tcBorders>
            <w:shd w:val="clear" w:color="auto" w:fill="DDD9C3"/>
            <w:noWrap/>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4 hr forecast</w:t>
            </w:r>
          </w:p>
        </w:tc>
        <w:tc>
          <w:tcPr>
            <w:tcW w:w="506" w:type="pct"/>
            <w:tcBorders>
              <w:top w:val="nil"/>
              <w:left w:val="nil"/>
              <w:bottom w:val="nil"/>
              <w:right w:val="single" w:sz="6" w:space="0" w:color="auto"/>
            </w:tcBorders>
            <w:shd w:val="clear" w:color="auto" w:fill="DDD9C3"/>
            <w:noWrap/>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12 hr forecast</w:t>
            </w:r>
          </w:p>
        </w:tc>
        <w:tc>
          <w:tcPr>
            <w:tcW w:w="506" w:type="pct"/>
            <w:tcBorders>
              <w:top w:val="nil"/>
              <w:left w:val="single" w:sz="6" w:space="0" w:color="auto"/>
              <w:bottom w:val="nil"/>
              <w:right w:val="nil"/>
            </w:tcBorders>
            <w:shd w:val="clear" w:color="auto" w:fill="DDD9C3"/>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Actual</w:t>
            </w:r>
          </w:p>
        </w:tc>
        <w:tc>
          <w:tcPr>
            <w:tcW w:w="505" w:type="pct"/>
            <w:tcBorders>
              <w:top w:val="nil"/>
              <w:left w:val="nil"/>
              <w:bottom w:val="nil"/>
              <w:right w:val="nil"/>
            </w:tcBorders>
            <w:shd w:val="clear" w:color="auto" w:fill="DDD9C3"/>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4 hr forecast</w:t>
            </w:r>
          </w:p>
        </w:tc>
        <w:tc>
          <w:tcPr>
            <w:tcW w:w="506" w:type="pct"/>
            <w:tcBorders>
              <w:top w:val="nil"/>
              <w:left w:val="nil"/>
              <w:bottom w:val="nil"/>
              <w:right w:val="single" w:sz="6" w:space="0" w:color="auto"/>
            </w:tcBorders>
            <w:shd w:val="clear" w:color="auto" w:fill="DDD9C3"/>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12 hr forecast</w:t>
            </w:r>
          </w:p>
        </w:tc>
        <w:tc>
          <w:tcPr>
            <w:tcW w:w="506" w:type="pct"/>
            <w:tcBorders>
              <w:top w:val="nil"/>
              <w:left w:val="single" w:sz="6" w:space="0" w:color="auto"/>
              <w:bottom w:val="nil"/>
              <w:right w:val="nil"/>
            </w:tcBorders>
            <w:shd w:val="clear" w:color="auto" w:fill="DDD9C3"/>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Actual</w:t>
            </w:r>
          </w:p>
        </w:tc>
        <w:tc>
          <w:tcPr>
            <w:tcW w:w="506" w:type="pct"/>
            <w:tcBorders>
              <w:top w:val="nil"/>
              <w:left w:val="nil"/>
              <w:bottom w:val="nil"/>
              <w:right w:val="nil"/>
            </w:tcBorders>
            <w:shd w:val="clear" w:color="auto" w:fill="DDD9C3"/>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4 hr forecast</w:t>
            </w:r>
          </w:p>
        </w:tc>
        <w:tc>
          <w:tcPr>
            <w:tcW w:w="506" w:type="pct"/>
            <w:tcBorders>
              <w:top w:val="nil"/>
              <w:left w:val="nil"/>
              <w:bottom w:val="nil"/>
              <w:right w:val="single" w:sz="4" w:space="0" w:color="auto"/>
            </w:tcBorders>
            <w:shd w:val="clear" w:color="auto" w:fill="DDD9C3"/>
          </w:tcPr>
          <w:p w:rsidR="00711C86" w:rsidRPr="003D3E89" w:rsidRDefault="00711C86" w:rsidP="000D5AFF">
            <w:pPr>
              <w:autoSpaceDE w:val="0"/>
              <w:autoSpaceDN w:val="0"/>
              <w:adjustRightInd w:val="0"/>
              <w:spacing w:before="100" w:after="100"/>
              <w:jc w:val="center"/>
              <w:rPr>
                <w:b/>
                <w:bCs/>
                <w:sz w:val="16"/>
                <w:szCs w:val="16"/>
              </w:rPr>
            </w:pPr>
            <w:r w:rsidRPr="003D3E89">
              <w:rPr>
                <w:b/>
                <w:bCs/>
                <w:sz w:val="16"/>
                <w:szCs w:val="16"/>
              </w:rPr>
              <w:t>12 hr forecast</w:t>
            </w:r>
          </w:p>
        </w:tc>
      </w:tr>
      <w:tr w:rsidR="000C738D" w:rsidRPr="003D3E89" w:rsidTr="000C738D">
        <w:tc>
          <w:tcPr>
            <w:tcW w:w="448" w:type="pct"/>
            <w:tcBorders>
              <w:top w:val="nil"/>
              <w:left w:val="single" w:sz="4" w:space="0" w:color="auto"/>
              <w:bottom w:val="single" w:sz="4" w:space="0" w:color="auto"/>
              <w:right w:val="single" w:sz="6" w:space="0" w:color="auto"/>
            </w:tcBorders>
            <w:shd w:val="clear" w:color="auto" w:fill="EEECE1"/>
            <w:noWrap/>
          </w:tcPr>
          <w:p w:rsidR="00711C86" w:rsidRPr="003D3E89" w:rsidRDefault="00E67E1C" w:rsidP="000D5AFF">
            <w:pPr>
              <w:autoSpaceDE w:val="0"/>
              <w:autoSpaceDN w:val="0"/>
              <w:adjustRightInd w:val="0"/>
              <w:spacing w:before="100" w:after="100"/>
              <w:jc w:val="center"/>
              <w:rPr>
                <w:b/>
                <w:bCs/>
                <w:sz w:val="16"/>
                <w:szCs w:val="16"/>
              </w:rPr>
            </w:pPr>
            <w:r>
              <w:rPr>
                <w:b/>
                <w:bCs/>
                <w:sz w:val="16"/>
                <w:szCs w:val="16"/>
              </w:rPr>
              <w:t>7.00 A</w:t>
            </w:r>
            <w:r w:rsidR="00711C86" w:rsidRPr="003D3E89">
              <w:rPr>
                <w:b/>
                <w:bCs/>
                <w:sz w:val="16"/>
                <w:szCs w:val="16"/>
              </w:rPr>
              <w:t>M</w:t>
            </w:r>
          </w:p>
        </w:tc>
        <w:tc>
          <w:tcPr>
            <w:tcW w:w="505" w:type="pct"/>
            <w:tcBorders>
              <w:top w:val="nil"/>
              <w:left w:val="single" w:sz="6" w:space="0" w:color="auto"/>
              <w:bottom w:val="single" w:sz="4" w:space="0" w:color="auto"/>
              <w:right w:val="nil"/>
            </w:tcBorders>
            <w:shd w:val="clear" w:color="auto" w:fill="EEECE1"/>
            <w:noWrap/>
            <w:vAlign w:val="center"/>
          </w:tcPr>
          <w:p w:rsidR="00711C86" w:rsidRPr="003D3E89" w:rsidRDefault="00E67E1C" w:rsidP="000D5AFF">
            <w:pPr>
              <w:jc w:val="center"/>
              <w:rPr>
                <w:sz w:val="16"/>
                <w:szCs w:val="16"/>
              </w:rPr>
            </w:pPr>
            <w:r>
              <w:rPr>
                <w:sz w:val="16"/>
                <w:szCs w:val="16"/>
              </w:rPr>
              <w:t>2238.78</w:t>
            </w:r>
          </w:p>
        </w:tc>
        <w:tc>
          <w:tcPr>
            <w:tcW w:w="506" w:type="pct"/>
            <w:tcBorders>
              <w:top w:val="nil"/>
              <w:left w:val="nil"/>
              <w:bottom w:val="single" w:sz="4" w:space="0" w:color="auto"/>
              <w:right w:val="nil"/>
            </w:tcBorders>
            <w:shd w:val="clear" w:color="auto" w:fill="EEECE1"/>
            <w:noWrap/>
            <w:vAlign w:val="center"/>
          </w:tcPr>
          <w:p w:rsidR="00711C86" w:rsidRPr="003D3E89" w:rsidRDefault="00E67E1C" w:rsidP="000D5AFF">
            <w:pPr>
              <w:jc w:val="center"/>
              <w:rPr>
                <w:sz w:val="16"/>
                <w:szCs w:val="16"/>
              </w:rPr>
            </w:pPr>
            <w:r>
              <w:rPr>
                <w:sz w:val="16"/>
                <w:szCs w:val="16"/>
              </w:rPr>
              <w:t>55.90</w:t>
            </w:r>
          </w:p>
        </w:tc>
        <w:tc>
          <w:tcPr>
            <w:tcW w:w="506" w:type="pct"/>
            <w:tcBorders>
              <w:top w:val="nil"/>
              <w:left w:val="nil"/>
              <w:bottom w:val="single" w:sz="4" w:space="0" w:color="auto"/>
              <w:right w:val="single" w:sz="6" w:space="0" w:color="auto"/>
            </w:tcBorders>
            <w:shd w:val="clear" w:color="auto" w:fill="EEECE1"/>
            <w:noWrap/>
            <w:vAlign w:val="center"/>
          </w:tcPr>
          <w:p w:rsidR="00711C86" w:rsidRPr="003D3E89" w:rsidRDefault="00E67E1C" w:rsidP="000D5AFF">
            <w:pPr>
              <w:jc w:val="center"/>
              <w:rPr>
                <w:sz w:val="16"/>
                <w:szCs w:val="16"/>
              </w:rPr>
            </w:pPr>
            <w:r>
              <w:rPr>
                <w:sz w:val="16"/>
                <w:szCs w:val="16"/>
              </w:rPr>
              <w:t>52.70</w:t>
            </w:r>
          </w:p>
        </w:tc>
        <w:tc>
          <w:tcPr>
            <w:tcW w:w="506" w:type="pct"/>
            <w:tcBorders>
              <w:top w:val="nil"/>
              <w:left w:val="single" w:sz="6" w:space="0" w:color="auto"/>
              <w:bottom w:val="single" w:sz="4" w:space="0" w:color="auto"/>
              <w:right w:val="nil"/>
            </w:tcBorders>
            <w:shd w:val="clear" w:color="auto" w:fill="EEECE1"/>
            <w:vAlign w:val="center"/>
          </w:tcPr>
          <w:p w:rsidR="00711C86" w:rsidRPr="003D3E89" w:rsidRDefault="00E67E1C" w:rsidP="000D5AFF">
            <w:pPr>
              <w:jc w:val="center"/>
              <w:rPr>
                <w:sz w:val="16"/>
                <w:szCs w:val="16"/>
              </w:rPr>
            </w:pPr>
            <w:r>
              <w:rPr>
                <w:sz w:val="16"/>
                <w:szCs w:val="16"/>
              </w:rPr>
              <w:t>6304</w:t>
            </w:r>
          </w:p>
        </w:tc>
        <w:tc>
          <w:tcPr>
            <w:tcW w:w="505" w:type="pct"/>
            <w:tcBorders>
              <w:top w:val="nil"/>
              <w:left w:val="nil"/>
              <w:bottom w:val="single" w:sz="4" w:space="0" w:color="auto"/>
              <w:right w:val="nil"/>
            </w:tcBorders>
            <w:shd w:val="clear" w:color="auto" w:fill="EEECE1"/>
            <w:vAlign w:val="center"/>
          </w:tcPr>
          <w:p w:rsidR="00711C86" w:rsidRPr="003D3E89" w:rsidRDefault="00E67E1C" w:rsidP="000D5AFF">
            <w:pPr>
              <w:jc w:val="center"/>
              <w:rPr>
                <w:sz w:val="16"/>
                <w:szCs w:val="16"/>
              </w:rPr>
            </w:pPr>
            <w:r>
              <w:rPr>
                <w:sz w:val="16"/>
                <w:szCs w:val="16"/>
              </w:rPr>
              <w:t>6119</w:t>
            </w:r>
          </w:p>
        </w:tc>
        <w:tc>
          <w:tcPr>
            <w:tcW w:w="506" w:type="pct"/>
            <w:tcBorders>
              <w:top w:val="nil"/>
              <w:left w:val="nil"/>
              <w:bottom w:val="single" w:sz="4" w:space="0" w:color="auto"/>
              <w:right w:val="single" w:sz="6" w:space="0" w:color="auto"/>
            </w:tcBorders>
            <w:shd w:val="clear" w:color="auto" w:fill="EEECE1"/>
            <w:vAlign w:val="center"/>
          </w:tcPr>
          <w:p w:rsidR="00711C86" w:rsidRPr="003D3E89" w:rsidRDefault="00E67E1C" w:rsidP="000D5AFF">
            <w:pPr>
              <w:jc w:val="center"/>
              <w:rPr>
                <w:sz w:val="16"/>
                <w:szCs w:val="16"/>
              </w:rPr>
            </w:pPr>
            <w:r>
              <w:rPr>
                <w:sz w:val="16"/>
                <w:szCs w:val="16"/>
              </w:rPr>
              <w:t>6091</w:t>
            </w:r>
          </w:p>
        </w:tc>
        <w:tc>
          <w:tcPr>
            <w:tcW w:w="506" w:type="pct"/>
            <w:tcBorders>
              <w:top w:val="nil"/>
              <w:left w:val="single" w:sz="6" w:space="0" w:color="auto"/>
              <w:bottom w:val="single" w:sz="4" w:space="0" w:color="auto"/>
              <w:right w:val="nil"/>
            </w:tcBorders>
            <w:shd w:val="clear" w:color="auto" w:fill="EEECE1"/>
            <w:vAlign w:val="center"/>
          </w:tcPr>
          <w:p w:rsidR="00711C86" w:rsidRPr="003D3E89" w:rsidRDefault="00E67E1C" w:rsidP="000D5AFF">
            <w:pPr>
              <w:jc w:val="center"/>
              <w:rPr>
                <w:sz w:val="16"/>
                <w:szCs w:val="16"/>
              </w:rPr>
            </w:pPr>
            <w:r>
              <w:rPr>
                <w:sz w:val="16"/>
                <w:szCs w:val="16"/>
              </w:rPr>
              <w:t>9593</w:t>
            </w:r>
          </w:p>
        </w:tc>
        <w:tc>
          <w:tcPr>
            <w:tcW w:w="506" w:type="pct"/>
            <w:tcBorders>
              <w:top w:val="nil"/>
              <w:left w:val="nil"/>
              <w:bottom w:val="single" w:sz="4" w:space="0" w:color="auto"/>
              <w:right w:val="nil"/>
            </w:tcBorders>
            <w:shd w:val="clear" w:color="auto" w:fill="EEECE1"/>
            <w:vAlign w:val="center"/>
          </w:tcPr>
          <w:p w:rsidR="00711C86" w:rsidRPr="003D3E89" w:rsidRDefault="00E67E1C" w:rsidP="000D5AFF">
            <w:pPr>
              <w:jc w:val="center"/>
              <w:rPr>
                <w:sz w:val="16"/>
                <w:szCs w:val="16"/>
              </w:rPr>
            </w:pPr>
            <w:r>
              <w:rPr>
                <w:sz w:val="16"/>
                <w:szCs w:val="16"/>
              </w:rPr>
              <w:t>9560</w:t>
            </w:r>
          </w:p>
        </w:tc>
        <w:tc>
          <w:tcPr>
            <w:tcW w:w="506" w:type="pct"/>
            <w:tcBorders>
              <w:top w:val="nil"/>
              <w:left w:val="nil"/>
              <w:bottom w:val="single" w:sz="4" w:space="0" w:color="auto"/>
              <w:right w:val="single" w:sz="4" w:space="0" w:color="auto"/>
            </w:tcBorders>
            <w:shd w:val="clear" w:color="auto" w:fill="EEECE1"/>
            <w:vAlign w:val="center"/>
          </w:tcPr>
          <w:p w:rsidR="00711C86" w:rsidRPr="003D3E89" w:rsidRDefault="00E67E1C" w:rsidP="000D5AFF">
            <w:pPr>
              <w:jc w:val="center"/>
              <w:rPr>
                <w:sz w:val="16"/>
                <w:szCs w:val="16"/>
              </w:rPr>
            </w:pPr>
            <w:r>
              <w:rPr>
                <w:sz w:val="16"/>
                <w:szCs w:val="16"/>
              </w:rPr>
              <w:t>9699</w:t>
            </w:r>
          </w:p>
        </w:tc>
      </w:tr>
    </w:tbl>
    <w:p w:rsidR="00711C86" w:rsidRDefault="00711C86" w:rsidP="00500010">
      <w:pPr>
        <w:pStyle w:val="AERbodytext"/>
      </w:pPr>
    </w:p>
    <w:p w:rsidR="00270F64" w:rsidRPr="00270F64" w:rsidRDefault="00270F64" w:rsidP="00500010">
      <w:pPr>
        <w:pStyle w:val="AERbodytext"/>
        <w:rPr>
          <w:color w:val="000000"/>
        </w:rPr>
      </w:pPr>
      <w:r w:rsidRPr="00270F64">
        <w:rPr>
          <w:color w:val="000000"/>
        </w:rPr>
        <w:t xml:space="preserve">Demand and </w:t>
      </w:r>
      <w:r w:rsidRPr="001C620D">
        <w:rPr>
          <w:color w:val="000000"/>
        </w:rPr>
        <w:t xml:space="preserve">available capacity </w:t>
      </w:r>
      <w:r>
        <w:rPr>
          <w:color w:val="000000"/>
        </w:rPr>
        <w:t>w</w:t>
      </w:r>
      <w:r w:rsidRPr="00270F64">
        <w:rPr>
          <w:color w:val="000000"/>
        </w:rPr>
        <w:t xml:space="preserve">ere </w:t>
      </w:r>
      <w:r>
        <w:rPr>
          <w:color w:val="000000"/>
        </w:rPr>
        <w:t>around 185 MW and 33</w:t>
      </w:r>
      <w:r w:rsidRPr="00270F64">
        <w:rPr>
          <w:color w:val="000000"/>
        </w:rPr>
        <w:t xml:space="preserve"> MW </w:t>
      </w:r>
      <w:r>
        <w:rPr>
          <w:color w:val="000000"/>
        </w:rPr>
        <w:t>greater</w:t>
      </w:r>
      <w:r w:rsidRPr="00270F64">
        <w:rPr>
          <w:color w:val="000000"/>
        </w:rPr>
        <w:t xml:space="preserve"> than that forecast four hours ahead</w:t>
      </w:r>
      <w:r w:rsidR="001B42AF">
        <w:rPr>
          <w:color w:val="000000"/>
        </w:rPr>
        <w:t xml:space="preserve"> respectively, with the morning peak</w:t>
      </w:r>
      <w:r w:rsidR="003E61F2">
        <w:rPr>
          <w:color w:val="000000"/>
        </w:rPr>
        <w:t xml:space="preserve"> demand</w:t>
      </w:r>
      <w:r w:rsidR="001B42AF">
        <w:rPr>
          <w:color w:val="000000"/>
        </w:rPr>
        <w:t xml:space="preserve"> again higher than usual</w:t>
      </w:r>
      <w:r w:rsidRPr="00270F64">
        <w:rPr>
          <w:color w:val="000000"/>
        </w:rPr>
        <w:t>.</w:t>
      </w:r>
    </w:p>
    <w:p w:rsidR="00323FE2" w:rsidRDefault="00323FE2" w:rsidP="00500010">
      <w:pPr>
        <w:spacing w:after="240"/>
        <w:rPr>
          <w:lang w:eastAsia="en-US"/>
        </w:rPr>
      </w:pPr>
      <w:r>
        <w:rPr>
          <w:lang w:eastAsia="en-US"/>
        </w:rPr>
        <w:t>At 6.</w:t>
      </w:r>
      <w:r>
        <w:rPr>
          <w:rFonts w:ascii="Arial" w:eastAsia="Calibri" w:hAnsi="Arial" w:cs="Arial"/>
          <w:sz w:val="18"/>
          <w:szCs w:val="18"/>
        </w:rPr>
        <w:t>44</w:t>
      </w:r>
      <w:r w:rsidR="0080514F">
        <w:t> </w:t>
      </w:r>
      <w:r>
        <w:rPr>
          <w:lang w:eastAsia="en-US"/>
        </w:rPr>
        <w:t xml:space="preserve">am, </w:t>
      </w:r>
      <w:r>
        <w:t xml:space="preserve">effective for </w:t>
      </w:r>
      <w:r w:rsidR="0080514F">
        <w:t>6.55 a</w:t>
      </w:r>
      <w:r w:rsidR="0080514F" w:rsidRPr="00263E6C">
        <w:t xml:space="preserve">m </w:t>
      </w:r>
      <w:r w:rsidR="0080514F">
        <w:t xml:space="preserve">and 7 am </w:t>
      </w:r>
      <w:r w:rsidRPr="00263E6C">
        <w:t>dispatch interval</w:t>
      </w:r>
      <w:r w:rsidR="0080514F">
        <w:t>s</w:t>
      </w:r>
      <w:r w:rsidRPr="00263E6C">
        <w:t xml:space="preserve">, </w:t>
      </w:r>
      <w:r w:rsidR="0080514F">
        <w:rPr>
          <w:lang w:eastAsia="en-US"/>
        </w:rPr>
        <w:t>CS Energy rebid 375</w:t>
      </w:r>
      <w:r w:rsidR="00EB690D">
        <w:rPr>
          <w:lang w:eastAsia="en-US"/>
        </w:rPr>
        <w:t> </w:t>
      </w:r>
      <w:r w:rsidRPr="00323FE2">
        <w:rPr>
          <w:lang w:eastAsia="en-US"/>
        </w:rPr>
        <w:t xml:space="preserve">MW of </w:t>
      </w:r>
      <w:r w:rsidR="0080514F">
        <w:t xml:space="preserve">available </w:t>
      </w:r>
      <w:r w:rsidRPr="00323FE2">
        <w:rPr>
          <w:lang w:eastAsia="en-US"/>
        </w:rPr>
        <w:t xml:space="preserve">capacity at Gladstone </w:t>
      </w:r>
      <w:r w:rsidR="0080514F">
        <w:t xml:space="preserve">from prices </w:t>
      </w:r>
      <w:r w:rsidRPr="00323FE2">
        <w:rPr>
          <w:lang w:eastAsia="en-US"/>
        </w:rPr>
        <w:t>below $57/MWh to the price cap. The rea</w:t>
      </w:r>
      <w:r>
        <w:rPr>
          <w:lang w:eastAsia="en-US"/>
        </w:rPr>
        <w:t xml:space="preserve">son </w:t>
      </w:r>
      <w:r w:rsidR="0080514F">
        <w:rPr>
          <w:lang w:eastAsia="en-US"/>
        </w:rPr>
        <w:t xml:space="preserve">given </w:t>
      </w:r>
      <w:r>
        <w:rPr>
          <w:lang w:eastAsia="en-US"/>
        </w:rPr>
        <w:t>was “</w:t>
      </w:r>
      <w:r w:rsidRPr="00323FE2">
        <w:rPr>
          <w:lang w:eastAsia="en-US"/>
        </w:rPr>
        <w:t xml:space="preserve">0643A </w:t>
      </w:r>
      <w:r w:rsidR="00EB690D" w:rsidRPr="00323FE2">
        <w:rPr>
          <w:lang w:eastAsia="en-US"/>
        </w:rPr>
        <w:t xml:space="preserve">dispatch price higher than </w:t>
      </w:r>
      <w:r w:rsidRPr="00323FE2">
        <w:rPr>
          <w:lang w:eastAsia="en-US"/>
        </w:rPr>
        <w:t>30</w:t>
      </w:r>
      <w:r w:rsidR="00EB690D" w:rsidRPr="00323FE2">
        <w:rPr>
          <w:lang w:eastAsia="en-US"/>
        </w:rPr>
        <w:t>min</w:t>
      </w:r>
      <w:r w:rsidRPr="00323FE2">
        <w:rPr>
          <w:lang w:eastAsia="en-US"/>
        </w:rPr>
        <w:t xml:space="preserve"> </w:t>
      </w:r>
      <w:r w:rsidR="00EB690D" w:rsidRPr="00323FE2">
        <w:rPr>
          <w:lang w:eastAsia="en-US"/>
        </w:rPr>
        <w:t>forecast</w:t>
      </w:r>
      <w:r w:rsidRPr="00323FE2">
        <w:rPr>
          <w:lang w:eastAsia="en-US"/>
        </w:rPr>
        <w:t xml:space="preserve">-SL”. </w:t>
      </w:r>
    </w:p>
    <w:p w:rsidR="00500010" w:rsidRDefault="00500010" w:rsidP="00500010">
      <w:pPr>
        <w:pStyle w:val="AERbodytext"/>
      </w:pPr>
      <w:r>
        <w:t xml:space="preserve">The </w:t>
      </w:r>
      <w:r w:rsidR="001B42AF">
        <w:t>price spiked to the cap at 6.55 am despite a large (193 MW) step change in interconnector flows into Queensland, as lower priced generation was either off, dispatched at its maximum availability or ramp rate limited.</w:t>
      </w:r>
    </w:p>
    <w:p w:rsidR="001B42AF" w:rsidRDefault="001B42AF" w:rsidP="00500010">
      <w:pPr>
        <w:pStyle w:val="AERbodytext"/>
      </w:pPr>
      <w:r>
        <w:t>At 6.53 am, a number of generators rebid large amounts of capacity into lower prices effective from 7 am</w:t>
      </w:r>
      <w:r w:rsidR="000856BB">
        <w:t xml:space="preserve"> in response to the high dispatch price, totalling around 600 MW of available generation:</w:t>
      </w:r>
    </w:p>
    <w:p w:rsidR="000856BB" w:rsidRDefault="000856BB" w:rsidP="000856BB">
      <w:pPr>
        <w:numPr>
          <w:ilvl w:val="0"/>
          <w:numId w:val="15"/>
        </w:numPr>
      </w:pPr>
      <w:r>
        <w:t>Arrow rebid 223 MW of capacity at its Braemar power station units 3 and 7 from above $40/MWh to the floor</w:t>
      </w:r>
    </w:p>
    <w:p w:rsidR="000856BB" w:rsidRDefault="000856BB" w:rsidP="000856BB">
      <w:pPr>
        <w:numPr>
          <w:ilvl w:val="0"/>
          <w:numId w:val="15"/>
        </w:numPr>
      </w:pPr>
      <w:r>
        <w:t>AGL rebid 158 MW of capacity at its Oakey power station unit 2 from zero to the floor</w:t>
      </w:r>
    </w:p>
    <w:p w:rsidR="000856BB" w:rsidRDefault="000856BB" w:rsidP="000856BB">
      <w:pPr>
        <w:numPr>
          <w:ilvl w:val="0"/>
          <w:numId w:val="15"/>
        </w:numPr>
        <w:spacing w:after="240"/>
        <w:ind w:left="714" w:hanging="357"/>
      </w:pPr>
      <w:r>
        <w:t>Stanwell rebid 217 MW of capacity at its Barron, Kareeya and Swanbank units from the price cap to below $30/MWh</w:t>
      </w:r>
    </w:p>
    <w:p w:rsidR="00E925F3" w:rsidRDefault="000856BB" w:rsidP="00500010">
      <w:pPr>
        <w:pStyle w:val="AERbodytext"/>
      </w:pPr>
      <w:r>
        <w:t>Prices returned to normal from 7 am</w:t>
      </w:r>
      <w:r w:rsidR="004068A2">
        <w:t xml:space="preserve"> when the cheaper offers became effective and interconnector constraints ceased binding</w:t>
      </w:r>
      <w:r>
        <w:t>.</w:t>
      </w:r>
      <w:r w:rsidR="004068A2">
        <w:t xml:space="preserve"> </w:t>
      </w:r>
      <w:r w:rsidR="00E925F3">
        <w:t xml:space="preserve">There was no </w:t>
      </w:r>
      <w:r w:rsidR="00212C5F">
        <w:t xml:space="preserve">other </w:t>
      </w:r>
      <w:r w:rsidR="00E925F3">
        <w:t>significant rebidding.</w:t>
      </w:r>
    </w:p>
    <w:p w:rsidR="00E43854" w:rsidRDefault="00E43854" w:rsidP="00E43854">
      <w:pPr>
        <w:pStyle w:val="AERbodytext"/>
        <w:rPr>
          <w:b/>
        </w:rPr>
      </w:pPr>
      <w:r>
        <w:rPr>
          <w:b/>
        </w:rPr>
        <w:t>Table 5: South Australia, Sunday 22 June</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829"/>
        <w:gridCol w:w="989"/>
        <w:gridCol w:w="989"/>
        <w:gridCol w:w="989"/>
        <w:gridCol w:w="1349"/>
        <w:gridCol w:w="848"/>
        <w:gridCol w:w="850"/>
        <w:gridCol w:w="706"/>
        <w:gridCol w:w="850"/>
        <w:gridCol w:w="843"/>
      </w:tblGrid>
      <w:tr w:rsidR="00E43854" w:rsidRPr="003D3E89" w:rsidTr="000C738D">
        <w:tc>
          <w:tcPr>
            <w:tcW w:w="448" w:type="pct"/>
            <w:tcBorders>
              <w:top w:val="single" w:sz="4" w:space="0" w:color="auto"/>
              <w:left w:val="single" w:sz="4" w:space="0" w:color="auto"/>
              <w:bottom w:val="nil"/>
            </w:tcBorders>
            <w:shd w:val="clear" w:color="auto" w:fill="4A442A"/>
            <w:noWrap/>
          </w:tcPr>
          <w:p w:rsidR="00E43854" w:rsidRPr="00711C86" w:rsidRDefault="00E43854" w:rsidP="00A54A3B">
            <w:pPr>
              <w:autoSpaceDE w:val="0"/>
              <w:autoSpaceDN w:val="0"/>
              <w:adjustRightInd w:val="0"/>
              <w:spacing w:before="100" w:after="100"/>
              <w:jc w:val="center"/>
              <w:rPr>
                <w:b/>
                <w:bCs/>
                <w:color w:val="FFFFFF"/>
                <w:sz w:val="16"/>
                <w:szCs w:val="16"/>
              </w:rPr>
            </w:pPr>
            <w:r w:rsidRPr="00711C86">
              <w:rPr>
                <w:b/>
                <w:bCs/>
                <w:color w:val="FFFFFF"/>
                <w:sz w:val="16"/>
                <w:szCs w:val="16"/>
              </w:rPr>
              <w:t>Time</w:t>
            </w:r>
          </w:p>
        </w:tc>
        <w:tc>
          <w:tcPr>
            <w:tcW w:w="1604" w:type="pct"/>
            <w:gridSpan w:val="3"/>
            <w:tcBorders>
              <w:top w:val="single" w:sz="4" w:space="0" w:color="auto"/>
              <w:bottom w:val="nil"/>
            </w:tcBorders>
            <w:shd w:val="clear" w:color="auto" w:fill="4A442A"/>
            <w:noWrap/>
          </w:tcPr>
          <w:p w:rsidR="00E43854" w:rsidRPr="00711C86" w:rsidRDefault="00E43854" w:rsidP="00A54A3B">
            <w:pPr>
              <w:autoSpaceDE w:val="0"/>
              <w:autoSpaceDN w:val="0"/>
              <w:adjustRightInd w:val="0"/>
              <w:spacing w:before="100" w:after="100"/>
              <w:jc w:val="center"/>
              <w:rPr>
                <w:b/>
                <w:bCs/>
                <w:color w:val="FFFFFF"/>
                <w:sz w:val="16"/>
                <w:szCs w:val="16"/>
              </w:rPr>
            </w:pPr>
            <w:r w:rsidRPr="00711C86">
              <w:rPr>
                <w:b/>
                <w:bCs/>
                <w:color w:val="FFFFFF"/>
                <w:sz w:val="16"/>
                <w:szCs w:val="16"/>
              </w:rPr>
              <w:t>Price ($/MWh)</w:t>
            </w:r>
          </w:p>
        </w:tc>
        <w:tc>
          <w:tcPr>
            <w:tcW w:w="1648" w:type="pct"/>
            <w:gridSpan w:val="3"/>
            <w:tcBorders>
              <w:top w:val="single" w:sz="4" w:space="0" w:color="auto"/>
              <w:bottom w:val="nil"/>
            </w:tcBorders>
            <w:shd w:val="clear" w:color="auto" w:fill="4A442A"/>
          </w:tcPr>
          <w:p w:rsidR="00E43854" w:rsidRPr="00711C86" w:rsidDel="0074250B" w:rsidRDefault="00E43854" w:rsidP="00A54A3B">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299" w:type="pct"/>
            <w:gridSpan w:val="3"/>
            <w:tcBorders>
              <w:top w:val="single" w:sz="4" w:space="0" w:color="auto"/>
              <w:bottom w:val="nil"/>
              <w:right w:val="single" w:sz="4" w:space="0" w:color="auto"/>
            </w:tcBorders>
            <w:shd w:val="clear" w:color="auto" w:fill="4A442A"/>
          </w:tcPr>
          <w:p w:rsidR="00E43854" w:rsidRPr="00711C86" w:rsidDel="0074250B" w:rsidRDefault="00E43854" w:rsidP="00A54A3B">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0C738D" w:rsidRPr="003D3E89" w:rsidTr="000C738D">
        <w:tc>
          <w:tcPr>
            <w:tcW w:w="448" w:type="pct"/>
            <w:tcBorders>
              <w:top w:val="nil"/>
              <w:left w:val="single" w:sz="4" w:space="0" w:color="auto"/>
              <w:bottom w:val="nil"/>
              <w:right w:val="single" w:sz="6" w:space="0" w:color="auto"/>
            </w:tcBorders>
            <w:shd w:val="clear" w:color="auto" w:fill="DDD9C3"/>
            <w:noWrap/>
          </w:tcPr>
          <w:p w:rsidR="00E43854" w:rsidRPr="003D3E89" w:rsidRDefault="00E43854" w:rsidP="00A54A3B">
            <w:pPr>
              <w:autoSpaceDE w:val="0"/>
              <w:autoSpaceDN w:val="0"/>
              <w:adjustRightInd w:val="0"/>
              <w:spacing w:before="100" w:after="100"/>
              <w:jc w:val="center"/>
              <w:rPr>
                <w:b/>
                <w:bCs/>
                <w:sz w:val="16"/>
                <w:szCs w:val="16"/>
              </w:rPr>
            </w:pPr>
          </w:p>
        </w:tc>
        <w:tc>
          <w:tcPr>
            <w:tcW w:w="535" w:type="pct"/>
            <w:tcBorders>
              <w:top w:val="nil"/>
              <w:left w:val="single" w:sz="6" w:space="0" w:color="auto"/>
              <w:bottom w:val="nil"/>
              <w:right w:val="nil"/>
            </w:tcBorders>
            <w:shd w:val="clear" w:color="auto" w:fill="DDD9C3"/>
            <w:noWrap/>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Actual</w:t>
            </w:r>
          </w:p>
        </w:tc>
        <w:tc>
          <w:tcPr>
            <w:tcW w:w="535" w:type="pct"/>
            <w:tcBorders>
              <w:top w:val="nil"/>
              <w:left w:val="nil"/>
              <w:bottom w:val="nil"/>
              <w:right w:val="nil"/>
            </w:tcBorders>
            <w:shd w:val="clear" w:color="auto" w:fill="DDD9C3"/>
            <w:noWrap/>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4 hr forecast</w:t>
            </w:r>
          </w:p>
        </w:tc>
        <w:tc>
          <w:tcPr>
            <w:tcW w:w="535" w:type="pct"/>
            <w:tcBorders>
              <w:top w:val="nil"/>
              <w:left w:val="nil"/>
              <w:bottom w:val="nil"/>
              <w:right w:val="single" w:sz="6" w:space="0" w:color="auto"/>
            </w:tcBorders>
            <w:shd w:val="clear" w:color="auto" w:fill="DDD9C3"/>
            <w:noWrap/>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12 hr forecast</w:t>
            </w:r>
          </w:p>
        </w:tc>
        <w:tc>
          <w:tcPr>
            <w:tcW w:w="730" w:type="pct"/>
            <w:tcBorders>
              <w:top w:val="nil"/>
              <w:left w:val="single" w:sz="6" w:space="0" w:color="auto"/>
              <w:bottom w:val="nil"/>
              <w:right w:val="nil"/>
            </w:tcBorders>
            <w:shd w:val="clear" w:color="auto" w:fill="DDD9C3"/>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Actual</w:t>
            </w:r>
          </w:p>
        </w:tc>
        <w:tc>
          <w:tcPr>
            <w:tcW w:w="459" w:type="pct"/>
            <w:tcBorders>
              <w:top w:val="nil"/>
              <w:left w:val="nil"/>
              <w:bottom w:val="nil"/>
              <w:right w:val="nil"/>
            </w:tcBorders>
            <w:shd w:val="clear" w:color="auto" w:fill="DDD9C3"/>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4 hr forecast</w:t>
            </w:r>
          </w:p>
        </w:tc>
        <w:tc>
          <w:tcPr>
            <w:tcW w:w="460" w:type="pct"/>
            <w:tcBorders>
              <w:top w:val="nil"/>
              <w:left w:val="nil"/>
              <w:bottom w:val="nil"/>
              <w:right w:val="single" w:sz="6" w:space="0" w:color="auto"/>
            </w:tcBorders>
            <w:shd w:val="clear" w:color="auto" w:fill="DDD9C3"/>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12 hr forecast</w:t>
            </w:r>
          </w:p>
        </w:tc>
        <w:tc>
          <w:tcPr>
            <w:tcW w:w="382" w:type="pct"/>
            <w:tcBorders>
              <w:top w:val="nil"/>
              <w:left w:val="single" w:sz="6" w:space="0" w:color="auto"/>
              <w:bottom w:val="nil"/>
              <w:right w:val="nil"/>
            </w:tcBorders>
            <w:shd w:val="clear" w:color="auto" w:fill="DDD9C3"/>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Actual</w:t>
            </w:r>
          </w:p>
        </w:tc>
        <w:tc>
          <w:tcPr>
            <w:tcW w:w="460" w:type="pct"/>
            <w:tcBorders>
              <w:top w:val="nil"/>
              <w:left w:val="nil"/>
              <w:bottom w:val="nil"/>
              <w:right w:val="nil"/>
            </w:tcBorders>
            <w:shd w:val="clear" w:color="auto" w:fill="DDD9C3"/>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4 hr forecast</w:t>
            </w:r>
          </w:p>
        </w:tc>
        <w:tc>
          <w:tcPr>
            <w:tcW w:w="457" w:type="pct"/>
            <w:tcBorders>
              <w:top w:val="nil"/>
              <w:left w:val="nil"/>
              <w:bottom w:val="nil"/>
              <w:right w:val="single" w:sz="4" w:space="0" w:color="auto"/>
            </w:tcBorders>
            <w:shd w:val="clear" w:color="auto" w:fill="DDD9C3"/>
          </w:tcPr>
          <w:p w:rsidR="00E43854" w:rsidRPr="003D3E89" w:rsidRDefault="00E43854" w:rsidP="00A54A3B">
            <w:pPr>
              <w:autoSpaceDE w:val="0"/>
              <w:autoSpaceDN w:val="0"/>
              <w:adjustRightInd w:val="0"/>
              <w:spacing w:before="100" w:after="100"/>
              <w:jc w:val="center"/>
              <w:rPr>
                <w:b/>
                <w:bCs/>
                <w:sz w:val="16"/>
                <w:szCs w:val="16"/>
              </w:rPr>
            </w:pPr>
            <w:r w:rsidRPr="003D3E89">
              <w:rPr>
                <w:b/>
                <w:bCs/>
                <w:sz w:val="16"/>
                <w:szCs w:val="16"/>
              </w:rPr>
              <w:t>12 hr forecast</w:t>
            </w:r>
          </w:p>
        </w:tc>
      </w:tr>
      <w:tr w:rsidR="000C738D" w:rsidRPr="003D3E89" w:rsidTr="000C738D">
        <w:tc>
          <w:tcPr>
            <w:tcW w:w="448" w:type="pct"/>
            <w:tcBorders>
              <w:top w:val="nil"/>
              <w:left w:val="single" w:sz="4" w:space="0" w:color="auto"/>
              <w:bottom w:val="single" w:sz="4" w:space="0" w:color="auto"/>
              <w:right w:val="single" w:sz="6" w:space="0" w:color="auto"/>
            </w:tcBorders>
            <w:shd w:val="clear" w:color="auto" w:fill="EEECE1"/>
            <w:noWrap/>
          </w:tcPr>
          <w:p w:rsidR="00E43854" w:rsidRPr="003D3E89" w:rsidRDefault="00C62CEE" w:rsidP="00A54A3B">
            <w:pPr>
              <w:autoSpaceDE w:val="0"/>
              <w:autoSpaceDN w:val="0"/>
              <w:adjustRightInd w:val="0"/>
              <w:spacing w:before="100" w:after="100"/>
              <w:jc w:val="center"/>
              <w:rPr>
                <w:b/>
                <w:bCs/>
                <w:sz w:val="16"/>
                <w:szCs w:val="16"/>
              </w:rPr>
            </w:pPr>
            <w:r>
              <w:rPr>
                <w:b/>
                <w:bCs/>
                <w:sz w:val="16"/>
                <w:szCs w:val="16"/>
              </w:rPr>
              <w:t>00:00</w:t>
            </w:r>
          </w:p>
        </w:tc>
        <w:tc>
          <w:tcPr>
            <w:tcW w:w="535" w:type="pct"/>
            <w:tcBorders>
              <w:top w:val="nil"/>
              <w:left w:val="single" w:sz="6" w:space="0" w:color="auto"/>
              <w:bottom w:val="single" w:sz="4" w:space="0" w:color="auto"/>
              <w:right w:val="nil"/>
            </w:tcBorders>
            <w:shd w:val="clear" w:color="auto" w:fill="EEECE1"/>
            <w:noWrap/>
            <w:vAlign w:val="center"/>
          </w:tcPr>
          <w:p w:rsidR="00E43854" w:rsidRPr="003D3E89" w:rsidRDefault="00E43854" w:rsidP="00A54A3B">
            <w:pPr>
              <w:jc w:val="center"/>
              <w:rPr>
                <w:sz w:val="16"/>
                <w:szCs w:val="16"/>
              </w:rPr>
            </w:pPr>
            <w:r>
              <w:rPr>
                <w:sz w:val="16"/>
                <w:szCs w:val="16"/>
              </w:rPr>
              <w:t>2236.81</w:t>
            </w:r>
          </w:p>
        </w:tc>
        <w:tc>
          <w:tcPr>
            <w:tcW w:w="535" w:type="pct"/>
            <w:tcBorders>
              <w:top w:val="nil"/>
              <w:left w:val="nil"/>
              <w:bottom w:val="single" w:sz="4" w:space="0" w:color="auto"/>
              <w:right w:val="nil"/>
            </w:tcBorders>
            <w:shd w:val="clear" w:color="auto" w:fill="EEECE1"/>
            <w:noWrap/>
            <w:vAlign w:val="center"/>
          </w:tcPr>
          <w:p w:rsidR="00E43854" w:rsidRPr="003D3E89" w:rsidRDefault="00E43854" w:rsidP="00A54A3B">
            <w:pPr>
              <w:jc w:val="center"/>
              <w:rPr>
                <w:sz w:val="16"/>
                <w:szCs w:val="16"/>
              </w:rPr>
            </w:pPr>
            <w:r>
              <w:rPr>
                <w:sz w:val="16"/>
                <w:szCs w:val="16"/>
              </w:rPr>
              <w:t>67.44</w:t>
            </w:r>
          </w:p>
        </w:tc>
        <w:tc>
          <w:tcPr>
            <w:tcW w:w="535" w:type="pct"/>
            <w:tcBorders>
              <w:top w:val="nil"/>
              <w:left w:val="nil"/>
              <w:bottom w:val="single" w:sz="4" w:space="0" w:color="auto"/>
              <w:right w:val="single" w:sz="6" w:space="0" w:color="auto"/>
            </w:tcBorders>
            <w:shd w:val="clear" w:color="auto" w:fill="EEECE1"/>
            <w:noWrap/>
            <w:vAlign w:val="center"/>
          </w:tcPr>
          <w:p w:rsidR="00E43854" w:rsidRPr="003D3E89" w:rsidRDefault="00E43854" w:rsidP="00A54A3B">
            <w:pPr>
              <w:jc w:val="center"/>
              <w:rPr>
                <w:sz w:val="16"/>
                <w:szCs w:val="16"/>
              </w:rPr>
            </w:pPr>
            <w:r>
              <w:rPr>
                <w:sz w:val="16"/>
                <w:szCs w:val="16"/>
              </w:rPr>
              <w:t>70.39</w:t>
            </w:r>
          </w:p>
        </w:tc>
        <w:tc>
          <w:tcPr>
            <w:tcW w:w="730" w:type="pct"/>
            <w:tcBorders>
              <w:top w:val="nil"/>
              <w:left w:val="single" w:sz="6" w:space="0" w:color="auto"/>
              <w:bottom w:val="single" w:sz="4" w:space="0" w:color="auto"/>
              <w:right w:val="nil"/>
            </w:tcBorders>
            <w:shd w:val="clear" w:color="auto" w:fill="EEECE1"/>
            <w:vAlign w:val="center"/>
          </w:tcPr>
          <w:p w:rsidR="00E43854" w:rsidRPr="003D3E89" w:rsidRDefault="002D2709" w:rsidP="00A54A3B">
            <w:pPr>
              <w:jc w:val="center"/>
              <w:rPr>
                <w:sz w:val="16"/>
                <w:szCs w:val="16"/>
              </w:rPr>
            </w:pPr>
            <w:r>
              <w:rPr>
                <w:sz w:val="16"/>
                <w:szCs w:val="16"/>
              </w:rPr>
              <w:t>1714</w:t>
            </w:r>
          </w:p>
        </w:tc>
        <w:tc>
          <w:tcPr>
            <w:tcW w:w="459" w:type="pct"/>
            <w:tcBorders>
              <w:top w:val="nil"/>
              <w:left w:val="nil"/>
              <w:bottom w:val="single" w:sz="4" w:space="0" w:color="auto"/>
              <w:right w:val="nil"/>
            </w:tcBorders>
            <w:shd w:val="clear" w:color="auto" w:fill="EEECE1"/>
            <w:vAlign w:val="center"/>
          </w:tcPr>
          <w:p w:rsidR="00E43854" w:rsidRPr="003D3E89" w:rsidRDefault="002D2709" w:rsidP="00A54A3B">
            <w:pPr>
              <w:jc w:val="center"/>
              <w:rPr>
                <w:sz w:val="16"/>
                <w:szCs w:val="16"/>
              </w:rPr>
            </w:pPr>
            <w:r>
              <w:rPr>
                <w:sz w:val="16"/>
                <w:szCs w:val="16"/>
              </w:rPr>
              <w:t>1743</w:t>
            </w:r>
          </w:p>
        </w:tc>
        <w:tc>
          <w:tcPr>
            <w:tcW w:w="460" w:type="pct"/>
            <w:tcBorders>
              <w:top w:val="nil"/>
              <w:left w:val="nil"/>
              <w:bottom w:val="single" w:sz="4" w:space="0" w:color="auto"/>
              <w:right w:val="single" w:sz="6" w:space="0" w:color="auto"/>
            </w:tcBorders>
            <w:shd w:val="clear" w:color="auto" w:fill="EEECE1"/>
            <w:vAlign w:val="center"/>
          </w:tcPr>
          <w:p w:rsidR="00E43854" w:rsidRPr="003D3E89" w:rsidRDefault="002D2709" w:rsidP="00A54A3B">
            <w:pPr>
              <w:jc w:val="center"/>
              <w:rPr>
                <w:sz w:val="16"/>
                <w:szCs w:val="16"/>
              </w:rPr>
            </w:pPr>
            <w:r>
              <w:rPr>
                <w:sz w:val="16"/>
                <w:szCs w:val="16"/>
              </w:rPr>
              <w:t>1731</w:t>
            </w:r>
          </w:p>
        </w:tc>
        <w:tc>
          <w:tcPr>
            <w:tcW w:w="382" w:type="pct"/>
            <w:tcBorders>
              <w:top w:val="nil"/>
              <w:left w:val="single" w:sz="6" w:space="0" w:color="auto"/>
              <w:bottom w:val="single" w:sz="4" w:space="0" w:color="auto"/>
              <w:right w:val="nil"/>
            </w:tcBorders>
            <w:shd w:val="clear" w:color="auto" w:fill="EEECE1"/>
            <w:vAlign w:val="center"/>
          </w:tcPr>
          <w:p w:rsidR="00E43854" w:rsidRPr="003D3E89" w:rsidRDefault="002D2709" w:rsidP="00A54A3B">
            <w:pPr>
              <w:jc w:val="center"/>
              <w:rPr>
                <w:sz w:val="16"/>
                <w:szCs w:val="16"/>
              </w:rPr>
            </w:pPr>
            <w:r>
              <w:rPr>
                <w:sz w:val="16"/>
                <w:szCs w:val="16"/>
              </w:rPr>
              <w:t>1911</w:t>
            </w:r>
          </w:p>
        </w:tc>
        <w:tc>
          <w:tcPr>
            <w:tcW w:w="460" w:type="pct"/>
            <w:tcBorders>
              <w:top w:val="nil"/>
              <w:left w:val="nil"/>
              <w:bottom w:val="single" w:sz="4" w:space="0" w:color="auto"/>
              <w:right w:val="nil"/>
            </w:tcBorders>
            <w:shd w:val="clear" w:color="auto" w:fill="EEECE1"/>
            <w:vAlign w:val="center"/>
          </w:tcPr>
          <w:p w:rsidR="00E43854" w:rsidRPr="003D3E89" w:rsidRDefault="002D2709" w:rsidP="00A54A3B">
            <w:pPr>
              <w:jc w:val="center"/>
              <w:rPr>
                <w:sz w:val="16"/>
                <w:szCs w:val="16"/>
              </w:rPr>
            </w:pPr>
            <w:r>
              <w:rPr>
                <w:sz w:val="16"/>
                <w:szCs w:val="16"/>
              </w:rPr>
              <w:t>2016</w:t>
            </w:r>
          </w:p>
        </w:tc>
        <w:tc>
          <w:tcPr>
            <w:tcW w:w="457" w:type="pct"/>
            <w:tcBorders>
              <w:top w:val="nil"/>
              <w:left w:val="nil"/>
              <w:bottom w:val="single" w:sz="4" w:space="0" w:color="auto"/>
              <w:right w:val="single" w:sz="4" w:space="0" w:color="auto"/>
            </w:tcBorders>
            <w:shd w:val="clear" w:color="auto" w:fill="EEECE1"/>
            <w:vAlign w:val="center"/>
          </w:tcPr>
          <w:p w:rsidR="00E43854" w:rsidRPr="003D3E89" w:rsidRDefault="002D2709" w:rsidP="00A54A3B">
            <w:pPr>
              <w:jc w:val="center"/>
              <w:rPr>
                <w:sz w:val="16"/>
                <w:szCs w:val="16"/>
              </w:rPr>
            </w:pPr>
            <w:r>
              <w:rPr>
                <w:sz w:val="16"/>
                <w:szCs w:val="16"/>
              </w:rPr>
              <w:t>2096</w:t>
            </w:r>
          </w:p>
        </w:tc>
      </w:tr>
    </w:tbl>
    <w:p w:rsidR="00E43854" w:rsidRPr="00254A81" w:rsidRDefault="00E43854" w:rsidP="00254A81">
      <w:pPr>
        <w:pStyle w:val="AERbodytext"/>
        <w:spacing w:after="120"/>
        <w:rPr>
          <w:sz w:val="16"/>
          <w:szCs w:val="16"/>
        </w:rPr>
      </w:pPr>
    </w:p>
    <w:p w:rsidR="00EB1EE7" w:rsidRDefault="00973309" w:rsidP="00EB1EE7">
      <w:pPr>
        <w:pStyle w:val="AERbodytext"/>
      </w:pPr>
      <w:r>
        <w:t>Conditions at the time saw available generation 105 MW below that forecast four hours ahead</w:t>
      </w:r>
      <w:r w:rsidR="00EB1EE7">
        <w:t>.</w:t>
      </w:r>
    </w:p>
    <w:p w:rsidR="00C941ED" w:rsidRDefault="00C62CEE" w:rsidP="00E925F3">
      <w:pPr>
        <w:pStyle w:val="AERbodytext"/>
      </w:pPr>
      <w:r>
        <w:t>On Saturday evening t</w:t>
      </w:r>
      <w:r w:rsidR="00C941ED" w:rsidRPr="00C941ED">
        <w:t xml:space="preserve">here was a </w:t>
      </w:r>
      <w:r w:rsidR="00C941ED">
        <w:t xml:space="preserve">step change in demand from </w:t>
      </w:r>
      <w:r w:rsidR="003655A9">
        <w:t>1540 </w:t>
      </w:r>
      <w:r w:rsidR="00C941ED">
        <w:t>MW at 11.</w:t>
      </w:r>
      <w:r w:rsidR="00254A81">
        <w:t>30</w:t>
      </w:r>
      <w:r w:rsidR="00EB690D">
        <w:t> </w:t>
      </w:r>
      <w:r w:rsidR="00C941ED">
        <w:t xml:space="preserve">pm to </w:t>
      </w:r>
      <w:r w:rsidR="003655A9">
        <w:t>1825 </w:t>
      </w:r>
      <w:r w:rsidR="00C941ED" w:rsidRPr="00C941ED">
        <w:t>MW at 11.40</w:t>
      </w:r>
      <w:r w:rsidR="00C941ED">
        <w:t> </w:t>
      </w:r>
      <w:r w:rsidR="00C941ED" w:rsidRPr="00C941ED">
        <w:t xml:space="preserve">pm </w:t>
      </w:r>
      <w:r w:rsidR="00CD1FF5">
        <w:t xml:space="preserve">associated with the automatic start of electric </w:t>
      </w:r>
      <w:r w:rsidR="00C941ED" w:rsidRPr="00C941ED">
        <w:t xml:space="preserve">off peak hot water </w:t>
      </w:r>
      <w:r w:rsidR="00CD1FF5">
        <w:t>heaters</w:t>
      </w:r>
      <w:r w:rsidR="00C941ED" w:rsidRPr="00C941ED">
        <w:t xml:space="preserve">. Demand then reduced for the remainder </w:t>
      </w:r>
      <w:r w:rsidR="00254A81">
        <w:t xml:space="preserve">of the trading interval, to </w:t>
      </w:r>
      <w:r w:rsidR="003655A9">
        <w:t>1792 </w:t>
      </w:r>
      <w:r w:rsidR="00C941ED" w:rsidRPr="00C941ED">
        <w:t xml:space="preserve">MW </w:t>
      </w:r>
      <w:r>
        <w:t xml:space="preserve">on Saturday </w:t>
      </w:r>
      <w:r w:rsidR="00C941ED" w:rsidRPr="00C941ED">
        <w:t>at 11.45</w:t>
      </w:r>
      <w:r w:rsidR="00C941ED">
        <w:t> </w:t>
      </w:r>
      <w:r w:rsidR="00254A81">
        <w:t xml:space="preserve">pm and to </w:t>
      </w:r>
      <w:r w:rsidR="003655A9">
        <w:t>1608 </w:t>
      </w:r>
      <w:r w:rsidR="00885E5E">
        <w:t>MW by midnight.</w:t>
      </w:r>
    </w:p>
    <w:p w:rsidR="008B647C" w:rsidRDefault="00C62CEE" w:rsidP="00E925F3">
      <w:pPr>
        <w:pStyle w:val="AERbodytext"/>
      </w:pPr>
      <w:r>
        <w:t>Similarly, a</w:t>
      </w:r>
      <w:r w:rsidR="008B647C">
        <w:t>t 11</w:t>
      </w:r>
      <w:r w:rsidR="000C738D">
        <w:t>.</w:t>
      </w:r>
      <w:r w:rsidR="008B647C">
        <w:t xml:space="preserve">38 pm, effective </w:t>
      </w:r>
      <w:r w:rsidR="00FC4923">
        <w:t xml:space="preserve">from </w:t>
      </w:r>
      <w:r w:rsidR="008B647C">
        <w:t>11</w:t>
      </w:r>
      <w:r w:rsidR="00FC4923">
        <w:t>.</w:t>
      </w:r>
      <w:r w:rsidR="008B647C">
        <w:t>45 pm, Origin Energy rebid 94 </w:t>
      </w:r>
      <w:r w:rsidR="008B647C" w:rsidRPr="008B647C">
        <w:t xml:space="preserve">MW of generation capacity </w:t>
      </w:r>
      <w:r w:rsidR="000E5E16">
        <w:t xml:space="preserve">at </w:t>
      </w:r>
      <w:r w:rsidR="008B647C" w:rsidRPr="008B647C">
        <w:t>its Ladbroke Grove and Quarantine</w:t>
      </w:r>
      <w:r w:rsidR="000E5E16">
        <w:t xml:space="preserve"> power stations</w:t>
      </w:r>
      <w:r w:rsidR="008B647C" w:rsidRPr="008B647C">
        <w:t xml:space="preserve"> </w:t>
      </w:r>
      <w:r w:rsidR="008B647C">
        <w:t xml:space="preserve">from prices below </w:t>
      </w:r>
      <w:r w:rsidR="008B647C" w:rsidRPr="008B647C">
        <w:t xml:space="preserve">$300/MWh to the price cap. The reason </w:t>
      </w:r>
      <w:r w:rsidR="008B647C">
        <w:t xml:space="preserve">given </w:t>
      </w:r>
      <w:r w:rsidR="008B647C" w:rsidRPr="008B647C">
        <w:t>was “</w:t>
      </w:r>
      <w:r w:rsidR="000C738D" w:rsidRPr="008B647C">
        <w:t>constrai</w:t>
      </w:r>
      <w:r w:rsidR="000C738D">
        <w:t>nt management</w:t>
      </w:r>
      <w:r w:rsidR="008B647C">
        <w:t xml:space="preserve"> - V^SML_NSWRB_2”.</w:t>
      </w:r>
    </w:p>
    <w:p w:rsidR="006C4985" w:rsidRDefault="006C4985" w:rsidP="00C728F7">
      <w:r w:rsidRPr="006C4985">
        <w:t xml:space="preserve">As a result, the </w:t>
      </w:r>
      <w:r>
        <w:t>5-minute price increased from $5</w:t>
      </w:r>
      <w:r w:rsidRPr="006C4985">
        <w:t>1/MWh at 11.30</w:t>
      </w:r>
      <w:r w:rsidR="00885E5E">
        <w:t> </w:t>
      </w:r>
      <w:r w:rsidRPr="006C4985">
        <w:t>pm</w:t>
      </w:r>
      <w:r w:rsidR="00244653">
        <w:t>, spiking</w:t>
      </w:r>
      <w:r w:rsidRPr="006C4985">
        <w:t xml:space="preserve"> to </w:t>
      </w:r>
      <w:r>
        <w:t>the price cap</w:t>
      </w:r>
      <w:r w:rsidRPr="006C4985">
        <w:t xml:space="preserve"> at 1</w:t>
      </w:r>
      <w:r>
        <w:t>1.4</w:t>
      </w:r>
      <w:r w:rsidR="00885E5E">
        <w:t>5 pm</w:t>
      </w:r>
      <w:r w:rsidR="00C728F7">
        <w:t xml:space="preserve"> </w:t>
      </w:r>
      <w:r w:rsidR="00314FA4">
        <w:t>before returning</w:t>
      </w:r>
      <w:r w:rsidR="00C728F7" w:rsidRPr="006C4985">
        <w:t xml:space="preserve"> to previous levels</w:t>
      </w:r>
      <w:r w:rsidR="00314FA4">
        <w:t xml:space="preserve"> as demand reduced</w:t>
      </w:r>
      <w:r w:rsidR="00C728F7">
        <w:t xml:space="preserve">. </w:t>
      </w:r>
      <w:r w:rsidR="00D551EB">
        <w:t xml:space="preserve">This </w:t>
      </w:r>
      <w:r w:rsidR="004C5F3E">
        <w:t xml:space="preserve">demand reduction </w:t>
      </w:r>
      <w:r w:rsidR="00D551EB">
        <w:t xml:space="preserve">was influenced by an </w:t>
      </w:r>
      <w:r w:rsidR="00C728F7" w:rsidRPr="00C728F7">
        <w:t>increase in non-scheduled generation fro</w:t>
      </w:r>
      <w:r w:rsidR="00C728F7">
        <w:t>m Angaston and P</w:t>
      </w:r>
      <w:r w:rsidR="005116AC">
        <w:t>or</w:t>
      </w:r>
      <w:r w:rsidR="00C728F7">
        <w:t>t Stanvac</w:t>
      </w:r>
      <w:r w:rsidRPr="006C4985">
        <w:t>.</w:t>
      </w:r>
    </w:p>
    <w:p w:rsidR="00C728F7" w:rsidRDefault="00C728F7" w:rsidP="00C728F7">
      <w:pPr>
        <w:rPr>
          <w:lang w:eastAsia="en-US"/>
        </w:rPr>
      </w:pPr>
    </w:p>
    <w:p w:rsidR="00726B30" w:rsidRPr="00D172CD" w:rsidRDefault="00726B30" w:rsidP="00726B30">
      <w:pPr>
        <w:pStyle w:val="AERbodytext"/>
      </w:pPr>
      <w:r>
        <w:t xml:space="preserve">There was no </w:t>
      </w:r>
      <w:r w:rsidR="00212C5F">
        <w:t xml:space="preserve">other </w:t>
      </w:r>
      <w:r>
        <w:t>significant rebidding.</w:t>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BB0611" w:rsidRPr="00AA6275">
        <w:rPr>
          <w:color w:val="000000" w:themeColor="text1"/>
        </w:rPr>
        <w:t xml:space="preserve">Q2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Q1 2018</w:t>
      </w:r>
    </w:p>
    <w:p w:rsidR="00E96C5A" w:rsidRPr="002D23B9" w:rsidRDefault="000C738D" w:rsidP="00170E47">
      <w:pPr>
        <w:pStyle w:val="Sourceandnotes"/>
        <w:ind w:left="0" w:firstLine="0"/>
      </w:pPr>
      <w:r>
        <w:pict>
          <v:shape id="_x0000_i1035" type="#_x0000_t75" alt="Figure 9 shows for all mainland regions the prices for base contracts (and total traded quantities for the week) for each quarter for the next four financial years." style="width:451pt;height:227.5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AA6275" w:rsidRDefault="00E96C5A" w:rsidP="00E96C5A">
      <w:pPr>
        <w:pStyle w:val="Figureheading"/>
        <w:numPr>
          <w:ilvl w:val="0"/>
          <w:numId w:val="0"/>
        </w:numPr>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0C738D" w:rsidP="00942195">
      <w:pPr>
        <w:pStyle w:val="AERbodytext"/>
      </w:pPr>
      <w:r>
        <w:pict>
          <v:shape id="_x0000_i1036"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1pt;height:228.1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0C738D" w:rsidP="00942195">
      <w:pPr>
        <w:pStyle w:val="AERbodytext"/>
      </w:pPr>
      <w:r>
        <w:pict>
          <v:shape id="_x0000_i1037" type="#_x0000_t75" alt="Figure 11 shows how the price for each regional Quarter 1 2014 cap contract has changed over the last 10 weeks (as well as the total number of trades each week). The closing quarter 1 2012 and quarter 1 2013 prices are also shown." style="width:451pt;height:226.35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AA6275" w:rsidRDefault="00B54368" w:rsidP="003157C3">
      <w:pPr>
        <w:rPr>
          <w:color w:val="000000" w:themeColor="text1"/>
        </w:rPr>
      </w:pPr>
      <w:r w:rsidRPr="00AA6275">
        <w:rPr>
          <w:b/>
          <w:color w:val="000000" w:themeColor="text1"/>
        </w:rPr>
        <w:t>Ju</w:t>
      </w:r>
      <w:r>
        <w:rPr>
          <w:b/>
          <w:color w:val="000000" w:themeColor="text1"/>
        </w:rPr>
        <w:t>ly</w:t>
      </w:r>
      <w:r w:rsidRPr="00AA6275">
        <w:rPr>
          <w:b/>
          <w:color w:val="000000" w:themeColor="text1"/>
        </w:rPr>
        <w:t xml:space="preserve"> </w:t>
      </w:r>
      <w:r w:rsidR="0097000C" w:rsidRPr="00AA6275">
        <w:rPr>
          <w:b/>
          <w:color w:val="000000" w:themeColor="text1"/>
        </w:rPr>
        <w:t>2014</w:t>
      </w:r>
    </w:p>
    <w:sectPr w:rsidR="00E96C5A" w:rsidRPr="00AA6275"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EC5C56">
      <w:rPr>
        <w:rStyle w:val="PageNumber"/>
        <w:noProof/>
      </w:rPr>
      <w:t>10</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66764" w:rsidRPr="00F66764">
      <w:rPr>
        <w:i/>
      </w:rPr>
      <w:t>D14/85799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615 - 20140621 electricit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958"/>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C56"/>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27020"/>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EB8A-EC4E-4A0E-BF34-0360F023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A7BAFE7A.dotm</Template>
  <TotalTime>0</TotalTime>
  <Pages>10</Pages>
  <Words>1920</Words>
  <Characters>10431</Characters>
  <Application>Microsoft Office Word</Application>
  <DocSecurity>0</DocSecurity>
  <Lines>158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2014-07-07T05:28:00Z</dcterms:created>
  <dcterms:modified xsi:type="dcterms:W3CDTF">2014-07-07T05:29:00Z</dcterms:modified>
</cp:coreProperties>
</file>