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2B4B86"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9924AB" w:rsidP="00780239">
                  <w:pPr>
                    <w:pStyle w:val="Title"/>
                    <w:jc w:val="left"/>
                    <w:rPr>
                      <w:i/>
                    </w:rPr>
                  </w:pPr>
                  <w:r>
                    <w:t>20</w:t>
                  </w:r>
                  <w:r w:rsidR="0022337C">
                    <w:t xml:space="preserve"> to </w:t>
                  </w:r>
                  <w:r>
                    <w:t>26</w:t>
                  </w:r>
                  <w:r w:rsidR="005270A6" w:rsidRPr="005270A6">
                    <w:t xml:space="preserve"> Ju</w:t>
                  </w:r>
                  <w:r w:rsidR="006C6C01">
                    <w:t>ly</w:t>
                  </w:r>
                  <w:r w:rsidR="00735518">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78358A" w:rsidP="004A3368">
      <w:pPr>
        <w:pStyle w:val="AERbodytext"/>
      </w:pPr>
      <w:r w:rsidRPr="004A3368">
        <w:t xml:space="preserve">Figure 1 shows the spot prices that occurred in each region during the week </w:t>
      </w:r>
      <w:r w:rsidR="009924AB" w:rsidRPr="004A3368">
        <w:t>20</w:t>
      </w:r>
      <w:r w:rsidR="00BB0611" w:rsidRPr="004A3368">
        <w:t xml:space="preserve"> </w:t>
      </w:r>
      <w:r w:rsidR="00780239" w:rsidRPr="004A3368">
        <w:t xml:space="preserve">to </w:t>
      </w:r>
      <w:r w:rsidR="009924AB" w:rsidRPr="004A3368">
        <w:t>26</w:t>
      </w:r>
      <w:r w:rsidR="00BB0611" w:rsidRPr="004A3368">
        <w:t xml:space="preserve"> </w:t>
      </w:r>
      <w:r w:rsidR="002E189D" w:rsidRPr="004A3368">
        <w:t>July</w:t>
      </w:r>
      <w:r w:rsidRPr="004A3368">
        <w:t xml:space="preserve"> 2014.</w:t>
      </w:r>
      <w:r w:rsidR="00827053" w:rsidRPr="004A3368">
        <w:t xml:space="preserve"> </w:t>
      </w:r>
      <w:r w:rsidR="009924AB" w:rsidRPr="004A3368">
        <w:t>In South Australia t</w:t>
      </w:r>
      <w:r w:rsidR="002E189D" w:rsidRPr="004A3368">
        <w:t>he spot price reached $</w:t>
      </w:r>
      <w:r w:rsidR="009924AB" w:rsidRPr="004A3368">
        <w:t>2288</w:t>
      </w:r>
      <w:r w:rsidR="002E189D" w:rsidRPr="004A3368">
        <w:t>/</w:t>
      </w:r>
      <w:r w:rsidR="009924AB" w:rsidRPr="004A3368">
        <w:t>MWh and $2088</w:t>
      </w:r>
      <w:r w:rsidR="005B4BC3" w:rsidRPr="004A3368">
        <w:t xml:space="preserve">/MWh </w:t>
      </w:r>
      <w:r w:rsidR="002E189D" w:rsidRPr="004A3368">
        <w:t xml:space="preserve">on </w:t>
      </w:r>
      <w:r w:rsidR="009924AB" w:rsidRPr="004A3368">
        <w:t>20</w:t>
      </w:r>
      <w:r w:rsidR="002E189D" w:rsidRPr="004A3368">
        <w:t xml:space="preserve"> July</w:t>
      </w:r>
      <w:r w:rsidR="005B4BC3" w:rsidRPr="004A3368">
        <w:t xml:space="preserve"> and $</w:t>
      </w:r>
      <w:r w:rsidR="00AE64A7" w:rsidRPr="004A3368">
        <w:t>2412</w:t>
      </w:r>
      <w:r w:rsidR="004A3368">
        <w:t>/MWh</w:t>
      </w:r>
      <w:r w:rsidR="00AE64A7" w:rsidRPr="004A3368">
        <w:t xml:space="preserve"> on 22</w:t>
      </w:r>
      <w:r w:rsidR="005B4BC3" w:rsidRPr="004A3368">
        <w:t xml:space="preserve"> July</w:t>
      </w:r>
      <w:r w:rsidR="002E189D" w:rsidRPr="004A3368">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2B4B86"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30.85pt;height:215.4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2B4B86"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pt;height:225.8pt;mso-position-vertical:absolute">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3448"/>
        <w:gridCol w:w="1057"/>
        <w:gridCol w:w="1303"/>
        <w:gridCol w:w="997"/>
        <w:gridCol w:w="957"/>
        <w:gridCol w:w="1079"/>
      </w:tblGrid>
      <w:tr w:rsidR="00DC19BF" w:rsidRPr="00593FFC" w:rsidTr="00E00637">
        <w:trPr>
          <w:trHeight w:val="255"/>
        </w:trPr>
        <w:tc>
          <w:tcPr>
            <w:tcW w:w="1950"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Region</w:t>
            </w:r>
          </w:p>
        </w:tc>
        <w:tc>
          <w:tcPr>
            <w:tcW w:w="598"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Qld</w:t>
            </w:r>
          </w:p>
        </w:tc>
        <w:tc>
          <w:tcPr>
            <w:tcW w:w="737"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NSW</w:t>
            </w:r>
          </w:p>
        </w:tc>
        <w:tc>
          <w:tcPr>
            <w:tcW w:w="564"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Vic</w:t>
            </w:r>
          </w:p>
        </w:tc>
        <w:tc>
          <w:tcPr>
            <w:tcW w:w="541"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SA</w:t>
            </w:r>
          </w:p>
        </w:tc>
        <w:tc>
          <w:tcPr>
            <w:tcW w:w="610" w:type="pct"/>
            <w:tcBorders>
              <w:top w:val="single" w:sz="8" w:space="0" w:color="7BA0CD"/>
              <w:left w:val="nil"/>
              <w:bottom w:val="nil"/>
              <w:right w:val="nil"/>
            </w:tcBorders>
            <w:shd w:val="clear" w:color="000000" w:fill="4A442A"/>
            <w:noWrap/>
            <w:vAlign w:val="center"/>
            <w:hideMark/>
          </w:tcPr>
          <w:p w:rsidR="0033750E" w:rsidRPr="00E43512" w:rsidRDefault="0033750E" w:rsidP="00E43512">
            <w:pPr>
              <w:pStyle w:val="AERtabletext"/>
              <w:jc w:val="center"/>
              <w:rPr>
                <w:b/>
                <w:color w:val="FFFFFF" w:themeColor="background1"/>
              </w:rPr>
            </w:pPr>
            <w:r w:rsidRPr="00E43512">
              <w:rPr>
                <w:b/>
                <w:color w:val="FFFFFF" w:themeColor="background1"/>
              </w:rPr>
              <w:t>Tas</w:t>
            </w:r>
          </w:p>
        </w:tc>
      </w:tr>
      <w:tr w:rsidR="0033750E" w:rsidRPr="0033750E" w:rsidTr="00E00637">
        <w:trPr>
          <w:trHeight w:val="255"/>
        </w:trPr>
        <w:tc>
          <w:tcPr>
            <w:tcW w:w="1950" w:type="pct"/>
            <w:tcBorders>
              <w:top w:val="nil"/>
              <w:left w:val="nil"/>
              <w:bottom w:val="nil"/>
              <w:right w:val="nil"/>
            </w:tcBorders>
            <w:shd w:val="clear" w:color="000000" w:fill="DDD9C3"/>
            <w:noWrap/>
            <w:vAlign w:val="center"/>
            <w:hideMark/>
          </w:tcPr>
          <w:p w:rsidR="0033750E" w:rsidRPr="00E43512" w:rsidRDefault="0033750E" w:rsidP="00E43512">
            <w:pPr>
              <w:pStyle w:val="AERtabletext"/>
              <w:rPr>
                <w:b/>
              </w:rPr>
            </w:pPr>
            <w:r w:rsidRPr="00E43512">
              <w:rPr>
                <w:b/>
              </w:rPr>
              <w:t>Current week</w:t>
            </w:r>
          </w:p>
        </w:tc>
        <w:tc>
          <w:tcPr>
            <w:tcW w:w="598" w:type="pct"/>
            <w:tcBorders>
              <w:top w:val="nil"/>
              <w:left w:val="nil"/>
              <w:bottom w:val="nil"/>
              <w:right w:val="nil"/>
            </w:tcBorders>
            <w:shd w:val="clear" w:color="000000" w:fill="DDD9C3"/>
            <w:noWrap/>
            <w:vAlign w:val="center"/>
            <w:hideMark/>
          </w:tcPr>
          <w:p w:rsidR="0033750E" w:rsidRPr="0033750E" w:rsidRDefault="0033750E" w:rsidP="00E43512">
            <w:pPr>
              <w:pStyle w:val="AERtabletext"/>
              <w:jc w:val="center"/>
            </w:pPr>
            <w:r w:rsidRPr="0033750E">
              <w:t>32</w:t>
            </w:r>
          </w:p>
        </w:tc>
        <w:tc>
          <w:tcPr>
            <w:tcW w:w="737" w:type="pct"/>
            <w:tcBorders>
              <w:top w:val="nil"/>
              <w:left w:val="nil"/>
              <w:bottom w:val="nil"/>
              <w:right w:val="nil"/>
            </w:tcBorders>
            <w:shd w:val="clear" w:color="000000" w:fill="DDD9C3"/>
            <w:noWrap/>
            <w:vAlign w:val="center"/>
            <w:hideMark/>
          </w:tcPr>
          <w:p w:rsidR="0033750E" w:rsidRPr="0033750E" w:rsidRDefault="0033750E" w:rsidP="00E43512">
            <w:pPr>
              <w:pStyle w:val="AERtabletext"/>
              <w:jc w:val="center"/>
            </w:pPr>
            <w:r w:rsidRPr="0033750E">
              <w:t>37</w:t>
            </w:r>
          </w:p>
        </w:tc>
        <w:tc>
          <w:tcPr>
            <w:tcW w:w="564" w:type="pct"/>
            <w:tcBorders>
              <w:top w:val="nil"/>
              <w:left w:val="nil"/>
              <w:bottom w:val="nil"/>
              <w:right w:val="nil"/>
            </w:tcBorders>
            <w:shd w:val="clear" w:color="000000" w:fill="DDD9C3"/>
            <w:noWrap/>
            <w:vAlign w:val="center"/>
            <w:hideMark/>
          </w:tcPr>
          <w:p w:rsidR="0033750E" w:rsidRPr="0033750E" w:rsidRDefault="0033750E" w:rsidP="00E43512">
            <w:pPr>
              <w:pStyle w:val="AERtabletext"/>
              <w:jc w:val="center"/>
            </w:pPr>
            <w:r w:rsidRPr="0033750E">
              <w:t>42</w:t>
            </w:r>
          </w:p>
        </w:tc>
        <w:tc>
          <w:tcPr>
            <w:tcW w:w="541" w:type="pct"/>
            <w:tcBorders>
              <w:top w:val="nil"/>
              <w:left w:val="nil"/>
              <w:bottom w:val="nil"/>
              <w:right w:val="nil"/>
            </w:tcBorders>
            <w:shd w:val="clear" w:color="000000" w:fill="DDD9C3"/>
            <w:noWrap/>
            <w:vAlign w:val="center"/>
            <w:hideMark/>
          </w:tcPr>
          <w:p w:rsidR="0033750E" w:rsidRPr="0033750E" w:rsidRDefault="0033750E" w:rsidP="00E43512">
            <w:pPr>
              <w:pStyle w:val="AERtabletext"/>
              <w:jc w:val="center"/>
            </w:pPr>
            <w:r w:rsidRPr="0033750E">
              <w:t>70</w:t>
            </w:r>
          </w:p>
        </w:tc>
        <w:tc>
          <w:tcPr>
            <w:tcW w:w="610" w:type="pct"/>
            <w:tcBorders>
              <w:top w:val="nil"/>
              <w:left w:val="nil"/>
              <w:bottom w:val="nil"/>
              <w:right w:val="nil"/>
            </w:tcBorders>
            <w:shd w:val="clear" w:color="000000" w:fill="DDD9C3"/>
            <w:noWrap/>
            <w:vAlign w:val="center"/>
            <w:hideMark/>
          </w:tcPr>
          <w:p w:rsidR="0033750E" w:rsidRPr="0033750E" w:rsidRDefault="0033750E" w:rsidP="00E43512">
            <w:pPr>
              <w:pStyle w:val="AERtabletext"/>
              <w:jc w:val="center"/>
            </w:pPr>
            <w:r w:rsidRPr="0033750E">
              <w:t>39</w:t>
            </w:r>
          </w:p>
        </w:tc>
      </w:tr>
      <w:tr w:rsidR="0033750E" w:rsidRPr="0033750E" w:rsidTr="00E00637">
        <w:trPr>
          <w:trHeight w:val="255"/>
        </w:trPr>
        <w:tc>
          <w:tcPr>
            <w:tcW w:w="1950" w:type="pct"/>
            <w:tcBorders>
              <w:top w:val="nil"/>
              <w:left w:val="nil"/>
              <w:bottom w:val="nil"/>
              <w:right w:val="nil"/>
            </w:tcBorders>
            <w:shd w:val="clear" w:color="000000" w:fill="EEECE1"/>
            <w:noWrap/>
            <w:vAlign w:val="center"/>
            <w:hideMark/>
          </w:tcPr>
          <w:p w:rsidR="0033750E" w:rsidRPr="00E43512" w:rsidRDefault="0033750E" w:rsidP="00E43512">
            <w:pPr>
              <w:pStyle w:val="AERtabletext"/>
              <w:rPr>
                <w:b/>
              </w:rPr>
            </w:pPr>
            <w:r w:rsidRPr="00E43512">
              <w:rPr>
                <w:b/>
              </w:rPr>
              <w:t>13-14 financial YTD</w:t>
            </w:r>
          </w:p>
        </w:tc>
        <w:tc>
          <w:tcPr>
            <w:tcW w:w="598" w:type="pct"/>
            <w:tcBorders>
              <w:top w:val="nil"/>
              <w:left w:val="nil"/>
              <w:bottom w:val="nil"/>
              <w:right w:val="nil"/>
            </w:tcBorders>
            <w:shd w:val="clear" w:color="000000" w:fill="EEECE1"/>
            <w:noWrap/>
            <w:vAlign w:val="center"/>
            <w:hideMark/>
          </w:tcPr>
          <w:p w:rsidR="0033750E" w:rsidRPr="0033750E" w:rsidRDefault="0033750E" w:rsidP="00E43512">
            <w:pPr>
              <w:pStyle w:val="AERtabletext"/>
              <w:jc w:val="center"/>
            </w:pPr>
            <w:r w:rsidRPr="0033750E">
              <w:t>62</w:t>
            </w:r>
          </w:p>
        </w:tc>
        <w:tc>
          <w:tcPr>
            <w:tcW w:w="737" w:type="pct"/>
            <w:tcBorders>
              <w:top w:val="nil"/>
              <w:left w:val="nil"/>
              <w:bottom w:val="nil"/>
              <w:right w:val="nil"/>
            </w:tcBorders>
            <w:shd w:val="clear" w:color="000000" w:fill="EEECE1"/>
            <w:noWrap/>
            <w:vAlign w:val="center"/>
            <w:hideMark/>
          </w:tcPr>
          <w:p w:rsidR="0033750E" w:rsidRPr="0033750E" w:rsidRDefault="0033750E" w:rsidP="00E43512">
            <w:pPr>
              <w:pStyle w:val="AERtabletext"/>
              <w:jc w:val="center"/>
            </w:pPr>
            <w:r w:rsidRPr="0033750E">
              <w:t>59</w:t>
            </w:r>
          </w:p>
        </w:tc>
        <w:tc>
          <w:tcPr>
            <w:tcW w:w="564" w:type="pct"/>
            <w:tcBorders>
              <w:top w:val="nil"/>
              <w:left w:val="nil"/>
              <w:bottom w:val="nil"/>
              <w:right w:val="nil"/>
            </w:tcBorders>
            <w:shd w:val="clear" w:color="000000" w:fill="EEECE1"/>
            <w:noWrap/>
            <w:vAlign w:val="center"/>
            <w:hideMark/>
          </w:tcPr>
          <w:p w:rsidR="0033750E" w:rsidRPr="0033750E" w:rsidRDefault="0033750E" w:rsidP="00E43512">
            <w:pPr>
              <w:pStyle w:val="AERtabletext"/>
              <w:jc w:val="center"/>
            </w:pPr>
            <w:r w:rsidRPr="0033750E">
              <w:t>60</w:t>
            </w:r>
          </w:p>
        </w:tc>
        <w:tc>
          <w:tcPr>
            <w:tcW w:w="541" w:type="pct"/>
            <w:tcBorders>
              <w:top w:val="nil"/>
              <w:left w:val="nil"/>
              <w:bottom w:val="nil"/>
              <w:right w:val="nil"/>
            </w:tcBorders>
            <w:shd w:val="clear" w:color="000000" w:fill="EEECE1"/>
            <w:noWrap/>
            <w:vAlign w:val="center"/>
            <w:hideMark/>
          </w:tcPr>
          <w:p w:rsidR="0033750E" w:rsidRPr="0033750E" w:rsidRDefault="0033750E" w:rsidP="00E43512">
            <w:pPr>
              <w:pStyle w:val="AERtabletext"/>
              <w:jc w:val="center"/>
            </w:pPr>
            <w:r w:rsidRPr="0033750E">
              <w:t>73</w:t>
            </w:r>
          </w:p>
        </w:tc>
        <w:tc>
          <w:tcPr>
            <w:tcW w:w="610" w:type="pct"/>
            <w:tcBorders>
              <w:top w:val="nil"/>
              <w:left w:val="nil"/>
              <w:bottom w:val="nil"/>
              <w:right w:val="nil"/>
            </w:tcBorders>
            <w:shd w:val="clear" w:color="000000" w:fill="EEECE1"/>
            <w:noWrap/>
            <w:vAlign w:val="center"/>
            <w:hideMark/>
          </w:tcPr>
          <w:p w:rsidR="0033750E" w:rsidRPr="0033750E" w:rsidRDefault="0033750E" w:rsidP="00E43512">
            <w:pPr>
              <w:pStyle w:val="AERtabletext"/>
              <w:jc w:val="center"/>
            </w:pPr>
            <w:r w:rsidRPr="0033750E">
              <w:t>53</w:t>
            </w:r>
          </w:p>
        </w:tc>
      </w:tr>
      <w:tr w:rsidR="0033750E" w:rsidRPr="0033750E" w:rsidTr="00E00637">
        <w:trPr>
          <w:trHeight w:val="270"/>
        </w:trPr>
        <w:tc>
          <w:tcPr>
            <w:tcW w:w="1950" w:type="pct"/>
            <w:tcBorders>
              <w:top w:val="nil"/>
              <w:left w:val="nil"/>
              <w:bottom w:val="single" w:sz="8" w:space="0" w:color="auto"/>
              <w:right w:val="nil"/>
            </w:tcBorders>
            <w:shd w:val="clear" w:color="000000" w:fill="DDD9C3"/>
            <w:noWrap/>
            <w:vAlign w:val="center"/>
            <w:hideMark/>
          </w:tcPr>
          <w:p w:rsidR="0033750E" w:rsidRPr="00E43512" w:rsidRDefault="0033750E" w:rsidP="00E43512">
            <w:pPr>
              <w:pStyle w:val="AERtabletext"/>
              <w:rPr>
                <w:b/>
              </w:rPr>
            </w:pPr>
            <w:r w:rsidRPr="00E43512">
              <w:rPr>
                <w:b/>
              </w:rPr>
              <w:t>14-15 financial YTD</w:t>
            </w:r>
          </w:p>
        </w:tc>
        <w:tc>
          <w:tcPr>
            <w:tcW w:w="598" w:type="pct"/>
            <w:tcBorders>
              <w:top w:val="nil"/>
              <w:left w:val="nil"/>
              <w:bottom w:val="single" w:sz="8" w:space="0" w:color="auto"/>
              <w:right w:val="nil"/>
            </w:tcBorders>
            <w:shd w:val="clear" w:color="000000" w:fill="DDD9C3"/>
            <w:noWrap/>
            <w:vAlign w:val="center"/>
            <w:hideMark/>
          </w:tcPr>
          <w:p w:rsidR="0033750E" w:rsidRPr="0033750E" w:rsidRDefault="0033750E" w:rsidP="00E43512">
            <w:pPr>
              <w:pStyle w:val="AERtabletext"/>
              <w:jc w:val="center"/>
            </w:pPr>
            <w:r w:rsidRPr="0033750E">
              <w:t>36</w:t>
            </w:r>
          </w:p>
        </w:tc>
        <w:tc>
          <w:tcPr>
            <w:tcW w:w="737" w:type="pct"/>
            <w:tcBorders>
              <w:top w:val="nil"/>
              <w:left w:val="nil"/>
              <w:bottom w:val="single" w:sz="8" w:space="0" w:color="auto"/>
              <w:right w:val="nil"/>
            </w:tcBorders>
            <w:shd w:val="clear" w:color="000000" w:fill="DDD9C3"/>
            <w:noWrap/>
            <w:vAlign w:val="center"/>
            <w:hideMark/>
          </w:tcPr>
          <w:p w:rsidR="0033750E" w:rsidRPr="0033750E" w:rsidRDefault="0033750E" w:rsidP="00E43512">
            <w:pPr>
              <w:pStyle w:val="AERtabletext"/>
              <w:jc w:val="center"/>
            </w:pPr>
            <w:r w:rsidRPr="0033750E">
              <w:t>45</w:t>
            </w:r>
          </w:p>
        </w:tc>
        <w:tc>
          <w:tcPr>
            <w:tcW w:w="564" w:type="pct"/>
            <w:tcBorders>
              <w:top w:val="nil"/>
              <w:left w:val="nil"/>
              <w:bottom w:val="single" w:sz="8" w:space="0" w:color="auto"/>
              <w:right w:val="nil"/>
            </w:tcBorders>
            <w:shd w:val="clear" w:color="000000" w:fill="DDD9C3"/>
            <w:noWrap/>
            <w:vAlign w:val="center"/>
            <w:hideMark/>
          </w:tcPr>
          <w:p w:rsidR="0033750E" w:rsidRPr="0033750E" w:rsidRDefault="0033750E" w:rsidP="00E43512">
            <w:pPr>
              <w:pStyle w:val="AERtabletext"/>
              <w:jc w:val="center"/>
            </w:pPr>
            <w:r w:rsidRPr="0033750E">
              <w:t>42</w:t>
            </w:r>
          </w:p>
        </w:tc>
        <w:tc>
          <w:tcPr>
            <w:tcW w:w="541" w:type="pct"/>
            <w:tcBorders>
              <w:top w:val="nil"/>
              <w:left w:val="nil"/>
              <w:bottom w:val="single" w:sz="8" w:space="0" w:color="auto"/>
              <w:right w:val="nil"/>
            </w:tcBorders>
            <w:shd w:val="clear" w:color="000000" w:fill="DDD9C3"/>
            <w:noWrap/>
            <w:vAlign w:val="center"/>
            <w:hideMark/>
          </w:tcPr>
          <w:p w:rsidR="0033750E" w:rsidRPr="0033750E" w:rsidRDefault="0033750E" w:rsidP="00E43512">
            <w:pPr>
              <w:pStyle w:val="AERtabletext"/>
              <w:jc w:val="center"/>
            </w:pPr>
            <w:r w:rsidRPr="0033750E">
              <w:t>61</w:t>
            </w:r>
          </w:p>
        </w:tc>
        <w:tc>
          <w:tcPr>
            <w:tcW w:w="610" w:type="pct"/>
            <w:tcBorders>
              <w:top w:val="nil"/>
              <w:left w:val="nil"/>
              <w:bottom w:val="single" w:sz="8" w:space="0" w:color="auto"/>
              <w:right w:val="nil"/>
            </w:tcBorders>
            <w:shd w:val="clear" w:color="000000" w:fill="DDD9C3"/>
            <w:noWrap/>
            <w:vAlign w:val="center"/>
            <w:hideMark/>
          </w:tcPr>
          <w:p w:rsidR="0033750E" w:rsidRPr="0033750E" w:rsidRDefault="0033750E" w:rsidP="00E43512">
            <w:pPr>
              <w:pStyle w:val="AERtabletext"/>
              <w:jc w:val="center"/>
            </w:pPr>
            <w:r w:rsidRPr="0033750E">
              <w:t>36</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5B4BC3">
        <w:t>6</w:t>
      </w:r>
      <w:r w:rsidR="004B47E5">
        <w:t>4</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8647" w:type="dxa"/>
        <w:tblInd w:w="108" w:type="dxa"/>
        <w:tblLayout w:type="fixed"/>
        <w:tblLook w:val="04A0" w:firstRow="1" w:lastRow="0" w:firstColumn="1" w:lastColumn="0" w:noHBand="0" w:noVBand="1"/>
      </w:tblPr>
      <w:tblGrid>
        <w:gridCol w:w="2410"/>
        <w:gridCol w:w="1559"/>
        <w:gridCol w:w="1559"/>
        <w:gridCol w:w="1559"/>
        <w:gridCol w:w="1560"/>
      </w:tblGrid>
      <w:tr w:rsidR="00E00637" w:rsidRPr="00593FFC" w:rsidTr="00E43512">
        <w:trPr>
          <w:trHeight w:val="255"/>
        </w:trPr>
        <w:tc>
          <w:tcPr>
            <w:tcW w:w="2410" w:type="dxa"/>
            <w:tcBorders>
              <w:top w:val="single" w:sz="8" w:space="0" w:color="7BA0CD"/>
              <w:left w:val="nil"/>
              <w:bottom w:val="nil"/>
              <w:right w:val="nil"/>
            </w:tcBorders>
            <w:shd w:val="clear" w:color="000000" w:fill="4A442A"/>
            <w:noWrap/>
            <w:vAlign w:val="center"/>
            <w:hideMark/>
          </w:tcPr>
          <w:p w:rsidR="00E00637" w:rsidRPr="00E43512" w:rsidRDefault="00E00637" w:rsidP="00E00637">
            <w:pPr>
              <w:jc w:val="center"/>
              <w:rPr>
                <w:rFonts w:cs="Gautami"/>
                <w:b/>
                <w:color w:val="FFFFFF"/>
                <w:sz w:val="18"/>
                <w:szCs w:val="18"/>
              </w:rPr>
            </w:pPr>
            <w:r w:rsidRPr="00E43512">
              <w:rPr>
                <w:rFonts w:cs="Gautami"/>
                <w:b/>
                <w:color w:val="FFFFFF"/>
                <w:sz w:val="18"/>
                <w:szCs w:val="18"/>
              </w:rPr>
              <w:t> </w:t>
            </w:r>
          </w:p>
        </w:tc>
        <w:tc>
          <w:tcPr>
            <w:tcW w:w="1559" w:type="dxa"/>
            <w:tcBorders>
              <w:top w:val="single" w:sz="8" w:space="0" w:color="7BA0CD"/>
              <w:left w:val="nil"/>
              <w:bottom w:val="nil"/>
              <w:right w:val="nil"/>
            </w:tcBorders>
            <w:shd w:val="clear" w:color="000000" w:fill="4A442A"/>
            <w:noWrap/>
            <w:vAlign w:val="center"/>
            <w:hideMark/>
          </w:tcPr>
          <w:p w:rsidR="00E00637" w:rsidRPr="00E43512" w:rsidRDefault="00E00637" w:rsidP="00E43512">
            <w:pPr>
              <w:pStyle w:val="AERtabletext"/>
              <w:ind w:firstLine="321"/>
              <w:jc w:val="center"/>
              <w:rPr>
                <w:b/>
                <w:color w:val="FFFFFF" w:themeColor="background1"/>
              </w:rPr>
            </w:pPr>
            <w:r w:rsidRPr="00E43512">
              <w:rPr>
                <w:b/>
                <w:color w:val="FFFFFF" w:themeColor="background1"/>
              </w:rPr>
              <w:t>Availability</w:t>
            </w:r>
          </w:p>
        </w:tc>
        <w:tc>
          <w:tcPr>
            <w:tcW w:w="1559" w:type="dxa"/>
            <w:tcBorders>
              <w:top w:val="single" w:sz="8" w:space="0" w:color="7BA0CD"/>
              <w:left w:val="nil"/>
              <w:bottom w:val="nil"/>
              <w:right w:val="nil"/>
            </w:tcBorders>
            <w:shd w:val="clear" w:color="000000" w:fill="4A442A"/>
            <w:noWrap/>
            <w:vAlign w:val="center"/>
            <w:hideMark/>
          </w:tcPr>
          <w:p w:rsidR="00E00637" w:rsidRPr="00E43512" w:rsidRDefault="00E00637" w:rsidP="00E43512">
            <w:pPr>
              <w:pStyle w:val="AERtabletext"/>
              <w:jc w:val="center"/>
              <w:rPr>
                <w:b/>
                <w:color w:val="FFFFFF" w:themeColor="background1"/>
              </w:rPr>
            </w:pPr>
            <w:r w:rsidRPr="00E43512">
              <w:rPr>
                <w:b/>
                <w:color w:val="FFFFFF" w:themeColor="background1"/>
              </w:rPr>
              <w:t>Demand</w:t>
            </w:r>
          </w:p>
        </w:tc>
        <w:tc>
          <w:tcPr>
            <w:tcW w:w="1559" w:type="dxa"/>
            <w:tcBorders>
              <w:top w:val="single" w:sz="8" w:space="0" w:color="7BA0CD"/>
              <w:left w:val="nil"/>
              <w:bottom w:val="nil"/>
              <w:right w:val="nil"/>
            </w:tcBorders>
            <w:shd w:val="clear" w:color="000000" w:fill="4A442A"/>
            <w:noWrap/>
            <w:vAlign w:val="center"/>
            <w:hideMark/>
          </w:tcPr>
          <w:p w:rsidR="00E00637" w:rsidRPr="00E43512" w:rsidRDefault="00E00637" w:rsidP="00E43512">
            <w:pPr>
              <w:pStyle w:val="AERtabletext"/>
              <w:jc w:val="center"/>
              <w:rPr>
                <w:b/>
                <w:color w:val="FFFFFF" w:themeColor="background1"/>
              </w:rPr>
            </w:pPr>
            <w:r w:rsidRPr="00E43512">
              <w:rPr>
                <w:b/>
                <w:color w:val="FFFFFF" w:themeColor="background1"/>
              </w:rPr>
              <w:t>Network</w:t>
            </w:r>
          </w:p>
        </w:tc>
        <w:tc>
          <w:tcPr>
            <w:tcW w:w="1560" w:type="dxa"/>
            <w:tcBorders>
              <w:top w:val="single" w:sz="8" w:space="0" w:color="7BA0CD"/>
              <w:left w:val="nil"/>
              <w:bottom w:val="nil"/>
              <w:right w:val="nil"/>
            </w:tcBorders>
            <w:shd w:val="clear" w:color="000000" w:fill="4A442A"/>
            <w:vAlign w:val="center"/>
            <w:hideMark/>
          </w:tcPr>
          <w:p w:rsidR="00E00637" w:rsidRPr="00E43512" w:rsidRDefault="00E00637" w:rsidP="00E43512">
            <w:pPr>
              <w:pStyle w:val="AERtabletext"/>
              <w:ind w:firstLine="161"/>
              <w:jc w:val="center"/>
              <w:rPr>
                <w:b/>
                <w:color w:val="FFFFFF" w:themeColor="background1"/>
              </w:rPr>
            </w:pPr>
            <w:r w:rsidRPr="00E43512">
              <w:rPr>
                <w:b/>
                <w:color w:val="FFFFFF" w:themeColor="background1"/>
              </w:rPr>
              <w:t>Combination</w:t>
            </w:r>
          </w:p>
        </w:tc>
      </w:tr>
      <w:tr w:rsidR="00E00637" w:rsidRPr="00E00637" w:rsidTr="00E43512">
        <w:trPr>
          <w:trHeight w:val="255"/>
        </w:trPr>
        <w:tc>
          <w:tcPr>
            <w:tcW w:w="2410" w:type="dxa"/>
            <w:tcBorders>
              <w:top w:val="nil"/>
              <w:left w:val="nil"/>
              <w:bottom w:val="nil"/>
              <w:right w:val="nil"/>
            </w:tcBorders>
            <w:shd w:val="clear" w:color="000000" w:fill="DDD9C3"/>
            <w:noWrap/>
            <w:vAlign w:val="center"/>
            <w:hideMark/>
          </w:tcPr>
          <w:p w:rsidR="00E00637" w:rsidRPr="00E43512" w:rsidRDefault="00E00637" w:rsidP="00E43512">
            <w:pPr>
              <w:pStyle w:val="AERtabletext"/>
              <w:rPr>
                <w:b/>
              </w:rPr>
            </w:pPr>
            <w:r w:rsidRPr="00E43512">
              <w:rPr>
                <w:b/>
              </w:rPr>
              <w:t>% of total above forecast</w:t>
            </w:r>
          </w:p>
        </w:tc>
        <w:tc>
          <w:tcPr>
            <w:tcW w:w="1559" w:type="dxa"/>
            <w:tcBorders>
              <w:top w:val="nil"/>
              <w:left w:val="nil"/>
              <w:bottom w:val="nil"/>
              <w:right w:val="nil"/>
            </w:tcBorders>
            <w:shd w:val="clear" w:color="000000" w:fill="DDD9C3"/>
            <w:noWrap/>
            <w:vAlign w:val="center"/>
            <w:hideMark/>
          </w:tcPr>
          <w:p w:rsidR="00E00637" w:rsidRPr="00E00637" w:rsidRDefault="00E00637" w:rsidP="00E43512">
            <w:pPr>
              <w:pStyle w:val="AERtabletext"/>
              <w:jc w:val="center"/>
            </w:pPr>
            <w:r w:rsidRPr="00E00637">
              <w:t>21</w:t>
            </w:r>
          </w:p>
        </w:tc>
        <w:tc>
          <w:tcPr>
            <w:tcW w:w="1559" w:type="dxa"/>
            <w:tcBorders>
              <w:top w:val="nil"/>
              <w:left w:val="nil"/>
              <w:bottom w:val="nil"/>
              <w:right w:val="nil"/>
            </w:tcBorders>
            <w:shd w:val="clear" w:color="000000" w:fill="DDD9C3"/>
            <w:noWrap/>
            <w:vAlign w:val="center"/>
            <w:hideMark/>
          </w:tcPr>
          <w:p w:rsidR="00E00637" w:rsidRPr="00E00637" w:rsidRDefault="00E00637" w:rsidP="00E43512">
            <w:pPr>
              <w:pStyle w:val="AERtabletext"/>
              <w:jc w:val="center"/>
            </w:pPr>
            <w:r w:rsidRPr="00E00637">
              <w:t>43</w:t>
            </w:r>
          </w:p>
        </w:tc>
        <w:tc>
          <w:tcPr>
            <w:tcW w:w="1559" w:type="dxa"/>
            <w:tcBorders>
              <w:top w:val="nil"/>
              <w:left w:val="nil"/>
              <w:bottom w:val="nil"/>
              <w:right w:val="nil"/>
            </w:tcBorders>
            <w:shd w:val="clear" w:color="000000" w:fill="DDD9C3"/>
            <w:noWrap/>
            <w:vAlign w:val="center"/>
            <w:hideMark/>
          </w:tcPr>
          <w:p w:rsidR="00E00637" w:rsidRPr="00E00637" w:rsidRDefault="00E00637" w:rsidP="00E43512">
            <w:pPr>
              <w:pStyle w:val="AERtabletext"/>
              <w:jc w:val="center"/>
            </w:pPr>
            <w:r w:rsidRPr="00E00637">
              <w:t>0</w:t>
            </w:r>
          </w:p>
        </w:tc>
        <w:tc>
          <w:tcPr>
            <w:tcW w:w="1560" w:type="dxa"/>
            <w:tcBorders>
              <w:top w:val="nil"/>
              <w:left w:val="nil"/>
              <w:bottom w:val="nil"/>
              <w:right w:val="nil"/>
            </w:tcBorders>
            <w:shd w:val="clear" w:color="000000" w:fill="DDD9C3"/>
            <w:vAlign w:val="center"/>
            <w:hideMark/>
          </w:tcPr>
          <w:p w:rsidR="00E00637" w:rsidRPr="00E00637" w:rsidRDefault="00E00637" w:rsidP="00E43512">
            <w:pPr>
              <w:pStyle w:val="AERtabletext"/>
              <w:jc w:val="center"/>
            </w:pPr>
            <w:r w:rsidRPr="00E00637">
              <w:t>4</w:t>
            </w:r>
          </w:p>
        </w:tc>
      </w:tr>
      <w:tr w:rsidR="00E00637" w:rsidRPr="00E00637" w:rsidTr="00E43512">
        <w:trPr>
          <w:trHeight w:val="270"/>
        </w:trPr>
        <w:tc>
          <w:tcPr>
            <w:tcW w:w="2410" w:type="dxa"/>
            <w:tcBorders>
              <w:top w:val="nil"/>
              <w:left w:val="nil"/>
              <w:bottom w:val="single" w:sz="8" w:space="0" w:color="auto"/>
              <w:right w:val="nil"/>
            </w:tcBorders>
            <w:shd w:val="clear" w:color="000000" w:fill="EEECE1"/>
            <w:noWrap/>
            <w:vAlign w:val="center"/>
            <w:hideMark/>
          </w:tcPr>
          <w:p w:rsidR="00E00637" w:rsidRPr="00E43512" w:rsidRDefault="00E00637" w:rsidP="00E43512">
            <w:pPr>
              <w:pStyle w:val="AERtabletext"/>
              <w:rPr>
                <w:b/>
              </w:rPr>
            </w:pPr>
            <w:r w:rsidRPr="00E43512">
              <w:rPr>
                <w:b/>
              </w:rPr>
              <w:t>% of total below forecast</w:t>
            </w:r>
          </w:p>
        </w:tc>
        <w:tc>
          <w:tcPr>
            <w:tcW w:w="1559" w:type="dxa"/>
            <w:tcBorders>
              <w:top w:val="nil"/>
              <w:left w:val="nil"/>
              <w:bottom w:val="single" w:sz="8" w:space="0" w:color="auto"/>
              <w:right w:val="nil"/>
            </w:tcBorders>
            <w:shd w:val="clear" w:color="000000" w:fill="EEECE1"/>
            <w:noWrap/>
            <w:vAlign w:val="center"/>
            <w:hideMark/>
          </w:tcPr>
          <w:p w:rsidR="00E00637" w:rsidRPr="00E00637" w:rsidRDefault="00E00637" w:rsidP="00E43512">
            <w:pPr>
              <w:pStyle w:val="AERtabletext"/>
              <w:jc w:val="center"/>
            </w:pPr>
            <w:r w:rsidRPr="00E00637">
              <w:t>30</w:t>
            </w:r>
          </w:p>
        </w:tc>
        <w:tc>
          <w:tcPr>
            <w:tcW w:w="1559" w:type="dxa"/>
            <w:tcBorders>
              <w:top w:val="nil"/>
              <w:left w:val="nil"/>
              <w:bottom w:val="single" w:sz="8" w:space="0" w:color="auto"/>
              <w:right w:val="nil"/>
            </w:tcBorders>
            <w:shd w:val="clear" w:color="000000" w:fill="EEECE1"/>
            <w:noWrap/>
            <w:vAlign w:val="center"/>
            <w:hideMark/>
          </w:tcPr>
          <w:p w:rsidR="00E00637" w:rsidRPr="00E00637" w:rsidRDefault="00E00637" w:rsidP="00E43512">
            <w:pPr>
              <w:pStyle w:val="AERtabletext"/>
              <w:jc w:val="center"/>
            </w:pPr>
            <w:r w:rsidRPr="00E00637">
              <w:t>3</w:t>
            </w:r>
          </w:p>
        </w:tc>
        <w:tc>
          <w:tcPr>
            <w:tcW w:w="1559" w:type="dxa"/>
            <w:tcBorders>
              <w:top w:val="nil"/>
              <w:left w:val="nil"/>
              <w:bottom w:val="single" w:sz="8" w:space="0" w:color="auto"/>
              <w:right w:val="nil"/>
            </w:tcBorders>
            <w:shd w:val="clear" w:color="000000" w:fill="EEECE1"/>
            <w:noWrap/>
            <w:vAlign w:val="center"/>
            <w:hideMark/>
          </w:tcPr>
          <w:p w:rsidR="00E00637" w:rsidRPr="00E00637" w:rsidRDefault="00E00637" w:rsidP="00E43512">
            <w:pPr>
              <w:pStyle w:val="AERtabletext"/>
              <w:jc w:val="center"/>
            </w:pPr>
            <w:r w:rsidRPr="00E00637">
              <w:t>0</w:t>
            </w:r>
          </w:p>
        </w:tc>
        <w:tc>
          <w:tcPr>
            <w:tcW w:w="1560" w:type="dxa"/>
            <w:tcBorders>
              <w:top w:val="nil"/>
              <w:left w:val="nil"/>
              <w:bottom w:val="single" w:sz="8" w:space="0" w:color="auto"/>
              <w:right w:val="nil"/>
            </w:tcBorders>
            <w:shd w:val="clear" w:color="000000" w:fill="EEECE1"/>
            <w:vAlign w:val="center"/>
            <w:hideMark/>
          </w:tcPr>
          <w:p w:rsidR="00E00637" w:rsidRPr="00E00637" w:rsidRDefault="00E00637" w:rsidP="00E43512">
            <w:pPr>
              <w:pStyle w:val="AERtabletext"/>
              <w:jc w:val="center"/>
            </w:pPr>
            <w:r w:rsidRPr="00E00637">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2B4B86" w:rsidP="002652CD">
      <w:pPr>
        <w:pStyle w:val="AERbodytext"/>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33.15pt;height:311.6pt">
            <v:imagedata r:id="rId13" o:title=""/>
          </v:shape>
        </w:pict>
      </w:r>
    </w:p>
    <w:p w:rsidR="00F4461C" w:rsidRPr="005270A6" w:rsidRDefault="00F4461C" w:rsidP="00657719">
      <w:pPr>
        <w:pStyle w:val="Figureheading"/>
        <w:numPr>
          <w:ilvl w:val="0"/>
          <w:numId w:val="0"/>
        </w:numPr>
        <w:spacing w:before="120" w:after="0"/>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2B4B86" w:rsidP="00657719">
      <w:pPr>
        <w:pStyle w:val="AERbodytext"/>
        <w:spacing w:after="120"/>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30.25pt;height:310.45pt">
            <v:imagedata r:id="rId14"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2B4B86" w:rsidP="00657719">
      <w:pPr>
        <w:pStyle w:val="AERbodytext"/>
        <w:spacing w:after="0"/>
      </w:pPr>
      <w:r>
        <w:rPr>
          <w:noProof/>
          <w:lang w:eastAsia="en-AU"/>
        </w:rPr>
        <w:pict>
          <v:oval id="_x0000_s1041" style="position:absolute;left:0;text-align:left;margin-left:160.5pt;margin-top:73.25pt;width:29.6pt;height:67.25pt;z-index:251659264" filled="f" strokecolor="red" strokeweight="1.75pt"/>
        </w:pict>
      </w:r>
      <w:r>
        <w:rPr>
          <w:noProof/>
          <w:lang w:eastAsia="en-AU"/>
        </w:rPr>
        <w:pict>
          <v:oval id="_x0000_s1042" style="position:absolute;left:0;text-align:left;margin-left:3in;margin-top:69.1pt;width:30.15pt;height:71.4pt;z-index:251660288" filled="f" strokecolor="red" strokeweight="1.75pt"/>
        </w:pict>
      </w: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41.8pt;height:318.55pt">
            <v:imagedata r:id="rId15" o:title=""/>
          </v:shape>
        </w:pict>
      </w:r>
    </w:p>
    <w:p w:rsidR="00657719" w:rsidRDefault="00657719" w:rsidP="00657719">
      <w:pPr>
        <w:pStyle w:val="AERbodytext"/>
        <w:spacing w:after="0"/>
      </w:pPr>
    </w:p>
    <w:p w:rsidR="00833238" w:rsidRPr="00657719" w:rsidRDefault="00833238" w:rsidP="00657719">
      <w:pPr>
        <w:pStyle w:val="AERbodytext"/>
        <w:spacing w:after="0"/>
      </w:pPr>
      <w:r w:rsidRPr="00833238">
        <w:t>The red circle</w:t>
      </w:r>
      <w:r w:rsidR="00DD1523">
        <w:t>s</w:t>
      </w:r>
      <w:r w:rsidRPr="00833238">
        <w:t xml:space="preserve"> </w:t>
      </w:r>
      <w:r w:rsidR="00DD1523">
        <w:t xml:space="preserve">highlight periods where there was a significant shuffling of the capacity </w:t>
      </w:r>
      <w:r>
        <w:t xml:space="preserve">available </w:t>
      </w:r>
      <w:r w:rsidR="00DD1523">
        <w:t xml:space="preserve">between </w:t>
      </w:r>
      <w:r>
        <w:t>$0/MWh to $</w:t>
      </w:r>
      <w:r w:rsidR="00DD1523">
        <w:t>5</w:t>
      </w:r>
      <w:r>
        <w:t>00/MWh. GDF Suez and Energy Australia reduc</w:t>
      </w:r>
      <w:r w:rsidR="00DD1523">
        <w:t>ed</w:t>
      </w:r>
      <w:r>
        <w:t xml:space="preserve"> the available capacity of the Loy Yang B and Hazelwood power stations</w:t>
      </w:r>
      <w:r w:rsidR="00657719" w:rsidRPr="00657719">
        <w:t xml:space="preserve"> and AGL rebid </w:t>
      </w:r>
      <w:r w:rsidR="00DD1523">
        <w:t xml:space="preserve">Loy Yang A capacity </w:t>
      </w:r>
      <w:r w:rsidR="00657719" w:rsidRPr="00657719">
        <w:t>into higher price bands</w:t>
      </w:r>
      <w:r w:rsidR="00DD1523">
        <w:t>.</w:t>
      </w:r>
      <w:r w:rsidR="00657719" w:rsidRPr="00657719">
        <w:t xml:space="preserve"> .</w:t>
      </w:r>
    </w:p>
    <w:p w:rsidR="00833238" w:rsidRPr="00833238" w:rsidRDefault="00780239" w:rsidP="00657719">
      <w:pPr>
        <w:pStyle w:val="Figureheading"/>
        <w:numPr>
          <w:ilvl w:val="0"/>
          <w:numId w:val="0"/>
        </w:numPr>
        <w:spacing w:before="120" w:after="0"/>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2B4B86" w:rsidP="002652CD">
      <w:pPr>
        <w:pStyle w:val="AERbodytext"/>
      </w:pPr>
      <w: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33.15pt;height:311.6pt">
            <v:imagedata r:id="rId16" o:title=""/>
          </v:shape>
        </w:pic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2B4B86" w:rsidP="002E3E82">
      <w:pPr>
        <w:pStyle w:val="AERbodytext"/>
      </w:pPr>
      <w:r>
        <w:rPr>
          <w:noProof/>
          <w:lang w:eastAsia="en-AU"/>
        </w:rPr>
        <w:pict>
          <v:oval id="_x0000_s1058" style="position:absolute;left:0;text-align:left;margin-left:162.45pt;margin-top:12.6pt;width:63.3pt;height:67.25pt;z-index:251662336" filled="f" strokecolor="red" strokeweight="1.75pt"/>
        </w:pict>
      </w:r>
      <w:r>
        <w:rPr>
          <w:noProof/>
          <w:lang w:eastAsia="en-AU"/>
        </w:rPr>
        <w:pict>
          <v:oval id="_x0000_s1057" style="position:absolute;left:0;text-align:left;margin-left:121.85pt;margin-top:12.6pt;width:29.6pt;height:67.25pt;z-index:251661312" filled="f" strokecolor="red" strokeweight="1.75pt"/>
        </w:pict>
      </w: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40.65pt;height:316.8pt">
            <v:imagedata r:id="rId17" o:title=""/>
          </v:shape>
        </w:pict>
      </w:r>
    </w:p>
    <w:p w:rsidR="006522D1" w:rsidRPr="00833238" w:rsidRDefault="006522D1" w:rsidP="002E3E82">
      <w:pPr>
        <w:pStyle w:val="AERbodytext"/>
        <w:rPr>
          <w:b/>
        </w:rPr>
      </w:pPr>
      <w:r w:rsidRPr="00833238">
        <w:t>The red circle</w:t>
      </w:r>
      <w:r w:rsidR="002E3E82">
        <w:t>s show</w:t>
      </w:r>
      <w:r w:rsidRPr="00833238">
        <w:t xml:space="preserve"> </w:t>
      </w:r>
      <w:r w:rsidR="002E3E82">
        <w:t>Hydro Tasmania rebidding capacity from</w:t>
      </w:r>
      <w:r>
        <w:t xml:space="preserve"> the $50/MWh to $100/MWh price bands</w:t>
      </w:r>
      <w:r w:rsidR="002E3E82">
        <w:t xml:space="preserve"> into price above $12 000/MWh.</w:t>
      </w:r>
    </w:p>
    <w:p w:rsidR="006522D1" w:rsidRPr="006522D1" w:rsidRDefault="006522D1" w:rsidP="00BD4E2C">
      <w:pPr>
        <w:pStyle w:val="Heading2"/>
        <w:rPr>
          <w:rFonts w:cs="Times New Roman"/>
          <w:b w:val="0"/>
          <w:bCs w:val="0"/>
          <w:iCs w:val="0"/>
          <w:color w:val="auto"/>
          <w:sz w:val="20"/>
          <w:szCs w:val="24"/>
          <w:lang w:eastAsia="en-US"/>
        </w:rPr>
      </w:pP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426C4C" w:rsidRDefault="00426C4C" w:rsidP="00426C4C">
      <w:pPr>
        <w:pStyle w:val="AERbodytext"/>
      </w:pPr>
      <w:r>
        <w:t>The total cost of FCAS on the mainland for the week was $370</w:t>
      </w:r>
      <w:r w:rsidR="00DC19BF">
        <w:t> </w:t>
      </w:r>
      <w:r>
        <w:t>000 or less than 1 per cent of energy turnover on the mainland.</w:t>
      </w:r>
    </w:p>
    <w:p w:rsidR="00426C4C" w:rsidRDefault="00426C4C" w:rsidP="00426C4C">
      <w:pPr>
        <w:jc w:val="both"/>
        <w:rPr>
          <w:rFonts w:ascii="Gautami" w:hAnsi="Gautami"/>
          <w:sz w:val="20"/>
          <w:lang w:eastAsia="en-US"/>
        </w:rPr>
      </w:pPr>
      <w:r w:rsidRPr="00426C4C">
        <w:rPr>
          <w:rFonts w:ascii="Gautami" w:hAnsi="Gautami"/>
          <w:sz w:val="20"/>
          <w:lang w:eastAsia="en-US"/>
        </w:rPr>
        <w:t xml:space="preserve">The total cost of FCAS in Tasmania for the </w:t>
      </w:r>
      <w:r w:rsidR="00F94B8B">
        <w:rPr>
          <w:rFonts w:ascii="Gautami" w:hAnsi="Gautami"/>
          <w:sz w:val="20"/>
          <w:lang w:eastAsia="en-US"/>
        </w:rPr>
        <w:t>week was $78</w:t>
      </w:r>
      <w:r w:rsidR="00DC19BF">
        <w:rPr>
          <w:rFonts w:ascii="Gautami" w:hAnsi="Gautami"/>
          <w:sz w:val="20"/>
          <w:lang w:eastAsia="en-US"/>
        </w:rPr>
        <w:t> </w:t>
      </w:r>
      <w:r w:rsidR="00F94B8B">
        <w:rPr>
          <w:rFonts w:ascii="Gautami" w:hAnsi="Gautami"/>
          <w:sz w:val="20"/>
          <w:lang w:eastAsia="en-US"/>
        </w:rPr>
        <w:t xml:space="preserve">500 or less than 1 </w:t>
      </w:r>
      <w:r w:rsidRPr="00426C4C">
        <w:rPr>
          <w:rFonts w:ascii="Gautami" w:hAnsi="Gautami"/>
          <w:sz w:val="20"/>
          <w:lang w:eastAsia="en-US"/>
        </w:rPr>
        <w:t xml:space="preserve">per cent of energy turnover in Tasmania. </w:t>
      </w:r>
    </w:p>
    <w:p w:rsidR="00F94B8B" w:rsidRPr="00426C4C" w:rsidRDefault="00F94B8B" w:rsidP="00426C4C">
      <w:pPr>
        <w:jc w:val="both"/>
        <w:rPr>
          <w:rFonts w:ascii="Gautami" w:hAnsi="Gautami"/>
          <w:sz w:val="20"/>
          <w:lang w:eastAsia="en-US"/>
        </w:rPr>
      </w:pP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2B4B86"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51pt;height:228.1pt">
            <v:imagedata r:id="rId18"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9121A1">
        <w:rPr>
          <w:color w:val="auto"/>
        </w:rPr>
        <w:lastRenderedPageBreak/>
        <w:t>Detailed market analysis of significant price events</w:t>
      </w:r>
    </w:p>
    <w:p w:rsidR="008B371E" w:rsidRDefault="008B371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C22083" w:rsidRDefault="00C22083" w:rsidP="00E43512">
      <w:pPr>
        <w:pStyle w:val="AERbodytext"/>
      </w:pPr>
      <w:r w:rsidRPr="00C22083">
        <w:t>There were three occasions where the spot price in South Australia was greater than three times the South Australia weekly average price of $70/MWh and above $250/MWh.</w:t>
      </w:r>
    </w:p>
    <w:p w:rsidR="000F46AD" w:rsidRPr="00AF7A08" w:rsidRDefault="000F46AD" w:rsidP="000F46AD">
      <w:pPr>
        <w:pStyle w:val="AERbodytext"/>
        <w:rPr>
          <w:b/>
        </w:rPr>
      </w:pPr>
      <w:r w:rsidRPr="00AF7A08">
        <w:rPr>
          <w:b/>
        </w:rPr>
        <w:t xml:space="preserve">Table 3: South Australia, </w:t>
      </w:r>
      <w:r w:rsidR="00090B67">
        <w:rPr>
          <w:b/>
        </w:rPr>
        <w:t>Sun</w:t>
      </w:r>
      <w:r w:rsidRPr="00AF7A08">
        <w:rPr>
          <w:b/>
        </w:rPr>
        <w:t xml:space="preserve">day </w:t>
      </w:r>
      <w:r>
        <w:rPr>
          <w:b/>
        </w:rPr>
        <w:t>20</w:t>
      </w:r>
      <w:r w:rsidRPr="00AF7A08">
        <w:rPr>
          <w:b/>
        </w:rPr>
        <w:t xml:space="preserve"> July</w:t>
      </w: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0F46AD" w:rsidRPr="00593FFC" w:rsidTr="00E43512">
        <w:tc>
          <w:tcPr>
            <w:tcW w:w="527" w:type="pct"/>
            <w:tcBorders>
              <w:top w:val="single" w:sz="4" w:space="0" w:color="auto"/>
              <w:left w:val="single" w:sz="4" w:space="0" w:color="auto"/>
              <w:bottom w:val="nil"/>
            </w:tcBorders>
            <w:shd w:val="clear" w:color="auto" w:fill="4A442A"/>
            <w:noWrap/>
          </w:tcPr>
          <w:p w:rsidR="000F46AD" w:rsidRPr="00E43512" w:rsidRDefault="000F46AD" w:rsidP="00EF62B1">
            <w:pPr>
              <w:autoSpaceDE w:val="0"/>
              <w:autoSpaceDN w:val="0"/>
              <w:adjustRightInd w:val="0"/>
              <w:spacing w:before="100" w:after="100"/>
              <w:rPr>
                <w:rFonts w:ascii="Gautami" w:hAnsi="Gautami" w:cs="Gautami"/>
                <w:b/>
                <w:bCs/>
                <w:color w:val="FFFFFF"/>
                <w:sz w:val="16"/>
                <w:szCs w:val="16"/>
              </w:rPr>
            </w:pPr>
            <w:r w:rsidRPr="00E43512">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0F46AD" w:rsidRPr="00E43512" w:rsidRDefault="000F46AD" w:rsidP="00EF62B1">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0F46AD" w:rsidRPr="00E43512" w:rsidRDefault="000F46AD" w:rsidP="00EF62B1">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0F46AD" w:rsidRPr="00E43512" w:rsidRDefault="000F46AD" w:rsidP="00EF62B1">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Availability (MW)</w:t>
            </w:r>
          </w:p>
        </w:tc>
      </w:tr>
      <w:tr w:rsidR="00E43512" w:rsidRPr="00593FFC" w:rsidTr="00593FFC">
        <w:tc>
          <w:tcPr>
            <w:tcW w:w="527" w:type="pct"/>
            <w:tcBorders>
              <w:top w:val="nil"/>
              <w:left w:val="single" w:sz="4" w:space="0" w:color="auto"/>
              <w:bottom w:val="nil"/>
              <w:right w:val="single" w:sz="6" w:space="0" w:color="auto"/>
            </w:tcBorders>
            <w:shd w:val="clear" w:color="auto" w:fill="DDD9C3"/>
            <w:noWrap/>
          </w:tcPr>
          <w:p w:rsidR="000F46AD" w:rsidRPr="00E43512" w:rsidRDefault="000F46AD" w:rsidP="00EF62B1">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r>
      <w:tr w:rsidR="00E43512" w:rsidRPr="00593FFC" w:rsidTr="00593FFC">
        <w:tc>
          <w:tcPr>
            <w:tcW w:w="527" w:type="pct"/>
            <w:tcBorders>
              <w:top w:val="nil"/>
              <w:left w:val="single" w:sz="4" w:space="0" w:color="auto"/>
              <w:bottom w:val="nil"/>
              <w:right w:val="single" w:sz="6" w:space="0" w:color="auto"/>
            </w:tcBorders>
            <w:shd w:val="clear" w:color="auto" w:fill="EEECE1"/>
            <w:noWrap/>
            <w:vAlign w:val="center"/>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5.30 PM</w:t>
            </w:r>
          </w:p>
        </w:tc>
        <w:tc>
          <w:tcPr>
            <w:tcW w:w="497" w:type="pct"/>
            <w:tcBorders>
              <w:top w:val="nil"/>
              <w:left w:val="single" w:sz="6" w:space="0" w:color="auto"/>
              <w:bottom w:val="nil"/>
              <w:right w:val="nil"/>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2288.13</w:t>
            </w:r>
          </w:p>
        </w:tc>
        <w:tc>
          <w:tcPr>
            <w:tcW w:w="497" w:type="pct"/>
            <w:tcBorders>
              <w:top w:val="nil"/>
              <w:left w:val="nil"/>
              <w:bottom w:val="nil"/>
              <w:right w:val="nil"/>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54.06</w:t>
            </w:r>
          </w:p>
        </w:tc>
        <w:tc>
          <w:tcPr>
            <w:tcW w:w="497" w:type="pct"/>
            <w:tcBorders>
              <w:top w:val="nil"/>
              <w:left w:val="nil"/>
              <w:bottom w:val="nil"/>
              <w:right w:val="single" w:sz="6" w:space="0" w:color="auto"/>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46.98</w:t>
            </w:r>
          </w:p>
        </w:tc>
        <w:tc>
          <w:tcPr>
            <w:tcW w:w="497" w:type="pct"/>
            <w:tcBorders>
              <w:top w:val="nil"/>
              <w:left w:val="single" w:sz="6" w:space="0" w:color="auto"/>
              <w:bottom w:val="nil"/>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1638</w:t>
            </w:r>
          </w:p>
        </w:tc>
        <w:tc>
          <w:tcPr>
            <w:tcW w:w="497" w:type="pct"/>
            <w:tcBorders>
              <w:top w:val="nil"/>
              <w:left w:val="nil"/>
              <w:bottom w:val="nil"/>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1711</w:t>
            </w:r>
          </w:p>
        </w:tc>
        <w:tc>
          <w:tcPr>
            <w:tcW w:w="497" w:type="pct"/>
            <w:tcBorders>
              <w:top w:val="nil"/>
              <w:left w:val="nil"/>
              <w:bottom w:val="nil"/>
              <w:right w:val="single" w:sz="6" w:space="0" w:color="auto"/>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1602</w:t>
            </w:r>
          </w:p>
        </w:tc>
        <w:tc>
          <w:tcPr>
            <w:tcW w:w="497" w:type="pct"/>
            <w:tcBorders>
              <w:top w:val="nil"/>
              <w:left w:val="single" w:sz="6" w:space="0" w:color="auto"/>
              <w:bottom w:val="nil"/>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1895</w:t>
            </w:r>
          </w:p>
        </w:tc>
        <w:tc>
          <w:tcPr>
            <w:tcW w:w="497" w:type="pct"/>
            <w:tcBorders>
              <w:top w:val="nil"/>
              <w:left w:val="nil"/>
              <w:bottom w:val="nil"/>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1879</w:t>
            </w:r>
          </w:p>
        </w:tc>
        <w:tc>
          <w:tcPr>
            <w:tcW w:w="497" w:type="pct"/>
            <w:tcBorders>
              <w:top w:val="nil"/>
              <w:left w:val="nil"/>
              <w:bottom w:val="nil"/>
              <w:right w:val="single" w:sz="4" w:space="0" w:color="auto"/>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2038</w:t>
            </w:r>
          </w:p>
        </w:tc>
      </w:tr>
      <w:tr w:rsidR="00E43512" w:rsidRPr="00593FFC" w:rsidTr="00593FFC">
        <w:tc>
          <w:tcPr>
            <w:tcW w:w="527" w:type="pct"/>
            <w:tcBorders>
              <w:top w:val="nil"/>
              <w:left w:val="single" w:sz="4" w:space="0" w:color="auto"/>
              <w:bottom w:val="single" w:sz="4" w:space="0" w:color="auto"/>
              <w:right w:val="single" w:sz="6" w:space="0" w:color="auto"/>
            </w:tcBorders>
            <w:shd w:val="clear" w:color="auto" w:fill="EEECE1"/>
            <w:noWrap/>
            <w:vAlign w:val="center"/>
          </w:tcPr>
          <w:p w:rsidR="000F46AD" w:rsidRPr="00E43512" w:rsidRDefault="000F46A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6.30 PM</w:t>
            </w:r>
          </w:p>
        </w:tc>
        <w:tc>
          <w:tcPr>
            <w:tcW w:w="497" w:type="pct"/>
            <w:tcBorders>
              <w:top w:val="nil"/>
              <w:left w:val="single" w:sz="6" w:space="0" w:color="auto"/>
              <w:bottom w:val="single" w:sz="4" w:space="0" w:color="auto"/>
              <w:right w:val="nil"/>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2088.28</w:t>
            </w:r>
          </w:p>
        </w:tc>
        <w:tc>
          <w:tcPr>
            <w:tcW w:w="497" w:type="pct"/>
            <w:tcBorders>
              <w:top w:val="nil"/>
              <w:left w:val="nil"/>
              <w:bottom w:val="single" w:sz="4" w:space="0" w:color="auto"/>
              <w:right w:val="nil"/>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300.07</w:t>
            </w:r>
          </w:p>
        </w:tc>
        <w:tc>
          <w:tcPr>
            <w:tcW w:w="497" w:type="pct"/>
            <w:tcBorders>
              <w:top w:val="nil"/>
              <w:left w:val="nil"/>
              <w:bottom w:val="single" w:sz="4" w:space="0" w:color="auto"/>
              <w:right w:val="single" w:sz="6" w:space="0" w:color="auto"/>
            </w:tcBorders>
            <w:shd w:val="clear" w:color="auto" w:fill="EEECE1"/>
            <w:noWrap/>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70.49</w:t>
            </w:r>
          </w:p>
        </w:tc>
        <w:tc>
          <w:tcPr>
            <w:tcW w:w="497" w:type="pct"/>
            <w:tcBorders>
              <w:top w:val="nil"/>
              <w:left w:val="single" w:sz="6" w:space="0" w:color="auto"/>
              <w:bottom w:val="single" w:sz="4" w:space="0" w:color="auto"/>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2018</w:t>
            </w:r>
          </w:p>
        </w:tc>
        <w:tc>
          <w:tcPr>
            <w:tcW w:w="497" w:type="pct"/>
            <w:tcBorders>
              <w:top w:val="nil"/>
              <w:left w:val="nil"/>
              <w:bottom w:val="single" w:sz="4" w:space="0" w:color="auto"/>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2032</w:t>
            </w:r>
          </w:p>
        </w:tc>
        <w:tc>
          <w:tcPr>
            <w:tcW w:w="497" w:type="pct"/>
            <w:tcBorders>
              <w:top w:val="nil"/>
              <w:left w:val="nil"/>
              <w:bottom w:val="single" w:sz="4" w:space="0" w:color="auto"/>
              <w:right w:val="single" w:sz="6" w:space="0" w:color="auto"/>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1946</w:t>
            </w:r>
          </w:p>
        </w:tc>
        <w:tc>
          <w:tcPr>
            <w:tcW w:w="497" w:type="pct"/>
            <w:tcBorders>
              <w:top w:val="nil"/>
              <w:left w:val="single" w:sz="6" w:space="0" w:color="auto"/>
              <w:bottom w:val="single" w:sz="4" w:space="0" w:color="auto"/>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1929</w:t>
            </w:r>
          </w:p>
        </w:tc>
        <w:tc>
          <w:tcPr>
            <w:tcW w:w="497" w:type="pct"/>
            <w:tcBorders>
              <w:top w:val="nil"/>
              <w:left w:val="nil"/>
              <w:bottom w:val="single" w:sz="4" w:space="0" w:color="auto"/>
              <w:right w:val="nil"/>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1941</w:t>
            </w:r>
          </w:p>
        </w:tc>
        <w:tc>
          <w:tcPr>
            <w:tcW w:w="497" w:type="pct"/>
            <w:tcBorders>
              <w:top w:val="nil"/>
              <w:left w:val="nil"/>
              <w:bottom w:val="single" w:sz="4" w:space="0" w:color="auto"/>
              <w:right w:val="single" w:sz="4" w:space="0" w:color="auto"/>
            </w:tcBorders>
            <w:shd w:val="clear" w:color="auto" w:fill="EEECE1"/>
            <w:vAlign w:val="center"/>
          </w:tcPr>
          <w:p w:rsidR="000F46AD" w:rsidRPr="00E43512" w:rsidRDefault="000F46AD" w:rsidP="00EF62B1">
            <w:pPr>
              <w:jc w:val="center"/>
              <w:rPr>
                <w:rFonts w:ascii="Gautami" w:hAnsi="Gautami" w:cs="Gautami"/>
                <w:sz w:val="16"/>
                <w:szCs w:val="16"/>
              </w:rPr>
            </w:pPr>
            <w:r w:rsidRPr="00E43512">
              <w:rPr>
                <w:rFonts w:ascii="Gautami" w:hAnsi="Gautami" w:cs="Gautami"/>
                <w:sz w:val="16"/>
                <w:szCs w:val="16"/>
              </w:rPr>
              <w:t>2115</w:t>
            </w:r>
          </w:p>
        </w:tc>
      </w:tr>
    </w:tbl>
    <w:p w:rsidR="00DC19BF" w:rsidRDefault="00DC19BF" w:rsidP="00E43512">
      <w:pPr>
        <w:pStyle w:val="AERbodytext"/>
      </w:pPr>
    </w:p>
    <w:p w:rsidR="001D0526" w:rsidRDefault="001D0526" w:rsidP="00E43512">
      <w:pPr>
        <w:pStyle w:val="AERbodytext"/>
      </w:pPr>
      <w:r>
        <w:t>A</w:t>
      </w:r>
      <w:r w:rsidR="00E11762">
        <w:t>t the time demand and available capacity close to forecasts</w:t>
      </w:r>
      <w:r>
        <w:t xml:space="preserve"> and </w:t>
      </w:r>
      <w:r w:rsidR="00E360E9">
        <w:t>Wind generation was less than 20</w:t>
      </w:r>
      <w:r w:rsidR="002E3E82">
        <w:t> MW.</w:t>
      </w:r>
      <w:r w:rsidR="00E360E9">
        <w:t xml:space="preserve"> </w:t>
      </w:r>
    </w:p>
    <w:p w:rsidR="00E360E9" w:rsidRDefault="002E3E82" w:rsidP="00E43512">
      <w:pPr>
        <w:pStyle w:val="AERbodytext"/>
      </w:pPr>
      <w:r>
        <w:t xml:space="preserve">Over several rebids from 3.36 pm, </w:t>
      </w:r>
      <w:r w:rsidR="00A318D8">
        <w:t xml:space="preserve">GDF Suez rebid </w:t>
      </w:r>
      <w:r w:rsidR="0078020D">
        <w:t>100</w:t>
      </w:r>
      <w:r>
        <w:t> </w:t>
      </w:r>
      <w:r w:rsidR="00F639B0">
        <w:t>MW of available capacity at Dry Creek from between $500/MWh and $11</w:t>
      </w:r>
      <w:r>
        <w:t> </w:t>
      </w:r>
      <w:r w:rsidR="00F639B0">
        <w:t xml:space="preserve">000/MWh to the price cap. </w:t>
      </w:r>
    </w:p>
    <w:p w:rsidR="00E43512" w:rsidRDefault="00E11762" w:rsidP="00E43512">
      <w:pPr>
        <w:pStyle w:val="AERbodytext"/>
      </w:pPr>
      <w:r>
        <w:t>At 4.</w:t>
      </w:r>
      <w:r w:rsidR="00443C63">
        <w:t>56 </w:t>
      </w:r>
      <w:r>
        <w:t>pm, effective from 5.</w:t>
      </w:r>
      <w:r w:rsidR="00443C63">
        <w:t>05 </w:t>
      </w:r>
      <w:r>
        <w:t xml:space="preserve">pm, Origin Energy rebid a total of </w:t>
      </w:r>
      <w:r w:rsidR="00443C63">
        <w:t>147 </w:t>
      </w:r>
      <w:r>
        <w:t>MW of available capacity at Ladbroke and Quarantine</w:t>
      </w:r>
      <w:r w:rsidR="00816AAA">
        <w:t xml:space="preserve"> </w:t>
      </w:r>
      <w:r>
        <w:t>power</w:t>
      </w:r>
      <w:r w:rsidR="00816AAA">
        <w:t xml:space="preserve"> </w:t>
      </w:r>
      <w:r>
        <w:t>stat</w:t>
      </w:r>
      <w:r w:rsidR="00816AAA">
        <w:t>ion</w:t>
      </w:r>
      <w:r w:rsidR="00602A7E">
        <w:t>s</w:t>
      </w:r>
      <w:r>
        <w:t xml:space="preserve"> fro</w:t>
      </w:r>
      <w:r w:rsidR="00816AAA">
        <w:t>m $38/MWh to the price cap. The re</w:t>
      </w:r>
      <w:r w:rsidR="00570ED0">
        <w:t>a</w:t>
      </w:r>
      <w:r w:rsidR="00816AAA">
        <w:t xml:space="preserve">son </w:t>
      </w:r>
      <w:r w:rsidR="00570ED0">
        <w:t>given was “</w:t>
      </w:r>
      <w:r w:rsidR="00570ED0" w:rsidRPr="00570ED0">
        <w:t xml:space="preserve">1655A </w:t>
      </w:r>
      <w:r w:rsidR="002E3E82">
        <w:t>inc</w:t>
      </w:r>
      <w:r w:rsidR="002E3E82" w:rsidRPr="00570ED0">
        <w:t xml:space="preserve"> </w:t>
      </w:r>
      <w:r w:rsidR="00570ED0" w:rsidRPr="00570ED0">
        <w:t xml:space="preserve">SA </w:t>
      </w:r>
      <w:r w:rsidR="002E3E82">
        <w:t>dem</w:t>
      </w:r>
      <w:r w:rsidR="002E3E82" w:rsidRPr="00570ED0">
        <w:t xml:space="preserve"> </w:t>
      </w:r>
      <w:r w:rsidR="00570ED0" w:rsidRPr="00570ED0">
        <w:t>5PD 1811 &gt; 30PD 1682 @ 1730</w:t>
      </w:r>
      <w:r w:rsidR="00570ED0">
        <w:t>”. As a result the five minute price at 5.</w:t>
      </w:r>
      <w:r w:rsidR="00443C63">
        <w:t>05 </w:t>
      </w:r>
      <w:r w:rsidR="00570ED0">
        <w:t xml:space="preserve">pm reached </w:t>
      </w:r>
      <w:r w:rsidR="00443C63">
        <w:t>the price cap</w:t>
      </w:r>
      <w:r w:rsidR="00005BCD">
        <w:t xml:space="preserve"> set by Quarantine and </w:t>
      </w:r>
      <w:r w:rsidR="00E360E9">
        <w:t>Ladbroke.</w:t>
      </w:r>
    </w:p>
    <w:p w:rsidR="00090B67" w:rsidRDefault="00090B67" w:rsidP="00090B67">
      <w:pPr>
        <w:pStyle w:val="AERbodytext"/>
      </w:pPr>
      <w:r>
        <w:t xml:space="preserve">At 5.05 pm, both Heywood and Murraylink were importing into South Australia at their limits (approximately 460 MW and 185 MW respectively). </w:t>
      </w:r>
    </w:p>
    <w:p w:rsidR="00E43512" w:rsidRPr="00476276" w:rsidRDefault="00E43512" w:rsidP="00476276">
      <w:pPr>
        <w:rPr>
          <w:rFonts w:ascii="Gautami" w:hAnsi="Gautami"/>
          <w:sz w:val="20"/>
          <w:lang w:eastAsia="en-US"/>
        </w:rPr>
      </w:pPr>
      <w:r w:rsidRPr="00476276">
        <w:rPr>
          <w:rFonts w:ascii="Gautami" w:hAnsi="Gautami"/>
          <w:sz w:val="20"/>
          <w:lang w:eastAsia="en-US"/>
        </w:rPr>
        <w:t xml:space="preserve">At </w:t>
      </w:r>
      <w:r>
        <w:rPr>
          <w:rFonts w:ascii="Gautami" w:hAnsi="Gautami"/>
          <w:sz w:val="20"/>
          <w:lang w:eastAsia="en-US"/>
        </w:rPr>
        <w:t>5</w:t>
      </w:r>
      <w:r w:rsidRPr="00E43512">
        <w:rPr>
          <w:rFonts w:ascii="Gautami" w:hAnsi="Gautami"/>
          <w:sz w:val="20"/>
          <w:lang w:eastAsia="en-US"/>
        </w:rPr>
        <w:t>.</w:t>
      </w:r>
      <w:r w:rsidR="00F639B0">
        <w:rPr>
          <w:rFonts w:ascii="Gautami" w:hAnsi="Gautami"/>
          <w:sz w:val="20"/>
          <w:lang w:eastAsia="en-US"/>
        </w:rPr>
        <w:t>10</w:t>
      </w:r>
      <w:r w:rsidR="00005BCD" w:rsidRPr="00005BCD">
        <w:rPr>
          <w:rFonts w:ascii="Gautami" w:hAnsi="Gautami"/>
          <w:sz w:val="20"/>
          <w:lang w:eastAsia="en-US"/>
        </w:rPr>
        <w:t xml:space="preserve"> pm there was a </w:t>
      </w:r>
      <w:r w:rsidR="00005BCD">
        <w:rPr>
          <w:rFonts w:ascii="Gautami" w:hAnsi="Gautami"/>
          <w:sz w:val="20"/>
          <w:lang w:eastAsia="en-US"/>
        </w:rPr>
        <w:t>90</w:t>
      </w:r>
      <w:r w:rsidRPr="00476276">
        <w:rPr>
          <w:rFonts w:ascii="Gautami" w:hAnsi="Gautami"/>
          <w:sz w:val="20"/>
          <w:lang w:eastAsia="en-US"/>
        </w:rPr>
        <w:t> MW decre</w:t>
      </w:r>
      <w:r w:rsidR="004604BF">
        <w:rPr>
          <w:rFonts w:ascii="Gautami" w:hAnsi="Gautami"/>
          <w:sz w:val="20"/>
          <w:lang w:eastAsia="en-US"/>
        </w:rPr>
        <w:t>ase in demand (mainly due to An</w:t>
      </w:r>
      <w:r w:rsidRPr="00476276">
        <w:rPr>
          <w:rFonts w:ascii="Gautami" w:hAnsi="Gautami"/>
          <w:sz w:val="20"/>
          <w:lang w:eastAsia="en-US"/>
        </w:rPr>
        <w:t>g</w:t>
      </w:r>
      <w:r w:rsidR="004604BF">
        <w:rPr>
          <w:rFonts w:ascii="Gautami" w:hAnsi="Gautami"/>
          <w:sz w:val="20"/>
          <w:lang w:eastAsia="en-US"/>
        </w:rPr>
        <w:t>a</w:t>
      </w:r>
      <w:r w:rsidRPr="00476276">
        <w:rPr>
          <w:rFonts w:ascii="Gautami" w:hAnsi="Gautami"/>
          <w:sz w:val="20"/>
          <w:lang w:eastAsia="en-US"/>
        </w:rPr>
        <w:t xml:space="preserve">ston and Pt Stanvac increasing their output) which saw the five minute price return to previous levels. </w:t>
      </w:r>
    </w:p>
    <w:p w:rsidR="00570ED0" w:rsidRDefault="00E11762" w:rsidP="00476276">
      <w:r>
        <w:t xml:space="preserve">   </w:t>
      </w:r>
    </w:p>
    <w:p w:rsidR="0078020D" w:rsidRDefault="00090B67" w:rsidP="00E43512">
      <w:pPr>
        <w:pStyle w:val="AERbodytext"/>
      </w:pPr>
      <w:r>
        <w:t>For the second high price: a</w:t>
      </w:r>
      <w:r w:rsidR="004513CE">
        <w:t>t 6.</w:t>
      </w:r>
      <w:r w:rsidR="00443C63">
        <w:t>16 </w:t>
      </w:r>
      <w:r w:rsidR="004513CE">
        <w:t>pm, effective from 6.25</w:t>
      </w:r>
      <w:r w:rsidR="00443C63">
        <w:t> </w:t>
      </w:r>
      <w:r w:rsidR="004513CE">
        <w:t xml:space="preserve">pm, Energy Australia rebid </w:t>
      </w:r>
      <w:r w:rsidR="00443C63">
        <w:t>60 </w:t>
      </w:r>
      <w:r w:rsidR="004513CE">
        <w:t>MW of available capacity at Hallet power station from $296/MWh to $12</w:t>
      </w:r>
      <w:r w:rsidR="00443C63">
        <w:t> </w:t>
      </w:r>
      <w:r w:rsidR="004513CE">
        <w:t>035/MWh. The reason given was “</w:t>
      </w:r>
      <w:r w:rsidR="004513CE" w:rsidRPr="00FB7120">
        <w:t xml:space="preserve">18:14 A </w:t>
      </w:r>
      <w:r w:rsidR="00443C63" w:rsidRPr="00FB7120">
        <w:t>band adj for mat change in sa sensitivities</w:t>
      </w:r>
      <w:r w:rsidR="004513CE" w:rsidRPr="00FB7120">
        <w:t xml:space="preserve"> SL”.</w:t>
      </w:r>
      <w:r w:rsidR="004513CE">
        <w:t xml:space="preserve"> </w:t>
      </w:r>
    </w:p>
    <w:p w:rsidR="00D77851" w:rsidRDefault="00570ED0" w:rsidP="00E43512">
      <w:pPr>
        <w:pStyle w:val="AERbodytext"/>
      </w:pPr>
      <w:r>
        <w:t>At 6.</w:t>
      </w:r>
      <w:r w:rsidR="00443C63">
        <w:t>18 </w:t>
      </w:r>
      <w:r>
        <w:t xml:space="preserve">pm, effective from </w:t>
      </w:r>
      <w:r w:rsidR="004513CE">
        <w:t>the same dispatch interval</w:t>
      </w:r>
      <w:r>
        <w:t>, Origin Energy rebid a total 140</w:t>
      </w:r>
      <w:r w:rsidR="00443C63">
        <w:t> </w:t>
      </w:r>
      <w:r>
        <w:t>MW of available capacity</w:t>
      </w:r>
      <w:r w:rsidR="004513CE">
        <w:t xml:space="preserve"> at Ladbroke and Quarantine power</w:t>
      </w:r>
      <w:r w:rsidR="00FB7120">
        <w:t xml:space="preserve"> </w:t>
      </w:r>
      <w:r w:rsidR="004513CE">
        <w:t xml:space="preserve">stations </w:t>
      </w:r>
      <w:r>
        <w:t>from $38/MWh to the price cap. The reason given was “</w:t>
      </w:r>
      <w:r w:rsidRPr="00570ED0">
        <w:t xml:space="preserve">1815A </w:t>
      </w:r>
      <w:r w:rsidR="00443C63" w:rsidRPr="00570ED0">
        <w:t>constraint management</w:t>
      </w:r>
      <w:r w:rsidRPr="00570ED0">
        <w:t xml:space="preserve"> - V^SML_NSWRB_2 SL</w:t>
      </w:r>
      <w:r w:rsidRPr="004513CE">
        <w:t>”</w:t>
      </w:r>
      <w:r w:rsidR="004513CE">
        <w:t>.</w:t>
      </w:r>
      <w:r w:rsidR="00FB7120">
        <w:t xml:space="preserve"> </w:t>
      </w:r>
      <w:r w:rsidR="00D77851">
        <w:t xml:space="preserve">As a result the 5 minute price at </w:t>
      </w:r>
      <w:r w:rsidR="00090B67">
        <w:t>6</w:t>
      </w:r>
      <w:r w:rsidR="00D77851">
        <w:t>.</w:t>
      </w:r>
      <w:r w:rsidR="00443C63">
        <w:t>25 </w:t>
      </w:r>
      <w:r w:rsidR="00D77851">
        <w:t>pm was $12</w:t>
      </w:r>
      <w:r w:rsidR="00443C63">
        <w:t> </w:t>
      </w:r>
      <w:r w:rsidR="00D77851">
        <w:t>195/MWh</w:t>
      </w:r>
      <w:r w:rsidR="00F639B0">
        <w:t xml:space="preserve"> set by Hallett power station.</w:t>
      </w:r>
    </w:p>
    <w:p w:rsidR="00090B67" w:rsidRDefault="00090B67" w:rsidP="00090B67">
      <w:pPr>
        <w:pStyle w:val="AERbodytext"/>
      </w:pPr>
      <w:r>
        <w:t xml:space="preserve">At 6.25 pm, both Heywood and Murraylink were importing into South Australia at their limits (approximately 460 MW and 142 MW respectively). </w:t>
      </w:r>
    </w:p>
    <w:p w:rsidR="00F639B0" w:rsidRPr="00EF62B1" w:rsidRDefault="00F639B0" w:rsidP="00F639B0">
      <w:pPr>
        <w:rPr>
          <w:rFonts w:ascii="Gautami" w:hAnsi="Gautami"/>
          <w:sz w:val="20"/>
          <w:lang w:eastAsia="en-US"/>
        </w:rPr>
      </w:pPr>
      <w:r w:rsidRPr="00EF62B1">
        <w:rPr>
          <w:rFonts w:ascii="Gautami" w:hAnsi="Gautami"/>
          <w:sz w:val="20"/>
          <w:lang w:eastAsia="en-US"/>
        </w:rPr>
        <w:t xml:space="preserve">At </w:t>
      </w:r>
      <w:r>
        <w:rPr>
          <w:rFonts w:ascii="Gautami" w:hAnsi="Gautami"/>
          <w:sz w:val="20"/>
          <w:lang w:eastAsia="en-US"/>
        </w:rPr>
        <w:t>6</w:t>
      </w:r>
      <w:r w:rsidRPr="00E43512">
        <w:rPr>
          <w:rFonts w:ascii="Gautami" w:hAnsi="Gautami"/>
          <w:sz w:val="20"/>
          <w:lang w:eastAsia="en-US"/>
        </w:rPr>
        <w:t>.</w:t>
      </w:r>
      <w:r>
        <w:rPr>
          <w:rFonts w:ascii="Gautami" w:hAnsi="Gautami"/>
          <w:sz w:val="20"/>
          <w:lang w:eastAsia="en-US"/>
        </w:rPr>
        <w:t>30</w:t>
      </w:r>
      <w:r w:rsidRPr="00005BCD">
        <w:rPr>
          <w:rFonts w:ascii="Gautami" w:hAnsi="Gautami"/>
          <w:sz w:val="20"/>
          <w:lang w:eastAsia="en-US"/>
        </w:rPr>
        <w:t xml:space="preserve"> pm there was a </w:t>
      </w:r>
      <w:r>
        <w:rPr>
          <w:rFonts w:ascii="Gautami" w:hAnsi="Gautami"/>
          <w:sz w:val="20"/>
          <w:lang w:eastAsia="en-US"/>
        </w:rPr>
        <w:t>140</w:t>
      </w:r>
      <w:r w:rsidRPr="00EF62B1">
        <w:rPr>
          <w:rFonts w:ascii="Gautami" w:hAnsi="Gautami"/>
          <w:sz w:val="20"/>
          <w:lang w:eastAsia="en-US"/>
        </w:rPr>
        <w:t> MW decre</w:t>
      </w:r>
      <w:r w:rsidR="004604BF">
        <w:rPr>
          <w:rFonts w:ascii="Gautami" w:hAnsi="Gautami"/>
          <w:sz w:val="20"/>
          <w:lang w:eastAsia="en-US"/>
        </w:rPr>
        <w:t>ase in demand (mainly due to An</w:t>
      </w:r>
      <w:r w:rsidRPr="00EF62B1">
        <w:rPr>
          <w:rFonts w:ascii="Gautami" w:hAnsi="Gautami"/>
          <w:sz w:val="20"/>
          <w:lang w:eastAsia="en-US"/>
        </w:rPr>
        <w:t>g</w:t>
      </w:r>
      <w:r w:rsidR="004604BF">
        <w:rPr>
          <w:rFonts w:ascii="Gautami" w:hAnsi="Gautami"/>
          <w:sz w:val="20"/>
          <w:lang w:eastAsia="en-US"/>
        </w:rPr>
        <w:t>a</w:t>
      </w:r>
      <w:r w:rsidRPr="00EF62B1">
        <w:rPr>
          <w:rFonts w:ascii="Gautami" w:hAnsi="Gautami"/>
          <w:sz w:val="20"/>
          <w:lang w:eastAsia="en-US"/>
        </w:rPr>
        <w:t xml:space="preserve">ston and Pt Stanvac increasing their output) which saw the five minute price return to previous levels. </w:t>
      </w:r>
    </w:p>
    <w:p w:rsidR="008B612D" w:rsidRPr="00602A7E" w:rsidRDefault="00090B67" w:rsidP="00602A7E">
      <w:pPr>
        <w:pStyle w:val="AERbodytext"/>
        <w:rPr>
          <w:b/>
        </w:rPr>
      </w:pPr>
      <w:r>
        <w:br w:type="page"/>
      </w:r>
      <w:r w:rsidR="00602A7E">
        <w:rPr>
          <w:b/>
        </w:rPr>
        <w:lastRenderedPageBreak/>
        <w:t>Table 4: South Australia, Tuesday</w:t>
      </w:r>
      <w:r w:rsidR="00FE67FD" w:rsidRPr="00FE67FD">
        <w:rPr>
          <w:b/>
        </w:rPr>
        <w:t xml:space="preserve"> 22 July </w:t>
      </w:r>
    </w:p>
    <w:tbl>
      <w:tblPr>
        <w:tblpPr w:leftFromText="180" w:rightFromText="180" w:vertAnchor="text" w:horzAnchor="margin" w:tblpY="55"/>
        <w:tblW w:w="5000" w:type="pct"/>
        <w:tblBorders>
          <w:top w:val="single" w:sz="8" w:space="0" w:color="7BA0CD"/>
          <w:bottom w:val="single" w:sz="8" w:space="0" w:color="7BA0CD"/>
        </w:tblBorders>
        <w:tblLayout w:type="fixed"/>
        <w:tblLook w:val="04A0" w:firstRow="1" w:lastRow="0" w:firstColumn="1" w:lastColumn="0" w:noHBand="0" w:noVBand="1"/>
      </w:tblPr>
      <w:tblGrid>
        <w:gridCol w:w="813"/>
        <w:gridCol w:w="892"/>
        <w:gridCol w:w="891"/>
        <w:gridCol w:w="893"/>
        <w:gridCol w:w="891"/>
        <w:gridCol w:w="891"/>
        <w:gridCol w:w="893"/>
        <w:gridCol w:w="891"/>
        <w:gridCol w:w="891"/>
        <w:gridCol w:w="895"/>
      </w:tblGrid>
      <w:tr w:rsidR="00FE67FD" w:rsidRPr="00AF7A08" w:rsidTr="00090B67">
        <w:trPr>
          <w:cantSplit/>
          <w:tblHeader/>
        </w:trPr>
        <w:tc>
          <w:tcPr>
            <w:tcW w:w="459" w:type="pct"/>
            <w:tcBorders>
              <w:top w:val="single" w:sz="4" w:space="0" w:color="auto"/>
              <w:left w:val="single" w:sz="4" w:space="0" w:color="auto"/>
              <w:bottom w:val="nil"/>
            </w:tcBorders>
            <w:shd w:val="clear" w:color="auto" w:fill="4A442A"/>
            <w:noWrap/>
          </w:tcPr>
          <w:p w:rsidR="00FE67FD" w:rsidRPr="00E43512" w:rsidRDefault="00FE67FD" w:rsidP="00090B67">
            <w:pPr>
              <w:keepNext/>
              <w:autoSpaceDE w:val="0"/>
              <w:autoSpaceDN w:val="0"/>
              <w:adjustRightInd w:val="0"/>
              <w:spacing w:before="100" w:after="100"/>
              <w:rPr>
                <w:rFonts w:ascii="Gautami" w:hAnsi="Gautami" w:cs="Gautami"/>
                <w:b/>
                <w:bCs/>
                <w:color w:val="FFFFFF"/>
                <w:sz w:val="16"/>
                <w:szCs w:val="16"/>
              </w:rPr>
            </w:pPr>
            <w:r w:rsidRPr="00E43512">
              <w:rPr>
                <w:rFonts w:ascii="Gautami" w:hAnsi="Gautami" w:cs="Gautami"/>
                <w:b/>
                <w:bCs/>
                <w:color w:val="FFFFFF"/>
                <w:sz w:val="16"/>
                <w:szCs w:val="16"/>
              </w:rPr>
              <w:t>Time</w:t>
            </w:r>
          </w:p>
        </w:tc>
        <w:tc>
          <w:tcPr>
            <w:tcW w:w="1513" w:type="pct"/>
            <w:gridSpan w:val="3"/>
            <w:tcBorders>
              <w:top w:val="single" w:sz="4" w:space="0" w:color="auto"/>
              <w:bottom w:val="nil"/>
            </w:tcBorders>
            <w:shd w:val="clear" w:color="auto" w:fill="4A442A"/>
            <w:noWrap/>
          </w:tcPr>
          <w:p w:rsidR="00FE67FD" w:rsidRPr="00E43512" w:rsidRDefault="00FE67FD" w:rsidP="00090B67">
            <w:pPr>
              <w:keepNext/>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Price ($/MWh)</w:t>
            </w:r>
          </w:p>
        </w:tc>
        <w:tc>
          <w:tcPr>
            <w:tcW w:w="1513" w:type="pct"/>
            <w:gridSpan w:val="3"/>
            <w:tcBorders>
              <w:top w:val="single" w:sz="4" w:space="0" w:color="auto"/>
              <w:bottom w:val="nil"/>
            </w:tcBorders>
            <w:shd w:val="clear" w:color="auto" w:fill="4A442A"/>
          </w:tcPr>
          <w:p w:rsidR="00FE67FD" w:rsidRPr="00E43512" w:rsidRDefault="00FE67FD" w:rsidP="00090B67">
            <w:pPr>
              <w:keepNext/>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Demand (MW)</w:t>
            </w:r>
          </w:p>
        </w:tc>
        <w:tc>
          <w:tcPr>
            <w:tcW w:w="1514" w:type="pct"/>
            <w:gridSpan w:val="3"/>
            <w:tcBorders>
              <w:top w:val="single" w:sz="4" w:space="0" w:color="auto"/>
              <w:bottom w:val="nil"/>
              <w:right w:val="single" w:sz="4" w:space="0" w:color="auto"/>
            </w:tcBorders>
            <w:shd w:val="clear" w:color="auto" w:fill="4A442A"/>
          </w:tcPr>
          <w:p w:rsidR="00FE67FD" w:rsidRPr="00E43512" w:rsidRDefault="00FE67FD" w:rsidP="00090B67">
            <w:pPr>
              <w:keepNext/>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Availability (MW)</w:t>
            </w:r>
          </w:p>
        </w:tc>
      </w:tr>
      <w:tr w:rsidR="00E43512" w:rsidRPr="00AF7A08" w:rsidTr="00090B67">
        <w:trPr>
          <w:cantSplit/>
          <w:tblHeader/>
        </w:trPr>
        <w:tc>
          <w:tcPr>
            <w:tcW w:w="459" w:type="pct"/>
            <w:tcBorders>
              <w:top w:val="nil"/>
              <w:left w:val="single" w:sz="4" w:space="0" w:color="auto"/>
              <w:bottom w:val="nil"/>
              <w:right w:val="single" w:sz="6" w:space="0" w:color="auto"/>
            </w:tcBorders>
            <w:shd w:val="clear" w:color="auto" w:fill="DDD9C3"/>
            <w:noWrap/>
          </w:tcPr>
          <w:p w:rsidR="00FE67FD" w:rsidRPr="00E43512" w:rsidRDefault="00FE67FD" w:rsidP="00090B67">
            <w:pPr>
              <w:keepNext/>
              <w:autoSpaceDE w:val="0"/>
              <w:autoSpaceDN w:val="0"/>
              <w:adjustRightInd w:val="0"/>
              <w:spacing w:before="100" w:after="100"/>
              <w:rPr>
                <w:rFonts w:ascii="Gautami" w:hAnsi="Gautami" w:cs="Gautami"/>
                <w:b/>
                <w:bCs/>
                <w:sz w:val="16"/>
                <w:szCs w:val="16"/>
              </w:rPr>
            </w:pPr>
          </w:p>
        </w:tc>
        <w:tc>
          <w:tcPr>
            <w:tcW w:w="504" w:type="pct"/>
            <w:tcBorders>
              <w:top w:val="nil"/>
              <w:left w:val="single" w:sz="6" w:space="0" w:color="auto"/>
              <w:bottom w:val="nil"/>
              <w:right w:val="nil"/>
            </w:tcBorders>
            <w:shd w:val="clear" w:color="auto" w:fill="DDD9C3"/>
            <w:noWrap/>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504" w:type="pct"/>
            <w:tcBorders>
              <w:top w:val="nil"/>
              <w:left w:val="nil"/>
              <w:bottom w:val="nil"/>
              <w:right w:val="nil"/>
            </w:tcBorders>
            <w:shd w:val="clear" w:color="auto" w:fill="DDD9C3"/>
            <w:noWrap/>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504" w:type="pct"/>
            <w:tcBorders>
              <w:top w:val="nil"/>
              <w:left w:val="nil"/>
              <w:bottom w:val="nil"/>
              <w:right w:val="single" w:sz="6" w:space="0" w:color="auto"/>
            </w:tcBorders>
            <w:shd w:val="clear" w:color="auto" w:fill="DDD9C3"/>
            <w:noWrap/>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504" w:type="pct"/>
            <w:tcBorders>
              <w:top w:val="nil"/>
              <w:left w:val="single" w:sz="6" w:space="0" w:color="auto"/>
              <w:bottom w:val="nil"/>
              <w:right w:val="nil"/>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504" w:type="pct"/>
            <w:tcBorders>
              <w:top w:val="nil"/>
              <w:left w:val="nil"/>
              <w:bottom w:val="nil"/>
              <w:right w:val="nil"/>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504" w:type="pct"/>
            <w:tcBorders>
              <w:top w:val="nil"/>
              <w:left w:val="nil"/>
              <w:bottom w:val="nil"/>
              <w:right w:val="single" w:sz="6" w:space="0" w:color="auto"/>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504" w:type="pct"/>
            <w:tcBorders>
              <w:top w:val="nil"/>
              <w:left w:val="single" w:sz="6" w:space="0" w:color="auto"/>
              <w:bottom w:val="nil"/>
              <w:right w:val="nil"/>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504" w:type="pct"/>
            <w:tcBorders>
              <w:top w:val="nil"/>
              <w:left w:val="nil"/>
              <w:bottom w:val="nil"/>
              <w:right w:val="nil"/>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505" w:type="pct"/>
            <w:tcBorders>
              <w:top w:val="nil"/>
              <w:left w:val="nil"/>
              <w:bottom w:val="nil"/>
              <w:right w:val="single" w:sz="4" w:space="0" w:color="auto"/>
            </w:tcBorders>
            <w:shd w:val="clear" w:color="auto" w:fill="DDD9C3"/>
          </w:tcPr>
          <w:p w:rsidR="00FE67FD" w:rsidRPr="00E43512" w:rsidRDefault="00FE67FD" w:rsidP="00090B67">
            <w:pPr>
              <w:keepNext/>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r>
      <w:tr w:rsidR="00E43512" w:rsidRPr="00AF7A08" w:rsidTr="00090B67">
        <w:trPr>
          <w:cantSplit/>
        </w:trPr>
        <w:tc>
          <w:tcPr>
            <w:tcW w:w="459" w:type="pct"/>
            <w:tcBorders>
              <w:top w:val="nil"/>
              <w:left w:val="single" w:sz="4" w:space="0" w:color="auto"/>
              <w:bottom w:val="single" w:sz="4" w:space="0" w:color="auto"/>
              <w:right w:val="single" w:sz="6" w:space="0" w:color="auto"/>
            </w:tcBorders>
            <w:shd w:val="clear" w:color="auto" w:fill="EEECE1"/>
            <w:noWrap/>
            <w:vAlign w:val="center"/>
          </w:tcPr>
          <w:p w:rsidR="00FE67FD" w:rsidRPr="00E43512" w:rsidRDefault="00FE67FD" w:rsidP="00EF62B1">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7.30 PM</w:t>
            </w:r>
          </w:p>
        </w:tc>
        <w:tc>
          <w:tcPr>
            <w:tcW w:w="504" w:type="pct"/>
            <w:tcBorders>
              <w:top w:val="nil"/>
              <w:left w:val="single" w:sz="6" w:space="0" w:color="auto"/>
              <w:bottom w:val="single" w:sz="4" w:space="0" w:color="auto"/>
              <w:right w:val="nil"/>
            </w:tcBorders>
            <w:shd w:val="clear" w:color="auto" w:fill="EEECE1"/>
            <w:noWrap/>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2412.12</w:t>
            </w:r>
          </w:p>
        </w:tc>
        <w:tc>
          <w:tcPr>
            <w:tcW w:w="504" w:type="pct"/>
            <w:tcBorders>
              <w:top w:val="nil"/>
              <w:left w:val="nil"/>
              <w:bottom w:val="single" w:sz="4" w:space="0" w:color="auto"/>
              <w:right w:val="nil"/>
            </w:tcBorders>
            <w:shd w:val="clear" w:color="auto" w:fill="EEECE1"/>
            <w:noWrap/>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300.07</w:t>
            </w:r>
          </w:p>
        </w:tc>
        <w:tc>
          <w:tcPr>
            <w:tcW w:w="504" w:type="pct"/>
            <w:tcBorders>
              <w:top w:val="nil"/>
              <w:left w:val="nil"/>
              <w:bottom w:val="single" w:sz="4" w:space="0" w:color="auto"/>
              <w:right w:val="single" w:sz="6" w:space="0" w:color="auto"/>
            </w:tcBorders>
            <w:shd w:val="clear" w:color="auto" w:fill="EEECE1"/>
            <w:noWrap/>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61.58</w:t>
            </w:r>
          </w:p>
        </w:tc>
        <w:tc>
          <w:tcPr>
            <w:tcW w:w="504" w:type="pct"/>
            <w:tcBorders>
              <w:top w:val="nil"/>
              <w:left w:val="single" w:sz="6" w:space="0" w:color="auto"/>
              <w:bottom w:val="single" w:sz="4" w:space="0" w:color="auto"/>
              <w:right w:val="nil"/>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1980</w:t>
            </w:r>
          </w:p>
        </w:tc>
        <w:tc>
          <w:tcPr>
            <w:tcW w:w="504" w:type="pct"/>
            <w:tcBorders>
              <w:top w:val="nil"/>
              <w:left w:val="nil"/>
              <w:bottom w:val="single" w:sz="4" w:space="0" w:color="auto"/>
              <w:right w:val="nil"/>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2048</w:t>
            </w:r>
          </w:p>
        </w:tc>
        <w:tc>
          <w:tcPr>
            <w:tcW w:w="504" w:type="pct"/>
            <w:tcBorders>
              <w:top w:val="nil"/>
              <w:left w:val="nil"/>
              <w:bottom w:val="single" w:sz="4" w:space="0" w:color="auto"/>
              <w:right w:val="single" w:sz="6" w:space="0" w:color="auto"/>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2140</w:t>
            </w:r>
          </w:p>
        </w:tc>
        <w:tc>
          <w:tcPr>
            <w:tcW w:w="504" w:type="pct"/>
            <w:tcBorders>
              <w:top w:val="nil"/>
              <w:left w:val="single" w:sz="6" w:space="0" w:color="auto"/>
              <w:bottom w:val="single" w:sz="4" w:space="0" w:color="auto"/>
              <w:right w:val="nil"/>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2121</w:t>
            </w:r>
          </w:p>
        </w:tc>
        <w:tc>
          <w:tcPr>
            <w:tcW w:w="504" w:type="pct"/>
            <w:tcBorders>
              <w:top w:val="nil"/>
              <w:left w:val="nil"/>
              <w:bottom w:val="single" w:sz="4" w:space="0" w:color="auto"/>
              <w:right w:val="nil"/>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2248</w:t>
            </w:r>
          </w:p>
        </w:tc>
        <w:tc>
          <w:tcPr>
            <w:tcW w:w="505" w:type="pct"/>
            <w:tcBorders>
              <w:top w:val="nil"/>
              <w:left w:val="nil"/>
              <w:bottom w:val="single" w:sz="4" w:space="0" w:color="auto"/>
              <w:right w:val="single" w:sz="4" w:space="0" w:color="auto"/>
            </w:tcBorders>
            <w:shd w:val="clear" w:color="auto" w:fill="EEECE1"/>
            <w:vAlign w:val="center"/>
          </w:tcPr>
          <w:p w:rsidR="00FE67FD" w:rsidRPr="00E43512" w:rsidRDefault="00FE67FD" w:rsidP="00EF62B1">
            <w:pPr>
              <w:jc w:val="center"/>
              <w:rPr>
                <w:rFonts w:ascii="Gautami" w:hAnsi="Gautami" w:cs="Gautami"/>
                <w:sz w:val="16"/>
                <w:szCs w:val="16"/>
              </w:rPr>
            </w:pPr>
            <w:r w:rsidRPr="00E43512">
              <w:rPr>
                <w:rFonts w:ascii="Gautami" w:hAnsi="Gautami" w:cs="Gautami"/>
                <w:sz w:val="16"/>
                <w:szCs w:val="16"/>
              </w:rPr>
              <w:t>2412</w:t>
            </w:r>
          </w:p>
        </w:tc>
      </w:tr>
    </w:tbl>
    <w:p w:rsidR="00FE67FD" w:rsidRDefault="00FE67FD" w:rsidP="00FE67FD">
      <w:pPr>
        <w:spacing w:before="100" w:beforeAutospacing="1" w:after="100" w:afterAutospacing="1"/>
        <w:rPr>
          <w:rFonts w:ascii="Gautami" w:hAnsi="Gautami"/>
          <w:sz w:val="20"/>
          <w:lang w:eastAsia="en-US"/>
        </w:rPr>
      </w:pPr>
    </w:p>
    <w:p w:rsidR="00476276" w:rsidRDefault="0078020D" w:rsidP="00E43512">
      <w:pPr>
        <w:pStyle w:val="AERbodytext"/>
      </w:pPr>
      <w:r>
        <w:t>Conditions at the time saw demand and available generation slightly below that forecast.</w:t>
      </w:r>
      <w:r w:rsidR="003B3D4F">
        <w:t xml:space="preserve"> </w:t>
      </w:r>
      <w:r>
        <w:t>B</w:t>
      </w:r>
      <w:r w:rsidR="003B3D4F">
        <w:t xml:space="preserve">oth </w:t>
      </w:r>
      <w:r>
        <w:t xml:space="preserve">the </w:t>
      </w:r>
      <w:r w:rsidR="003B3D4F">
        <w:t xml:space="preserve">MurrayLink and Heywood interconnectors were </w:t>
      </w:r>
      <w:r>
        <w:t>importing at their limit</w:t>
      </w:r>
      <w:r w:rsidR="003B3D4F">
        <w:t xml:space="preserve">. </w:t>
      </w:r>
    </w:p>
    <w:p w:rsidR="006B615D" w:rsidRDefault="00FD33A7" w:rsidP="00E43512">
      <w:pPr>
        <w:pStyle w:val="AERbodytext"/>
      </w:pPr>
      <w:r>
        <w:t>At 6.</w:t>
      </w:r>
      <w:r w:rsidR="0078020D">
        <w:t>55 </w:t>
      </w:r>
      <w:r>
        <w:t>pm, effective from 7.05</w:t>
      </w:r>
      <w:r w:rsidR="0078020D">
        <w:t> pm</w:t>
      </w:r>
      <w:r>
        <w:t xml:space="preserve">, AGL rebid </w:t>
      </w:r>
      <w:r w:rsidR="0078020D">
        <w:t>180 </w:t>
      </w:r>
      <w:r w:rsidR="006B615D">
        <w:t>MW of available capacity at Torrens Island B from below $65/MWh to $351/MWh. The reason given was “</w:t>
      </w:r>
      <w:r w:rsidR="006B615D" w:rsidRPr="006B615D">
        <w:t xml:space="preserve">18:31F </w:t>
      </w:r>
      <w:r w:rsidR="0078020D" w:rsidRPr="006B615D">
        <w:t xml:space="preserve">chg in pipeline cond::change in imbal pos </w:t>
      </w:r>
      <w:r w:rsidR="006B615D" w:rsidRPr="006B615D">
        <w:t>S</w:t>
      </w:r>
      <w:r w:rsidR="0078020D">
        <w:t>eagas</w:t>
      </w:r>
      <w:r w:rsidR="006B615D">
        <w:t xml:space="preserve">”. </w:t>
      </w:r>
    </w:p>
    <w:p w:rsidR="00FD33A7" w:rsidRDefault="006B615D" w:rsidP="00E43512">
      <w:pPr>
        <w:pStyle w:val="AERbodytext"/>
      </w:pPr>
      <w:r>
        <w:t>At 7.</w:t>
      </w:r>
      <w:r w:rsidR="00496EAC">
        <w:t>03 </w:t>
      </w:r>
      <w:r>
        <w:t>pm, effective from 7.</w:t>
      </w:r>
      <w:r w:rsidR="00496EAC">
        <w:t>10 </w:t>
      </w:r>
      <w:r>
        <w:t>pm, Origin Energy rebid 143</w:t>
      </w:r>
      <w:r w:rsidR="00496EAC">
        <w:t> </w:t>
      </w:r>
      <w:r>
        <w:t>MW at Ladbroke and Quarantine power stations from below $55/MWh to the price cap. The reason was “</w:t>
      </w:r>
      <w:r w:rsidRPr="006B615D">
        <w:t xml:space="preserve">1902A </w:t>
      </w:r>
      <w:r w:rsidR="00496EAC" w:rsidRPr="006B615D">
        <w:t>constraint management</w:t>
      </w:r>
      <w:r w:rsidRPr="006B615D">
        <w:t xml:space="preserve"> - V^SML_NSWRB_2 SL”</w:t>
      </w:r>
      <w:r>
        <w:t xml:space="preserve">. </w:t>
      </w:r>
    </w:p>
    <w:p w:rsidR="00FD33A7" w:rsidRDefault="003B3D4F" w:rsidP="00E43512">
      <w:pPr>
        <w:pStyle w:val="AERbodytext"/>
      </w:pPr>
      <w:r>
        <w:t>As a result of t</w:t>
      </w:r>
      <w:r w:rsidR="006B615D">
        <w:t xml:space="preserve">hese </w:t>
      </w:r>
      <w:r>
        <w:t xml:space="preserve">two rebids the 5 minute prices were </w:t>
      </w:r>
      <w:r w:rsidR="0078020D">
        <w:t xml:space="preserve">around </w:t>
      </w:r>
      <w:r>
        <w:t>$300</w:t>
      </w:r>
      <w:r w:rsidR="0094615C">
        <w:t xml:space="preserve">/MWh </w:t>
      </w:r>
      <w:r w:rsidR="0078020D">
        <w:t>for the 7.10 pm to 7.25 pm dispatch intervals</w:t>
      </w:r>
      <w:r>
        <w:t xml:space="preserve">. </w:t>
      </w:r>
    </w:p>
    <w:p w:rsidR="00A93870" w:rsidRDefault="00FE67FD" w:rsidP="008069BD">
      <w:pPr>
        <w:pStyle w:val="AERbodytext"/>
      </w:pPr>
      <w:r>
        <w:t>At 7.</w:t>
      </w:r>
      <w:r w:rsidR="00496EAC">
        <w:t>23 </w:t>
      </w:r>
      <w:r>
        <w:t>pm, effective from 7.</w:t>
      </w:r>
      <w:r w:rsidR="00496EAC">
        <w:t>30 </w:t>
      </w:r>
      <w:r>
        <w:t>pm, AGL rebid a total of 300</w:t>
      </w:r>
      <w:r w:rsidR="00496EAC">
        <w:t> </w:t>
      </w:r>
      <w:r>
        <w:t xml:space="preserve">MW of available capacity at Torrens Island B from </w:t>
      </w:r>
      <w:r w:rsidR="00496EAC">
        <w:t xml:space="preserve">prices </w:t>
      </w:r>
      <w:r>
        <w:t xml:space="preserve">below $80/MWh to </w:t>
      </w:r>
      <w:r w:rsidR="0078020D">
        <w:t>$13 301/MWh.</w:t>
      </w:r>
      <w:r>
        <w:t xml:space="preserve"> The reason given was “19:15A </w:t>
      </w:r>
      <w:r w:rsidR="00496EAC">
        <w:t>chg in dispatch::</w:t>
      </w:r>
      <w:r w:rsidR="00496EAC" w:rsidRPr="00FE67FD">
        <w:t xml:space="preserve">price incr </w:t>
      </w:r>
      <w:r w:rsidR="00496EAC">
        <w:t>v</w:t>
      </w:r>
      <w:r w:rsidR="00496EAC" w:rsidRPr="00FE67FD">
        <w:t xml:space="preserve"> </w:t>
      </w:r>
      <w:r w:rsidRPr="00FE67FD">
        <w:t>PD SA 30/5 $350.98</w:t>
      </w:r>
      <w:r>
        <w:t>”.</w:t>
      </w:r>
      <w:r w:rsidR="0078020D">
        <w:t xml:space="preserve"> </w:t>
      </w:r>
      <w:r w:rsidR="006B615D" w:rsidRPr="00FD33A7">
        <w:t>As a result</w:t>
      </w:r>
      <w:r w:rsidR="006B615D">
        <w:t xml:space="preserve"> the 5 minute price at 7</w:t>
      </w:r>
      <w:r w:rsidR="0078020D">
        <w:t>.</w:t>
      </w:r>
      <w:r w:rsidR="00496EAC">
        <w:t>30 </w:t>
      </w:r>
      <w:r w:rsidR="006B615D">
        <w:t>pm was $13</w:t>
      </w:r>
      <w:r w:rsidR="00496EAC">
        <w:t> </w:t>
      </w:r>
      <w:r w:rsidR="006B615D">
        <w:t>10</w:t>
      </w:r>
      <w:r w:rsidR="00496EAC">
        <w:t>1/MWh</w:t>
      </w:r>
      <w:r w:rsidR="00A93870">
        <w:t xml:space="preserve"> set by Torrens Island B</w:t>
      </w:r>
      <w:r w:rsidR="006B615D">
        <w:t>.</w:t>
      </w:r>
      <w:r w:rsidR="003B3D4F">
        <w:t xml:space="preserve"> </w:t>
      </w:r>
    </w:p>
    <w:p w:rsidR="008069BD" w:rsidRPr="00EF62B1" w:rsidRDefault="008069BD" w:rsidP="008069BD">
      <w:pPr>
        <w:rPr>
          <w:rFonts w:ascii="Gautami" w:hAnsi="Gautami"/>
          <w:sz w:val="20"/>
          <w:lang w:eastAsia="en-US"/>
        </w:rPr>
      </w:pPr>
      <w:r w:rsidRPr="00EF62B1">
        <w:rPr>
          <w:rFonts w:ascii="Gautami" w:hAnsi="Gautami"/>
          <w:sz w:val="20"/>
          <w:lang w:eastAsia="en-US"/>
        </w:rPr>
        <w:t xml:space="preserve">At </w:t>
      </w:r>
      <w:r>
        <w:rPr>
          <w:rFonts w:ascii="Gautami" w:hAnsi="Gautami"/>
          <w:sz w:val="20"/>
          <w:lang w:eastAsia="en-US"/>
        </w:rPr>
        <w:t>6</w:t>
      </w:r>
      <w:r w:rsidRPr="00E43512">
        <w:rPr>
          <w:rFonts w:ascii="Gautami" w:hAnsi="Gautami"/>
          <w:sz w:val="20"/>
          <w:lang w:eastAsia="en-US"/>
        </w:rPr>
        <w:t>.</w:t>
      </w:r>
      <w:r>
        <w:rPr>
          <w:rFonts w:ascii="Gautami" w:hAnsi="Gautami"/>
          <w:sz w:val="20"/>
          <w:lang w:eastAsia="en-US"/>
        </w:rPr>
        <w:t>30</w:t>
      </w:r>
      <w:r w:rsidRPr="00005BCD">
        <w:rPr>
          <w:rFonts w:ascii="Gautami" w:hAnsi="Gautami"/>
          <w:sz w:val="20"/>
          <w:lang w:eastAsia="en-US"/>
        </w:rPr>
        <w:t xml:space="preserve"> pm there was a </w:t>
      </w:r>
      <w:r>
        <w:rPr>
          <w:rFonts w:ascii="Gautami" w:hAnsi="Gautami"/>
          <w:sz w:val="20"/>
          <w:lang w:eastAsia="en-US"/>
        </w:rPr>
        <w:t>76</w:t>
      </w:r>
      <w:r w:rsidRPr="00EF62B1">
        <w:rPr>
          <w:rFonts w:ascii="Gautami" w:hAnsi="Gautami"/>
          <w:sz w:val="20"/>
          <w:lang w:eastAsia="en-US"/>
        </w:rPr>
        <w:t> MW decre</w:t>
      </w:r>
      <w:r w:rsidR="004604BF">
        <w:rPr>
          <w:rFonts w:ascii="Gautami" w:hAnsi="Gautami"/>
          <w:sz w:val="20"/>
          <w:lang w:eastAsia="en-US"/>
        </w:rPr>
        <w:t>ase in demand (mainly due to An</w:t>
      </w:r>
      <w:r w:rsidRPr="00EF62B1">
        <w:rPr>
          <w:rFonts w:ascii="Gautami" w:hAnsi="Gautami"/>
          <w:sz w:val="20"/>
          <w:lang w:eastAsia="en-US"/>
        </w:rPr>
        <w:t>g</w:t>
      </w:r>
      <w:r w:rsidR="004604BF">
        <w:rPr>
          <w:rFonts w:ascii="Gautami" w:hAnsi="Gautami"/>
          <w:sz w:val="20"/>
          <w:lang w:eastAsia="en-US"/>
        </w:rPr>
        <w:t>a</w:t>
      </w:r>
      <w:r w:rsidRPr="00EF62B1">
        <w:rPr>
          <w:rFonts w:ascii="Gautami" w:hAnsi="Gautami"/>
          <w:sz w:val="20"/>
          <w:lang w:eastAsia="en-US"/>
        </w:rPr>
        <w:t xml:space="preserve">ston and Pt Stanvac increasing their output) which saw the five minute price return to previous levels. </w:t>
      </w:r>
    </w:p>
    <w:p w:rsidR="008069BD" w:rsidRDefault="008069BD" w:rsidP="008069BD">
      <w:pPr>
        <w:pStyle w:val="AERbodytext"/>
      </w:pP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Q</w:t>
      </w:r>
      <w:r w:rsidR="00B72454">
        <w:rPr>
          <w:color w:val="000000" w:themeColor="text1"/>
        </w:rPr>
        <w:t>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B72454">
        <w:rPr>
          <w:color w:val="000000" w:themeColor="text1"/>
        </w:rPr>
        <w:t>2</w:t>
      </w:r>
      <w:r w:rsidR="00BB0611" w:rsidRPr="00AA6275">
        <w:rPr>
          <w:color w:val="000000" w:themeColor="text1"/>
        </w:rPr>
        <w:t xml:space="preserve"> 2018</w:t>
      </w:r>
    </w:p>
    <w:p w:rsidR="00E96C5A" w:rsidRPr="002D23B9" w:rsidRDefault="002B4B86"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51pt;height:227.5pt;mso-position-vertical:absolute">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94615C">
      <w:pPr>
        <w:pStyle w:val="AERbodytext"/>
        <w:spacing w:after="120" w:line="240" w:lineRule="auto"/>
      </w:pPr>
      <w:r>
        <w:lastRenderedPageBreak/>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7354CE" w:rsidRPr="002D23B9">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2B4B86"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51pt;height:228.1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426950">
      <w:pPr>
        <w:pStyle w:val="AERbodytext"/>
        <w:spacing w:after="120"/>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426950">
      <w:pPr>
        <w:pStyle w:val="AERbodytext"/>
        <w:spacing w:after="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2B4B86"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51pt;height:226.3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5F2CBA" w:rsidP="00E43512">
      <w:pPr>
        <w:pStyle w:val="AERbodytext"/>
        <w:rPr>
          <w:b/>
        </w:rPr>
      </w:pPr>
      <w:r w:rsidRPr="00E43512">
        <w:rPr>
          <w:b/>
        </w:rPr>
        <w:t>August</w:t>
      </w:r>
      <w:r w:rsidR="00B54368" w:rsidRPr="00E43512">
        <w:rPr>
          <w:b/>
        </w:rPr>
        <w:t xml:space="preserve"> </w:t>
      </w:r>
      <w:r w:rsidR="0097000C" w:rsidRPr="00E43512">
        <w:rPr>
          <w:b/>
        </w:rPr>
        <w:t>2014</w:t>
      </w:r>
    </w:p>
    <w:sectPr w:rsidR="00E96C5A" w:rsidRPr="00E43512" w:rsidSect="00657719">
      <w:footerReference w:type="default" r:id="rId26"/>
      <w:footerReference w:type="first" r:id="rId27"/>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2B4B86">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D14/102781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39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952\D14 102781  20140720 - 20140725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B86"/>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8E2"/>
    <w:rsid w:val="003E3D7B"/>
    <w:rsid w:val="003E4A9C"/>
    <w:rsid w:val="003E4B4E"/>
    <w:rsid w:val="003E4FA0"/>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3CE"/>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6EAC"/>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68"/>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824"/>
    <w:rsid w:val="00541CC2"/>
    <w:rsid w:val="00541DB8"/>
    <w:rsid w:val="005420D5"/>
    <w:rsid w:val="0054213D"/>
    <w:rsid w:val="00542160"/>
    <w:rsid w:val="00542D33"/>
    <w:rsid w:val="00543297"/>
    <w:rsid w:val="0054349D"/>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2F64"/>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27CA3"/>
    <w:rsid w:val="00830601"/>
    <w:rsid w:val="0083077B"/>
    <w:rsid w:val="00830DF8"/>
    <w:rsid w:val="00831873"/>
    <w:rsid w:val="0083196C"/>
    <w:rsid w:val="00831999"/>
    <w:rsid w:val="00831CEA"/>
    <w:rsid w:val="00831D72"/>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71E"/>
    <w:rsid w:val="008B3D0D"/>
    <w:rsid w:val="008B4251"/>
    <w:rsid w:val="008B4515"/>
    <w:rsid w:val="008B481D"/>
    <w:rsid w:val="008B4978"/>
    <w:rsid w:val="008B4996"/>
    <w:rsid w:val="008B4E27"/>
    <w:rsid w:val="008B4F54"/>
    <w:rsid w:val="008B5009"/>
    <w:rsid w:val="008B5432"/>
    <w:rsid w:val="008B58BF"/>
    <w:rsid w:val="008B5B04"/>
    <w:rsid w:val="008B612D"/>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15C"/>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4AB"/>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7CF"/>
    <w:rsid w:val="00A318D8"/>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4F5"/>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F2"/>
    <w:rsid w:val="00C93C01"/>
    <w:rsid w:val="00C93E5B"/>
    <w:rsid w:val="00C9403F"/>
    <w:rsid w:val="00C941ED"/>
    <w:rsid w:val="00C94677"/>
    <w:rsid w:val="00C9470B"/>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851"/>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C3"/>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670B-E4C0-4AF5-88CD-5F19CC47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A09BFF21.dotm</Template>
  <TotalTime>0</TotalTime>
  <Pages>9</Pages>
  <Words>1732</Words>
  <Characters>9878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2014-08-12T00:42:00Z</dcterms:created>
  <dcterms:modified xsi:type="dcterms:W3CDTF">2014-08-12T00:42:00Z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H:\TRIMDATA\TRIM\TEMP\HPTRIM.952\D14 102781  20140720 - 20140725 Electricity Weekly report.DOCX</vt:lpwstr>
  </property>
</Properties>
</file>