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006F36"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A50C36" w:rsidP="00780239">
                  <w:pPr>
                    <w:pStyle w:val="Title"/>
                    <w:jc w:val="left"/>
                    <w:rPr>
                      <w:i/>
                    </w:rPr>
                  </w:pPr>
                  <w:r>
                    <w:t>17</w:t>
                  </w:r>
                  <w:r w:rsidR="0022337C">
                    <w:t xml:space="preserve"> to </w:t>
                  </w:r>
                  <w:r>
                    <w:t>23</w:t>
                  </w:r>
                  <w:r w:rsidR="005270A6" w:rsidRPr="005270A6">
                    <w:t xml:space="preserve"> </w:t>
                  </w:r>
                  <w:r w:rsidR="0076711C">
                    <w:t>August</w:t>
                  </w:r>
                  <w:r w:rsidR="00735518">
                    <w:t xml:space="preserve">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9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4A3368" w:rsidRDefault="002F6FF5" w:rsidP="004A3368">
      <w:pPr>
        <w:pStyle w:val="AERbodytext"/>
      </w:pPr>
      <w:r w:rsidRPr="004A3368">
        <w:t xml:space="preserve">The AER is required to publish the reasons for significant variations </w:t>
      </w:r>
      <w:r w:rsidR="005A5ACF" w:rsidRPr="004A3368">
        <w:t xml:space="preserve">between forecast and actual price </w:t>
      </w:r>
      <w:r w:rsidRPr="004A3368">
        <w:t>and is responsible for monitoring activity and behaviour in th</w:t>
      </w:r>
      <w:bookmarkStart w:id="6" w:name="_GoBack"/>
      <w:bookmarkEnd w:id="6"/>
      <w:r w:rsidRPr="004A3368">
        <w:t>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4A3368" w:rsidRDefault="0078358A" w:rsidP="004A3368">
      <w:pPr>
        <w:pStyle w:val="AERbodytext"/>
      </w:pPr>
      <w:r w:rsidRPr="00EE7119">
        <w:t xml:space="preserve">Figure 1 shows the spot prices that occurred in each region during the week </w:t>
      </w:r>
      <w:r w:rsidR="0076711C" w:rsidRPr="00EE7119">
        <w:t>1</w:t>
      </w:r>
      <w:r w:rsidR="00277A82">
        <w:t>7</w:t>
      </w:r>
      <w:r w:rsidR="00BB0611" w:rsidRPr="00EE7119">
        <w:t xml:space="preserve"> </w:t>
      </w:r>
      <w:r w:rsidR="00780239" w:rsidRPr="00EE7119">
        <w:t xml:space="preserve">to </w:t>
      </w:r>
      <w:r w:rsidR="00277A82">
        <w:t>23</w:t>
      </w:r>
      <w:r w:rsidR="0088451C">
        <w:t> </w:t>
      </w:r>
      <w:r w:rsidR="0076711C" w:rsidRPr="00EE7119">
        <w:t>August</w:t>
      </w:r>
      <w:r w:rsidR="0088451C">
        <w:t> </w:t>
      </w:r>
      <w:r w:rsidRPr="00EE7119">
        <w:t>2014.</w:t>
      </w:r>
      <w:r w:rsidR="00827053" w:rsidRPr="00EE7119">
        <w:t xml:space="preserve"> </w:t>
      </w:r>
      <w:r w:rsidR="0088451C">
        <w:t>The figure shows that t</w:t>
      </w:r>
      <w:r w:rsidR="002E189D" w:rsidRPr="00EE7119">
        <w:t>he spot price reached $</w:t>
      </w:r>
      <w:r w:rsidR="0088451C">
        <w:t>2285</w:t>
      </w:r>
      <w:r w:rsidR="002E189D" w:rsidRPr="0088451C">
        <w:t>/</w:t>
      </w:r>
      <w:r w:rsidR="009924AB" w:rsidRPr="0088451C">
        <w:t xml:space="preserve">MWh </w:t>
      </w:r>
      <w:r w:rsidR="0088451C">
        <w:t>in South </w:t>
      </w:r>
      <w:r w:rsidR="0088451C" w:rsidRPr="00EE7119">
        <w:t>Australia</w:t>
      </w:r>
      <w:r w:rsidR="0088451C" w:rsidRPr="0088451C">
        <w:t xml:space="preserve"> </w:t>
      </w:r>
      <w:r w:rsidR="002E189D" w:rsidRPr="0088451C">
        <w:t xml:space="preserve">on </w:t>
      </w:r>
      <w:r w:rsidR="0088451C" w:rsidRPr="0088451C">
        <w:t>20</w:t>
      </w:r>
      <w:r w:rsidR="0088451C">
        <w:t> </w:t>
      </w:r>
      <w:r w:rsidR="00EE7119" w:rsidRPr="0088451C">
        <w:t>August</w:t>
      </w:r>
      <w:r w:rsidR="0088451C">
        <w:t xml:space="preserve">, and $815/MWh and $2278/MWh in Tasmania on 20 and 21 August respectively. The reasons behind these price spikes are explained below in </w:t>
      </w:r>
      <w:r w:rsidR="0088451C" w:rsidRPr="0088451C">
        <w:rPr>
          <w:i/>
        </w:rPr>
        <w:t>Detailed market analysis</w:t>
      </w:r>
      <w:r w:rsidR="0088451C">
        <w:t xml:space="preserve">. </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94612C"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10;" style="width:431.5pt;height:215.5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94612C"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30.5pt;height:215.5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399"/>
        <w:gridCol w:w="918"/>
        <w:gridCol w:w="1381"/>
        <w:gridCol w:w="1381"/>
        <w:gridCol w:w="1381"/>
        <w:gridCol w:w="1381"/>
      </w:tblGrid>
      <w:tr w:rsidR="0076711C" w:rsidRPr="0076711C" w:rsidTr="009C1493">
        <w:trPr>
          <w:trHeight w:val="255"/>
        </w:trPr>
        <w:tc>
          <w:tcPr>
            <w:tcW w:w="1357" w:type="pct"/>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b/>
                <w:bCs/>
                <w:color w:val="FFFFFF"/>
                <w:sz w:val="18"/>
                <w:szCs w:val="18"/>
              </w:rPr>
            </w:pPr>
            <w:r w:rsidRPr="0076711C">
              <w:rPr>
                <w:rFonts w:ascii="Gautami" w:hAnsi="Gautami" w:cs="Gautami"/>
                <w:b/>
                <w:bCs/>
                <w:color w:val="FFFFFF"/>
                <w:sz w:val="18"/>
                <w:szCs w:val="18"/>
              </w:rPr>
              <w:t>Region</w:t>
            </w:r>
          </w:p>
        </w:tc>
        <w:tc>
          <w:tcPr>
            <w:tcW w:w="519"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proofErr w:type="spellStart"/>
            <w:r w:rsidRPr="0076711C">
              <w:rPr>
                <w:rFonts w:ascii="Gautami" w:hAnsi="Gautami" w:cs="Gautami"/>
                <w:b/>
                <w:bCs/>
                <w:color w:val="FFFFFF"/>
                <w:sz w:val="18"/>
                <w:szCs w:val="18"/>
              </w:rPr>
              <w:t>Tas</w:t>
            </w:r>
            <w:proofErr w:type="spellEnd"/>
          </w:p>
        </w:tc>
      </w:tr>
      <w:tr w:rsidR="009C1493" w:rsidRPr="0076711C" w:rsidTr="009C1493">
        <w:trPr>
          <w:trHeight w:val="255"/>
        </w:trPr>
        <w:tc>
          <w:tcPr>
            <w:tcW w:w="1357" w:type="pct"/>
            <w:tcBorders>
              <w:top w:val="nil"/>
              <w:left w:val="nil"/>
              <w:bottom w:val="nil"/>
              <w:right w:val="nil"/>
            </w:tcBorders>
            <w:shd w:val="clear" w:color="000000" w:fill="DDD9C3"/>
            <w:noWrap/>
            <w:vAlign w:val="center"/>
            <w:hideMark/>
          </w:tcPr>
          <w:p w:rsidR="009C1493" w:rsidRPr="00FB6493" w:rsidRDefault="009C1493" w:rsidP="00FB6493">
            <w:pPr>
              <w:pStyle w:val="AERtabletext"/>
              <w:rPr>
                <w:b/>
              </w:rPr>
            </w:pPr>
            <w:r w:rsidRPr="00FB6493">
              <w:rPr>
                <w:b/>
              </w:rPr>
              <w:t>Current week</w:t>
            </w:r>
          </w:p>
        </w:tc>
        <w:tc>
          <w:tcPr>
            <w:tcW w:w="519" w:type="pct"/>
            <w:tcBorders>
              <w:top w:val="nil"/>
              <w:left w:val="nil"/>
              <w:bottom w:val="nil"/>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25</w:t>
            </w:r>
          </w:p>
        </w:tc>
        <w:tc>
          <w:tcPr>
            <w:tcW w:w="781" w:type="pct"/>
            <w:tcBorders>
              <w:top w:val="nil"/>
              <w:left w:val="nil"/>
              <w:bottom w:val="nil"/>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35</w:t>
            </w:r>
          </w:p>
        </w:tc>
        <w:tc>
          <w:tcPr>
            <w:tcW w:w="781" w:type="pct"/>
            <w:tcBorders>
              <w:top w:val="nil"/>
              <w:left w:val="nil"/>
              <w:bottom w:val="nil"/>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35</w:t>
            </w:r>
          </w:p>
        </w:tc>
        <w:tc>
          <w:tcPr>
            <w:tcW w:w="781" w:type="pct"/>
            <w:tcBorders>
              <w:top w:val="nil"/>
              <w:left w:val="nil"/>
              <w:bottom w:val="nil"/>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44</w:t>
            </w:r>
          </w:p>
        </w:tc>
        <w:tc>
          <w:tcPr>
            <w:tcW w:w="781" w:type="pct"/>
            <w:tcBorders>
              <w:top w:val="nil"/>
              <w:left w:val="nil"/>
              <w:bottom w:val="nil"/>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44</w:t>
            </w:r>
          </w:p>
        </w:tc>
      </w:tr>
      <w:tr w:rsidR="009C1493" w:rsidRPr="0076711C" w:rsidTr="009C1493">
        <w:trPr>
          <w:trHeight w:val="255"/>
        </w:trPr>
        <w:tc>
          <w:tcPr>
            <w:tcW w:w="1357" w:type="pct"/>
            <w:tcBorders>
              <w:top w:val="nil"/>
              <w:left w:val="nil"/>
              <w:bottom w:val="nil"/>
              <w:right w:val="nil"/>
            </w:tcBorders>
            <w:shd w:val="clear" w:color="000000" w:fill="EEECE1"/>
            <w:noWrap/>
            <w:vAlign w:val="center"/>
            <w:hideMark/>
          </w:tcPr>
          <w:p w:rsidR="009C1493" w:rsidRPr="00FB6493" w:rsidRDefault="009C1493" w:rsidP="00FB6493">
            <w:pPr>
              <w:pStyle w:val="AERtabletext"/>
              <w:rPr>
                <w:b/>
              </w:rPr>
            </w:pPr>
            <w:r w:rsidRPr="00FB6493">
              <w:rPr>
                <w:b/>
              </w:rPr>
              <w:t>13-14 financial YTD</w:t>
            </w:r>
          </w:p>
        </w:tc>
        <w:tc>
          <w:tcPr>
            <w:tcW w:w="519" w:type="pct"/>
            <w:tcBorders>
              <w:top w:val="nil"/>
              <w:left w:val="nil"/>
              <w:bottom w:val="nil"/>
              <w:right w:val="nil"/>
            </w:tcBorders>
            <w:shd w:val="clear" w:color="000000" w:fill="EEECE1"/>
            <w:noWrap/>
            <w:vAlign w:val="center"/>
            <w:hideMark/>
          </w:tcPr>
          <w:p w:rsidR="009C1493" w:rsidRDefault="009C1493">
            <w:pPr>
              <w:jc w:val="center"/>
              <w:rPr>
                <w:rFonts w:ascii="Gautami" w:hAnsi="Gautami" w:cs="Gautami"/>
                <w:sz w:val="16"/>
                <w:szCs w:val="16"/>
              </w:rPr>
            </w:pPr>
            <w:r>
              <w:rPr>
                <w:rFonts w:ascii="Gautami" w:hAnsi="Gautami" w:cs="Gautami"/>
                <w:sz w:val="16"/>
                <w:szCs w:val="16"/>
              </w:rPr>
              <w:t>62</w:t>
            </w:r>
          </w:p>
        </w:tc>
        <w:tc>
          <w:tcPr>
            <w:tcW w:w="781" w:type="pct"/>
            <w:tcBorders>
              <w:top w:val="nil"/>
              <w:left w:val="nil"/>
              <w:bottom w:val="nil"/>
              <w:right w:val="nil"/>
            </w:tcBorders>
            <w:shd w:val="clear" w:color="000000" w:fill="EEECE1"/>
            <w:noWrap/>
            <w:vAlign w:val="center"/>
            <w:hideMark/>
          </w:tcPr>
          <w:p w:rsidR="009C1493" w:rsidRDefault="009C1493">
            <w:pPr>
              <w:jc w:val="center"/>
              <w:rPr>
                <w:rFonts w:ascii="Gautami" w:hAnsi="Gautami" w:cs="Gautami"/>
                <w:sz w:val="16"/>
                <w:szCs w:val="16"/>
              </w:rPr>
            </w:pPr>
            <w:r>
              <w:rPr>
                <w:rFonts w:ascii="Gautami" w:hAnsi="Gautami" w:cs="Gautami"/>
                <w:sz w:val="16"/>
                <w:szCs w:val="16"/>
              </w:rPr>
              <w:t>57</w:t>
            </w:r>
          </w:p>
        </w:tc>
        <w:tc>
          <w:tcPr>
            <w:tcW w:w="781" w:type="pct"/>
            <w:tcBorders>
              <w:top w:val="nil"/>
              <w:left w:val="nil"/>
              <w:bottom w:val="nil"/>
              <w:right w:val="nil"/>
            </w:tcBorders>
            <w:shd w:val="clear" w:color="000000" w:fill="EEECE1"/>
            <w:noWrap/>
            <w:vAlign w:val="center"/>
            <w:hideMark/>
          </w:tcPr>
          <w:p w:rsidR="009C1493" w:rsidRDefault="009C1493">
            <w:pPr>
              <w:jc w:val="center"/>
              <w:rPr>
                <w:rFonts w:ascii="Gautami" w:hAnsi="Gautami" w:cs="Gautami"/>
                <w:sz w:val="16"/>
                <w:szCs w:val="16"/>
              </w:rPr>
            </w:pPr>
            <w:r>
              <w:rPr>
                <w:rFonts w:ascii="Gautami" w:hAnsi="Gautami" w:cs="Gautami"/>
                <w:sz w:val="16"/>
                <w:szCs w:val="16"/>
              </w:rPr>
              <w:t>58</w:t>
            </w:r>
          </w:p>
        </w:tc>
        <w:tc>
          <w:tcPr>
            <w:tcW w:w="781" w:type="pct"/>
            <w:tcBorders>
              <w:top w:val="nil"/>
              <w:left w:val="nil"/>
              <w:bottom w:val="nil"/>
              <w:right w:val="nil"/>
            </w:tcBorders>
            <w:shd w:val="clear" w:color="000000" w:fill="EEECE1"/>
            <w:noWrap/>
            <w:vAlign w:val="center"/>
            <w:hideMark/>
          </w:tcPr>
          <w:p w:rsidR="009C1493" w:rsidRDefault="009C1493">
            <w:pPr>
              <w:jc w:val="center"/>
              <w:rPr>
                <w:rFonts w:ascii="Gautami" w:hAnsi="Gautami" w:cs="Gautami"/>
                <w:sz w:val="16"/>
                <w:szCs w:val="16"/>
              </w:rPr>
            </w:pPr>
            <w:r>
              <w:rPr>
                <w:rFonts w:ascii="Gautami" w:hAnsi="Gautami" w:cs="Gautami"/>
                <w:sz w:val="16"/>
                <w:szCs w:val="16"/>
              </w:rPr>
              <w:t>74</w:t>
            </w:r>
          </w:p>
        </w:tc>
        <w:tc>
          <w:tcPr>
            <w:tcW w:w="781" w:type="pct"/>
            <w:tcBorders>
              <w:top w:val="nil"/>
              <w:left w:val="nil"/>
              <w:bottom w:val="nil"/>
              <w:right w:val="nil"/>
            </w:tcBorders>
            <w:shd w:val="clear" w:color="000000" w:fill="EEECE1"/>
            <w:noWrap/>
            <w:vAlign w:val="center"/>
            <w:hideMark/>
          </w:tcPr>
          <w:p w:rsidR="009C1493" w:rsidRDefault="009C1493">
            <w:pPr>
              <w:jc w:val="center"/>
              <w:rPr>
                <w:rFonts w:ascii="Gautami" w:hAnsi="Gautami" w:cs="Gautami"/>
                <w:sz w:val="16"/>
                <w:szCs w:val="16"/>
              </w:rPr>
            </w:pPr>
            <w:r>
              <w:rPr>
                <w:rFonts w:ascii="Gautami" w:hAnsi="Gautami" w:cs="Gautami"/>
                <w:sz w:val="16"/>
                <w:szCs w:val="16"/>
              </w:rPr>
              <w:t>50</w:t>
            </w:r>
          </w:p>
        </w:tc>
      </w:tr>
      <w:tr w:rsidR="009C1493" w:rsidRPr="0076711C" w:rsidTr="009C1493">
        <w:trPr>
          <w:trHeight w:val="270"/>
        </w:trPr>
        <w:tc>
          <w:tcPr>
            <w:tcW w:w="1357" w:type="pct"/>
            <w:tcBorders>
              <w:top w:val="nil"/>
              <w:left w:val="nil"/>
              <w:bottom w:val="single" w:sz="8" w:space="0" w:color="auto"/>
              <w:right w:val="nil"/>
            </w:tcBorders>
            <w:shd w:val="clear" w:color="000000" w:fill="DDD9C3"/>
            <w:noWrap/>
            <w:vAlign w:val="center"/>
            <w:hideMark/>
          </w:tcPr>
          <w:p w:rsidR="009C1493" w:rsidRPr="00FB6493" w:rsidRDefault="009C1493" w:rsidP="00FB6493">
            <w:pPr>
              <w:pStyle w:val="AERtabletext"/>
              <w:rPr>
                <w:b/>
              </w:rPr>
            </w:pPr>
            <w:r w:rsidRPr="00FB6493">
              <w:rPr>
                <w:b/>
              </w:rPr>
              <w:t>14-15 financial YTD</w:t>
            </w:r>
          </w:p>
        </w:tc>
        <w:tc>
          <w:tcPr>
            <w:tcW w:w="519" w:type="pct"/>
            <w:tcBorders>
              <w:top w:val="nil"/>
              <w:left w:val="nil"/>
              <w:bottom w:val="single" w:sz="8" w:space="0" w:color="auto"/>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30</w:t>
            </w:r>
          </w:p>
        </w:tc>
        <w:tc>
          <w:tcPr>
            <w:tcW w:w="781" w:type="pct"/>
            <w:tcBorders>
              <w:top w:val="nil"/>
              <w:left w:val="nil"/>
              <w:bottom w:val="single" w:sz="8" w:space="0" w:color="auto"/>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39</w:t>
            </w:r>
          </w:p>
        </w:tc>
        <w:tc>
          <w:tcPr>
            <w:tcW w:w="781" w:type="pct"/>
            <w:tcBorders>
              <w:top w:val="nil"/>
              <w:left w:val="nil"/>
              <w:bottom w:val="single" w:sz="8" w:space="0" w:color="auto"/>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38</w:t>
            </w:r>
          </w:p>
        </w:tc>
        <w:tc>
          <w:tcPr>
            <w:tcW w:w="781" w:type="pct"/>
            <w:tcBorders>
              <w:top w:val="nil"/>
              <w:left w:val="nil"/>
              <w:bottom w:val="single" w:sz="8" w:space="0" w:color="auto"/>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51</w:t>
            </w:r>
          </w:p>
        </w:tc>
        <w:tc>
          <w:tcPr>
            <w:tcW w:w="781" w:type="pct"/>
            <w:tcBorders>
              <w:top w:val="nil"/>
              <w:left w:val="nil"/>
              <w:bottom w:val="single" w:sz="8" w:space="0" w:color="auto"/>
              <w:right w:val="nil"/>
            </w:tcBorders>
            <w:shd w:val="clear" w:color="000000" w:fill="DDD9C3"/>
            <w:noWrap/>
            <w:vAlign w:val="center"/>
            <w:hideMark/>
          </w:tcPr>
          <w:p w:rsidR="009C1493" w:rsidRDefault="009C1493">
            <w:pPr>
              <w:jc w:val="center"/>
              <w:rPr>
                <w:rFonts w:ascii="Gautami" w:hAnsi="Gautami" w:cs="Gautami"/>
                <w:sz w:val="16"/>
                <w:szCs w:val="16"/>
              </w:rPr>
            </w:pPr>
            <w:r>
              <w:rPr>
                <w:rFonts w:ascii="Gautami" w:hAnsi="Gautami" w:cs="Gautami"/>
                <w:sz w:val="16"/>
                <w:szCs w:val="16"/>
              </w:rPr>
              <w:t>35</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76711C" w:rsidP="0076711C">
      <w:pPr>
        <w:pStyle w:val="AERbodytext"/>
      </w:pPr>
      <w:r>
        <w:t xml:space="preserve">There were </w:t>
      </w:r>
      <w:r w:rsidR="009C1493">
        <w:t>69</w:t>
      </w:r>
      <w:r>
        <w:t xml:space="preserve">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76711C" w:rsidRPr="0076711C" w:rsidTr="0076711C">
        <w:trPr>
          <w:trHeight w:val="255"/>
        </w:trPr>
        <w:tc>
          <w:tcPr>
            <w:tcW w:w="3636"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color w:val="FFFFFF"/>
                <w:sz w:val="18"/>
                <w:szCs w:val="18"/>
              </w:rPr>
            </w:pPr>
            <w:r w:rsidRPr="0076711C">
              <w:rPr>
                <w:rFonts w:ascii="Gautami" w:hAnsi="Gautami"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ind w:firstLineChars="200" w:firstLine="360"/>
              <w:rPr>
                <w:rFonts w:ascii="Gautami" w:hAnsi="Gautami" w:cs="Gautami"/>
                <w:color w:val="FFFFFF"/>
                <w:sz w:val="18"/>
                <w:szCs w:val="18"/>
              </w:rPr>
            </w:pPr>
            <w:r w:rsidRPr="0076711C">
              <w:rPr>
                <w:rFonts w:ascii="Gautami" w:hAnsi="Gautami"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color w:val="FFFFFF"/>
                <w:sz w:val="18"/>
                <w:szCs w:val="18"/>
              </w:rPr>
            </w:pPr>
            <w:r w:rsidRPr="0076711C">
              <w:rPr>
                <w:rFonts w:ascii="Gautami" w:hAnsi="Gautami"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color w:val="FFFFFF"/>
                <w:sz w:val="18"/>
                <w:szCs w:val="18"/>
              </w:rPr>
            </w:pPr>
            <w:r w:rsidRPr="0076711C">
              <w:rPr>
                <w:rFonts w:ascii="Gautami" w:hAnsi="Gautami"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76711C" w:rsidRPr="0076711C" w:rsidRDefault="0076711C" w:rsidP="0076711C">
            <w:pPr>
              <w:ind w:firstLineChars="100" w:firstLine="180"/>
              <w:rPr>
                <w:rFonts w:ascii="Gautami" w:hAnsi="Gautami" w:cs="Gautami"/>
                <w:color w:val="FFFFFF"/>
                <w:sz w:val="18"/>
                <w:szCs w:val="18"/>
              </w:rPr>
            </w:pPr>
            <w:r w:rsidRPr="0076711C">
              <w:rPr>
                <w:rFonts w:ascii="Gautami" w:hAnsi="Gautami" w:cs="Gautami"/>
                <w:color w:val="FFFFFF"/>
                <w:sz w:val="18"/>
                <w:szCs w:val="18"/>
              </w:rPr>
              <w:t>Combination</w:t>
            </w:r>
          </w:p>
        </w:tc>
      </w:tr>
      <w:tr w:rsidR="009C1493" w:rsidRPr="0076711C" w:rsidTr="0076711C">
        <w:trPr>
          <w:trHeight w:val="255"/>
        </w:trPr>
        <w:tc>
          <w:tcPr>
            <w:tcW w:w="3636" w:type="dxa"/>
            <w:tcBorders>
              <w:top w:val="nil"/>
              <w:left w:val="nil"/>
              <w:bottom w:val="nil"/>
              <w:right w:val="nil"/>
            </w:tcBorders>
            <w:shd w:val="clear" w:color="000000" w:fill="DDD9C3"/>
            <w:noWrap/>
            <w:vAlign w:val="center"/>
            <w:hideMark/>
          </w:tcPr>
          <w:p w:rsidR="009C1493" w:rsidRPr="0076711C" w:rsidRDefault="009C1493" w:rsidP="0076711C">
            <w:pPr>
              <w:rPr>
                <w:rFonts w:ascii="Gautami" w:hAnsi="Gautami" w:cs="Gautami"/>
                <w:b/>
                <w:bCs/>
                <w:sz w:val="16"/>
                <w:szCs w:val="16"/>
              </w:rPr>
            </w:pPr>
            <w:r w:rsidRPr="0076711C">
              <w:rPr>
                <w:rFonts w:ascii="Gautami" w:hAnsi="Gautami"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9C1493" w:rsidRPr="001E71BF" w:rsidRDefault="009C1493">
            <w:pPr>
              <w:jc w:val="center"/>
              <w:rPr>
                <w:rFonts w:ascii="Gautami" w:hAnsi="Gautami" w:cs="Gautami"/>
                <w:sz w:val="16"/>
                <w:szCs w:val="16"/>
              </w:rPr>
            </w:pPr>
            <w:r w:rsidRPr="001E71BF">
              <w:rPr>
                <w:rFonts w:ascii="Gautami" w:hAnsi="Gautami" w:cs="Gautami"/>
                <w:sz w:val="16"/>
                <w:szCs w:val="16"/>
              </w:rPr>
              <w:t>6</w:t>
            </w:r>
          </w:p>
        </w:tc>
        <w:tc>
          <w:tcPr>
            <w:tcW w:w="1436" w:type="dxa"/>
            <w:tcBorders>
              <w:top w:val="nil"/>
              <w:left w:val="nil"/>
              <w:bottom w:val="nil"/>
              <w:right w:val="nil"/>
            </w:tcBorders>
            <w:shd w:val="clear" w:color="000000" w:fill="DDD9C3"/>
            <w:noWrap/>
            <w:vAlign w:val="center"/>
            <w:hideMark/>
          </w:tcPr>
          <w:p w:rsidR="009C1493" w:rsidRPr="001E71BF" w:rsidRDefault="0069333C" w:rsidP="0069333C">
            <w:pPr>
              <w:jc w:val="center"/>
              <w:rPr>
                <w:rFonts w:ascii="Gautami" w:hAnsi="Gautami" w:cs="Gautami"/>
                <w:sz w:val="16"/>
                <w:szCs w:val="16"/>
              </w:rPr>
            </w:pPr>
            <w:r w:rsidRPr="001E71BF">
              <w:rPr>
                <w:rFonts w:ascii="Gautami" w:hAnsi="Gautami" w:cs="Gautami"/>
                <w:sz w:val="16"/>
                <w:szCs w:val="16"/>
              </w:rPr>
              <w:t>50</w:t>
            </w:r>
          </w:p>
        </w:tc>
        <w:tc>
          <w:tcPr>
            <w:tcW w:w="1297" w:type="dxa"/>
            <w:tcBorders>
              <w:top w:val="nil"/>
              <w:left w:val="nil"/>
              <w:bottom w:val="nil"/>
              <w:right w:val="nil"/>
            </w:tcBorders>
            <w:shd w:val="clear" w:color="000000" w:fill="DDD9C3"/>
            <w:noWrap/>
            <w:vAlign w:val="center"/>
            <w:hideMark/>
          </w:tcPr>
          <w:p w:rsidR="009C1493" w:rsidRPr="001E71BF" w:rsidRDefault="0069333C">
            <w:pPr>
              <w:jc w:val="center"/>
              <w:rPr>
                <w:rFonts w:ascii="Gautami" w:hAnsi="Gautami" w:cs="Gautami"/>
                <w:sz w:val="16"/>
                <w:szCs w:val="16"/>
              </w:rPr>
            </w:pPr>
            <w:r w:rsidRPr="001E71BF">
              <w:rPr>
                <w:rFonts w:ascii="Gautami" w:hAnsi="Gautami" w:cs="Gautami"/>
                <w:sz w:val="16"/>
                <w:szCs w:val="16"/>
              </w:rPr>
              <w:t>3</w:t>
            </w:r>
          </w:p>
        </w:tc>
        <w:tc>
          <w:tcPr>
            <w:tcW w:w="1503" w:type="dxa"/>
            <w:tcBorders>
              <w:top w:val="nil"/>
              <w:left w:val="nil"/>
              <w:bottom w:val="nil"/>
              <w:right w:val="nil"/>
            </w:tcBorders>
            <w:shd w:val="clear" w:color="000000" w:fill="DDD9C3"/>
            <w:vAlign w:val="center"/>
            <w:hideMark/>
          </w:tcPr>
          <w:p w:rsidR="009C1493" w:rsidRPr="001E71BF" w:rsidRDefault="009C1493">
            <w:pPr>
              <w:jc w:val="center"/>
              <w:rPr>
                <w:rFonts w:ascii="Gautami" w:hAnsi="Gautami" w:cs="Gautami"/>
                <w:sz w:val="16"/>
                <w:szCs w:val="16"/>
              </w:rPr>
            </w:pPr>
            <w:r w:rsidRPr="001E71BF">
              <w:rPr>
                <w:rFonts w:ascii="Gautami" w:hAnsi="Gautami" w:cs="Gautami"/>
                <w:sz w:val="16"/>
                <w:szCs w:val="16"/>
              </w:rPr>
              <w:t>0</w:t>
            </w:r>
          </w:p>
        </w:tc>
      </w:tr>
      <w:tr w:rsidR="009C1493" w:rsidRPr="0076711C" w:rsidTr="0076711C">
        <w:trPr>
          <w:trHeight w:val="270"/>
        </w:trPr>
        <w:tc>
          <w:tcPr>
            <w:tcW w:w="3636" w:type="dxa"/>
            <w:tcBorders>
              <w:top w:val="nil"/>
              <w:left w:val="nil"/>
              <w:bottom w:val="single" w:sz="8" w:space="0" w:color="auto"/>
              <w:right w:val="nil"/>
            </w:tcBorders>
            <w:shd w:val="clear" w:color="000000" w:fill="EEECE1"/>
            <w:noWrap/>
            <w:vAlign w:val="center"/>
            <w:hideMark/>
          </w:tcPr>
          <w:p w:rsidR="009C1493" w:rsidRPr="0076711C" w:rsidRDefault="009C1493" w:rsidP="0076711C">
            <w:pPr>
              <w:rPr>
                <w:rFonts w:ascii="Gautami" w:hAnsi="Gautami" w:cs="Gautami"/>
                <w:b/>
                <w:bCs/>
                <w:sz w:val="16"/>
                <w:szCs w:val="16"/>
              </w:rPr>
            </w:pPr>
            <w:r w:rsidRPr="0076711C">
              <w:rPr>
                <w:rFonts w:ascii="Gautami" w:hAnsi="Gautami"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9C1493" w:rsidRPr="001E71BF" w:rsidRDefault="009C1493">
            <w:pPr>
              <w:jc w:val="center"/>
              <w:rPr>
                <w:rFonts w:ascii="Gautami" w:hAnsi="Gautami" w:cs="Gautami"/>
                <w:sz w:val="16"/>
                <w:szCs w:val="16"/>
              </w:rPr>
            </w:pPr>
            <w:r w:rsidRPr="001E71BF">
              <w:rPr>
                <w:rFonts w:ascii="Gautami" w:hAnsi="Gautami" w:cs="Gautami"/>
                <w:sz w:val="16"/>
                <w:szCs w:val="16"/>
              </w:rPr>
              <w:t>36</w:t>
            </w:r>
          </w:p>
        </w:tc>
        <w:tc>
          <w:tcPr>
            <w:tcW w:w="1436" w:type="dxa"/>
            <w:tcBorders>
              <w:top w:val="nil"/>
              <w:left w:val="nil"/>
              <w:bottom w:val="single" w:sz="8" w:space="0" w:color="auto"/>
              <w:right w:val="nil"/>
            </w:tcBorders>
            <w:shd w:val="clear" w:color="000000" w:fill="EEECE1"/>
            <w:noWrap/>
            <w:vAlign w:val="center"/>
            <w:hideMark/>
          </w:tcPr>
          <w:p w:rsidR="009C1493" w:rsidRPr="001E71BF" w:rsidRDefault="009C1493">
            <w:pPr>
              <w:jc w:val="center"/>
              <w:rPr>
                <w:rFonts w:ascii="Gautami" w:hAnsi="Gautami" w:cs="Gautami"/>
                <w:sz w:val="16"/>
                <w:szCs w:val="16"/>
              </w:rPr>
            </w:pPr>
            <w:r w:rsidRPr="001E71BF">
              <w:rPr>
                <w:rFonts w:ascii="Gautami" w:hAnsi="Gautami" w:cs="Gautami"/>
                <w:sz w:val="16"/>
                <w:szCs w:val="16"/>
              </w:rPr>
              <w:t>0</w:t>
            </w:r>
          </w:p>
        </w:tc>
        <w:tc>
          <w:tcPr>
            <w:tcW w:w="1297" w:type="dxa"/>
            <w:tcBorders>
              <w:top w:val="nil"/>
              <w:left w:val="nil"/>
              <w:bottom w:val="single" w:sz="8" w:space="0" w:color="auto"/>
              <w:right w:val="nil"/>
            </w:tcBorders>
            <w:shd w:val="clear" w:color="000000" w:fill="EEECE1"/>
            <w:noWrap/>
            <w:vAlign w:val="center"/>
            <w:hideMark/>
          </w:tcPr>
          <w:p w:rsidR="009C1493" w:rsidRPr="001E71BF" w:rsidRDefault="009C1493">
            <w:pPr>
              <w:jc w:val="center"/>
              <w:rPr>
                <w:rFonts w:ascii="Gautami" w:hAnsi="Gautami" w:cs="Gautami"/>
                <w:sz w:val="16"/>
                <w:szCs w:val="16"/>
              </w:rPr>
            </w:pPr>
            <w:r w:rsidRPr="001E71BF">
              <w:rPr>
                <w:rFonts w:ascii="Gautami" w:hAnsi="Gautami"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9C1493" w:rsidRPr="001E71BF" w:rsidRDefault="009C1493">
            <w:pPr>
              <w:jc w:val="center"/>
              <w:rPr>
                <w:rFonts w:ascii="Gautami" w:hAnsi="Gautami" w:cs="Gautami"/>
                <w:sz w:val="16"/>
                <w:szCs w:val="16"/>
              </w:rPr>
            </w:pPr>
            <w:r w:rsidRPr="001E71BF">
              <w:rPr>
                <w:rFonts w:ascii="Gautami" w:hAnsi="Gautami" w:cs="Gautami"/>
                <w:sz w:val="16"/>
                <w:szCs w:val="16"/>
              </w:rPr>
              <w:t>5</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94612C" w:rsidP="002652CD">
      <w:pPr>
        <w:pStyle w:val="AERbodytext"/>
      </w:pPr>
      <w:r>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30.5pt;height:310pt">
            <v:imagedata r:id="rId12"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4</w:t>
      </w:r>
      <w:r w:rsidRPr="005270A6">
        <w:t>: New South Wales generation and bidding patterns</w:t>
      </w:r>
    </w:p>
    <w:p w:rsidR="002652CD" w:rsidRPr="002D23B9" w:rsidRDefault="0094612C" w:rsidP="00657719">
      <w:pPr>
        <w:pStyle w:val="AERbodytext"/>
        <w:spacing w:after="120"/>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30.5pt;height:310.5pt;mso-position-vertical:absolute">
            <v:imagedata r:id="rId13"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5</w:t>
      </w:r>
      <w:r w:rsidRPr="005270A6">
        <w:t>: Victoria generation and bidding patterns</w:t>
      </w:r>
    </w:p>
    <w:p w:rsidR="00657719" w:rsidRDefault="00006F36" w:rsidP="00657719">
      <w:pPr>
        <w:pStyle w:val="AERbodytext"/>
        <w:spacing w:after="0"/>
      </w:pPr>
      <w:r>
        <w:rPr>
          <w:noProof/>
          <w:lang w:eastAsia="en-AU"/>
        </w:rPr>
        <w:pict>
          <v:oval id="_x0000_s1057" style="position:absolute;left:0;text-align:left;margin-left:136.8pt;margin-top:55.25pt;width:111.2pt;height:65.65pt;z-index:251663360" filled="f" strokecolor="red" strokeweight="2pt"/>
        </w:pict>
      </w:r>
      <w:r w:rsidR="0094612C">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30.5pt;height:310.5pt">
            <v:imagedata r:id="rId14" o:title=""/>
          </v:shape>
        </w:pict>
      </w:r>
    </w:p>
    <w:p w:rsidR="00657719" w:rsidRDefault="00D878B1" w:rsidP="00657719">
      <w:pPr>
        <w:pStyle w:val="AERbodytext"/>
        <w:spacing w:after="0"/>
      </w:pPr>
      <w:r>
        <w:t xml:space="preserve">The red circle in Figure 5 highlights rebidding by </w:t>
      </w:r>
      <w:r w:rsidR="00102C3B">
        <w:t xml:space="preserve">AGL at </w:t>
      </w:r>
      <w:r>
        <w:t xml:space="preserve">Loy Yang </w:t>
      </w:r>
      <w:r w:rsidR="00102C3B">
        <w:t xml:space="preserve">A </w:t>
      </w:r>
      <w:r>
        <w:t xml:space="preserve">and </w:t>
      </w:r>
      <w:r w:rsidR="00102C3B">
        <w:t xml:space="preserve">Origin at </w:t>
      </w:r>
      <w:r>
        <w:t xml:space="preserve">Mortlake. </w:t>
      </w:r>
      <w:r w:rsidR="00102C3B">
        <w:t xml:space="preserve">Origin shifted </w:t>
      </w:r>
      <w:r>
        <w:t>over 500</w:t>
      </w:r>
      <w:r w:rsidR="00102C3B">
        <w:t> </w:t>
      </w:r>
      <w:r>
        <w:t xml:space="preserve">MW </w:t>
      </w:r>
      <w:r w:rsidR="00102C3B">
        <w:t xml:space="preserve">at Mortlake </w:t>
      </w:r>
      <w:r>
        <w:t xml:space="preserve">from </w:t>
      </w:r>
      <w:r w:rsidR="00102C3B">
        <w:t>below</w:t>
      </w:r>
      <w:r>
        <w:t xml:space="preserve"> $50/MWh to around $100/MWh</w:t>
      </w:r>
      <w:r w:rsidR="00102C3B">
        <w:t xml:space="preserve">. The </w:t>
      </w:r>
      <w:r w:rsidR="00CB7BDA">
        <w:t xml:space="preserve">reason </w:t>
      </w:r>
      <w:r w:rsidR="00102C3B">
        <w:t xml:space="preserve">given </w:t>
      </w:r>
      <w:r w:rsidR="00CB7BDA">
        <w:t>relat</w:t>
      </w:r>
      <w:r w:rsidR="00102C3B">
        <w:t>ed</w:t>
      </w:r>
      <w:r w:rsidR="00CB7BDA">
        <w:t xml:space="preserve"> to “line pack management”</w:t>
      </w:r>
      <w:r w:rsidR="00102C3B">
        <w:t>. AGL rebid around</w:t>
      </w:r>
      <w:r>
        <w:t xml:space="preserve"> </w:t>
      </w:r>
      <w:r w:rsidR="00CB7BDA">
        <w:t>700</w:t>
      </w:r>
      <w:r w:rsidR="00102C3B">
        <w:t> </w:t>
      </w:r>
      <w:r w:rsidR="00CB7BDA">
        <w:t xml:space="preserve">MW </w:t>
      </w:r>
      <w:r w:rsidR="00102C3B">
        <w:t xml:space="preserve">at Loy Yang A </w:t>
      </w:r>
      <w:r w:rsidR="00CB7BDA">
        <w:t xml:space="preserve">from </w:t>
      </w:r>
      <w:r w:rsidR="00102C3B">
        <w:t>around</w:t>
      </w:r>
      <w:r w:rsidR="00CB7BDA">
        <w:t xml:space="preserve"> $40/MWh to </w:t>
      </w:r>
      <w:r w:rsidR="00102C3B">
        <w:t>around</w:t>
      </w:r>
      <w:r w:rsidR="00CB7BDA">
        <w:t xml:space="preserve"> $100/MWh</w:t>
      </w:r>
      <w:r w:rsidR="00102C3B">
        <w:t xml:space="preserve">. The </w:t>
      </w:r>
      <w:r w:rsidR="00CB7BDA">
        <w:t>rebid reason relat</w:t>
      </w:r>
      <w:r w:rsidR="00102C3B">
        <w:t>ed</w:t>
      </w:r>
      <w:r w:rsidR="00CB7BDA">
        <w:t xml:space="preserve"> to “coal conservation”.</w:t>
      </w:r>
      <w:r w:rsidR="001159E5">
        <w:t xml:space="preserve"> T</w:t>
      </w:r>
      <w:r w:rsidR="00102C3B">
        <w:t>his rebidding did not</w:t>
      </w:r>
      <w:r w:rsidR="001159E5">
        <w:t xml:space="preserve">, however, </w:t>
      </w:r>
      <w:r w:rsidR="00102C3B">
        <w:t>result in any high price outcomes.</w:t>
      </w:r>
    </w:p>
    <w:p w:rsidR="00833238" w:rsidRPr="00833238" w:rsidRDefault="00780239" w:rsidP="00657719">
      <w:pPr>
        <w:pStyle w:val="Figureheading"/>
        <w:numPr>
          <w:ilvl w:val="0"/>
          <w:numId w:val="0"/>
        </w:numPr>
        <w:spacing w:before="120" w:after="0"/>
        <w:ind w:left="357" w:hanging="357"/>
      </w:pPr>
      <w:r w:rsidRPr="006768AE">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006F36" w:rsidP="002652CD">
      <w:pPr>
        <w:pStyle w:val="AERbodytext"/>
      </w:pPr>
      <w:r>
        <w:rPr>
          <w:noProof/>
          <w:lang w:eastAsia="en-AU"/>
        </w:rPr>
        <w:pict>
          <v:oval id="_x0000_s1043" style="position:absolute;left:0;text-align:left;margin-left:283.85pt;margin-top:64.6pt;width:36.3pt;height:65.65pt;z-index:251662336" filled="f" strokecolor="red" strokeweight="2pt"/>
        </w:pict>
      </w:r>
      <w:r>
        <w:rPr>
          <w:noProof/>
          <w:lang w:eastAsia="en-AU"/>
        </w:rPr>
        <w:pict>
          <v:oval id="_x0000_s1042" style="position:absolute;left:0;text-align:left;margin-left:227.4pt;margin-top:77.85pt;width:36.3pt;height:65.65pt;z-index:251661312" filled="f" strokecolor="red" strokeweight="2pt"/>
        </w:pict>
      </w:r>
      <w:r>
        <w:rPr>
          <w:noProof/>
          <w:lang w:eastAsia="en-AU"/>
        </w:rPr>
        <w:pict>
          <v:oval id="_x0000_s1041" style="position:absolute;left:0;text-align:left;margin-left:167.5pt;margin-top:71.45pt;width:36.3pt;height:65.65pt;z-index:251660288" filled="f" strokecolor="red" strokeweight="2pt"/>
        </w:pict>
      </w:r>
      <w:r>
        <w:rPr>
          <w:noProof/>
          <w:lang w:eastAsia="en-AU"/>
        </w:rPr>
        <w:pict>
          <v:oval id="_x0000_s1040" style="position:absolute;left:0;text-align:left;margin-left:85.8pt;margin-top:59.45pt;width:36.3pt;height:65.65pt;z-index:251659264" filled="f" strokecolor="red" strokeweight="2pt"/>
        </w:pict>
      </w:r>
      <w:r w:rsidR="0094612C">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30.5pt;height:310pt">
            <v:imagedata r:id="rId15" o:title=""/>
          </v:shape>
        </w:pict>
      </w:r>
    </w:p>
    <w:p w:rsidR="00947365" w:rsidRDefault="001568A0" w:rsidP="001568A0">
      <w:pPr>
        <w:pStyle w:val="AERbodytext"/>
        <w:spacing w:before="120"/>
      </w:pPr>
      <w:r>
        <w:t>The red circled areas in f</w:t>
      </w:r>
      <w:r w:rsidR="00947365">
        <w:t>igure 6 show</w:t>
      </w:r>
      <w:r>
        <w:t xml:space="preserve"> an </w:t>
      </w:r>
      <w:r w:rsidR="00947365">
        <w:t>increase in high price capacity on 17, 19, 20 and 21 August. This was the result of late rebidding of capacity into high prices by AGL</w:t>
      </w:r>
      <w:r>
        <w:t>, which resulted in the spot price reaching $2285/MWh on 20 August (a</w:t>
      </w:r>
      <w:r w:rsidR="00947365">
        <w:t xml:space="preserve">s discussed under </w:t>
      </w:r>
      <w:r w:rsidR="00947365" w:rsidRPr="001568A0">
        <w:rPr>
          <w:i/>
        </w:rPr>
        <w:t>Detailed market analysis</w:t>
      </w:r>
      <w:r w:rsidRPr="001568A0">
        <w:t>).</w:t>
      </w:r>
      <w:r>
        <w:rPr>
          <w:i/>
        </w:rPr>
        <w:t xml:space="preserve"> </w:t>
      </w:r>
    </w:p>
    <w:p w:rsidR="0048688D" w:rsidRPr="006768AE" w:rsidRDefault="0048688D" w:rsidP="00657719">
      <w:pPr>
        <w:pStyle w:val="Figureheading"/>
        <w:numPr>
          <w:ilvl w:val="0"/>
          <w:numId w:val="0"/>
        </w:numPr>
        <w:spacing w:before="120" w:after="0"/>
        <w:ind w:left="357" w:hanging="357"/>
      </w:pPr>
      <w:r w:rsidRPr="006768AE">
        <w:t xml:space="preserve">Figure </w:t>
      </w:r>
      <w:r w:rsidR="0078358A" w:rsidRPr="006768AE">
        <w:t>7</w:t>
      </w:r>
      <w:r w:rsidRPr="006768AE">
        <w:t>: Tasmania</w:t>
      </w:r>
      <w:r w:rsidR="00D96C94" w:rsidRPr="006768AE">
        <w:t xml:space="preserve"> generation and bidding patterns</w:t>
      </w:r>
    </w:p>
    <w:p w:rsidR="002E3E82" w:rsidRDefault="0094612C" w:rsidP="002E3E82">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30.5pt;height:310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E725B7" w:rsidRDefault="00E503C5" w:rsidP="00426C4C">
      <w:pPr>
        <w:jc w:val="both"/>
        <w:rPr>
          <w:rFonts w:ascii="Gautami" w:hAnsi="Gautami"/>
          <w:sz w:val="20"/>
          <w:lang w:eastAsia="en-US"/>
        </w:rPr>
      </w:pPr>
      <w:r w:rsidRPr="00E503C5">
        <w:rPr>
          <w:rFonts w:ascii="Gautami" w:hAnsi="Gautami"/>
          <w:sz w:val="20"/>
          <w:lang w:eastAsia="en-US"/>
        </w:rPr>
        <w:t>The total cost of FCAS on the mainland for the week was $276</w:t>
      </w:r>
      <w:r>
        <w:rPr>
          <w:rFonts w:ascii="Gautami" w:hAnsi="Gautami"/>
          <w:sz w:val="20"/>
          <w:lang w:eastAsia="en-US"/>
        </w:rPr>
        <w:t> </w:t>
      </w:r>
      <w:r w:rsidRPr="00E503C5">
        <w:rPr>
          <w:rFonts w:ascii="Gautami" w:hAnsi="Gautami"/>
          <w:sz w:val="20"/>
          <w:lang w:eastAsia="en-US"/>
        </w:rPr>
        <w:t>000 or less than 1</w:t>
      </w:r>
      <w:r>
        <w:rPr>
          <w:rFonts w:ascii="Gautami" w:hAnsi="Gautami"/>
          <w:sz w:val="20"/>
          <w:lang w:eastAsia="en-US"/>
        </w:rPr>
        <w:t> </w:t>
      </w:r>
      <w:r w:rsidRPr="00E503C5">
        <w:rPr>
          <w:rFonts w:ascii="Gautami" w:hAnsi="Gautami"/>
          <w:sz w:val="20"/>
          <w:lang w:eastAsia="en-US"/>
        </w:rPr>
        <w:t>per</w:t>
      </w:r>
      <w:r>
        <w:rPr>
          <w:rFonts w:ascii="Gautami" w:hAnsi="Gautami"/>
          <w:sz w:val="20"/>
          <w:lang w:eastAsia="en-US"/>
        </w:rPr>
        <w:t> </w:t>
      </w:r>
      <w:r w:rsidRPr="00E503C5">
        <w:rPr>
          <w:rFonts w:ascii="Gautami" w:hAnsi="Gautami"/>
          <w:sz w:val="20"/>
          <w:lang w:eastAsia="en-US"/>
        </w:rPr>
        <w:t>cent of energy turnover on the mainland.</w:t>
      </w:r>
    </w:p>
    <w:p w:rsidR="00E725B7" w:rsidRDefault="00E725B7" w:rsidP="00426C4C">
      <w:pPr>
        <w:jc w:val="both"/>
        <w:rPr>
          <w:rFonts w:ascii="Gautami" w:hAnsi="Gautami"/>
          <w:sz w:val="20"/>
          <w:lang w:eastAsia="en-US"/>
        </w:rPr>
      </w:pPr>
    </w:p>
    <w:p w:rsidR="00BF6EA0" w:rsidRPr="00947365" w:rsidRDefault="00E503C5" w:rsidP="00947365">
      <w:pPr>
        <w:pStyle w:val="AERbodytext"/>
      </w:pPr>
      <w:r w:rsidRPr="00947365">
        <w:t>The total cost of FCAS in Tasmania for the week was $464 000 or less than 6 per cent of energy turnover in Tasmania.</w:t>
      </w:r>
      <w:r w:rsidR="00862E35" w:rsidRPr="00947365">
        <w:t xml:space="preserve"> </w:t>
      </w:r>
    </w:p>
    <w:p w:rsidR="00426C4C" w:rsidRDefault="00BF6EA0" w:rsidP="00947365">
      <w:pPr>
        <w:pStyle w:val="AERbodytext"/>
      </w:pPr>
      <w:r w:rsidRPr="00947365">
        <w:t xml:space="preserve">Figure 8 shows that FCAS costs across the NEM were above average for most days of the week, and that high lower 6 second services costs were the main reason. </w:t>
      </w:r>
      <w:r w:rsidR="001E71BF" w:rsidRPr="00947365">
        <w:t xml:space="preserve">The majority of this cost accrued in Tasmania, where the dispatch price exceeded $2000/MW on six occasions throughout the week </w:t>
      </w:r>
      <w:r w:rsidR="00EB0BFA" w:rsidRPr="00947365">
        <w:t xml:space="preserve">primarily </w:t>
      </w:r>
      <w:r w:rsidR="001E71BF" w:rsidRPr="00947365">
        <w:t xml:space="preserve">caused by </w:t>
      </w:r>
      <w:r w:rsidR="00EB0BFA" w:rsidRPr="00947365">
        <w:t>the co</w:t>
      </w:r>
      <w:r w:rsidR="00947365">
        <w:t>-</w:t>
      </w:r>
      <w:r w:rsidR="00EB0BFA" w:rsidRPr="00947365">
        <w:t>optimi</w:t>
      </w:r>
      <w:r w:rsidR="00947365">
        <w:t>s</w:t>
      </w:r>
      <w:r w:rsidR="00EB0BFA" w:rsidRPr="00947365">
        <w:t>ation of energy and lower six second services.</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94612C"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31pt;height:218pt">
            <v:imagedata r:id="rId17"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334E67">
        <w:rPr>
          <w:color w:val="auto"/>
        </w:rPr>
        <w:t>Detailed market analysis of significant price events</w:t>
      </w:r>
    </w:p>
    <w:p w:rsidR="008B371E" w:rsidRDefault="008B371E">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t xml:space="preserve"> </w:t>
      </w:r>
    </w:p>
    <w:p w:rsidR="00A70ECC" w:rsidRPr="00A70ECC" w:rsidRDefault="00A70ECC" w:rsidP="00E01743">
      <w:pPr>
        <w:pStyle w:val="AERbodytext"/>
      </w:pPr>
      <w:r w:rsidRPr="00A70ECC">
        <w:t xml:space="preserve">There was one occasion where the spot price in South Australia was greater than three times the South Australia weekly average price </w:t>
      </w:r>
      <w:r w:rsidRPr="00B07D73">
        <w:t>of $4</w:t>
      </w:r>
      <w:r w:rsidR="0067427F" w:rsidRPr="00B07D73">
        <w:t>4</w:t>
      </w:r>
      <w:r w:rsidRPr="00B07D73">
        <w:t>/MWh</w:t>
      </w:r>
      <w:r w:rsidRPr="00A70ECC">
        <w:t xml:space="preserve"> and above $250/MWh.</w:t>
      </w:r>
    </w:p>
    <w:p w:rsidR="00A70ECC" w:rsidRPr="00B07D73" w:rsidRDefault="00E725B7" w:rsidP="00A70ECC">
      <w:pPr>
        <w:rPr>
          <w:rFonts w:ascii="Gautami" w:hAnsi="Gautami"/>
          <w:b/>
          <w:sz w:val="20"/>
          <w:lang w:eastAsia="en-US"/>
        </w:rPr>
      </w:pPr>
      <w:r w:rsidRPr="00B07D73">
        <w:rPr>
          <w:rFonts w:ascii="Gautami" w:hAnsi="Gautami"/>
          <w:b/>
          <w:sz w:val="20"/>
          <w:lang w:eastAsia="en-US"/>
        </w:rPr>
        <w:t>Table 3:</w:t>
      </w:r>
      <w:r w:rsidR="00FB6493" w:rsidRPr="00B07D73">
        <w:rPr>
          <w:rFonts w:ascii="Gautami" w:hAnsi="Gautami"/>
          <w:b/>
          <w:sz w:val="20"/>
          <w:lang w:eastAsia="en-US"/>
        </w:rPr>
        <w:t xml:space="preserve"> </w:t>
      </w:r>
      <w:r w:rsidR="00B07D73" w:rsidRPr="00B07D73">
        <w:rPr>
          <w:rFonts w:ascii="Gautami" w:hAnsi="Gautami"/>
          <w:b/>
          <w:sz w:val="20"/>
          <w:lang w:eastAsia="en-US"/>
        </w:rPr>
        <w:t>Wedn</w:t>
      </w:r>
      <w:r w:rsidRPr="00B07D73">
        <w:rPr>
          <w:rFonts w:ascii="Gautami" w:hAnsi="Gautami"/>
          <w:b/>
          <w:sz w:val="20"/>
          <w:lang w:eastAsia="en-US"/>
        </w:rPr>
        <w:t>esday</w:t>
      </w:r>
      <w:r w:rsidR="00A70ECC" w:rsidRPr="00B07D73">
        <w:rPr>
          <w:rFonts w:ascii="Gautami" w:hAnsi="Gautami"/>
          <w:b/>
          <w:sz w:val="20"/>
          <w:lang w:eastAsia="en-US"/>
        </w:rPr>
        <w:t xml:space="preserve"> 2</w:t>
      </w:r>
      <w:r w:rsidR="00B07D73" w:rsidRPr="00B07D73">
        <w:rPr>
          <w:rFonts w:ascii="Gautami" w:hAnsi="Gautami"/>
          <w:b/>
          <w:sz w:val="20"/>
          <w:lang w:eastAsia="en-US"/>
        </w:rPr>
        <w:t>0</w:t>
      </w:r>
      <w:r w:rsidR="00A70ECC" w:rsidRPr="00B07D73">
        <w:rPr>
          <w:rFonts w:ascii="Gautami" w:hAnsi="Gautami"/>
          <w:b/>
          <w:sz w:val="20"/>
          <w:lang w:eastAsia="en-US"/>
        </w:rPr>
        <w:t xml:space="preserve"> August </w:t>
      </w:r>
    </w:p>
    <w:p w:rsidR="00A70ECC" w:rsidRPr="00B07D73" w:rsidRDefault="00A70ECC" w:rsidP="00A70ECC">
      <w:pPr>
        <w:rPr>
          <w:rFonts w:ascii="Gautami" w:hAnsi="Gautami"/>
          <w:sz w:val="20"/>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A70ECC" w:rsidRPr="00B07D73" w:rsidTr="00686F96">
        <w:tc>
          <w:tcPr>
            <w:tcW w:w="527" w:type="pct"/>
            <w:tcBorders>
              <w:top w:val="single" w:sz="4" w:space="0" w:color="auto"/>
              <w:left w:val="single" w:sz="4" w:space="0" w:color="auto"/>
              <w:bottom w:val="nil"/>
            </w:tcBorders>
            <w:shd w:val="clear" w:color="auto" w:fill="4A442A"/>
            <w:noWrap/>
          </w:tcPr>
          <w:p w:rsidR="00A70ECC" w:rsidRPr="00B07D73" w:rsidRDefault="00A70ECC" w:rsidP="00686F96">
            <w:pPr>
              <w:autoSpaceDE w:val="0"/>
              <w:autoSpaceDN w:val="0"/>
              <w:adjustRightInd w:val="0"/>
              <w:spacing w:before="100" w:after="100"/>
              <w:rPr>
                <w:rFonts w:ascii="Gautami" w:hAnsi="Gautami" w:cs="Gautami"/>
                <w:b/>
                <w:bCs/>
                <w:color w:val="FFFFFF"/>
                <w:sz w:val="16"/>
                <w:szCs w:val="16"/>
              </w:rPr>
            </w:pPr>
            <w:r w:rsidRPr="00B07D73">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A70ECC" w:rsidRPr="00B07D73" w:rsidRDefault="00A70ECC" w:rsidP="00686F9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A70ECC" w:rsidRPr="00B07D73" w:rsidRDefault="00A70ECC" w:rsidP="00686F9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A70ECC" w:rsidRPr="00B07D73" w:rsidRDefault="00A70ECC" w:rsidP="00686F9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Availability (MW)</w:t>
            </w:r>
          </w:p>
        </w:tc>
      </w:tr>
      <w:tr w:rsidR="00A70ECC" w:rsidRPr="00B07D73" w:rsidTr="00686F96">
        <w:tc>
          <w:tcPr>
            <w:tcW w:w="527" w:type="pct"/>
            <w:tcBorders>
              <w:top w:val="nil"/>
              <w:left w:val="single" w:sz="4" w:space="0" w:color="auto"/>
              <w:bottom w:val="nil"/>
              <w:right w:val="single" w:sz="6" w:space="0" w:color="auto"/>
            </w:tcBorders>
            <w:shd w:val="clear" w:color="auto" w:fill="DDD9C3"/>
            <w:noWrap/>
          </w:tcPr>
          <w:p w:rsidR="00A70ECC" w:rsidRPr="00B07D73" w:rsidRDefault="00A70ECC" w:rsidP="00686F9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A70ECC" w:rsidRPr="00B07D73" w:rsidRDefault="00A70ECC" w:rsidP="00686F9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r>
      <w:tr w:rsidR="00A70ECC" w:rsidRPr="00B07D73" w:rsidTr="00686F96">
        <w:tc>
          <w:tcPr>
            <w:tcW w:w="527" w:type="pct"/>
            <w:tcBorders>
              <w:top w:val="nil"/>
              <w:left w:val="single" w:sz="4" w:space="0" w:color="auto"/>
              <w:bottom w:val="single" w:sz="4" w:space="0" w:color="auto"/>
              <w:right w:val="single" w:sz="6" w:space="0" w:color="auto"/>
            </w:tcBorders>
            <w:shd w:val="clear" w:color="auto" w:fill="EEECE1"/>
            <w:noWrap/>
            <w:vAlign w:val="center"/>
          </w:tcPr>
          <w:p w:rsidR="00A70ECC" w:rsidRPr="00B07D73" w:rsidRDefault="00B07D73" w:rsidP="00B07D73">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1.30</w:t>
            </w:r>
            <w:r w:rsidR="00A70ECC" w:rsidRPr="00B07D73">
              <w:rPr>
                <w:rFonts w:ascii="Gautami" w:hAnsi="Gautami" w:cs="Gautami"/>
                <w:b/>
                <w:bCs/>
                <w:sz w:val="16"/>
                <w:szCs w:val="16"/>
              </w:rPr>
              <w:t> </w:t>
            </w:r>
            <w:r>
              <w:rPr>
                <w:rFonts w:ascii="Gautami" w:hAnsi="Gautami" w:cs="Gautami"/>
                <w:b/>
                <w:bCs/>
                <w:sz w:val="16"/>
                <w:szCs w:val="16"/>
              </w:rPr>
              <w:t>P</w:t>
            </w:r>
            <w:r w:rsidR="00A70ECC" w:rsidRPr="00B07D73">
              <w:rPr>
                <w:rFonts w:ascii="Gautami" w:hAnsi="Gautami" w:cs="Gautami"/>
                <w:b/>
                <w:bCs/>
                <w:sz w:val="16"/>
                <w:szCs w:val="16"/>
              </w:rPr>
              <w:t>M</w:t>
            </w:r>
          </w:p>
        </w:tc>
        <w:tc>
          <w:tcPr>
            <w:tcW w:w="497" w:type="pct"/>
            <w:tcBorders>
              <w:top w:val="nil"/>
              <w:left w:val="single" w:sz="6" w:space="0" w:color="auto"/>
              <w:bottom w:val="single" w:sz="4" w:space="0" w:color="auto"/>
              <w:right w:val="nil"/>
            </w:tcBorders>
            <w:shd w:val="clear" w:color="auto" w:fill="EEECE1"/>
            <w:noWrap/>
            <w:vAlign w:val="center"/>
          </w:tcPr>
          <w:p w:rsidR="00A70ECC" w:rsidRPr="00B07D73" w:rsidRDefault="00B07D73" w:rsidP="00686F96">
            <w:pPr>
              <w:jc w:val="center"/>
              <w:rPr>
                <w:rFonts w:ascii="Gautami" w:hAnsi="Gautami" w:cs="Gautami"/>
                <w:sz w:val="16"/>
                <w:szCs w:val="16"/>
              </w:rPr>
            </w:pPr>
            <w:r>
              <w:rPr>
                <w:rFonts w:ascii="Gautami" w:hAnsi="Gautami" w:cs="Gautami"/>
                <w:sz w:val="16"/>
                <w:szCs w:val="16"/>
              </w:rPr>
              <w:t>2284.78</w:t>
            </w:r>
          </w:p>
        </w:tc>
        <w:tc>
          <w:tcPr>
            <w:tcW w:w="497" w:type="pct"/>
            <w:tcBorders>
              <w:top w:val="nil"/>
              <w:left w:val="nil"/>
              <w:bottom w:val="single" w:sz="4" w:space="0" w:color="auto"/>
              <w:right w:val="nil"/>
            </w:tcBorders>
            <w:shd w:val="clear" w:color="auto" w:fill="EEECE1"/>
            <w:noWrap/>
            <w:vAlign w:val="center"/>
          </w:tcPr>
          <w:p w:rsidR="00A70ECC" w:rsidRPr="00B07D73" w:rsidRDefault="00B07D73" w:rsidP="00686F96">
            <w:pPr>
              <w:jc w:val="center"/>
              <w:rPr>
                <w:rFonts w:ascii="Gautami" w:hAnsi="Gautami" w:cs="Gautami"/>
                <w:sz w:val="16"/>
                <w:szCs w:val="16"/>
              </w:rPr>
            </w:pPr>
            <w:r>
              <w:rPr>
                <w:rFonts w:ascii="Gautami" w:hAnsi="Gautami" w:cs="Gautami"/>
                <w:sz w:val="16"/>
                <w:szCs w:val="16"/>
              </w:rPr>
              <w:t>35.49</w:t>
            </w:r>
          </w:p>
        </w:tc>
        <w:tc>
          <w:tcPr>
            <w:tcW w:w="497" w:type="pct"/>
            <w:tcBorders>
              <w:top w:val="nil"/>
              <w:left w:val="nil"/>
              <w:bottom w:val="single" w:sz="4" w:space="0" w:color="auto"/>
              <w:right w:val="single" w:sz="6" w:space="0" w:color="auto"/>
            </w:tcBorders>
            <w:shd w:val="clear" w:color="auto" w:fill="EEECE1"/>
            <w:noWrap/>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35.49</w:t>
            </w:r>
          </w:p>
        </w:tc>
        <w:tc>
          <w:tcPr>
            <w:tcW w:w="497" w:type="pct"/>
            <w:tcBorders>
              <w:top w:val="nil"/>
              <w:left w:val="single" w:sz="6" w:space="0" w:color="auto"/>
              <w:bottom w:val="single" w:sz="4" w:space="0" w:color="auto"/>
              <w:right w:val="nil"/>
            </w:tcBorders>
            <w:shd w:val="clear" w:color="auto" w:fill="EEECE1"/>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1476</w:t>
            </w:r>
          </w:p>
        </w:tc>
        <w:tc>
          <w:tcPr>
            <w:tcW w:w="497" w:type="pct"/>
            <w:tcBorders>
              <w:top w:val="nil"/>
              <w:left w:val="nil"/>
              <w:bottom w:val="single" w:sz="4" w:space="0" w:color="auto"/>
              <w:right w:val="nil"/>
            </w:tcBorders>
            <w:shd w:val="clear" w:color="auto" w:fill="EEECE1"/>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1456</w:t>
            </w:r>
          </w:p>
        </w:tc>
        <w:tc>
          <w:tcPr>
            <w:tcW w:w="497" w:type="pct"/>
            <w:tcBorders>
              <w:top w:val="nil"/>
              <w:left w:val="nil"/>
              <w:bottom w:val="single" w:sz="4" w:space="0" w:color="auto"/>
              <w:right w:val="single" w:sz="6" w:space="0" w:color="auto"/>
            </w:tcBorders>
            <w:shd w:val="clear" w:color="auto" w:fill="EEECE1"/>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1491</w:t>
            </w:r>
          </w:p>
        </w:tc>
        <w:tc>
          <w:tcPr>
            <w:tcW w:w="497" w:type="pct"/>
            <w:tcBorders>
              <w:top w:val="nil"/>
              <w:left w:val="single" w:sz="6" w:space="0" w:color="auto"/>
              <w:bottom w:val="single" w:sz="4" w:space="0" w:color="auto"/>
              <w:right w:val="nil"/>
            </w:tcBorders>
            <w:shd w:val="clear" w:color="auto" w:fill="EEECE1"/>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2149</w:t>
            </w:r>
          </w:p>
        </w:tc>
        <w:tc>
          <w:tcPr>
            <w:tcW w:w="497" w:type="pct"/>
            <w:tcBorders>
              <w:top w:val="nil"/>
              <w:left w:val="nil"/>
              <w:bottom w:val="single" w:sz="4" w:space="0" w:color="auto"/>
              <w:right w:val="nil"/>
            </w:tcBorders>
            <w:shd w:val="clear" w:color="auto" w:fill="EEECE1"/>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2139</w:t>
            </w:r>
          </w:p>
        </w:tc>
        <w:tc>
          <w:tcPr>
            <w:tcW w:w="497" w:type="pct"/>
            <w:tcBorders>
              <w:top w:val="nil"/>
              <w:left w:val="nil"/>
              <w:bottom w:val="single" w:sz="4" w:space="0" w:color="auto"/>
              <w:right w:val="single" w:sz="4" w:space="0" w:color="auto"/>
            </w:tcBorders>
            <w:shd w:val="clear" w:color="auto" w:fill="EEECE1"/>
            <w:vAlign w:val="center"/>
          </w:tcPr>
          <w:p w:rsidR="00A70ECC" w:rsidRPr="00B07D73" w:rsidRDefault="00870943" w:rsidP="00686F96">
            <w:pPr>
              <w:jc w:val="center"/>
              <w:rPr>
                <w:rFonts w:ascii="Gautami" w:hAnsi="Gautami" w:cs="Gautami"/>
                <w:sz w:val="16"/>
                <w:szCs w:val="16"/>
              </w:rPr>
            </w:pPr>
            <w:r>
              <w:rPr>
                <w:rFonts w:ascii="Gautami" w:hAnsi="Gautami" w:cs="Gautami"/>
                <w:sz w:val="16"/>
                <w:szCs w:val="16"/>
              </w:rPr>
              <w:t>2114</w:t>
            </w:r>
          </w:p>
        </w:tc>
      </w:tr>
    </w:tbl>
    <w:p w:rsidR="00A70ECC" w:rsidRPr="0067427F" w:rsidRDefault="00A70ECC" w:rsidP="00C53952">
      <w:pPr>
        <w:pStyle w:val="AERbodytext"/>
        <w:rPr>
          <w:highlight w:val="yellow"/>
        </w:rPr>
      </w:pPr>
    </w:p>
    <w:p w:rsidR="00A70ECC" w:rsidRDefault="00C53952" w:rsidP="00C53952">
      <w:pPr>
        <w:pStyle w:val="AERbodytext"/>
      </w:pPr>
      <w:r w:rsidRPr="003B2D7C">
        <w:t xml:space="preserve">Actual demand </w:t>
      </w:r>
      <w:r w:rsidR="005C1DBA" w:rsidRPr="003B2D7C">
        <w:t xml:space="preserve">and available capacity </w:t>
      </w:r>
      <w:r w:rsidR="00562558" w:rsidRPr="003B2D7C">
        <w:t xml:space="preserve">was </w:t>
      </w:r>
      <w:r w:rsidR="003B2D7C" w:rsidRPr="003B2D7C">
        <w:t>close to</w:t>
      </w:r>
      <w:r w:rsidR="00562558" w:rsidRPr="003B2D7C">
        <w:t xml:space="preserve"> forecast</w:t>
      </w:r>
      <w:r w:rsidR="005C1DBA">
        <w:t>.</w:t>
      </w:r>
      <w:r w:rsidR="00A70ECC" w:rsidRPr="003B2D7C">
        <w:t xml:space="preserve"> </w:t>
      </w:r>
      <w:r w:rsidR="00EA0747">
        <w:t xml:space="preserve">The Murraylink interconnector was on an unplanned outage at the time of high prices. </w:t>
      </w:r>
    </w:p>
    <w:p w:rsidR="009B51B2" w:rsidRDefault="001E5D17" w:rsidP="0091780F">
      <w:pPr>
        <w:pStyle w:val="AERbodytext"/>
      </w:pPr>
      <w:r>
        <w:t>At 1.</w:t>
      </w:r>
      <w:r w:rsidR="00406948">
        <w:t>19 </w:t>
      </w:r>
      <w:r>
        <w:t xml:space="preserve">pm, effective for 1.30 pm </w:t>
      </w:r>
      <w:r w:rsidR="00682429">
        <w:t>only</w:t>
      </w:r>
      <w:r>
        <w:t xml:space="preserve">, AGL rebid a total of 390 MW across </w:t>
      </w:r>
      <w:r w:rsidR="0091780F">
        <w:t xml:space="preserve">Torrens Island units B2, B3 and B4 from prices below $71/MWh to the price cap. The reason given was “13:15A </w:t>
      </w:r>
      <w:proofErr w:type="spellStart"/>
      <w:r w:rsidR="0091780F">
        <w:t>Chg</w:t>
      </w:r>
      <w:proofErr w:type="spellEnd"/>
      <w:r w:rsidR="0091780F">
        <w:t xml:space="preserve"> in dispatch::SA price decrease vs</w:t>
      </w:r>
      <w:r w:rsidR="001159E5">
        <w:t>.</w:t>
      </w:r>
      <w:r w:rsidR="0091780F">
        <w:t xml:space="preserve"> 12:00 30PD”. </w:t>
      </w:r>
    </w:p>
    <w:p w:rsidR="009B51B2" w:rsidRDefault="009B51B2" w:rsidP="009B51B2">
      <w:pPr>
        <w:pStyle w:val="AERbodytext"/>
      </w:pPr>
      <w:r>
        <w:t xml:space="preserve">With very little wind generation (under 100 MW), significant other generation either off line, ramp limited, or at maximum generation, </w:t>
      </w:r>
      <w:r w:rsidR="00EA0747">
        <w:t xml:space="preserve">and the Heywood interconnector </w:t>
      </w:r>
      <w:r w:rsidR="00862E35">
        <w:t xml:space="preserve">importing </w:t>
      </w:r>
      <w:r w:rsidR="00EA0747">
        <w:t xml:space="preserve">at its limit, </w:t>
      </w:r>
      <w:r>
        <w:t>the high price generation at Torrens Island was dispatched</w:t>
      </w:r>
      <w:r w:rsidR="005C1DBA">
        <w:t xml:space="preserve">. This </w:t>
      </w:r>
      <w:r>
        <w:t xml:space="preserve">saw the </w:t>
      </w:r>
      <w:r w:rsidR="00EA0747">
        <w:t>five-minute</w:t>
      </w:r>
      <w:r>
        <w:t xml:space="preserve"> price increase from $50/MWh at 1.25 pm to the price cap at 1.30 pm.</w:t>
      </w:r>
    </w:p>
    <w:p w:rsidR="00C53952" w:rsidRDefault="00C53952" w:rsidP="00C53952">
      <w:pPr>
        <w:pStyle w:val="AERbodytext"/>
      </w:pPr>
      <w:r w:rsidRPr="005C1DBA">
        <w:t>There was no other significant bidding.</w:t>
      </w:r>
    </w:p>
    <w:p w:rsidR="00D53B8F" w:rsidRDefault="00D53B8F" w:rsidP="00E01743">
      <w:pPr>
        <w:pStyle w:val="AERbodytext"/>
      </w:pPr>
      <w:r>
        <w:rPr>
          <w:b/>
        </w:rPr>
        <w:t>Tasman</w:t>
      </w:r>
      <w:r w:rsidRPr="00B07D73">
        <w:rPr>
          <w:b/>
        </w:rPr>
        <w:t>ia</w:t>
      </w:r>
    </w:p>
    <w:p w:rsidR="00E01743" w:rsidRPr="00E01743" w:rsidRDefault="00E01743" w:rsidP="00E01743">
      <w:pPr>
        <w:pStyle w:val="AERbodytext"/>
      </w:pPr>
      <w:r w:rsidRPr="00E01743">
        <w:t>There were two occasions where the spot price in Tasmania was greater than three times the Tasmania weekly average price of $44/MWh and above $250/MWh.</w:t>
      </w:r>
    </w:p>
    <w:p w:rsidR="00870943" w:rsidRPr="00B07D73" w:rsidRDefault="00870943" w:rsidP="00870943">
      <w:pPr>
        <w:rPr>
          <w:rFonts w:ascii="Gautami" w:hAnsi="Gautami"/>
          <w:b/>
          <w:sz w:val="20"/>
          <w:lang w:eastAsia="en-US"/>
        </w:rPr>
      </w:pPr>
      <w:r w:rsidRPr="00B07D73">
        <w:rPr>
          <w:rFonts w:ascii="Gautami" w:hAnsi="Gautami"/>
          <w:b/>
          <w:sz w:val="20"/>
          <w:lang w:eastAsia="en-US"/>
        </w:rPr>
        <w:t xml:space="preserve">Table </w:t>
      </w:r>
      <w:r>
        <w:rPr>
          <w:rFonts w:ascii="Gautami" w:hAnsi="Gautami"/>
          <w:b/>
          <w:sz w:val="20"/>
          <w:lang w:eastAsia="en-US"/>
        </w:rPr>
        <w:t>4</w:t>
      </w:r>
      <w:r w:rsidRPr="00B07D73">
        <w:rPr>
          <w:rFonts w:ascii="Gautami" w:hAnsi="Gautami"/>
          <w:b/>
          <w:sz w:val="20"/>
          <w:lang w:eastAsia="en-US"/>
        </w:rPr>
        <w:t>:</w:t>
      </w:r>
      <w:r w:rsidR="00A5700D">
        <w:rPr>
          <w:rFonts w:ascii="Gautami" w:hAnsi="Gautami"/>
          <w:b/>
          <w:sz w:val="20"/>
          <w:lang w:eastAsia="en-US"/>
        </w:rPr>
        <w:t xml:space="preserve"> </w:t>
      </w:r>
      <w:r w:rsidRPr="00B07D73">
        <w:rPr>
          <w:rFonts w:ascii="Gautami" w:hAnsi="Gautami"/>
          <w:b/>
          <w:sz w:val="20"/>
          <w:lang w:eastAsia="en-US"/>
        </w:rPr>
        <w:t>Wednesday 20</w:t>
      </w:r>
      <w:r w:rsidR="00A5700D">
        <w:rPr>
          <w:rFonts w:ascii="Gautami" w:hAnsi="Gautami"/>
          <w:b/>
          <w:sz w:val="20"/>
          <w:lang w:eastAsia="en-US"/>
        </w:rPr>
        <w:t xml:space="preserve"> August</w:t>
      </w:r>
    </w:p>
    <w:p w:rsidR="00870943" w:rsidRPr="00B07D73" w:rsidRDefault="00870943" w:rsidP="00870943">
      <w:pPr>
        <w:rPr>
          <w:rFonts w:ascii="Gautami" w:hAnsi="Gautami"/>
          <w:sz w:val="20"/>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870943" w:rsidRPr="00B07D73" w:rsidTr="00693366">
        <w:tc>
          <w:tcPr>
            <w:tcW w:w="527" w:type="pct"/>
            <w:tcBorders>
              <w:top w:val="single" w:sz="4" w:space="0" w:color="auto"/>
              <w:left w:val="single" w:sz="4" w:space="0" w:color="auto"/>
              <w:bottom w:val="nil"/>
            </w:tcBorders>
            <w:shd w:val="clear" w:color="auto" w:fill="4A442A"/>
            <w:noWrap/>
          </w:tcPr>
          <w:p w:rsidR="00870943" w:rsidRPr="00B07D73" w:rsidRDefault="00870943" w:rsidP="00693366">
            <w:pPr>
              <w:autoSpaceDE w:val="0"/>
              <w:autoSpaceDN w:val="0"/>
              <w:adjustRightInd w:val="0"/>
              <w:spacing w:before="100" w:after="100"/>
              <w:rPr>
                <w:rFonts w:ascii="Gautami" w:hAnsi="Gautami" w:cs="Gautami"/>
                <w:b/>
                <w:bCs/>
                <w:color w:val="FFFFFF"/>
                <w:sz w:val="16"/>
                <w:szCs w:val="16"/>
              </w:rPr>
            </w:pPr>
            <w:r w:rsidRPr="00B07D73">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870943" w:rsidRPr="00B07D73" w:rsidRDefault="00870943" w:rsidP="0069336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870943" w:rsidRPr="00B07D73" w:rsidRDefault="00870943" w:rsidP="0069336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870943" w:rsidRPr="00B07D73" w:rsidRDefault="00870943" w:rsidP="0069336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Availability (MW)</w:t>
            </w:r>
          </w:p>
        </w:tc>
      </w:tr>
      <w:tr w:rsidR="00870943" w:rsidRPr="00B07D73" w:rsidTr="00693366">
        <w:tc>
          <w:tcPr>
            <w:tcW w:w="527" w:type="pct"/>
            <w:tcBorders>
              <w:top w:val="nil"/>
              <w:left w:val="single" w:sz="4" w:space="0" w:color="auto"/>
              <w:bottom w:val="nil"/>
              <w:right w:val="single" w:sz="6" w:space="0" w:color="auto"/>
            </w:tcBorders>
            <w:shd w:val="clear" w:color="auto" w:fill="DDD9C3"/>
            <w:noWrap/>
          </w:tcPr>
          <w:p w:rsidR="00870943" w:rsidRPr="00B07D73" w:rsidRDefault="00870943" w:rsidP="0069336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r>
      <w:tr w:rsidR="00870943" w:rsidRPr="00B07D73" w:rsidTr="00693366">
        <w:tc>
          <w:tcPr>
            <w:tcW w:w="527" w:type="pct"/>
            <w:tcBorders>
              <w:top w:val="nil"/>
              <w:left w:val="single" w:sz="4" w:space="0" w:color="auto"/>
              <w:bottom w:val="single" w:sz="4" w:space="0" w:color="auto"/>
              <w:right w:val="single" w:sz="6" w:space="0" w:color="auto"/>
            </w:tcBorders>
            <w:shd w:val="clear" w:color="auto" w:fill="EEECE1"/>
            <w:noWrap/>
            <w:vAlign w:val="center"/>
          </w:tcPr>
          <w:p w:rsidR="00870943" w:rsidRPr="00B07D73" w:rsidRDefault="00870943" w:rsidP="00693366">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6.30</w:t>
            </w:r>
            <w:r w:rsidRPr="00B07D73">
              <w:rPr>
                <w:rFonts w:ascii="Gautami" w:hAnsi="Gautami" w:cs="Gautami"/>
                <w:b/>
                <w:bCs/>
                <w:sz w:val="16"/>
                <w:szCs w:val="16"/>
              </w:rPr>
              <w:t> </w:t>
            </w:r>
            <w:r>
              <w:rPr>
                <w:rFonts w:ascii="Gautami" w:hAnsi="Gautami" w:cs="Gautami"/>
                <w:b/>
                <w:bCs/>
                <w:sz w:val="16"/>
                <w:szCs w:val="16"/>
              </w:rPr>
              <w:t>P</w:t>
            </w:r>
            <w:r w:rsidRPr="00B07D73">
              <w:rPr>
                <w:rFonts w:ascii="Gautami" w:hAnsi="Gautami" w:cs="Gautami"/>
                <w:b/>
                <w:bCs/>
                <w:sz w:val="16"/>
                <w:szCs w:val="16"/>
              </w:rPr>
              <w:t>M</w:t>
            </w:r>
          </w:p>
        </w:tc>
        <w:tc>
          <w:tcPr>
            <w:tcW w:w="497" w:type="pct"/>
            <w:tcBorders>
              <w:top w:val="nil"/>
              <w:left w:val="single" w:sz="6" w:space="0" w:color="auto"/>
              <w:bottom w:val="single" w:sz="4" w:space="0" w:color="auto"/>
              <w:right w:val="nil"/>
            </w:tcBorders>
            <w:shd w:val="clear" w:color="auto" w:fill="EEECE1"/>
            <w:noWrap/>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815.43</w:t>
            </w:r>
          </w:p>
        </w:tc>
        <w:tc>
          <w:tcPr>
            <w:tcW w:w="497" w:type="pct"/>
            <w:tcBorders>
              <w:top w:val="nil"/>
              <w:left w:val="nil"/>
              <w:bottom w:val="single" w:sz="4" w:space="0" w:color="auto"/>
              <w:right w:val="nil"/>
            </w:tcBorders>
            <w:shd w:val="clear" w:color="auto" w:fill="EEECE1"/>
            <w:noWrap/>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48.31</w:t>
            </w:r>
          </w:p>
        </w:tc>
        <w:tc>
          <w:tcPr>
            <w:tcW w:w="497" w:type="pct"/>
            <w:tcBorders>
              <w:top w:val="nil"/>
              <w:left w:val="nil"/>
              <w:bottom w:val="single" w:sz="4" w:space="0" w:color="auto"/>
              <w:right w:val="single" w:sz="6" w:space="0" w:color="auto"/>
            </w:tcBorders>
            <w:shd w:val="clear" w:color="auto" w:fill="EEECE1"/>
            <w:noWrap/>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36.15</w:t>
            </w:r>
          </w:p>
        </w:tc>
        <w:tc>
          <w:tcPr>
            <w:tcW w:w="497" w:type="pct"/>
            <w:tcBorders>
              <w:top w:val="nil"/>
              <w:left w:val="single" w:sz="6" w:space="0" w:color="auto"/>
              <w:bottom w:val="single" w:sz="4" w:space="0" w:color="auto"/>
              <w:right w:val="nil"/>
            </w:tcBorders>
            <w:shd w:val="clear" w:color="auto" w:fill="EEECE1"/>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1420</w:t>
            </w:r>
          </w:p>
        </w:tc>
        <w:tc>
          <w:tcPr>
            <w:tcW w:w="497" w:type="pct"/>
            <w:tcBorders>
              <w:top w:val="nil"/>
              <w:left w:val="nil"/>
              <w:bottom w:val="single" w:sz="4" w:space="0" w:color="auto"/>
              <w:right w:val="nil"/>
            </w:tcBorders>
            <w:shd w:val="clear" w:color="auto" w:fill="EEECE1"/>
            <w:vAlign w:val="center"/>
          </w:tcPr>
          <w:p w:rsidR="00870943" w:rsidRPr="00B07D73" w:rsidRDefault="00870943" w:rsidP="00E01743">
            <w:pPr>
              <w:jc w:val="center"/>
              <w:rPr>
                <w:rFonts w:ascii="Gautami" w:hAnsi="Gautami" w:cs="Gautami"/>
                <w:sz w:val="16"/>
                <w:szCs w:val="16"/>
              </w:rPr>
            </w:pPr>
            <w:r>
              <w:rPr>
                <w:rFonts w:ascii="Gautami" w:hAnsi="Gautami" w:cs="Gautami"/>
                <w:sz w:val="16"/>
                <w:szCs w:val="16"/>
              </w:rPr>
              <w:t>14</w:t>
            </w:r>
            <w:r w:rsidR="00E01743">
              <w:rPr>
                <w:rFonts w:ascii="Gautami" w:hAnsi="Gautami" w:cs="Gautami"/>
                <w:sz w:val="16"/>
                <w:szCs w:val="16"/>
              </w:rPr>
              <w:t>23</w:t>
            </w:r>
          </w:p>
        </w:tc>
        <w:tc>
          <w:tcPr>
            <w:tcW w:w="497" w:type="pct"/>
            <w:tcBorders>
              <w:top w:val="nil"/>
              <w:left w:val="nil"/>
              <w:bottom w:val="single" w:sz="4" w:space="0" w:color="auto"/>
              <w:right w:val="single" w:sz="6" w:space="0" w:color="auto"/>
            </w:tcBorders>
            <w:shd w:val="clear" w:color="auto" w:fill="EEECE1"/>
            <w:vAlign w:val="center"/>
          </w:tcPr>
          <w:p w:rsidR="00870943" w:rsidRPr="00B07D73" w:rsidRDefault="00870943" w:rsidP="00E01743">
            <w:pPr>
              <w:jc w:val="center"/>
              <w:rPr>
                <w:rFonts w:ascii="Gautami" w:hAnsi="Gautami" w:cs="Gautami"/>
                <w:sz w:val="16"/>
                <w:szCs w:val="16"/>
              </w:rPr>
            </w:pPr>
            <w:r>
              <w:rPr>
                <w:rFonts w:ascii="Gautami" w:hAnsi="Gautami" w:cs="Gautami"/>
                <w:sz w:val="16"/>
                <w:szCs w:val="16"/>
              </w:rPr>
              <w:t>14</w:t>
            </w:r>
            <w:r w:rsidR="00E01743">
              <w:rPr>
                <w:rFonts w:ascii="Gautami" w:hAnsi="Gautami" w:cs="Gautami"/>
                <w:sz w:val="16"/>
                <w:szCs w:val="16"/>
              </w:rPr>
              <w:t>89</w:t>
            </w:r>
          </w:p>
        </w:tc>
        <w:tc>
          <w:tcPr>
            <w:tcW w:w="497" w:type="pct"/>
            <w:tcBorders>
              <w:top w:val="nil"/>
              <w:left w:val="single" w:sz="6" w:space="0" w:color="auto"/>
              <w:bottom w:val="single" w:sz="4" w:space="0" w:color="auto"/>
              <w:right w:val="nil"/>
            </w:tcBorders>
            <w:shd w:val="clear" w:color="auto" w:fill="EEECE1"/>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1942</w:t>
            </w:r>
          </w:p>
        </w:tc>
        <w:tc>
          <w:tcPr>
            <w:tcW w:w="497" w:type="pct"/>
            <w:tcBorders>
              <w:top w:val="nil"/>
              <w:left w:val="nil"/>
              <w:bottom w:val="single" w:sz="4" w:space="0" w:color="auto"/>
              <w:right w:val="nil"/>
            </w:tcBorders>
            <w:shd w:val="clear" w:color="auto" w:fill="EEECE1"/>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1953</w:t>
            </w:r>
          </w:p>
        </w:tc>
        <w:tc>
          <w:tcPr>
            <w:tcW w:w="497" w:type="pct"/>
            <w:tcBorders>
              <w:top w:val="nil"/>
              <w:left w:val="nil"/>
              <w:bottom w:val="single" w:sz="4" w:space="0" w:color="auto"/>
              <w:right w:val="single" w:sz="4" w:space="0" w:color="auto"/>
            </w:tcBorders>
            <w:shd w:val="clear" w:color="auto" w:fill="EEECE1"/>
            <w:vAlign w:val="center"/>
          </w:tcPr>
          <w:p w:rsidR="00870943" w:rsidRPr="00B07D73" w:rsidRDefault="00E01743" w:rsidP="00693366">
            <w:pPr>
              <w:jc w:val="center"/>
              <w:rPr>
                <w:rFonts w:ascii="Gautami" w:hAnsi="Gautami" w:cs="Gautami"/>
                <w:sz w:val="16"/>
                <w:szCs w:val="16"/>
              </w:rPr>
            </w:pPr>
            <w:r>
              <w:rPr>
                <w:rFonts w:ascii="Gautami" w:hAnsi="Gautami" w:cs="Gautami"/>
                <w:sz w:val="16"/>
                <w:szCs w:val="16"/>
              </w:rPr>
              <w:t>1934</w:t>
            </w:r>
          </w:p>
        </w:tc>
      </w:tr>
    </w:tbl>
    <w:p w:rsidR="00870943" w:rsidRPr="0067427F" w:rsidRDefault="00870943" w:rsidP="00870943">
      <w:pPr>
        <w:pStyle w:val="AERbodytext"/>
        <w:rPr>
          <w:highlight w:val="yellow"/>
        </w:rPr>
      </w:pPr>
    </w:p>
    <w:p w:rsidR="008F04A2" w:rsidRPr="00205FE8" w:rsidRDefault="008F04A2" w:rsidP="00205FE8">
      <w:pPr>
        <w:pStyle w:val="AERbodytext"/>
      </w:pPr>
      <w:r w:rsidRPr="00205FE8">
        <w:t xml:space="preserve">Conditions at the time saw demand </w:t>
      </w:r>
      <w:r w:rsidR="00176A36" w:rsidRPr="00205FE8">
        <w:t>close to that</w:t>
      </w:r>
      <w:r w:rsidRPr="00B431CD">
        <w:t xml:space="preserve"> forecast 4 hours ahead and available capacity close to forecast.</w:t>
      </w:r>
    </w:p>
    <w:p w:rsidR="008F04A2" w:rsidRPr="00205FE8" w:rsidRDefault="00330E6E" w:rsidP="00B431CD">
      <w:pPr>
        <w:pStyle w:val="AERbodytext"/>
      </w:pPr>
      <w:r w:rsidRPr="00205FE8">
        <w:t>A</w:t>
      </w:r>
      <w:r w:rsidR="008F04A2" w:rsidRPr="00205FE8">
        <w:t xml:space="preserve">n increase in flows across the Sheffield to Georgetown </w:t>
      </w:r>
      <w:r w:rsidR="00682429" w:rsidRPr="00205FE8">
        <w:t>220</w:t>
      </w:r>
      <w:r w:rsidR="00682429" w:rsidRPr="00205FE8">
        <w:rPr>
          <w:rFonts w:hint="eastAsia"/>
        </w:rPr>
        <w:t> </w:t>
      </w:r>
      <w:r w:rsidR="008F04A2" w:rsidRPr="00205FE8">
        <w:t>kV line caused the T&gt;&gt;T_NIL_BL_EXP_6E constraint to bind, causing generation in Tasmania to be constrained off. The constraint (which is a system normal constraint) manages post contingent flows on the Sheffield to Georgetown 220</w:t>
      </w:r>
      <w:r w:rsidR="00B52542" w:rsidRPr="00205FE8">
        <w:rPr>
          <w:rFonts w:hint="eastAsia"/>
        </w:rPr>
        <w:t> </w:t>
      </w:r>
      <w:r w:rsidR="008F04A2" w:rsidRPr="00205FE8">
        <w:t xml:space="preserve">kV lines, preventing an overload on the parallel line in the event of a trip. The constraint affects all Tasmanian generation except for generation at Tamar Valley (which was offline) and forces exports into Victoria across Basslink. </w:t>
      </w:r>
    </w:p>
    <w:p w:rsidR="008F04A2" w:rsidRPr="00205FE8" w:rsidRDefault="00796B68">
      <w:pPr>
        <w:pStyle w:val="AERbodytext"/>
      </w:pPr>
      <w:r w:rsidRPr="00205FE8">
        <w:t>Exports to Victoria reduced from 253</w:t>
      </w:r>
      <w:r w:rsidRPr="00205FE8">
        <w:rPr>
          <w:rFonts w:hint="eastAsia"/>
        </w:rPr>
        <w:t> </w:t>
      </w:r>
      <w:r w:rsidRPr="00205FE8">
        <w:t>MW at 6</w:t>
      </w:r>
      <w:r w:rsidR="00682429" w:rsidRPr="00205FE8">
        <w:rPr>
          <w:rFonts w:hint="eastAsia"/>
        </w:rPr>
        <w:t> </w:t>
      </w:r>
      <w:r w:rsidRPr="00205FE8">
        <w:t>pm to 41</w:t>
      </w:r>
      <w:r w:rsidRPr="00205FE8">
        <w:rPr>
          <w:rFonts w:hint="eastAsia"/>
        </w:rPr>
        <w:t> </w:t>
      </w:r>
      <w:r w:rsidRPr="00205FE8">
        <w:t>MW at 6.</w:t>
      </w:r>
      <w:r w:rsidR="00682429" w:rsidRPr="00205FE8">
        <w:t>05</w:t>
      </w:r>
      <w:r w:rsidR="00682429" w:rsidRPr="00205FE8">
        <w:rPr>
          <w:rFonts w:hint="eastAsia"/>
        </w:rPr>
        <w:t> </w:t>
      </w:r>
      <w:r w:rsidRPr="00205FE8">
        <w:t>pm. With generators either stranded or trapped in FCAS or offline, Tasmanian generation reduced by around 200</w:t>
      </w:r>
      <w:r w:rsidRPr="00205FE8">
        <w:rPr>
          <w:rFonts w:hint="eastAsia"/>
        </w:rPr>
        <w:t> </w:t>
      </w:r>
      <w:r w:rsidRPr="00205FE8">
        <w:t>MW. However, this was not enough to meet the constraint requirements, causing the constraint to violate at 6.05</w:t>
      </w:r>
      <w:r w:rsidRPr="00205FE8">
        <w:rPr>
          <w:rFonts w:hint="eastAsia"/>
        </w:rPr>
        <w:t> </w:t>
      </w:r>
      <w:r w:rsidRPr="00205FE8">
        <w:t>pm</w:t>
      </w:r>
      <w:r w:rsidR="00F579DE" w:rsidRPr="00205FE8">
        <w:t xml:space="preserve">, and the </w:t>
      </w:r>
      <w:r w:rsidR="008F04A2" w:rsidRPr="00205FE8">
        <w:t xml:space="preserve">five minute price </w:t>
      </w:r>
      <w:r w:rsidR="00F579DE" w:rsidRPr="00205FE8">
        <w:t xml:space="preserve">to </w:t>
      </w:r>
      <w:r w:rsidR="008F04A2" w:rsidRPr="00205FE8">
        <w:t>reach $</w:t>
      </w:r>
      <w:r w:rsidR="0067027E" w:rsidRPr="00205FE8">
        <w:t>4567</w:t>
      </w:r>
      <w:r w:rsidR="008F04A2" w:rsidRPr="00205FE8">
        <w:t xml:space="preserve">/MWh. </w:t>
      </w:r>
    </w:p>
    <w:p w:rsidR="008F04A2" w:rsidRPr="00205FE8" w:rsidRDefault="008F04A2">
      <w:pPr>
        <w:pStyle w:val="AERbodytext"/>
      </w:pPr>
      <w:r w:rsidRPr="00205FE8">
        <w:t xml:space="preserve">Prices returned to previous levels in the following dispatch interval due to a reduction in flow across the Sheffield to Georgetown 220 kV line and a demand side response from the </w:t>
      </w:r>
      <w:proofErr w:type="spellStart"/>
      <w:r w:rsidRPr="00205FE8">
        <w:t>Nyrstar</w:t>
      </w:r>
      <w:proofErr w:type="spellEnd"/>
      <w:r w:rsidRPr="00205FE8">
        <w:t xml:space="preserve"> smelter.</w:t>
      </w:r>
    </w:p>
    <w:p w:rsidR="008F04A2" w:rsidRPr="00205FE8" w:rsidRDefault="008F04A2">
      <w:pPr>
        <w:pStyle w:val="AERbodytext"/>
      </w:pPr>
      <w:r w:rsidRPr="00205FE8">
        <w:t>There was no significant rebidding.</w:t>
      </w:r>
    </w:p>
    <w:p w:rsidR="00E01743" w:rsidRPr="00B07D73" w:rsidRDefault="00E01743" w:rsidP="008F04A2">
      <w:pPr>
        <w:rPr>
          <w:rFonts w:ascii="Gautami" w:hAnsi="Gautami"/>
          <w:b/>
          <w:sz w:val="20"/>
          <w:lang w:eastAsia="en-US"/>
        </w:rPr>
      </w:pPr>
      <w:r w:rsidRPr="00B07D73">
        <w:rPr>
          <w:rFonts w:ascii="Gautami" w:hAnsi="Gautami"/>
          <w:b/>
          <w:sz w:val="20"/>
          <w:lang w:eastAsia="en-US"/>
        </w:rPr>
        <w:t xml:space="preserve">Table </w:t>
      </w:r>
      <w:r>
        <w:rPr>
          <w:rFonts w:ascii="Gautami" w:hAnsi="Gautami"/>
          <w:b/>
          <w:sz w:val="20"/>
          <w:lang w:eastAsia="en-US"/>
        </w:rPr>
        <w:t>5</w:t>
      </w:r>
      <w:r w:rsidRPr="00B07D73">
        <w:rPr>
          <w:rFonts w:ascii="Gautami" w:hAnsi="Gautami"/>
          <w:b/>
          <w:sz w:val="20"/>
          <w:lang w:eastAsia="en-US"/>
        </w:rPr>
        <w:t xml:space="preserve">: </w:t>
      </w:r>
      <w:r w:rsidR="00D53B8F">
        <w:rPr>
          <w:rFonts w:ascii="Gautami" w:hAnsi="Gautami"/>
          <w:b/>
          <w:sz w:val="20"/>
          <w:lang w:eastAsia="en-US"/>
        </w:rPr>
        <w:t>Thur</w:t>
      </w:r>
      <w:r w:rsidRPr="00B07D73">
        <w:rPr>
          <w:rFonts w:ascii="Gautami" w:hAnsi="Gautami"/>
          <w:b/>
          <w:sz w:val="20"/>
          <w:lang w:eastAsia="en-US"/>
        </w:rPr>
        <w:t>sday 2</w:t>
      </w:r>
      <w:r w:rsidR="00D53B8F">
        <w:rPr>
          <w:rFonts w:ascii="Gautami" w:hAnsi="Gautami"/>
          <w:b/>
          <w:sz w:val="20"/>
          <w:lang w:eastAsia="en-US"/>
        </w:rPr>
        <w:t>1</w:t>
      </w:r>
      <w:r w:rsidRPr="00B07D73">
        <w:rPr>
          <w:rFonts w:ascii="Gautami" w:hAnsi="Gautami"/>
          <w:b/>
          <w:sz w:val="20"/>
          <w:lang w:eastAsia="en-US"/>
        </w:rPr>
        <w:t xml:space="preserve"> August </w:t>
      </w:r>
    </w:p>
    <w:p w:rsidR="00E01743" w:rsidRPr="00B07D73" w:rsidRDefault="00E01743" w:rsidP="00E01743">
      <w:pPr>
        <w:rPr>
          <w:rFonts w:ascii="Gautami" w:hAnsi="Gautami"/>
          <w:sz w:val="20"/>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E01743" w:rsidRPr="00B07D73" w:rsidTr="00693366">
        <w:tc>
          <w:tcPr>
            <w:tcW w:w="527" w:type="pct"/>
            <w:tcBorders>
              <w:top w:val="single" w:sz="4" w:space="0" w:color="auto"/>
              <w:left w:val="single" w:sz="4" w:space="0" w:color="auto"/>
              <w:bottom w:val="nil"/>
            </w:tcBorders>
            <w:shd w:val="clear" w:color="auto" w:fill="4A442A"/>
            <w:noWrap/>
          </w:tcPr>
          <w:p w:rsidR="00E01743" w:rsidRPr="00B07D73" w:rsidRDefault="00E01743" w:rsidP="00693366">
            <w:pPr>
              <w:autoSpaceDE w:val="0"/>
              <w:autoSpaceDN w:val="0"/>
              <w:adjustRightInd w:val="0"/>
              <w:spacing w:before="100" w:after="100"/>
              <w:rPr>
                <w:rFonts w:ascii="Gautami" w:hAnsi="Gautami" w:cs="Gautami"/>
                <w:b/>
                <w:bCs/>
                <w:color w:val="FFFFFF"/>
                <w:sz w:val="16"/>
                <w:szCs w:val="16"/>
              </w:rPr>
            </w:pPr>
            <w:r w:rsidRPr="00B07D73">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E01743" w:rsidRPr="00B07D73" w:rsidRDefault="00E01743" w:rsidP="0069336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E01743" w:rsidRPr="00B07D73" w:rsidRDefault="00E01743" w:rsidP="0069336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E01743" w:rsidRPr="00B07D73" w:rsidRDefault="00E01743" w:rsidP="00693366">
            <w:pPr>
              <w:autoSpaceDE w:val="0"/>
              <w:autoSpaceDN w:val="0"/>
              <w:adjustRightInd w:val="0"/>
              <w:spacing w:before="100" w:after="100"/>
              <w:jc w:val="center"/>
              <w:rPr>
                <w:rFonts w:ascii="Gautami" w:hAnsi="Gautami" w:cs="Gautami"/>
                <w:b/>
                <w:bCs/>
                <w:color w:val="FFFFFF"/>
                <w:sz w:val="16"/>
                <w:szCs w:val="16"/>
              </w:rPr>
            </w:pPr>
            <w:r w:rsidRPr="00B07D73">
              <w:rPr>
                <w:rFonts w:ascii="Gautami" w:hAnsi="Gautami" w:cs="Gautami"/>
                <w:b/>
                <w:bCs/>
                <w:color w:val="FFFFFF"/>
                <w:sz w:val="16"/>
                <w:szCs w:val="16"/>
              </w:rPr>
              <w:t>Availability (MW)</w:t>
            </w:r>
          </w:p>
        </w:tc>
      </w:tr>
      <w:tr w:rsidR="00E01743" w:rsidRPr="00B07D73" w:rsidTr="00693366">
        <w:tc>
          <w:tcPr>
            <w:tcW w:w="527" w:type="pct"/>
            <w:tcBorders>
              <w:top w:val="nil"/>
              <w:left w:val="single" w:sz="4" w:space="0" w:color="auto"/>
              <w:bottom w:val="nil"/>
              <w:right w:val="single" w:sz="6" w:space="0" w:color="auto"/>
            </w:tcBorders>
            <w:shd w:val="clear" w:color="auto" w:fill="DDD9C3"/>
            <w:noWrap/>
          </w:tcPr>
          <w:p w:rsidR="00E01743" w:rsidRPr="00B07D73" w:rsidRDefault="00E01743" w:rsidP="0069336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Actual</w:t>
            </w:r>
          </w:p>
        </w:tc>
        <w:tc>
          <w:tcPr>
            <w:tcW w:w="497" w:type="pct"/>
            <w:tcBorders>
              <w:top w:val="nil"/>
              <w:left w:val="nil"/>
              <w:bottom w:val="nil"/>
              <w:right w:val="nil"/>
            </w:tcBorders>
            <w:shd w:val="clear" w:color="auto" w:fill="DDD9C3"/>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E01743" w:rsidRPr="00B07D73" w:rsidRDefault="00E01743" w:rsidP="00693366">
            <w:pPr>
              <w:autoSpaceDE w:val="0"/>
              <w:autoSpaceDN w:val="0"/>
              <w:adjustRightInd w:val="0"/>
              <w:spacing w:before="100" w:after="100"/>
              <w:jc w:val="center"/>
              <w:rPr>
                <w:rFonts w:ascii="Gautami" w:hAnsi="Gautami" w:cs="Gautami"/>
                <w:b/>
                <w:bCs/>
                <w:sz w:val="16"/>
                <w:szCs w:val="16"/>
              </w:rPr>
            </w:pPr>
            <w:r w:rsidRPr="00B07D73">
              <w:rPr>
                <w:rFonts w:ascii="Gautami" w:hAnsi="Gautami" w:cs="Gautami"/>
                <w:b/>
                <w:bCs/>
                <w:sz w:val="16"/>
                <w:szCs w:val="16"/>
              </w:rPr>
              <w:t>12 hr forecast</w:t>
            </w:r>
          </w:p>
        </w:tc>
      </w:tr>
      <w:tr w:rsidR="00E01743" w:rsidRPr="00B07D73" w:rsidTr="00693366">
        <w:tc>
          <w:tcPr>
            <w:tcW w:w="527" w:type="pct"/>
            <w:tcBorders>
              <w:top w:val="nil"/>
              <w:left w:val="single" w:sz="4" w:space="0" w:color="auto"/>
              <w:bottom w:val="single" w:sz="4" w:space="0" w:color="auto"/>
              <w:right w:val="single" w:sz="6" w:space="0" w:color="auto"/>
            </w:tcBorders>
            <w:shd w:val="clear" w:color="auto" w:fill="EEECE1"/>
            <w:noWrap/>
            <w:vAlign w:val="center"/>
          </w:tcPr>
          <w:p w:rsidR="00E01743" w:rsidRPr="00B07D73" w:rsidRDefault="00E01743" w:rsidP="00E01743">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6.00</w:t>
            </w:r>
            <w:r w:rsidRPr="00B07D73">
              <w:rPr>
                <w:rFonts w:ascii="Gautami" w:hAnsi="Gautami" w:cs="Gautami"/>
                <w:b/>
                <w:bCs/>
                <w:sz w:val="16"/>
                <w:szCs w:val="16"/>
              </w:rPr>
              <w:t> </w:t>
            </w:r>
            <w:r>
              <w:rPr>
                <w:rFonts w:ascii="Gautami" w:hAnsi="Gautami" w:cs="Gautami"/>
                <w:b/>
                <w:bCs/>
                <w:sz w:val="16"/>
                <w:szCs w:val="16"/>
              </w:rPr>
              <w:t>P</w:t>
            </w:r>
            <w:r w:rsidRPr="00B07D73">
              <w:rPr>
                <w:rFonts w:ascii="Gautami" w:hAnsi="Gautami" w:cs="Gautami"/>
                <w:b/>
                <w:bCs/>
                <w:sz w:val="16"/>
                <w:szCs w:val="16"/>
              </w:rPr>
              <w:t>M</w:t>
            </w:r>
          </w:p>
        </w:tc>
        <w:tc>
          <w:tcPr>
            <w:tcW w:w="497" w:type="pct"/>
            <w:tcBorders>
              <w:top w:val="nil"/>
              <w:left w:val="single" w:sz="6" w:space="0" w:color="auto"/>
              <w:bottom w:val="single" w:sz="4" w:space="0" w:color="auto"/>
              <w:right w:val="nil"/>
            </w:tcBorders>
            <w:shd w:val="clear" w:color="auto" w:fill="EEECE1"/>
            <w:noWrap/>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2277.62</w:t>
            </w:r>
          </w:p>
        </w:tc>
        <w:tc>
          <w:tcPr>
            <w:tcW w:w="497" w:type="pct"/>
            <w:tcBorders>
              <w:top w:val="nil"/>
              <w:left w:val="nil"/>
              <w:bottom w:val="single" w:sz="4" w:space="0" w:color="auto"/>
              <w:right w:val="nil"/>
            </w:tcBorders>
            <w:shd w:val="clear" w:color="auto" w:fill="EEECE1"/>
            <w:noWrap/>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36.06</w:t>
            </w:r>
          </w:p>
        </w:tc>
        <w:tc>
          <w:tcPr>
            <w:tcW w:w="497" w:type="pct"/>
            <w:tcBorders>
              <w:top w:val="nil"/>
              <w:left w:val="nil"/>
              <w:bottom w:val="single" w:sz="4" w:space="0" w:color="auto"/>
              <w:right w:val="single" w:sz="6" w:space="0" w:color="auto"/>
            </w:tcBorders>
            <w:shd w:val="clear" w:color="auto" w:fill="EEECE1"/>
            <w:noWrap/>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40.81</w:t>
            </w:r>
          </w:p>
        </w:tc>
        <w:tc>
          <w:tcPr>
            <w:tcW w:w="497" w:type="pct"/>
            <w:tcBorders>
              <w:top w:val="nil"/>
              <w:left w:val="single" w:sz="6" w:space="0" w:color="auto"/>
              <w:bottom w:val="single" w:sz="4" w:space="0" w:color="auto"/>
              <w:right w:val="nil"/>
            </w:tcBorders>
            <w:shd w:val="clear" w:color="auto" w:fill="EEECE1"/>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1327</w:t>
            </w:r>
          </w:p>
        </w:tc>
        <w:tc>
          <w:tcPr>
            <w:tcW w:w="497" w:type="pct"/>
            <w:tcBorders>
              <w:top w:val="nil"/>
              <w:left w:val="nil"/>
              <w:bottom w:val="single" w:sz="4" w:space="0" w:color="auto"/>
              <w:right w:val="nil"/>
            </w:tcBorders>
            <w:shd w:val="clear" w:color="auto" w:fill="EEECE1"/>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1273</w:t>
            </w:r>
          </w:p>
        </w:tc>
        <w:tc>
          <w:tcPr>
            <w:tcW w:w="497" w:type="pct"/>
            <w:tcBorders>
              <w:top w:val="nil"/>
              <w:left w:val="nil"/>
              <w:bottom w:val="single" w:sz="4" w:space="0" w:color="auto"/>
              <w:right w:val="single" w:sz="6" w:space="0" w:color="auto"/>
            </w:tcBorders>
            <w:shd w:val="clear" w:color="auto" w:fill="EEECE1"/>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1397</w:t>
            </w:r>
          </w:p>
        </w:tc>
        <w:tc>
          <w:tcPr>
            <w:tcW w:w="497" w:type="pct"/>
            <w:tcBorders>
              <w:top w:val="nil"/>
              <w:left w:val="single" w:sz="6" w:space="0" w:color="auto"/>
              <w:bottom w:val="single" w:sz="4" w:space="0" w:color="auto"/>
              <w:right w:val="nil"/>
            </w:tcBorders>
            <w:shd w:val="clear" w:color="auto" w:fill="EEECE1"/>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1936</w:t>
            </w:r>
          </w:p>
        </w:tc>
        <w:tc>
          <w:tcPr>
            <w:tcW w:w="497" w:type="pct"/>
            <w:tcBorders>
              <w:top w:val="nil"/>
              <w:left w:val="nil"/>
              <w:bottom w:val="single" w:sz="4" w:space="0" w:color="auto"/>
              <w:right w:val="nil"/>
            </w:tcBorders>
            <w:shd w:val="clear" w:color="auto" w:fill="EEECE1"/>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1938</w:t>
            </w:r>
          </w:p>
        </w:tc>
        <w:tc>
          <w:tcPr>
            <w:tcW w:w="497" w:type="pct"/>
            <w:tcBorders>
              <w:top w:val="nil"/>
              <w:left w:val="nil"/>
              <w:bottom w:val="single" w:sz="4" w:space="0" w:color="auto"/>
              <w:right w:val="single" w:sz="4" w:space="0" w:color="auto"/>
            </w:tcBorders>
            <w:shd w:val="clear" w:color="auto" w:fill="EEECE1"/>
            <w:vAlign w:val="center"/>
          </w:tcPr>
          <w:p w:rsidR="00E01743" w:rsidRPr="00B07D73" w:rsidRDefault="00E01743" w:rsidP="00693366">
            <w:pPr>
              <w:jc w:val="center"/>
              <w:rPr>
                <w:rFonts w:ascii="Gautami" w:hAnsi="Gautami" w:cs="Gautami"/>
                <w:sz w:val="16"/>
                <w:szCs w:val="16"/>
              </w:rPr>
            </w:pPr>
            <w:r>
              <w:rPr>
                <w:rFonts w:ascii="Gautami" w:hAnsi="Gautami" w:cs="Gautami"/>
                <w:sz w:val="16"/>
                <w:szCs w:val="16"/>
              </w:rPr>
              <w:t>1938</w:t>
            </w:r>
          </w:p>
        </w:tc>
      </w:tr>
    </w:tbl>
    <w:p w:rsidR="00E01743" w:rsidRPr="0067427F" w:rsidRDefault="00E01743" w:rsidP="00E01743">
      <w:pPr>
        <w:pStyle w:val="AERbodytext"/>
        <w:rPr>
          <w:highlight w:val="yellow"/>
        </w:rPr>
      </w:pPr>
    </w:p>
    <w:p w:rsidR="00E01743" w:rsidRPr="00205FE8" w:rsidRDefault="00E01743" w:rsidP="00205FE8">
      <w:pPr>
        <w:pStyle w:val="AERbodytext"/>
      </w:pPr>
      <w:r w:rsidRPr="00205FE8">
        <w:t xml:space="preserve">Actual demand was slightly </w:t>
      </w:r>
      <w:r w:rsidR="00B96881" w:rsidRPr="00205FE8">
        <w:t xml:space="preserve">higher than </w:t>
      </w:r>
      <w:r w:rsidRPr="00205FE8">
        <w:t xml:space="preserve">forecast </w:t>
      </w:r>
      <w:r w:rsidR="00B96881" w:rsidRPr="00205FE8">
        <w:t xml:space="preserve">four hours ahead </w:t>
      </w:r>
      <w:r w:rsidRPr="00205FE8">
        <w:t xml:space="preserve">and available capacity was </w:t>
      </w:r>
      <w:r w:rsidR="00B96881" w:rsidRPr="00B431CD">
        <w:t>close to</w:t>
      </w:r>
      <w:r w:rsidRPr="00205FE8">
        <w:t xml:space="preserve"> forecast. </w:t>
      </w:r>
    </w:p>
    <w:p w:rsidR="000E1EA0" w:rsidRPr="00205FE8" w:rsidRDefault="000E1EA0" w:rsidP="00B431CD">
      <w:pPr>
        <w:pStyle w:val="AERbodytext"/>
      </w:pPr>
      <w:r w:rsidRPr="00205FE8">
        <w:t xml:space="preserve">An increase in flows across the Sheffield to Georgetown </w:t>
      </w:r>
      <w:r w:rsidR="00F1452E" w:rsidRPr="00205FE8">
        <w:t>220</w:t>
      </w:r>
      <w:r w:rsidR="00F1452E" w:rsidRPr="00205FE8">
        <w:rPr>
          <w:rFonts w:hint="eastAsia"/>
        </w:rPr>
        <w:t> </w:t>
      </w:r>
      <w:r w:rsidRPr="00205FE8">
        <w:t>kV line caused the T&gt;&gt;T_NIL_BL_EXP_6E constraint to bind, causing generation in Tasmania to be constrained off. The constraint (which is a system normal constraint) manages post contingent flows on the Sheffield to Georgetown 220</w:t>
      </w:r>
      <w:r w:rsidRPr="00205FE8">
        <w:rPr>
          <w:rFonts w:hint="eastAsia"/>
        </w:rPr>
        <w:t> </w:t>
      </w:r>
      <w:r w:rsidRPr="00205FE8">
        <w:t xml:space="preserve">kV lines, preventing an overload on the parallel line in the event of a trip. The constraint affects all Tasmanian generation except for generation at Tamar Valley (which was offline) and forces exports into Victoria across Basslink. </w:t>
      </w:r>
    </w:p>
    <w:p w:rsidR="00C92F2D" w:rsidRPr="00205FE8" w:rsidRDefault="00C92F2D">
      <w:pPr>
        <w:pStyle w:val="AERbodytext"/>
      </w:pPr>
      <w:r w:rsidRPr="00205FE8">
        <w:t xml:space="preserve">Exports to Victoria reduced from </w:t>
      </w:r>
      <w:r w:rsidR="00F579DE" w:rsidRPr="00205FE8">
        <w:t>187</w:t>
      </w:r>
      <w:r w:rsidRPr="00205FE8">
        <w:rPr>
          <w:rFonts w:hint="eastAsia"/>
        </w:rPr>
        <w:t> </w:t>
      </w:r>
      <w:r w:rsidRPr="00205FE8">
        <w:t xml:space="preserve">MW at </w:t>
      </w:r>
      <w:r w:rsidR="00F579DE" w:rsidRPr="00205FE8">
        <w:t>5</w:t>
      </w:r>
      <w:r w:rsidRPr="00205FE8">
        <w:t>.</w:t>
      </w:r>
      <w:r w:rsidR="00F1452E" w:rsidRPr="00205FE8">
        <w:t>55</w:t>
      </w:r>
      <w:r w:rsidR="00F1452E" w:rsidRPr="00205FE8">
        <w:rPr>
          <w:rFonts w:hint="eastAsia"/>
        </w:rPr>
        <w:t> </w:t>
      </w:r>
      <w:r w:rsidRPr="00205FE8">
        <w:t xml:space="preserve">pm to </w:t>
      </w:r>
      <w:r w:rsidR="00F579DE" w:rsidRPr="00205FE8">
        <w:t>26</w:t>
      </w:r>
      <w:r w:rsidRPr="00205FE8">
        <w:rPr>
          <w:rFonts w:hint="eastAsia"/>
        </w:rPr>
        <w:t> </w:t>
      </w:r>
      <w:r w:rsidRPr="00205FE8">
        <w:t>MW at 6</w:t>
      </w:r>
      <w:r w:rsidR="00F579DE" w:rsidRPr="00205FE8">
        <w:rPr>
          <w:rFonts w:hint="eastAsia"/>
        </w:rPr>
        <w:t> </w:t>
      </w:r>
      <w:r w:rsidRPr="00205FE8">
        <w:t xml:space="preserve">pm. With generators either stranded or trapped in FCAS or offline, Tasmanian generation reduced by </w:t>
      </w:r>
      <w:r w:rsidR="00F579DE" w:rsidRPr="00205FE8">
        <w:t>154</w:t>
      </w:r>
      <w:r w:rsidRPr="00205FE8">
        <w:rPr>
          <w:rFonts w:hint="eastAsia"/>
        </w:rPr>
        <w:t> </w:t>
      </w:r>
      <w:r w:rsidRPr="00205FE8">
        <w:t xml:space="preserve">MW. However, this was not enough to </w:t>
      </w:r>
      <w:r w:rsidR="00F0360D" w:rsidRPr="00205FE8">
        <w:t xml:space="preserve">prevent the </w:t>
      </w:r>
      <w:r w:rsidRPr="00205FE8">
        <w:t>constraint violat</w:t>
      </w:r>
      <w:r w:rsidR="00F0360D" w:rsidRPr="00205FE8">
        <w:t>ing</w:t>
      </w:r>
      <w:r w:rsidRPr="00205FE8">
        <w:t xml:space="preserve"> at 6</w:t>
      </w:r>
      <w:r w:rsidRPr="00205FE8">
        <w:rPr>
          <w:rFonts w:hint="eastAsia"/>
        </w:rPr>
        <w:t> </w:t>
      </w:r>
      <w:r w:rsidRPr="00205FE8">
        <w:t>pm</w:t>
      </w:r>
      <w:r w:rsidR="00F579DE" w:rsidRPr="00205FE8">
        <w:t xml:space="preserve"> and the </w:t>
      </w:r>
      <w:r w:rsidRPr="00205FE8">
        <w:t xml:space="preserve">five minute price </w:t>
      </w:r>
      <w:r w:rsidR="00F579DE" w:rsidRPr="00205FE8">
        <w:t>to increase from $35/MWh at 5.55</w:t>
      </w:r>
      <w:r w:rsidR="00F579DE" w:rsidRPr="00205FE8">
        <w:rPr>
          <w:rFonts w:hint="eastAsia"/>
        </w:rPr>
        <w:t> </w:t>
      </w:r>
      <w:r w:rsidR="00F579DE" w:rsidRPr="00205FE8">
        <w:t>pm to price cap at 6</w:t>
      </w:r>
      <w:r w:rsidR="00F579DE" w:rsidRPr="00205FE8">
        <w:rPr>
          <w:rFonts w:hint="eastAsia"/>
        </w:rPr>
        <w:t> </w:t>
      </w:r>
      <w:r w:rsidR="00F579DE" w:rsidRPr="00205FE8">
        <w:t xml:space="preserve">pm. </w:t>
      </w:r>
    </w:p>
    <w:p w:rsidR="000E1EA0" w:rsidRPr="00205FE8" w:rsidRDefault="00F579DE">
      <w:pPr>
        <w:pStyle w:val="AERbodytext"/>
      </w:pPr>
      <w:r w:rsidRPr="00205FE8">
        <w:t>The dispatch price fell to $46/MWh at 6.05</w:t>
      </w:r>
      <w:r w:rsidRPr="00205FE8">
        <w:rPr>
          <w:rFonts w:hint="eastAsia"/>
        </w:rPr>
        <w:t> </w:t>
      </w:r>
      <w:r w:rsidRPr="00205FE8">
        <w:t xml:space="preserve">pm </w:t>
      </w:r>
      <w:r w:rsidR="00265ACF" w:rsidRPr="00205FE8">
        <w:t xml:space="preserve">due to a reduction in flow across the Sheffield to Georgetown </w:t>
      </w:r>
      <w:r w:rsidR="00F1452E" w:rsidRPr="00205FE8">
        <w:t>220</w:t>
      </w:r>
      <w:r w:rsidR="00F1452E" w:rsidRPr="00205FE8">
        <w:rPr>
          <w:rFonts w:hint="eastAsia"/>
        </w:rPr>
        <w:t> </w:t>
      </w:r>
      <w:r w:rsidR="00265ACF" w:rsidRPr="00205FE8">
        <w:t xml:space="preserve">kV line. </w:t>
      </w:r>
    </w:p>
    <w:p w:rsidR="00265ACF" w:rsidRPr="00205FE8" w:rsidRDefault="00265ACF">
      <w:pPr>
        <w:pStyle w:val="AERbodytext"/>
      </w:pPr>
      <w:r w:rsidRPr="00205FE8">
        <w:t>There was no significant rebidding.</w:t>
      </w:r>
    </w:p>
    <w:p w:rsidR="00E96C5A" w:rsidRPr="002D23B9" w:rsidRDefault="00E96C5A" w:rsidP="00C81890">
      <w:pPr>
        <w:pStyle w:val="Heading2"/>
        <w:rPr>
          <w:color w:val="auto"/>
        </w:rPr>
      </w:pPr>
      <w:r w:rsidRPr="002D23B9">
        <w:rPr>
          <w:color w:val="auto"/>
        </w:rPr>
        <w:t>Financial markets</w:t>
      </w:r>
    </w:p>
    <w:p w:rsidR="00E96C5A" w:rsidRPr="00B431CD" w:rsidRDefault="0078358A" w:rsidP="00205FE8">
      <w:pPr>
        <w:pStyle w:val="AERbodytext"/>
      </w:pPr>
      <w:r w:rsidRPr="00205FE8">
        <w:t>Figure 9</w:t>
      </w:r>
      <w:r w:rsidR="00E96C5A" w:rsidRPr="00205FE8">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9</w:t>
      </w:r>
      <w:r w:rsidR="00E96C5A" w:rsidRPr="00AA6275">
        <w:rPr>
          <w:color w:val="000000" w:themeColor="text1"/>
        </w:rPr>
        <w:t xml:space="preserve">: Quarterly base future prices </w:t>
      </w:r>
      <w:r w:rsidR="00BB0611" w:rsidRPr="00AA6275">
        <w:rPr>
          <w:color w:val="000000" w:themeColor="text1"/>
        </w:rPr>
        <w:t>Q</w:t>
      </w:r>
      <w:r w:rsidR="00B72454">
        <w:rPr>
          <w:color w:val="000000" w:themeColor="text1"/>
        </w:rPr>
        <w:t>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B72454">
        <w:rPr>
          <w:color w:val="000000" w:themeColor="text1"/>
        </w:rPr>
        <w:t>2</w:t>
      </w:r>
      <w:r w:rsidR="00BB0611" w:rsidRPr="00AA6275">
        <w:rPr>
          <w:color w:val="000000" w:themeColor="text1"/>
        </w:rPr>
        <w:t xml:space="preserve"> 2018</w:t>
      </w:r>
    </w:p>
    <w:p w:rsidR="00E96C5A" w:rsidRPr="002D23B9" w:rsidRDefault="0094612C"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31pt;height:217.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05FE8" w:rsidRDefault="0078358A" w:rsidP="00102C3B">
      <w:pPr>
        <w:pStyle w:val="AERbodytext"/>
      </w:pPr>
      <w:r w:rsidRPr="00205FE8">
        <w:t>Figure 10</w:t>
      </w:r>
      <w:r w:rsidR="0097000C" w:rsidRPr="00205FE8">
        <w:t xml:space="preserve"> shows how the price for each regional Quarter 1 201</w:t>
      </w:r>
      <w:r w:rsidR="00754FF0" w:rsidRPr="00205FE8">
        <w:t>5</w:t>
      </w:r>
      <w:r w:rsidR="0097000C" w:rsidRPr="00205FE8">
        <w:t xml:space="preserve"> base contract has changed over the last 10 weeks (as well as the total number of trades each week). The closing quarter 1 201</w:t>
      </w:r>
      <w:r w:rsidR="00754FF0" w:rsidRPr="00B431CD">
        <w:t>3</w:t>
      </w:r>
      <w:r w:rsidR="0097000C" w:rsidRPr="00205FE8">
        <w:t xml:space="preserve"> and quarter 1 201</w:t>
      </w:r>
      <w:r w:rsidR="00754FF0" w:rsidRPr="00205FE8">
        <w:t>4</w:t>
      </w:r>
      <w:r w:rsidR="0097000C" w:rsidRPr="00205FE8">
        <w:t xml:space="preserve"> prices are also shown. The AER notes that data for South Australia is less reliable due to very low numbers of trades.</w:t>
      </w:r>
      <w:r w:rsidR="007354CE" w:rsidRPr="00205FE8">
        <w:t xml:space="preserve"> </w:t>
      </w:r>
    </w:p>
    <w:p w:rsidR="00E96C5A" w:rsidRPr="00AA6275" w:rsidRDefault="00E96C5A" w:rsidP="0094615C">
      <w:pPr>
        <w:pStyle w:val="Figureheading"/>
        <w:numPr>
          <w:ilvl w:val="0"/>
          <w:numId w:val="0"/>
        </w:numPr>
        <w:spacing w:before="0" w:after="0" w:line="240" w:lineRule="auto"/>
        <w:ind w:left="357" w:hanging="357"/>
        <w:rPr>
          <w:color w:val="000000" w:themeColor="text1"/>
        </w:rPr>
      </w:pPr>
      <w:r w:rsidRPr="00AC2017">
        <w:rPr>
          <w:color w:val="000000" w:themeColor="text1"/>
        </w:rPr>
        <w:t xml:space="preserve">Figure </w:t>
      </w:r>
      <w:r w:rsidR="0078358A" w:rsidRPr="00AC2017">
        <w:rPr>
          <w:color w:val="000000" w:themeColor="text1"/>
        </w:rPr>
        <w:t>10</w:t>
      </w:r>
      <w:r w:rsidRPr="00AC2017">
        <w:rPr>
          <w:color w:val="000000" w:themeColor="text1"/>
        </w:rPr>
        <w:t>: Price of Q1 201</w:t>
      </w:r>
      <w:r w:rsidR="00754FF0" w:rsidRPr="00AC2017">
        <w:rPr>
          <w:color w:val="000000" w:themeColor="text1"/>
        </w:rPr>
        <w:t>5</w:t>
      </w:r>
      <w:r w:rsidRPr="00AC2017">
        <w:rPr>
          <w:color w:val="000000" w:themeColor="text1"/>
        </w:rPr>
        <w:t xml:space="preserve"> base contracts over the past 10 weeks (and the past 2 years)</w:t>
      </w:r>
    </w:p>
    <w:p w:rsidR="00E96C5A" w:rsidRPr="002D23B9" w:rsidRDefault="0094612C" w:rsidP="0094615C">
      <w:pPr>
        <w:pStyle w:val="AERbodytext"/>
        <w:spacing w:after="120" w:line="240" w:lineRule="auto"/>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31pt;height:218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94615C">
      <w:pPr>
        <w:pStyle w:val="Sourceandnotes"/>
        <w:spacing w:before="0" w:after="120"/>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426950">
      <w:pPr>
        <w:pStyle w:val="AERbodytext"/>
        <w:spacing w:after="120"/>
      </w:pPr>
      <w:r w:rsidRPr="00205FE8">
        <w:t>Prices of other financial products (including longer-term price trends) are available in the</w:t>
      </w:r>
      <w:r w:rsidRPr="002D23B9">
        <w:t xml:space="preserv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05FE8" w:rsidRDefault="0097000C" w:rsidP="00102C3B">
      <w:pPr>
        <w:pStyle w:val="AERbodytext"/>
      </w:pPr>
      <w:r w:rsidRPr="00205FE8">
        <w:t>Figure 1</w:t>
      </w:r>
      <w:r w:rsidR="0078358A" w:rsidRPr="00B431CD">
        <w:t>1</w:t>
      </w:r>
      <w:r w:rsidRPr="00205FE8">
        <w:t xml:space="preserve"> shows how the price for each regional Quarter 1 201</w:t>
      </w:r>
      <w:r w:rsidR="00754FF0" w:rsidRPr="00205FE8">
        <w:t>5</w:t>
      </w:r>
      <w:r w:rsidRPr="00205FE8">
        <w:t xml:space="preserve"> cap contract has changed over the last 10 weeks (as well as the total number of trades each week). The closing quarter 1 201</w:t>
      </w:r>
      <w:r w:rsidR="00754FF0" w:rsidRPr="00205FE8">
        <w:t>3</w:t>
      </w:r>
      <w:r w:rsidRPr="00205FE8">
        <w:t xml:space="preserve"> and quarter 1 201</w:t>
      </w:r>
      <w:r w:rsidR="00754FF0" w:rsidRPr="00205FE8">
        <w:t>4</w:t>
      </w:r>
      <w:r w:rsidRPr="00205FE8">
        <w:t xml:space="preserve"> prices are also shown.</w:t>
      </w:r>
      <w:r w:rsidR="00E96C5A" w:rsidRPr="00205FE8">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94612C"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31pt;height:216.5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593FFC" w:rsidRDefault="00E96C5A" w:rsidP="00E96C5A">
      <w:pPr>
        <w:pStyle w:val="AERbodytext"/>
        <w:keepNext/>
        <w:spacing w:after="120" w:line="240" w:lineRule="auto"/>
        <w:jc w:val="left"/>
        <w:rPr>
          <w:b/>
        </w:rPr>
      </w:pPr>
      <w:r w:rsidRPr="00593FFC">
        <w:rPr>
          <w:b/>
        </w:rPr>
        <w:t>Australian Energy Regulator</w:t>
      </w:r>
    </w:p>
    <w:p w:rsidR="00E96C5A" w:rsidRPr="00E43512" w:rsidRDefault="00AC2017" w:rsidP="00E43512">
      <w:pPr>
        <w:pStyle w:val="AERbodytext"/>
        <w:rPr>
          <w:b/>
        </w:rPr>
      </w:pPr>
      <w:r>
        <w:rPr>
          <w:b/>
        </w:rPr>
        <w:t>September</w:t>
      </w:r>
      <w:r w:rsidR="00C47889" w:rsidRPr="00E43512">
        <w:rPr>
          <w:b/>
        </w:rPr>
        <w:t xml:space="preserve"> </w:t>
      </w:r>
      <w:r w:rsidR="0097000C" w:rsidRPr="00E43512">
        <w:rPr>
          <w:b/>
        </w:rPr>
        <w:t>2014</w:t>
      </w:r>
    </w:p>
    <w:sectPr w:rsidR="00E96C5A" w:rsidRPr="00E43512" w:rsidSect="00657719">
      <w:footerReference w:type="default" r:id="rId25"/>
      <w:footerReference w:type="first" r:id="rId26"/>
      <w:type w:val="continuous"/>
      <w:pgSz w:w="11906" w:h="16838" w:code="9"/>
      <w:pgMar w:top="851" w:right="1841" w:bottom="567" w:left="1440" w:header="709"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006F36">
      <w:rPr>
        <w:rStyle w:val="PageNumber"/>
        <w:noProof/>
      </w:rPr>
      <w:t>10</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833C42">
      <w:rPr>
        <w:rFonts w:ascii="Arial" w:hAnsi="Arial" w:cs="Arial"/>
        <w:sz w:val="18"/>
        <w:szCs w:val="18"/>
      </w:rPr>
      <w:t>D14/</w:t>
    </w:r>
    <w:r w:rsidR="00753FA2">
      <w:rPr>
        <w:rFonts w:ascii="Arial" w:hAnsi="Arial" w:cs="Arial"/>
        <w:sz w:val="18"/>
        <w:szCs w:val="18"/>
      </w:rPr>
      <w:t>11</w:t>
    </w:r>
    <w:r w:rsidR="00452AC1">
      <w:rPr>
        <w:rFonts w:ascii="Arial" w:hAnsi="Arial" w:cs="Arial"/>
        <w:sz w:val="18"/>
        <w:szCs w:val="18"/>
      </w:rPr>
      <w:t>9860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679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shall\20140817 - 20140823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5BCD"/>
    <w:rsid w:val="000060ED"/>
    <w:rsid w:val="00006183"/>
    <w:rsid w:val="00006417"/>
    <w:rsid w:val="00006681"/>
    <w:rsid w:val="000066D8"/>
    <w:rsid w:val="0000685A"/>
    <w:rsid w:val="000068EC"/>
    <w:rsid w:val="00006CB5"/>
    <w:rsid w:val="00006E66"/>
    <w:rsid w:val="00006F36"/>
    <w:rsid w:val="000070D2"/>
    <w:rsid w:val="000078B2"/>
    <w:rsid w:val="00007A05"/>
    <w:rsid w:val="00007DEC"/>
    <w:rsid w:val="000107D8"/>
    <w:rsid w:val="00010C72"/>
    <w:rsid w:val="000110D5"/>
    <w:rsid w:val="000110E1"/>
    <w:rsid w:val="0001166B"/>
    <w:rsid w:val="00011751"/>
    <w:rsid w:val="00011913"/>
    <w:rsid w:val="00011D51"/>
    <w:rsid w:val="000125FD"/>
    <w:rsid w:val="0001277E"/>
    <w:rsid w:val="00012C8B"/>
    <w:rsid w:val="00012F07"/>
    <w:rsid w:val="0001307D"/>
    <w:rsid w:val="000139F3"/>
    <w:rsid w:val="000140DC"/>
    <w:rsid w:val="0001430A"/>
    <w:rsid w:val="000145B9"/>
    <w:rsid w:val="00014B8F"/>
    <w:rsid w:val="00015040"/>
    <w:rsid w:val="00015050"/>
    <w:rsid w:val="000158C2"/>
    <w:rsid w:val="000161BF"/>
    <w:rsid w:val="00016303"/>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374"/>
    <w:rsid w:val="00025D45"/>
    <w:rsid w:val="00025D77"/>
    <w:rsid w:val="00025E0E"/>
    <w:rsid w:val="00025FB3"/>
    <w:rsid w:val="0002602A"/>
    <w:rsid w:val="000260E2"/>
    <w:rsid w:val="000261A3"/>
    <w:rsid w:val="000261BD"/>
    <w:rsid w:val="0002626E"/>
    <w:rsid w:val="000263C1"/>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C2"/>
    <w:rsid w:val="000356D8"/>
    <w:rsid w:val="0003586E"/>
    <w:rsid w:val="00035C9F"/>
    <w:rsid w:val="000360CE"/>
    <w:rsid w:val="0003617E"/>
    <w:rsid w:val="000366A0"/>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78"/>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1C16"/>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B9F"/>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233"/>
    <w:rsid w:val="00086527"/>
    <w:rsid w:val="00086713"/>
    <w:rsid w:val="0008677A"/>
    <w:rsid w:val="000869F3"/>
    <w:rsid w:val="00086C5B"/>
    <w:rsid w:val="00086F1D"/>
    <w:rsid w:val="00087248"/>
    <w:rsid w:val="0008724D"/>
    <w:rsid w:val="00087974"/>
    <w:rsid w:val="00087AB5"/>
    <w:rsid w:val="00087B72"/>
    <w:rsid w:val="00087C4F"/>
    <w:rsid w:val="00087F3F"/>
    <w:rsid w:val="00090235"/>
    <w:rsid w:val="00090394"/>
    <w:rsid w:val="000906F1"/>
    <w:rsid w:val="0009081C"/>
    <w:rsid w:val="00090B67"/>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29A7"/>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4AE"/>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5ED8"/>
    <w:rsid w:val="000C606D"/>
    <w:rsid w:val="000C6180"/>
    <w:rsid w:val="000C65BC"/>
    <w:rsid w:val="000C6CB7"/>
    <w:rsid w:val="000C738D"/>
    <w:rsid w:val="000C7A04"/>
    <w:rsid w:val="000C7C7F"/>
    <w:rsid w:val="000D00E7"/>
    <w:rsid w:val="000D039C"/>
    <w:rsid w:val="000D03EF"/>
    <w:rsid w:val="000D08EF"/>
    <w:rsid w:val="000D0913"/>
    <w:rsid w:val="000D0CA1"/>
    <w:rsid w:val="000D132A"/>
    <w:rsid w:val="000D16BF"/>
    <w:rsid w:val="000D18F3"/>
    <w:rsid w:val="000D1AD4"/>
    <w:rsid w:val="000D1FAC"/>
    <w:rsid w:val="000D205E"/>
    <w:rsid w:val="000D27C2"/>
    <w:rsid w:val="000D28FF"/>
    <w:rsid w:val="000D2EC0"/>
    <w:rsid w:val="000D34DD"/>
    <w:rsid w:val="000D3510"/>
    <w:rsid w:val="000D3769"/>
    <w:rsid w:val="000D3D28"/>
    <w:rsid w:val="000D41CE"/>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01"/>
    <w:rsid w:val="000E1B63"/>
    <w:rsid w:val="000E1CFC"/>
    <w:rsid w:val="000E1EA0"/>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6AD"/>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2C3B"/>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B23"/>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468"/>
    <w:rsid w:val="0011452E"/>
    <w:rsid w:val="00114583"/>
    <w:rsid w:val="00114759"/>
    <w:rsid w:val="00114D18"/>
    <w:rsid w:val="001152D7"/>
    <w:rsid w:val="00115549"/>
    <w:rsid w:val="0011593C"/>
    <w:rsid w:val="001159E5"/>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2ECD"/>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4D7"/>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5DA"/>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CBF"/>
    <w:rsid w:val="00153EE5"/>
    <w:rsid w:val="00154192"/>
    <w:rsid w:val="00154FE1"/>
    <w:rsid w:val="0015597D"/>
    <w:rsid w:val="00155A20"/>
    <w:rsid w:val="00155B20"/>
    <w:rsid w:val="00155B70"/>
    <w:rsid w:val="00155CDE"/>
    <w:rsid w:val="00155D6E"/>
    <w:rsid w:val="00156276"/>
    <w:rsid w:val="0015629C"/>
    <w:rsid w:val="00156896"/>
    <w:rsid w:val="001568A0"/>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A36"/>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9CF"/>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29F"/>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97C"/>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6DBC"/>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959"/>
    <w:rsid w:val="001C2BEF"/>
    <w:rsid w:val="001C2D86"/>
    <w:rsid w:val="001C2ED3"/>
    <w:rsid w:val="001C32AF"/>
    <w:rsid w:val="001C3550"/>
    <w:rsid w:val="001C41EC"/>
    <w:rsid w:val="001C4876"/>
    <w:rsid w:val="001C4ECE"/>
    <w:rsid w:val="001C5302"/>
    <w:rsid w:val="001C53BD"/>
    <w:rsid w:val="001C54AF"/>
    <w:rsid w:val="001C5582"/>
    <w:rsid w:val="001C579A"/>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526"/>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5D17"/>
    <w:rsid w:val="001E6564"/>
    <w:rsid w:val="001E6672"/>
    <w:rsid w:val="001E67C8"/>
    <w:rsid w:val="001E6CF7"/>
    <w:rsid w:val="001E6F02"/>
    <w:rsid w:val="001E6F4F"/>
    <w:rsid w:val="001E7099"/>
    <w:rsid w:val="001E71BF"/>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5FE8"/>
    <w:rsid w:val="00206242"/>
    <w:rsid w:val="00206743"/>
    <w:rsid w:val="00206901"/>
    <w:rsid w:val="00206B26"/>
    <w:rsid w:val="00207360"/>
    <w:rsid w:val="002076A5"/>
    <w:rsid w:val="00207B67"/>
    <w:rsid w:val="00210403"/>
    <w:rsid w:val="00210588"/>
    <w:rsid w:val="00210A3D"/>
    <w:rsid w:val="00210FB5"/>
    <w:rsid w:val="002119A0"/>
    <w:rsid w:val="00211E13"/>
    <w:rsid w:val="002120BD"/>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210"/>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C91"/>
    <w:rsid w:val="00255D14"/>
    <w:rsid w:val="00255D55"/>
    <w:rsid w:val="002568F5"/>
    <w:rsid w:val="002569F3"/>
    <w:rsid w:val="00256A2A"/>
    <w:rsid w:val="00256EE5"/>
    <w:rsid w:val="00256F9C"/>
    <w:rsid w:val="00256FAB"/>
    <w:rsid w:val="00257CE6"/>
    <w:rsid w:val="00257D0A"/>
    <w:rsid w:val="00257D2A"/>
    <w:rsid w:val="00260063"/>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ACF"/>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6D7"/>
    <w:rsid w:val="002768DE"/>
    <w:rsid w:val="002768DF"/>
    <w:rsid w:val="00276916"/>
    <w:rsid w:val="00276C91"/>
    <w:rsid w:val="00276D8A"/>
    <w:rsid w:val="00276FD3"/>
    <w:rsid w:val="002770D0"/>
    <w:rsid w:val="0027727C"/>
    <w:rsid w:val="0027762B"/>
    <w:rsid w:val="0027787F"/>
    <w:rsid w:val="00277A6C"/>
    <w:rsid w:val="00277A82"/>
    <w:rsid w:val="00277B17"/>
    <w:rsid w:val="00277E33"/>
    <w:rsid w:val="0028071D"/>
    <w:rsid w:val="0028077E"/>
    <w:rsid w:val="0028080B"/>
    <w:rsid w:val="00280A5C"/>
    <w:rsid w:val="00280C7A"/>
    <w:rsid w:val="00280D63"/>
    <w:rsid w:val="00280DC1"/>
    <w:rsid w:val="00281257"/>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67"/>
    <w:rsid w:val="00290AF1"/>
    <w:rsid w:val="00290C26"/>
    <w:rsid w:val="00290EE1"/>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6C"/>
    <w:rsid w:val="002C1694"/>
    <w:rsid w:val="002C1B4D"/>
    <w:rsid w:val="002C1BD6"/>
    <w:rsid w:val="002C1E20"/>
    <w:rsid w:val="002C1E42"/>
    <w:rsid w:val="002C242A"/>
    <w:rsid w:val="002C2AEC"/>
    <w:rsid w:val="002C33FB"/>
    <w:rsid w:val="002C34B5"/>
    <w:rsid w:val="002C3511"/>
    <w:rsid w:val="002C3CD8"/>
    <w:rsid w:val="002C4196"/>
    <w:rsid w:val="002C4218"/>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3E82"/>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56C6"/>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4BF"/>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0E6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67"/>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3750E"/>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6FF0"/>
    <w:rsid w:val="003470B8"/>
    <w:rsid w:val="0034778C"/>
    <w:rsid w:val="00347899"/>
    <w:rsid w:val="003478A9"/>
    <w:rsid w:val="003502E9"/>
    <w:rsid w:val="0035032A"/>
    <w:rsid w:val="00350581"/>
    <w:rsid w:val="00350ABA"/>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6DC9"/>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593"/>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126"/>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A6F"/>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D7C"/>
    <w:rsid w:val="003B2E4A"/>
    <w:rsid w:val="003B35D5"/>
    <w:rsid w:val="003B35E8"/>
    <w:rsid w:val="003B3D4F"/>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2AC"/>
    <w:rsid w:val="003E38E2"/>
    <w:rsid w:val="003E3D7B"/>
    <w:rsid w:val="003E4A9C"/>
    <w:rsid w:val="003E4B4E"/>
    <w:rsid w:val="003E4FA0"/>
    <w:rsid w:val="003E5E52"/>
    <w:rsid w:val="003E5F2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680B"/>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948"/>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8E5"/>
    <w:rsid w:val="00413927"/>
    <w:rsid w:val="00413CBC"/>
    <w:rsid w:val="00414332"/>
    <w:rsid w:val="004143BA"/>
    <w:rsid w:val="004148A5"/>
    <w:rsid w:val="00414A37"/>
    <w:rsid w:val="0041516E"/>
    <w:rsid w:val="0041519A"/>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950"/>
    <w:rsid w:val="00426C4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971"/>
    <w:rsid w:val="00437BD8"/>
    <w:rsid w:val="00437F80"/>
    <w:rsid w:val="00440625"/>
    <w:rsid w:val="00440E31"/>
    <w:rsid w:val="00441624"/>
    <w:rsid w:val="00441E65"/>
    <w:rsid w:val="00442129"/>
    <w:rsid w:val="0044260F"/>
    <w:rsid w:val="00442A99"/>
    <w:rsid w:val="004432C9"/>
    <w:rsid w:val="004438D6"/>
    <w:rsid w:val="00443C63"/>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0D9F"/>
    <w:rsid w:val="004513CE"/>
    <w:rsid w:val="0045140F"/>
    <w:rsid w:val="0045180A"/>
    <w:rsid w:val="0045190C"/>
    <w:rsid w:val="004523F8"/>
    <w:rsid w:val="00452828"/>
    <w:rsid w:val="00452AC1"/>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894"/>
    <w:rsid w:val="004559FB"/>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4BF"/>
    <w:rsid w:val="00460859"/>
    <w:rsid w:val="00460B46"/>
    <w:rsid w:val="00460C30"/>
    <w:rsid w:val="00460CF6"/>
    <w:rsid w:val="00460DD2"/>
    <w:rsid w:val="00460DED"/>
    <w:rsid w:val="00460FEF"/>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76"/>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55B7"/>
    <w:rsid w:val="004961A2"/>
    <w:rsid w:val="00496957"/>
    <w:rsid w:val="00496AD3"/>
    <w:rsid w:val="00496EAC"/>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68"/>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6A1"/>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7E5"/>
    <w:rsid w:val="004B4B03"/>
    <w:rsid w:val="004B4C90"/>
    <w:rsid w:val="004B4F98"/>
    <w:rsid w:val="004B4FE2"/>
    <w:rsid w:val="004B5215"/>
    <w:rsid w:val="004B522A"/>
    <w:rsid w:val="004B560C"/>
    <w:rsid w:val="004B5B15"/>
    <w:rsid w:val="004B5DE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2DC"/>
    <w:rsid w:val="004F733A"/>
    <w:rsid w:val="004F733E"/>
    <w:rsid w:val="004F751B"/>
    <w:rsid w:val="004F7880"/>
    <w:rsid w:val="004F79E6"/>
    <w:rsid w:val="00500010"/>
    <w:rsid w:val="0050010F"/>
    <w:rsid w:val="00500A95"/>
    <w:rsid w:val="00500F56"/>
    <w:rsid w:val="005013D1"/>
    <w:rsid w:val="00501659"/>
    <w:rsid w:val="0050188E"/>
    <w:rsid w:val="00501CE7"/>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7B1"/>
    <w:rsid w:val="00505963"/>
    <w:rsid w:val="00505A7A"/>
    <w:rsid w:val="00506286"/>
    <w:rsid w:val="00506460"/>
    <w:rsid w:val="00506857"/>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8"/>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630"/>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016"/>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5B8"/>
    <w:rsid w:val="005408DE"/>
    <w:rsid w:val="00540A32"/>
    <w:rsid w:val="00540ABE"/>
    <w:rsid w:val="00540CF8"/>
    <w:rsid w:val="00541077"/>
    <w:rsid w:val="0054156C"/>
    <w:rsid w:val="0054173A"/>
    <w:rsid w:val="00541824"/>
    <w:rsid w:val="00541CC2"/>
    <w:rsid w:val="00541DB8"/>
    <w:rsid w:val="005420D5"/>
    <w:rsid w:val="0054213D"/>
    <w:rsid w:val="00542160"/>
    <w:rsid w:val="00542D33"/>
    <w:rsid w:val="00543297"/>
    <w:rsid w:val="0054349D"/>
    <w:rsid w:val="00545683"/>
    <w:rsid w:val="00545C64"/>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24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558"/>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0ED0"/>
    <w:rsid w:val="00571374"/>
    <w:rsid w:val="005717EA"/>
    <w:rsid w:val="00571850"/>
    <w:rsid w:val="005718DF"/>
    <w:rsid w:val="00571F6C"/>
    <w:rsid w:val="00572D93"/>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0ED5"/>
    <w:rsid w:val="00591379"/>
    <w:rsid w:val="00591675"/>
    <w:rsid w:val="00591A9D"/>
    <w:rsid w:val="0059279F"/>
    <w:rsid w:val="00592A12"/>
    <w:rsid w:val="00592CD6"/>
    <w:rsid w:val="00592F49"/>
    <w:rsid w:val="005931A3"/>
    <w:rsid w:val="005936F5"/>
    <w:rsid w:val="00593B4C"/>
    <w:rsid w:val="00593FF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155"/>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B41"/>
    <w:rsid w:val="005A7DA8"/>
    <w:rsid w:val="005B07C4"/>
    <w:rsid w:val="005B0953"/>
    <w:rsid w:val="005B0A29"/>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1DBA"/>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7F8"/>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EF3"/>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52A"/>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A7E"/>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0E"/>
    <w:rsid w:val="00636216"/>
    <w:rsid w:val="006366F3"/>
    <w:rsid w:val="00636B32"/>
    <w:rsid w:val="00636B96"/>
    <w:rsid w:val="00636FB7"/>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A8"/>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2D1"/>
    <w:rsid w:val="006524ED"/>
    <w:rsid w:val="00652898"/>
    <w:rsid w:val="00652A0E"/>
    <w:rsid w:val="00652E61"/>
    <w:rsid w:val="006531D7"/>
    <w:rsid w:val="006539A4"/>
    <w:rsid w:val="00653AB1"/>
    <w:rsid w:val="00653BE9"/>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05C"/>
    <w:rsid w:val="006572A0"/>
    <w:rsid w:val="00657307"/>
    <w:rsid w:val="00657719"/>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216"/>
    <w:rsid w:val="006673DE"/>
    <w:rsid w:val="00667A10"/>
    <w:rsid w:val="00667F16"/>
    <w:rsid w:val="0067027E"/>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27F"/>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29"/>
    <w:rsid w:val="0068244E"/>
    <w:rsid w:val="0068293B"/>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33C"/>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15D"/>
    <w:rsid w:val="006B6295"/>
    <w:rsid w:val="006B6468"/>
    <w:rsid w:val="006B64A8"/>
    <w:rsid w:val="006B65B5"/>
    <w:rsid w:val="006B65C7"/>
    <w:rsid w:val="006B680A"/>
    <w:rsid w:val="006B68D6"/>
    <w:rsid w:val="006B6C5E"/>
    <w:rsid w:val="006B6C9D"/>
    <w:rsid w:val="006B7A42"/>
    <w:rsid w:val="006C019D"/>
    <w:rsid w:val="006C0441"/>
    <w:rsid w:val="006C070C"/>
    <w:rsid w:val="006C072A"/>
    <w:rsid w:val="006C0B58"/>
    <w:rsid w:val="006C0E2A"/>
    <w:rsid w:val="006C12CB"/>
    <w:rsid w:val="006C1535"/>
    <w:rsid w:val="006C1AAB"/>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9E3"/>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6FA"/>
    <w:rsid w:val="0072171D"/>
    <w:rsid w:val="00721989"/>
    <w:rsid w:val="00721BA4"/>
    <w:rsid w:val="00722034"/>
    <w:rsid w:val="0072231E"/>
    <w:rsid w:val="00722826"/>
    <w:rsid w:val="00722E0A"/>
    <w:rsid w:val="00722E90"/>
    <w:rsid w:val="00722ED1"/>
    <w:rsid w:val="00722F64"/>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518"/>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3FA2"/>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80C"/>
    <w:rsid w:val="00765F28"/>
    <w:rsid w:val="0076711C"/>
    <w:rsid w:val="007673B3"/>
    <w:rsid w:val="007675D2"/>
    <w:rsid w:val="007676DA"/>
    <w:rsid w:val="007676DF"/>
    <w:rsid w:val="007678BE"/>
    <w:rsid w:val="00767EAE"/>
    <w:rsid w:val="00767F6B"/>
    <w:rsid w:val="007704E6"/>
    <w:rsid w:val="00770639"/>
    <w:rsid w:val="00770748"/>
    <w:rsid w:val="00770888"/>
    <w:rsid w:val="00771296"/>
    <w:rsid w:val="0077145F"/>
    <w:rsid w:val="007716CD"/>
    <w:rsid w:val="00771C1D"/>
    <w:rsid w:val="00771E8B"/>
    <w:rsid w:val="00771F46"/>
    <w:rsid w:val="0077201D"/>
    <w:rsid w:val="0077294E"/>
    <w:rsid w:val="007733A9"/>
    <w:rsid w:val="00773454"/>
    <w:rsid w:val="00773772"/>
    <w:rsid w:val="00773CEE"/>
    <w:rsid w:val="007741DB"/>
    <w:rsid w:val="00774349"/>
    <w:rsid w:val="00774519"/>
    <w:rsid w:val="007747C6"/>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0D"/>
    <w:rsid w:val="00780239"/>
    <w:rsid w:val="0078091A"/>
    <w:rsid w:val="00780E21"/>
    <w:rsid w:val="00781024"/>
    <w:rsid w:val="007816EF"/>
    <w:rsid w:val="00781B26"/>
    <w:rsid w:val="00781D7E"/>
    <w:rsid w:val="00781F08"/>
    <w:rsid w:val="00781FF3"/>
    <w:rsid w:val="00782451"/>
    <w:rsid w:val="00782728"/>
    <w:rsid w:val="0078292D"/>
    <w:rsid w:val="00782AFB"/>
    <w:rsid w:val="00782D53"/>
    <w:rsid w:val="00783125"/>
    <w:rsid w:val="0078358A"/>
    <w:rsid w:val="00783900"/>
    <w:rsid w:val="00783948"/>
    <w:rsid w:val="00783CF0"/>
    <w:rsid w:val="00783F1B"/>
    <w:rsid w:val="00784177"/>
    <w:rsid w:val="0078421E"/>
    <w:rsid w:val="007842F1"/>
    <w:rsid w:val="00784516"/>
    <w:rsid w:val="00784634"/>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88A"/>
    <w:rsid w:val="007879EE"/>
    <w:rsid w:val="00787BAE"/>
    <w:rsid w:val="00787DE3"/>
    <w:rsid w:val="00787EE4"/>
    <w:rsid w:val="0079016D"/>
    <w:rsid w:val="00790324"/>
    <w:rsid w:val="007906A7"/>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68"/>
    <w:rsid w:val="00796BD8"/>
    <w:rsid w:val="00796F96"/>
    <w:rsid w:val="0079781C"/>
    <w:rsid w:val="007979F5"/>
    <w:rsid w:val="007A013E"/>
    <w:rsid w:val="007A026C"/>
    <w:rsid w:val="007A05DD"/>
    <w:rsid w:val="007A06B0"/>
    <w:rsid w:val="007A0A19"/>
    <w:rsid w:val="007A0A9D"/>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650"/>
    <w:rsid w:val="007F0713"/>
    <w:rsid w:val="007F077B"/>
    <w:rsid w:val="007F08C5"/>
    <w:rsid w:val="007F0F13"/>
    <w:rsid w:val="007F122C"/>
    <w:rsid w:val="007F1488"/>
    <w:rsid w:val="007F1990"/>
    <w:rsid w:val="007F2800"/>
    <w:rsid w:val="007F283C"/>
    <w:rsid w:val="007F2A6C"/>
    <w:rsid w:val="007F2BF4"/>
    <w:rsid w:val="007F2EB6"/>
    <w:rsid w:val="007F2FA7"/>
    <w:rsid w:val="007F2FAA"/>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9BD"/>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6AAA"/>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27CA3"/>
    <w:rsid w:val="00830601"/>
    <w:rsid w:val="0083077B"/>
    <w:rsid w:val="00830DF8"/>
    <w:rsid w:val="00831873"/>
    <w:rsid w:val="0083196C"/>
    <w:rsid w:val="00831999"/>
    <w:rsid w:val="00831CEA"/>
    <w:rsid w:val="00831D72"/>
    <w:rsid w:val="008323F9"/>
    <w:rsid w:val="008324BD"/>
    <w:rsid w:val="00832E48"/>
    <w:rsid w:val="00833036"/>
    <w:rsid w:val="00833238"/>
    <w:rsid w:val="008337D9"/>
    <w:rsid w:val="00833A01"/>
    <w:rsid w:val="00833A25"/>
    <w:rsid w:val="00833C42"/>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2E35"/>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7A27"/>
    <w:rsid w:val="00870689"/>
    <w:rsid w:val="008706C1"/>
    <w:rsid w:val="00870883"/>
    <w:rsid w:val="00870943"/>
    <w:rsid w:val="008710DA"/>
    <w:rsid w:val="008712A2"/>
    <w:rsid w:val="00871375"/>
    <w:rsid w:val="0087183A"/>
    <w:rsid w:val="00871904"/>
    <w:rsid w:val="0087196F"/>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928"/>
    <w:rsid w:val="00876C59"/>
    <w:rsid w:val="00876DD0"/>
    <w:rsid w:val="00876F1D"/>
    <w:rsid w:val="00877470"/>
    <w:rsid w:val="00877503"/>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51C"/>
    <w:rsid w:val="00884634"/>
    <w:rsid w:val="00884A9A"/>
    <w:rsid w:val="00884E63"/>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5D2"/>
    <w:rsid w:val="008B1939"/>
    <w:rsid w:val="008B1BBF"/>
    <w:rsid w:val="008B1E4B"/>
    <w:rsid w:val="008B1E66"/>
    <w:rsid w:val="008B271D"/>
    <w:rsid w:val="008B2786"/>
    <w:rsid w:val="008B27F7"/>
    <w:rsid w:val="008B297E"/>
    <w:rsid w:val="008B2FB5"/>
    <w:rsid w:val="008B301F"/>
    <w:rsid w:val="008B351F"/>
    <w:rsid w:val="008B36F0"/>
    <w:rsid w:val="008B371E"/>
    <w:rsid w:val="008B3D07"/>
    <w:rsid w:val="008B3D0D"/>
    <w:rsid w:val="008B4251"/>
    <w:rsid w:val="008B4515"/>
    <w:rsid w:val="008B481D"/>
    <w:rsid w:val="008B4978"/>
    <w:rsid w:val="008B4996"/>
    <w:rsid w:val="008B4E27"/>
    <w:rsid w:val="008B4F54"/>
    <w:rsid w:val="008B5009"/>
    <w:rsid w:val="008B513F"/>
    <w:rsid w:val="008B5432"/>
    <w:rsid w:val="008B58BF"/>
    <w:rsid w:val="008B5B04"/>
    <w:rsid w:val="008B612D"/>
    <w:rsid w:val="008B6149"/>
    <w:rsid w:val="008B6355"/>
    <w:rsid w:val="008B647C"/>
    <w:rsid w:val="008B65AD"/>
    <w:rsid w:val="008B66D3"/>
    <w:rsid w:val="008B68AD"/>
    <w:rsid w:val="008B6B15"/>
    <w:rsid w:val="008B6DED"/>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4A2"/>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EE2"/>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6A1"/>
    <w:rsid w:val="0091580A"/>
    <w:rsid w:val="00915BB8"/>
    <w:rsid w:val="00915C3B"/>
    <w:rsid w:val="00915DE6"/>
    <w:rsid w:val="00916048"/>
    <w:rsid w:val="00916A7C"/>
    <w:rsid w:val="00916FB2"/>
    <w:rsid w:val="0091768B"/>
    <w:rsid w:val="009177CA"/>
    <w:rsid w:val="0091780F"/>
    <w:rsid w:val="009204B7"/>
    <w:rsid w:val="0092059D"/>
    <w:rsid w:val="00920CD4"/>
    <w:rsid w:val="00920DED"/>
    <w:rsid w:val="00920EDD"/>
    <w:rsid w:val="00921588"/>
    <w:rsid w:val="00921644"/>
    <w:rsid w:val="009218F6"/>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5E3"/>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68E"/>
    <w:rsid w:val="00945705"/>
    <w:rsid w:val="00945F95"/>
    <w:rsid w:val="0094612C"/>
    <w:rsid w:val="0094615C"/>
    <w:rsid w:val="0094646E"/>
    <w:rsid w:val="00946793"/>
    <w:rsid w:val="009467A0"/>
    <w:rsid w:val="009467B8"/>
    <w:rsid w:val="00946F5A"/>
    <w:rsid w:val="00947365"/>
    <w:rsid w:val="00947A97"/>
    <w:rsid w:val="00947CEB"/>
    <w:rsid w:val="00947E86"/>
    <w:rsid w:val="00950599"/>
    <w:rsid w:val="009505C9"/>
    <w:rsid w:val="009507B2"/>
    <w:rsid w:val="00951101"/>
    <w:rsid w:val="00951374"/>
    <w:rsid w:val="0095159E"/>
    <w:rsid w:val="00951FDE"/>
    <w:rsid w:val="009520C8"/>
    <w:rsid w:val="0095241A"/>
    <w:rsid w:val="0095278C"/>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07"/>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07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4AB"/>
    <w:rsid w:val="009925B2"/>
    <w:rsid w:val="00992650"/>
    <w:rsid w:val="0099266C"/>
    <w:rsid w:val="00992912"/>
    <w:rsid w:val="00992B0D"/>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1B2"/>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493"/>
    <w:rsid w:val="009C1525"/>
    <w:rsid w:val="009C16A9"/>
    <w:rsid w:val="009C16CC"/>
    <w:rsid w:val="009C171A"/>
    <w:rsid w:val="009C187A"/>
    <w:rsid w:val="009C1DE0"/>
    <w:rsid w:val="009C1E4F"/>
    <w:rsid w:val="009C22BA"/>
    <w:rsid w:val="009C2836"/>
    <w:rsid w:val="009C2C89"/>
    <w:rsid w:val="009C2EF6"/>
    <w:rsid w:val="009C3292"/>
    <w:rsid w:val="009C361C"/>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0F"/>
    <w:rsid w:val="009E7C41"/>
    <w:rsid w:val="009F042D"/>
    <w:rsid w:val="009F09DD"/>
    <w:rsid w:val="009F0B8F"/>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D95"/>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2DA"/>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34"/>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0C12"/>
    <w:rsid w:val="00A317CF"/>
    <w:rsid w:val="00A318D8"/>
    <w:rsid w:val="00A31917"/>
    <w:rsid w:val="00A319F0"/>
    <w:rsid w:val="00A321C8"/>
    <w:rsid w:val="00A32539"/>
    <w:rsid w:val="00A32F5D"/>
    <w:rsid w:val="00A33A65"/>
    <w:rsid w:val="00A33CBA"/>
    <w:rsid w:val="00A342A9"/>
    <w:rsid w:val="00A3452B"/>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72"/>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0C36"/>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00D"/>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ECC"/>
    <w:rsid w:val="00A70FC0"/>
    <w:rsid w:val="00A71528"/>
    <w:rsid w:val="00A72153"/>
    <w:rsid w:val="00A72438"/>
    <w:rsid w:val="00A72849"/>
    <w:rsid w:val="00A73194"/>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264"/>
    <w:rsid w:val="00A8039D"/>
    <w:rsid w:val="00A80718"/>
    <w:rsid w:val="00A80B46"/>
    <w:rsid w:val="00A80EAC"/>
    <w:rsid w:val="00A80EFB"/>
    <w:rsid w:val="00A8173F"/>
    <w:rsid w:val="00A81A6A"/>
    <w:rsid w:val="00A82597"/>
    <w:rsid w:val="00A82961"/>
    <w:rsid w:val="00A82AE4"/>
    <w:rsid w:val="00A82B8A"/>
    <w:rsid w:val="00A82BA5"/>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870"/>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5D5"/>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017"/>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65C"/>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0FD"/>
    <w:rsid w:val="00AE249C"/>
    <w:rsid w:val="00AE2642"/>
    <w:rsid w:val="00AE26FC"/>
    <w:rsid w:val="00AE2FFA"/>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4A7"/>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07D73"/>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41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1CD"/>
    <w:rsid w:val="00B4363D"/>
    <w:rsid w:val="00B4369E"/>
    <w:rsid w:val="00B43837"/>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47B18"/>
    <w:rsid w:val="00B5004F"/>
    <w:rsid w:val="00B503E9"/>
    <w:rsid w:val="00B509C5"/>
    <w:rsid w:val="00B50C38"/>
    <w:rsid w:val="00B50F95"/>
    <w:rsid w:val="00B51673"/>
    <w:rsid w:val="00B51B1F"/>
    <w:rsid w:val="00B52361"/>
    <w:rsid w:val="00B52516"/>
    <w:rsid w:val="00B52542"/>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0DA6"/>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66C"/>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60AE"/>
    <w:rsid w:val="00B76D5A"/>
    <w:rsid w:val="00B77580"/>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D78"/>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3DC"/>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993"/>
    <w:rsid w:val="00B93A87"/>
    <w:rsid w:val="00B93E4C"/>
    <w:rsid w:val="00B93E5C"/>
    <w:rsid w:val="00B94244"/>
    <w:rsid w:val="00B9431C"/>
    <w:rsid w:val="00B94334"/>
    <w:rsid w:val="00B94BD6"/>
    <w:rsid w:val="00B951A3"/>
    <w:rsid w:val="00B958C1"/>
    <w:rsid w:val="00B964FB"/>
    <w:rsid w:val="00B966DA"/>
    <w:rsid w:val="00B96881"/>
    <w:rsid w:val="00B970A4"/>
    <w:rsid w:val="00B97112"/>
    <w:rsid w:val="00B974F5"/>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58E3"/>
    <w:rsid w:val="00BD607B"/>
    <w:rsid w:val="00BD64BD"/>
    <w:rsid w:val="00BD64E2"/>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131"/>
    <w:rsid w:val="00BF12E8"/>
    <w:rsid w:val="00BF15BD"/>
    <w:rsid w:val="00BF1D03"/>
    <w:rsid w:val="00BF2113"/>
    <w:rsid w:val="00BF222B"/>
    <w:rsid w:val="00BF2233"/>
    <w:rsid w:val="00BF238F"/>
    <w:rsid w:val="00BF257E"/>
    <w:rsid w:val="00BF25D2"/>
    <w:rsid w:val="00BF2686"/>
    <w:rsid w:val="00BF2A2B"/>
    <w:rsid w:val="00BF2AD9"/>
    <w:rsid w:val="00BF2F97"/>
    <w:rsid w:val="00BF332C"/>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EA0"/>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2FFD"/>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989"/>
    <w:rsid w:val="00C21A0A"/>
    <w:rsid w:val="00C21AA4"/>
    <w:rsid w:val="00C22083"/>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1A"/>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889"/>
    <w:rsid w:val="00C47950"/>
    <w:rsid w:val="00C50486"/>
    <w:rsid w:val="00C50569"/>
    <w:rsid w:val="00C506A9"/>
    <w:rsid w:val="00C506F8"/>
    <w:rsid w:val="00C50721"/>
    <w:rsid w:val="00C5128D"/>
    <w:rsid w:val="00C513B4"/>
    <w:rsid w:val="00C5206B"/>
    <w:rsid w:val="00C523D4"/>
    <w:rsid w:val="00C52A27"/>
    <w:rsid w:val="00C52BE5"/>
    <w:rsid w:val="00C52DAD"/>
    <w:rsid w:val="00C53093"/>
    <w:rsid w:val="00C5309F"/>
    <w:rsid w:val="00C538F2"/>
    <w:rsid w:val="00C5395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C10"/>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E25"/>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2D"/>
    <w:rsid w:val="00C92FF2"/>
    <w:rsid w:val="00C93C01"/>
    <w:rsid w:val="00C93E5B"/>
    <w:rsid w:val="00C9403F"/>
    <w:rsid w:val="00C941ED"/>
    <w:rsid w:val="00C94677"/>
    <w:rsid w:val="00C9470B"/>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BDA"/>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355"/>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6F4C"/>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D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B8F"/>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851"/>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8B1"/>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1C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488"/>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332"/>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0C7"/>
    <w:rsid w:val="00DC1392"/>
    <w:rsid w:val="00DC159D"/>
    <w:rsid w:val="00DC19BF"/>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523"/>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4EBE"/>
    <w:rsid w:val="00DE5229"/>
    <w:rsid w:val="00DE579C"/>
    <w:rsid w:val="00DE57B6"/>
    <w:rsid w:val="00DE5DE6"/>
    <w:rsid w:val="00DE6192"/>
    <w:rsid w:val="00DE6AE6"/>
    <w:rsid w:val="00DE7299"/>
    <w:rsid w:val="00DE7387"/>
    <w:rsid w:val="00DE742D"/>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37"/>
    <w:rsid w:val="00E00697"/>
    <w:rsid w:val="00E00AD4"/>
    <w:rsid w:val="00E0127E"/>
    <w:rsid w:val="00E0129C"/>
    <w:rsid w:val="00E012C5"/>
    <w:rsid w:val="00E012E7"/>
    <w:rsid w:val="00E013DB"/>
    <w:rsid w:val="00E01418"/>
    <w:rsid w:val="00E016D7"/>
    <w:rsid w:val="00E01743"/>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762"/>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2A65"/>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5AEA"/>
    <w:rsid w:val="00E360E9"/>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512"/>
    <w:rsid w:val="00E43854"/>
    <w:rsid w:val="00E43882"/>
    <w:rsid w:val="00E439AD"/>
    <w:rsid w:val="00E442BE"/>
    <w:rsid w:val="00E4436A"/>
    <w:rsid w:val="00E443C8"/>
    <w:rsid w:val="00E446CA"/>
    <w:rsid w:val="00E44754"/>
    <w:rsid w:val="00E44803"/>
    <w:rsid w:val="00E44951"/>
    <w:rsid w:val="00E44D37"/>
    <w:rsid w:val="00E44F4F"/>
    <w:rsid w:val="00E44F9C"/>
    <w:rsid w:val="00E44FC3"/>
    <w:rsid w:val="00E4512B"/>
    <w:rsid w:val="00E452B6"/>
    <w:rsid w:val="00E4556B"/>
    <w:rsid w:val="00E45A88"/>
    <w:rsid w:val="00E45E93"/>
    <w:rsid w:val="00E460B6"/>
    <w:rsid w:val="00E463DC"/>
    <w:rsid w:val="00E46934"/>
    <w:rsid w:val="00E46B8A"/>
    <w:rsid w:val="00E4757A"/>
    <w:rsid w:val="00E475B7"/>
    <w:rsid w:val="00E503C5"/>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52E"/>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DE7"/>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5AF"/>
    <w:rsid w:val="00E65720"/>
    <w:rsid w:val="00E65A97"/>
    <w:rsid w:val="00E65F35"/>
    <w:rsid w:val="00E65F45"/>
    <w:rsid w:val="00E664EC"/>
    <w:rsid w:val="00E66600"/>
    <w:rsid w:val="00E66787"/>
    <w:rsid w:val="00E66B64"/>
    <w:rsid w:val="00E66D2D"/>
    <w:rsid w:val="00E66F35"/>
    <w:rsid w:val="00E66F94"/>
    <w:rsid w:val="00E674ED"/>
    <w:rsid w:val="00E67B32"/>
    <w:rsid w:val="00E67D68"/>
    <w:rsid w:val="00E67E1C"/>
    <w:rsid w:val="00E67EC5"/>
    <w:rsid w:val="00E707F1"/>
    <w:rsid w:val="00E70C38"/>
    <w:rsid w:val="00E71001"/>
    <w:rsid w:val="00E711C0"/>
    <w:rsid w:val="00E71848"/>
    <w:rsid w:val="00E71998"/>
    <w:rsid w:val="00E723B7"/>
    <w:rsid w:val="00E725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6D45"/>
    <w:rsid w:val="00E970B3"/>
    <w:rsid w:val="00E971C5"/>
    <w:rsid w:val="00E97A66"/>
    <w:rsid w:val="00E97C5B"/>
    <w:rsid w:val="00EA01BB"/>
    <w:rsid w:val="00EA04E2"/>
    <w:rsid w:val="00EA06A2"/>
    <w:rsid w:val="00EA0747"/>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BFA"/>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5AE"/>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E80"/>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119"/>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AE1"/>
    <w:rsid w:val="00EF2C61"/>
    <w:rsid w:val="00EF2D0E"/>
    <w:rsid w:val="00EF3617"/>
    <w:rsid w:val="00EF398A"/>
    <w:rsid w:val="00EF3A12"/>
    <w:rsid w:val="00EF3D1A"/>
    <w:rsid w:val="00EF4216"/>
    <w:rsid w:val="00EF458F"/>
    <w:rsid w:val="00EF45D1"/>
    <w:rsid w:val="00EF4813"/>
    <w:rsid w:val="00EF49E6"/>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0D"/>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0547"/>
    <w:rsid w:val="00F1156A"/>
    <w:rsid w:val="00F11D5A"/>
    <w:rsid w:val="00F11E67"/>
    <w:rsid w:val="00F11F33"/>
    <w:rsid w:val="00F12519"/>
    <w:rsid w:val="00F12881"/>
    <w:rsid w:val="00F12CE1"/>
    <w:rsid w:val="00F135A2"/>
    <w:rsid w:val="00F136AC"/>
    <w:rsid w:val="00F13747"/>
    <w:rsid w:val="00F13B95"/>
    <w:rsid w:val="00F1425C"/>
    <w:rsid w:val="00F14435"/>
    <w:rsid w:val="00F1452E"/>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06F"/>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CA"/>
    <w:rsid w:val="00F31965"/>
    <w:rsid w:val="00F31C46"/>
    <w:rsid w:val="00F31E58"/>
    <w:rsid w:val="00F32101"/>
    <w:rsid w:val="00F328F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9DE"/>
    <w:rsid w:val="00F57A23"/>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9B0"/>
    <w:rsid w:val="00F63A4C"/>
    <w:rsid w:val="00F63BEA"/>
    <w:rsid w:val="00F63CB7"/>
    <w:rsid w:val="00F645A9"/>
    <w:rsid w:val="00F64842"/>
    <w:rsid w:val="00F65032"/>
    <w:rsid w:val="00F65706"/>
    <w:rsid w:val="00F6584D"/>
    <w:rsid w:val="00F65B49"/>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7D5"/>
    <w:rsid w:val="00F92866"/>
    <w:rsid w:val="00F92B1A"/>
    <w:rsid w:val="00F92C74"/>
    <w:rsid w:val="00F932A2"/>
    <w:rsid w:val="00F937DC"/>
    <w:rsid w:val="00F93DA1"/>
    <w:rsid w:val="00F93DD3"/>
    <w:rsid w:val="00F94285"/>
    <w:rsid w:val="00F94677"/>
    <w:rsid w:val="00F949BD"/>
    <w:rsid w:val="00F949E4"/>
    <w:rsid w:val="00F94B8B"/>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0C77"/>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493"/>
    <w:rsid w:val="00FB65EA"/>
    <w:rsid w:val="00FB67BD"/>
    <w:rsid w:val="00FB6F01"/>
    <w:rsid w:val="00FB7120"/>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3F86"/>
    <w:rsid w:val="00FC44B4"/>
    <w:rsid w:val="00FC4748"/>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A7"/>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32"/>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7FD"/>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334"/>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426C4C"/>
    <w:rPr>
      <w:rFonts w:ascii="Times New Roman" w:eastAsia="Times New Roman" w:hAnsi="Times New Roman"/>
      <w:sz w:val="24"/>
      <w:szCs w:val="24"/>
    </w:rPr>
  </w:style>
  <w:style w:type="paragraph" w:styleId="Heading1">
    <w:name w:val="heading 1"/>
    <w:basedOn w:val="Normal"/>
    <w:next w:val="Normal"/>
    <w:link w:val="Heading1Char"/>
    <w:qFormat/>
    <w:locked/>
    <w:rsid w:val="009E0F39"/>
    <w:pPr>
      <w:keepNext/>
      <w:keepLines/>
      <w:numPr>
        <w:ilvl w:val="1"/>
        <w:numId w:val="10"/>
      </w:numPr>
      <w:spacing w:before="480" w:line="288" w:lineRule="auto"/>
      <w:jc w:val="both"/>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line="288" w:lineRule="auto"/>
      <w:jc w:val="both"/>
      <w:outlineLvl w:val="1"/>
    </w:pPr>
    <w:rPr>
      <w:rFonts w:ascii="Gautami" w:hAnsi="Gautami"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line="288" w:lineRule="auto"/>
      <w:jc w:val="both"/>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line="288" w:lineRule="auto"/>
      <w:jc w:val="both"/>
      <w:outlineLvl w:val="3"/>
    </w:pPr>
    <w:rPr>
      <w:b/>
      <w:bCs/>
      <w:sz w:val="28"/>
      <w:szCs w:val="28"/>
    </w:rPr>
  </w:style>
  <w:style w:type="paragraph" w:styleId="Heading5">
    <w:name w:val="heading 5"/>
    <w:basedOn w:val="Normal"/>
    <w:next w:val="Normal"/>
    <w:qFormat/>
    <w:locked/>
    <w:rsid w:val="009E0F39"/>
    <w:pPr>
      <w:keepNext/>
      <w:keepLines/>
      <w:spacing w:before="200" w:line="288" w:lineRule="auto"/>
      <w:jc w:val="both"/>
      <w:outlineLvl w:val="4"/>
    </w:pPr>
    <w:rPr>
      <w:rFonts w:ascii="Cambria" w:hAnsi="Cambria"/>
      <w:color w:val="243F60"/>
      <w:sz w:val="20"/>
    </w:rPr>
  </w:style>
  <w:style w:type="paragraph" w:styleId="Heading6">
    <w:name w:val="heading 6"/>
    <w:basedOn w:val="Normal"/>
    <w:next w:val="Normal"/>
    <w:uiPriority w:val="9"/>
    <w:qFormat/>
    <w:locked/>
    <w:rsid w:val="009E0F39"/>
    <w:pPr>
      <w:keepNext/>
      <w:keepLines/>
      <w:spacing w:before="200" w:line="288" w:lineRule="auto"/>
      <w:jc w:val="both"/>
      <w:outlineLvl w:val="5"/>
    </w:pPr>
    <w:rPr>
      <w:rFonts w:ascii="Cambria" w:hAnsi="Cambria"/>
      <w:i/>
      <w:iCs/>
      <w:color w:val="243F60"/>
      <w:sz w:val="2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line="288" w:lineRule="auto"/>
      <w:jc w:val="both"/>
      <w:outlineLvl w:val="3"/>
    </w:pPr>
    <w:rPr>
      <w:rFonts w:ascii="Gautami" w:hAnsi="Gautami"/>
      <w:b/>
      <w:sz w:val="20"/>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jc w:val="both"/>
    </w:pPr>
    <w:rPr>
      <w:rFonts w:ascii="Gautami" w:hAnsi="Gautami"/>
      <w:sz w:val="20"/>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line="288" w:lineRule="auto"/>
    </w:pPr>
    <w:rPr>
      <w:rFonts w:ascii="Gautami" w:hAnsi="Gautami"/>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spacing w:line="288" w:lineRule="auto"/>
      <w:jc w:val="both"/>
    </w:pPr>
    <w:rPr>
      <w:rFonts w:ascii="Gautami" w:hAnsi="Gautami"/>
      <w:sz w:val="20"/>
    </w:r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spacing w:line="288" w:lineRule="auto"/>
      <w:jc w:val="both"/>
    </w:pPr>
    <w:rPr>
      <w:rFonts w:ascii="Gautami" w:hAnsi="Gautami"/>
      <w:sz w:val="20"/>
    </w:r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pPr>
      <w:spacing w:line="288" w:lineRule="auto"/>
      <w:jc w:val="both"/>
    </w:pPr>
    <w:rPr>
      <w:rFonts w:ascii="Gautami" w:hAnsi="Gautami"/>
      <w:b/>
      <w:bCs/>
      <w:sz w:val="20"/>
    </w:rPr>
  </w:style>
  <w:style w:type="paragraph" w:styleId="BalloonText">
    <w:name w:val="Balloon Text"/>
    <w:basedOn w:val="Normal"/>
    <w:semiHidden/>
    <w:locked/>
    <w:rsid w:val="009E0F39"/>
    <w:pPr>
      <w:spacing w:line="288" w:lineRule="auto"/>
      <w:jc w:val="both"/>
    </w:pPr>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pPr>
      <w:spacing w:line="288" w:lineRule="auto"/>
      <w:jc w:val="both"/>
    </w:pPr>
    <w:rPr>
      <w:rFonts w:ascii="Gautami" w:hAnsi="Gautami"/>
      <w:sz w:val="20"/>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spacing w:line="288" w:lineRule="auto"/>
      <w:ind w:left="600"/>
      <w:jc w:val="both"/>
    </w:pPr>
    <w:rPr>
      <w:rFonts w:ascii="Gautami" w:hAnsi="Gautami"/>
      <w:sz w:val="20"/>
    </w:rPr>
  </w:style>
  <w:style w:type="paragraph" w:styleId="TOC5">
    <w:name w:val="toc 5"/>
    <w:basedOn w:val="Normal"/>
    <w:next w:val="Normal"/>
    <w:autoRedefine/>
    <w:semiHidden/>
    <w:locked/>
    <w:rsid w:val="00C90C00"/>
    <w:pPr>
      <w:spacing w:line="288" w:lineRule="auto"/>
      <w:ind w:left="800"/>
      <w:jc w:val="both"/>
    </w:pPr>
    <w:rPr>
      <w:rFonts w:ascii="Gautami" w:hAnsi="Gautami"/>
      <w:sz w:val="20"/>
    </w:rPr>
  </w:style>
  <w:style w:type="paragraph" w:styleId="TOC6">
    <w:name w:val="toc 6"/>
    <w:basedOn w:val="Normal"/>
    <w:next w:val="Normal"/>
    <w:autoRedefine/>
    <w:semiHidden/>
    <w:locked/>
    <w:rsid w:val="00C90C00"/>
    <w:pPr>
      <w:spacing w:line="288" w:lineRule="auto"/>
      <w:ind w:left="1000"/>
      <w:jc w:val="both"/>
    </w:pPr>
    <w:rPr>
      <w:rFonts w:ascii="Gautami" w:hAnsi="Gautami"/>
      <w:sz w:val="20"/>
    </w:rPr>
  </w:style>
  <w:style w:type="paragraph" w:styleId="TOC7">
    <w:name w:val="toc 7"/>
    <w:basedOn w:val="Normal"/>
    <w:next w:val="Normal"/>
    <w:autoRedefine/>
    <w:semiHidden/>
    <w:locked/>
    <w:rsid w:val="00C90C00"/>
    <w:pPr>
      <w:spacing w:line="288" w:lineRule="auto"/>
      <w:ind w:left="1200"/>
      <w:jc w:val="both"/>
    </w:pPr>
    <w:rPr>
      <w:rFonts w:ascii="Gautami" w:hAnsi="Gautami"/>
      <w:sz w:val="20"/>
    </w:rPr>
  </w:style>
  <w:style w:type="paragraph" w:styleId="TOC8">
    <w:name w:val="toc 8"/>
    <w:basedOn w:val="Normal"/>
    <w:next w:val="Normal"/>
    <w:autoRedefine/>
    <w:semiHidden/>
    <w:locked/>
    <w:rsid w:val="00C90C00"/>
    <w:pPr>
      <w:spacing w:line="288" w:lineRule="auto"/>
      <w:ind w:left="1400"/>
      <w:jc w:val="both"/>
    </w:pPr>
    <w:rPr>
      <w:rFonts w:ascii="Gautami" w:hAnsi="Gautami"/>
      <w:sz w:val="20"/>
    </w:rPr>
  </w:style>
  <w:style w:type="paragraph" w:styleId="TOC9">
    <w:name w:val="toc 9"/>
    <w:basedOn w:val="Normal"/>
    <w:next w:val="Normal"/>
    <w:autoRedefine/>
    <w:semiHidden/>
    <w:locked/>
    <w:rsid w:val="00C90C00"/>
    <w:pPr>
      <w:spacing w:line="288" w:lineRule="auto"/>
      <w:ind w:left="1600"/>
      <w:jc w:val="both"/>
    </w:pPr>
    <w:rPr>
      <w:rFonts w:ascii="Gautami" w:hAnsi="Gautami"/>
      <w:sz w:val="20"/>
    </w:rPr>
  </w:style>
  <w:style w:type="paragraph" w:styleId="DocumentMap">
    <w:name w:val="Document Map"/>
    <w:basedOn w:val="Normal"/>
    <w:semiHidden/>
    <w:locked/>
    <w:rsid w:val="00361B64"/>
    <w:pPr>
      <w:shd w:val="clear" w:color="auto" w:fill="000080"/>
      <w:spacing w:line="288" w:lineRule="auto"/>
      <w:jc w:val="both"/>
    </w:pPr>
    <w:rPr>
      <w:rFonts w:ascii="Tahoma" w:hAnsi="Tahoma" w:cs="Tahoma"/>
      <w:sz w:val="20"/>
      <w:szCs w:val="20"/>
    </w:rPr>
  </w:style>
  <w:style w:type="paragraph" w:styleId="Title">
    <w:name w:val="Title"/>
    <w:basedOn w:val="Normal"/>
    <w:link w:val="TitleChar"/>
    <w:qFormat/>
    <w:locked/>
    <w:rsid w:val="006A4343"/>
    <w:pPr>
      <w:spacing w:before="240" w:after="60" w:line="288" w:lineRule="auto"/>
      <w:jc w:val="center"/>
      <w:outlineLvl w:val="0"/>
    </w:pPr>
    <w:rPr>
      <w:rFonts w:ascii="Arial" w:hAnsi="Arial" w:cs="Arial"/>
      <w:b/>
      <w:bCs/>
      <w:kern w:val="28"/>
      <w:sz w:val="32"/>
      <w:szCs w:val="32"/>
    </w:rPr>
  </w:style>
  <w:style w:type="paragraph" w:styleId="Caption">
    <w:name w:val="caption"/>
    <w:basedOn w:val="Normal"/>
    <w:next w:val="Normal"/>
    <w:qFormat/>
    <w:locked/>
    <w:rsid w:val="006A4343"/>
    <w:pPr>
      <w:spacing w:line="288" w:lineRule="auto"/>
      <w:jc w:val="both"/>
    </w:pPr>
    <w:rPr>
      <w:rFonts w:ascii="Gautami" w:hAnsi="Gautami"/>
      <w:b/>
      <w:bCs/>
      <w:sz w:val="20"/>
      <w:szCs w:val="20"/>
    </w:rPr>
  </w:style>
  <w:style w:type="paragraph" w:styleId="ListBullet">
    <w:name w:val="List Bullet"/>
    <w:basedOn w:val="Normal"/>
    <w:uiPriority w:val="99"/>
    <w:semiHidden/>
    <w:unhideWhenUsed/>
    <w:locked/>
    <w:rsid w:val="000733BC"/>
    <w:pPr>
      <w:numPr>
        <w:numId w:val="4"/>
      </w:numPr>
      <w:spacing w:line="288" w:lineRule="auto"/>
      <w:contextualSpacing/>
      <w:jc w:val="both"/>
    </w:pPr>
    <w:rPr>
      <w:rFonts w:ascii="Gautami" w:hAnsi="Gautami"/>
      <w:sz w:val="20"/>
    </w:r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pPr>
    <w:rPr>
      <w:rFonts w:ascii="Gautami" w:hAnsi="Gautami"/>
      <w:sz w:val="20"/>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pPr>
      <w:spacing w:line="288" w:lineRule="auto"/>
      <w:jc w:val="both"/>
    </w:pPr>
    <w:rPr>
      <w:rFonts w:ascii="Gautami" w:hAnsi="Gautami"/>
      <w:sz w:val="20"/>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pPr>
      <w:spacing w:line="288" w:lineRule="auto"/>
      <w:jc w:val="both"/>
    </w:pPr>
    <w:rPr>
      <w:rFonts w:ascii="Gautami" w:hAnsi="Gautami"/>
      <w:sz w:val="20"/>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p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5002585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274">
      <w:bodyDiv w:val="1"/>
      <w:marLeft w:val="0"/>
      <w:marRight w:val="0"/>
      <w:marTop w:val="0"/>
      <w:marBottom w:val="0"/>
      <w:divBdr>
        <w:top w:val="none" w:sz="0" w:space="0" w:color="auto"/>
        <w:left w:val="none" w:sz="0" w:space="0" w:color="auto"/>
        <w:bottom w:val="none" w:sz="0" w:space="0" w:color="auto"/>
        <w:right w:val="none" w:sz="0" w:space="0" w:color="auto"/>
      </w:divBdr>
      <w:divsChild>
        <w:div w:id="346371093">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single" w:sz="6" w:space="0" w:color="FFFFFF"/>
                <w:bottom w:val="none" w:sz="0" w:space="0" w:color="auto"/>
                <w:right w:val="none" w:sz="0" w:space="0" w:color="auto"/>
              </w:divBdr>
              <w:divsChild>
                <w:div w:id="966811855">
                  <w:marLeft w:val="0"/>
                  <w:marRight w:val="0"/>
                  <w:marTop w:val="0"/>
                  <w:marBottom w:val="0"/>
                  <w:divBdr>
                    <w:top w:val="none" w:sz="0" w:space="0" w:color="auto"/>
                    <w:left w:val="none" w:sz="0" w:space="0" w:color="auto"/>
                    <w:bottom w:val="none" w:sz="0" w:space="0" w:color="auto"/>
                    <w:right w:val="none" w:sz="0" w:space="0" w:color="auto"/>
                  </w:divBdr>
                  <w:divsChild>
                    <w:div w:id="64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61505133">
      <w:bodyDiv w:val="1"/>
      <w:marLeft w:val="0"/>
      <w:marRight w:val="0"/>
      <w:marTop w:val="0"/>
      <w:marBottom w:val="0"/>
      <w:divBdr>
        <w:top w:val="none" w:sz="0" w:space="0" w:color="auto"/>
        <w:left w:val="none" w:sz="0" w:space="0" w:color="auto"/>
        <w:bottom w:val="none" w:sz="0" w:space="0" w:color="auto"/>
        <w:right w:val="none" w:sz="0" w:space="0" w:color="auto"/>
      </w:divBdr>
      <w:divsChild>
        <w:div w:id="2039041117">
          <w:marLeft w:val="0"/>
          <w:marRight w:val="0"/>
          <w:marTop w:val="0"/>
          <w:marBottom w:val="0"/>
          <w:divBdr>
            <w:top w:val="none" w:sz="0" w:space="0" w:color="auto"/>
            <w:left w:val="none" w:sz="0" w:space="0" w:color="auto"/>
            <w:bottom w:val="none" w:sz="0" w:space="0" w:color="auto"/>
            <w:right w:val="none" w:sz="0" w:space="0" w:color="auto"/>
          </w:divBdr>
          <w:divsChild>
            <w:div w:id="1731340861">
              <w:marLeft w:val="0"/>
              <w:marRight w:val="0"/>
              <w:marTop w:val="0"/>
              <w:marBottom w:val="0"/>
              <w:divBdr>
                <w:top w:val="none" w:sz="0" w:space="0" w:color="auto"/>
                <w:left w:val="single" w:sz="6" w:space="0" w:color="FFFFFF"/>
                <w:bottom w:val="none" w:sz="0" w:space="0" w:color="auto"/>
                <w:right w:val="none" w:sz="0" w:space="0" w:color="auto"/>
              </w:divBdr>
              <w:divsChild>
                <w:div w:id="1647323285">
                  <w:marLeft w:val="0"/>
                  <w:marRight w:val="0"/>
                  <w:marTop w:val="0"/>
                  <w:marBottom w:val="0"/>
                  <w:divBdr>
                    <w:top w:val="none" w:sz="0" w:space="0" w:color="auto"/>
                    <w:left w:val="none" w:sz="0" w:space="0" w:color="auto"/>
                    <w:bottom w:val="none" w:sz="0" w:space="0" w:color="auto"/>
                    <w:right w:val="none" w:sz="0" w:space="0" w:color="auto"/>
                  </w:divBdr>
                  <w:divsChild>
                    <w:div w:id="1729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367">
      <w:bodyDiv w:val="1"/>
      <w:marLeft w:val="0"/>
      <w:marRight w:val="0"/>
      <w:marTop w:val="0"/>
      <w:marBottom w:val="0"/>
      <w:divBdr>
        <w:top w:val="none" w:sz="0" w:space="0" w:color="auto"/>
        <w:left w:val="none" w:sz="0" w:space="0" w:color="auto"/>
        <w:bottom w:val="none" w:sz="0" w:space="0" w:color="auto"/>
        <w:right w:val="none" w:sz="0" w:space="0" w:color="auto"/>
      </w:divBdr>
      <w:divsChild>
        <w:div w:id="228616044">
          <w:marLeft w:val="0"/>
          <w:marRight w:val="0"/>
          <w:marTop w:val="0"/>
          <w:marBottom w:val="0"/>
          <w:divBdr>
            <w:top w:val="none" w:sz="0" w:space="0" w:color="auto"/>
            <w:left w:val="none" w:sz="0" w:space="0" w:color="auto"/>
            <w:bottom w:val="none" w:sz="0" w:space="0" w:color="auto"/>
            <w:right w:val="none" w:sz="0" w:space="0" w:color="auto"/>
          </w:divBdr>
          <w:divsChild>
            <w:div w:id="1648045216">
              <w:marLeft w:val="0"/>
              <w:marRight w:val="0"/>
              <w:marTop w:val="0"/>
              <w:marBottom w:val="0"/>
              <w:divBdr>
                <w:top w:val="none" w:sz="0" w:space="0" w:color="auto"/>
                <w:left w:val="single" w:sz="6" w:space="0" w:color="FFFFFF"/>
                <w:bottom w:val="none" w:sz="0" w:space="0" w:color="auto"/>
                <w:right w:val="none" w:sz="0" w:space="0" w:color="auto"/>
              </w:divBdr>
              <w:divsChild>
                <w:div w:id="1794639371">
                  <w:marLeft w:val="0"/>
                  <w:marRight w:val="0"/>
                  <w:marTop w:val="0"/>
                  <w:marBottom w:val="0"/>
                  <w:divBdr>
                    <w:top w:val="none" w:sz="0" w:space="0" w:color="auto"/>
                    <w:left w:val="none" w:sz="0" w:space="0" w:color="auto"/>
                    <w:bottom w:val="none" w:sz="0" w:space="0" w:color="auto"/>
                    <w:right w:val="none" w:sz="0" w:space="0" w:color="auto"/>
                  </w:divBdr>
                  <w:divsChild>
                    <w:div w:id="1496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23807468">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81029618">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4626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114">
          <w:marLeft w:val="0"/>
          <w:marRight w:val="0"/>
          <w:marTop w:val="0"/>
          <w:marBottom w:val="0"/>
          <w:divBdr>
            <w:top w:val="none" w:sz="0" w:space="0" w:color="auto"/>
            <w:left w:val="none" w:sz="0" w:space="0" w:color="auto"/>
            <w:bottom w:val="none" w:sz="0" w:space="0" w:color="auto"/>
            <w:right w:val="none" w:sz="0" w:space="0" w:color="auto"/>
          </w:divBdr>
          <w:divsChild>
            <w:div w:id="619845313">
              <w:marLeft w:val="0"/>
              <w:marRight w:val="0"/>
              <w:marTop w:val="0"/>
              <w:marBottom w:val="0"/>
              <w:divBdr>
                <w:top w:val="none" w:sz="0" w:space="0" w:color="auto"/>
                <w:left w:val="single" w:sz="6" w:space="0" w:color="FFFFFF"/>
                <w:bottom w:val="none" w:sz="0" w:space="0" w:color="auto"/>
                <w:right w:val="none" w:sz="0" w:space="0" w:color="auto"/>
              </w:divBdr>
              <w:divsChild>
                <w:div w:id="1233348776">
                  <w:marLeft w:val="0"/>
                  <w:marRight w:val="0"/>
                  <w:marTop w:val="0"/>
                  <w:marBottom w:val="0"/>
                  <w:divBdr>
                    <w:top w:val="none" w:sz="0" w:space="0" w:color="auto"/>
                    <w:left w:val="none" w:sz="0" w:space="0" w:color="auto"/>
                    <w:bottom w:val="none" w:sz="0" w:space="0" w:color="auto"/>
                    <w:right w:val="none" w:sz="0" w:space="0" w:color="auto"/>
                  </w:divBdr>
                  <w:divsChild>
                    <w:div w:id="888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8925485">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7200860">
      <w:bodyDiv w:val="1"/>
      <w:marLeft w:val="0"/>
      <w:marRight w:val="0"/>
      <w:marTop w:val="0"/>
      <w:marBottom w:val="0"/>
      <w:divBdr>
        <w:top w:val="none" w:sz="0" w:space="0" w:color="auto"/>
        <w:left w:val="none" w:sz="0" w:space="0" w:color="auto"/>
        <w:bottom w:val="none" w:sz="0" w:space="0" w:color="auto"/>
        <w:right w:val="none" w:sz="0" w:space="0" w:color="auto"/>
      </w:divBdr>
    </w:div>
    <w:div w:id="2086340317">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1C8FCE7B.dotm</Template>
  <TotalTime>0</TotalTime>
  <Pages>10</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2014-09-09T05:34:00Z</dcterms:created>
  <dcterms:modified xsi:type="dcterms:W3CDTF">2014-09-09T05:36:00Z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8259428</vt:lpwstr>
  </property>
</Properties>
</file>