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85A34"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BD0BB1" w:rsidRDefault="00D463BC" w:rsidP="00780239">
                  <w:pPr>
                    <w:pStyle w:val="Title"/>
                    <w:jc w:val="left"/>
                    <w:rPr>
                      <w:i/>
                    </w:rPr>
                  </w:pPr>
                  <w:r>
                    <w:t>21</w:t>
                  </w:r>
                  <w:r w:rsidR="005270A6" w:rsidRPr="00BD0BB1">
                    <w:t xml:space="preserve"> </w:t>
                  </w:r>
                  <w:r>
                    <w:t>to 27</w:t>
                  </w:r>
                  <w:r w:rsidR="002053BA">
                    <w:t xml:space="preserve"> </w:t>
                  </w:r>
                  <w:r w:rsidR="00BD0BB1" w:rsidRPr="00BD0BB1">
                    <w:t>September</w:t>
                  </w:r>
                  <w:r w:rsidR="00EC411D" w:rsidRPr="00BD0BB1">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99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D463BC">
        <w:t>21</w:t>
      </w:r>
      <w:r w:rsidR="00BB0611" w:rsidRPr="005270A6">
        <w:t xml:space="preserve"> </w:t>
      </w:r>
      <w:r w:rsidR="00780239" w:rsidRPr="005270A6">
        <w:t xml:space="preserve">to </w:t>
      </w:r>
      <w:r w:rsidR="00D463BC">
        <w:t>27</w:t>
      </w:r>
      <w:r w:rsidR="00BD0BB1">
        <w:t> September</w:t>
      </w:r>
      <w:r w:rsidRPr="005270A6">
        <w:t xml:space="preserve"> 2014.</w:t>
      </w:r>
      <w:r w:rsidR="00827053" w:rsidRPr="005270A6">
        <w:t xml:space="preserve"> </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D85A34"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D85A34"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pt;height:226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D463BC"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D463BC" w:rsidRDefault="00D463BC">
            <w:pPr>
              <w:rPr>
                <w:rFonts w:cs="Gautami"/>
                <w:b/>
                <w:bCs/>
                <w:sz w:val="16"/>
                <w:szCs w:val="16"/>
              </w:rPr>
            </w:pPr>
            <w:r>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25</w:t>
            </w:r>
          </w:p>
        </w:tc>
        <w:tc>
          <w:tcPr>
            <w:tcW w:w="781" w:type="pct"/>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34</w:t>
            </w:r>
          </w:p>
        </w:tc>
        <w:tc>
          <w:tcPr>
            <w:tcW w:w="781" w:type="pct"/>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32</w:t>
            </w:r>
          </w:p>
        </w:tc>
        <w:tc>
          <w:tcPr>
            <w:tcW w:w="781" w:type="pct"/>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33</w:t>
            </w:r>
          </w:p>
        </w:tc>
        <w:tc>
          <w:tcPr>
            <w:tcW w:w="781" w:type="pct"/>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33</w:t>
            </w:r>
          </w:p>
        </w:tc>
      </w:tr>
      <w:tr w:rsidR="00D463BC"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D463BC" w:rsidRDefault="00D463BC">
            <w:pPr>
              <w:rPr>
                <w:rFonts w:cs="Gautami"/>
                <w:b/>
                <w:bCs/>
                <w:sz w:val="16"/>
                <w:szCs w:val="16"/>
              </w:rPr>
            </w:pPr>
            <w:r>
              <w:rPr>
                <w:rFonts w:cs="Gautami"/>
                <w:b/>
                <w:bCs/>
                <w:sz w:val="16"/>
                <w:szCs w:val="16"/>
              </w:rPr>
              <w:t>13-14 financial YTD</w:t>
            </w:r>
          </w:p>
        </w:tc>
        <w:tc>
          <w:tcPr>
            <w:tcW w:w="518" w:type="pct"/>
            <w:tcBorders>
              <w:top w:val="nil"/>
              <w:left w:val="nil"/>
              <w:bottom w:val="nil"/>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55</w:t>
            </w:r>
          </w:p>
        </w:tc>
        <w:tc>
          <w:tcPr>
            <w:tcW w:w="781" w:type="pct"/>
            <w:tcBorders>
              <w:top w:val="nil"/>
              <w:left w:val="nil"/>
              <w:bottom w:val="nil"/>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47</w:t>
            </w:r>
          </w:p>
        </w:tc>
      </w:tr>
      <w:tr w:rsidR="00D463BC"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D463BC" w:rsidRDefault="00D463BC">
            <w:pPr>
              <w:rPr>
                <w:rFonts w:cs="Gautami"/>
                <w:b/>
                <w:bCs/>
                <w:sz w:val="16"/>
                <w:szCs w:val="16"/>
              </w:rPr>
            </w:pPr>
            <w:r>
              <w:rPr>
                <w:rFonts w:cs="Gautami"/>
                <w:b/>
                <w:bCs/>
                <w:sz w:val="16"/>
                <w:szCs w:val="16"/>
              </w:rPr>
              <w:t>14-15 financial YTD</w:t>
            </w:r>
          </w:p>
        </w:tc>
        <w:tc>
          <w:tcPr>
            <w:tcW w:w="518" w:type="pct"/>
            <w:tcBorders>
              <w:top w:val="nil"/>
              <w:left w:val="nil"/>
              <w:bottom w:val="single" w:sz="8" w:space="0" w:color="auto"/>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32</w:t>
            </w:r>
          </w:p>
        </w:tc>
        <w:tc>
          <w:tcPr>
            <w:tcW w:w="781" w:type="pct"/>
            <w:tcBorders>
              <w:top w:val="nil"/>
              <w:left w:val="nil"/>
              <w:bottom w:val="single" w:sz="8" w:space="0" w:color="auto"/>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40</w:t>
            </w:r>
          </w:p>
        </w:tc>
        <w:tc>
          <w:tcPr>
            <w:tcW w:w="781" w:type="pct"/>
            <w:tcBorders>
              <w:top w:val="nil"/>
              <w:left w:val="nil"/>
              <w:bottom w:val="single" w:sz="8" w:space="0" w:color="auto"/>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48</w:t>
            </w:r>
          </w:p>
        </w:tc>
        <w:tc>
          <w:tcPr>
            <w:tcW w:w="781" w:type="pct"/>
            <w:tcBorders>
              <w:top w:val="nil"/>
              <w:left w:val="nil"/>
              <w:bottom w:val="single" w:sz="8" w:space="0" w:color="auto"/>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37</w:t>
            </w:r>
          </w:p>
        </w:tc>
      </w:tr>
    </w:tbl>
    <w:p w:rsidR="00977DC4" w:rsidRPr="002D23B9" w:rsidRDefault="00B245E8" w:rsidP="00432196">
      <w:pPr>
        <w:pStyle w:val="AERbodytext"/>
        <w:spacing w:before="24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D463BC" w:rsidP="00D463BC">
      <w:pPr>
        <w:pStyle w:val="AERbodytext"/>
      </w:pPr>
      <w:r>
        <w:t>There were 20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D463BC" w:rsidRPr="00711C86" w:rsidTr="005677AE">
        <w:trPr>
          <w:trHeight w:hRule="exact" w:val="369"/>
        </w:trPr>
        <w:tc>
          <w:tcPr>
            <w:tcW w:w="3636" w:type="dxa"/>
            <w:tcBorders>
              <w:top w:val="nil"/>
              <w:left w:val="nil"/>
              <w:bottom w:val="nil"/>
              <w:right w:val="nil"/>
            </w:tcBorders>
            <w:shd w:val="clear" w:color="000000" w:fill="DDD9C3"/>
            <w:noWrap/>
            <w:vAlign w:val="center"/>
            <w:hideMark/>
          </w:tcPr>
          <w:p w:rsidR="00D463BC" w:rsidRDefault="00D463BC">
            <w:pPr>
              <w:rPr>
                <w:rFonts w:cs="Gautami"/>
                <w:b/>
                <w:bCs/>
                <w:sz w:val="16"/>
                <w:szCs w:val="16"/>
              </w:rPr>
            </w:pPr>
            <w:r>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5</w:t>
            </w:r>
          </w:p>
        </w:tc>
        <w:tc>
          <w:tcPr>
            <w:tcW w:w="1436" w:type="dxa"/>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56</w:t>
            </w:r>
          </w:p>
        </w:tc>
        <w:tc>
          <w:tcPr>
            <w:tcW w:w="1297" w:type="dxa"/>
            <w:tcBorders>
              <w:top w:val="nil"/>
              <w:left w:val="nil"/>
              <w:bottom w:val="nil"/>
              <w:right w:val="nil"/>
            </w:tcBorders>
            <w:shd w:val="clear" w:color="000000" w:fill="DDD9C3"/>
            <w:noWrap/>
            <w:vAlign w:val="center"/>
            <w:hideMark/>
          </w:tcPr>
          <w:p w:rsidR="00D463BC" w:rsidRDefault="00D463BC">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D463BC" w:rsidRDefault="00D463BC">
            <w:pPr>
              <w:jc w:val="center"/>
              <w:rPr>
                <w:rFonts w:cs="Gautami"/>
                <w:sz w:val="16"/>
                <w:szCs w:val="16"/>
              </w:rPr>
            </w:pPr>
            <w:r>
              <w:rPr>
                <w:rFonts w:cs="Gautami"/>
                <w:sz w:val="16"/>
                <w:szCs w:val="16"/>
              </w:rPr>
              <w:t>0</w:t>
            </w:r>
          </w:p>
        </w:tc>
      </w:tr>
      <w:tr w:rsidR="00D463BC" w:rsidRPr="00711C86" w:rsidTr="005677AE">
        <w:trPr>
          <w:trHeight w:hRule="exact" w:val="369"/>
        </w:trPr>
        <w:tc>
          <w:tcPr>
            <w:tcW w:w="3636" w:type="dxa"/>
            <w:tcBorders>
              <w:top w:val="nil"/>
              <w:left w:val="nil"/>
              <w:bottom w:val="single" w:sz="8" w:space="0" w:color="auto"/>
              <w:right w:val="nil"/>
            </w:tcBorders>
            <w:shd w:val="clear" w:color="000000" w:fill="EEECE1"/>
            <w:noWrap/>
            <w:vAlign w:val="center"/>
            <w:hideMark/>
          </w:tcPr>
          <w:p w:rsidR="00D463BC" w:rsidRDefault="00D463BC">
            <w:pPr>
              <w:rPr>
                <w:rFonts w:cs="Gautami"/>
                <w:b/>
                <w:bCs/>
                <w:sz w:val="16"/>
                <w:szCs w:val="16"/>
              </w:rPr>
            </w:pPr>
            <w:r>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38</w:t>
            </w:r>
          </w:p>
        </w:tc>
        <w:tc>
          <w:tcPr>
            <w:tcW w:w="1436" w:type="dxa"/>
            <w:tcBorders>
              <w:top w:val="nil"/>
              <w:left w:val="nil"/>
              <w:bottom w:val="single" w:sz="8" w:space="0" w:color="auto"/>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D463BC" w:rsidRDefault="00D463BC">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D463BC" w:rsidRDefault="00D463BC">
            <w:pPr>
              <w:jc w:val="center"/>
              <w:rPr>
                <w:rFonts w:cs="Gautami"/>
                <w:sz w:val="16"/>
                <w:szCs w:val="16"/>
              </w:rPr>
            </w:pPr>
            <w:r>
              <w:rPr>
                <w:rFonts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D85A34" w:rsidP="002652CD">
      <w:pPr>
        <w:pStyle w:val="AERbodytext"/>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51pt;height:324pt">
            <v:imagedata r:id="rId13" o:title=""/>
          </v:shape>
        </w:pict>
      </w:r>
    </w:p>
    <w:p w:rsidR="00F4461C" w:rsidRPr="005270A6" w:rsidRDefault="00F4461C" w:rsidP="00F4461C">
      <w:pPr>
        <w:pStyle w:val="Figureheading"/>
        <w:numPr>
          <w:ilvl w:val="0"/>
          <w:numId w:val="0"/>
        </w:numPr>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D85A34" w:rsidP="002652CD">
      <w:pPr>
        <w:pStyle w:val="AERbodytext"/>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51pt;height:324.5pt">
            <v:imagedata r:id="rId14"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D85A34" w:rsidP="00785F23">
      <w:pPr>
        <w:pStyle w:val="AERbodytext"/>
      </w:pPr>
      <w:r>
        <w:pict>
          <v:shape id="_x0000_i1030" type="#_x0000_t75" alt="&quot;Figure 5 shows the total generation dispatched and the amounts of capacity bid in within certain price bands for each 30 minute trading interval in Victorian this week.&#10;Should you require a description of the data for the week under review, please email us at AERInquiry@aer.gov.au.&quot;   &#10;" style="width:451pt;height:324.5pt">
            <v:imagedata r:id="rId15" o:title=""/>
          </v:shape>
        </w:pict>
      </w:r>
    </w:p>
    <w:p w:rsidR="00C52BE5" w:rsidRPr="006768AE" w:rsidRDefault="00780239" w:rsidP="00C52BE5">
      <w:pPr>
        <w:pStyle w:val="Figureheading"/>
        <w:numPr>
          <w:ilvl w:val="0"/>
          <w:numId w:val="0"/>
        </w:numPr>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D85A34"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51pt;height:324pt">
            <v:imagedata r:id="rId16"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D85A34" w:rsidP="002652CD">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51pt;height:324pt">
            <v:imagedata r:id="rId17" o:title=""/>
          </v:shape>
        </w:pic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C64E11" w:rsidRDefault="00C64E11" w:rsidP="00C64E11">
      <w:pPr>
        <w:pStyle w:val="AERbodytext"/>
      </w:pPr>
      <w:r>
        <w:t>The total cost of FCAS on the mainland for the week was $306</w:t>
      </w:r>
      <w:r w:rsidR="001F4145">
        <w:t> </w:t>
      </w:r>
      <w:r>
        <w:t>000 or less than 1 per cent of energy turnover on the mainland.</w:t>
      </w:r>
    </w:p>
    <w:p w:rsidR="005E4D3C" w:rsidRPr="006768AE" w:rsidRDefault="00C64E11" w:rsidP="00C64E11">
      <w:pPr>
        <w:pStyle w:val="AERbodytext"/>
      </w:pPr>
      <w:r>
        <w:t>The total cost of FCAS in Tasmania for the week was $77</w:t>
      </w:r>
      <w:r w:rsidR="001F4145">
        <w:t> </w:t>
      </w:r>
      <w:r>
        <w:t xml:space="preserve">500 or </w:t>
      </w:r>
      <w:r w:rsidR="001F4145">
        <w:t>around</w:t>
      </w:r>
      <w:r>
        <w:t xml:space="preserve"> </w:t>
      </w:r>
      <w:r w:rsidR="001F4145">
        <w:t>1.5</w:t>
      </w:r>
      <w:r>
        <w:t xml:space="preserve">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D85A34"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51pt;height:228pt">
            <v:imagedata r:id="rId18" o:title=""/>
          </v:shape>
        </w:pict>
      </w:r>
    </w:p>
    <w:bookmarkEnd w:id="0"/>
    <w:bookmarkEnd w:id="1"/>
    <w:bookmarkEnd w:id="2"/>
    <w:bookmarkEnd w:id="3"/>
    <w:bookmarkEnd w:id="4"/>
    <w:bookmarkEnd w:id="5"/>
    <w:p w:rsidR="00DD7CB4" w:rsidRPr="009121A1" w:rsidRDefault="00DD7CB4" w:rsidP="00DD7CB4">
      <w:pPr>
        <w:pStyle w:val="Heading2"/>
        <w:rPr>
          <w:color w:val="auto"/>
        </w:rPr>
      </w:pPr>
      <w:r w:rsidRPr="009121A1">
        <w:rPr>
          <w:color w:val="auto"/>
        </w:rPr>
        <w:t>Detailed market analysis of significant price events</w:t>
      </w:r>
    </w:p>
    <w:p w:rsidR="009121A1" w:rsidRDefault="00DD7CB4" w:rsidP="00DD7CB4">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rsidR="009121A1">
        <w:t xml:space="preserve"> </w:t>
      </w:r>
    </w:p>
    <w:p w:rsidR="00EC6284" w:rsidRDefault="00C64E11" w:rsidP="00EC6284">
      <w:pPr>
        <w:rPr>
          <w:lang w:eastAsia="en-US"/>
        </w:rPr>
      </w:pPr>
      <w:r w:rsidRPr="00C64E11">
        <w:rPr>
          <w:lang w:eastAsia="en-US"/>
        </w:rPr>
        <w:t>There was one occasion where the spot price in Queensland was below -$100/MWh</w:t>
      </w:r>
      <w:r w:rsidR="00EC6284" w:rsidRPr="00EC6284">
        <w:rPr>
          <w:lang w:eastAsia="en-US"/>
        </w:rPr>
        <w:t>.</w:t>
      </w:r>
    </w:p>
    <w:p w:rsidR="00C64E11" w:rsidRPr="00EC6284" w:rsidRDefault="00C64E11" w:rsidP="00EC6284">
      <w:pPr>
        <w:rPr>
          <w:lang w:eastAsia="en-US"/>
        </w:rPr>
      </w:pPr>
    </w:p>
    <w:p w:rsidR="009121A1" w:rsidRPr="009121A1" w:rsidRDefault="009121A1" w:rsidP="000B36CA">
      <w:pPr>
        <w:pStyle w:val="AERbodytext"/>
        <w:spacing w:after="120"/>
        <w:rPr>
          <w:b/>
        </w:rPr>
      </w:pPr>
      <w:r>
        <w:rPr>
          <w:b/>
        </w:rPr>
        <w:lastRenderedPageBreak/>
        <w:t xml:space="preserve">Table </w:t>
      </w:r>
      <w:r w:rsidR="00AB2D03" w:rsidRPr="00160199">
        <w:rPr>
          <w:b/>
        </w:rPr>
        <w:t>3</w:t>
      </w:r>
      <w:r w:rsidRPr="00160199">
        <w:rPr>
          <w:b/>
        </w:rPr>
        <w:t xml:space="preserve">: </w:t>
      </w:r>
      <w:r w:rsidR="00160199" w:rsidRPr="00160199">
        <w:rPr>
          <w:b/>
        </w:rPr>
        <w:t>Queensland</w:t>
      </w:r>
      <w:r w:rsidRPr="00160199">
        <w:rPr>
          <w:b/>
        </w:rPr>
        <w:t xml:space="preserve">, </w:t>
      </w:r>
      <w:r w:rsidR="00865850" w:rsidRPr="00160199">
        <w:rPr>
          <w:b/>
        </w:rPr>
        <w:t>T</w:t>
      </w:r>
      <w:r w:rsidR="00C64E11">
        <w:rPr>
          <w:b/>
        </w:rPr>
        <w:t>hursday</w:t>
      </w:r>
      <w:r w:rsidR="00EC6284" w:rsidRPr="00160199">
        <w:rPr>
          <w:b/>
        </w:rPr>
        <w:t xml:space="preserve"> </w:t>
      </w:r>
      <w:r w:rsidR="00C64E11">
        <w:rPr>
          <w:b/>
        </w:rPr>
        <w:t>25</w:t>
      </w:r>
      <w:r w:rsidR="00865850" w:rsidRPr="00160199">
        <w:rPr>
          <w:b/>
        </w:rPr>
        <w:t xml:space="preserve"> September</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4"/>
        <w:gridCol w:w="993"/>
        <w:gridCol w:w="1140"/>
        <w:gridCol w:w="1113"/>
        <w:gridCol w:w="867"/>
        <w:gridCol w:w="867"/>
        <w:gridCol w:w="725"/>
        <w:gridCol w:w="867"/>
        <w:gridCol w:w="867"/>
      </w:tblGrid>
      <w:tr w:rsidR="00711C86" w:rsidRPr="00711C86" w:rsidTr="00EB690D">
        <w:tc>
          <w:tcPr>
            <w:tcW w:w="530" w:type="pct"/>
            <w:tcBorders>
              <w:top w:val="single" w:sz="4" w:space="0" w:color="auto"/>
              <w:left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rPr>
                <w:b/>
                <w:bCs/>
                <w:color w:val="FFFFFF"/>
                <w:sz w:val="16"/>
                <w:szCs w:val="16"/>
              </w:rPr>
            </w:pPr>
            <w:r w:rsidRPr="00711C86">
              <w:rPr>
                <w:b/>
                <w:bCs/>
                <w:color w:val="FFFFFF"/>
                <w:sz w:val="16"/>
                <w:szCs w:val="16"/>
              </w:rPr>
              <w:t>Time</w:t>
            </w:r>
          </w:p>
        </w:tc>
        <w:tc>
          <w:tcPr>
            <w:tcW w:w="1600" w:type="pct"/>
            <w:gridSpan w:val="3"/>
            <w:tcBorders>
              <w:top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540" w:type="pct"/>
            <w:gridSpan w:val="3"/>
            <w:tcBorders>
              <w:top w:val="single" w:sz="4" w:space="0" w:color="auto"/>
              <w:bottom w:val="nil"/>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330" w:type="pct"/>
            <w:gridSpan w:val="3"/>
            <w:tcBorders>
              <w:top w:val="single" w:sz="4" w:space="0" w:color="auto"/>
              <w:bottom w:val="nil"/>
              <w:right w:val="single" w:sz="4" w:space="0" w:color="auto"/>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711C86" w:rsidRPr="003D3E89" w:rsidTr="00160199">
        <w:tc>
          <w:tcPr>
            <w:tcW w:w="530" w:type="pct"/>
            <w:tcBorders>
              <w:top w:val="nil"/>
              <w:left w:val="single" w:sz="4" w:space="0" w:color="auto"/>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537" w:type="pct"/>
            <w:tcBorders>
              <w:top w:val="nil"/>
              <w:left w:val="nil"/>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617" w:type="pct"/>
            <w:tcBorders>
              <w:top w:val="nil"/>
              <w:left w:val="nil"/>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60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6"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39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4"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r>
      <w:tr w:rsidR="00C465DE" w:rsidRPr="00C465DE" w:rsidTr="00746488">
        <w:tc>
          <w:tcPr>
            <w:tcW w:w="530" w:type="pct"/>
            <w:tcBorders>
              <w:top w:val="nil"/>
              <w:left w:val="single" w:sz="4" w:space="0" w:color="auto"/>
              <w:bottom w:val="single" w:sz="4" w:space="0" w:color="auto"/>
              <w:right w:val="single" w:sz="6" w:space="0" w:color="auto"/>
            </w:tcBorders>
            <w:shd w:val="clear" w:color="auto" w:fill="EEECE1"/>
            <w:noWrap/>
          </w:tcPr>
          <w:p w:rsidR="00160199" w:rsidRPr="00C465DE" w:rsidRDefault="00160199" w:rsidP="00C64E11">
            <w:pPr>
              <w:autoSpaceDE w:val="0"/>
              <w:autoSpaceDN w:val="0"/>
              <w:adjustRightInd w:val="0"/>
              <w:spacing w:before="100" w:after="100"/>
              <w:rPr>
                <w:b/>
                <w:bCs/>
                <w:sz w:val="16"/>
                <w:szCs w:val="16"/>
              </w:rPr>
            </w:pPr>
            <w:r w:rsidRPr="00C465DE">
              <w:rPr>
                <w:b/>
                <w:bCs/>
                <w:sz w:val="16"/>
                <w:szCs w:val="16"/>
              </w:rPr>
              <w:t>6</w:t>
            </w:r>
            <w:r w:rsidR="00C64E11">
              <w:rPr>
                <w:b/>
                <w:bCs/>
                <w:sz w:val="16"/>
                <w:szCs w:val="16"/>
              </w:rPr>
              <w:t xml:space="preserve"> AM</w:t>
            </w:r>
          </w:p>
        </w:tc>
        <w:tc>
          <w:tcPr>
            <w:tcW w:w="446" w:type="pct"/>
            <w:tcBorders>
              <w:top w:val="nil"/>
              <w:left w:val="single" w:sz="6" w:space="0" w:color="auto"/>
              <w:bottom w:val="single" w:sz="4" w:space="0" w:color="auto"/>
              <w:right w:val="nil"/>
            </w:tcBorders>
            <w:shd w:val="clear" w:color="auto" w:fill="EEECE1"/>
            <w:noWrap/>
            <w:vAlign w:val="center"/>
          </w:tcPr>
          <w:p w:rsidR="00160199" w:rsidRPr="00C465DE" w:rsidRDefault="00C64E11" w:rsidP="00160199">
            <w:pPr>
              <w:jc w:val="center"/>
              <w:rPr>
                <w:sz w:val="16"/>
                <w:szCs w:val="16"/>
              </w:rPr>
            </w:pPr>
            <w:r w:rsidRPr="00645A6F">
              <w:rPr>
                <w:sz w:val="16"/>
                <w:szCs w:val="16"/>
              </w:rPr>
              <w:t>-150.62</w:t>
            </w:r>
          </w:p>
        </w:tc>
        <w:tc>
          <w:tcPr>
            <w:tcW w:w="537" w:type="pct"/>
            <w:tcBorders>
              <w:top w:val="nil"/>
              <w:left w:val="nil"/>
              <w:bottom w:val="single" w:sz="4" w:space="0" w:color="auto"/>
              <w:right w:val="nil"/>
            </w:tcBorders>
            <w:shd w:val="clear" w:color="auto" w:fill="EEECE1"/>
            <w:noWrap/>
            <w:vAlign w:val="center"/>
          </w:tcPr>
          <w:p w:rsidR="00160199" w:rsidRPr="00C465DE" w:rsidRDefault="00746488" w:rsidP="00746488">
            <w:pPr>
              <w:jc w:val="center"/>
              <w:rPr>
                <w:sz w:val="16"/>
                <w:szCs w:val="16"/>
              </w:rPr>
            </w:pPr>
            <w:r w:rsidRPr="00746488">
              <w:rPr>
                <w:sz w:val="16"/>
                <w:szCs w:val="16"/>
              </w:rPr>
              <w:t>20.65</w:t>
            </w:r>
          </w:p>
        </w:tc>
        <w:tc>
          <w:tcPr>
            <w:tcW w:w="617" w:type="pct"/>
            <w:tcBorders>
              <w:top w:val="nil"/>
              <w:left w:val="nil"/>
              <w:bottom w:val="single" w:sz="4" w:space="0" w:color="auto"/>
              <w:right w:val="single" w:sz="6" w:space="0" w:color="auto"/>
            </w:tcBorders>
            <w:shd w:val="clear" w:color="auto" w:fill="EEECE1"/>
            <w:noWrap/>
            <w:vAlign w:val="center"/>
          </w:tcPr>
          <w:p w:rsidR="00160199" w:rsidRPr="00C465DE" w:rsidRDefault="00746488" w:rsidP="00160199">
            <w:pPr>
              <w:jc w:val="center"/>
              <w:rPr>
                <w:sz w:val="16"/>
                <w:szCs w:val="16"/>
              </w:rPr>
            </w:pPr>
            <w:r w:rsidRPr="00746488">
              <w:rPr>
                <w:sz w:val="16"/>
                <w:szCs w:val="16"/>
              </w:rPr>
              <w:t>20.65</w:t>
            </w:r>
          </w:p>
        </w:tc>
        <w:tc>
          <w:tcPr>
            <w:tcW w:w="602" w:type="pct"/>
            <w:tcBorders>
              <w:top w:val="nil"/>
              <w:left w:val="single" w:sz="6" w:space="0" w:color="auto"/>
              <w:bottom w:val="single" w:sz="4" w:space="0" w:color="auto"/>
              <w:right w:val="nil"/>
            </w:tcBorders>
            <w:shd w:val="clear" w:color="auto" w:fill="EEECE1"/>
            <w:vAlign w:val="center"/>
          </w:tcPr>
          <w:p w:rsidR="00160199" w:rsidRPr="00C465DE" w:rsidRDefault="00746488" w:rsidP="00160199">
            <w:pPr>
              <w:jc w:val="center"/>
              <w:rPr>
                <w:sz w:val="16"/>
                <w:szCs w:val="16"/>
              </w:rPr>
            </w:pPr>
            <w:r w:rsidRPr="00746488">
              <w:rPr>
                <w:sz w:val="16"/>
                <w:szCs w:val="16"/>
              </w:rPr>
              <w:t>5027</w:t>
            </w:r>
          </w:p>
        </w:tc>
        <w:tc>
          <w:tcPr>
            <w:tcW w:w="469" w:type="pct"/>
            <w:tcBorders>
              <w:top w:val="nil"/>
              <w:left w:val="nil"/>
              <w:bottom w:val="single" w:sz="4" w:space="0" w:color="auto"/>
              <w:right w:val="nil"/>
            </w:tcBorders>
            <w:shd w:val="clear" w:color="auto" w:fill="EEECE1"/>
            <w:vAlign w:val="center"/>
          </w:tcPr>
          <w:p w:rsidR="00160199" w:rsidRPr="00C465DE" w:rsidRDefault="00746488" w:rsidP="00160199">
            <w:pPr>
              <w:jc w:val="center"/>
              <w:rPr>
                <w:sz w:val="16"/>
                <w:szCs w:val="16"/>
              </w:rPr>
            </w:pPr>
            <w:r w:rsidRPr="00746488">
              <w:rPr>
                <w:sz w:val="16"/>
                <w:szCs w:val="16"/>
              </w:rPr>
              <w:t>5002</w:t>
            </w:r>
          </w:p>
        </w:tc>
        <w:tc>
          <w:tcPr>
            <w:tcW w:w="469" w:type="pct"/>
            <w:tcBorders>
              <w:top w:val="nil"/>
              <w:left w:val="nil"/>
              <w:bottom w:val="single" w:sz="4" w:space="0" w:color="auto"/>
              <w:right w:val="single" w:sz="6" w:space="0" w:color="auto"/>
            </w:tcBorders>
            <w:shd w:val="clear" w:color="auto" w:fill="EEECE1"/>
            <w:vAlign w:val="center"/>
          </w:tcPr>
          <w:p w:rsidR="00160199" w:rsidRPr="00C465DE" w:rsidRDefault="00746488" w:rsidP="00160199">
            <w:pPr>
              <w:jc w:val="center"/>
              <w:rPr>
                <w:sz w:val="16"/>
                <w:szCs w:val="16"/>
              </w:rPr>
            </w:pPr>
            <w:r w:rsidRPr="00746488">
              <w:rPr>
                <w:sz w:val="16"/>
                <w:szCs w:val="16"/>
              </w:rPr>
              <w:t>4965</w:t>
            </w:r>
          </w:p>
        </w:tc>
        <w:tc>
          <w:tcPr>
            <w:tcW w:w="392" w:type="pct"/>
            <w:tcBorders>
              <w:top w:val="nil"/>
              <w:left w:val="single" w:sz="6" w:space="0" w:color="auto"/>
              <w:bottom w:val="single" w:sz="4" w:space="0" w:color="auto"/>
              <w:right w:val="nil"/>
            </w:tcBorders>
            <w:shd w:val="clear" w:color="auto" w:fill="EEECE1"/>
            <w:vAlign w:val="center"/>
          </w:tcPr>
          <w:p w:rsidR="00160199" w:rsidRPr="00C465DE" w:rsidRDefault="00516CA1" w:rsidP="00160199">
            <w:pPr>
              <w:jc w:val="center"/>
              <w:rPr>
                <w:sz w:val="16"/>
                <w:szCs w:val="16"/>
              </w:rPr>
            </w:pPr>
            <w:r w:rsidRPr="00516CA1">
              <w:rPr>
                <w:sz w:val="16"/>
                <w:szCs w:val="16"/>
              </w:rPr>
              <w:t>9109</w:t>
            </w:r>
          </w:p>
        </w:tc>
        <w:tc>
          <w:tcPr>
            <w:tcW w:w="469" w:type="pct"/>
            <w:tcBorders>
              <w:top w:val="nil"/>
              <w:left w:val="nil"/>
              <w:bottom w:val="single" w:sz="4" w:space="0" w:color="auto"/>
              <w:right w:val="nil"/>
            </w:tcBorders>
            <w:shd w:val="clear" w:color="auto" w:fill="EEECE1"/>
            <w:vAlign w:val="center"/>
          </w:tcPr>
          <w:p w:rsidR="00160199" w:rsidRPr="00C465DE" w:rsidRDefault="00516CA1" w:rsidP="00160199">
            <w:pPr>
              <w:jc w:val="center"/>
              <w:rPr>
                <w:sz w:val="16"/>
                <w:szCs w:val="16"/>
              </w:rPr>
            </w:pPr>
            <w:r w:rsidRPr="00645A6F">
              <w:rPr>
                <w:sz w:val="16"/>
                <w:szCs w:val="16"/>
              </w:rPr>
              <w:t>9102</w:t>
            </w:r>
          </w:p>
        </w:tc>
        <w:tc>
          <w:tcPr>
            <w:tcW w:w="469" w:type="pct"/>
            <w:tcBorders>
              <w:top w:val="nil"/>
              <w:left w:val="nil"/>
              <w:bottom w:val="single" w:sz="4" w:space="0" w:color="auto"/>
              <w:right w:val="single" w:sz="4" w:space="0" w:color="auto"/>
            </w:tcBorders>
            <w:shd w:val="clear" w:color="auto" w:fill="EEECE1"/>
            <w:vAlign w:val="center"/>
          </w:tcPr>
          <w:p w:rsidR="00160199" w:rsidRPr="00C465DE" w:rsidRDefault="00516CA1" w:rsidP="00160199">
            <w:pPr>
              <w:jc w:val="center"/>
              <w:rPr>
                <w:sz w:val="16"/>
                <w:szCs w:val="16"/>
              </w:rPr>
            </w:pPr>
            <w:r w:rsidRPr="00645A6F">
              <w:rPr>
                <w:sz w:val="16"/>
                <w:szCs w:val="16"/>
              </w:rPr>
              <w:t>9132</w:t>
            </w:r>
          </w:p>
        </w:tc>
      </w:tr>
    </w:tbl>
    <w:p w:rsidR="00460C30" w:rsidRPr="00C465DE" w:rsidRDefault="00460C30" w:rsidP="00460C30">
      <w:pPr>
        <w:pStyle w:val="AERbodytext"/>
        <w:spacing w:after="120"/>
        <w:rPr>
          <w:sz w:val="6"/>
          <w:szCs w:val="16"/>
        </w:rPr>
      </w:pPr>
    </w:p>
    <w:p w:rsidR="003736B9" w:rsidRDefault="006C5E14" w:rsidP="003736B9">
      <w:r>
        <w:t>Conditions at the time saw</w:t>
      </w:r>
      <w:r w:rsidR="00283CB6">
        <w:t xml:space="preserve"> demand and availability close to forecast. </w:t>
      </w:r>
    </w:p>
    <w:p w:rsidR="00283CB6" w:rsidRDefault="00283CB6" w:rsidP="003736B9"/>
    <w:p w:rsidR="00283CB6" w:rsidRDefault="006C5E14" w:rsidP="003736B9">
      <w:r>
        <w:t>At 5.55 am constraints were invoked to manage the</w:t>
      </w:r>
      <w:r w:rsidR="00283CB6">
        <w:t xml:space="preserve"> unplanned outage of the Dumaresq to Bulli creek 330kV transmission line. </w:t>
      </w:r>
      <w:r>
        <w:t>The</w:t>
      </w:r>
      <w:r w:rsidR="006C3C7E">
        <w:t>se</w:t>
      </w:r>
      <w:r>
        <w:t xml:space="preserve"> constraints immediately bound and reduced exports from Queensland from 808 MW at 5.50 am to 284 MW at 5.55 am.</w:t>
      </w:r>
      <w:r w:rsidRPr="006C5E14">
        <w:t xml:space="preserve"> There was also a reduction in demand of </w:t>
      </w:r>
      <w:r>
        <w:t>59 </w:t>
      </w:r>
      <w:r w:rsidRPr="006C5E14">
        <w:t>MW at 5.55</w:t>
      </w:r>
      <w:r>
        <w:t> </w:t>
      </w:r>
      <w:r w:rsidRPr="006C5E14">
        <w:t>am leading to excess generation and generation being ramp rate limited as it could not be backed off quickly enough. This saw generation setting the price at the price floor at 5.55</w:t>
      </w:r>
      <w:r>
        <w:t> </w:t>
      </w:r>
      <w:r w:rsidRPr="006C5E14">
        <w:t>am.</w:t>
      </w:r>
    </w:p>
    <w:p w:rsidR="006C3C7E" w:rsidRDefault="006C3C7E" w:rsidP="003736B9"/>
    <w:p w:rsidR="00225120" w:rsidRDefault="006C3C7E" w:rsidP="003736B9">
      <w:r w:rsidRPr="006C5E14">
        <w:t>At 6</w:t>
      </w:r>
      <w:r>
        <w:t> </w:t>
      </w:r>
      <w:r w:rsidRPr="006C5E14">
        <w:t xml:space="preserve">am demand increased by </w:t>
      </w:r>
      <w:r>
        <w:t>45 </w:t>
      </w:r>
      <w:r w:rsidRPr="006C5E14">
        <w:t>MW and prices returned to previous levels.</w:t>
      </w:r>
    </w:p>
    <w:p w:rsidR="00E96C5A" w:rsidRPr="002D23B9" w:rsidRDefault="00E96C5A" w:rsidP="00C81890">
      <w:pPr>
        <w:pStyle w:val="Heading2"/>
        <w:rPr>
          <w:color w:val="auto"/>
        </w:rPr>
      </w:pPr>
      <w:r w:rsidRPr="002D23B9">
        <w:rPr>
          <w:color w:val="auto"/>
        </w:rPr>
        <w:t>Financial markets</w:t>
      </w:r>
    </w:p>
    <w:p w:rsidR="00E96C5A" w:rsidRPr="002D23B9" w:rsidRDefault="0078358A" w:rsidP="000B36CA">
      <w:pPr>
        <w:pStyle w:val="AERbodytext"/>
        <w:spacing w:after="120"/>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9856E5">
        <w:rPr>
          <w:color w:val="000000" w:themeColor="text1"/>
        </w:rPr>
        <w:t>Q3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9856E5">
        <w:rPr>
          <w:color w:val="000000" w:themeColor="text1"/>
        </w:rPr>
        <w:t>2</w:t>
      </w:r>
      <w:r w:rsidR="00BB0611" w:rsidRPr="00AA6275">
        <w:rPr>
          <w:color w:val="000000" w:themeColor="text1"/>
        </w:rPr>
        <w:t xml:space="preserve"> 2018</w:t>
      </w:r>
    </w:p>
    <w:p w:rsidR="00E96C5A" w:rsidRPr="002D23B9" w:rsidRDefault="00D85A34"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0B36CA">
      <w:pPr>
        <w:pStyle w:val="AERbodytext"/>
        <w:spacing w:after="120"/>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0B36CA">
      <w:pPr>
        <w:pStyle w:val="Figureheading"/>
        <w:numPr>
          <w:ilvl w:val="0"/>
          <w:numId w:val="0"/>
        </w:numPr>
        <w:spacing w:before="180"/>
        <w:ind w:left="357" w:hanging="357"/>
        <w:rPr>
          <w:color w:val="000000" w:themeColor="text1"/>
        </w:rPr>
      </w:pPr>
      <w:r w:rsidRPr="00AA6275">
        <w:rPr>
          <w:color w:val="000000" w:themeColor="text1"/>
        </w:rPr>
        <w:lastRenderedPageBreak/>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D85A34" w:rsidP="000B36CA">
      <w:pPr>
        <w:pStyle w:val="AERbodytext"/>
        <w:spacing w:after="0"/>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1pt;height:228pt">
            <v:imagedata r:id="rId21" o:title=""/>
          </v:shape>
        </w:pict>
      </w:r>
    </w:p>
    <w:p w:rsidR="00E96C5A" w:rsidRPr="002D23B9" w:rsidRDefault="00E96C5A" w:rsidP="000B36CA">
      <w:pPr>
        <w:pStyle w:val="AERbodytext"/>
        <w:spacing w:before="120" w:after="6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0B36CA">
      <w:pPr>
        <w:pStyle w:val="Sourceandnotes"/>
        <w:spacing w:after="200"/>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0B36CA">
      <w:pPr>
        <w:pStyle w:val="AERbodytext"/>
        <w:spacing w:after="200"/>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B36C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B36CA">
      <w:pPr>
        <w:pStyle w:val="Figureheading"/>
        <w:numPr>
          <w:ilvl w:val="0"/>
          <w:numId w:val="0"/>
        </w:numPr>
        <w:spacing w:before="18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D85A34" w:rsidP="000B36CA">
      <w:pPr>
        <w:pStyle w:val="AERbodytext"/>
        <w:spacing w:after="20"/>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1pt;height:226.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0B36CA">
      <w:pPr>
        <w:pStyle w:val="AERbodytext"/>
        <w:keepNext/>
        <w:spacing w:before="240" w:after="120" w:line="240" w:lineRule="auto"/>
        <w:jc w:val="left"/>
        <w:rPr>
          <w:b/>
        </w:rPr>
      </w:pPr>
      <w:r w:rsidRPr="002D23B9">
        <w:rPr>
          <w:b/>
        </w:rPr>
        <w:t>Australian Energy Regulator</w:t>
      </w:r>
    </w:p>
    <w:p w:rsidR="00E96C5A" w:rsidRPr="00AA6275" w:rsidRDefault="0088766A" w:rsidP="003157C3">
      <w:pPr>
        <w:rPr>
          <w:color w:val="000000" w:themeColor="text1"/>
        </w:rPr>
      </w:pPr>
      <w:r>
        <w:rPr>
          <w:b/>
          <w:color w:val="000000" w:themeColor="text1"/>
        </w:rPr>
        <w:t>October</w:t>
      </w:r>
      <w:r w:rsidR="00B54368"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85A34">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66764" w:rsidRPr="00F66764">
      <w:rPr>
        <w:i/>
      </w:rPr>
      <w:t>D14/</w:t>
    </w:r>
    <w:r w:rsidR="0056600C">
      <w:rPr>
        <w:i/>
      </w:rPr>
      <w:t>1</w:t>
    </w:r>
    <w:r w:rsidR="0088766A">
      <w:rPr>
        <w:i/>
      </w:rPr>
      <w:t>3</w:t>
    </w:r>
    <w:r w:rsidR="001F4145">
      <w:rPr>
        <w:i/>
      </w:rPr>
      <w:t>2552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 w:numId="17">
    <w:abstractNumId w:val="15"/>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43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6988\D14 132552  20140921 - 20140927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215"/>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0DE"/>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45"/>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3BA"/>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20"/>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9BE"/>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A55"/>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3B99"/>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C7E"/>
    <w:rsid w:val="006C3F66"/>
    <w:rsid w:val="006C3F85"/>
    <w:rsid w:val="006C40BC"/>
    <w:rsid w:val="006C4985"/>
    <w:rsid w:val="006C50F9"/>
    <w:rsid w:val="006C55F3"/>
    <w:rsid w:val="006C560F"/>
    <w:rsid w:val="006C5E14"/>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5FF7"/>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2FEE"/>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DB8"/>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26"/>
    <w:rsid w:val="00C44FA1"/>
    <w:rsid w:val="00C45739"/>
    <w:rsid w:val="00C4585F"/>
    <w:rsid w:val="00C458C7"/>
    <w:rsid w:val="00C461E7"/>
    <w:rsid w:val="00C4627B"/>
    <w:rsid w:val="00C4655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A34"/>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BAC"/>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4F9"/>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A5A"/>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D22"/>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23B"/>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39"/>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7A5C-89BF-4DB7-8868-070836E1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C078C442.dotm</Template>
  <TotalTime>0</TotalTime>
  <Pages>8</Pages>
  <Words>1237</Words>
  <Characters>7055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2014-10-14T06:00:00Z</dcterms:created>
  <dcterms:modified xsi:type="dcterms:W3CDTF">2014-10-14T06:00:00Z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H:\TRIMDATA\TRIM\TEMP\HPTRIM.6988\D14 132552  20140921 - 20140927 Electricity weekly report.DOCX</vt:lpwstr>
  </property>
</Properties>
</file>