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B1248B"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81.75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BD0BB1" w:rsidRDefault="00D463BC" w:rsidP="00780239">
                  <w:pPr>
                    <w:pStyle w:val="Title"/>
                    <w:jc w:val="left"/>
                    <w:rPr>
                      <w:i/>
                    </w:rPr>
                  </w:pPr>
                  <w:r>
                    <w:t>2</w:t>
                  </w:r>
                  <w:r w:rsidR="00A20FC6">
                    <w:t>8 September</w:t>
                  </w:r>
                  <w:r w:rsidR="005270A6" w:rsidRPr="00BD0BB1">
                    <w:t xml:space="preserve"> </w:t>
                  </w:r>
                  <w:r>
                    <w:t xml:space="preserve">to </w:t>
                  </w:r>
                  <w:r w:rsidR="00A20FC6">
                    <w:t>4</w:t>
                  </w:r>
                  <w:r w:rsidR="002053BA">
                    <w:t xml:space="preserve"> </w:t>
                  </w:r>
                  <w:r w:rsidR="00A20FC6">
                    <w:t>October</w:t>
                  </w:r>
                  <w:r w:rsidR="00EC411D" w:rsidRPr="00BD0BB1">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3pt;height:99.05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D463BC">
        <w:t>2</w:t>
      </w:r>
      <w:r w:rsidR="00A20FC6">
        <w:t>8 September</w:t>
      </w:r>
      <w:r w:rsidR="00BB0611" w:rsidRPr="005270A6">
        <w:t xml:space="preserve"> </w:t>
      </w:r>
      <w:r w:rsidR="00780239" w:rsidRPr="005270A6">
        <w:t xml:space="preserve">to </w:t>
      </w:r>
      <w:r w:rsidR="00A20FC6">
        <w:t>4 October</w:t>
      </w:r>
      <w:r w:rsidRPr="005270A6">
        <w:t xml:space="preserve"> 2014.</w:t>
      </w:r>
      <w:r w:rsidR="00827053" w:rsidRPr="005270A6">
        <w:t xml:space="preserve"> </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B1248B"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5.8pt">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9E41C5"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5.8pt">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007A8F" w:rsidRPr="009340BA" w:rsidTr="00A14EE3">
        <w:trPr>
          <w:trHeight w:hRule="exact" w:val="340"/>
        </w:trPr>
        <w:tc>
          <w:tcPr>
            <w:tcW w:w="1357" w:type="pct"/>
            <w:tcBorders>
              <w:top w:val="nil"/>
              <w:left w:val="nil"/>
              <w:bottom w:val="nil"/>
              <w:right w:val="nil"/>
            </w:tcBorders>
            <w:shd w:val="clear" w:color="000000" w:fill="DDD9C3"/>
            <w:noWrap/>
            <w:vAlign w:val="center"/>
            <w:hideMark/>
          </w:tcPr>
          <w:p w:rsidR="00007A8F" w:rsidRDefault="00007A8F">
            <w:pPr>
              <w:rPr>
                <w:rFonts w:cs="Gautami"/>
                <w:b/>
                <w:bCs/>
                <w:sz w:val="16"/>
                <w:szCs w:val="16"/>
              </w:rPr>
            </w:pPr>
            <w:r>
              <w:rPr>
                <w:rFonts w:cs="Gautami"/>
                <w:b/>
                <w:bCs/>
                <w:sz w:val="16"/>
                <w:szCs w:val="16"/>
              </w:rPr>
              <w:t>Current week</w:t>
            </w:r>
          </w:p>
        </w:tc>
        <w:tc>
          <w:tcPr>
            <w:tcW w:w="518" w:type="pct"/>
            <w:tcBorders>
              <w:top w:val="nil"/>
              <w:left w:val="nil"/>
              <w:bottom w:val="nil"/>
              <w:right w:val="nil"/>
            </w:tcBorders>
            <w:shd w:val="clear" w:color="000000" w:fill="DDD9C3"/>
            <w:noWrap/>
          </w:tcPr>
          <w:p w:rsidR="00007A8F" w:rsidRPr="00B926C2" w:rsidRDefault="00007A8F" w:rsidP="00007A8F">
            <w:pPr>
              <w:jc w:val="center"/>
            </w:pPr>
            <w:r w:rsidRPr="00B926C2">
              <w:t>18</w:t>
            </w:r>
          </w:p>
        </w:tc>
        <w:tc>
          <w:tcPr>
            <w:tcW w:w="781" w:type="pct"/>
            <w:tcBorders>
              <w:top w:val="nil"/>
              <w:left w:val="nil"/>
              <w:bottom w:val="nil"/>
              <w:right w:val="nil"/>
            </w:tcBorders>
            <w:shd w:val="clear" w:color="000000" w:fill="DDD9C3"/>
            <w:noWrap/>
          </w:tcPr>
          <w:p w:rsidR="00007A8F" w:rsidRPr="00B926C2" w:rsidRDefault="00007A8F" w:rsidP="00007A8F">
            <w:pPr>
              <w:jc w:val="center"/>
            </w:pPr>
            <w:r w:rsidRPr="00B926C2">
              <w:t>30</w:t>
            </w:r>
          </w:p>
        </w:tc>
        <w:tc>
          <w:tcPr>
            <w:tcW w:w="781" w:type="pct"/>
            <w:tcBorders>
              <w:top w:val="nil"/>
              <w:left w:val="nil"/>
              <w:bottom w:val="nil"/>
              <w:right w:val="nil"/>
            </w:tcBorders>
            <w:shd w:val="clear" w:color="000000" w:fill="DDD9C3"/>
            <w:noWrap/>
          </w:tcPr>
          <w:p w:rsidR="00007A8F" w:rsidRPr="00B926C2" w:rsidRDefault="00007A8F" w:rsidP="00007A8F">
            <w:pPr>
              <w:jc w:val="center"/>
            </w:pPr>
            <w:r w:rsidRPr="00B926C2">
              <w:t>26</w:t>
            </w:r>
          </w:p>
        </w:tc>
        <w:tc>
          <w:tcPr>
            <w:tcW w:w="781" w:type="pct"/>
            <w:tcBorders>
              <w:top w:val="nil"/>
              <w:left w:val="nil"/>
              <w:bottom w:val="nil"/>
              <w:right w:val="nil"/>
            </w:tcBorders>
            <w:shd w:val="clear" w:color="000000" w:fill="DDD9C3"/>
            <w:noWrap/>
          </w:tcPr>
          <w:p w:rsidR="00007A8F" w:rsidRPr="00B926C2" w:rsidRDefault="00007A8F" w:rsidP="00007A8F">
            <w:pPr>
              <w:jc w:val="center"/>
            </w:pPr>
            <w:r w:rsidRPr="00B926C2">
              <w:t>29</w:t>
            </w:r>
          </w:p>
        </w:tc>
        <w:tc>
          <w:tcPr>
            <w:tcW w:w="781" w:type="pct"/>
            <w:tcBorders>
              <w:top w:val="nil"/>
              <w:left w:val="nil"/>
              <w:bottom w:val="nil"/>
              <w:right w:val="nil"/>
            </w:tcBorders>
            <w:shd w:val="clear" w:color="000000" w:fill="DDD9C3"/>
            <w:noWrap/>
          </w:tcPr>
          <w:p w:rsidR="00007A8F" w:rsidRPr="00B926C2" w:rsidRDefault="00007A8F" w:rsidP="00007A8F">
            <w:pPr>
              <w:jc w:val="center"/>
            </w:pPr>
            <w:r w:rsidRPr="00B926C2">
              <w:t>30</w:t>
            </w:r>
          </w:p>
        </w:tc>
      </w:tr>
      <w:tr w:rsidR="00007A8F" w:rsidRPr="009340BA" w:rsidTr="00A14EE3">
        <w:trPr>
          <w:trHeight w:hRule="exact" w:val="340"/>
        </w:trPr>
        <w:tc>
          <w:tcPr>
            <w:tcW w:w="1357" w:type="pct"/>
            <w:tcBorders>
              <w:top w:val="nil"/>
              <w:left w:val="nil"/>
              <w:bottom w:val="nil"/>
              <w:right w:val="nil"/>
            </w:tcBorders>
            <w:shd w:val="clear" w:color="000000" w:fill="EEECE1"/>
            <w:noWrap/>
            <w:vAlign w:val="center"/>
            <w:hideMark/>
          </w:tcPr>
          <w:p w:rsidR="00007A8F" w:rsidRDefault="00007A8F">
            <w:pPr>
              <w:rPr>
                <w:rFonts w:cs="Gautami"/>
                <w:b/>
                <w:bCs/>
                <w:sz w:val="16"/>
                <w:szCs w:val="16"/>
              </w:rPr>
            </w:pPr>
            <w:r>
              <w:rPr>
                <w:rFonts w:cs="Gautami"/>
                <w:b/>
                <w:bCs/>
                <w:sz w:val="16"/>
                <w:szCs w:val="16"/>
              </w:rPr>
              <w:t>13-14 financial YTD</w:t>
            </w:r>
          </w:p>
        </w:tc>
        <w:tc>
          <w:tcPr>
            <w:tcW w:w="518" w:type="pct"/>
            <w:tcBorders>
              <w:top w:val="nil"/>
              <w:left w:val="nil"/>
              <w:bottom w:val="nil"/>
              <w:right w:val="nil"/>
            </w:tcBorders>
            <w:shd w:val="clear" w:color="000000" w:fill="EEECE1"/>
            <w:noWrap/>
          </w:tcPr>
          <w:p w:rsidR="00007A8F" w:rsidRPr="00B926C2" w:rsidRDefault="00007A8F" w:rsidP="00007A8F">
            <w:pPr>
              <w:jc w:val="center"/>
            </w:pPr>
            <w:r w:rsidRPr="00B926C2">
              <w:t>60</w:t>
            </w:r>
          </w:p>
        </w:tc>
        <w:tc>
          <w:tcPr>
            <w:tcW w:w="781" w:type="pct"/>
            <w:tcBorders>
              <w:top w:val="nil"/>
              <w:left w:val="nil"/>
              <w:bottom w:val="nil"/>
              <w:right w:val="nil"/>
            </w:tcBorders>
            <w:shd w:val="clear" w:color="000000" w:fill="EEECE1"/>
            <w:noWrap/>
          </w:tcPr>
          <w:p w:rsidR="00007A8F" w:rsidRPr="00B926C2" w:rsidRDefault="00007A8F" w:rsidP="00007A8F">
            <w:pPr>
              <w:jc w:val="center"/>
            </w:pPr>
            <w:r w:rsidRPr="00B926C2">
              <w:t>55</w:t>
            </w:r>
          </w:p>
        </w:tc>
        <w:tc>
          <w:tcPr>
            <w:tcW w:w="781" w:type="pct"/>
            <w:tcBorders>
              <w:top w:val="nil"/>
              <w:left w:val="nil"/>
              <w:bottom w:val="nil"/>
              <w:right w:val="nil"/>
            </w:tcBorders>
            <w:shd w:val="clear" w:color="000000" w:fill="EEECE1"/>
            <w:noWrap/>
          </w:tcPr>
          <w:p w:rsidR="00007A8F" w:rsidRPr="00B926C2" w:rsidRDefault="00007A8F" w:rsidP="00007A8F">
            <w:pPr>
              <w:jc w:val="center"/>
            </w:pPr>
            <w:r w:rsidRPr="00B926C2">
              <w:t>55</w:t>
            </w:r>
          </w:p>
        </w:tc>
        <w:tc>
          <w:tcPr>
            <w:tcW w:w="781" w:type="pct"/>
            <w:tcBorders>
              <w:top w:val="nil"/>
              <w:left w:val="nil"/>
              <w:bottom w:val="nil"/>
              <w:right w:val="nil"/>
            </w:tcBorders>
            <w:shd w:val="clear" w:color="000000" w:fill="EEECE1"/>
            <w:noWrap/>
          </w:tcPr>
          <w:p w:rsidR="00007A8F" w:rsidRPr="00B926C2" w:rsidRDefault="00007A8F" w:rsidP="00007A8F">
            <w:pPr>
              <w:jc w:val="center"/>
            </w:pPr>
            <w:r w:rsidRPr="00B926C2">
              <w:t>69</w:t>
            </w:r>
          </w:p>
        </w:tc>
        <w:tc>
          <w:tcPr>
            <w:tcW w:w="781" w:type="pct"/>
            <w:tcBorders>
              <w:top w:val="nil"/>
              <w:left w:val="nil"/>
              <w:bottom w:val="nil"/>
              <w:right w:val="nil"/>
            </w:tcBorders>
            <w:shd w:val="clear" w:color="000000" w:fill="EEECE1"/>
            <w:noWrap/>
          </w:tcPr>
          <w:p w:rsidR="00007A8F" w:rsidRPr="00B926C2" w:rsidRDefault="00007A8F" w:rsidP="00007A8F">
            <w:pPr>
              <w:jc w:val="center"/>
            </w:pPr>
            <w:r w:rsidRPr="00B926C2">
              <w:t>47</w:t>
            </w:r>
          </w:p>
        </w:tc>
      </w:tr>
      <w:tr w:rsidR="00007A8F" w:rsidRPr="009340BA" w:rsidTr="00A14EE3">
        <w:trPr>
          <w:trHeight w:hRule="exact" w:val="340"/>
        </w:trPr>
        <w:tc>
          <w:tcPr>
            <w:tcW w:w="1357" w:type="pct"/>
            <w:tcBorders>
              <w:top w:val="nil"/>
              <w:left w:val="nil"/>
              <w:bottom w:val="single" w:sz="8" w:space="0" w:color="auto"/>
              <w:right w:val="nil"/>
            </w:tcBorders>
            <w:shd w:val="clear" w:color="000000" w:fill="DDD9C3"/>
            <w:noWrap/>
            <w:vAlign w:val="center"/>
            <w:hideMark/>
          </w:tcPr>
          <w:p w:rsidR="00007A8F" w:rsidRDefault="00007A8F">
            <w:pPr>
              <w:rPr>
                <w:rFonts w:cs="Gautami"/>
                <w:b/>
                <w:bCs/>
                <w:sz w:val="16"/>
                <w:szCs w:val="16"/>
              </w:rPr>
            </w:pPr>
            <w:r>
              <w:rPr>
                <w:rFonts w:cs="Gautami"/>
                <w:b/>
                <w:bCs/>
                <w:sz w:val="16"/>
                <w:szCs w:val="16"/>
              </w:rPr>
              <w:t>14-15 financial YTD</w:t>
            </w:r>
          </w:p>
        </w:tc>
        <w:tc>
          <w:tcPr>
            <w:tcW w:w="518" w:type="pct"/>
            <w:tcBorders>
              <w:top w:val="nil"/>
              <w:left w:val="nil"/>
              <w:bottom w:val="single" w:sz="8" w:space="0" w:color="auto"/>
              <w:right w:val="nil"/>
            </w:tcBorders>
            <w:shd w:val="clear" w:color="000000" w:fill="DDD9C3"/>
            <w:noWrap/>
          </w:tcPr>
          <w:p w:rsidR="00007A8F" w:rsidRPr="00B926C2" w:rsidRDefault="00007A8F" w:rsidP="00007A8F">
            <w:pPr>
              <w:jc w:val="center"/>
            </w:pPr>
            <w:r w:rsidRPr="00B926C2">
              <w:t>31</w:t>
            </w:r>
          </w:p>
        </w:tc>
        <w:tc>
          <w:tcPr>
            <w:tcW w:w="781" w:type="pct"/>
            <w:tcBorders>
              <w:top w:val="nil"/>
              <w:left w:val="nil"/>
              <w:bottom w:val="single" w:sz="8" w:space="0" w:color="auto"/>
              <w:right w:val="nil"/>
            </w:tcBorders>
            <w:shd w:val="clear" w:color="000000" w:fill="DDD9C3"/>
            <w:noWrap/>
          </w:tcPr>
          <w:p w:rsidR="00007A8F" w:rsidRPr="00B926C2" w:rsidRDefault="00007A8F" w:rsidP="00007A8F">
            <w:pPr>
              <w:jc w:val="center"/>
            </w:pPr>
            <w:r w:rsidRPr="00B926C2">
              <w:t>40</w:t>
            </w:r>
          </w:p>
        </w:tc>
        <w:tc>
          <w:tcPr>
            <w:tcW w:w="781" w:type="pct"/>
            <w:tcBorders>
              <w:top w:val="nil"/>
              <w:left w:val="nil"/>
              <w:bottom w:val="single" w:sz="8" w:space="0" w:color="auto"/>
              <w:right w:val="nil"/>
            </w:tcBorders>
            <w:shd w:val="clear" w:color="000000" w:fill="DDD9C3"/>
            <w:noWrap/>
          </w:tcPr>
          <w:p w:rsidR="00007A8F" w:rsidRPr="00B926C2" w:rsidRDefault="00007A8F" w:rsidP="00007A8F">
            <w:pPr>
              <w:jc w:val="center"/>
            </w:pPr>
            <w:r w:rsidRPr="00B926C2">
              <w:t>37</w:t>
            </w:r>
          </w:p>
        </w:tc>
        <w:tc>
          <w:tcPr>
            <w:tcW w:w="781" w:type="pct"/>
            <w:tcBorders>
              <w:top w:val="nil"/>
              <w:left w:val="nil"/>
              <w:bottom w:val="single" w:sz="8" w:space="0" w:color="auto"/>
              <w:right w:val="nil"/>
            </w:tcBorders>
            <w:shd w:val="clear" w:color="000000" w:fill="DDD9C3"/>
            <w:noWrap/>
          </w:tcPr>
          <w:p w:rsidR="00007A8F" w:rsidRPr="00B926C2" w:rsidRDefault="00007A8F" w:rsidP="00007A8F">
            <w:pPr>
              <w:jc w:val="center"/>
            </w:pPr>
            <w:r w:rsidRPr="00B926C2">
              <w:t>47</w:t>
            </w:r>
          </w:p>
        </w:tc>
        <w:tc>
          <w:tcPr>
            <w:tcW w:w="781" w:type="pct"/>
            <w:tcBorders>
              <w:top w:val="nil"/>
              <w:left w:val="nil"/>
              <w:bottom w:val="single" w:sz="8" w:space="0" w:color="auto"/>
              <w:right w:val="nil"/>
            </w:tcBorders>
            <w:shd w:val="clear" w:color="000000" w:fill="DDD9C3"/>
            <w:noWrap/>
          </w:tcPr>
          <w:p w:rsidR="00007A8F" w:rsidRDefault="00007A8F" w:rsidP="00007A8F">
            <w:pPr>
              <w:jc w:val="center"/>
            </w:pPr>
            <w:r w:rsidRPr="00B926C2">
              <w:t>36</w:t>
            </w:r>
          </w:p>
        </w:tc>
      </w:tr>
    </w:tbl>
    <w:p w:rsidR="00977DC4" w:rsidRPr="002D23B9" w:rsidRDefault="00B245E8" w:rsidP="00432196">
      <w:pPr>
        <w:pStyle w:val="AERbodytext"/>
        <w:spacing w:before="24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87FBC" w:rsidP="00987FBC">
      <w:pPr>
        <w:pStyle w:val="AERbodytext"/>
      </w:pPr>
      <w:r>
        <w:t xml:space="preserve">There were 57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007A8F" w:rsidRPr="00711C86" w:rsidTr="00A20FC6">
        <w:trPr>
          <w:trHeight w:hRule="exact" w:val="369"/>
        </w:trPr>
        <w:tc>
          <w:tcPr>
            <w:tcW w:w="3636" w:type="dxa"/>
            <w:tcBorders>
              <w:top w:val="nil"/>
              <w:left w:val="nil"/>
              <w:bottom w:val="nil"/>
              <w:right w:val="nil"/>
            </w:tcBorders>
            <w:shd w:val="clear" w:color="000000" w:fill="DDD9C3"/>
            <w:noWrap/>
            <w:vAlign w:val="center"/>
            <w:hideMark/>
          </w:tcPr>
          <w:p w:rsidR="00007A8F" w:rsidRDefault="00007A8F">
            <w:pPr>
              <w:rPr>
                <w:rFonts w:cs="Gautami"/>
                <w:b/>
                <w:bCs/>
                <w:sz w:val="16"/>
                <w:szCs w:val="16"/>
              </w:rPr>
            </w:pPr>
            <w:r>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tcPr>
          <w:p w:rsidR="00007A8F" w:rsidRDefault="00007A8F">
            <w:pPr>
              <w:jc w:val="center"/>
              <w:rPr>
                <w:rFonts w:cs="Gautami"/>
                <w:sz w:val="16"/>
                <w:szCs w:val="16"/>
              </w:rPr>
            </w:pPr>
            <w:r>
              <w:rPr>
                <w:rFonts w:cs="Gautami"/>
                <w:sz w:val="16"/>
                <w:szCs w:val="16"/>
              </w:rPr>
              <w:t>15</w:t>
            </w:r>
          </w:p>
        </w:tc>
        <w:tc>
          <w:tcPr>
            <w:tcW w:w="1436" w:type="dxa"/>
            <w:tcBorders>
              <w:top w:val="nil"/>
              <w:left w:val="nil"/>
              <w:bottom w:val="nil"/>
              <w:right w:val="nil"/>
            </w:tcBorders>
            <w:shd w:val="clear" w:color="000000" w:fill="DDD9C3"/>
            <w:noWrap/>
            <w:vAlign w:val="center"/>
          </w:tcPr>
          <w:p w:rsidR="00007A8F" w:rsidRDefault="00007A8F">
            <w:pPr>
              <w:jc w:val="center"/>
              <w:rPr>
                <w:rFonts w:cs="Gautami"/>
                <w:sz w:val="16"/>
                <w:szCs w:val="16"/>
              </w:rPr>
            </w:pPr>
            <w:r>
              <w:rPr>
                <w:rFonts w:cs="Gautami"/>
                <w:sz w:val="16"/>
                <w:szCs w:val="16"/>
              </w:rPr>
              <w:t>31</w:t>
            </w:r>
          </w:p>
        </w:tc>
        <w:tc>
          <w:tcPr>
            <w:tcW w:w="1297" w:type="dxa"/>
            <w:tcBorders>
              <w:top w:val="nil"/>
              <w:left w:val="nil"/>
              <w:bottom w:val="nil"/>
              <w:right w:val="nil"/>
            </w:tcBorders>
            <w:shd w:val="clear" w:color="000000" w:fill="DDD9C3"/>
            <w:noWrap/>
            <w:vAlign w:val="center"/>
          </w:tcPr>
          <w:p w:rsidR="00007A8F" w:rsidRDefault="00007A8F">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tcPr>
          <w:p w:rsidR="00007A8F" w:rsidRDefault="00007A8F">
            <w:pPr>
              <w:jc w:val="center"/>
              <w:rPr>
                <w:rFonts w:cs="Gautami"/>
                <w:sz w:val="16"/>
                <w:szCs w:val="16"/>
              </w:rPr>
            </w:pPr>
            <w:r>
              <w:rPr>
                <w:rFonts w:cs="Gautami"/>
                <w:sz w:val="16"/>
                <w:szCs w:val="16"/>
              </w:rPr>
              <w:t>3</w:t>
            </w:r>
          </w:p>
        </w:tc>
      </w:tr>
      <w:tr w:rsidR="00007A8F" w:rsidRPr="00711C86" w:rsidTr="00A20FC6">
        <w:trPr>
          <w:trHeight w:hRule="exact" w:val="369"/>
        </w:trPr>
        <w:tc>
          <w:tcPr>
            <w:tcW w:w="3636" w:type="dxa"/>
            <w:tcBorders>
              <w:top w:val="nil"/>
              <w:left w:val="nil"/>
              <w:bottom w:val="single" w:sz="8" w:space="0" w:color="auto"/>
              <w:right w:val="nil"/>
            </w:tcBorders>
            <w:shd w:val="clear" w:color="000000" w:fill="EEECE1"/>
            <w:noWrap/>
            <w:vAlign w:val="center"/>
            <w:hideMark/>
          </w:tcPr>
          <w:p w:rsidR="00007A8F" w:rsidRDefault="00007A8F">
            <w:pPr>
              <w:rPr>
                <w:rFonts w:cs="Gautami"/>
                <w:b/>
                <w:bCs/>
                <w:sz w:val="16"/>
                <w:szCs w:val="16"/>
              </w:rPr>
            </w:pPr>
            <w:r>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tcPr>
          <w:p w:rsidR="00007A8F" w:rsidRDefault="00007A8F">
            <w:pPr>
              <w:jc w:val="center"/>
              <w:rPr>
                <w:rFonts w:cs="Gautami"/>
                <w:sz w:val="16"/>
                <w:szCs w:val="16"/>
              </w:rPr>
            </w:pPr>
            <w:r>
              <w:rPr>
                <w:rFonts w:cs="Gautami"/>
                <w:sz w:val="16"/>
                <w:szCs w:val="16"/>
              </w:rPr>
              <w:t>23</w:t>
            </w:r>
          </w:p>
        </w:tc>
        <w:tc>
          <w:tcPr>
            <w:tcW w:w="1436" w:type="dxa"/>
            <w:tcBorders>
              <w:top w:val="nil"/>
              <w:left w:val="nil"/>
              <w:bottom w:val="single" w:sz="8" w:space="0" w:color="auto"/>
              <w:right w:val="nil"/>
            </w:tcBorders>
            <w:shd w:val="clear" w:color="000000" w:fill="EEECE1"/>
            <w:noWrap/>
            <w:vAlign w:val="center"/>
          </w:tcPr>
          <w:p w:rsidR="00007A8F" w:rsidRDefault="00007A8F">
            <w:pPr>
              <w:jc w:val="center"/>
              <w:rPr>
                <w:rFonts w:cs="Gautami"/>
                <w:sz w:val="16"/>
                <w:szCs w:val="16"/>
              </w:rPr>
            </w:pPr>
            <w:r>
              <w:rPr>
                <w:rFonts w:cs="Gautami"/>
                <w:sz w:val="16"/>
                <w:szCs w:val="16"/>
              </w:rPr>
              <w:t>28</w:t>
            </w:r>
          </w:p>
        </w:tc>
        <w:tc>
          <w:tcPr>
            <w:tcW w:w="1297" w:type="dxa"/>
            <w:tcBorders>
              <w:top w:val="nil"/>
              <w:left w:val="nil"/>
              <w:bottom w:val="single" w:sz="8" w:space="0" w:color="auto"/>
              <w:right w:val="nil"/>
            </w:tcBorders>
            <w:shd w:val="clear" w:color="000000" w:fill="EEECE1"/>
            <w:noWrap/>
            <w:vAlign w:val="center"/>
          </w:tcPr>
          <w:p w:rsidR="00007A8F" w:rsidRDefault="00007A8F">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tcPr>
          <w:p w:rsidR="00007A8F" w:rsidRDefault="00007A8F">
            <w:pPr>
              <w:jc w:val="center"/>
              <w:rPr>
                <w:rFonts w:cs="Gautami"/>
                <w:sz w:val="16"/>
                <w:szCs w:val="16"/>
              </w:rPr>
            </w:pPr>
            <w:r>
              <w:rPr>
                <w:rFonts w:cs="Gautami"/>
                <w:sz w:val="16"/>
                <w:szCs w:val="16"/>
              </w:rPr>
              <w:t>1</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9E41C5"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3pt">
            <v:imagedata r:id="rId13"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4</w:t>
      </w:r>
      <w:r w:rsidRPr="005270A6">
        <w:t>: New South Wales generation and bidding patterns</w:t>
      </w:r>
    </w:p>
    <w:p w:rsidR="002652CD" w:rsidRPr="002D23B9" w:rsidRDefault="009E41C5" w:rsidP="002652CD">
      <w:pPr>
        <w:pStyle w:val="AERbodytext"/>
      </w:pPr>
      <w:r>
        <w:pict>
          <v:shape id="_x0000_i1029" type="#_x0000_t75" alt="Figure 4 shows the total generation dispatched and the amounts of capacity bid in within certain price bands for each 30 minute trading interval in New South Wales this week. Should you require a description of the data for the week under review, please email us at AERInquiry@aer.gov.au." style="width:451pt;height:324.85pt">
            <v:imagedata r:id="rId14"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9E41C5" w:rsidP="00785F23">
      <w:pPr>
        <w:pStyle w:val="AERbodytext"/>
      </w:pPr>
      <w:r>
        <w:pict>
          <v:shape id="_x0000_i1030" type="#_x0000_t75" alt="Figure 5 shows the total generation dispatched and the amounts of capacity bid in within certain price bands for each 30 minute trading interval in Victoria this week. Should you require a description of the data for the week under review, please email us at AERInquiry@aer.gov.au." style="width:451pt;height:324.85pt">
            <v:imagedata r:id="rId15" o:title=""/>
          </v:shape>
        </w:pict>
      </w:r>
    </w:p>
    <w:p w:rsidR="00C52BE5" w:rsidRPr="006768AE" w:rsidRDefault="00780239" w:rsidP="00C52BE5">
      <w:pPr>
        <w:pStyle w:val="Figureheading"/>
        <w:numPr>
          <w:ilvl w:val="0"/>
          <w:numId w:val="0"/>
        </w:numPr>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9E41C5" w:rsidP="002652CD">
      <w:pPr>
        <w:pStyle w:val="AERbodytext"/>
      </w:pPr>
      <w:r>
        <w:pict>
          <v:shape id="_x0000_i1031" type="#_x0000_t75" alt="Figure 6 shows the total generation dispatched and the amounts of capacity bid in within certain price bands for each 30 minute trading interval in South Australia this week. Should you require a description of the data for the week under review, please email us at AERInquiry@aer.gov.au." style="width:451pt;height:324.3pt">
            <v:imagedata r:id="rId16" o:title=""/>
          </v:shape>
        </w:pict>
      </w:r>
    </w:p>
    <w:p w:rsidR="00F86508" w:rsidRPr="0075254C" w:rsidRDefault="00F86508" w:rsidP="0048688D">
      <w:pPr>
        <w:pStyle w:val="Figureheading"/>
        <w:numPr>
          <w:ilvl w:val="0"/>
          <w:numId w:val="0"/>
        </w:numPr>
        <w:ind w:left="357" w:hanging="357"/>
        <w:rPr>
          <w:b w:val="0"/>
        </w:rPr>
      </w:pPr>
      <w:r w:rsidRPr="0075254C">
        <w:rPr>
          <w:b w:val="0"/>
        </w:rPr>
        <w:t>The highlighted period was when wind generation</w:t>
      </w:r>
      <w:r w:rsidR="0075254C" w:rsidRPr="0075254C">
        <w:rPr>
          <w:b w:val="0"/>
        </w:rPr>
        <w:t xml:space="preserve"> available capacity decrease</w:t>
      </w:r>
      <w:r w:rsidR="007E18DE">
        <w:rPr>
          <w:b w:val="0"/>
        </w:rPr>
        <w:t>d</w:t>
      </w:r>
      <w:r w:rsidR="0075254C" w:rsidRPr="0075254C">
        <w:rPr>
          <w:b w:val="0"/>
        </w:rPr>
        <w:t xml:space="preserve"> to as low as 39</w:t>
      </w:r>
      <w:r w:rsidR="007E18DE">
        <w:rPr>
          <w:b w:val="0"/>
        </w:rPr>
        <w:t> </w:t>
      </w:r>
      <w:r w:rsidR="0075254C" w:rsidRPr="0075254C">
        <w:rPr>
          <w:b w:val="0"/>
        </w:rPr>
        <w:t>MW.</w: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B1248B" w:rsidP="002652CD">
      <w:pPr>
        <w:pStyle w:val="AERbodytext"/>
      </w:pPr>
      <w:r>
        <w:rPr>
          <w:noProof/>
          <w:lang w:eastAsia="en-AU"/>
        </w:rPr>
        <w:pict>
          <v:oval id="_x0000_s1040" style="position:absolute;left:0;text-align:left;margin-left:134.5pt;margin-top:76.65pt;width:21pt;height:89pt;z-index:251659264" filled="f" strokecolor="red" strokeweight="2pt"/>
        </w:pict>
      </w:r>
      <w:r w:rsidR="009E41C5">
        <w:pict>
          <v:shape id="_x0000_i1032" type="#_x0000_t75" alt="Figure 7 shows the total generation dispatched and the amounts of capacity bid in within certain price bands for each 30 minute trading interval in Tasmania this week. Should you require a description of the data for the week under review, please email us at AERInquiry@aer.gov.au." style="width:451pt;height:324.3pt">
            <v:imagedata r:id="rId17" o:title=""/>
          </v:shape>
        </w:pict>
      </w:r>
    </w:p>
    <w:p w:rsidR="00B90937" w:rsidRDefault="00E96AC2" w:rsidP="002652CD">
      <w:pPr>
        <w:pStyle w:val="AERbodytext"/>
      </w:pPr>
      <w:r>
        <w:t>The red circle shows where on 29 September Hydro Tasmania rebid around 650 MW of capacity across its portfolio from above $10/MWh to around -$1/MWh. The reason given was “</w:t>
      </w:r>
      <w:r w:rsidRPr="009E41C5">
        <w:t xml:space="preserve">FCAS </w:t>
      </w:r>
      <w:proofErr w:type="spellStart"/>
      <w:r w:rsidRPr="00E96AC2">
        <w:t>cooptimisation</w:t>
      </w:r>
      <w:proofErr w:type="spellEnd"/>
      <w:r w:rsidRPr="00E96AC2">
        <w:t xml:space="preserve"> occurring unexpectedly</w:t>
      </w:r>
      <w:r w:rsidRPr="009E41C5">
        <w:t>”.</w:t>
      </w:r>
      <w:r>
        <w:t xml:space="preserve"> The five minute price in Tasmania fell to around $15/</w:t>
      </w:r>
      <w:proofErr w:type="spellStart"/>
      <w:r>
        <w:t>MWh</w:t>
      </w:r>
      <w:proofErr w:type="spellEnd"/>
      <w:r>
        <w:t xml:space="preserve"> at 6.10 pm.</w:t>
      </w:r>
      <w:r w:rsidR="00B90937">
        <w:t xml:space="preserve"> </w: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C64E11" w:rsidRDefault="00007A8F" w:rsidP="00C64E11">
      <w:pPr>
        <w:pStyle w:val="AERbodytext"/>
      </w:pPr>
      <w:r w:rsidRPr="00007A8F">
        <w:t>The total cost of FCAS on the mainland for the week was $350</w:t>
      </w:r>
      <w:r w:rsidR="005F3F8D">
        <w:t> </w:t>
      </w:r>
      <w:r w:rsidRPr="00007A8F">
        <w:t>500 or less than 1 per cent of energy turnover on the mainland.</w:t>
      </w:r>
    </w:p>
    <w:p w:rsidR="005E4D3C" w:rsidRPr="006768AE" w:rsidRDefault="00007A8F" w:rsidP="00C64E11">
      <w:pPr>
        <w:pStyle w:val="AERbodytext"/>
      </w:pPr>
      <w:r w:rsidRPr="00007A8F">
        <w:t>The total cost of FCAS in Tasmania for the week was $113</w:t>
      </w:r>
      <w:r w:rsidR="005F3F8D">
        <w:t> </w:t>
      </w:r>
      <w:r w:rsidRPr="00007A8F">
        <w:t>000 or less than 3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9E41C5"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style="width:451pt;height:228.1pt">
            <v:imagedata r:id="rId18" o:title=""/>
          </v:shape>
        </w:pict>
      </w:r>
    </w:p>
    <w:bookmarkEnd w:id="0"/>
    <w:bookmarkEnd w:id="1"/>
    <w:bookmarkEnd w:id="2"/>
    <w:bookmarkEnd w:id="3"/>
    <w:bookmarkEnd w:id="4"/>
    <w:bookmarkEnd w:id="5"/>
    <w:p w:rsidR="00DD7CB4" w:rsidRPr="009121A1" w:rsidRDefault="00DD7CB4" w:rsidP="00DD7CB4">
      <w:pPr>
        <w:pStyle w:val="Heading2"/>
        <w:rPr>
          <w:color w:val="auto"/>
        </w:rPr>
      </w:pPr>
      <w:r w:rsidRPr="009121A1">
        <w:rPr>
          <w:color w:val="auto"/>
        </w:rPr>
        <w:t>Detailed market analysis of significant price events</w:t>
      </w:r>
    </w:p>
    <w:p w:rsidR="009121A1" w:rsidRDefault="00DD7CB4" w:rsidP="00DD7CB4">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rsidR="009121A1">
        <w:t xml:space="preserve"> </w:t>
      </w:r>
      <w:r w:rsidR="00E20CD6">
        <w:t>There were no significant price events this week.</w:t>
      </w:r>
    </w:p>
    <w:p w:rsidR="00E96C5A" w:rsidRPr="002D23B9" w:rsidRDefault="00E96C5A" w:rsidP="00C81890">
      <w:pPr>
        <w:pStyle w:val="Heading2"/>
        <w:rPr>
          <w:color w:val="auto"/>
        </w:rPr>
      </w:pPr>
      <w:r w:rsidRPr="002D23B9">
        <w:rPr>
          <w:color w:val="auto"/>
        </w:rPr>
        <w:t>Financial markets</w:t>
      </w:r>
    </w:p>
    <w:p w:rsidR="00E96C5A" w:rsidRPr="002D23B9" w:rsidRDefault="0078358A" w:rsidP="000B36CA">
      <w:pPr>
        <w:pStyle w:val="AERbodytext"/>
        <w:spacing w:after="120"/>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9856E5">
        <w:rPr>
          <w:color w:val="000000" w:themeColor="text1"/>
        </w:rPr>
        <w:t>Q</w:t>
      </w:r>
      <w:r w:rsidR="005F3F8D">
        <w:rPr>
          <w:color w:val="000000" w:themeColor="text1"/>
        </w:rPr>
        <w:t>4</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5F3F8D">
        <w:rPr>
          <w:color w:val="000000" w:themeColor="text1"/>
        </w:rPr>
        <w:t>3</w:t>
      </w:r>
      <w:r w:rsidR="00BB0611" w:rsidRPr="00AA6275">
        <w:rPr>
          <w:color w:val="000000" w:themeColor="text1"/>
        </w:rPr>
        <w:t xml:space="preserve"> 2018</w:t>
      </w:r>
    </w:p>
    <w:p w:rsidR="00E96C5A" w:rsidRPr="002D23B9" w:rsidRDefault="009E41C5"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pt">
            <v:imagedata r:id="rId19" o:title=""/>
          </v:shape>
        </w:pict>
      </w:r>
      <w:r w:rsidR="00214026" w:rsidRPr="00214026">
        <w:t xml:space="preserve"> </w: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0B36CA">
      <w:pPr>
        <w:pStyle w:val="AERbodytext"/>
        <w:spacing w:after="120"/>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E5450" w:rsidP="000B36CA">
      <w:pPr>
        <w:pStyle w:val="Figureheading"/>
        <w:numPr>
          <w:ilvl w:val="0"/>
          <w:numId w:val="0"/>
        </w:numPr>
        <w:spacing w:before="180"/>
        <w:ind w:left="357" w:hanging="357"/>
        <w:rPr>
          <w:color w:val="000000" w:themeColor="text1"/>
        </w:rPr>
      </w:pPr>
      <w:r>
        <w:rPr>
          <w:color w:val="000000" w:themeColor="text1"/>
        </w:rPr>
        <w:br w:type="page"/>
      </w:r>
      <w:r w:rsidR="00E96C5A" w:rsidRPr="00AA6275">
        <w:rPr>
          <w:color w:val="000000" w:themeColor="text1"/>
        </w:rPr>
        <w:t xml:space="preserve">Figure </w:t>
      </w:r>
      <w:r w:rsidR="0078358A" w:rsidRPr="00AA6275">
        <w:rPr>
          <w:color w:val="000000" w:themeColor="text1"/>
        </w:rPr>
        <w:t>10</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base contracts over the past 10 weeks (and the past 2 years)</w:t>
      </w:r>
    </w:p>
    <w:p w:rsidR="00E96C5A" w:rsidRPr="002D23B9" w:rsidRDefault="009E41C5" w:rsidP="000B36CA">
      <w:pPr>
        <w:pStyle w:val="AERbodytext"/>
        <w:spacing w:after="0"/>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51pt;height:228.1pt">
            <v:imagedata r:id="rId21" o:title=""/>
          </v:shape>
        </w:pict>
      </w:r>
    </w:p>
    <w:p w:rsidR="00E96C5A" w:rsidRPr="002D23B9" w:rsidRDefault="00E96C5A" w:rsidP="000B36CA">
      <w:pPr>
        <w:pStyle w:val="AERbodytext"/>
        <w:spacing w:before="120" w:after="6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0B36CA">
      <w:pPr>
        <w:pStyle w:val="Sourceandnotes"/>
        <w:spacing w:after="200"/>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0B36CA">
      <w:pPr>
        <w:pStyle w:val="AERbodytext"/>
        <w:spacing w:after="200"/>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0B36CA">
      <w:pPr>
        <w:pStyle w:val="AERbodytext"/>
        <w:spacing w:after="12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9E41C5" w:rsidP="000B36CA">
      <w:pPr>
        <w:pStyle w:val="AERbodytext"/>
        <w:spacing w:after="20"/>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51pt;height:226.35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0B36CA">
      <w:pPr>
        <w:pStyle w:val="AERbodytext"/>
        <w:keepNext/>
        <w:spacing w:before="240" w:after="120" w:line="240" w:lineRule="auto"/>
        <w:jc w:val="left"/>
        <w:rPr>
          <w:b/>
        </w:rPr>
      </w:pPr>
      <w:r w:rsidRPr="002D23B9">
        <w:rPr>
          <w:b/>
        </w:rPr>
        <w:t>Australian Energy Regulator</w:t>
      </w:r>
    </w:p>
    <w:p w:rsidR="00E96C5A" w:rsidRPr="00AA6275" w:rsidRDefault="0088766A" w:rsidP="003157C3">
      <w:pPr>
        <w:rPr>
          <w:color w:val="000000" w:themeColor="text1"/>
        </w:rPr>
      </w:pPr>
      <w:r>
        <w:rPr>
          <w:b/>
          <w:color w:val="000000" w:themeColor="text1"/>
        </w:rPr>
        <w:t>October</w:t>
      </w:r>
      <w:r w:rsidR="00B54368"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1248B">
      <w:rPr>
        <w:rStyle w:val="PageNumber"/>
        <w:noProof/>
      </w:rPr>
      <w:t>2</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66764" w:rsidRPr="00F66764">
      <w:rPr>
        <w:i/>
      </w:rPr>
      <w:t>D14/</w:t>
    </w:r>
    <w:r w:rsidR="0056600C">
      <w:rPr>
        <w:i/>
      </w:rPr>
      <w:t>1</w:t>
    </w:r>
    <w:r w:rsidR="0088766A">
      <w:rPr>
        <w:i/>
      </w:rPr>
      <w:t>3</w:t>
    </w:r>
    <w:r w:rsidR="00051BFF">
      <w:rPr>
        <w:i/>
      </w:rPr>
      <w:t>7691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 w:numId="17">
    <w:abstractNumId w:val="15"/>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45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fkost\20140928 - 20141004 electricit (D2014-00137691).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6CA"/>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4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6CB8"/>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026"/>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D39"/>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67C"/>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5DD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3F8D"/>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34B"/>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7F"/>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2758"/>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842"/>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29E"/>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1C5"/>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5A5"/>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48B"/>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294"/>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598"/>
    <w:rsid w:val="00BD2853"/>
    <w:rsid w:val="00BD2B56"/>
    <w:rsid w:val="00BD2C1A"/>
    <w:rsid w:val="00BD2FF9"/>
    <w:rsid w:val="00BD33B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269"/>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4FE3"/>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CA7"/>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11"/>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C3D"/>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0C89"/>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55ED"/>
    <w:rsid w:val="00E960F5"/>
    <w:rsid w:val="00E9682A"/>
    <w:rsid w:val="00E968C9"/>
    <w:rsid w:val="00E96A5B"/>
    <w:rsid w:val="00E96AC2"/>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284"/>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450"/>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216"/>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2E0A"/>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836"/>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593"/>
    <w:rsid w:val="00FF3C33"/>
    <w:rsid w:val="00FF42B8"/>
    <w:rsid w:val="00FF444D"/>
    <w:rsid w:val="00FF45E9"/>
    <w:rsid w:val="00FF502E"/>
    <w:rsid w:val="00FF5210"/>
    <w:rsid w:val="00FF54B4"/>
    <w:rsid w:val="00FF56F6"/>
    <w:rsid w:val="00FF57FF"/>
    <w:rsid w:val="00FF5801"/>
    <w:rsid w:val="00FF5B8C"/>
    <w:rsid w:val="00FF5C02"/>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A858B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FF76-C143-425A-8463-43E8119A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6FC5D93C.dotm</Template>
  <TotalTime>0</TotalTime>
  <Pages>8</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2014-10-20T03:48:00Z</dcterms:created>
  <dcterms:modified xsi:type="dcterms:W3CDTF">2014-10-20T03:48:00Z</dcterms:modified>
</cp:coreProperties>
</file>