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64" w:rsidRPr="00B01E11" w:rsidRDefault="00A6714A" w:rsidP="00B01E11">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B37C76" w:rsidP="00780239">
                  <w:pPr>
                    <w:pStyle w:val="Title"/>
                    <w:jc w:val="left"/>
                    <w:rPr>
                      <w:i/>
                    </w:rPr>
                  </w:pPr>
                  <w:r>
                    <w:t>2</w:t>
                  </w:r>
                  <w:r w:rsidR="0022337C">
                    <w:t xml:space="preserve"> to </w:t>
                  </w:r>
                  <w:r>
                    <w:t>8</w:t>
                  </w:r>
                  <w:r w:rsidR="005270A6" w:rsidRPr="005270A6">
                    <w:t xml:space="preserve"> </w:t>
                  </w:r>
                  <w:r>
                    <w:t>Novem</w:t>
                  </w:r>
                  <w:r w:rsidR="00FC7DAD">
                    <w:t>ber</w:t>
                  </w:r>
                  <w:r w:rsidR="00735518">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98.9pt">
            <v:imagedata r:id="rId8" o:title="AER_Head1a" cropbottom="3785f"/>
          </v:shape>
        </w:pict>
      </w:r>
      <w:r w:rsidR="0052471C" w:rsidRPr="002D23B9">
        <w:rPr>
          <w:color w:val="auto"/>
          <w:sz w:val="22"/>
          <w:szCs w:val="22"/>
        </w:rPr>
        <w:t xml:space="preserve"> </w:t>
      </w:r>
      <w:r w:rsidR="00E74564"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FC7DAD" w:rsidP="00FC7DAD">
      <w:pPr>
        <w:pStyle w:val="AERbodytext"/>
      </w:pPr>
      <w:r>
        <w:t xml:space="preserve">Figure 1 shows the spot prices that occurred in each region during the week </w:t>
      </w:r>
      <w:r w:rsidR="006D2248">
        <w:t>2</w:t>
      </w:r>
      <w:r>
        <w:t xml:space="preserve"> to </w:t>
      </w:r>
      <w:r w:rsidR="006D2248">
        <w:t>8</w:t>
      </w:r>
      <w:r>
        <w:t xml:space="preserve"> </w:t>
      </w:r>
      <w:r w:rsidR="006D2248">
        <w:t>Novem</w:t>
      </w:r>
      <w:r>
        <w:t>ber</w:t>
      </w:r>
      <w:r w:rsidR="00044174">
        <w:t> </w:t>
      </w:r>
      <w:r>
        <w:t xml:space="preserve">2014. The spot price in </w:t>
      </w:r>
      <w:r w:rsidR="006D2248">
        <w:t>Queensland</w:t>
      </w:r>
      <w:r>
        <w:t xml:space="preserve"> reached $</w:t>
      </w:r>
      <w:r w:rsidR="006D2248">
        <w:t>262</w:t>
      </w:r>
      <w:r>
        <w:t>/</w:t>
      </w:r>
      <w:proofErr w:type="spellStart"/>
      <w:r>
        <w:t>MWh</w:t>
      </w:r>
      <w:proofErr w:type="spellEnd"/>
      <w:r>
        <w:t xml:space="preserve"> at </w:t>
      </w:r>
      <w:r w:rsidR="006D2248">
        <w:t>9.30 am on 3 November</w:t>
      </w:r>
      <w:r>
        <w:t>.</w:t>
      </w:r>
    </w:p>
    <w:p w:rsidR="0078358A" w:rsidRPr="005270A6" w:rsidRDefault="0078358A" w:rsidP="0078358A">
      <w:pPr>
        <w:pStyle w:val="Figureheading"/>
        <w:numPr>
          <w:ilvl w:val="0"/>
          <w:numId w:val="0"/>
        </w:numPr>
        <w:spacing w:after="0"/>
        <w:ind w:left="357" w:hanging="357"/>
      </w:pPr>
      <w:r w:rsidRPr="005270A6">
        <w:t>Figure 1: Spot price by region ($/</w:t>
      </w:r>
      <w:proofErr w:type="spellStart"/>
      <w:r w:rsidRPr="005270A6">
        <w:t>MWh</w:t>
      </w:r>
      <w:proofErr w:type="spellEnd"/>
      <w:r w:rsidRPr="005270A6">
        <w:t xml:space="preserve">) </w:t>
      </w:r>
    </w:p>
    <w:p w:rsidR="00786E64" w:rsidRDefault="00A6714A"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30.75pt;height:3in">
            <v:imagedata r:id="rId9" o:title=""/>
          </v:shape>
        </w:pict>
      </w:r>
    </w:p>
    <w:p w:rsidR="004869A0" w:rsidRDefault="00786E64" w:rsidP="00FC65A1">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r w:rsidR="00FC65A1">
        <w:t>The figure shows that the average weekly spot price in Queensland has moved back in line with other regions, following record lows for the previous few weeks.</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w:t>
      </w:r>
      <w:proofErr w:type="spellStart"/>
      <w:r w:rsidR="00656C5F" w:rsidRPr="005270A6">
        <w:t>MWh</w:t>
      </w:r>
      <w:proofErr w:type="spellEnd"/>
      <w:r w:rsidR="00656C5F" w:rsidRPr="005270A6">
        <w:t>)</w:t>
      </w:r>
    </w:p>
    <w:p w:rsidR="00785F23" w:rsidRPr="002D23B9" w:rsidRDefault="00A6714A"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30.1pt;height:3in">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w:t>
      </w:r>
      <w:proofErr w:type="spellStart"/>
      <w:r w:rsidR="008B0A6A" w:rsidRPr="00671C7F">
        <w:t>MWh</w:t>
      </w:r>
      <w:proofErr w:type="spellEnd"/>
      <w:r w:rsidR="008B0A6A" w:rsidRPr="00671C7F">
        <w:t>)</w:t>
      </w:r>
    </w:p>
    <w:tbl>
      <w:tblPr>
        <w:tblW w:w="5000" w:type="pct"/>
        <w:tblLook w:val="04A0" w:firstRow="1" w:lastRow="0" w:firstColumn="1" w:lastColumn="0" w:noHBand="0" w:noVBand="1"/>
      </w:tblPr>
      <w:tblGrid>
        <w:gridCol w:w="2399"/>
        <w:gridCol w:w="918"/>
        <w:gridCol w:w="1381"/>
        <w:gridCol w:w="1381"/>
        <w:gridCol w:w="1381"/>
        <w:gridCol w:w="1381"/>
      </w:tblGrid>
      <w:tr w:rsidR="0076711C" w:rsidRPr="0076711C" w:rsidTr="009C1493">
        <w:trPr>
          <w:trHeight w:val="255"/>
        </w:trPr>
        <w:tc>
          <w:tcPr>
            <w:tcW w:w="1357" w:type="pct"/>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b/>
                <w:bCs/>
                <w:color w:val="FFFFFF"/>
                <w:sz w:val="18"/>
                <w:szCs w:val="18"/>
              </w:rPr>
            </w:pPr>
            <w:r w:rsidRPr="0076711C">
              <w:rPr>
                <w:rFonts w:ascii="Gautami" w:hAnsi="Gautami" w:cs="Gautami"/>
                <w:b/>
                <w:bCs/>
                <w:color w:val="FFFFFF"/>
                <w:sz w:val="18"/>
                <w:szCs w:val="18"/>
              </w:rPr>
              <w:t>Region</w:t>
            </w:r>
          </w:p>
        </w:tc>
        <w:tc>
          <w:tcPr>
            <w:tcW w:w="519"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proofErr w:type="spellStart"/>
            <w:r w:rsidRPr="0076711C">
              <w:rPr>
                <w:rFonts w:ascii="Gautami" w:hAnsi="Gautami" w:cs="Gautami"/>
                <w:b/>
                <w:bCs/>
                <w:color w:val="FFFFFF"/>
                <w:sz w:val="18"/>
                <w:szCs w:val="18"/>
              </w:rPr>
              <w:t>Tas</w:t>
            </w:r>
            <w:proofErr w:type="spellEnd"/>
          </w:p>
        </w:tc>
      </w:tr>
      <w:tr w:rsidR="00901BE5" w:rsidRPr="0076711C" w:rsidTr="009C1493">
        <w:trPr>
          <w:trHeight w:val="255"/>
        </w:trPr>
        <w:tc>
          <w:tcPr>
            <w:tcW w:w="1357" w:type="pct"/>
            <w:tcBorders>
              <w:top w:val="nil"/>
              <w:left w:val="nil"/>
              <w:bottom w:val="nil"/>
              <w:right w:val="nil"/>
            </w:tcBorders>
            <w:shd w:val="clear" w:color="000000" w:fill="DDD9C3"/>
            <w:noWrap/>
            <w:vAlign w:val="center"/>
            <w:hideMark/>
          </w:tcPr>
          <w:p w:rsidR="00901BE5" w:rsidRPr="00FB6493" w:rsidRDefault="00901BE5" w:rsidP="00FB6493">
            <w:pPr>
              <w:pStyle w:val="AERtabletext"/>
              <w:rPr>
                <w:b/>
              </w:rPr>
            </w:pPr>
            <w:r w:rsidRPr="00FB6493">
              <w:rPr>
                <w:b/>
              </w:rPr>
              <w:t>Current week</w:t>
            </w:r>
          </w:p>
        </w:tc>
        <w:tc>
          <w:tcPr>
            <w:tcW w:w="519" w:type="pct"/>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26</w:t>
            </w:r>
          </w:p>
        </w:tc>
        <w:tc>
          <w:tcPr>
            <w:tcW w:w="781" w:type="pct"/>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31</w:t>
            </w:r>
          </w:p>
        </w:tc>
        <w:tc>
          <w:tcPr>
            <w:tcW w:w="781" w:type="pct"/>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26</w:t>
            </w:r>
          </w:p>
        </w:tc>
        <w:tc>
          <w:tcPr>
            <w:tcW w:w="781" w:type="pct"/>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28</w:t>
            </w:r>
          </w:p>
        </w:tc>
        <w:tc>
          <w:tcPr>
            <w:tcW w:w="781" w:type="pct"/>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33</w:t>
            </w:r>
          </w:p>
        </w:tc>
      </w:tr>
      <w:tr w:rsidR="00901BE5" w:rsidRPr="0076711C" w:rsidTr="009C1493">
        <w:trPr>
          <w:trHeight w:val="255"/>
        </w:trPr>
        <w:tc>
          <w:tcPr>
            <w:tcW w:w="1357" w:type="pct"/>
            <w:tcBorders>
              <w:top w:val="nil"/>
              <w:left w:val="nil"/>
              <w:bottom w:val="nil"/>
              <w:right w:val="nil"/>
            </w:tcBorders>
            <w:shd w:val="clear" w:color="000000" w:fill="EEECE1"/>
            <w:noWrap/>
            <w:vAlign w:val="center"/>
            <w:hideMark/>
          </w:tcPr>
          <w:p w:rsidR="00901BE5" w:rsidRPr="00FB6493" w:rsidRDefault="00901BE5" w:rsidP="00FB6493">
            <w:pPr>
              <w:pStyle w:val="AERtabletext"/>
              <w:rPr>
                <w:b/>
              </w:rPr>
            </w:pPr>
            <w:r w:rsidRPr="00FB6493">
              <w:rPr>
                <w:b/>
              </w:rPr>
              <w:t>13-14 financial YTD</w:t>
            </w:r>
          </w:p>
        </w:tc>
        <w:tc>
          <w:tcPr>
            <w:tcW w:w="519" w:type="pct"/>
            <w:tcBorders>
              <w:top w:val="nil"/>
              <w:left w:val="nil"/>
              <w:bottom w:val="nil"/>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61</w:t>
            </w:r>
          </w:p>
        </w:tc>
        <w:tc>
          <w:tcPr>
            <w:tcW w:w="781" w:type="pct"/>
            <w:tcBorders>
              <w:top w:val="nil"/>
              <w:left w:val="nil"/>
              <w:bottom w:val="nil"/>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54</w:t>
            </w:r>
          </w:p>
        </w:tc>
        <w:tc>
          <w:tcPr>
            <w:tcW w:w="781" w:type="pct"/>
            <w:tcBorders>
              <w:top w:val="nil"/>
              <w:left w:val="nil"/>
              <w:bottom w:val="nil"/>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53</w:t>
            </w:r>
          </w:p>
        </w:tc>
        <w:tc>
          <w:tcPr>
            <w:tcW w:w="781" w:type="pct"/>
            <w:tcBorders>
              <w:top w:val="nil"/>
              <w:left w:val="nil"/>
              <w:bottom w:val="nil"/>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66</w:t>
            </w:r>
          </w:p>
        </w:tc>
        <w:tc>
          <w:tcPr>
            <w:tcW w:w="781" w:type="pct"/>
            <w:tcBorders>
              <w:top w:val="nil"/>
              <w:left w:val="nil"/>
              <w:bottom w:val="nil"/>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45</w:t>
            </w:r>
          </w:p>
        </w:tc>
      </w:tr>
      <w:tr w:rsidR="00901BE5" w:rsidRPr="0076711C" w:rsidTr="009C1493">
        <w:trPr>
          <w:trHeight w:val="270"/>
        </w:trPr>
        <w:tc>
          <w:tcPr>
            <w:tcW w:w="1357" w:type="pct"/>
            <w:tcBorders>
              <w:top w:val="nil"/>
              <w:left w:val="nil"/>
              <w:bottom w:val="single" w:sz="8" w:space="0" w:color="auto"/>
              <w:right w:val="nil"/>
            </w:tcBorders>
            <w:shd w:val="clear" w:color="000000" w:fill="DDD9C3"/>
            <w:noWrap/>
            <w:vAlign w:val="center"/>
            <w:hideMark/>
          </w:tcPr>
          <w:p w:rsidR="00901BE5" w:rsidRPr="00FB6493" w:rsidRDefault="00901BE5" w:rsidP="00FB6493">
            <w:pPr>
              <w:pStyle w:val="AERtabletext"/>
              <w:rPr>
                <w:b/>
              </w:rPr>
            </w:pPr>
            <w:r w:rsidRPr="00FB6493">
              <w:rPr>
                <w:b/>
              </w:rPr>
              <w:t>14-15 financial YTD</w:t>
            </w:r>
          </w:p>
        </w:tc>
        <w:tc>
          <w:tcPr>
            <w:tcW w:w="519" w:type="pct"/>
            <w:tcBorders>
              <w:top w:val="nil"/>
              <w:left w:val="nil"/>
              <w:bottom w:val="single" w:sz="8" w:space="0" w:color="auto"/>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30</w:t>
            </w:r>
          </w:p>
        </w:tc>
        <w:tc>
          <w:tcPr>
            <w:tcW w:w="781" w:type="pct"/>
            <w:tcBorders>
              <w:top w:val="nil"/>
              <w:left w:val="nil"/>
              <w:bottom w:val="single" w:sz="8" w:space="0" w:color="auto"/>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35</w:t>
            </w:r>
          </w:p>
        </w:tc>
        <w:tc>
          <w:tcPr>
            <w:tcW w:w="781" w:type="pct"/>
            <w:tcBorders>
              <w:top w:val="nil"/>
              <w:left w:val="nil"/>
              <w:bottom w:val="single" w:sz="8" w:space="0" w:color="auto"/>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43</w:t>
            </w:r>
          </w:p>
        </w:tc>
        <w:tc>
          <w:tcPr>
            <w:tcW w:w="781" w:type="pct"/>
            <w:tcBorders>
              <w:top w:val="nil"/>
              <w:left w:val="nil"/>
              <w:bottom w:val="single" w:sz="8" w:space="0" w:color="auto"/>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36</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76711C" w:rsidP="0076711C">
      <w:pPr>
        <w:pStyle w:val="AERbodytext"/>
      </w:pPr>
      <w:r w:rsidRPr="00AB1A3D">
        <w:t xml:space="preserve">There were </w:t>
      </w:r>
      <w:r w:rsidR="00901BE5">
        <w:t>88</w:t>
      </w:r>
      <w:r w:rsidRPr="00AB1A3D">
        <w:t xml:space="preserve"> trading intervals throughout the week where actual prices varied significantly from forecasts. This compares to the weekly average in 2013 of 97 counts and the average in 2012 of 60. </w:t>
      </w:r>
      <w:r w:rsidR="009559D6" w:rsidRPr="00AB1A3D">
        <w:t>Reasons for the</w:t>
      </w:r>
      <w:r w:rsidR="00DF5554" w:rsidRPr="00AB1A3D">
        <w:t xml:space="preserve"> variations for this week </w:t>
      </w:r>
      <w:r w:rsidR="009559D6" w:rsidRPr="00AB1A3D">
        <w:t xml:space="preserve">are summarised in </w:t>
      </w:r>
      <w:r w:rsidR="000D5C60" w:rsidRPr="00AB1A3D">
        <w:t xml:space="preserve">Table </w:t>
      </w:r>
      <w:r w:rsidR="00E27C7A" w:rsidRPr="00AB1A3D">
        <w:t>2</w:t>
      </w:r>
      <w:r w:rsidR="009559D6" w:rsidRPr="00AB1A3D">
        <w:t>.</w:t>
      </w:r>
      <w:r w:rsidR="00B71EC1" w:rsidRPr="00AB1A3D">
        <w:t xml:space="preserve"> </w:t>
      </w:r>
      <w:r w:rsidR="000E6CF1" w:rsidRPr="00AB1A3D">
        <w:t>Based on AER analysis, t</w:t>
      </w:r>
      <w:r w:rsidR="00B71EC1" w:rsidRPr="00AB1A3D">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AB1A3D">
        <w:t>ahead</w:t>
      </w:r>
      <w:proofErr w:type="gramEnd"/>
      <w:r w:rsidR="00B71EC1" w:rsidRPr="00AB1A3D">
        <w:t xml:space="preserve"> forecasts differ significantly from the actual price will be counted as two variations.</w:t>
      </w:r>
    </w:p>
    <w:p w:rsidR="00977DC4" w:rsidRPr="002D23B9" w:rsidRDefault="00601EB7" w:rsidP="00601EB7">
      <w:pPr>
        <w:pStyle w:val="AERbodytext"/>
      </w:pPr>
      <w:r>
        <w:br w:type="page"/>
      </w:r>
    </w:p>
    <w:p w:rsidR="00977DC4" w:rsidRPr="00002B11" w:rsidRDefault="008D0835" w:rsidP="00977DC4">
      <w:pPr>
        <w:pStyle w:val="AERtabletitle"/>
      </w:pPr>
      <w:r w:rsidRPr="00002B11">
        <w:t xml:space="preserve">Table </w:t>
      </w:r>
      <w:r w:rsidR="00965EA9" w:rsidRPr="00002B11">
        <w:t>2</w:t>
      </w:r>
      <w:r w:rsidR="00792C39" w:rsidRPr="00002B11">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76711C" w:rsidRPr="00002B11" w:rsidTr="0076711C">
        <w:trPr>
          <w:trHeight w:val="255"/>
        </w:trPr>
        <w:tc>
          <w:tcPr>
            <w:tcW w:w="36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ind w:firstLineChars="200" w:firstLine="360"/>
              <w:rPr>
                <w:rFonts w:ascii="Gautami" w:hAnsi="Gautami" w:cs="Gautami"/>
                <w:color w:val="FFFFFF"/>
                <w:sz w:val="18"/>
                <w:szCs w:val="18"/>
              </w:rPr>
            </w:pPr>
            <w:r w:rsidRPr="00002B11">
              <w:rPr>
                <w:rFonts w:ascii="Gautami" w:hAnsi="Gautami"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76711C" w:rsidRPr="00002B11" w:rsidRDefault="0076711C" w:rsidP="0076711C">
            <w:pPr>
              <w:jc w:val="center"/>
              <w:rPr>
                <w:rFonts w:ascii="Gautami" w:hAnsi="Gautami" w:cs="Gautami"/>
                <w:color w:val="FFFFFF"/>
                <w:sz w:val="18"/>
                <w:szCs w:val="18"/>
              </w:rPr>
            </w:pPr>
            <w:r w:rsidRPr="00002B11">
              <w:rPr>
                <w:rFonts w:ascii="Gautami" w:hAnsi="Gautami"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76711C" w:rsidRPr="00002B11" w:rsidRDefault="0076711C" w:rsidP="0076711C">
            <w:pPr>
              <w:ind w:firstLineChars="100" w:firstLine="180"/>
              <w:rPr>
                <w:rFonts w:ascii="Gautami" w:hAnsi="Gautami" w:cs="Gautami"/>
                <w:color w:val="FFFFFF"/>
                <w:sz w:val="18"/>
                <w:szCs w:val="18"/>
              </w:rPr>
            </w:pPr>
            <w:r w:rsidRPr="00002B11">
              <w:rPr>
                <w:rFonts w:ascii="Gautami" w:hAnsi="Gautami" w:cs="Gautami"/>
                <w:color w:val="FFFFFF"/>
                <w:sz w:val="18"/>
                <w:szCs w:val="18"/>
              </w:rPr>
              <w:t>Combination</w:t>
            </w:r>
          </w:p>
        </w:tc>
      </w:tr>
      <w:tr w:rsidR="00901BE5" w:rsidRPr="00002B11" w:rsidTr="0076711C">
        <w:trPr>
          <w:trHeight w:val="255"/>
        </w:trPr>
        <w:tc>
          <w:tcPr>
            <w:tcW w:w="3636" w:type="dxa"/>
            <w:tcBorders>
              <w:top w:val="nil"/>
              <w:left w:val="nil"/>
              <w:bottom w:val="nil"/>
              <w:right w:val="nil"/>
            </w:tcBorders>
            <w:shd w:val="clear" w:color="000000" w:fill="DDD9C3"/>
            <w:noWrap/>
            <w:vAlign w:val="center"/>
            <w:hideMark/>
          </w:tcPr>
          <w:p w:rsidR="00901BE5" w:rsidRPr="00002B11" w:rsidRDefault="00901BE5" w:rsidP="0076711C">
            <w:pPr>
              <w:rPr>
                <w:rFonts w:ascii="Gautami" w:hAnsi="Gautami" w:cs="Gautami"/>
                <w:b/>
                <w:bCs/>
                <w:sz w:val="16"/>
                <w:szCs w:val="16"/>
              </w:rPr>
            </w:pPr>
            <w:r w:rsidRPr="00002B11">
              <w:rPr>
                <w:rFonts w:ascii="Gautami" w:hAnsi="Gautami"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8</w:t>
            </w:r>
          </w:p>
        </w:tc>
        <w:tc>
          <w:tcPr>
            <w:tcW w:w="1436" w:type="dxa"/>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13</w:t>
            </w:r>
          </w:p>
        </w:tc>
        <w:tc>
          <w:tcPr>
            <w:tcW w:w="1297" w:type="dxa"/>
            <w:tcBorders>
              <w:top w:val="nil"/>
              <w:left w:val="nil"/>
              <w:bottom w:val="nil"/>
              <w:right w:val="nil"/>
            </w:tcBorders>
            <w:shd w:val="clear" w:color="000000" w:fill="DDD9C3"/>
            <w:noWrap/>
            <w:vAlign w:val="center"/>
            <w:hideMark/>
          </w:tcPr>
          <w:p w:rsidR="00901BE5" w:rsidRDefault="00901BE5">
            <w:pPr>
              <w:jc w:val="center"/>
              <w:rPr>
                <w:rFonts w:ascii="Gautami" w:hAnsi="Gautami" w:cs="Gautami"/>
                <w:sz w:val="16"/>
                <w:szCs w:val="16"/>
              </w:rPr>
            </w:pPr>
            <w:r>
              <w:rPr>
                <w:rFonts w:ascii="Gautami" w:hAnsi="Gautami" w:cs="Gautami"/>
                <w:sz w:val="16"/>
                <w:szCs w:val="16"/>
              </w:rPr>
              <w:t>0</w:t>
            </w:r>
          </w:p>
        </w:tc>
        <w:tc>
          <w:tcPr>
            <w:tcW w:w="1503" w:type="dxa"/>
            <w:tcBorders>
              <w:top w:val="nil"/>
              <w:left w:val="nil"/>
              <w:bottom w:val="nil"/>
              <w:right w:val="nil"/>
            </w:tcBorders>
            <w:shd w:val="clear" w:color="000000" w:fill="DDD9C3"/>
            <w:vAlign w:val="center"/>
            <w:hideMark/>
          </w:tcPr>
          <w:p w:rsidR="00901BE5" w:rsidRDefault="00901BE5">
            <w:pPr>
              <w:jc w:val="center"/>
              <w:rPr>
                <w:rFonts w:ascii="Gautami" w:hAnsi="Gautami" w:cs="Gautami"/>
                <w:sz w:val="16"/>
                <w:szCs w:val="16"/>
              </w:rPr>
            </w:pPr>
            <w:r>
              <w:rPr>
                <w:rFonts w:ascii="Gautami" w:hAnsi="Gautami" w:cs="Gautami"/>
                <w:sz w:val="16"/>
                <w:szCs w:val="16"/>
              </w:rPr>
              <w:t>1</w:t>
            </w:r>
          </w:p>
        </w:tc>
      </w:tr>
      <w:tr w:rsidR="00901BE5" w:rsidRPr="00002B11" w:rsidTr="0076711C">
        <w:trPr>
          <w:trHeight w:val="270"/>
        </w:trPr>
        <w:tc>
          <w:tcPr>
            <w:tcW w:w="3636" w:type="dxa"/>
            <w:tcBorders>
              <w:top w:val="nil"/>
              <w:left w:val="nil"/>
              <w:bottom w:val="single" w:sz="8" w:space="0" w:color="auto"/>
              <w:right w:val="nil"/>
            </w:tcBorders>
            <w:shd w:val="clear" w:color="000000" w:fill="EEECE1"/>
            <w:noWrap/>
            <w:vAlign w:val="center"/>
            <w:hideMark/>
          </w:tcPr>
          <w:p w:rsidR="00901BE5" w:rsidRPr="00002B11" w:rsidRDefault="00901BE5" w:rsidP="0076711C">
            <w:pPr>
              <w:rPr>
                <w:rFonts w:ascii="Gautami" w:hAnsi="Gautami" w:cs="Gautami"/>
                <w:b/>
                <w:bCs/>
                <w:sz w:val="16"/>
                <w:szCs w:val="16"/>
              </w:rPr>
            </w:pPr>
            <w:r w:rsidRPr="00002B11">
              <w:rPr>
                <w:rFonts w:ascii="Gautami" w:hAnsi="Gautami"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69</w:t>
            </w:r>
          </w:p>
        </w:tc>
        <w:tc>
          <w:tcPr>
            <w:tcW w:w="1436" w:type="dxa"/>
            <w:tcBorders>
              <w:top w:val="nil"/>
              <w:left w:val="nil"/>
              <w:bottom w:val="single" w:sz="8" w:space="0" w:color="auto"/>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7</w:t>
            </w:r>
          </w:p>
        </w:tc>
        <w:tc>
          <w:tcPr>
            <w:tcW w:w="1297" w:type="dxa"/>
            <w:tcBorders>
              <w:top w:val="nil"/>
              <w:left w:val="nil"/>
              <w:bottom w:val="single" w:sz="8" w:space="0" w:color="auto"/>
              <w:right w:val="nil"/>
            </w:tcBorders>
            <w:shd w:val="clear" w:color="000000" w:fill="EEECE1"/>
            <w:noWrap/>
            <w:vAlign w:val="center"/>
            <w:hideMark/>
          </w:tcPr>
          <w:p w:rsidR="00901BE5" w:rsidRDefault="00901BE5">
            <w:pPr>
              <w:jc w:val="center"/>
              <w:rPr>
                <w:rFonts w:ascii="Gautami" w:hAnsi="Gautami" w:cs="Gautami"/>
                <w:sz w:val="16"/>
                <w:szCs w:val="16"/>
              </w:rPr>
            </w:pPr>
            <w:r>
              <w:rPr>
                <w:rFonts w:ascii="Gautami" w:hAnsi="Gautami"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901BE5" w:rsidRDefault="00901BE5">
            <w:pPr>
              <w:jc w:val="center"/>
              <w:rPr>
                <w:rFonts w:ascii="Gautami" w:hAnsi="Gautami" w:cs="Gautami"/>
                <w:sz w:val="16"/>
                <w:szCs w:val="16"/>
              </w:rPr>
            </w:pPr>
            <w:r>
              <w:rPr>
                <w:rFonts w:ascii="Gautami" w:hAnsi="Gautami" w:cs="Gautami"/>
                <w:sz w:val="16"/>
                <w:szCs w:val="16"/>
              </w:rPr>
              <w:t>3</w:t>
            </w:r>
          </w:p>
        </w:tc>
      </w:tr>
    </w:tbl>
    <w:p w:rsidR="009340BA" w:rsidRPr="00601EB7" w:rsidRDefault="00601EB7" w:rsidP="00BD4E2C">
      <w:pPr>
        <w:pStyle w:val="Heading2"/>
        <w:rPr>
          <w:rFonts w:cs="Times New Roman"/>
          <w:b w:val="0"/>
          <w:bCs w:val="0"/>
          <w:iCs w:val="0"/>
          <w:color w:val="auto"/>
          <w:sz w:val="16"/>
          <w:szCs w:val="16"/>
          <w:lang w:eastAsia="en-US"/>
        </w:rPr>
      </w:pPr>
      <w:r w:rsidRPr="00002B11">
        <w:rPr>
          <w:rFonts w:cs="Times New Roman"/>
          <w:b w:val="0"/>
          <w:bCs w:val="0"/>
          <w:iCs w:val="0"/>
          <w:color w:val="auto"/>
          <w:sz w:val="16"/>
          <w:szCs w:val="16"/>
          <w:lang w:eastAsia="en-US"/>
        </w:rPr>
        <w:t>Note: Due to 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A6714A" w:rsidP="002652CD">
      <w:pPr>
        <w:pStyle w:val="AERbodytext"/>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31.35pt;height:309.9pt">
            <v:imagedata r:id="rId12" o:title=""/>
          </v:shape>
        </w:pict>
      </w:r>
    </w:p>
    <w:p w:rsidR="000F7A13" w:rsidRDefault="000F7A13" w:rsidP="000F7A13">
      <w:pPr>
        <w:pStyle w:val="AERbodytext"/>
      </w:pPr>
      <w:r>
        <w:t>The red circle shows rebidding by Stanwell described in the “</w:t>
      </w:r>
      <w:r w:rsidRPr="00334E67">
        <w:t>Detailed market analysis of significant price events</w:t>
      </w:r>
      <w:r>
        <w:t>”.</w:t>
      </w:r>
    </w:p>
    <w:p w:rsidR="000F7A13" w:rsidRDefault="000F7A13" w:rsidP="002652CD">
      <w:pPr>
        <w:pStyle w:val="AERbodytext"/>
      </w:pP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4</w:t>
      </w:r>
      <w:r w:rsidRPr="005270A6">
        <w:t>: New South Wales generation and bidding patterns</w:t>
      </w:r>
    </w:p>
    <w:p w:rsidR="002652CD" w:rsidRPr="002D23B9" w:rsidRDefault="00A6714A" w:rsidP="00657719">
      <w:pPr>
        <w:pStyle w:val="AERbodytext"/>
        <w:spacing w:after="120"/>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31.35pt;height:309.3pt">
            <v:imagedata r:id="rId13"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A6714A" w:rsidP="00657719">
      <w:pPr>
        <w:pStyle w:val="AERbodytext"/>
        <w:spacing w:after="0"/>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31.35pt;height:309.3pt">
            <v:imagedata r:id="rId14" o:title=""/>
          </v:shape>
        </w:pict>
      </w:r>
    </w:p>
    <w:p w:rsidR="00833238" w:rsidRPr="00833238" w:rsidRDefault="00780239" w:rsidP="00657719">
      <w:pPr>
        <w:pStyle w:val="Figureheading"/>
        <w:numPr>
          <w:ilvl w:val="0"/>
          <w:numId w:val="0"/>
        </w:numPr>
        <w:spacing w:before="120" w:after="0"/>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A6714A"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31.35pt;height:309.9pt">
            <v:imagedata r:id="rId15" o:title=""/>
          </v:shape>
        </w:pic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A6714A" w:rsidP="002E3E82">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31.35pt;height:309.9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AB1A3D" w:rsidRDefault="0026403E" w:rsidP="0026403E">
      <w:pPr>
        <w:pStyle w:val="AERbodytext"/>
      </w:pPr>
      <w:r w:rsidRPr="00AB1A3D">
        <w:t xml:space="preserve">Frequency control ancillary services (FCAS) are required to maintain the frequency of the power system within the frequency operating standards. </w:t>
      </w:r>
      <w:r w:rsidR="00733916" w:rsidRPr="00AB1A3D">
        <w:t>Raise and lower r</w:t>
      </w:r>
      <w:r w:rsidRPr="00AB1A3D">
        <w:t xml:space="preserve">egulation services are used to address small </w:t>
      </w:r>
      <w:r w:rsidR="000722C8" w:rsidRPr="00AB1A3D">
        <w:t>fluctuations</w:t>
      </w:r>
      <w:r w:rsidRPr="00AB1A3D">
        <w:t xml:space="preserve"> in frequency, </w:t>
      </w:r>
      <w:r w:rsidR="00E970B3" w:rsidRPr="00AB1A3D">
        <w:t xml:space="preserve">while </w:t>
      </w:r>
      <w:r w:rsidR="00733916" w:rsidRPr="00AB1A3D">
        <w:t xml:space="preserve">raise and lower </w:t>
      </w:r>
      <w:r w:rsidRPr="00AB1A3D">
        <w:t xml:space="preserve">contingency services are used to address larger </w:t>
      </w:r>
      <w:r w:rsidR="00733916" w:rsidRPr="00AB1A3D">
        <w:t xml:space="preserve">frequency deviations. There are six contingency services: </w:t>
      </w:r>
    </w:p>
    <w:p w:rsidR="00733916" w:rsidRPr="00AB1A3D" w:rsidRDefault="00733916" w:rsidP="00733916">
      <w:pPr>
        <w:pStyle w:val="Listbullet1"/>
      </w:pPr>
      <w:r w:rsidRPr="00AB1A3D">
        <w:rPr>
          <w:i/>
        </w:rPr>
        <w:t>fast services</w:t>
      </w:r>
      <w:r w:rsidRPr="00AB1A3D">
        <w:t>, which arrest a frequency deviation within the first 6 seconds of a contingent event (raise and lower 6</w:t>
      </w:r>
      <w:r w:rsidR="00715ED6" w:rsidRPr="00AB1A3D">
        <w:t> </w:t>
      </w:r>
      <w:r w:rsidRPr="00AB1A3D">
        <w:t>sec</w:t>
      </w:r>
      <w:r w:rsidR="00715ED6" w:rsidRPr="00AB1A3D">
        <w:t>ond</w:t>
      </w:r>
      <w:r w:rsidRPr="00AB1A3D">
        <w:t>)</w:t>
      </w:r>
    </w:p>
    <w:p w:rsidR="00733916" w:rsidRPr="00AB1A3D" w:rsidRDefault="00733916" w:rsidP="00733916">
      <w:pPr>
        <w:pStyle w:val="Listbullet1"/>
      </w:pPr>
      <w:r w:rsidRPr="00AB1A3D">
        <w:rPr>
          <w:i/>
        </w:rPr>
        <w:t>slow services</w:t>
      </w:r>
      <w:r w:rsidRPr="00AB1A3D">
        <w:t>, which stabilise frequency deviations within 60 seconds of the event (raise and lower 60</w:t>
      </w:r>
      <w:r w:rsidR="00715ED6" w:rsidRPr="00AB1A3D">
        <w:t> </w:t>
      </w:r>
      <w:r w:rsidRPr="00AB1A3D">
        <w:t>sec</w:t>
      </w:r>
      <w:r w:rsidR="00715ED6" w:rsidRPr="00AB1A3D">
        <w:t>ond</w:t>
      </w:r>
      <w:r w:rsidRPr="00AB1A3D">
        <w:t>)</w:t>
      </w:r>
    </w:p>
    <w:p w:rsidR="0026403E" w:rsidRPr="00AB1A3D" w:rsidRDefault="00733916" w:rsidP="00733916">
      <w:pPr>
        <w:pStyle w:val="Listbullet1"/>
      </w:pPr>
      <w:proofErr w:type="gramStart"/>
      <w:r w:rsidRPr="00AB1A3D">
        <w:rPr>
          <w:i/>
        </w:rPr>
        <w:t>delayed</w:t>
      </w:r>
      <w:proofErr w:type="gramEnd"/>
      <w:r w:rsidRPr="00AB1A3D">
        <w:rPr>
          <w:i/>
        </w:rPr>
        <w:t xml:space="preserve"> services</w:t>
      </w:r>
      <w:r w:rsidRPr="00AB1A3D">
        <w:t>, which return the frequency to the normal operating band within 5 minutes (raise and lower 5</w:t>
      </w:r>
      <w:r w:rsidR="00715ED6" w:rsidRPr="00AB1A3D">
        <w:t xml:space="preserve"> </w:t>
      </w:r>
      <w:r w:rsidRPr="00AB1A3D">
        <w:t>min</w:t>
      </w:r>
      <w:r w:rsidR="00715ED6" w:rsidRPr="00AB1A3D">
        <w:t>ute</w:t>
      </w:r>
      <w:r w:rsidRPr="00AB1A3D">
        <w:t>)</w:t>
      </w:r>
      <w:r w:rsidR="00B032DD" w:rsidRPr="00AB1A3D">
        <w:t xml:space="preserve"> at which </w:t>
      </w:r>
      <w:r w:rsidR="00715ED6" w:rsidRPr="00AB1A3D">
        <w:t xml:space="preserve">time the </w:t>
      </w:r>
      <w:r w:rsidR="00753DF7" w:rsidRPr="00AB1A3D">
        <w:t xml:space="preserve">five minute </w:t>
      </w:r>
      <w:r w:rsidR="00715ED6" w:rsidRPr="00AB1A3D">
        <w:t xml:space="preserve">dispatch process will take </w:t>
      </w:r>
      <w:r w:rsidR="00753DF7" w:rsidRPr="00AB1A3D">
        <w:t>effect.</w:t>
      </w:r>
    </w:p>
    <w:p w:rsidR="00F11D5A" w:rsidRPr="00AB1A3D" w:rsidRDefault="00475DAA" w:rsidP="00F11D5A">
      <w:pPr>
        <w:pStyle w:val="AERbodytext"/>
      </w:pPr>
      <w:r w:rsidRPr="00AB1A3D">
        <w:t>T</w:t>
      </w:r>
      <w:r w:rsidR="00F11D5A" w:rsidRPr="00AB1A3D">
        <w:t>he Electricity Rules stipulate that generators pay for raise contingency services</w:t>
      </w:r>
      <w:r w:rsidRPr="00AB1A3D">
        <w:t xml:space="preserve"> and customers pay for lower contingency services.</w:t>
      </w:r>
      <w:r w:rsidR="00F13747" w:rsidRPr="00AB1A3D">
        <w:t xml:space="preserve"> Regulation services are paid for on a “causer pays” basis determined </w:t>
      </w:r>
      <w:r w:rsidR="00E970B3" w:rsidRPr="00AB1A3D">
        <w:t xml:space="preserve">every </w:t>
      </w:r>
      <w:r w:rsidR="00F13747" w:rsidRPr="00AB1A3D">
        <w:t>four weeks by AEMO.</w:t>
      </w:r>
    </w:p>
    <w:p w:rsidR="00E725B7" w:rsidRPr="00095DBC" w:rsidRDefault="00E503C5" w:rsidP="00426C4C">
      <w:pPr>
        <w:jc w:val="both"/>
        <w:rPr>
          <w:rFonts w:ascii="Gautami" w:hAnsi="Gautami"/>
          <w:sz w:val="20"/>
          <w:lang w:eastAsia="en-US"/>
        </w:rPr>
      </w:pPr>
      <w:r w:rsidRPr="00095DBC">
        <w:rPr>
          <w:rFonts w:ascii="Gautami" w:hAnsi="Gautami"/>
          <w:sz w:val="20"/>
          <w:lang w:eastAsia="en-US"/>
        </w:rPr>
        <w:t>The total cost of FCAS on the mainland for the week was $</w:t>
      </w:r>
      <w:r w:rsidR="00901BE5">
        <w:rPr>
          <w:rFonts w:ascii="Gautami" w:hAnsi="Gautami"/>
          <w:sz w:val="20"/>
          <w:lang w:eastAsia="en-US"/>
        </w:rPr>
        <w:t>334</w:t>
      </w:r>
      <w:r w:rsidRPr="00095DBC">
        <w:rPr>
          <w:rFonts w:ascii="Gautami" w:hAnsi="Gautami"/>
          <w:sz w:val="20"/>
          <w:lang w:eastAsia="en-US"/>
        </w:rPr>
        <w:t> </w:t>
      </w:r>
      <w:r w:rsidR="00901BE5">
        <w:rPr>
          <w:rFonts w:ascii="Gautami" w:hAnsi="Gautami"/>
          <w:sz w:val="20"/>
          <w:lang w:eastAsia="en-US"/>
        </w:rPr>
        <w:t>0</w:t>
      </w:r>
      <w:r w:rsidRPr="00095DBC">
        <w:rPr>
          <w:rFonts w:ascii="Gautami" w:hAnsi="Gautami"/>
          <w:sz w:val="20"/>
          <w:lang w:eastAsia="en-US"/>
        </w:rPr>
        <w:t>00 or less than 1 per cent of energy turnover on the mainland.</w:t>
      </w:r>
    </w:p>
    <w:p w:rsidR="00E725B7" w:rsidRPr="00095DBC" w:rsidRDefault="00E725B7" w:rsidP="00426C4C">
      <w:pPr>
        <w:jc w:val="both"/>
        <w:rPr>
          <w:rFonts w:ascii="Gautami" w:hAnsi="Gautami"/>
          <w:sz w:val="20"/>
          <w:lang w:eastAsia="en-US"/>
        </w:rPr>
      </w:pPr>
    </w:p>
    <w:p w:rsidR="00BF6EA0" w:rsidRPr="00095DBC" w:rsidRDefault="00E503C5" w:rsidP="00947365">
      <w:pPr>
        <w:pStyle w:val="AERbodytext"/>
      </w:pPr>
      <w:r w:rsidRPr="00095DBC">
        <w:t>The total cost of FCAS in Tasmania for the week was $</w:t>
      </w:r>
      <w:r w:rsidR="000E17E5" w:rsidRPr="00095DBC">
        <w:t>1</w:t>
      </w:r>
      <w:r w:rsidR="00901BE5">
        <w:t>26</w:t>
      </w:r>
      <w:r w:rsidRPr="00095DBC">
        <w:t xml:space="preserve"> 000 or </w:t>
      </w:r>
      <w:r w:rsidR="00C42589">
        <w:t xml:space="preserve">less than </w:t>
      </w:r>
      <w:r w:rsidR="000E17E5" w:rsidRPr="00095DBC">
        <w:t>3</w:t>
      </w:r>
      <w:r w:rsidRPr="00095DBC">
        <w:t> per cent of energy turnover in Tasmania.</w:t>
      </w:r>
      <w:r w:rsidR="00862E35" w:rsidRPr="00095DBC">
        <w:t xml:space="preserve"> </w:t>
      </w:r>
    </w:p>
    <w:p w:rsidR="00977DC4" w:rsidRPr="002D23B9" w:rsidRDefault="0097000C" w:rsidP="0097000C">
      <w:pPr>
        <w:pStyle w:val="AERbodytext"/>
      </w:pPr>
      <w:r w:rsidRPr="00095DBC">
        <w:t xml:space="preserve">Figure </w:t>
      </w:r>
      <w:r w:rsidR="0078358A" w:rsidRPr="00095DBC">
        <w:t>8</w:t>
      </w:r>
      <w:r w:rsidRPr="00095DBC">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A6714A"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30.75pt;height:217.9pt">
            <v:imagedata r:id="rId17"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334E67">
        <w:rPr>
          <w:color w:val="auto"/>
        </w:rPr>
        <w:t>Detailed market analysis of significant price events</w:t>
      </w:r>
    </w:p>
    <w:p w:rsidR="008B371E" w:rsidRPr="0071797E" w:rsidRDefault="008B371E">
      <w:pPr>
        <w:pStyle w:val="AERbodytext"/>
      </w:pPr>
      <w:r w:rsidRPr="0071797E">
        <w:t>We provide more detailed analysis of events where the spot price was greater than three times the weekly average price in a region and above $250/</w:t>
      </w:r>
      <w:proofErr w:type="spellStart"/>
      <w:r w:rsidRPr="0071797E">
        <w:t>MWh</w:t>
      </w:r>
      <w:proofErr w:type="spellEnd"/>
      <w:r w:rsidRPr="0071797E">
        <w:t xml:space="preserve"> or was below </w:t>
      </w:r>
      <w:r w:rsidRPr="0071797E">
        <w:noBreakHyphen/>
        <w:t>$100/</w:t>
      </w:r>
      <w:proofErr w:type="spellStart"/>
      <w:r w:rsidRPr="0071797E">
        <w:t>MWh</w:t>
      </w:r>
      <w:proofErr w:type="spellEnd"/>
      <w:r w:rsidRPr="0071797E">
        <w:t xml:space="preserve">. </w:t>
      </w:r>
    </w:p>
    <w:p w:rsidR="006366F7" w:rsidRPr="006366F7" w:rsidRDefault="00E52196" w:rsidP="00E01743">
      <w:pPr>
        <w:pStyle w:val="AERbodytext"/>
        <w:rPr>
          <w:b/>
        </w:rPr>
      </w:pPr>
      <w:r>
        <w:rPr>
          <w:b/>
        </w:rPr>
        <w:t>Queensland</w:t>
      </w:r>
    </w:p>
    <w:p w:rsidR="00A70ECC" w:rsidRPr="0071797E" w:rsidRDefault="00A70ECC" w:rsidP="00E01743">
      <w:pPr>
        <w:pStyle w:val="AERbodytext"/>
      </w:pPr>
      <w:r w:rsidRPr="0071797E">
        <w:t xml:space="preserve">There was one occasion where the spot price in </w:t>
      </w:r>
      <w:r w:rsidR="00E52196">
        <w:t xml:space="preserve">Queensland </w:t>
      </w:r>
      <w:r w:rsidRPr="0071797E">
        <w:t xml:space="preserve">was greater than three times the </w:t>
      </w:r>
      <w:r w:rsidR="00E52196">
        <w:t xml:space="preserve">Queensland </w:t>
      </w:r>
      <w:r w:rsidRPr="0071797E">
        <w:t>weekly average price of $</w:t>
      </w:r>
      <w:r w:rsidR="00E52196">
        <w:t>26</w:t>
      </w:r>
      <w:r w:rsidRPr="0071797E">
        <w:t>/</w:t>
      </w:r>
      <w:proofErr w:type="spellStart"/>
      <w:r w:rsidRPr="0071797E">
        <w:t>MWh</w:t>
      </w:r>
      <w:proofErr w:type="spellEnd"/>
      <w:r w:rsidRPr="0071797E">
        <w:t xml:space="preserve"> and above $250/</w:t>
      </w:r>
      <w:proofErr w:type="spellStart"/>
      <w:r w:rsidRPr="0071797E">
        <w:t>MWh</w:t>
      </w:r>
      <w:proofErr w:type="spellEnd"/>
      <w:r w:rsidRPr="0071797E">
        <w:t>.</w:t>
      </w:r>
      <w:r w:rsidR="0071797E" w:rsidRPr="0071797E">
        <w:t xml:space="preserve"> </w:t>
      </w:r>
    </w:p>
    <w:p w:rsidR="00A70ECC" w:rsidRPr="0071797E" w:rsidRDefault="00E725B7" w:rsidP="00A70ECC">
      <w:pPr>
        <w:rPr>
          <w:rFonts w:ascii="Gautami" w:hAnsi="Gautami"/>
          <w:b/>
          <w:sz w:val="20"/>
          <w:lang w:eastAsia="en-US"/>
        </w:rPr>
      </w:pPr>
      <w:r w:rsidRPr="0071797E">
        <w:rPr>
          <w:rFonts w:ascii="Gautami" w:hAnsi="Gautami"/>
          <w:b/>
          <w:sz w:val="20"/>
          <w:lang w:eastAsia="en-US"/>
        </w:rPr>
        <w:t>Table 3:</w:t>
      </w:r>
      <w:r w:rsidR="00FB6493" w:rsidRPr="0071797E">
        <w:rPr>
          <w:rFonts w:ascii="Gautami" w:hAnsi="Gautami"/>
          <w:b/>
          <w:sz w:val="20"/>
          <w:lang w:eastAsia="en-US"/>
        </w:rPr>
        <w:t xml:space="preserve"> </w:t>
      </w:r>
      <w:r w:rsidR="00E52196">
        <w:rPr>
          <w:rFonts w:ascii="Gautami" w:hAnsi="Gautami"/>
          <w:b/>
          <w:sz w:val="20"/>
          <w:lang w:eastAsia="en-US"/>
        </w:rPr>
        <w:t>Mo</w:t>
      </w:r>
      <w:r w:rsidR="0071797E" w:rsidRPr="0071797E">
        <w:rPr>
          <w:rFonts w:ascii="Gautami" w:hAnsi="Gautami"/>
          <w:b/>
          <w:sz w:val="20"/>
          <w:lang w:eastAsia="en-US"/>
        </w:rPr>
        <w:t>n</w:t>
      </w:r>
      <w:r w:rsidRPr="0071797E">
        <w:rPr>
          <w:rFonts w:ascii="Gautami" w:hAnsi="Gautami"/>
          <w:b/>
          <w:sz w:val="20"/>
          <w:lang w:eastAsia="en-US"/>
        </w:rPr>
        <w:t>day</w:t>
      </w:r>
      <w:r w:rsidR="00A70ECC" w:rsidRPr="0071797E">
        <w:rPr>
          <w:rFonts w:ascii="Gautami" w:hAnsi="Gautami"/>
          <w:b/>
          <w:sz w:val="20"/>
          <w:lang w:eastAsia="en-US"/>
        </w:rPr>
        <w:t xml:space="preserve"> </w:t>
      </w:r>
      <w:r w:rsidR="00E52196">
        <w:rPr>
          <w:rFonts w:ascii="Gautami" w:hAnsi="Gautami"/>
          <w:b/>
          <w:sz w:val="20"/>
          <w:lang w:eastAsia="en-US"/>
        </w:rPr>
        <w:t>3</w:t>
      </w:r>
      <w:r w:rsidR="00A70ECC" w:rsidRPr="0071797E">
        <w:rPr>
          <w:rFonts w:ascii="Gautami" w:hAnsi="Gautami"/>
          <w:b/>
          <w:sz w:val="20"/>
          <w:lang w:eastAsia="en-US"/>
        </w:rPr>
        <w:t xml:space="preserve"> </w:t>
      </w:r>
      <w:r w:rsidR="00E52196">
        <w:rPr>
          <w:rFonts w:ascii="Gautami" w:hAnsi="Gautami"/>
          <w:b/>
          <w:sz w:val="20"/>
          <w:lang w:eastAsia="en-US"/>
        </w:rPr>
        <w:t>Novem</w:t>
      </w:r>
      <w:r w:rsidR="0071797E" w:rsidRPr="0071797E">
        <w:rPr>
          <w:rFonts w:ascii="Gautami" w:hAnsi="Gautami"/>
          <w:b/>
          <w:sz w:val="20"/>
          <w:lang w:eastAsia="en-US"/>
        </w:rPr>
        <w:t>ber</w:t>
      </w:r>
      <w:r w:rsidR="00A70ECC" w:rsidRPr="0071797E">
        <w:rPr>
          <w:rFonts w:ascii="Gautami" w:hAnsi="Gautami"/>
          <w:b/>
          <w:sz w:val="20"/>
          <w:lang w:eastAsia="en-US"/>
        </w:rPr>
        <w:t xml:space="preserve"> </w:t>
      </w:r>
    </w:p>
    <w:p w:rsidR="00A70ECC" w:rsidRPr="00C705A3" w:rsidRDefault="00A70ECC" w:rsidP="00A70ECC">
      <w:pPr>
        <w:rPr>
          <w:rFonts w:ascii="Gautami" w:hAnsi="Gautami"/>
          <w:sz w:val="20"/>
          <w:highlight w:val="yellow"/>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A70ECC" w:rsidRPr="0071797E" w:rsidTr="00686F96">
        <w:tc>
          <w:tcPr>
            <w:tcW w:w="527" w:type="pct"/>
            <w:tcBorders>
              <w:top w:val="single" w:sz="4" w:space="0" w:color="auto"/>
              <w:left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rPr>
                <w:rFonts w:ascii="Gautami" w:hAnsi="Gautami" w:cs="Gautami"/>
                <w:b/>
                <w:bCs/>
                <w:color w:val="FFFFFF"/>
                <w:sz w:val="16"/>
                <w:szCs w:val="16"/>
              </w:rPr>
            </w:pPr>
            <w:r w:rsidRPr="0071797E">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Price ($/</w:t>
            </w:r>
            <w:proofErr w:type="spellStart"/>
            <w:r w:rsidRPr="0071797E">
              <w:rPr>
                <w:rFonts w:ascii="Gautami" w:hAnsi="Gautami" w:cs="Gautami"/>
                <w:b/>
                <w:bCs/>
                <w:color w:val="FFFFFF"/>
                <w:sz w:val="16"/>
                <w:szCs w:val="16"/>
              </w:rPr>
              <w:t>MWh</w:t>
            </w:r>
            <w:proofErr w:type="spellEnd"/>
            <w:r w:rsidRPr="0071797E">
              <w:rPr>
                <w:rFonts w:ascii="Gautami" w:hAnsi="Gautami" w:cs="Gautami"/>
                <w:b/>
                <w:bCs/>
                <w:color w:val="FFFFFF"/>
                <w:sz w:val="16"/>
                <w:szCs w:val="16"/>
              </w:rPr>
              <w:t>)</w:t>
            </w:r>
          </w:p>
        </w:tc>
        <w:tc>
          <w:tcPr>
            <w:tcW w:w="1491" w:type="pct"/>
            <w:gridSpan w:val="3"/>
            <w:tcBorders>
              <w:top w:val="single" w:sz="4" w:space="0" w:color="auto"/>
              <w:bottom w:val="nil"/>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A70ECC" w:rsidRPr="0071797E" w:rsidRDefault="00A70ECC" w:rsidP="00686F96">
            <w:pPr>
              <w:autoSpaceDE w:val="0"/>
              <w:autoSpaceDN w:val="0"/>
              <w:adjustRightInd w:val="0"/>
              <w:spacing w:before="100" w:after="100"/>
              <w:jc w:val="center"/>
              <w:rPr>
                <w:rFonts w:ascii="Gautami" w:hAnsi="Gautami" w:cs="Gautami"/>
                <w:b/>
                <w:bCs/>
                <w:color w:val="FFFFFF"/>
                <w:sz w:val="16"/>
                <w:szCs w:val="16"/>
              </w:rPr>
            </w:pPr>
            <w:r w:rsidRPr="0071797E">
              <w:rPr>
                <w:rFonts w:ascii="Gautami" w:hAnsi="Gautami" w:cs="Gautami"/>
                <w:b/>
                <w:bCs/>
                <w:color w:val="FFFFFF"/>
                <w:sz w:val="16"/>
                <w:szCs w:val="16"/>
              </w:rPr>
              <w:t>Availability (MW)</w:t>
            </w:r>
          </w:p>
        </w:tc>
      </w:tr>
      <w:tr w:rsidR="00A70ECC" w:rsidRPr="0071797E" w:rsidTr="00686F96">
        <w:tc>
          <w:tcPr>
            <w:tcW w:w="527" w:type="pct"/>
            <w:tcBorders>
              <w:top w:val="nil"/>
              <w:left w:val="single" w:sz="4" w:space="0" w:color="auto"/>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4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c>
          <w:tcPr>
            <w:tcW w:w="497" w:type="pct"/>
            <w:tcBorders>
              <w:top w:val="nil"/>
              <w:left w:val="nil"/>
              <w:bottom w:val="nil"/>
              <w:right w:val="single" w:sz="6" w:space="0" w:color="auto"/>
            </w:tcBorders>
            <w:shd w:val="clear" w:color="auto" w:fill="DDD9C3"/>
            <w:noWrap/>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12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4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c>
          <w:tcPr>
            <w:tcW w:w="497" w:type="pct"/>
            <w:tcBorders>
              <w:top w:val="nil"/>
              <w:left w:val="nil"/>
              <w:bottom w:val="nil"/>
              <w:right w:val="single" w:sz="6"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12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c>
          <w:tcPr>
            <w:tcW w:w="497" w:type="pct"/>
            <w:tcBorders>
              <w:top w:val="nil"/>
              <w:left w:val="single" w:sz="6" w:space="0" w:color="auto"/>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4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c>
          <w:tcPr>
            <w:tcW w:w="497" w:type="pct"/>
            <w:tcBorders>
              <w:top w:val="nil"/>
              <w:left w:val="nil"/>
              <w:bottom w:val="nil"/>
              <w:right w:val="single" w:sz="4" w:space="0" w:color="auto"/>
            </w:tcBorders>
            <w:shd w:val="clear" w:color="auto" w:fill="DDD9C3"/>
          </w:tcPr>
          <w:p w:rsidR="00A70ECC" w:rsidRPr="0071797E" w:rsidRDefault="00A70ECC" w:rsidP="00686F96">
            <w:pPr>
              <w:autoSpaceDE w:val="0"/>
              <w:autoSpaceDN w:val="0"/>
              <w:adjustRightInd w:val="0"/>
              <w:spacing w:before="100" w:after="100"/>
              <w:jc w:val="center"/>
              <w:rPr>
                <w:rFonts w:ascii="Gautami" w:hAnsi="Gautami" w:cs="Gautami"/>
                <w:b/>
                <w:bCs/>
                <w:sz w:val="16"/>
                <w:szCs w:val="16"/>
              </w:rPr>
            </w:pPr>
            <w:r w:rsidRPr="0071797E">
              <w:rPr>
                <w:rFonts w:ascii="Gautami" w:hAnsi="Gautami" w:cs="Gautami"/>
                <w:b/>
                <w:bCs/>
                <w:sz w:val="16"/>
                <w:szCs w:val="16"/>
              </w:rPr>
              <w:t xml:space="preserve">12 </w:t>
            </w:r>
            <w:proofErr w:type="spellStart"/>
            <w:r w:rsidRPr="0071797E">
              <w:rPr>
                <w:rFonts w:ascii="Gautami" w:hAnsi="Gautami" w:cs="Gautami"/>
                <w:b/>
                <w:bCs/>
                <w:sz w:val="16"/>
                <w:szCs w:val="16"/>
              </w:rPr>
              <w:t>hr</w:t>
            </w:r>
            <w:proofErr w:type="spellEnd"/>
            <w:r w:rsidRPr="0071797E">
              <w:rPr>
                <w:rFonts w:ascii="Gautami" w:hAnsi="Gautami" w:cs="Gautami"/>
                <w:b/>
                <w:bCs/>
                <w:sz w:val="16"/>
                <w:szCs w:val="16"/>
              </w:rPr>
              <w:t xml:space="preserve"> forecast</w:t>
            </w:r>
          </w:p>
        </w:tc>
      </w:tr>
      <w:tr w:rsidR="00E52196" w:rsidRPr="00C705A3" w:rsidTr="00E52196">
        <w:tc>
          <w:tcPr>
            <w:tcW w:w="527" w:type="pct"/>
            <w:tcBorders>
              <w:top w:val="nil"/>
              <w:left w:val="single" w:sz="4" w:space="0" w:color="auto"/>
              <w:bottom w:val="single" w:sz="4" w:space="0" w:color="auto"/>
              <w:right w:val="single" w:sz="6" w:space="0" w:color="auto"/>
            </w:tcBorders>
            <w:shd w:val="clear" w:color="auto" w:fill="EEECE1"/>
            <w:noWrap/>
            <w:vAlign w:val="center"/>
          </w:tcPr>
          <w:p w:rsidR="00E52196" w:rsidRPr="0071797E" w:rsidRDefault="00E52196" w:rsidP="00E52196">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9.30 AM</w:t>
            </w:r>
          </w:p>
        </w:tc>
        <w:tc>
          <w:tcPr>
            <w:tcW w:w="497" w:type="pct"/>
            <w:tcBorders>
              <w:top w:val="nil"/>
              <w:left w:val="single" w:sz="6" w:space="0" w:color="auto"/>
              <w:bottom w:val="single" w:sz="4" w:space="0" w:color="auto"/>
              <w:right w:val="nil"/>
            </w:tcBorders>
            <w:shd w:val="clear" w:color="auto" w:fill="EEECE1"/>
            <w:noWrap/>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261.83</w:t>
            </w:r>
          </w:p>
        </w:tc>
        <w:tc>
          <w:tcPr>
            <w:tcW w:w="497" w:type="pct"/>
            <w:tcBorders>
              <w:top w:val="nil"/>
              <w:left w:val="nil"/>
              <w:bottom w:val="single" w:sz="4" w:space="0" w:color="auto"/>
              <w:right w:val="nil"/>
            </w:tcBorders>
            <w:shd w:val="clear" w:color="auto" w:fill="EEECE1"/>
            <w:noWrap/>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23.49</w:t>
            </w:r>
          </w:p>
        </w:tc>
        <w:tc>
          <w:tcPr>
            <w:tcW w:w="497" w:type="pct"/>
            <w:tcBorders>
              <w:top w:val="nil"/>
              <w:left w:val="nil"/>
              <w:bottom w:val="single" w:sz="4" w:space="0" w:color="auto"/>
              <w:right w:val="single" w:sz="6" w:space="0" w:color="auto"/>
            </w:tcBorders>
            <w:shd w:val="clear" w:color="auto" w:fill="EEECE1"/>
            <w:noWrap/>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22.00</w:t>
            </w:r>
          </w:p>
        </w:tc>
        <w:tc>
          <w:tcPr>
            <w:tcW w:w="497" w:type="pct"/>
            <w:tcBorders>
              <w:top w:val="nil"/>
              <w:left w:val="single" w:sz="6" w:space="0" w:color="auto"/>
              <w:bottom w:val="single" w:sz="4" w:space="0" w:color="auto"/>
              <w:right w:val="nil"/>
            </w:tcBorders>
            <w:shd w:val="clear" w:color="auto" w:fill="EEECE1"/>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6482</w:t>
            </w:r>
          </w:p>
        </w:tc>
        <w:tc>
          <w:tcPr>
            <w:tcW w:w="497" w:type="pct"/>
            <w:tcBorders>
              <w:top w:val="nil"/>
              <w:left w:val="nil"/>
              <w:bottom w:val="single" w:sz="4" w:space="0" w:color="auto"/>
              <w:right w:val="nil"/>
            </w:tcBorders>
            <w:shd w:val="clear" w:color="auto" w:fill="EEECE1"/>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6301</w:t>
            </w:r>
          </w:p>
        </w:tc>
        <w:tc>
          <w:tcPr>
            <w:tcW w:w="497" w:type="pct"/>
            <w:tcBorders>
              <w:top w:val="nil"/>
              <w:left w:val="nil"/>
              <w:bottom w:val="single" w:sz="4" w:space="0" w:color="auto"/>
              <w:right w:val="single" w:sz="6" w:space="0" w:color="auto"/>
            </w:tcBorders>
            <w:shd w:val="clear" w:color="auto" w:fill="EEECE1"/>
            <w:vAlign w:val="center"/>
          </w:tcPr>
          <w:p w:rsidR="00E52196" w:rsidRPr="00E52196" w:rsidRDefault="00E52196" w:rsidP="00E52196">
            <w:pPr>
              <w:pStyle w:val="NormalWeb"/>
              <w:jc w:val="center"/>
              <w:rPr>
                <w:rFonts w:ascii="Gautami" w:hAnsi="Gautami" w:cs="Gautami"/>
                <w:sz w:val="16"/>
                <w:szCs w:val="16"/>
              </w:rPr>
            </w:pPr>
            <w:r w:rsidRPr="00E52196">
              <w:rPr>
                <w:rFonts w:ascii="Gautami" w:hAnsi="Gautami" w:cs="Gautami"/>
                <w:sz w:val="16"/>
                <w:szCs w:val="16"/>
              </w:rPr>
              <w:t>6168</w:t>
            </w:r>
          </w:p>
        </w:tc>
        <w:tc>
          <w:tcPr>
            <w:tcW w:w="497" w:type="pct"/>
            <w:tcBorders>
              <w:top w:val="nil"/>
              <w:left w:val="single" w:sz="6" w:space="0" w:color="auto"/>
              <w:bottom w:val="single" w:sz="4" w:space="0" w:color="auto"/>
              <w:right w:val="nil"/>
            </w:tcBorders>
            <w:shd w:val="clear" w:color="auto" w:fill="EEECE1"/>
            <w:vAlign w:val="center"/>
          </w:tcPr>
          <w:p w:rsidR="00E52196" w:rsidRPr="0071797E" w:rsidRDefault="00E52196" w:rsidP="00686F96">
            <w:pPr>
              <w:jc w:val="center"/>
              <w:rPr>
                <w:rFonts w:ascii="Gautami" w:hAnsi="Gautami" w:cs="Gautami"/>
                <w:sz w:val="16"/>
                <w:szCs w:val="16"/>
              </w:rPr>
            </w:pPr>
            <w:r>
              <w:rPr>
                <w:rFonts w:ascii="Gautami" w:hAnsi="Gautami" w:cs="Gautami"/>
                <w:sz w:val="16"/>
                <w:szCs w:val="16"/>
              </w:rPr>
              <w:t>8622</w:t>
            </w:r>
          </w:p>
        </w:tc>
        <w:tc>
          <w:tcPr>
            <w:tcW w:w="497" w:type="pct"/>
            <w:tcBorders>
              <w:top w:val="nil"/>
              <w:left w:val="nil"/>
              <w:bottom w:val="single" w:sz="4" w:space="0" w:color="auto"/>
              <w:right w:val="nil"/>
            </w:tcBorders>
            <w:shd w:val="clear" w:color="auto" w:fill="EEECE1"/>
            <w:vAlign w:val="center"/>
          </w:tcPr>
          <w:p w:rsidR="00E52196" w:rsidRPr="0071797E" w:rsidRDefault="00E52196" w:rsidP="00686F96">
            <w:pPr>
              <w:jc w:val="center"/>
              <w:rPr>
                <w:rFonts w:ascii="Gautami" w:hAnsi="Gautami" w:cs="Gautami"/>
                <w:sz w:val="16"/>
                <w:szCs w:val="16"/>
              </w:rPr>
            </w:pPr>
            <w:r>
              <w:rPr>
                <w:rFonts w:ascii="Gautami" w:hAnsi="Gautami" w:cs="Gautami"/>
                <w:sz w:val="16"/>
                <w:szCs w:val="16"/>
              </w:rPr>
              <w:t>9134</w:t>
            </w:r>
          </w:p>
        </w:tc>
        <w:tc>
          <w:tcPr>
            <w:tcW w:w="497" w:type="pct"/>
            <w:tcBorders>
              <w:top w:val="nil"/>
              <w:left w:val="nil"/>
              <w:bottom w:val="single" w:sz="4" w:space="0" w:color="auto"/>
              <w:right w:val="single" w:sz="4" w:space="0" w:color="auto"/>
            </w:tcBorders>
            <w:shd w:val="clear" w:color="auto" w:fill="EEECE1"/>
            <w:vAlign w:val="center"/>
          </w:tcPr>
          <w:p w:rsidR="00E52196" w:rsidRPr="0071797E" w:rsidRDefault="00E52196" w:rsidP="00686F96">
            <w:pPr>
              <w:jc w:val="center"/>
              <w:rPr>
                <w:rFonts w:ascii="Gautami" w:hAnsi="Gautami" w:cs="Gautami"/>
                <w:sz w:val="16"/>
                <w:szCs w:val="16"/>
              </w:rPr>
            </w:pPr>
            <w:r>
              <w:rPr>
                <w:rFonts w:ascii="Gautami" w:hAnsi="Gautami" w:cs="Gautami"/>
                <w:sz w:val="16"/>
                <w:szCs w:val="16"/>
              </w:rPr>
              <w:t>9157</w:t>
            </w:r>
          </w:p>
        </w:tc>
      </w:tr>
    </w:tbl>
    <w:p w:rsidR="00A70ECC" w:rsidRPr="00C705A3" w:rsidRDefault="00A70ECC" w:rsidP="00C53952">
      <w:pPr>
        <w:pStyle w:val="AERbodytext"/>
        <w:rPr>
          <w:highlight w:val="yellow"/>
        </w:rPr>
      </w:pPr>
    </w:p>
    <w:p w:rsidR="00E52196" w:rsidRPr="008523CB" w:rsidRDefault="00E52196" w:rsidP="00E52196">
      <w:pPr>
        <w:spacing w:after="240" w:line="288" w:lineRule="auto"/>
        <w:jc w:val="both"/>
        <w:rPr>
          <w:rFonts w:ascii="Gautami" w:hAnsi="Gautami" w:cs="Gautami"/>
          <w:sz w:val="20"/>
          <w:szCs w:val="20"/>
        </w:rPr>
      </w:pPr>
      <w:r w:rsidRPr="008523CB">
        <w:rPr>
          <w:rFonts w:ascii="Gautami" w:hAnsi="Gautami" w:cs="Gautami"/>
          <w:sz w:val="20"/>
          <w:szCs w:val="20"/>
        </w:rPr>
        <w:t xml:space="preserve">Conditions at the time saw demand </w:t>
      </w:r>
      <w:r w:rsidR="006F368C">
        <w:rPr>
          <w:rFonts w:ascii="Gautami" w:hAnsi="Gautami" w:cs="Gautami"/>
          <w:sz w:val="20"/>
          <w:szCs w:val="20"/>
        </w:rPr>
        <w:t>around 180</w:t>
      </w:r>
      <w:r w:rsidRPr="008523CB">
        <w:rPr>
          <w:rFonts w:ascii="Gautami" w:hAnsi="Gautami" w:cs="Gautami"/>
          <w:sz w:val="20"/>
          <w:szCs w:val="20"/>
        </w:rPr>
        <w:t xml:space="preserve"> MW higher than forecast </w:t>
      </w:r>
      <w:r w:rsidR="006F368C">
        <w:rPr>
          <w:rFonts w:ascii="Gautami" w:hAnsi="Gautami" w:cs="Gautami"/>
          <w:sz w:val="20"/>
          <w:szCs w:val="20"/>
        </w:rPr>
        <w:t xml:space="preserve">four hours ahead, </w:t>
      </w:r>
      <w:r w:rsidR="009C66F3">
        <w:rPr>
          <w:rFonts w:ascii="Gautami" w:hAnsi="Gautami" w:cs="Gautami"/>
          <w:sz w:val="20"/>
          <w:szCs w:val="20"/>
        </w:rPr>
        <w:t xml:space="preserve">and </w:t>
      </w:r>
      <w:r w:rsidRPr="008523CB">
        <w:rPr>
          <w:rFonts w:ascii="Gautami" w:hAnsi="Gautami" w:cs="Gautami"/>
          <w:sz w:val="20"/>
          <w:szCs w:val="20"/>
        </w:rPr>
        <w:t>availab</w:t>
      </w:r>
      <w:r w:rsidR="006F368C">
        <w:rPr>
          <w:rFonts w:ascii="Gautami" w:hAnsi="Gautami" w:cs="Gautami"/>
          <w:sz w:val="20"/>
          <w:szCs w:val="20"/>
        </w:rPr>
        <w:t xml:space="preserve">le capacity </w:t>
      </w:r>
      <w:r w:rsidR="00DA23F9">
        <w:rPr>
          <w:rFonts w:ascii="Gautami" w:hAnsi="Gautami" w:cs="Gautami"/>
          <w:sz w:val="20"/>
          <w:szCs w:val="20"/>
        </w:rPr>
        <w:t>over</w:t>
      </w:r>
      <w:r w:rsidRPr="008523CB">
        <w:rPr>
          <w:rFonts w:ascii="Gautami" w:hAnsi="Gautami" w:cs="Gautami"/>
          <w:sz w:val="20"/>
          <w:szCs w:val="20"/>
        </w:rPr>
        <w:t xml:space="preserve"> </w:t>
      </w:r>
      <w:r w:rsidR="009C66F3">
        <w:rPr>
          <w:rFonts w:ascii="Gautami" w:hAnsi="Gautami" w:cs="Gautami"/>
          <w:sz w:val="20"/>
          <w:szCs w:val="20"/>
        </w:rPr>
        <w:t>500 MW lower than forecast</w:t>
      </w:r>
      <w:r w:rsidR="006F368C">
        <w:rPr>
          <w:rFonts w:ascii="Gautami" w:hAnsi="Gautami" w:cs="Gautami"/>
          <w:sz w:val="20"/>
          <w:szCs w:val="20"/>
        </w:rPr>
        <w:t xml:space="preserve"> four hours ahead</w:t>
      </w:r>
      <w:r w:rsidRPr="008523CB">
        <w:rPr>
          <w:rFonts w:ascii="Gautami" w:hAnsi="Gautami" w:cs="Gautami"/>
          <w:sz w:val="20"/>
          <w:szCs w:val="20"/>
        </w:rPr>
        <w:t xml:space="preserve">. The </w:t>
      </w:r>
      <w:r w:rsidR="009C66F3">
        <w:rPr>
          <w:rFonts w:ascii="Gautami" w:hAnsi="Gautami" w:cs="Gautami"/>
          <w:sz w:val="20"/>
          <w:szCs w:val="20"/>
        </w:rPr>
        <w:t xml:space="preserve">majority of the reduced </w:t>
      </w:r>
      <w:r w:rsidRPr="008523CB">
        <w:rPr>
          <w:rFonts w:ascii="Gautami" w:hAnsi="Gautami" w:cs="Gautami"/>
          <w:sz w:val="20"/>
          <w:szCs w:val="20"/>
        </w:rPr>
        <w:t xml:space="preserve">availability </w:t>
      </w:r>
      <w:r w:rsidR="00B31C82">
        <w:rPr>
          <w:rFonts w:ascii="Gautami" w:hAnsi="Gautami" w:cs="Gautami"/>
          <w:sz w:val="20"/>
          <w:szCs w:val="20"/>
        </w:rPr>
        <w:t>(</w:t>
      </w:r>
      <w:r w:rsidR="00B31C82" w:rsidRPr="008523CB">
        <w:rPr>
          <w:rFonts w:ascii="Gautami" w:hAnsi="Gautami" w:cs="Gautami"/>
          <w:sz w:val="20"/>
          <w:szCs w:val="20"/>
        </w:rPr>
        <w:t>406 MW</w:t>
      </w:r>
      <w:r w:rsidR="00B31C82">
        <w:rPr>
          <w:rFonts w:ascii="Gautami" w:hAnsi="Gautami" w:cs="Gautami"/>
          <w:sz w:val="20"/>
          <w:szCs w:val="20"/>
        </w:rPr>
        <w:t>)</w:t>
      </w:r>
      <w:r w:rsidR="00B31C82" w:rsidRPr="008523CB">
        <w:rPr>
          <w:rFonts w:ascii="Gautami" w:hAnsi="Gautami" w:cs="Gautami"/>
          <w:sz w:val="20"/>
          <w:szCs w:val="20"/>
        </w:rPr>
        <w:t xml:space="preserve"> </w:t>
      </w:r>
      <w:r w:rsidRPr="008523CB">
        <w:rPr>
          <w:rFonts w:ascii="Gautami" w:hAnsi="Gautami" w:cs="Gautami"/>
          <w:sz w:val="20"/>
          <w:szCs w:val="20"/>
        </w:rPr>
        <w:t xml:space="preserve">was </w:t>
      </w:r>
      <w:r w:rsidR="009C66F3">
        <w:rPr>
          <w:rFonts w:ascii="Gautami" w:hAnsi="Gautami" w:cs="Gautami"/>
          <w:sz w:val="20"/>
          <w:szCs w:val="20"/>
        </w:rPr>
        <w:t xml:space="preserve">due to </w:t>
      </w:r>
      <w:r w:rsidRPr="008523CB">
        <w:rPr>
          <w:rFonts w:ascii="Gautami" w:hAnsi="Gautami" w:cs="Gautami"/>
          <w:sz w:val="20"/>
          <w:szCs w:val="20"/>
        </w:rPr>
        <w:t>Origin delaying the return to service</w:t>
      </w:r>
      <w:r w:rsidR="009C66F3">
        <w:rPr>
          <w:rFonts w:ascii="Gautami" w:hAnsi="Gautami" w:cs="Gautami"/>
          <w:sz w:val="20"/>
          <w:szCs w:val="20"/>
        </w:rPr>
        <w:t xml:space="preserve"> of its Callide C </w:t>
      </w:r>
      <w:r w:rsidRPr="008523CB">
        <w:rPr>
          <w:rFonts w:ascii="Gautami" w:hAnsi="Gautami" w:cs="Gautami"/>
          <w:sz w:val="20"/>
          <w:szCs w:val="20"/>
        </w:rPr>
        <w:t>unit 4 just after 7 am</w:t>
      </w:r>
      <w:r w:rsidR="00B31C82">
        <w:rPr>
          <w:rFonts w:ascii="Gautami" w:hAnsi="Gautami" w:cs="Gautami"/>
          <w:sz w:val="20"/>
          <w:szCs w:val="20"/>
        </w:rPr>
        <w:t xml:space="preserve">. </w:t>
      </w:r>
    </w:p>
    <w:p w:rsidR="00E52196" w:rsidRDefault="00E52196" w:rsidP="00E52196">
      <w:pPr>
        <w:spacing w:after="240" w:line="288" w:lineRule="auto"/>
        <w:jc w:val="both"/>
        <w:rPr>
          <w:rFonts w:ascii="Gautami" w:hAnsi="Gautami" w:cs="Gautami"/>
          <w:sz w:val="20"/>
          <w:szCs w:val="20"/>
        </w:rPr>
      </w:pPr>
      <w:r w:rsidRPr="008523CB">
        <w:rPr>
          <w:rFonts w:ascii="Gautami" w:hAnsi="Gautami" w:cs="Gautami"/>
          <w:sz w:val="20"/>
          <w:szCs w:val="20"/>
        </w:rPr>
        <w:t xml:space="preserve">At 9.15 am, effective from 9.25 am, Stanwell </w:t>
      </w:r>
      <w:r w:rsidR="009415D8">
        <w:rPr>
          <w:rFonts w:ascii="Gautami" w:hAnsi="Gautami" w:cs="Gautami"/>
          <w:sz w:val="20"/>
          <w:szCs w:val="20"/>
        </w:rPr>
        <w:t xml:space="preserve">Corporation </w:t>
      </w:r>
      <w:r w:rsidRPr="008523CB">
        <w:rPr>
          <w:rFonts w:ascii="Gautami" w:hAnsi="Gautami" w:cs="Gautami"/>
          <w:sz w:val="20"/>
          <w:szCs w:val="20"/>
        </w:rPr>
        <w:t>rebid 570 MW of available capacity across its portfolio from below $290/</w:t>
      </w:r>
      <w:proofErr w:type="spellStart"/>
      <w:r w:rsidRPr="008523CB">
        <w:rPr>
          <w:rFonts w:ascii="Gautami" w:hAnsi="Gautami" w:cs="Gautami"/>
          <w:sz w:val="20"/>
          <w:szCs w:val="20"/>
        </w:rPr>
        <w:t>MWh</w:t>
      </w:r>
      <w:proofErr w:type="spellEnd"/>
      <w:r w:rsidRPr="008523CB">
        <w:rPr>
          <w:rFonts w:ascii="Gautami" w:hAnsi="Gautami" w:cs="Gautami"/>
          <w:sz w:val="20"/>
          <w:szCs w:val="20"/>
        </w:rPr>
        <w:t xml:space="preserve"> to above $6400/</w:t>
      </w:r>
      <w:proofErr w:type="spellStart"/>
      <w:r w:rsidRPr="008523CB">
        <w:rPr>
          <w:rFonts w:ascii="Gautami" w:hAnsi="Gautami" w:cs="Gautami"/>
          <w:sz w:val="20"/>
          <w:szCs w:val="20"/>
        </w:rPr>
        <w:t>MWh</w:t>
      </w:r>
      <w:proofErr w:type="spellEnd"/>
      <w:r w:rsidRPr="008523CB">
        <w:rPr>
          <w:rFonts w:ascii="Gautami" w:hAnsi="Gautami" w:cs="Gautami"/>
          <w:sz w:val="20"/>
          <w:szCs w:val="20"/>
        </w:rPr>
        <w:t xml:space="preserve"> for the remainder of the trading interval. </w:t>
      </w:r>
      <w:r w:rsidR="00277651">
        <w:rPr>
          <w:rFonts w:ascii="Gautami" w:hAnsi="Gautami" w:cs="Gautami"/>
          <w:sz w:val="20"/>
          <w:szCs w:val="20"/>
        </w:rPr>
        <w:t>The majority of this capacity (</w:t>
      </w:r>
      <w:r w:rsidRPr="008523CB">
        <w:rPr>
          <w:rFonts w:ascii="Gautami" w:hAnsi="Gautami" w:cs="Gautami"/>
          <w:sz w:val="20"/>
          <w:szCs w:val="20"/>
        </w:rPr>
        <w:t>420 MW</w:t>
      </w:r>
      <w:r w:rsidR="00277651">
        <w:rPr>
          <w:rFonts w:ascii="Gautami" w:hAnsi="Gautami" w:cs="Gautami"/>
          <w:sz w:val="20"/>
          <w:szCs w:val="20"/>
        </w:rPr>
        <w:t>)</w:t>
      </w:r>
      <w:r w:rsidRPr="008523CB">
        <w:rPr>
          <w:rFonts w:ascii="Gautami" w:hAnsi="Gautami" w:cs="Gautami"/>
          <w:sz w:val="20"/>
          <w:szCs w:val="20"/>
        </w:rPr>
        <w:t xml:space="preserve"> was shifted from price bands below $25/</w:t>
      </w:r>
      <w:proofErr w:type="spellStart"/>
      <w:r w:rsidRPr="008523CB">
        <w:rPr>
          <w:rFonts w:ascii="Gautami" w:hAnsi="Gautami" w:cs="Gautami"/>
          <w:sz w:val="20"/>
          <w:szCs w:val="20"/>
        </w:rPr>
        <w:t>MWh</w:t>
      </w:r>
      <w:proofErr w:type="spellEnd"/>
      <w:r w:rsidRPr="008523CB">
        <w:rPr>
          <w:rFonts w:ascii="Gautami" w:hAnsi="Gautami" w:cs="Gautami"/>
          <w:sz w:val="20"/>
          <w:szCs w:val="20"/>
        </w:rPr>
        <w:t xml:space="preserve">. The reason given was “0912A change in QNI flow forecast </w:t>
      </w:r>
      <w:proofErr w:type="spellStart"/>
      <w:r w:rsidRPr="008523CB">
        <w:rPr>
          <w:rFonts w:ascii="Gautami" w:hAnsi="Gautami" w:cs="Gautami"/>
          <w:sz w:val="20"/>
          <w:szCs w:val="20"/>
        </w:rPr>
        <w:t>vs</w:t>
      </w:r>
      <w:proofErr w:type="spellEnd"/>
      <w:r w:rsidRPr="008523CB">
        <w:rPr>
          <w:rFonts w:ascii="Gautami" w:hAnsi="Gautami" w:cs="Gautami"/>
          <w:sz w:val="20"/>
          <w:szCs w:val="20"/>
        </w:rPr>
        <w:t xml:space="preserve"> actual </w:t>
      </w:r>
      <w:proofErr w:type="spellStart"/>
      <w:proofErr w:type="gramStart"/>
      <w:r w:rsidRPr="008523CB">
        <w:rPr>
          <w:rFonts w:ascii="Gautami" w:hAnsi="Gautami" w:cs="Gautami"/>
          <w:sz w:val="20"/>
          <w:szCs w:val="20"/>
        </w:rPr>
        <w:t>sl</w:t>
      </w:r>
      <w:proofErr w:type="spellEnd"/>
      <w:proofErr w:type="gramEnd"/>
      <w:r w:rsidRPr="008523CB">
        <w:rPr>
          <w:rFonts w:ascii="Gautami" w:hAnsi="Gautami" w:cs="Gautami"/>
          <w:sz w:val="20"/>
          <w:szCs w:val="20"/>
        </w:rPr>
        <w:t xml:space="preserve">”. </w:t>
      </w:r>
    </w:p>
    <w:p w:rsidR="00F12637" w:rsidRPr="008523CB" w:rsidRDefault="00F12637" w:rsidP="00E52196">
      <w:pPr>
        <w:spacing w:after="240" w:line="288" w:lineRule="auto"/>
        <w:jc w:val="both"/>
        <w:rPr>
          <w:rFonts w:ascii="Gautami" w:hAnsi="Gautami" w:cs="Gautami"/>
          <w:sz w:val="20"/>
          <w:szCs w:val="20"/>
        </w:rPr>
      </w:pPr>
      <w:r>
        <w:rPr>
          <w:rFonts w:ascii="Gautami" w:hAnsi="Gautami" w:cs="Gautami"/>
          <w:sz w:val="20"/>
          <w:szCs w:val="20"/>
        </w:rPr>
        <w:t xml:space="preserve">As a result of the rebid into higher prices, generation at </w:t>
      </w:r>
      <w:r w:rsidR="000A28F3">
        <w:rPr>
          <w:rFonts w:ascii="Gautami" w:hAnsi="Gautami" w:cs="Gautami"/>
          <w:sz w:val="20"/>
          <w:szCs w:val="20"/>
        </w:rPr>
        <w:t xml:space="preserve">Stanwell </w:t>
      </w:r>
      <w:r w:rsidR="009415D8">
        <w:rPr>
          <w:rFonts w:ascii="Gautami" w:hAnsi="Gautami" w:cs="Gautami"/>
          <w:sz w:val="20"/>
          <w:szCs w:val="20"/>
        </w:rPr>
        <w:t>was</w:t>
      </w:r>
      <w:r>
        <w:rPr>
          <w:rFonts w:ascii="Gautami" w:hAnsi="Gautami" w:cs="Gautami"/>
          <w:sz w:val="20"/>
          <w:szCs w:val="20"/>
        </w:rPr>
        <w:t xml:space="preserve"> backed off. </w:t>
      </w:r>
      <w:r w:rsidR="000A28F3">
        <w:rPr>
          <w:rFonts w:ascii="Gautami" w:hAnsi="Gautami" w:cs="Gautami"/>
          <w:sz w:val="20"/>
          <w:szCs w:val="20"/>
        </w:rPr>
        <w:t xml:space="preserve">With the </w:t>
      </w:r>
      <w:r w:rsidR="000A28F3" w:rsidRPr="008523CB">
        <w:rPr>
          <w:rFonts w:ascii="Gautami" w:hAnsi="Gautami" w:cs="Gautami"/>
          <w:sz w:val="20"/>
          <w:szCs w:val="20"/>
        </w:rPr>
        <w:t xml:space="preserve">majority of Queensland units </w:t>
      </w:r>
      <w:r w:rsidR="000A28F3">
        <w:rPr>
          <w:rFonts w:ascii="Gautami" w:hAnsi="Gautami" w:cs="Gautami"/>
          <w:sz w:val="20"/>
          <w:szCs w:val="20"/>
        </w:rPr>
        <w:t>either fully dispatched or offline, CS Energy’s Gladstone units (which were priced above $1300/</w:t>
      </w:r>
      <w:proofErr w:type="spellStart"/>
      <w:r w:rsidR="000A28F3">
        <w:rPr>
          <w:rFonts w:ascii="Gautami" w:hAnsi="Gautami" w:cs="Gautami"/>
          <w:sz w:val="20"/>
          <w:szCs w:val="20"/>
        </w:rPr>
        <w:t>MWh</w:t>
      </w:r>
      <w:proofErr w:type="spellEnd"/>
      <w:r w:rsidR="000A28F3">
        <w:rPr>
          <w:rFonts w:ascii="Gautami" w:hAnsi="Gautami" w:cs="Gautami"/>
          <w:sz w:val="20"/>
          <w:szCs w:val="20"/>
        </w:rPr>
        <w:t>) were dispatched</w:t>
      </w:r>
      <w:r w:rsidR="000A28F3" w:rsidRPr="000A28F3">
        <w:rPr>
          <w:rFonts w:ascii="Gautami" w:hAnsi="Gautami" w:cs="Gautami"/>
          <w:sz w:val="20"/>
          <w:szCs w:val="20"/>
        </w:rPr>
        <w:t xml:space="preserve"> </w:t>
      </w:r>
      <w:r w:rsidR="000A28F3">
        <w:rPr>
          <w:rFonts w:ascii="Gautami" w:hAnsi="Gautami" w:cs="Gautami"/>
          <w:sz w:val="20"/>
          <w:szCs w:val="20"/>
        </w:rPr>
        <w:t>to meet demand, setting the dispatch price at 9.25 am at $1400/</w:t>
      </w:r>
      <w:proofErr w:type="spellStart"/>
      <w:r w:rsidR="000A28F3">
        <w:rPr>
          <w:rFonts w:ascii="Gautami" w:hAnsi="Gautami" w:cs="Gautami"/>
          <w:sz w:val="20"/>
          <w:szCs w:val="20"/>
        </w:rPr>
        <w:t>MWh</w:t>
      </w:r>
      <w:proofErr w:type="spellEnd"/>
      <w:r w:rsidR="000A28F3">
        <w:rPr>
          <w:rFonts w:ascii="Gautami" w:hAnsi="Gautami" w:cs="Gautami"/>
          <w:sz w:val="20"/>
          <w:szCs w:val="20"/>
        </w:rPr>
        <w:t xml:space="preserve">. </w:t>
      </w:r>
    </w:p>
    <w:p w:rsidR="00E52196" w:rsidRDefault="00E52196" w:rsidP="00E52196">
      <w:pPr>
        <w:spacing w:after="240" w:line="288" w:lineRule="auto"/>
        <w:jc w:val="both"/>
        <w:rPr>
          <w:rFonts w:ascii="Gautami" w:hAnsi="Gautami" w:cs="Gautami"/>
          <w:sz w:val="20"/>
          <w:szCs w:val="20"/>
        </w:rPr>
      </w:pPr>
      <w:r w:rsidRPr="008523CB">
        <w:rPr>
          <w:rFonts w:ascii="Gautami" w:hAnsi="Gautami" w:cs="Gautami"/>
          <w:sz w:val="20"/>
          <w:szCs w:val="20"/>
        </w:rPr>
        <w:t>There was no other significant rebidding.</w:t>
      </w:r>
    </w:p>
    <w:p w:rsidR="00E96C5A" w:rsidRPr="002D23B9" w:rsidRDefault="00595CAA" w:rsidP="00C81890">
      <w:pPr>
        <w:pStyle w:val="Heading2"/>
        <w:rPr>
          <w:color w:val="auto"/>
        </w:rPr>
      </w:pPr>
      <w:r>
        <w:rPr>
          <w:color w:val="auto"/>
        </w:rPr>
        <w:br w:type="page"/>
      </w:r>
      <w:r w:rsidR="00E96C5A" w:rsidRPr="002D23B9">
        <w:rPr>
          <w:color w:val="auto"/>
        </w:rPr>
        <w:t>Financial markets</w:t>
      </w:r>
    </w:p>
    <w:p w:rsidR="00E96C5A" w:rsidRPr="00B431CD" w:rsidRDefault="0078358A" w:rsidP="00205FE8">
      <w:pPr>
        <w:pStyle w:val="AERbodytext"/>
      </w:pPr>
      <w:r w:rsidRPr="00205FE8">
        <w:t>Figure 9</w:t>
      </w:r>
      <w:r w:rsidR="00E96C5A" w:rsidRPr="00205FE8">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5F51F6" w:rsidRPr="00AA6275">
        <w:rPr>
          <w:color w:val="000000" w:themeColor="text1"/>
        </w:rPr>
        <w:t>Q</w:t>
      </w:r>
      <w:r w:rsidR="005F51F6">
        <w:rPr>
          <w:color w:val="000000" w:themeColor="text1"/>
        </w:rPr>
        <w:t>4</w:t>
      </w:r>
      <w:r w:rsidR="005F51F6"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5F51F6" w:rsidRPr="00AA6275">
        <w:rPr>
          <w:color w:val="000000" w:themeColor="text1"/>
        </w:rPr>
        <w:t>Q</w:t>
      </w:r>
      <w:r w:rsidR="005F51F6">
        <w:rPr>
          <w:color w:val="000000" w:themeColor="text1"/>
        </w:rPr>
        <w:t>3</w:t>
      </w:r>
      <w:r w:rsidR="005F51F6" w:rsidRPr="00AA6275">
        <w:rPr>
          <w:color w:val="000000" w:themeColor="text1"/>
        </w:rPr>
        <w:t xml:space="preserve"> </w:t>
      </w:r>
      <w:r w:rsidR="00BB0611" w:rsidRPr="00AA6275">
        <w:rPr>
          <w:color w:val="000000" w:themeColor="text1"/>
        </w:rPr>
        <w:t>2018</w:t>
      </w:r>
    </w:p>
    <w:p w:rsidR="00E96C5A" w:rsidRPr="002D23B9" w:rsidRDefault="00A6714A"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30.75pt;height:217.2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05FE8" w:rsidRDefault="0078358A" w:rsidP="00102C3B">
      <w:pPr>
        <w:pStyle w:val="AERbodytext"/>
      </w:pPr>
      <w:r w:rsidRPr="00205FE8">
        <w:t>Figure 10</w:t>
      </w:r>
      <w:r w:rsidR="0097000C" w:rsidRPr="00205FE8">
        <w:t xml:space="preserve"> shows how the price for each regional Quarter 1 201</w:t>
      </w:r>
      <w:r w:rsidR="00754FF0" w:rsidRPr="00205FE8">
        <w:t>5</w:t>
      </w:r>
      <w:r w:rsidR="0097000C" w:rsidRPr="00205FE8">
        <w:t xml:space="preserve"> base contract has changed over the last 10 weeks (as well as the total number of trades each week). The closing quarter 1 201</w:t>
      </w:r>
      <w:r w:rsidR="00754FF0" w:rsidRPr="00B431CD">
        <w:t>3</w:t>
      </w:r>
      <w:r w:rsidR="0097000C" w:rsidRPr="00205FE8">
        <w:t xml:space="preserve"> and quarter 1 201</w:t>
      </w:r>
      <w:r w:rsidR="00754FF0" w:rsidRPr="00205FE8">
        <w:t>4</w:t>
      </w:r>
      <w:r w:rsidR="0097000C" w:rsidRPr="00205FE8">
        <w:t xml:space="preserve"> prices are also shown. The AER notes that data for South Australia is less reliable due to very low numbers of trades.</w:t>
      </w:r>
      <w:r w:rsidR="007354CE" w:rsidRPr="00205FE8">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C2017">
        <w:rPr>
          <w:color w:val="000000" w:themeColor="text1"/>
        </w:rPr>
        <w:t xml:space="preserve">Figure </w:t>
      </w:r>
      <w:r w:rsidR="0078358A" w:rsidRPr="00AC2017">
        <w:rPr>
          <w:color w:val="000000" w:themeColor="text1"/>
        </w:rPr>
        <w:t>10</w:t>
      </w:r>
      <w:r w:rsidRPr="00AC2017">
        <w:rPr>
          <w:color w:val="000000" w:themeColor="text1"/>
        </w:rPr>
        <w:t>: Price of Q1 201</w:t>
      </w:r>
      <w:r w:rsidR="00754FF0" w:rsidRPr="00AC2017">
        <w:rPr>
          <w:color w:val="000000" w:themeColor="text1"/>
        </w:rPr>
        <w:t>5</w:t>
      </w:r>
      <w:r w:rsidRPr="00AC2017">
        <w:rPr>
          <w:color w:val="000000" w:themeColor="text1"/>
        </w:rPr>
        <w:t xml:space="preserve"> base contracts over the past 10 weeks (and the past 2 years)</w:t>
      </w:r>
    </w:p>
    <w:p w:rsidR="00E96C5A" w:rsidRPr="002D23B9" w:rsidRDefault="00A6714A"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31.35pt;height:219.1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426950">
      <w:pPr>
        <w:pStyle w:val="AERbodytext"/>
        <w:spacing w:after="120"/>
      </w:pPr>
      <w:r w:rsidRPr="00205FE8">
        <w:t>Prices of other financial products (including longer-term price trends) are available in the</w:t>
      </w:r>
      <w:r w:rsidRPr="002D23B9">
        <w:t xml:space="preserv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05FE8" w:rsidRDefault="0097000C" w:rsidP="00102C3B">
      <w:pPr>
        <w:pStyle w:val="AERbodytext"/>
      </w:pPr>
      <w:r w:rsidRPr="00205FE8">
        <w:t>Figure 1</w:t>
      </w:r>
      <w:r w:rsidR="0078358A" w:rsidRPr="00B431CD">
        <w:t>1</w:t>
      </w:r>
      <w:r w:rsidRPr="00205FE8">
        <w:t xml:space="preserve"> shows how the price for each regional Quarter 1 201</w:t>
      </w:r>
      <w:r w:rsidR="00754FF0" w:rsidRPr="00205FE8">
        <w:t>5</w:t>
      </w:r>
      <w:r w:rsidRPr="00205FE8">
        <w:t xml:space="preserve"> cap contract has changed over the last 10 weeks (as well as the total number of trades each week). The closing quarter 1 201</w:t>
      </w:r>
      <w:r w:rsidR="00754FF0" w:rsidRPr="00205FE8">
        <w:t>3</w:t>
      </w:r>
      <w:r w:rsidRPr="00205FE8">
        <w:t xml:space="preserve"> and quarter 1 201</w:t>
      </w:r>
      <w:r w:rsidR="00754FF0" w:rsidRPr="00205FE8">
        <w:t>4</w:t>
      </w:r>
      <w:r w:rsidRPr="00205FE8">
        <w:t xml:space="preserve"> prices are also shown.</w:t>
      </w:r>
      <w:r w:rsidR="00E96C5A" w:rsidRPr="00205FE8">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A6714A"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31.35pt;height:3in">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E57091" w:rsidP="00E43512">
      <w:pPr>
        <w:pStyle w:val="AERbodytext"/>
        <w:rPr>
          <w:b/>
        </w:rPr>
      </w:pPr>
      <w:r>
        <w:rPr>
          <w:b/>
        </w:rPr>
        <w:t>Novem</w:t>
      </w:r>
      <w:r w:rsidR="00AC2017">
        <w:rPr>
          <w:b/>
        </w:rPr>
        <w:t>ber</w:t>
      </w:r>
      <w:r w:rsidR="00C47889" w:rsidRPr="00E43512">
        <w:rPr>
          <w:b/>
        </w:rPr>
        <w:t xml:space="preserve"> </w:t>
      </w:r>
      <w:r w:rsidR="0097000C" w:rsidRPr="00E43512">
        <w:rPr>
          <w:b/>
        </w:rPr>
        <w:t>2014</w:t>
      </w:r>
    </w:p>
    <w:sectPr w:rsidR="00E96C5A" w:rsidRPr="00E43512" w:rsidSect="00657719">
      <w:footerReference w:type="default" r:id="rId25"/>
      <w:footerReference w:type="first" r:id="rId26"/>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A6714A">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w:t>
    </w:r>
    <w:r w:rsidR="00753FA2">
      <w:rPr>
        <w:rFonts w:ascii="Arial" w:hAnsi="Arial" w:cs="Arial"/>
        <w:sz w:val="18"/>
        <w:szCs w:val="18"/>
      </w:rPr>
      <w:t>1</w:t>
    </w:r>
    <w:r w:rsidR="00595CAA">
      <w:rPr>
        <w:rFonts w:ascii="Arial" w:hAnsi="Arial" w:cs="Arial"/>
        <w:sz w:val="18"/>
        <w:szCs w:val="18"/>
      </w:rPr>
      <w:t>53052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088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adrae\20141102 - 20141108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B11"/>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5A"/>
    <w:rsid w:val="000068EC"/>
    <w:rsid w:val="00006CB5"/>
    <w:rsid w:val="00006E66"/>
    <w:rsid w:val="000070D2"/>
    <w:rsid w:val="000078B2"/>
    <w:rsid w:val="00007A05"/>
    <w:rsid w:val="00007DEC"/>
    <w:rsid w:val="000107D8"/>
    <w:rsid w:val="00010C72"/>
    <w:rsid w:val="000110D5"/>
    <w:rsid w:val="000110E1"/>
    <w:rsid w:val="0001166B"/>
    <w:rsid w:val="00011751"/>
    <w:rsid w:val="00011913"/>
    <w:rsid w:val="00011D51"/>
    <w:rsid w:val="000125FD"/>
    <w:rsid w:val="0001277E"/>
    <w:rsid w:val="00012C8B"/>
    <w:rsid w:val="00012F07"/>
    <w:rsid w:val="0001307D"/>
    <w:rsid w:val="000139F3"/>
    <w:rsid w:val="000140DC"/>
    <w:rsid w:val="0001430A"/>
    <w:rsid w:val="000145B9"/>
    <w:rsid w:val="00014B8F"/>
    <w:rsid w:val="00015040"/>
    <w:rsid w:val="00015050"/>
    <w:rsid w:val="000158C2"/>
    <w:rsid w:val="000161BF"/>
    <w:rsid w:val="00016303"/>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374"/>
    <w:rsid w:val="00025731"/>
    <w:rsid w:val="00025D45"/>
    <w:rsid w:val="00025D77"/>
    <w:rsid w:val="00025E0E"/>
    <w:rsid w:val="00025FB3"/>
    <w:rsid w:val="0002602A"/>
    <w:rsid w:val="000260E2"/>
    <w:rsid w:val="000261A3"/>
    <w:rsid w:val="000261BD"/>
    <w:rsid w:val="0002626E"/>
    <w:rsid w:val="000263C1"/>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174"/>
    <w:rsid w:val="00044279"/>
    <w:rsid w:val="00044445"/>
    <w:rsid w:val="00044949"/>
    <w:rsid w:val="00044A13"/>
    <w:rsid w:val="00044DAB"/>
    <w:rsid w:val="0004523A"/>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70"/>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566"/>
    <w:rsid w:val="00067C4A"/>
    <w:rsid w:val="00067D27"/>
    <w:rsid w:val="000702B7"/>
    <w:rsid w:val="000702BE"/>
    <w:rsid w:val="0007067D"/>
    <w:rsid w:val="00070B59"/>
    <w:rsid w:val="00070D16"/>
    <w:rsid w:val="00070F58"/>
    <w:rsid w:val="00071615"/>
    <w:rsid w:val="00071AB5"/>
    <w:rsid w:val="00071C16"/>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B9F"/>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233"/>
    <w:rsid w:val="00086527"/>
    <w:rsid w:val="00086713"/>
    <w:rsid w:val="0008677A"/>
    <w:rsid w:val="000869F3"/>
    <w:rsid w:val="00086C5B"/>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DBC"/>
    <w:rsid w:val="00095FC2"/>
    <w:rsid w:val="0009623B"/>
    <w:rsid w:val="00096516"/>
    <w:rsid w:val="000967CF"/>
    <w:rsid w:val="00096A6C"/>
    <w:rsid w:val="00096F28"/>
    <w:rsid w:val="00097455"/>
    <w:rsid w:val="000974E4"/>
    <w:rsid w:val="000A015D"/>
    <w:rsid w:val="000A040B"/>
    <w:rsid w:val="000A048C"/>
    <w:rsid w:val="000A0DBB"/>
    <w:rsid w:val="000A0E1A"/>
    <w:rsid w:val="000A105F"/>
    <w:rsid w:val="000A1444"/>
    <w:rsid w:val="000A17BC"/>
    <w:rsid w:val="000A1E5F"/>
    <w:rsid w:val="000A21B3"/>
    <w:rsid w:val="000A241E"/>
    <w:rsid w:val="000A25BF"/>
    <w:rsid w:val="000A2744"/>
    <w:rsid w:val="000A28F3"/>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4AE"/>
    <w:rsid w:val="000B76DA"/>
    <w:rsid w:val="000B7FD3"/>
    <w:rsid w:val="000C0334"/>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5ED8"/>
    <w:rsid w:val="000C606D"/>
    <w:rsid w:val="000C6180"/>
    <w:rsid w:val="000C65BC"/>
    <w:rsid w:val="000C6CB7"/>
    <w:rsid w:val="000C738D"/>
    <w:rsid w:val="000C7A04"/>
    <w:rsid w:val="000C7C7F"/>
    <w:rsid w:val="000D00E7"/>
    <w:rsid w:val="000D039C"/>
    <w:rsid w:val="000D03EF"/>
    <w:rsid w:val="000D08EF"/>
    <w:rsid w:val="000D0913"/>
    <w:rsid w:val="000D0CA1"/>
    <w:rsid w:val="000D132A"/>
    <w:rsid w:val="000D16BF"/>
    <w:rsid w:val="000D18F3"/>
    <w:rsid w:val="000D1AD4"/>
    <w:rsid w:val="000D1FAC"/>
    <w:rsid w:val="000D205E"/>
    <w:rsid w:val="000D27C2"/>
    <w:rsid w:val="000D28FF"/>
    <w:rsid w:val="000D2EC0"/>
    <w:rsid w:val="000D34DD"/>
    <w:rsid w:val="000D3510"/>
    <w:rsid w:val="000D3769"/>
    <w:rsid w:val="000D3D28"/>
    <w:rsid w:val="000D41CE"/>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7E5"/>
    <w:rsid w:val="000E1820"/>
    <w:rsid w:val="000E1B01"/>
    <w:rsid w:val="000E1B63"/>
    <w:rsid w:val="000E1CFC"/>
    <w:rsid w:val="000E1EA0"/>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87E"/>
    <w:rsid w:val="000F5E10"/>
    <w:rsid w:val="000F5FCE"/>
    <w:rsid w:val="000F6848"/>
    <w:rsid w:val="000F6C9E"/>
    <w:rsid w:val="000F6F6F"/>
    <w:rsid w:val="000F7093"/>
    <w:rsid w:val="000F713F"/>
    <w:rsid w:val="000F790F"/>
    <w:rsid w:val="000F7A13"/>
    <w:rsid w:val="000F7CC6"/>
    <w:rsid w:val="000F7FFD"/>
    <w:rsid w:val="00100118"/>
    <w:rsid w:val="00100299"/>
    <w:rsid w:val="001005F2"/>
    <w:rsid w:val="00100D7C"/>
    <w:rsid w:val="00100E58"/>
    <w:rsid w:val="0010112B"/>
    <w:rsid w:val="0010147A"/>
    <w:rsid w:val="00101A76"/>
    <w:rsid w:val="00101FB4"/>
    <w:rsid w:val="00102195"/>
    <w:rsid w:val="001026C8"/>
    <w:rsid w:val="00102898"/>
    <w:rsid w:val="00102C3B"/>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B23"/>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468"/>
    <w:rsid w:val="0011452E"/>
    <w:rsid w:val="00114583"/>
    <w:rsid w:val="00114759"/>
    <w:rsid w:val="00114D18"/>
    <w:rsid w:val="001152D7"/>
    <w:rsid w:val="00115549"/>
    <w:rsid w:val="0011593C"/>
    <w:rsid w:val="001159E5"/>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2ECD"/>
    <w:rsid w:val="001231FC"/>
    <w:rsid w:val="001232F5"/>
    <w:rsid w:val="00123318"/>
    <w:rsid w:val="00123E86"/>
    <w:rsid w:val="0012429F"/>
    <w:rsid w:val="001247CC"/>
    <w:rsid w:val="00124923"/>
    <w:rsid w:val="00124A90"/>
    <w:rsid w:val="00125429"/>
    <w:rsid w:val="001255DD"/>
    <w:rsid w:val="00125611"/>
    <w:rsid w:val="00125663"/>
    <w:rsid w:val="00125EC8"/>
    <w:rsid w:val="00126101"/>
    <w:rsid w:val="0012671B"/>
    <w:rsid w:val="001267BC"/>
    <w:rsid w:val="00126D4F"/>
    <w:rsid w:val="00126E6A"/>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1EB3"/>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4D7"/>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5DA"/>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CBF"/>
    <w:rsid w:val="00153EE5"/>
    <w:rsid w:val="00154192"/>
    <w:rsid w:val="00154FE1"/>
    <w:rsid w:val="0015597D"/>
    <w:rsid w:val="00155A20"/>
    <w:rsid w:val="00155B20"/>
    <w:rsid w:val="00155B70"/>
    <w:rsid w:val="00155CDE"/>
    <w:rsid w:val="00155D6E"/>
    <w:rsid w:val="00156276"/>
    <w:rsid w:val="0015629C"/>
    <w:rsid w:val="00156896"/>
    <w:rsid w:val="001568A0"/>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2E2"/>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A36"/>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9CF"/>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29F"/>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97C"/>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6DBC"/>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41EC"/>
    <w:rsid w:val="001C4876"/>
    <w:rsid w:val="001C4AC8"/>
    <w:rsid w:val="001C4ECE"/>
    <w:rsid w:val="001C5302"/>
    <w:rsid w:val="001C53BD"/>
    <w:rsid w:val="001C54AF"/>
    <w:rsid w:val="001C5582"/>
    <w:rsid w:val="001C579A"/>
    <w:rsid w:val="001C5A5A"/>
    <w:rsid w:val="001C5B0B"/>
    <w:rsid w:val="001C5C7A"/>
    <w:rsid w:val="001C6011"/>
    <w:rsid w:val="001C60CA"/>
    <w:rsid w:val="001C6BB9"/>
    <w:rsid w:val="001C6CB0"/>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7D5"/>
    <w:rsid w:val="001D49C6"/>
    <w:rsid w:val="001D4CCD"/>
    <w:rsid w:val="001D52A3"/>
    <w:rsid w:val="001D57F2"/>
    <w:rsid w:val="001D5971"/>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5D17"/>
    <w:rsid w:val="001E6564"/>
    <w:rsid w:val="001E6672"/>
    <w:rsid w:val="001E67C8"/>
    <w:rsid w:val="001E6CF7"/>
    <w:rsid w:val="001E6F02"/>
    <w:rsid w:val="001E6F4F"/>
    <w:rsid w:val="001E7099"/>
    <w:rsid w:val="001E71BF"/>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5FE8"/>
    <w:rsid w:val="00206242"/>
    <w:rsid w:val="00206743"/>
    <w:rsid w:val="00206901"/>
    <w:rsid w:val="00206B26"/>
    <w:rsid w:val="00207360"/>
    <w:rsid w:val="002076A5"/>
    <w:rsid w:val="00207B67"/>
    <w:rsid w:val="00210403"/>
    <w:rsid w:val="00210588"/>
    <w:rsid w:val="00210A3D"/>
    <w:rsid w:val="00210FB5"/>
    <w:rsid w:val="002119A0"/>
    <w:rsid w:val="00211E13"/>
    <w:rsid w:val="002120BD"/>
    <w:rsid w:val="002121B9"/>
    <w:rsid w:val="00212261"/>
    <w:rsid w:val="0021246E"/>
    <w:rsid w:val="00212B63"/>
    <w:rsid w:val="00212C5F"/>
    <w:rsid w:val="00212D2F"/>
    <w:rsid w:val="00213289"/>
    <w:rsid w:val="002133F3"/>
    <w:rsid w:val="002137C5"/>
    <w:rsid w:val="00213B61"/>
    <w:rsid w:val="00213BDC"/>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C91"/>
    <w:rsid w:val="00255D14"/>
    <w:rsid w:val="00255D55"/>
    <w:rsid w:val="002568F5"/>
    <w:rsid w:val="002569F3"/>
    <w:rsid w:val="00256A2A"/>
    <w:rsid w:val="00256EE5"/>
    <w:rsid w:val="00256F9C"/>
    <w:rsid w:val="00256FAB"/>
    <w:rsid w:val="00257CE6"/>
    <w:rsid w:val="00257D0A"/>
    <w:rsid w:val="00257D2A"/>
    <w:rsid w:val="00260063"/>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ACF"/>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8EA"/>
    <w:rsid w:val="00274BCB"/>
    <w:rsid w:val="00274BE0"/>
    <w:rsid w:val="00274D3A"/>
    <w:rsid w:val="00275255"/>
    <w:rsid w:val="00275351"/>
    <w:rsid w:val="00275579"/>
    <w:rsid w:val="00275C98"/>
    <w:rsid w:val="002761E3"/>
    <w:rsid w:val="0027654C"/>
    <w:rsid w:val="002766A5"/>
    <w:rsid w:val="002766D7"/>
    <w:rsid w:val="002768DE"/>
    <w:rsid w:val="002768DF"/>
    <w:rsid w:val="00276916"/>
    <w:rsid w:val="00276C91"/>
    <w:rsid w:val="00276D8A"/>
    <w:rsid w:val="00276FD3"/>
    <w:rsid w:val="002770D0"/>
    <w:rsid w:val="0027727C"/>
    <w:rsid w:val="0027762B"/>
    <w:rsid w:val="00277651"/>
    <w:rsid w:val="0027787F"/>
    <w:rsid w:val="00277A6C"/>
    <w:rsid w:val="00277A82"/>
    <w:rsid w:val="00277B17"/>
    <w:rsid w:val="00277E33"/>
    <w:rsid w:val="0028071D"/>
    <w:rsid w:val="0028077E"/>
    <w:rsid w:val="0028080B"/>
    <w:rsid w:val="00280A5C"/>
    <w:rsid w:val="00280C7A"/>
    <w:rsid w:val="00280D63"/>
    <w:rsid w:val="00280DC1"/>
    <w:rsid w:val="00281257"/>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67"/>
    <w:rsid w:val="00290AF1"/>
    <w:rsid w:val="00290C26"/>
    <w:rsid w:val="00290EE1"/>
    <w:rsid w:val="00291806"/>
    <w:rsid w:val="00291B17"/>
    <w:rsid w:val="00291E72"/>
    <w:rsid w:val="00292163"/>
    <w:rsid w:val="00292339"/>
    <w:rsid w:val="00292DAC"/>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6C"/>
    <w:rsid w:val="002C1694"/>
    <w:rsid w:val="002C1B4D"/>
    <w:rsid w:val="002C1BD6"/>
    <w:rsid w:val="002C1E20"/>
    <w:rsid w:val="002C1E42"/>
    <w:rsid w:val="002C242A"/>
    <w:rsid w:val="002C2AEC"/>
    <w:rsid w:val="002C33FB"/>
    <w:rsid w:val="002C34B5"/>
    <w:rsid w:val="002C3511"/>
    <w:rsid w:val="002C3CD8"/>
    <w:rsid w:val="002C4196"/>
    <w:rsid w:val="002C4218"/>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549"/>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8B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B88"/>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E12"/>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4BF"/>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2FB"/>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0E6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67"/>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528"/>
    <w:rsid w:val="0034465D"/>
    <w:rsid w:val="00344FCC"/>
    <w:rsid w:val="0034504C"/>
    <w:rsid w:val="0034528E"/>
    <w:rsid w:val="00345A7B"/>
    <w:rsid w:val="00345C0B"/>
    <w:rsid w:val="003461DC"/>
    <w:rsid w:val="0034646A"/>
    <w:rsid w:val="003464D5"/>
    <w:rsid w:val="0034661F"/>
    <w:rsid w:val="00346D5B"/>
    <w:rsid w:val="00346F75"/>
    <w:rsid w:val="00346FF0"/>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416"/>
    <w:rsid w:val="00356758"/>
    <w:rsid w:val="0035692B"/>
    <w:rsid w:val="00356DC9"/>
    <w:rsid w:val="00357296"/>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593"/>
    <w:rsid w:val="00375B8B"/>
    <w:rsid w:val="0037625E"/>
    <w:rsid w:val="003764BC"/>
    <w:rsid w:val="00376619"/>
    <w:rsid w:val="00376A35"/>
    <w:rsid w:val="00376E16"/>
    <w:rsid w:val="00376F42"/>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126"/>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A6F"/>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D7C"/>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3BE"/>
    <w:rsid w:val="003E38E2"/>
    <w:rsid w:val="003E3D7B"/>
    <w:rsid w:val="003E4A9C"/>
    <w:rsid w:val="003E4B4E"/>
    <w:rsid w:val="003E4FA0"/>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80B"/>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9E2"/>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4D4A"/>
    <w:rsid w:val="0040506D"/>
    <w:rsid w:val="0040571A"/>
    <w:rsid w:val="0040578D"/>
    <w:rsid w:val="0040591E"/>
    <w:rsid w:val="00405BEE"/>
    <w:rsid w:val="00405DC5"/>
    <w:rsid w:val="00406085"/>
    <w:rsid w:val="004065D5"/>
    <w:rsid w:val="00406727"/>
    <w:rsid w:val="004067AF"/>
    <w:rsid w:val="004068A2"/>
    <w:rsid w:val="00406948"/>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8E5"/>
    <w:rsid w:val="00413927"/>
    <w:rsid w:val="00413CBC"/>
    <w:rsid w:val="00414332"/>
    <w:rsid w:val="004143BA"/>
    <w:rsid w:val="004148A5"/>
    <w:rsid w:val="00414A37"/>
    <w:rsid w:val="0041516E"/>
    <w:rsid w:val="0041519A"/>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2CF"/>
    <w:rsid w:val="00437971"/>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0D9F"/>
    <w:rsid w:val="004513CE"/>
    <w:rsid w:val="0045140F"/>
    <w:rsid w:val="0045180A"/>
    <w:rsid w:val="0045190C"/>
    <w:rsid w:val="004523F8"/>
    <w:rsid w:val="00452828"/>
    <w:rsid w:val="00452AC1"/>
    <w:rsid w:val="00452B35"/>
    <w:rsid w:val="00452ECA"/>
    <w:rsid w:val="00453502"/>
    <w:rsid w:val="00453B8A"/>
    <w:rsid w:val="00453CD8"/>
    <w:rsid w:val="00453F94"/>
    <w:rsid w:val="00453F9C"/>
    <w:rsid w:val="0045437C"/>
    <w:rsid w:val="00454727"/>
    <w:rsid w:val="0045484F"/>
    <w:rsid w:val="00454980"/>
    <w:rsid w:val="00454C75"/>
    <w:rsid w:val="00455306"/>
    <w:rsid w:val="00455799"/>
    <w:rsid w:val="004557F1"/>
    <w:rsid w:val="00455894"/>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0FEF"/>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BFB"/>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55B7"/>
    <w:rsid w:val="004961A2"/>
    <w:rsid w:val="00496957"/>
    <w:rsid w:val="00496AD3"/>
    <w:rsid w:val="00496EAC"/>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68"/>
    <w:rsid w:val="004A33F7"/>
    <w:rsid w:val="004A38EF"/>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5DE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6AD"/>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2DC"/>
    <w:rsid w:val="004F733A"/>
    <w:rsid w:val="004F733E"/>
    <w:rsid w:val="004F751B"/>
    <w:rsid w:val="004F7880"/>
    <w:rsid w:val="004F79E6"/>
    <w:rsid w:val="004F7E66"/>
    <w:rsid w:val="00500010"/>
    <w:rsid w:val="0050010F"/>
    <w:rsid w:val="00500A95"/>
    <w:rsid w:val="00500F56"/>
    <w:rsid w:val="005013D1"/>
    <w:rsid w:val="00501659"/>
    <w:rsid w:val="0050188E"/>
    <w:rsid w:val="00501CE7"/>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7B1"/>
    <w:rsid w:val="00505963"/>
    <w:rsid w:val="00505A7A"/>
    <w:rsid w:val="00506286"/>
    <w:rsid w:val="00506460"/>
    <w:rsid w:val="00506857"/>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8"/>
    <w:rsid w:val="00512D28"/>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630"/>
    <w:rsid w:val="00525A72"/>
    <w:rsid w:val="00525AAA"/>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0E3E"/>
    <w:rsid w:val="00531495"/>
    <w:rsid w:val="005315B2"/>
    <w:rsid w:val="00531A9D"/>
    <w:rsid w:val="00531D73"/>
    <w:rsid w:val="00532016"/>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5B8"/>
    <w:rsid w:val="005408DE"/>
    <w:rsid w:val="00540A32"/>
    <w:rsid w:val="00540ABE"/>
    <w:rsid w:val="00540CF8"/>
    <w:rsid w:val="00541077"/>
    <w:rsid w:val="0054156C"/>
    <w:rsid w:val="0054173A"/>
    <w:rsid w:val="00541824"/>
    <w:rsid w:val="00541CC2"/>
    <w:rsid w:val="00541DB8"/>
    <w:rsid w:val="005420D5"/>
    <w:rsid w:val="0054213D"/>
    <w:rsid w:val="00542160"/>
    <w:rsid w:val="00542D33"/>
    <w:rsid w:val="00542EA5"/>
    <w:rsid w:val="00543297"/>
    <w:rsid w:val="0054349D"/>
    <w:rsid w:val="00544573"/>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24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558"/>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18DF"/>
    <w:rsid w:val="00571F6C"/>
    <w:rsid w:val="00572D93"/>
    <w:rsid w:val="005730EB"/>
    <w:rsid w:val="005732F3"/>
    <w:rsid w:val="0057374A"/>
    <w:rsid w:val="00573A8D"/>
    <w:rsid w:val="00573B48"/>
    <w:rsid w:val="00573C19"/>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5C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0ED5"/>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CAA"/>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155"/>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B41"/>
    <w:rsid w:val="005A7DA8"/>
    <w:rsid w:val="005B07C4"/>
    <w:rsid w:val="005B0953"/>
    <w:rsid w:val="005B0A29"/>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AB8"/>
    <w:rsid w:val="005C0BF6"/>
    <w:rsid w:val="005C0CBC"/>
    <w:rsid w:val="005C12D2"/>
    <w:rsid w:val="005C144F"/>
    <w:rsid w:val="005C1DBA"/>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5A"/>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864"/>
    <w:rsid w:val="005E1B0F"/>
    <w:rsid w:val="005E1C52"/>
    <w:rsid w:val="005E1E35"/>
    <w:rsid w:val="005E2244"/>
    <w:rsid w:val="005E2299"/>
    <w:rsid w:val="005E271A"/>
    <w:rsid w:val="005E2B43"/>
    <w:rsid w:val="005E2F61"/>
    <w:rsid w:val="005E344B"/>
    <w:rsid w:val="005E377B"/>
    <w:rsid w:val="005E3EF3"/>
    <w:rsid w:val="005E3F3C"/>
    <w:rsid w:val="005E3F85"/>
    <w:rsid w:val="005E479A"/>
    <w:rsid w:val="005E47BA"/>
    <w:rsid w:val="005E49F9"/>
    <w:rsid w:val="005E4B4C"/>
    <w:rsid w:val="005E4D3C"/>
    <w:rsid w:val="005E4DFC"/>
    <w:rsid w:val="005E4ECE"/>
    <w:rsid w:val="005E4F0B"/>
    <w:rsid w:val="005E55B8"/>
    <w:rsid w:val="005E560B"/>
    <w:rsid w:val="005E59B3"/>
    <w:rsid w:val="005E6265"/>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1F6"/>
    <w:rsid w:val="005F5352"/>
    <w:rsid w:val="005F5A06"/>
    <w:rsid w:val="005F5EC4"/>
    <w:rsid w:val="005F5ED9"/>
    <w:rsid w:val="005F6039"/>
    <w:rsid w:val="005F63E2"/>
    <w:rsid w:val="005F65B1"/>
    <w:rsid w:val="005F689A"/>
    <w:rsid w:val="005F69EA"/>
    <w:rsid w:val="005F6B40"/>
    <w:rsid w:val="005F6C50"/>
    <w:rsid w:val="005F739F"/>
    <w:rsid w:val="005F745C"/>
    <w:rsid w:val="005F752A"/>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1B8"/>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0E"/>
    <w:rsid w:val="00636216"/>
    <w:rsid w:val="006366F3"/>
    <w:rsid w:val="006366F7"/>
    <w:rsid w:val="00636B32"/>
    <w:rsid w:val="00636B96"/>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895"/>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BE9"/>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05C"/>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216"/>
    <w:rsid w:val="006673DE"/>
    <w:rsid w:val="00667A10"/>
    <w:rsid w:val="00667F16"/>
    <w:rsid w:val="0067027E"/>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27F"/>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29"/>
    <w:rsid w:val="0068244E"/>
    <w:rsid w:val="0068293B"/>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DE"/>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33C"/>
    <w:rsid w:val="006935DD"/>
    <w:rsid w:val="006935FF"/>
    <w:rsid w:val="006938AD"/>
    <w:rsid w:val="00693A4F"/>
    <w:rsid w:val="00693BA1"/>
    <w:rsid w:val="00693F43"/>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AAB"/>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248"/>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9E3"/>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68C"/>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97E"/>
    <w:rsid w:val="00717F9B"/>
    <w:rsid w:val="00717FE5"/>
    <w:rsid w:val="00720844"/>
    <w:rsid w:val="00720D50"/>
    <w:rsid w:val="00721154"/>
    <w:rsid w:val="007216FA"/>
    <w:rsid w:val="0072171D"/>
    <w:rsid w:val="00721989"/>
    <w:rsid w:val="00721BA4"/>
    <w:rsid w:val="00722034"/>
    <w:rsid w:val="0072231E"/>
    <w:rsid w:val="00722826"/>
    <w:rsid w:val="00722E0A"/>
    <w:rsid w:val="00722E90"/>
    <w:rsid w:val="00722ED1"/>
    <w:rsid w:val="00722F64"/>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4E58"/>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3FA2"/>
    <w:rsid w:val="00754089"/>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80C"/>
    <w:rsid w:val="00765F28"/>
    <w:rsid w:val="00766126"/>
    <w:rsid w:val="0076711C"/>
    <w:rsid w:val="007673B3"/>
    <w:rsid w:val="007675D2"/>
    <w:rsid w:val="007676DA"/>
    <w:rsid w:val="007676DF"/>
    <w:rsid w:val="007678BE"/>
    <w:rsid w:val="00767EAE"/>
    <w:rsid w:val="00767F6B"/>
    <w:rsid w:val="007704E6"/>
    <w:rsid w:val="00770639"/>
    <w:rsid w:val="00770748"/>
    <w:rsid w:val="00770888"/>
    <w:rsid w:val="00771296"/>
    <w:rsid w:val="0077145F"/>
    <w:rsid w:val="007716CD"/>
    <w:rsid w:val="00771C1D"/>
    <w:rsid w:val="00771E8B"/>
    <w:rsid w:val="00771F46"/>
    <w:rsid w:val="0077201D"/>
    <w:rsid w:val="0077294E"/>
    <w:rsid w:val="007733A9"/>
    <w:rsid w:val="00773454"/>
    <w:rsid w:val="0077371F"/>
    <w:rsid w:val="00773772"/>
    <w:rsid w:val="00773CEE"/>
    <w:rsid w:val="007741DB"/>
    <w:rsid w:val="00774349"/>
    <w:rsid w:val="00774519"/>
    <w:rsid w:val="007747C6"/>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B26"/>
    <w:rsid w:val="00781D7E"/>
    <w:rsid w:val="00781F08"/>
    <w:rsid w:val="00781FF3"/>
    <w:rsid w:val="00782451"/>
    <w:rsid w:val="00782728"/>
    <w:rsid w:val="0078292D"/>
    <w:rsid w:val="00782AFB"/>
    <w:rsid w:val="00782D53"/>
    <w:rsid w:val="00783125"/>
    <w:rsid w:val="0078358A"/>
    <w:rsid w:val="00783900"/>
    <w:rsid w:val="00783948"/>
    <w:rsid w:val="00783CF0"/>
    <w:rsid w:val="00783F1B"/>
    <w:rsid w:val="00784177"/>
    <w:rsid w:val="0078421E"/>
    <w:rsid w:val="007842F1"/>
    <w:rsid w:val="00784516"/>
    <w:rsid w:val="00784634"/>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43"/>
    <w:rsid w:val="007965A0"/>
    <w:rsid w:val="00796658"/>
    <w:rsid w:val="007966A9"/>
    <w:rsid w:val="00796B68"/>
    <w:rsid w:val="00796BD8"/>
    <w:rsid w:val="00796F96"/>
    <w:rsid w:val="0079781C"/>
    <w:rsid w:val="007979F5"/>
    <w:rsid w:val="007A013E"/>
    <w:rsid w:val="007A026C"/>
    <w:rsid w:val="007A05DD"/>
    <w:rsid w:val="007A06B0"/>
    <w:rsid w:val="007A0A19"/>
    <w:rsid w:val="007A0A9D"/>
    <w:rsid w:val="007A10D5"/>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290"/>
    <w:rsid w:val="007B7744"/>
    <w:rsid w:val="007B7779"/>
    <w:rsid w:val="007B781D"/>
    <w:rsid w:val="007C0515"/>
    <w:rsid w:val="007C0984"/>
    <w:rsid w:val="007C0A54"/>
    <w:rsid w:val="007C0A85"/>
    <w:rsid w:val="007C0E20"/>
    <w:rsid w:val="007C0EC9"/>
    <w:rsid w:val="007C0F5B"/>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650"/>
    <w:rsid w:val="007F0713"/>
    <w:rsid w:val="007F077B"/>
    <w:rsid w:val="007F08C5"/>
    <w:rsid w:val="007F0F13"/>
    <w:rsid w:val="007F122C"/>
    <w:rsid w:val="007F1488"/>
    <w:rsid w:val="007F1990"/>
    <w:rsid w:val="007F21EA"/>
    <w:rsid w:val="007F2800"/>
    <w:rsid w:val="007F283C"/>
    <w:rsid w:val="007F2A6C"/>
    <w:rsid w:val="007F2BF4"/>
    <w:rsid w:val="007F2EB6"/>
    <w:rsid w:val="007F2FA7"/>
    <w:rsid w:val="007F2FAA"/>
    <w:rsid w:val="007F2FB0"/>
    <w:rsid w:val="007F313B"/>
    <w:rsid w:val="007F32F8"/>
    <w:rsid w:val="007F3847"/>
    <w:rsid w:val="007F3AA5"/>
    <w:rsid w:val="007F3D5D"/>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5C25"/>
    <w:rsid w:val="00826060"/>
    <w:rsid w:val="0082655A"/>
    <w:rsid w:val="00826BAB"/>
    <w:rsid w:val="00826C8C"/>
    <w:rsid w:val="00827053"/>
    <w:rsid w:val="0082709A"/>
    <w:rsid w:val="008270D7"/>
    <w:rsid w:val="00827683"/>
    <w:rsid w:val="00827B91"/>
    <w:rsid w:val="00827CA3"/>
    <w:rsid w:val="00830601"/>
    <w:rsid w:val="0083077B"/>
    <w:rsid w:val="00830DF8"/>
    <w:rsid w:val="00831873"/>
    <w:rsid w:val="0083196C"/>
    <w:rsid w:val="00831999"/>
    <w:rsid w:val="00831BED"/>
    <w:rsid w:val="00831CEA"/>
    <w:rsid w:val="00831D72"/>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10"/>
    <w:rsid w:val="00843CA0"/>
    <w:rsid w:val="00844462"/>
    <w:rsid w:val="008444D3"/>
    <w:rsid w:val="00844726"/>
    <w:rsid w:val="00844985"/>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2E35"/>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6B84"/>
    <w:rsid w:val="008679EE"/>
    <w:rsid w:val="00867A27"/>
    <w:rsid w:val="00870689"/>
    <w:rsid w:val="008706C1"/>
    <w:rsid w:val="00870883"/>
    <w:rsid w:val="00870943"/>
    <w:rsid w:val="00870CCD"/>
    <w:rsid w:val="008710DA"/>
    <w:rsid w:val="008712A2"/>
    <w:rsid w:val="00871375"/>
    <w:rsid w:val="0087183A"/>
    <w:rsid w:val="00871904"/>
    <w:rsid w:val="0087196F"/>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92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51C"/>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2BF"/>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011"/>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5D2"/>
    <w:rsid w:val="008B1939"/>
    <w:rsid w:val="008B1BBF"/>
    <w:rsid w:val="008B1E4B"/>
    <w:rsid w:val="008B1E66"/>
    <w:rsid w:val="008B271D"/>
    <w:rsid w:val="008B2786"/>
    <w:rsid w:val="008B27F7"/>
    <w:rsid w:val="008B297E"/>
    <w:rsid w:val="008B2FB5"/>
    <w:rsid w:val="008B301F"/>
    <w:rsid w:val="008B3434"/>
    <w:rsid w:val="008B351F"/>
    <w:rsid w:val="008B36F0"/>
    <w:rsid w:val="008B371E"/>
    <w:rsid w:val="008B3D07"/>
    <w:rsid w:val="008B3D0D"/>
    <w:rsid w:val="008B4251"/>
    <w:rsid w:val="008B4515"/>
    <w:rsid w:val="008B481D"/>
    <w:rsid w:val="008B4978"/>
    <w:rsid w:val="008B4996"/>
    <w:rsid w:val="008B4E27"/>
    <w:rsid w:val="008B4F54"/>
    <w:rsid w:val="008B5009"/>
    <w:rsid w:val="008B513F"/>
    <w:rsid w:val="008B5432"/>
    <w:rsid w:val="008B58BF"/>
    <w:rsid w:val="008B5B04"/>
    <w:rsid w:val="008B5DDE"/>
    <w:rsid w:val="008B612D"/>
    <w:rsid w:val="008B6149"/>
    <w:rsid w:val="008B6355"/>
    <w:rsid w:val="008B647C"/>
    <w:rsid w:val="008B65AD"/>
    <w:rsid w:val="008B66D3"/>
    <w:rsid w:val="008B68AD"/>
    <w:rsid w:val="008B6B15"/>
    <w:rsid w:val="008B6DED"/>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70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4A2"/>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BE5"/>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6A1"/>
    <w:rsid w:val="0091580A"/>
    <w:rsid w:val="00915BB8"/>
    <w:rsid w:val="00915C3B"/>
    <w:rsid w:val="00915DE6"/>
    <w:rsid w:val="00916048"/>
    <w:rsid w:val="00916493"/>
    <w:rsid w:val="00916A7C"/>
    <w:rsid w:val="00916FB2"/>
    <w:rsid w:val="0091768B"/>
    <w:rsid w:val="009177CA"/>
    <w:rsid w:val="0091780F"/>
    <w:rsid w:val="009204B7"/>
    <w:rsid w:val="0092059D"/>
    <w:rsid w:val="00920CD4"/>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5E3"/>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8"/>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68E"/>
    <w:rsid w:val="00945705"/>
    <w:rsid w:val="00945F95"/>
    <w:rsid w:val="0094615C"/>
    <w:rsid w:val="0094646E"/>
    <w:rsid w:val="00946793"/>
    <w:rsid w:val="009467A0"/>
    <w:rsid w:val="009467B8"/>
    <w:rsid w:val="00946F5A"/>
    <w:rsid w:val="00947365"/>
    <w:rsid w:val="00947A97"/>
    <w:rsid w:val="00947CEB"/>
    <w:rsid w:val="00947E86"/>
    <w:rsid w:val="00950599"/>
    <w:rsid w:val="009505C9"/>
    <w:rsid w:val="009507B2"/>
    <w:rsid w:val="00951101"/>
    <w:rsid w:val="00951374"/>
    <w:rsid w:val="0095159E"/>
    <w:rsid w:val="00951FDE"/>
    <w:rsid w:val="009520C8"/>
    <w:rsid w:val="0095241A"/>
    <w:rsid w:val="0095278C"/>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07"/>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07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987"/>
    <w:rsid w:val="00991FF5"/>
    <w:rsid w:val="0099233F"/>
    <w:rsid w:val="009924AB"/>
    <w:rsid w:val="009925B2"/>
    <w:rsid w:val="00992650"/>
    <w:rsid w:val="0099266C"/>
    <w:rsid w:val="00992912"/>
    <w:rsid w:val="00992B0D"/>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1B2"/>
    <w:rsid w:val="009B5416"/>
    <w:rsid w:val="009B5461"/>
    <w:rsid w:val="009B5B93"/>
    <w:rsid w:val="009B5C93"/>
    <w:rsid w:val="009B63B8"/>
    <w:rsid w:val="009B6967"/>
    <w:rsid w:val="009B6C63"/>
    <w:rsid w:val="009B6DDF"/>
    <w:rsid w:val="009B6F5E"/>
    <w:rsid w:val="009B7206"/>
    <w:rsid w:val="009B770F"/>
    <w:rsid w:val="009B7AAD"/>
    <w:rsid w:val="009B7CA9"/>
    <w:rsid w:val="009B7E6D"/>
    <w:rsid w:val="009C0680"/>
    <w:rsid w:val="009C06A8"/>
    <w:rsid w:val="009C1224"/>
    <w:rsid w:val="009C1493"/>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3"/>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B7A"/>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7A6"/>
    <w:rsid w:val="009E593F"/>
    <w:rsid w:val="009E5CF2"/>
    <w:rsid w:val="009E67B4"/>
    <w:rsid w:val="009E6BE1"/>
    <w:rsid w:val="009E6D17"/>
    <w:rsid w:val="009E726E"/>
    <w:rsid w:val="009E73FE"/>
    <w:rsid w:val="009E746F"/>
    <w:rsid w:val="009E77AA"/>
    <w:rsid w:val="009E7C0F"/>
    <w:rsid w:val="009E7C41"/>
    <w:rsid w:val="009F042D"/>
    <w:rsid w:val="009F09DD"/>
    <w:rsid w:val="009F0B8F"/>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D95"/>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2DA"/>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0C12"/>
    <w:rsid w:val="00A317CF"/>
    <w:rsid w:val="00A318D8"/>
    <w:rsid w:val="00A31917"/>
    <w:rsid w:val="00A319F0"/>
    <w:rsid w:val="00A321C8"/>
    <w:rsid w:val="00A32539"/>
    <w:rsid w:val="00A32F5D"/>
    <w:rsid w:val="00A33A65"/>
    <w:rsid w:val="00A33CBA"/>
    <w:rsid w:val="00A342A9"/>
    <w:rsid w:val="00A3452B"/>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67F"/>
    <w:rsid w:val="00A5091A"/>
    <w:rsid w:val="00A5094A"/>
    <w:rsid w:val="00A50A2B"/>
    <w:rsid w:val="00A50C36"/>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00D"/>
    <w:rsid w:val="00A5737A"/>
    <w:rsid w:val="00A57F53"/>
    <w:rsid w:val="00A60A96"/>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14A"/>
    <w:rsid w:val="00A673B4"/>
    <w:rsid w:val="00A678CA"/>
    <w:rsid w:val="00A679C8"/>
    <w:rsid w:val="00A67D7B"/>
    <w:rsid w:val="00A70020"/>
    <w:rsid w:val="00A701AF"/>
    <w:rsid w:val="00A702B5"/>
    <w:rsid w:val="00A7035D"/>
    <w:rsid w:val="00A705F7"/>
    <w:rsid w:val="00A70601"/>
    <w:rsid w:val="00A7072A"/>
    <w:rsid w:val="00A70B12"/>
    <w:rsid w:val="00A70B5D"/>
    <w:rsid w:val="00A70CE9"/>
    <w:rsid w:val="00A70DB8"/>
    <w:rsid w:val="00A70ECC"/>
    <w:rsid w:val="00A70FC0"/>
    <w:rsid w:val="00A71528"/>
    <w:rsid w:val="00A72153"/>
    <w:rsid w:val="00A72438"/>
    <w:rsid w:val="00A72849"/>
    <w:rsid w:val="00A73194"/>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21E"/>
    <w:rsid w:val="00A8173F"/>
    <w:rsid w:val="00A81A6A"/>
    <w:rsid w:val="00A82597"/>
    <w:rsid w:val="00A82961"/>
    <w:rsid w:val="00A82AE4"/>
    <w:rsid w:val="00A82B8A"/>
    <w:rsid w:val="00A82BA5"/>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B70"/>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67"/>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5D5"/>
    <w:rsid w:val="00AB0CEF"/>
    <w:rsid w:val="00AB0E4E"/>
    <w:rsid w:val="00AB0EC3"/>
    <w:rsid w:val="00AB1A3D"/>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017"/>
    <w:rsid w:val="00AC21C9"/>
    <w:rsid w:val="00AC258E"/>
    <w:rsid w:val="00AC2664"/>
    <w:rsid w:val="00AC2C0D"/>
    <w:rsid w:val="00AC3A2C"/>
    <w:rsid w:val="00AC3AFF"/>
    <w:rsid w:val="00AC3CC0"/>
    <w:rsid w:val="00AC3E66"/>
    <w:rsid w:val="00AC431D"/>
    <w:rsid w:val="00AC4AEA"/>
    <w:rsid w:val="00AC4D4F"/>
    <w:rsid w:val="00AC5275"/>
    <w:rsid w:val="00AC5640"/>
    <w:rsid w:val="00AC56A0"/>
    <w:rsid w:val="00AC5824"/>
    <w:rsid w:val="00AC5BBF"/>
    <w:rsid w:val="00AC5BF4"/>
    <w:rsid w:val="00AC5CB5"/>
    <w:rsid w:val="00AC60A2"/>
    <w:rsid w:val="00AC60F0"/>
    <w:rsid w:val="00AC624F"/>
    <w:rsid w:val="00AC629A"/>
    <w:rsid w:val="00AC6862"/>
    <w:rsid w:val="00AC6D91"/>
    <w:rsid w:val="00AC6F25"/>
    <w:rsid w:val="00AC753E"/>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0FD"/>
    <w:rsid w:val="00AE249C"/>
    <w:rsid w:val="00AE2642"/>
    <w:rsid w:val="00AE26FC"/>
    <w:rsid w:val="00AE2FFA"/>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574"/>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1E11"/>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39A"/>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07D73"/>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41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17E42"/>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1C82"/>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37C76"/>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1CD"/>
    <w:rsid w:val="00B434DC"/>
    <w:rsid w:val="00B4363D"/>
    <w:rsid w:val="00B4369E"/>
    <w:rsid w:val="00B43837"/>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47B18"/>
    <w:rsid w:val="00B5004F"/>
    <w:rsid w:val="00B503E9"/>
    <w:rsid w:val="00B509C5"/>
    <w:rsid w:val="00B50C38"/>
    <w:rsid w:val="00B50F95"/>
    <w:rsid w:val="00B515E3"/>
    <w:rsid w:val="00B51673"/>
    <w:rsid w:val="00B51B1F"/>
    <w:rsid w:val="00B52361"/>
    <w:rsid w:val="00B52516"/>
    <w:rsid w:val="00B52542"/>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0DA6"/>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58E1"/>
    <w:rsid w:val="00B760AE"/>
    <w:rsid w:val="00B76D5A"/>
    <w:rsid w:val="00B77580"/>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D78"/>
    <w:rsid w:val="00B82E2E"/>
    <w:rsid w:val="00B834AC"/>
    <w:rsid w:val="00B83661"/>
    <w:rsid w:val="00B83AD7"/>
    <w:rsid w:val="00B84055"/>
    <w:rsid w:val="00B84FCB"/>
    <w:rsid w:val="00B8513C"/>
    <w:rsid w:val="00B851CE"/>
    <w:rsid w:val="00B85326"/>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3DC"/>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993"/>
    <w:rsid w:val="00B93A87"/>
    <w:rsid w:val="00B93E4C"/>
    <w:rsid w:val="00B93E5C"/>
    <w:rsid w:val="00B94244"/>
    <w:rsid w:val="00B9431C"/>
    <w:rsid w:val="00B94334"/>
    <w:rsid w:val="00B94BD6"/>
    <w:rsid w:val="00B951A3"/>
    <w:rsid w:val="00B958C1"/>
    <w:rsid w:val="00B95E4B"/>
    <w:rsid w:val="00B964FB"/>
    <w:rsid w:val="00B966DA"/>
    <w:rsid w:val="00B96881"/>
    <w:rsid w:val="00B970A4"/>
    <w:rsid w:val="00B97112"/>
    <w:rsid w:val="00B974F5"/>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4E"/>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C9D"/>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58E3"/>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5C4"/>
    <w:rsid w:val="00BE161D"/>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5A45"/>
    <w:rsid w:val="00BE6465"/>
    <w:rsid w:val="00BE681B"/>
    <w:rsid w:val="00BE6A24"/>
    <w:rsid w:val="00BE7153"/>
    <w:rsid w:val="00BE734B"/>
    <w:rsid w:val="00BE7D4D"/>
    <w:rsid w:val="00BF02D4"/>
    <w:rsid w:val="00BF0337"/>
    <w:rsid w:val="00BF046B"/>
    <w:rsid w:val="00BF0893"/>
    <w:rsid w:val="00BF08DD"/>
    <w:rsid w:val="00BF0E20"/>
    <w:rsid w:val="00BF1131"/>
    <w:rsid w:val="00BF12E8"/>
    <w:rsid w:val="00BF15BD"/>
    <w:rsid w:val="00BF1D03"/>
    <w:rsid w:val="00BF2113"/>
    <w:rsid w:val="00BF222B"/>
    <w:rsid w:val="00BF2233"/>
    <w:rsid w:val="00BF238F"/>
    <w:rsid w:val="00BF257E"/>
    <w:rsid w:val="00BF25D2"/>
    <w:rsid w:val="00BF2686"/>
    <w:rsid w:val="00BF2A2B"/>
    <w:rsid w:val="00BF2AD9"/>
    <w:rsid w:val="00BF2F97"/>
    <w:rsid w:val="00BF332C"/>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EA0"/>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2FFD"/>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18"/>
    <w:rsid w:val="00C16FB9"/>
    <w:rsid w:val="00C1729D"/>
    <w:rsid w:val="00C17345"/>
    <w:rsid w:val="00C178A6"/>
    <w:rsid w:val="00C17C1F"/>
    <w:rsid w:val="00C17E3D"/>
    <w:rsid w:val="00C2064A"/>
    <w:rsid w:val="00C2066E"/>
    <w:rsid w:val="00C20B50"/>
    <w:rsid w:val="00C20CF2"/>
    <w:rsid w:val="00C21044"/>
    <w:rsid w:val="00C213D8"/>
    <w:rsid w:val="00C214DF"/>
    <w:rsid w:val="00C21926"/>
    <w:rsid w:val="00C21989"/>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1A"/>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76F"/>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589"/>
    <w:rsid w:val="00C429F4"/>
    <w:rsid w:val="00C42BF3"/>
    <w:rsid w:val="00C42E30"/>
    <w:rsid w:val="00C43283"/>
    <w:rsid w:val="00C4331C"/>
    <w:rsid w:val="00C433D2"/>
    <w:rsid w:val="00C4385C"/>
    <w:rsid w:val="00C43FBE"/>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9"/>
    <w:rsid w:val="00C47950"/>
    <w:rsid w:val="00C50486"/>
    <w:rsid w:val="00C50569"/>
    <w:rsid w:val="00C506A9"/>
    <w:rsid w:val="00C506F8"/>
    <w:rsid w:val="00C50721"/>
    <w:rsid w:val="00C5128D"/>
    <w:rsid w:val="00C513B4"/>
    <w:rsid w:val="00C5206B"/>
    <w:rsid w:val="00C523D4"/>
    <w:rsid w:val="00C52A27"/>
    <w:rsid w:val="00C52BE5"/>
    <w:rsid w:val="00C52DAD"/>
    <w:rsid w:val="00C53093"/>
    <w:rsid w:val="00C5309F"/>
    <w:rsid w:val="00C538F2"/>
    <w:rsid w:val="00C5395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C10"/>
    <w:rsid w:val="00C63D0C"/>
    <w:rsid w:val="00C64866"/>
    <w:rsid w:val="00C649E8"/>
    <w:rsid w:val="00C64B9F"/>
    <w:rsid w:val="00C64EB4"/>
    <w:rsid w:val="00C64FD1"/>
    <w:rsid w:val="00C65339"/>
    <w:rsid w:val="00C65368"/>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05A3"/>
    <w:rsid w:val="00C714A2"/>
    <w:rsid w:val="00C71622"/>
    <w:rsid w:val="00C71AAC"/>
    <w:rsid w:val="00C71EC0"/>
    <w:rsid w:val="00C71F27"/>
    <w:rsid w:val="00C720F3"/>
    <w:rsid w:val="00C72113"/>
    <w:rsid w:val="00C728F7"/>
    <w:rsid w:val="00C72AE6"/>
    <w:rsid w:val="00C73666"/>
    <w:rsid w:val="00C73E25"/>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2D"/>
    <w:rsid w:val="00C92FF2"/>
    <w:rsid w:val="00C93C01"/>
    <w:rsid w:val="00C93E5B"/>
    <w:rsid w:val="00C9403F"/>
    <w:rsid w:val="00C941ED"/>
    <w:rsid w:val="00C94677"/>
    <w:rsid w:val="00C9470B"/>
    <w:rsid w:val="00C9491F"/>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B16"/>
    <w:rsid w:val="00CA7CF5"/>
    <w:rsid w:val="00CA7CFC"/>
    <w:rsid w:val="00CB07C9"/>
    <w:rsid w:val="00CB084A"/>
    <w:rsid w:val="00CB0ABB"/>
    <w:rsid w:val="00CB160E"/>
    <w:rsid w:val="00CB1A18"/>
    <w:rsid w:val="00CB1D30"/>
    <w:rsid w:val="00CB1F7B"/>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BDA"/>
    <w:rsid w:val="00CC1090"/>
    <w:rsid w:val="00CC11DF"/>
    <w:rsid w:val="00CC1717"/>
    <w:rsid w:val="00CC179E"/>
    <w:rsid w:val="00CC1D16"/>
    <w:rsid w:val="00CC1EB3"/>
    <w:rsid w:val="00CC26B2"/>
    <w:rsid w:val="00CC292F"/>
    <w:rsid w:val="00CC2D71"/>
    <w:rsid w:val="00CC302A"/>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355"/>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443"/>
    <w:rsid w:val="00CF26CE"/>
    <w:rsid w:val="00CF30E5"/>
    <w:rsid w:val="00CF34C1"/>
    <w:rsid w:val="00CF374E"/>
    <w:rsid w:val="00CF3B6D"/>
    <w:rsid w:val="00CF3C09"/>
    <w:rsid w:val="00CF3E37"/>
    <w:rsid w:val="00CF4467"/>
    <w:rsid w:val="00CF45DE"/>
    <w:rsid w:val="00CF48AB"/>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6F4C"/>
    <w:rsid w:val="00D172CD"/>
    <w:rsid w:val="00D1748A"/>
    <w:rsid w:val="00D179F9"/>
    <w:rsid w:val="00D17A5B"/>
    <w:rsid w:val="00D17A67"/>
    <w:rsid w:val="00D20355"/>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D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2B8"/>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98F"/>
    <w:rsid w:val="00D53B8F"/>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9E5"/>
    <w:rsid w:val="00D73B56"/>
    <w:rsid w:val="00D73F13"/>
    <w:rsid w:val="00D74188"/>
    <w:rsid w:val="00D744E7"/>
    <w:rsid w:val="00D74647"/>
    <w:rsid w:val="00D748BD"/>
    <w:rsid w:val="00D74BCF"/>
    <w:rsid w:val="00D7578D"/>
    <w:rsid w:val="00D75791"/>
    <w:rsid w:val="00D765FD"/>
    <w:rsid w:val="00D767C9"/>
    <w:rsid w:val="00D76DD1"/>
    <w:rsid w:val="00D76EF6"/>
    <w:rsid w:val="00D77105"/>
    <w:rsid w:val="00D77606"/>
    <w:rsid w:val="00D77851"/>
    <w:rsid w:val="00D77B72"/>
    <w:rsid w:val="00D77BA5"/>
    <w:rsid w:val="00D77D3A"/>
    <w:rsid w:val="00D806D5"/>
    <w:rsid w:val="00D8093D"/>
    <w:rsid w:val="00D80D8F"/>
    <w:rsid w:val="00D80E00"/>
    <w:rsid w:val="00D80FF7"/>
    <w:rsid w:val="00D813A0"/>
    <w:rsid w:val="00D818AE"/>
    <w:rsid w:val="00D81E96"/>
    <w:rsid w:val="00D82370"/>
    <w:rsid w:val="00D8301A"/>
    <w:rsid w:val="00D83305"/>
    <w:rsid w:val="00D8378E"/>
    <w:rsid w:val="00D839A3"/>
    <w:rsid w:val="00D83BB8"/>
    <w:rsid w:val="00D8424C"/>
    <w:rsid w:val="00D8444E"/>
    <w:rsid w:val="00D84783"/>
    <w:rsid w:val="00D8484E"/>
    <w:rsid w:val="00D84A05"/>
    <w:rsid w:val="00D84D39"/>
    <w:rsid w:val="00D8573F"/>
    <w:rsid w:val="00D85C29"/>
    <w:rsid w:val="00D8604B"/>
    <w:rsid w:val="00D86247"/>
    <w:rsid w:val="00D86521"/>
    <w:rsid w:val="00D87034"/>
    <w:rsid w:val="00D870EF"/>
    <w:rsid w:val="00D87196"/>
    <w:rsid w:val="00D87875"/>
    <w:rsid w:val="00D8788D"/>
    <w:rsid w:val="00D878B1"/>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B6D"/>
    <w:rsid w:val="00D94DA6"/>
    <w:rsid w:val="00D952C2"/>
    <w:rsid w:val="00D95390"/>
    <w:rsid w:val="00D956D4"/>
    <w:rsid w:val="00D95791"/>
    <w:rsid w:val="00D95C58"/>
    <w:rsid w:val="00D960D7"/>
    <w:rsid w:val="00D96167"/>
    <w:rsid w:val="00D961C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3F9"/>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332"/>
    <w:rsid w:val="00DB65C0"/>
    <w:rsid w:val="00DB6729"/>
    <w:rsid w:val="00DB672F"/>
    <w:rsid w:val="00DB67C0"/>
    <w:rsid w:val="00DB6B30"/>
    <w:rsid w:val="00DB6BC8"/>
    <w:rsid w:val="00DB6C5E"/>
    <w:rsid w:val="00DB6CBC"/>
    <w:rsid w:val="00DB6ECC"/>
    <w:rsid w:val="00DB6F74"/>
    <w:rsid w:val="00DB707C"/>
    <w:rsid w:val="00DB72FF"/>
    <w:rsid w:val="00DB753D"/>
    <w:rsid w:val="00DB78E4"/>
    <w:rsid w:val="00DB79DB"/>
    <w:rsid w:val="00DB7EFD"/>
    <w:rsid w:val="00DB7F4B"/>
    <w:rsid w:val="00DC0219"/>
    <w:rsid w:val="00DC04E9"/>
    <w:rsid w:val="00DC088E"/>
    <w:rsid w:val="00DC10C7"/>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06B"/>
    <w:rsid w:val="00DD21A5"/>
    <w:rsid w:val="00DD26F2"/>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7BC"/>
    <w:rsid w:val="00DE38D0"/>
    <w:rsid w:val="00DE3D29"/>
    <w:rsid w:val="00DE3F51"/>
    <w:rsid w:val="00DE48F8"/>
    <w:rsid w:val="00DE4970"/>
    <w:rsid w:val="00DE498B"/>
    <w:rsid w:val="00DE49A3"/>
    <w:rsid w:val="00DE4D2B"/>
    <w:rsid w:val="00DE4D2D"/>
    <w:rsid w:val="00DE4EBE"/>
    <w:rsid w:val="00DE5229"/>
    <w:rsid w:val="00DE533C"/>
    <w:rsid w:val="00DE579C"/>
    <w:rsid w:val="00DE57B6"/>
    <w:rsid w:val="00DE5DE6"/>
    <w:rsid w:val="00DE6192"/>
    <w:rsid w:val="00DE6AE6"/>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8BF"/>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7E"/>
    <w:rsid w:val="00E0129C"/>
    <w:rsid w:val="00E012C5"/>
    <w:rsid w:val="00E012E7"/>
    <w:rsid w:val="00E013DB"/>
    <w:rsid w:val="00E01418"/>
    <w:rsid w:val="00E016D7"/>
    <w:rsid w:val="00E01743"/>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7D"/>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2A65"/>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7E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5AEA"/>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9C"/>
    <w:rsid w:val="00E44FC3"/>
    <w:rsid w:val="00E4512B"/>
    <w:rsid w:val="00E452B6"/>
    <w:rsid w:val="00E4556B"/>
    <w:rsid w:val="00E45A88"/>
    <w:rsid w:val="00E45E93"/>
    <w:rsid w:val="00E460B6"/>
    <w:rsid w:val="00E463DC"/>
    <w:rsid w:val="00E46934"/>
    <w:rsid w:val="00E46B8A"/>
    <w:rsid w:val="00E4757A"/>
    <w:rsid w:val="00E475B7"/>
    <w:rsid w:val="00E503C5"/>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196"/>
    <w:rsid w:val="00E5223A"/>
    <w:rsid w:val="00E52343"/>
    <w:rsid w:val="00E52676"/>
    <w:rsid w:val="00E527D9"/>
    <w:rsid w:val="00E52AB6"/>
    <w:rsid w:val="00E52BD3"/>
    <w:rsid w:val="00E52EF7"/>
    <w:rsid w:val="00E53358"/>
    <w:rsid w:val="00E5345B"/>
    <w:rsid w:val="00E5352E"/>
    <w:rsid w:val="00E5373D"/>
    <w:rsid w:val="00E53A7C"/>
    <w:rsid w:val="00E541FE"/>
    <w:rsid w:val="00E54360"/>
    <w:rsid w:val="00E54552"/>
    <w:rsid w:val="00E54BBB"/>
    <w:rsid w:val="00E54E2B"/>
    <w:rsid w:val="00E55B0A"/>
    <w:rsid w:val="00E5626C"/>
    <w:rsid w:val="00E562B7"/>
    <w:rsid w:val="00E56C18"/>
    <w:rsid w:val="00E56D1E"/>
    <w:rsid w:val="00E56F27"/>
    <w:rsid w:val="00E57091"/>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DE7"/>
    <w:rsid w:val="00E61E30"/>
    <w:rsid w:val="00E620F8"/>
    <w:rsid w:val="00E62331"/>
    <w:rsid w:val="00E62B91"/>
    <w:rsid w:val="00E62C55"/>
    <w:rsid w:val="00E6303A"/>
    <w:rsid w:val="00E632FE"/>
    <w:rsid w:val="00E63443"/>
    <w:rsid w:val="00E63492"/>
    <w:rsid w:val="00E63797"/>
    <w:rsid w:val="00E63ADE"/>
    <w:rsid w:val="00E63ECB"/>
    <w:rsid w:val="00E642D8"/>
    <w:rsid w:val="00E64465"/>
    <w:rsid w:val="00E64C2A"/>
    <w:rsid w:val="00E65020"/>
    <w:rsid w:val="00E655AF"/>
    <w:rsid w:val="00E65720"/>
    <w:rsid w:val="00E65A97"/>
    <w:rsid w:val="00E65F35"/>
    <w:rsid w:val="00E65F45"/>
    <w:rsid w:val="00E664EC"/>
    <w:rsid w:val="00E665C1"/>
    <w:rsid w:val="00E66600"/>
    <w:rsid w:val="00E66787"/>
    <w:rsid w:val="00E66B64"/>
    <w:rsid w:val="00E66D2D"/>
    <w:rsid w:val="00E66F35"/>
    <w:rsid w:val="00E66F94"/>
    <w:rsid w:val="00E674ED"/>
    <w:rsid w:val="00E67B32"/>
    <w:rsid w:val="00E67D68"/>
    <w:rsid w:val="00E67E1C"/>
    <w:rsid w:val="00E67EC5"/>
    <w:rsid w:val="00E707F1"/>
    <w:rsid w:val="00E70C38"/>
    <w:rsid w:val="00E71001"/>
    <w:rsid w:val="00E711C0"/>
    <w:rsid w:val="00E71848"/>
    <w:rsid w:val="00E71998"/>
    <w:rsid w:val="00E723B7"/>
    <w:rsid w:val="00E725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51EE"/>
    <w:rsid w:val="00E960F5"/>
    <w:rsid w:val="00E9682A"/>
    <w:rsid w:val="00E968C9"/>
    <w:rsid w:val="00E96A5B"/>
    <w:rsid w:val="00E96B53"/>
    <w:rsid w:val="00E96C5A"/>
    <w:rsid w:val="00E96D45"/>
    <w:rsid w:val="00E970B3"/>
    <w:rsid w:val="00E971C5"/>
    <w:rsid w:val="00E97A66"/>
    <w:rsid w:val="00E97C5B"/>
    <w:rsid w:val="00EA01BB"/>
    <w:rsid w:val="00EA04E2"/>
    <w:rsid w:val="00EA06A2"/>
    <w:rsid w:val="00EA0747"/>
    <w:rsid w:val="00EA0C0E"/>
    <w:rsid w:val="00EA160C"/>
    <w:rsid w:val="00EA16EC"/>
    <w:rsid w:val="00EA1BC8"/>
    <w:rsid w:val="00EA25C9"/>
    <w:rsid w:val="00EA2881"/>
    <w:rsid w:val="00EA2EA3"/>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BFA"/>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E80"/>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119"/>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49E6"/>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0D"/>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0547"/>
    <w:rsid w:val="00F1156A"/>
    <w:rsid w:val="00F11D32"/>
    <w:rsid w:val="00F11D5A"/>
    <w:rsid w:val="00F11E67"/>
    <w:rsid w:val="00F11F33"/>
    <w:rsid w:val="00F12519"/>
    <w:rsid w:val="00F12637"/>
    <w:rsid w:val="00F12881"/>
    <w:rsid w:val="00F12CE1"/>
    <w:rsid w:val="00F135A2"/>
    <w:rsid w:val="00F136AC"/>
    <w:rsid w:val="00F13747"/>
    <w:rsid w:val="00F13B95"/>
    <w:rsid w:val="00F1425C"/>
    <w:rsid w:val="00F14435"/>
    <w:rsid w:val="00F1452E"/>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06F"/>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CA"/>
    <w:rsid w:val="00F31965"/>
    <w:rsid w:val="00F31C46"/>
    <w:rsid w:val="00F31E58"/>
    <w:rsid w:val="00F32101"/>
    <w:rsid w:val="00F328F1"/>
    <w:rsid w:val="00F32B9A"/>
    <w:rsid w:val="00F3384B"/>
    <w:rsid w:val="00F338FF"/>
    <w:rsid w:val="00F33B0E"/>
    <w:rsid w:val="00F3403A"/>
    <w:rsid w:val="00F34364"/>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B9"/>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9DE"/>
    <w:rsid w:val="00F57A23"/>
    <w:rsid w:val="00F57DCD"/>
    <w:rsid w:val="00F60328"/>
    <w:rsid w:val="00F60713"/>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BEA"/>
    <w:rsid w:val="00F63CB7"/>
    <w:rsid w:val="00F645A9"/>
    <w:rsid w:val="00F64842"/>
    <w:rsid w:val="00F65032"/>
    <w:rsid w:val="00F65706"/>
    <w:rsid w:val="00F6584D"/>
    <w:rsid w:val="00F65B49"/>
    <w:rsid w:val="00F65FE4"/>
    <w:rsid w:val="00F6610F"/>
    <w:rsid w:val="00F6612B"/>
    <w:rsid w:val="00F662AF"/>
    <w:rsid w:val="00F66764"/>
    <w:rsid w:val="00F66889"/>
    <w:rsid w:val="00F66A28"/>
    <w:rsid w:val="00F66BAA"/>
    <w:rsid w:val="00F66BD7"/>
    <w:rsid w:val="00F6718E"/>
    <w:rsid w:val="00F6734A"/>
    <w:rsid w:val="00F6772C"/>
    <w:rsid w:val="00F679B3"/>
    <w:rsid w:val="00F67A75"/>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1A0"/>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EC3"/>
    <w:rsid w:val="00F87FCE"/>
    <w:rsid w:val="00F90582"/>
    <w:rsid w:val="00F906B1"/>
    <w:rsid w:val="00F90C8C"/>
    <w:rsid w:val="00F90F15"/>
    <w:rsid w:val="00F91121"/>
    <w:rsid w:val="00F91A6F"/>
    <w:rsid w:val="00F91A78"/>
    <w:rsid w:val="00F91B9A"/>
    <w:rsid w:val="00F91C79"/>
    <w:rsid w:val="00F92573"/>
    <w:rsid w:val="00F927D5"/>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0FA"/>
    <w:rsid w:val="00FA186E"/>
    <w:rsid w:val="00FA2156"/>
    <w:rsid w:val="00FA2257"/>
    <w:rsid w:val="00FA24B6"/>
    <w:rsid w:val="00FA27DA"/>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493"/>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3F86"/>
    <w:rsid w:val="00FC44B4"/>
    <w:rsid w:val="00FC4748"/>
    <w:rsid w:val="00FC4923"/>
    <w:rsid w:val="00FC4950"/>
    <w:rsid w:val="00FC5A31"/>
    <w:rsid w:val="00FC65A1"/>
    <w:rsid w:val="00FC6970"/>
    <w:rsid w:val="00FC6EB8"/>
    <w:rsid w:val="00FC6F72"/>
    <w:rsid w:val="00FC6FCF"/>
    <w:rsid w:val="00FC7251"/>
    <w:rsid w:val="00FC72EC"/>
    <w:rsid w:val="00FC7311"/>
    <w:rsid w:val="00FC7478"/>
    <w:rsid w:val="00FC7DAD"/>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32"/>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334"/>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3807468">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81029618">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61CB98BD.dotm</Template>
  <TotalTime>0</TotalTime>
  <Pages>9</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2014-11-20T02:09:00Z</dcterms:created>
  <dcterms:modified xsi:type="dcterms:W3CDTF">2014-11-20T02:10:00Z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8301091</vt:lpwstr>
  </property>
</Properties>
</file>