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A56" w:rsidRPr="000F3A56" w:rsidRDefault="000F3A56" w:rsidP="000F3A56">
      <w:pPr>
        <w:pStyle w:val="Title"/>
      </w:pPr>
      <w:bookmarkStart w:id="0" w:name="_Toc467665284"/>
      <w:r>
        <w:t>Annual report on the performance of the retail energy market</w:t>
      </w:r>
      <w:bookmarkEnd w:id="0"/>
    </w:p>
    <w:p w:rsidR="00697BCD" w:rsidRPr="00697BCD" w:rsidRDefault="00697BCD" w:rsidP="00697BCD">
      <w:pPr>
        <w:pStyle w:val="Subtitle"/>
        <w:rPr>
          <w:u w:color="A9276E"/>
          <w:lang w:val="en-GB"/>
        </w:rPr>
      </w:pPr>
      <w:r w:rsidRPr="00697BCD">
        <w:rPr>
          <w:u w:color="A9276E"/>
          <w:lang w:val="en-GB"/>
        </w:rPr>
        <w:t>2015–16</w:t>
      </w:r>
    </w:p>
    <w:p w:rsidR="00697BCD" w:rsidRPr="009F51C3" w:rsidRDefault="00697BCD" w:rsidP="00697BCD">
      <w:pPr>
        <w:rPr>
          <w:lang w:val="en-GB"/>
        </w:rPr>
      </w:pPr>
      <w:r w:rsidRPr="009F51C3">
        <w:rPr>
          <w:lang w:val="en-GB"/>
        </w:rPr>
        <w:t>© Commonwealth of Australia 2016</w:t>
      </w:r>
    </w:p>
    <w:p w:rsidR="00697BCD" w:rsidRPr="009F51C3" w:rsidRDefault="00697BCD" w:rsidP="00697BCD">
      <w:pPr>
        <w:rPr>
          <w:lang w:val="en-GB"/>
        </w:rPr>
      </w:pPr>
      <w:r w:rsidRPr="009F51C3">
        <w:rPr>
          <w:lang w:val="en-GB"/>
        </w:rPr>
        <w:t xml:space="preserve">This work is copyright. In addition to any use permitted under the </w:t>
      </w:r>
      <w:r w:rsidRPr="009F51C3">
        <w:rPr>
          <w:i/>
          <w:iCs/>
          <w:lang w:val="en-GB"/>
        </w:rPr>
        <w:t>Copyright Act 1968</w:t>
      </w:r>
      <w:r w:rsidRPr="009F51C3">
        <w:rPr>
          <w:lang w:val="en-GB"/>
        </w:rPr>
        <w:t>, all material contained within this work is provided under a Creative Commons Attributions 3.0 Australia licence, with the exception of:</w:t>
      </w:r>
    </w:p>
    <w:p w:rsidR="00697BCD" w:rsidRPr="009F51C3" w:rsidRDefault="00697BCD" w:rsidP="00697BCD">
      <w:pPr>
        <w:pStyle w:val="ListBullet"/>
        <w:rPr>
          <w:lang w:val="en-GB"/>
        </w:rPr>
      </w:pPr>
      <w:r w:rsidRPr="009F51C3">
        <w:rPr>
          <w:lang w:val="en-GB"/>
        </w:rPr>
        <w:t>the Commonwealth Coat of Arms</w:t>
      </w:r>
    </w:p>
    <w:p w:rsidR="00697BCD" w:rsidRPr="009F51C3" w:rsidRDefault="00697BCD" w:rsidP="00697BCD">
      <w:pPr>
        <w:pStyle w:val="ListBullet"/>
        <w:rPr>
          <w:lang w:val="en-GB"/>
        </w:rPr>
      </w:pPr>
      <w:r w:rsidRPr="009F51C3">
        <w:rPr>
          <w:lang w:val="en-GB"/>
        </w:rPr>
        <w:t>the ACCC and AER logos</w:t>
      </w:r>
    </w:p>
    <w:p w:rsidR="00697BCD" w:rsidRPr="009F51C3" w:rsidRDefault="00697BCD" w:rsidP="00697BCD">
      <w:pPr>
        <w:pStyle w:val="ListBullet"/>
        <w:rPr>
          <w:lang w:val="en-GB"/>
        </w:rPr>
      </w:pPr>
      <w:r w:rsidRPr="009F51C3">
        <w:rPr>
          <w:lang w:val="en-GB"/>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697BCD" w:rsidRPr="009F51C3" w:rsidRDefault="00697BCD" w:rsidP="00697BCD">
      <w:pPr>
        <w:rPr>
          <w:lang w:val="en-GB"/>
        </w:rPr>
      </w:pPr>
      <w:r w:rsidRPr="009F51C3">
        <w:rPr>
          <w:lang w:val="en-GB"/>
        </w:rPr>
        <w:t>Requests and inquiries concerning reproduction and rights should be addressed to the Director, Corporate Communications, Australian Competition and Consumer Commission, GPO Box 4141, Canberra ACT 2601 or publishing.unit@accc.gov.au.</w:t>
      </w:r>
    </w:p>
    <w:p w:rsidR="00697BCD" w:rsidRPr="009F51C3" w:rsidRDefault="00697BCD" w:rsidP="00697BCD">
      <w:pPr>
        <w:rPr>
          <w:lang w:val="en-GB"/>
        </w:rPr>
      </w:pPr>
      <w:r w:rsidRPr="009F51C3">
        <w:rPr>
          <w:lang w:val="en-GB"/>
        </w:rPr>
        <w:t>Inquiries about this publication should be addressed to:</w:t>
      </w:r>
    </w:p>
    <w:p w:rsidR="00697BCD" w:rsidRPr="009F51C3" w:rsidRDefault="00697BCD" w:rsidP="00697BCD">
      <w:pPr>
        <w:rPr>
          <w:lang w:val="en-GB"/>
        </w:rPr>
      </w:pPr>
      <w:r w:rsidRPr="009F51C3">
        <w:rPr>
          <w:lang w:val="en-GB"/>
        </w:rPr>
        <w:t>Australian Energy Regulator</w:t>
      </w:r>
      <w:r w:rsidRPr="009F51C3">
        <w:rPr>
          <w:lang w:val="en-GB"/>
        </w:rPr>
        <w:br/>
        <w:t>GPO Box 520</w:t>
      </w:r>
      <w:r w:rsidRPr="009F51C3">
        <w:rPr>
          <w:lang w:val="en-GB"/>
        </w:rPr>
        <w:br/>
        <w:t>Melbourne Vic 3001</w:t>
      </w:r>
    </w:p>
    <w:p w:rsidR="00697BCD" w:rsidRPr="009F51C3" w:rsidRDefault="00697BCD" w:rsidP="00697BCD">
      <w:pPr>
        <w:rPr>
          <w:lang w:val="en-GB"/>
        </w:rPr>
      </w:pPr>
      <w:r w:rsidRPr="009F51C3">
        <w:rPr>
          <w:lang w:val="en-GB"/>
        </w:rPr>
        <w:t>Tel: 1300 585 165</w:t>
      </w:r>
    </w:p>
    <w:p w:rsidR="00697BCD" w:rsidRPr="009F51C3" w:rsidRDefault="00697BCD" w:rsidP="00697BCD">
      <w:pPr>
        <w:rPr>
          <w:color w:val="0000FF"/>
          <w:u w:val="thick" w:color="0000FF"/>
          <w:lang w:val="en-GB"/>
        </w:rPr>
      </w:pPr>
      <w:r w:rsidRPr="009F51C3">
        <w:rPr>
          <w:lang w:val="en-GB"/>
        </w:rPr>
        <w:t xml:space="preserve">Email: </w:t>
      </w:r>
      <w:r w:rsidRPr="009F51C3">
        <w:rPr>
          <w:color w:val="0000FF"/>
          <w:u w:val="thick" w:color="0000FF"/>
          <w:lang w:val="en-GB"/>
        </w:rPr>
        <w:t>AERInquiry@aer.gov.au</w:t>
      </w:r>
    </w:p>
    <w:p w:rsidR="00697BCD" w:rsidRPr="009F51C3" w:rsidRDefault="00697BCD" w:rsidP="00697BCD">
      <w:pPr>
        <w:rPr>
          <w:lang w:val="en-GB"/>
        </w:rPr>
      </w:pPr>
      <w:r w:rsidRPr="009F51C3">
        <w:rPr>
          <w:lang w:val="en-GB"/>
        </w:rPr>
        <w:t>AER Reference: 60602</w:t>
      </w:r>
    </w:p>
    <w:p w:rsidR="00697BCD" w:rsidRPr="009F51C3" w:rsidRDefault="00697BCD" w:rsidP="00697BCD">
      <w:pPr>
        <w:rPr>
          <w:lang w:val="en-GB"/>
        </w:rPr>
      </w:pPr>
      <w:r w:rsidRPr="009F51C3">
        <w:rPr>
          <w:lang w:val="en-GB"/>
        </w:rPr>
        <w:t>Photographs: Allison Crowe</w:t>
      </w:r>
    </w:p>
    <w:p w:rsidR="000F3A56" w:rsidRPr="00391B03" w:rsidRDefault="000F3A56">
      <w:pPr>
        <w:rPr>
          <w:rFonts w:ascii="Lucida Fax" w:eastAsia="Times New Roman" w:hAnsi="Lucida Fax"/>
          <w:bCs/>
          <w:color w:val="51626F"/>
          <w:sz w:val="32"/>
          <w:szCs w:val="28"/>
        </w:rPr>
      </w:pPr>
      <w:r>
        <w:br w:type="page"/>
      </w:r>
    </w:p>
    <w:p w:rsidR="00697BCD" w:rsidRDefault="00697BCD" w:rsidP="00697BCD">
      <w:pPr>
        <w:pStyle w:val="Heading1"/>
      </w:pPr>
      <w:bookmarkStart w:id="1" w:name="_Toc467665285"/>
      <w:r>
        <w:t>About this report</w:t>
      </w:r>
      <w:bookmarkEnd w:id="1"/>
      <w:r>
        <w:t xml:space="preserve"> </w:t>
      </w:r>
    </w:p>
    <w:p w:rsidR="00697BCD" w:rsidRDefault="00697BCD" w:rsidP="00697BCD">
      <w:r>
        <w:t>The Australian Energy Regulator (AER) reports on energy retailers’ performance under the National Energy Retail Law (Retail Law).</w:t>
      </w:r>
      <w:r w:rsidRPr="009D1DEC">
        <w:rPr>
          <w:rStyle w:val="Superscript"/>
        </w:rPr>
        <w:footnoteReference w:id="1"/>
      </w:r>
      <w:r>
        <w:t xml:space="preserve"> Performance reporting enhances transparency and accountability, and provides incentives for businesses to improve performance. It helps identify emerging issues requiring a compliance or enforcement response, and brings transparency and integrity to the market.</w:t>
      </w:r>
    </w:p>
    <w:p w:rsidR="00697BCD" w:rsidRDefault="00697BCD" w:rsidP="00697BCD">
      <w:r>
        <w:t>This is our fourth annual retail market performance report and it covers:</w:t>
      </w:r>
    </w:p>
    <w:p w:rsidR="00697BCD" w:rsidRDefault="00697BCD" w:rsidP="00697BCD">
      <w:pPr>
        <w:pStyle w:val="ListBullet"/>
      </w:pPr>
      <w:r>
        <w:t>an overview of the retail market</w:t>
      </w:r>
    </w:p>
    <w:p w:rsidR="00697BCD" w:rsidRDefault="00697BCD" w:rsidP="00697BCD">
      <w:pPr>
        <w:pStyle w:val="ListBullet"/>
      </w:pPr>
      <w:r>
        <w:t>customer service and complaints</w:t>
      </w:r>
    </w:p>
    <w:p w:rsidR="00697BCD" w:rsidRDefault="00697BCD" w:rsidP="00697BCD">
      <w:pPr>
        <w:pStyle w:val="ListBullet"/>
      </w:pPr>
      <w:r>
        <w:t>assistance provided to customers experiencing payment difficulties, including hardship programs</w:t>
      </w:r>
    </w:p>
    <w:p w:rsidR="00697BCD" w:rsidRDefault="00697BCD" w:rsidP="00697BCD">
      <w:pPr>
        <w:pStyle w:val="ListBullet"/>
      </w:pPr>
      <w:r>
        <w:t>disconnections and reconnections</w:t>
      </w:r>
    </w:p>
    <w:p w:rsidR="00697BCD" w:rsidRDefault="00697BCD" w:rsidP="00697BCD">
      <w:pPr>
        <w:pStyle w:val="ListBullet"/>
      </w:pPr>
      <w:r>
        <w:t>energy affordability</w:t>
      </w:r>
    </w:p>
    <w:p w:rsidR="00697BCD" w:rsidRDefault="00697BCD" w:rsidP="00697BCD">
      <w:pPr>
        <w:pStyle w:val="ListBullet"/>
      </w:pPr>
      <w:proofErr w:type="gramStart"/>
      <w:r>
        <w:t>distribution</w:t>
      </w:r>
      <w:proofErr w:type="gramEnd"/>
      <w:r>
        <w:t xml:space="preserve"> businesses’ performance against network service standards.</w:t>
      </w:r>
    </w:p>
    <w:p w:rsidR="00697BCD" w:rsidRDefault="00697BCD" w:rsidP="00697BCD">
      <w:r>
        <w:t>Energy is an essential service, necessary for a reasonable standard of living. Energy can also be a big expense for many households. Monitoring and reporting on how energy retailers assist customers experiencing payment difficulties, together with our annual analysis of energy bills for low income households, make an important contribution to the national conversation on issues of energy affordability.</w:t>
      </w:r>
    </w:p>
    <w:p w:rsidR="00697BCD" w:rsidRDefault="00697BCD" w:rsidP="00697BCD">
      <w:r>
        <w:t xml:space="preserve">It should be noted that energy retailers’ reporting obligations only apply to ‘small customers’ as defined under the Retail Law. These are residential customers and small business customers whose annual consumption is less than 100–160 megawatt hours of electricity (depending on which jurisdiction they are located in) and/or one </w:t>
      </w:r>
      <w:proofErr w:type="spellStart"/>
      <w:r>
        <w:t>terajoule</w:t>
      </w:r>
      <w:proofErr w:type="spellEnd"/>
      <w:r>
        <w:t xml:space="preserve"> of gas. </w:t>
      </w:r>
    </w:p>
    <w:p w:rsidR="00697BCD" w:rsidRDefault="00697BCD" w:rsidP="00697BCD">
      <w:r>
        <w:t>This report is structured as follows:</w:t>
      </w:r>
    </w:p>
    <w:p w:rsidR="00697BCD" w:rsidRDefault="00697BCD" w:rsidP="00697BCD">
      <w:pPr>
        <w:pStyle w:val="ListNumber"/>
      </w:pPr>
      <w:r>
        <w:t>Retail market overview: this chapter looks at retailers’ shares in small and large customer markets, the number of customers on standard and market retail contracts in each jurisdiction that has applied the Retail Law</w:t>
      </w:r>
      <w:r w:rsidRPr="009D1DEC">
        <w:rPr>
          <w:rStyle w:val="Superscript"/>
        </w:rPr>
        <w:footnoteReference w:id="2"/>
      </w:r>
      <w:r>
        <w:t xml:space="preserve">, and switching rates in all National Electricity Market (NEM) jurisdictions (chapter 1). </w:t>
      </w:r>
    </w:p>
    <w:p w:rsidR="00697BCD" w:rsidRDefault="00697BCD" w:rsidP="00697BCD">
      <w:pPr>
        <w:pStyle w:val="ListNumber"/>
      </w:pPr>
      <w:r>
        <w:t xml:space="preserve">Energy retailer performance: this chapter discusses key performance indicators of energy retailers with small customers in jurisdictions that have applied the Retail Law. Indicators include customer service levels, the assistance given to customers experiencing payment difficulties (for example payment plans and hardship programs) and the number of customers disconnected for non-payment (chapter 2). </w:t>
      </w:r>
    </w:p>
    <w:p w:rsidR="00697BCD" w:rsidRDefault="00697BCD" w:rsidP="00697BCD">
      <w:pPr>
        <w:pStyle w:val="ListNumber"/>
      </w:pPr>
      <w:r>
        <w:t xml:space="preserve">Energy affordability: this chapter considers how much households in NEM jurisdictions spent on electricity and gas in 2015–16, annual bills as a proportion of household disposable income, and whether energy has become more or less affordable compared with the last two years (chapter 3). </w:t>
      </w:r>
    </w:p>
    <w:p w:rsidR="00697BCD" w:rsidRDefault="00697BCD" w:rsidP="00697BCD">
      <w:r>
        <w:t>Local provisions of the NER regulations impose minimum service standards on retailers selling energy to small customers in South Australia. Appendix 2 sets out the South Australian retailers’ performance against those jurisdictional service standards</w:t>
      </w:r>
      <w:r w:rsidR="000F3A56">
        <w:t>.</w:t>
      </w:r>
    </w:p>
    <w:p w:rsidR="00697BCD" w:rsidRDefault="00697BCD" w:rsidP="00697BCD">
      <w:r>
        <w:lastRenderedPageBreak/>
        <w:t>There are a number of other service standards set by the individual jurisdictions under the Retail Law. Appendix 3 of this report summarises distributors’ performance against their respective jurisdictional service standards and GSL schemes.</w:t>
      </w:r>
    </w:p>
    <w:p w:rsidR="00697BCD" w:rsidRDefault="00697BCD" w:rsidP="000F3A56">
      <w:pPr>
        <w:pStyle w:val="Heading3"/>
      </w:pPr>
      <w:bookmarkStart w:id="2" w:name="_Toc467665286"/>
      <w:r>
        <w:t>Note on Origin Energy customer numbers for Q1–Q3</w:t>
      </w:r>
      <w:bookmarkEnd w:id="2"/>
    </w:p>
    <w:p w:rsidR="00697BCD" w:rsidRDefault="00697BCD" w:rsidP="009D1DEC">
      <w:r>
        <w:t xml:space="preserve">After submitting Q4 data, Origin Energy advised us that it had identified errors in its customer numbers for all quarters of data in the 2015–16 </w:t>
      </w:r>
      <w:proofErr w:type="gramStart"/>
      <w:r>
        <w:t>period</w:t>
      </w:r>
      <w:proofErr w:type="gramEnd"/>
      <w:r>
        <w:t>.</w:t>
      </w:r>
    </w:p>
    <w:p w:rsidR="00697BCD" w:rsidRDefault="00697BCD" w:rsidP="00697BCD">
      <w:r>
        <w:t xml:space="preserve">Specifically, its Q1–Q3 data was wrong due its failure to remove bulk hot water customers from total gas customer numbers, while Q4 customer numbers were incorrect due to a system failure. </w:t>
      </w:r>
    </w:p>
    <w:p w:rsidR="00697BCD" w:rsidRDefault="00697BCD" w:rsidP="00697BCD">
      <w:r>
        <w:t xml:space="preserve">Origin resubmitted corrected data for all quarters which </w:t>
      </w:r>
      <w:proofErr w:type="gramStart"/>
      <w:r>
        <w:t>has</w:t>
      </w:r>
      <w:proofErr w:type="gramEnd"/>
      <w:r>
        <w:t xml:space="preserve"> been used for the analysis in this report. However, quarterly data for Q1–Q3, previously published on our website, was not correct. </w:t>
      </w:r>
    </w:p>
    <w:p w:rsidR="00697BCD" w:rsidRDefault="00697BCD" w:rsidP="00697BCD">
      <w:r>
        <w:t>Origin has advised us it has introduced system changes and additional validation steps to ensure correct data is submitted in the future.</w:t>
      </w:r>
    </w:p>
    <w:p w:rsidR="00697BCD" w:rsidRDefault="00697BCD" w:rsidP="00697BCD">
      <w:pPr>
        <w:pStyle w:val="Heading1"/>
      </w:pPr>
      <w:bookmarkStart w:id="3" w:name="_Toc467665287"/>
      <w:r>
        <w:t>Key points 2015–16</w:t>
      </w:r>
      <w:bookmarkEnd w:id="3"/>
    </w:p>
    <w:p w:rsidR="00697BCD" w:rsidRDefault="00697BCD" w:rsidP="000F3A56">
      <w:pPr>
        <w:pStyle w:val="Heading3"/>
      </w:pPr>
      <w:bookmarkStart w:id="4" w:name="_Toc467665288"/>
      <w:r>
        <w:t>Customer engagement with the market</w:t>
      </w:r>
      <w:bookmarkEnd w:id="4"/>
    </w:p>
    <w:p w:rsidR="00697BCD" w:rsidRDefault="00697BCD" w:rsidP="00697BCD">
      <w:r>
        <w:t xml:space="preserve">Despite the relatively large number of electricity retailers in New South Wales (25 supplying to residential and small business customers) and South Australia (20 supplying small customers), both markets are still heavily concentrated with the ‘big three’ retailers (AGL, </w:t>
      </w:r>
      <w:proofErr w:type="spellStart"/>
      <w:r>
        <w:t>EnergyAustralia</w:t>
      </w:r>
      <w:proofErr w:type="spellEnd"/>
      <w:r>
        <w:t xml:space="preserve"> and Origin Energy) supplying a significant majority of customers (89 per cent in New South Wales and 75 per cent in South Australia respectively). </w:t>
      </w:r>
    </w:p>
    <w:p w:rsidR="00697BCD" w:rsidRDefault="00697BCD" w:rsidP="00697BCD">
      <w:r>
        <w:t xml:space="preserve">The smaller markets are even more concentrated: </w:t>
      </w:r>
      <w:proofErr w:type="spellStart"/>
      <w:r>
        <w:t>ActewAGL</w:t>
      </w:r>
      <w:proofErr w:type="spellEnd"/>
      <w:r>
        <w:t xml:space="preserve"> supplies over 93 per cent of ACT households. Tasmanian households are still waiting for a new entrant to compete with monopolist Aurora to provide choice. While the market for gas is smaller in each of these jurisdictions, the big three still dominate the South Australian and New South Wales gas </w:t>
      </w:r>
      <w:proofErr w:type="gramStart"/>
      <w:r>
        <w:t>markets</w:t>
      </w:r>
      <w:proofErr w:type="gramEnd"/>
      <w:r>
        <w:t xml:space="preserve">, whereas </w:t>
      </w:r>
      <w:proofErr w:type="spellStart"/>
      <w:r>
        <w:t>ActewAGL</w:t>
      </w:r>
      <w:proofErr w:type="spellEnd"/>
      <w:r>
        <w:t xml:space="preserve"> is the dominant player in the ACT.</w:t>
      </w:r>
    </w:p>
    <w:p w:rsidR="00697BCD" w:rsidRDefault="00697BCD" w:rsidP="00697BCD">
      <w:r>
        <w:t xml:space="preserve">Customer switching rates are generally flat, suggesting that energy retailers may be focusing more on customer retention than on acquiring new customers. It is encouraging to see an increasing proportion of customers have moved off standing (or regulated) offers to market retail contracts, which are typically </w:t>
      </w:r>
      <w:proofErr w:type="gramStart"/>
      <w:r>
        <w:t>lower</w:t>
      </w:r>
      <w:proofErr w:type="gramEnd"/>
      <w:r>
        <w:t xml:space="preserve"> priced.</w:t>
      </w:r>
    </w:p>
    <w:p w:rsidR="00697BCD" w:rsidRDefault="00697BCD" w:rsidP="00697BCD">
      <w:r>
        <w:t>Standing offers (also called standard retail contracts) include set terms and conditions and can’t be changed by the retailer. Under some standard retail contracts (called regulated offers)</w:t>
      </w:r>
      <w:proofErr w:type="gramStart"/>
      <w:r>
        <w:t>,</w:t>
      </w:r>
      <w:proofErr w:type="gramEnd"/>
      <w:r>
        <w:t xml:space="preserve"> energy prices are set by state or territory governments.</w:t>
      </w:r>
    </w:p>
    <w:p w:rsidR="00697BCD" w:rsidRDefault="00697BCD" w:rsidP="00697BCD">
      <w:r>
        <w:t>Market retail contracts have a minimum set of terms and conditions, but other terms and conditions can vary from contract to contract.</w:t>
      </w:r>
    </w:p>
    <w:p w:rsidR="00697BCD" w:rsidRDefault="00697BCD" w:rsidP="00697BCD">
      <w:r>
        <w:t>Switching rates were highest in Victoria for electricity and gas (at around 6 per cent of customers). They were lowest in Queensland for both fuel types (around 3 per cent of electricity customers and 2 per cent for gas).</w:t>
      </w:r>
    </w:p>
    <w:p w:rsidR="00697BCD" w:rsidRDefault="00697BCD" w:rsidP="00697BCD">
      <w:r>
        <w:t>In South Australia, 85 per cent of electricity and gas customers are on market retail contracts. It is slightly lower in New South Wales at 74 per cent and 80 per cent respectively. In the ACT and Tasmania, the significant majority of consumers remain on standing offers. In Queensland, customers are evenly split between market and standing offers.</w:t>
      </w:r>
    </w:p>
    <w:p w:rsidR="00697BCD" w:rsidRDefault="00697BCD" w:rsidP="00697BCD">
      <w:r>
        <w:t xml:space="preserve">Complaints to energy retailers increased nationally in 2015–16, with billing (which includes pricing) the leading cause for concern. However, excluding increases to Origin Energy (which </w:t>
      </w:r>
      <w:r>
        <w:lastRenderedPageBreak/>
        <w:t>introduced new processes that resulted in capturing increased numbers of complaints</w:t>
      </w:r>
      <w:r w:rsidRPr="009D1DEC">
        <w:rPr>
          <w:rStyle w:val="Superscript"/>
        </w:rPr>
        <w:footnoteReference w:id="3"/>
      </w:r>
      <w:r>
        <w:t xml:space="preserve">) complaint rates were flatter, with other top tier retailers AGL and </w:t>
      </w:r>
      <w:proofErr w:type="spellStart"/>
      <w:r>
        <w:t>EnergyAustralia</w:t>
      </w:r>
      <w:proofErr w:type="spellEnd"/>
      <w:r>
        <w:t xml:space="preserve"> reporting decreases. </w:t>
      </w:r>
    </w:p>
    <w:p w:rsidR="00697BCD" w:rsidRDefault="00697BCD" w:rsidP="00697BCD">
      <w:r>
        <w:t xml:space="preserve">Supporting a view of improved complaint management by retailers, energy ombudsman schemes across all jurisdictions received fewer complaints </w:t>
      </w:r>
      <w:r w:rsidR="000F3A56">
        <w:t>in 2015–16 compared with</w:t>
      </w:r>
      <w:r w:rsidR="000F3A56">
        <w:br/>
      </w:r>
      <w:r>
        <w:t xml:space="preserve">2014–15. </w:t>
      </w:r>
    </w:p>
    <w:p w:rsidR="00697BCD" w:rsidRPr="00F049B4" w:rsidRDefault="00697BCD" w:rsidP="000F3A56">
      <w:pPr>
        <w:pStyle w:val="Heading3"/>
        <w:rPr>
          <w:rStyle w:val="Strong"/>
        </w:rPr>
      </w:pPr>
      <w:bookmarkStart w:id="5" w:name="_Toc467665289"/>
      <w:r w:rsidRPr="00F049B4">
        <w:rPr>
          <w:rStyle w:val="Strong"/>
        </w:rPr>
        <w:t>Energy debt and payment difficulties</w:t>
      </w:r>
      <w:bookmarkEnd w:id="5"/>
      <w:r w:rsidRPr="00F049B4">
        <w:rPr>
          <w:rStyle w:val="Strong"/>
        </w:rPr>
        <w:t xml:space="preserve"> </w:t>
      </w:r>
    </w:p>
    <w:p w:rsidR="00697BCD" w:rsidRDefault="00697BCD" w:rsidP="00697BCD">
      <w:r>
        <w:t>The proportion of residential and small business customers who were repaying an electricity debt fell between 2015 and 2016 in all jurisdictions (excluding Queensland, where previous years’ data is not available). South Australia had a higher proportion of customers with electricity debt than the other jurisdictions.</w:t>
      </w:r>
    </w:p>
    <w:p w:rsidR="00697BCD" w:rsidRDefault="00697BCD" w:rsidP="00697BCD">
      <w:r>
        <w:t>The proportion of residential and small business customers who were repaying a gas debt increased slightly in South Australia and New South Wales but fell slightly in the ACT. The ACT also had the highest proportion of customers with a gas debt.</w:t>
      </w:r>
    </w:p>
    <w:p w:rsidR="00697BCD" w:rsidRDefault="00697BCD" w:rsidP="00697BCD">
      <w:r>
        <w:t>Not all customers who have a debt are receiving hardship assistance. Customers with debt may also be on a payment plan to pay off a debt, or may not be receiving any retailer assistance. Despite having lower debts than hardship customers, these customers are still in financial difficulty and need the right type of assistance. We found that the proportion of residential customers with an electricity debt (but who were not on a hardship program) fell between 2015 and 2016.</w:t>
      </w:r>
    </w:p>
    <w:p w:rsidR="00697BCD" w:rsidRDefault="00697BCD" w:rsidP="00697BCD">
      <w:r>
        <w:t xml:space="preserve">South Australia had the highest proportion of these customers at 3.7 customers per 100, compared to around 2.6 per 100 in New South Wales and 2.7 per 100 in the ACT. Average debts were also higher in South Australia. Tasmania had the lowest proportion of customers with an electricity debt (1.6 per 100, after allowing for the number on hardship programs). This number has decreased from around 3 per 100 in the past three years. </w:t>
      </w:r>
    </w:p>
    <w:p w:rsidR="00697BCD" w:rsidRDefault="00697BCD" w:rsidP="00697BCD">
      <w:r>
        <w:t>The proportion of residential customers with a gas debt (but not on a hardship program) fell to around 3 per 100 customers in South Australia and to below 4 per 100 in New South Wales between 2015 and 2016. In the ACT, this figure fell to around 7 customers per 100 from 2015.</w:t>
      </w:r>
    </w:p>
    <w:p w:rsidR="00697BCD" w:rsidRPr="00F049B4" w:rsidRDefault="00697BCD" w:rsidP="000F3A56">
      <w:pPr>
        <w:pStyle w:val="Heading3"/>
        <w:rPr>
          <w:rStyle w:val="Strong"/>
        </w:rPr>
      </w:pPr>
      <w:bookmarkStart w:id="6" w:name="_Toc467665290"/>
      <w:r w:rsidRPr="00F049B4">
        <w:rPr>
          <w:rStyle w:val="Strong"/>
        </w:rPr>
        <w:t>Managing payment difficulties through payment plans and hardship programs</w:t>
      </w:r>
      <w:bookmarkEnd w:id="6"/>
    </w:p>
    <w:p w:rsidR="00697BCD" w:rsidRDefault="00697BCD" w:rsidP="00697BCD">
      <w:r>
        <w:t>Payment plans are typically the first form of assistance offered to customers showing signs of payment difficulties, and can often be enough to help customers repay their energy debt. In 2015–16, we observed a small decrease in the proportion of South Australian, New South Wales and Tasmanian customers being assisted through a payment plan. This may be due to the decrease in the proportion of customers with an energy debt.</w:t>
      </w:r>
    </w:p>
    <w:p w:rsidR="00697BCD" w:rsidRDefault="00697BCD" w:rsidP="00697BCD">
      <w:r>
        <w:t xml:space="preserve">On the other hand, the number of customers with an energy debt who entered a hardship program increased. In South Australia, the number of electricity and gas customers on hardship programs increased by around one third, to about 1.8 per 100 customers and 1.4 per 100 respectively. South Australia had the highest proportion of customers on a hardship program. </w:t>
      </w:r>
    </w:p>
    <w:p w:rsidR="00697BCD" w:rsidRDefault="00697BCD" w:rsidP="00697BCD">
      <w:r>
        <w:t xml:space="preserve">The proportion of hardship customers in other states and territories was less than 1 per cent. </w:t>
      </w:r>
    </w:p>
    <w:p w:rsidR="00697BCD" w:rsidRDefault="00697BCD" w:rsidP="00697BCD">
      <w:r>
        <w:t xml:space="preserve">Increases in the proportion of customers on a hardship program suggests that retailers are now willing to offer this high level of assistance before debt levels get too high and also that customers are actively seeking assistance from their retailers when they need it. We expect retailers to offer, and customers to ask for, assistance as soon as payment difficulties are identified. </w:t>
      </w:r>
    </w:p>
    <w:p w:rsidR="00697BCD" w:rsidRDefault="00697BCD" w:rsidP="00697BCD">
      <w:r>
        <w:lastRenderedPageBreak/>
        <w:t>Debt on entry to a hardship program is therefore an important indicator of how readily a retailer identifies, and moves to assist, a customer experiencing severe payment difficulties. We expect that retailers should be identifying customers having trouble and offering assistance before debts become too large to manage.</w:t>
      </w:r>
    </w:p>
    <w:p w:rsidR="00697BCD" w:rsidRDefault="00697BCD" w:rsidP="00697BCD">
      <w:r>
        <w:t>The average debt on entry to hardship programs decreased in most jurisdictions, and several retailers increased the proportion of their customers entering hardship programs with debts below $500. These include Momentum Energy (59 per 100 electricity customers, increasing from 38 per 100 in 2014–15), Click Energy (64 per 100, up from 39 per 100) and Origin Energy (68 per 100, up from 53 per 100). Red Energy had the highest proportion of electricity customers entering hardship programs with debt less than $500, at 82 per 100).</w:t>
      </w:r>
    </w:p>
    <w:p w:rsidR="00697BCD" w:rsidRDefault="00697BCD" w:rsidP="00697BCD">
      <w:r>
        <w:t xml:space="preserve">In contrast, other retailers continue to report a significant number of customers entering hardship programs with high levels of debt. One in five Aurora Energy and one in four </w:t>
      </w:r>
      <w:proofErr w:type="spellStart"/>
      <w:r>
        <w:t>Powerdirect</w:t>
      </w:r>
      <w:proofErr w:type="spellEnd"/>
      <w:r>
        <w:t xml:space="preserve"> customers entering those retailers’ hardship programs had debt greater than $2500, and almost half had debt greater than $1500.</w:t>
      </w:r>
    </w:p>
    <w:p w:rsidR="00697BCD" w:rsidRDefault="00697BCD" w:rsidP="00697BCD">
      <w:r>
        <w:t xml:space="preserve">Gas customers generally entered hardship programs with lower levels of debt than in electricity, with most customers of gas retailers entering hardship programs with less than $500 of debt. </w:t>
      </w:r>
    </w:p>
    <w:p w:rsidR="00697BCD" w:rsidRDefault="00697BCD" w:rsidP="00697BCD">
      <w:r>
        <w:t xml:space="preserve">After reporting that 40 per 100 customers entering hardship programs had debts greater than $1500 in 2014–15, </w:t>
      </w:r>
      <w:proofErr w:type="spellStart"/>
      <w:r>
        <w:t>EnergyAustralia</w:t>
      </w:r>
      <w:proofErr w:type="spellEnd"/>
      <w:r>
        <w:t xml:space="preserve"> was able to reduce this proportion to 17 per 100 this year. Origin Energy also recorded an increase in the proportion of customers entering its hardship program with gas debt less than $500 in 2015–16 (74 per 100, compared with 59 per 100 in 2014–15).</w:t>
      </w:r>
    </w:p>
    <w:p w:rsidR="00697BCD" w:rsidRDefault="00697BCD" w:rsidP="00697BCD">
      <w:r>
        <w:t>The proportion of hardship customers using Centrepay varies in different jurisdictions. It is relatively low in New South Wales and South Australia (less than 25 per 100 hardship customers). Tasmania and ACT have the highest rates of hardship customers using Centrepay.</w:t>
      </w:r>
      <w:r w:rsidRPr="009D1DEC">
        <w:rPr>
          <w:rStyle w:val="Superscript"/>
        </w:rPr>
        <w:footnoteReference w:id="4"/>
      </w:r>
      <w:r>
        <w:t xml:space="preserve"> </w:t>
      </w:r>
    </w:p>
    <w:p w:rsidR="00697BCD" w:rsidRDefault="00697BCD" w:rsidP="00697BCD">
      <w:r>
        <w:t>While we would like to see greater use of Centrepay, it is restricted to customers receiving Centrelink payments. Centrepay may be poorly promoted by some retailers, or not favoured by customers. It is also possible that more customers who are not receiving Centrelink payments, and so do not have the option of Centrepay, are now entering hardship programs.</w:t>
      </w:r>
    </w:p>
    <w:p w:rsidR="00697BCD" w:rsidRDefault="00697BCD" w:rsidP="00697BCD">
      <w:r>
        <w:t>Declining rates of concession customers accessing hardship programs in some jurisdictions lends support to the plausibility of this scenario—notably in the ACT, where concession customers as a proportion of gas customers on hardship programs decreased by one third to 26 per 100 customers. As noted, ACT has the highest national rates of non-hardship customers repaying debts (over 7 per 100).</w:t>
      </w:r>
    </w:p>
    <w:p w:rsidR="00697BCD" w:rsidRDefault="00697BCD" w:rsidP="00697BCD">
      <w:r>
        <w:t>While success rates for customers on hardship programs remain low, we saw evidence of retailers being more proactive in their management of customers experiencing severe financial difficulties.</w:t>
      </w:r>
    </w:p>
    <w:p w:rsidR="00697BCD" w:rsidRDefault="00697BCD" w:rsidP="00697BCD">
      <w:r>
        <w:t>The proportion of electricity customers exiting hardship programs due to successfully repaying their debt increased from 24 per 100 customers in 2014–15 to 36 per 100 in 2015–16. Additionally, over this period the rate of customers exiting hardship programs due to exclusion for non-payment decreased from 57 per 100 of all customers exiting hardship programs to 46 per 100. These trends were similar for gas customers, with the success rate increasing from 22 to 29 customers per 100 and the exclusion rate decreasing from 57 to 48 per 100.</w:t>
      </w:r>
    </w:p>
    <w:p w:rsidR="00697BCD" w:rsidRPr="00F049B4" w:rsidRDefault="00697BCD" w:rsidP="000F3A56">
      <w:pPr>
        <w:pStyle w:val="Heading3"/>
        <w:rPr>
          <w:rStyle w:val="Strong"/>
        </w:rPr>
      </w:pPr>
      <w:bookmarkStart w:id="7" w:name="_Toc467665291"/>
      <w:r w:rsidRPr="00F049B4">
        <w:rPr>
          <w:rStyle w:val="Strong"/>
        </w:rPr>
        <w:t>Disconnecting customers for non-payment</w:t>
      </w:r>
      <w:bookmarkEnd w:id="7"/>
      <w:r w:rsidRPr="00F049B4">
        <w:rPr>
          <w:rStyle w:val="Strong"/>
        </w:rPr>
        <w:t xml:space="preserve"> </w:t>
      </w:r>
    </w:p>
    <w:p w:rsidR="00697BCD" w:rsidRDefault="00697BCD" w:rsidP="00697BCD">
      <w:r>
        <w:lastRenderedPageBreak/>
        <w:t>Electricity disconnections decreased in New South Wales, with disconnection numbers the lowest in three years. Electricity disconnections increased in the ACT, South Australia and Tasmania.</w:t>
      </w:r>
    </w:p>
    <w:p w:rsidR="00697BCD" w:rsidRDefault="00697BCD" w:rsidP="00697BCD">
      <w:r>
        <w:t>Proportionally, South Australia had the highest rate of electricity customers disconnected for non-payment (1.39 per 100 customers), followed by Queensland (1.14 per 100), New South Wales (1 per 100), Tasmania (0.5 per 100), and the ACT (0.24 per 100).</w:t>
      </w:r>
    </w:p>
    <w:p w:rsidR="00697BCD" w:rsidRDefault="00697BCD" w:rsidP="00697BCD">
      <w:r>
        <w:t xml:space="preserve">Gas disconnections for non-payment increased in South </w:t>
      </w:r>
      <w:proofErr w:type="gramStart"/>
      <w:r>
        <w:t>Australia,</w:t>
      </w:r>
      <w:proofErr w:type="gramEnd"/>
      <w:r>
        <w:t xml:space="preserve"> fell in New South Wales in 2015–16. Proportionally, South Australia had the most gas customers disconnected for non-payment (1.23 per 100), followed by the ACT (1.2 per 100), Queensland (0.8 per 100), and New South Wales (0.5 per 100).</w:t>
      </w:r>
    </w:p>
    <w:p w:rsidR="00697BCD" w:rsidRDefault="00697BCD" w:rsidP="00697BCD">
      <w:r>
        <w:t xml:space="preserve">Disconnections of customers who had previously been disconnected increased for electricity and gas from 2014–15. </w:t>
      </w:r>
    </w:p>
    <w:p w:rsidR="00697BCD" w:rsidRPr="00F049B4" w:rsidRDefault="00697BCD" w:rsidP="000F3A56">
      <w:pPr>
        <w:pStyle w:val="Heading3"/>
        <w:rPr>
          <w:rStyle w:val="Strong"/>
        </w:rPr>
      </w:pPr>
      <w:bookmarkStart w:id="8" w:name="_Toc467665292"/>
      <w:r w:rsidRPr="00F049B4">
        <w:rPr>
          <w:rStyle w:val="Strong"/>
        </w:rPr>
        <w:t>Energy affordability</w:t>
      </w:r>
      <w:bookmarkEnd w:id="8"/>
    </w:p>
    <w:p w:rsidR="00697BCD" w:rsidRDefault="00697BCD" w:rsidP="00697BCD">
      <w:r>
        <w:t xml:space="preserve">Between June 2015 and June 2016, electricity bills for a low income household on a market offer fell modestly in most jurisdictions ranging from a fall of 3 per cent in South Australia to an increase of 1 and 2 per cent in Queensland and Tasmania respectively. </w:t>
      </w:r>
    </w:p>
    <w:p w:rsidR="00697BCD" w:rsidRDefault="00697BCD" w:rsidP="00697BCD">
      <w:r>
        <w:t xml:space="preserve">Electricity bills for a low-income household remained highest in Tasmania (at just under $2000), which is unsurprising, given electricity is the predominant source of fuel in Tasmania and its cool to cold climate generates high demand for electricity for heating. A household eligible for a concession, however, could be saving over $480 on their electricity costs, which </w:t>
      </w:r>
      <w:proofErr w:type="gramStart"/>
      <w:r>
        <w:t>is one of the most significant electricity concessions</w:t>
      </w:r>
      <w:proofErr w:type="gramEnd"/>
      <w:r>
        <w:t xml:space="preserve"> offered by a state or territory government. Despite the increase in the 2015–16 electricity bills, South Australian households still face the highest electricity prices across the NEM. </w:t>
      </w:r>
    </w:p>
    <w:p w:rsidR="00697BCD" w:rsidRDefault="00697BCD" w:rsidP="00697BCD">
      <w:r>
        <w:t xml:space="preserve">In terms of the affordability of electricity, households in the ACT continue to fare relatively better, with low income households spending around 3.6 per cent of their disposable income on electricity. Except for Tasmanian households (spending over 8 per cent), the range is about 4.5 to 6 per cent (before any concessions). </w:t>
      </w:r>
    </w:p>
    <w:p w:rsidR="00697BCD" w:rsidRDefault="00697BCD" w:rsidP="00697BCD">
      <w:r>
        <w:t xml:space="preserve">Gas bills for low-income households on a market offer fluctuated more markedly around the country (ranging from a fall of 8.5 per cent in New South Wales to an increase of 9.2 per cent in Victoria). While Victorian households still enjoy the cheapest gas prices (20 to 40 per cent cheaper compared to other states), it is a widely available and popular fuel source for Victorian households so gas bills were still relatively high (around $1300 for a low income household). Only households in the ACT typically spend more on gas (which is a reflection of higher prices and moderate usage). New South Wales and Queensland households spend less on gas, mainly due to less availability and lower typical usage. This is the first year that eligible households in New South Wales had access to a gas concession. </w:t>
      </w:r>
    </w:p>
    <w:p w:rsidR="00697BCD" w:rsidRDefault="00697BCD" w:rsidP="00697BCD">
      <w:r>
        <w:t>Gas typically represents around 3 to 5 per cent of a low income household’s disposable income (before any concessions), with Victorian households at the higher end and Queensland households at the lower end.</w:t>
      </w:r>
    </w:p>
    <w:p w:rsidR="00697BCD" w:rsidRDefault="00697BCD" w:rsidP="00697BCD">
      <w:r>
        <w:t>The state-by-state analysis in our report continues to highlight how many households can improve the affordability of their energy bills simply by checking to see if their own, or another retailer, can offer them a better price. Depending on location, these savings can be in the order of several hundred dollars a year, if not more. Low income households should also be checking to ensure they are receiving any energy concession they may be eligible to receive.</w:t>
      </w:r>
    </w:p>
    <w:p w:rsidR="00697BCD" w:rsidRDefault="00697BCD" w:rsidP="000F3A56">
      <w:pPr>
        <w:pStyle w:val="Numbered1"/>
      </w:pPr>
      <w:bookmarkStart w:id="9" w:name="_Toc467665293"/>
      <w:r>
        <w:lastRenderedPageBreak/>
        <w:t>Retail market overview</w:t>
      </w:r>
      <w:bookmarkEnd w:id="9"/>
      <w:r>
        <w:t xml:space="preserve"> </w:t>
      </w:r>
    </w:p>
    <w:p w:rsidR="00697BCD" w:rsidRDefault="00697BCD" w:rsidP="00697BCD">
      <w:r>
        <w:t>This chapter provides an overview of competition in the retail energy markets in Queensland, New South Wales, South Australia, Australian Capital Territory and Tasmania, with a focus on:</w:t>
      </w:r>
    </w:p>
    <w:p w:rsidR="00697BCD" w:rsidRDefault="00697BCD" w:rsidP="00697BCD">
      <w:pPr>
        <w:pStyle w:val="ListBullet"/>
      </w:pPr>
      <w:r>
        <w:t>the number of active retailers selling energy to different types of customers</w:t>
      </w:r>
    </w:p>
    <w:p w:rsidR="00697BCD" w:rsidRDefault="00697BCD" w:rsidP="00697BCD">
      <w:pPr>
        <w:pStyle w:val="ListBullet"/>
      </w:pPr>
      <w:r>
        <w:t>the proportion of small customers on standard and market retail contracts</w:t>
      </w:r>
    </w:p>
    <w:p w:rsidR="00697BCD" w:rsidRDefault="00697BCD" w:rsidP="00697BCD">
      <w:pPr>
        <w:pStyle w:val="ListBullet"/>
      </w:pPr>
      <w:r>
        <w:t>customers switching between retailers (in all NEM jurisdictions)</w:t>
      </w:r>
    </w:p>
    <w:p w:rsidR="00697BCD" w:rsidRDefault="00697BCD" w:rsidP="00697BCD">
      <w:pPr>
        <w:pStyle w:val="ListBullet"/>
      </w:pPr>
      <w:proofErr w:type="gramStart"/>
      <w:r>
        <w:t>customers</w:t>
      </w:r>
      <w:proofErr w:type="gramEnd"/>
      <w:r>
        <w:t xml:space="preserve"> using prepayment meters.</w:t>
      </w:r>
    </w:p>
    <w:p w:rsidR="00697BCD" w:rsidRDefault="00697BCD" w:rsidP="000F3A56">
      <w:pPr>
        <w:pStyle w:val="Numbered11"/>
      </w:pPr>
      <w:bookmarkStart w:id="10" w:name="_Toc467665294"/>
      <w:r>
        <w:t>Retail competition</w:t>
      </w:r>
      <w:bookmarkEnd w:id="10"/>
    </w:p>
    <w:p w:rsidR="00697BCD" w:rsidRDefault="00697BCD" w:rsidP="00697BCD">
      <w:r>
        <w:t>In June 2016 the Australian Energy Market Commission (AEMC) released its 2016 Retail Competition Review</w:t>
      </w:r>
      <w:r w:rsidRPr="009D1DEC">
        <w:rPr>
          <w:rStyle w:val="Superscript"/>
        </w:rPr>
        <w:footnoteReference w:id="5"/>
      </w:r>
      <w:r>
        <w:t xml:space="preserve">. It found that: </w:t>
      </w:r>
    </w:p>
    <w:p w:rsidR="00697BCD" w:rsidRDefault="00697BCD" w:rsidP="00697BCD">
      <w:pPr>
        <w:pStyle w:val="ListBullet"/>
      </w:pPr>
      <w:proofErr w:type="gramStart"/>
      <w:r>
        <w:t>in</w:t>
      </w:r>
      <w:proofErr w:type="gramEnd"/>
      <w:r>
        <w:t xml:space="preserve"> electricity and gas markets across jurisdictions in the National Electricity Market (NEM), competition continued to be effective in most jurisdictions and is delivering benefits for customers.</w:t>
      </w:r>
    </w:p>
    <w:p w:rsidR="00697BCD" w:rsidRDefault="00697BCD" w:rsidP="00697BCD">
      <w:pPr>
        <w:pStyle w:val="ListBullet"/>
      </w:pPr>
      <w:proofErr w:type="gramStart"/>
      <w:r>
        <w:t>there</w:t>
      </w:r>
      <w:proofErr w:type="gramEnd"/>
      <w:r>
        <w:t xml:space="preserve"> is a need to make it easier for customers to access the choices available to them. This is particularly important for certain customer segments as new technology expands the range of options available in the market.</w:t>
      </w:r>
    </w:p>
    <w:p w:rsidR="00697BCD" w:rsidRDefault="00697BCD" w:rsidP="00697BCD">
      <w:pPr>
        <w:pStyle w:val="ListBullet"/>
      </w:pPr>
      <w:r>
        <w:t>competition remained effective for retail electricity and gas markets in New South Wales, Victoria and South Australia, and for the electricity market in South East Queensland. Key indicators in these markets improved or remained steady since 2014.</w:t>
      </w:r>
    </w:p>
    <w:p w:rsidR="00697BCD" w:rsidRDefault="00697BCD" w:rsidP="00697BCD">
      <w:pPr>
        <w:pStyle w:val="ListBullet"/>
      </w:pPr>
      <w:r>
        <w:t xml:space="preserve">competition was less effective for retail electricity and gas markets in the Australian Capital Territory and for retail gas markets in South East </w:t>
      </w:r>
      <w:proofErr w:type="spellStart"/>
      <w:r>
        <w:t>Queenslandand</w:t>
      </w:r>
      <w:proofErr w:type="spellEnd"/>
      <w:r>
        <w:t xml:space="preserve"> Tasmania</w:t>
      </w:r>
    </w:p>
    <w:p w:rsidR="00697BCD" w:rsidRDefault="00697BCD" w:rsidP="00697BCD">
      <w:r>
        <w:t xml:space="preserve">Figure 1.1 shows the different stages of regulatory reform in retail energy markets of Australia. </w:t>
      </w:r>
    </w:p>
    <w:p w:rsidR="00697BCD" w:rsidRDefault="00697BCD" w:rsidP="000F3A56">
      <w:pPr>
        <w:pStyle w:val="Charttitle"/>
      </w:pPr>
      <w:r>
        <w:t>Figure 1.1:</w:t>
      </w:r>
      <w:r>
        <w:tab/>
        <w:t>Stages of energy retail market reform</w:t>
      </w:r>
    </w:p>
    <w:p w:rsidR="00697BCD" w:rsidRDefault="00EC4210" w:rsidP="000F3A56">
      <w:pPr>
        <w:pStyle w:val="Charttit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eensland, Victoria and South Australia have full retail contestability and deregulated electricity and gas prices. New South Wales has full retail contestability, with deregulated electricity prices and regulated gas prices. The ACT has full retail contestability, with regulated electricity prices and deregulated gas prices. Tasmania has full retail contestability, with regulated electricity prices." style="width:448.85pt;height:173.9pt">
            <v:imagedata r:id="rId9" o:title=""/>
          </v:shape>
        </w:pict>
      </w:r>
    </w:p>
    <w:p w:rsidR="00697BCD" w:rsidRDefault="00697BCD" w:rsidP="000F3A56">
      <w:pPr>
        <w:pStyle w:val="Numbered111"/>
      </w:pPr>
      <w:bookmarkStart w:id="11" w:name="_Toc467665295"/>
      <w:r>
        <w:t>Electricity</w:t>
      </w:r>
      <w:bookmarkEnd w:id="11"/>
    </w:p>
    <w:p w:rsidR="00697BCD" w:rsidRDefault="00697BCD" w:rsidP="00697BCD">
      <w:r>
        <w:t>Figure 1.2 shows the market share held by electricity retailers in South East Queensland, South Australia, the ACT, Tasmania and New South Wales for residential and small business customers as at 30 June 2016.</w:t>
      </w:r>
    </w:p>
    <w:p w:rsidR="00697BCD" w:rsidRDefault="00697BCD" w:rsidP="000F3A56">
      <w:pPr>
        <w:pStyle w:val="Charttitle"/>
      </w:pPr>
      <w:r>
        <w:lastRenderedPageBreak/>
        <w:t>Figure 1.2:</w:t>
      </w:r>
      <w:r>
        <w:tab/>
        <w:t xml:space="preserve">Retail market share, residential and small business customers—electricity </w:t>
      </w:r>
    </w:p>
    <w:p w:rsidR="00697BCD" w:rsidRDefault="00EC4210" w:rsidP="000F3A56">
      <w:pPr>
        <w:pStyle w:val="Charttitle"/>
      </w:pPr>
      <w:r>
        <w:pict>
          <v:shape id="_x0000_i1026" type="#_x0000_t75" alt="In Queensland, Origin holds 36 per cent of small electricity customers. In South Australia, AGL holds 45 per cent of small electricity customers. In New South Wales, Energy Australia holds 21 per cent of small electricity customers. In the ACT, ActewAGL holds around 92 per cent of small electricity customers. In Tasmania, Aurora Energy holds all residential electricity customers and almost all small business electricity customers." style="width:448.85pt;height:258.1pt">
            <v:imagedata r:id="rId10" o:title=""/>
          </v:shape>
        </w:pict>
      </w:r>
    </w:p>
    <w:p w:rsidR="00697BCD" w:rsidRDefault="00697BCD" w:rsidP="00697BCD">
      <w:r>
        <w:t xml:space="preserve">Twenty retailers supply electricity to small customers in South Australia. Around 74 per cent of these customers are supplied by the ‘big three’ retailers: AGL (45 per cent), Origin Energy (20 per cent) and </w:t>
      </w:r>
      <w:proofErr w:type="spellStart"/>
      <w:r>
        <w:t>EnergyAustralia</w:t>
      </w:r>
      <w:proofErr w:type="spellEnd"/>
      <w:r>
        <w:t xml:space="preserve"> (9 per cent). </w:t>
      </w:r>
    </w:p>
    <w:p w:rsidR="00697BCD" w:rsidRDefault="00697BCD" w:rsidP="00697BCD">
      <w:r>
        <w:t xml:space="preserve">Twenty-five retailers supply electricity to small customers in New South Wales. Around 89 per cent of these customers are supplied by AGL (23 per cent), Origin Energy (36 per cent) and </w:t>
      </w:r>
      <w:proofErr w:type="spellStart"/>
      <w:r>
        <w:t>EnergyAustralia</w:t>
      </w:r>
      <w:proofErr w:type="spellEnd"/>
      <w:r>
        <w:t xml:space="preserve"> (30 per cent). </w:t>
      </w:r>
    </w:p>
    <w:p w:rsidR="00697BCD" w:rsidRDefault="00697BCD" w:rsidP="00697BCD">
      <w:r>
        <w:t>In total, 19 retailers supply electricity to small customers in the Queensland electricity market, which is split between the contestable market in SE Queensland, and the rest of Queensland (where the incumbent supplier is Ergon Energy).</w:t>
      </w:r>
    </w:p>
    <w:p w:rsidR="00697BCD" w:rsidRDefault="00697BCD" w:rsidP="00697BCD">
      <w:r>
        <w:t>Origin (36 per cent) and AGL (18 per cent) supply over half of Queensland customers. Ergon supplies 33 per cent of customers in Queensland.</w:t>
      </w:r>
    </w:p>
    <w:p w:rsidR="00697BCD" w:rsidRDefault="00697BCD" w:rsidP="00697BCD">
      <w:proofErr w:type="spellStart"/>
      <w:r>
        <w:t>ActewAGL</w:t>
      </w:r>
      <w:proofErr w:type="spellEnd"/>
      <w:r>
        <w:t xml:space="preserve"> remains the dominant retailer for small customers in the ACT, supplying 92 per cent of small customers. However, there are signs that competition is increasing—with Origin Energy entering the market in September 2014 there are now three retailers selling to residential customers in the ACT and </w:t>
      </w:r>
      <w:proofErr w:type="spellStart"/>
      <w:r>
        <w:t>ActewAGL’s</w:t>
      </w:r>
      <w:proofErr w:type="spellEnd"/>
      <w:r>
        <w:t xml:space="preserve"> market share fell by 3 per cent over 2015–16.</w:t>
      </w:r>
    </w:p>
    <w:p w:rsidR="00697BCD" w:rsidRDefault="00697BCD" w:rsidP="00697BCD">
      <w:r>
        <w:t xml:space="preserve">The Tasmanian Government-owned incumbent, Aurora Energy, sells electricity to all residential customers and almost all small business customers in the state. </w:t>
      </w:r>
    </w:p>
    <w:p w:rsidR="00697BCD" w:rsidRDefault="00697BCD" w:rsidP="00697BCD">
      <w:pPr>
        <w:rPr>
          <w:rStyle w:val="Superscript"/>
        </w:rPr>
      </w:pPr>
      <w:r>
        <w:t>In 2015–16, there were five new retail electricity market entrants in New South Wales, five in Victoria, and two in South Australia and South East Queensland.</w:t>
      </w:r>
      <w:r w:rsidRPr="009D1DEC">
        <w:rPr>
          <w:rStyle w:val="Superscript"/>
        </w:rPr>
        <w:footnoteReference w:id="6"/>
      </w:r>
    </w:p>
    <w:p w:rsidR="00697BCD" w:rsidRDefault="00697BCD" w:rsidP="000F3A56">
      <w:pPr>
        <w:pStyle w:val="Numbered111"/>
      </w:pPr>
      <w:bookmarkStart w:id="12" w:name="_Toc467665296"/>
      <w:r>
        <w:t>Gas</w:t>
      </w:r>
      <w:bookmarkEnd w:id="12"/>
    </w:p>
    <w:p w:rsidR="00697BCD" w:rsidRDefault="00697BCD" w:rsidP="00697BCD">
      <w:r>
        <w:t xml:space="preserve">The availability and uptake of gas varies across jurisdictions. In the ACT, 72 per cent of households are also supplied with gas. Around 54 per cent of households in South Australia and </w:t>
      </w:r>
      <w:r>
        <w:lastRenderedPageBreak/>
        <w:t>41 per cent in New South Wales are supplied with gas. It is estimated that fewer than 5 per cent of households in Tasmania are supplied with gas.</w:t>
      </w:r>
    </w:p>
    <w:p w:rsidR="00697BCD" w:rsidRDefault="00697BCD" w:rsidP="00697BCD">
      <w:r>
        <w:t xml:space="preserve">Figure 1.3 shows the market share held by gas retailers in South Australia, the ACT and New South Wales as at 30 June 2016. </w:t>
      </w:r>
    </w:p>
    <w:p w:rsidR="00697BCD" w:rsidRDefault="00697BCD" w:rsidP="00697BCD">
      <w:r>
        <w:t xml:space="preserve">Six retailers supply gas to small customers in South Australia. Around 87 per cent of customers are supplied by the big three retailers, with the remaining 13 per cent supplied by </w:t>
      </w:r>
      <w:proofErr w:type="spellStart"/>
      <w:r>
        <w:t>Alinta</w:t>
      </w:r>
      <w:proofErr w:type="spellEnd"/>
      <w:r>
        <w:t xml:space="preserve"> Energy and Simply Energy.</w:t>
      </w:r>
    </w:p>
    <w:p w:rsidR="00697BCD" w:rsidRDefault="00697BCD" w:rsidP="00697BCD">
      <w:r>
        <w:t xml:space="preserve">Eight retailers supply gas to small customers in New South Wales. Despite the number of retailers, the big three retailers collectively supply 96 per cent of all small customers. </w:t>
      </w:r>
    </w:p>
    <w:p w:rsidR="00697BCD" w:rsidRDefault="00697BCD" w:rsidP="00697BCD">
      <w:r>
        <w:t>Three retailers supply gas to small customers in Queensland. Of these, two big retailers supply almost all customers. These are AGL (41 per cent) and Origin (56 per cent).</w:t>
      </w:r>
    </w:p>
    <w:p w:rsidR="00697BCD" w:rsidRDefault="00697BCD" w:rsidP="00697BCD">
      <w:r>
        <w:t xml:space="preserve">As with the electricity market, </w:t>
      </w:r>
      <w:proofErr w:type="spellStart"/>
      <w:r>
        <w:t>ActewAGL</w:t>
      </w:r>
      <w:proofErr w:type="spellEnd"/>
      <w:r>
        <w:t xml:space="preserve"> is the main retailer of gas for customers in the ACT.</w:t>
      </w:r>
    </w:p>
    <w:p w:rsidR="00697BCD" w:rsidRDefault="00697BCD" w:rsidP="000F3A56">
      <w:pPr>
        <w:pStyle w:val="Charttitle"/>
      </w:pPr>
      <w:r>
        <w:t>Figure 1.3:</w:t>
      </w:r>
      <w:r>
        <w:tab/>
        <w:t xml:space="preserve">Retail market share, residential and small business customers—gas </w:t>
      </w:r>
    </w:p>
    <w:p w:rsidR="00697BCD" w:rsidRDefault="00EC4210" w:rsidP="000F3A56">
      <w:pPr>
        <w:pStyle w:val="Charttitle"/>
      </w:pPr>
      <w:r>
        <w:pict>
          <v:shape id="_x0000_i1027" type="#_x0000_t75" alt="In Queensland, AGL holds 41 per cent of small gas customers. In South Australia, Origin Energy holds 43 per cent of residential gas customers and 63 per cent of small business gas customers. In New South Wales, AGL holds 52 per cent of residential gas customers and 51 per cent of small business gas customers. In the ACT, ActewAGL holds around 93 per cent of residential gas customers." style="width:449.75pt;height:183.25pt">
            <v:imagedata r:id="rId11" o:title=""/>
          </v:shape>
        </w:pict>
      </w:r>
    </w:p>
    <w:p w:rsidR="00697BCD" w:rsidRDefault="00697BCD" w:rsidP="000F3A56">
      <w:pPr>
        <w:pStyle w:val="Numbered11"/>
      </w:pPr>
      <w:bookmarkStart w:id="13" w:name="_Toc467665297"/>
      <w:r>
        <w:t>Standard and market retail contracts</w:t>
      </w:r>
      <w:bookmarkEnd w:id="13"/>
    </w:p>
    <w:p w:rsidR="00697BCD" w:rsidRDefault="00697BCD" w:rsidP="00697BCD">
      <w:r>
        <w:t xml:space="preserve">Standard retail contracts (standing offers) are basic contracts with prescribed terms and conditions that cannot be varied by the retailer. In some jurisdictions, these contracts have regulated prices (figure 1.1). They provide a full suite of protections to customers and do not have a fixed contract term. Standing offer tariffs are generally higher than those offered under market retail contracts. </w:t>
      </w:r>
    </w:p>
    <w:p w:rsidR="00697BCD" w:rsidRDefault="00697BCD" w:rsidP="00697BCD">
      <w:r>
        <w:t>Market retail contracts permit retailers to tailor the terms and conditions, subject to minimum requirements. Under market contracts retailers can shape their different energy offers through:</w:t>
      </w:r>
    </w:p>
    <w:p w:rsidR="00697BCD" w:rsidRDefault="00697BCD" w:rsidP="00697BCD">
      <w:pPr>
        <w:pStyle w:val="ListBullet"/>
      </w:pPr>
      <w:r>
        <w:t>discounted prices</w:t>
      </w:r>
    </w:p>
    <w:p w:rsidR="00697BCD" w:rsidRDefault="00697BCD" w:rsidP="00697BCD">
      <w:pPr>
        <w:pStyle w:val="ListBullet"/>
      </w:pPr>
      <w:r>
        <w:t>non-price incentives</w:t>
      </w:r>
    </w:p>
    <w:p w:rsidR="00697BCD" w:rsidRDefault="00697BCD" w:rsidP="00697BCD">
      <w:pPr>
        <w:pStyle w:val="ListBullet"/>
      </w:pPr>
      <w:r>
        <w:t>different billing periods</w:t>
      </w:r>
    </w:p>
    <w:p w:rsidR="00697BCD" w:rsidRDefault="00697BCD" w:rsidP="00697BCD">
      <w:pPr>
        <w:pStyle w:val="ListBullet"/>
      </w:pPr>
      <w:r>
        <w:t>different payment options</w:t>
      </w:r>
    </w:p>
    <w:p w:rsidR="00697BCD" w:rsidRDefault="00697BCD" w:rsidP="00697BCD">
      <w:pPr>
        <w:pStyle w:val="ListBullet"/>
      </w:pPr>
      <w:r>
        <w:t>fixed term durations</w:t>
      </w:r>
    </w:p>
    <w:p w:rsidR="00697BCD" w:rsidRDefault="00697BCD" w:rsidP="00697BCD">
      <w:pPr>
        <w:pStyle w:val="ListBullet"/>
      </w:pPr>
      <w:proofErr w:type="gramStart"/>
      <w:r>
        <w:t>fees</w:t>
      </w:r>
      <w:proofErr w:type="gramEnd"/>
      <w:r>
        <w:t xml:space="preserve"> and charges, such as establishment or exit fees.</w:t>
      </w:r>
    </w:p>
    <w:p w:rsidR="00697BCD" w:rsidRDefault="00697BCD" w:rsidP="00697BCD">
      <w:r>
        <w:t xml:space="preserve">Market retail contracts also include renewable energy contracts (such as solar power). </w:t>
      </w:r>
    </w:p>
    <w:p w:rsidR="00697BCD" w:rsidRDefault="00697BCD" w:rsidP="00697BCD">
      <w:r>
        <w:lastRenderedPageBreak/>
        <w:t>At the end of June 2016, 49 per cent of Queensland electricity small customers were on market contracts, with around 1 064 181 remaining on standard contracts. A higher proportion of gas small customers (68 per cent) were on market contracts.</w:t>
      </w:r>
    </w:p>
    <w:p w:rsidR="00697BCD" w:rsidRDefault="00697BCD" w:rsidP="00697BCD">
      <w:r>
        <w:t xml:space="preserve">New South Wales electricity customers made a shift away from standard contracts during 2015–16. At the end of June 2016, 74 per cent of electricity customers were on market retail contracts—an increase of 5 per cent from the previous year. There remain around 870 000 small electricity customers on standard retail contracts in New South Wales, most of which are customers of the incumbent (pre-privatisation) retailers Origin Energy (481 000 customers) and </w:t>
      </w:r>
      <w:proofErr w:type="spellStart"/>
      <w:r>
        <w:t>EnergyAustralia</w:t>
      </w:r>
      <w:proofErr w:type="spellEnd"/>
      <w:r>
        <w:t xml:space="preserve"> (318 000 customers).</w:t>
      </w:r>
    </w:p>
    <w:p w:rsidR="00697BCD" w:rsidRDefault="00697BCD" w:rsidP="00697BCD">
      <w:r>
        <w:t>At the end of June 2016, 80 per cent of gas customers in New South Wales were on market retail contracts, an increase of 4 per cent. New South Wales gas consumers can choose standard retail contacts with regulated prices.</w:t>
      </w:r>
    </w:p>
    <w:p w:rsidR="00697BCD" w:rsidRDefault="00697BCD" w:rsidP="00697BCD">
      <w:r>
        <w:t>Following deregulation of electricity prices in New South Wales on 1 July 2014, there is evidence of new retailer entry, declines in market concentration and an expanded range of offers. However, the full impact of deregulating retail electricity prices on competition is likely to become clearer over the long term, as it will take time for retailers and customers to respond to new opportunities.</w:t>
      </w:r>
      <w:r w:rsidRPr="009D1DEC">
        <w:rPr>
          <w:rStyle w:val="Superscript"/>
        </w:rPr>
        <w:footnoteReference w:id="7"/>
      </w:r>
      <w:r>
        <w:t xml:space="preserve"> Gas prices in New South Wales are still regulated by the Independent Pricing and Regulatory Tribunal (IPART).</w:t>
      </w:r>
    </w:p>
    <w:p w:rsidR="00697BCD" w:rsidRDefault="00697BCD" w:rsidP="00697BCD">
      <w:r>
        <w:t xml:space="preserve">In South Australia a high proportion of customers are on market retail contracts (85 per cent of electricity customers and 85 per cent of gas customers) and this figure increased slightly over 2015–16. The majority of electricity customers who remain on standard contracts are those of the local area retailer AGL (123 000 customers). </w:t>
      </w:r>
    </w:p>
    <w:p w:rsidR="00697BCD" w:rsidRDefault="00697BCD" w:rsidP="00697BCD">
      <w:r>
        <w:t>In the ACT most small customers are on standard retail contracts (76 per cent of electricity customers and 73 per cent of gas customers). Despite Origin Energy’s entry into the retail market in 2014–15 causing an initial increase in customers on market contracts, these figures remained static over 2015–16.</w:t>
      </w:r>
    </w:p>
    <w:p w:rsidR="00697BCD" w:rsidRDefault="00697BCD" w:rsidP="00697BCD">
      <w:r>
        <w:t xml:space="preserve">There is still a lack of choice for small customers in Tasmania, despite the introduction of full retail competition on 1 July 2014. 88 per cent of small customers remain on standard retail contracts with Aurora Energy, at the regulated prices approved by the Tasmanian Economic Regulator. </w:t>
      </w:r>
    </w:p>
    <w:p w:rsidR="00697BCD" w:rsidRDefault="00697BCD" w:rsidP="00697BCD">
      <w:r>
        <w:t xml:space="preserve">The remaining 12 per cent of customers (around 27 000 residential customers) use prepayment meters (PAYG systems) to purchase electricity, however this number is decreasing as no new PAYG systems are being installed. </w:t>
      </w:r>
    </w:p>
    <w:p w:rsidR="00697BCD" w:rsidRDefault="00697BCD" w:rsidP="00697BCD">
      <w:r>
        <w:t>Figure 1.4 compares the proportions of customers on standard and market retail contracts in Queensland (including regional Queensland), New South Wales, South Australia, Tasmania and the ACT.</w:t>
      </w:r>
    </w:p>
    <w:p w:rsidR="00697BCD" w:rsidRDefault="00697BCD" w:rsidP="000F3A56">
      <w:pPr>
        <w:pStyle w:val="Charttitle"/>
      </w:pPr>
      <w:r>
        <w:lastRenderedPageBreak/>
        <w:t>Figure 1.4:</w:t>
      </w:r>
      <w:r>
        <w:tab/>
        <w:t xml:space="preserve">Small customers on standard and market retail contracts—by jurisdiction </w:t>
      </w:r>
    </w:p>
    <w:p w:rsidR="00697BCD" w:rsidRDefault="00EC4210" w:rsidP="000F3A56">
      <w:pPr>
        <w:pStyle w:val="Charttitle"/>
      </w:pPr>
      <w:r>
        <w:pict>
          <v:shape id="_x0000_i1028" type="#_x0000_t75" alt="In Queensland, 49% of electricity customers and 68% of gas customers are on market retail contracts. In New South Wales, 74 per cent of electricity customers and 80 per cent of gas customers are on market retail contracts. In South Australia, 85 per cent of electricity customers and 85 per cent of gas customers are on market retail contracts. In Tasmania, 88 per cent of customers are on standard retail contracts. In the ACT, 76 per cent of electricity customers and 73 per cent of gas customers are on standard retail contracts." style="width:449.75pt;height:200.1pt">
            <v:imagedata r:id="rId12" o:title=""/>
          </v:shape>
        </w:pict>
      </w:r>
    </w:p>
    <w:p w:rsidR="00EB51D5" w:rsidRPr="00391B03" w:rsidRDefault="00EB51D5">
      <w:pPr>
        <w:rPr>
          <w:rFonts w:eastAsia="Times New Roman" w:cs="Arial"/>
          <w:bCs/>
          <w:color w:val="51626F"/>
          <w:sz w:val="28"/>
          <w:szCs w:val="26"/>
        </w:rPr>
      </w:pPr>
    </w:p>
    <w:p w:rsidR="00697BCD" w:rsidRDefault="00697BCD" w:rsidP="000F3A56">
      <w:pPr>
        <w:pStyle w:val="Numbered11"/>
      </w:pPr>
      <w:bookmarkStart w:id="14" w:name="_Toc467665298"/>
      <w:r>
        <w:t>Customer switching rates</w:t>
      </w:r>
      <w:bookmarkEnd w:id="14"/>
    </w:p>
    <w:p w:rsidR="00697BCD" w:rsidRDefault="00697BCD" w:rsidP="00697BCD">
      <w:r>
        <w:t>The rate at which customers switch their energy retailer is an indication of customer participation in the retail market, but does not necessarily indicate the level of competition in a particular market. For example, if customer satisfaction is high there may be less incentive to switch, even in competitive markets. In addition, switching statistics exclude customers who switch between contracts with their current retailer.</w:t>
      </w:r>
    </w:p>
    <w:p w:rsidR="00697BCD" w:rsidRDefault="00697BCD" w:rsidP="00697BCD">
      <w:r>
        <w:t>Figures 1.5 and 1.6 show the percentage of electricity and gas customers (respectively) that switched retailers over the past six years in Queensland, New South Wales, Victoria and South Australia.</w:t>
      </w:r>
      <w:r w:rsidRPr="009D1DEC">
        <w:rPr>
          <w:rStyle w:val="Superscript"/>
        </w:rPr>
        <w:footnoteReference w:id="8"/>
      </w:r>
      <w:r>
        <w:t xml:space="preserve"> Switching rates were flat or declined across these states in 2015–16. </w:t>
      </w:r>
    </w:p>
    <w:p w:rsidR="00EC4210" w:rsidRDefault="00EC4210" w:rsidP="00697BCD"/>
    <w:tbl>
      <w:tblPr>
        <w:tblW w:w="0" w:type="auto"/>
        <w:tblInd w:w="170" w:type="dxa"/>
        <w:tblLayout w:type="fixed"/>
        <w:tblCellMar>
          <w:left w:w="0" w:type="dxa"/>
          <w:right w:w="0" w:type="dxa"/>
        </w:tblCellMar>
        <w:tblLook w:val="0000" w:firstRow="0" w:lastRow="0" w:firstColumn="0" w:lastColumn="0" w:noHBand="0" w:noVBand="0"/>
      </w:tblPr>
      <w:tblGrid>
        <w:gridCol w:w="8931"/>
      </w:tblGrid>
      <w:tr w:rsidR="00697BCD" w:rsidRPr="00391B03" w:rsidTr="00EB51D5">
        <w:trPr>
          <w:trHeight w:val="60"/>
        </w:trPr>
        <w:tc>
          <w:tcPr>
            <w:tcW w:w="8931" w:type="dxa"/>
            <w:tcBorders>
              <w:top w:val="single" w:sz="6" w:space="0" w:color="auto"/>
              <w:left w:val="single" w:sz="6" w:space="0" w:color="auto"/>
              <w:bottom w:val="single" w:sz="6" w:space="0" w:color="auto"/>
              <w:right w:val="single" w:sz="6" w:space="0" w:color="auto"/>
            </w:tcBorders>
            <w:shd w:val="solid" w:color="BEB3A9" w:fill="auto"/>
            <w:tcMar>
              <w:top w:w="170" w:type="dxa"/>
              <w:left w:w="170" w:type="dxa"/>
              <w:bottom w:w="170" w:type="dxa"/>
              <w:right w:w="170" w:type="dxa"/>
            </w:tcMar>
          </w:tcPr>
          <w:p w:rsidR="00697BCD" w:rsidRPr="00391B03" w:rsidRDefault="00697BCD" w:rsidP="000F3A56">
            <w:pPr>
              <w:pStyle w:val="Heading3"/>
            </w:pPr>
            <w:bookmarkStart w:id="15" w:name="_Toc467665299"/>
            <w:r w:rsidRPr="00391B03">
              <w:t>Generally available offers in Energy Made Easy</w:t>
            </w:r>
            <w:bookmarkEnd w:id="15"/>
            <w:r w:rsidRPr="00391B03">
              <w:t xml:space="preserve"> </w:t>
            </w:r>
          </w:p>
          <w:p w:rsidR="00697BCD" w:rsidRPr="00391B03" w:rsidRDefault="00697BCD" w:rsidP="00697BCD">
            <w:r w:rsidRPr="00391B03">
              <w:t>Energy retailers are required to submit their generally available offers to us for publication on our Energy Made Easy comparator website (</w:t>
            </w:r>
            <w:hyperlink r:id="rId13" w:history="1">
              <w:r w:rsidRPr="00391B03">
                <w:t>www.energymadeeasy.gov.au</w:t>
              </w:r>
            </w:hyperlink>
            <w:r w:rsidRPr="00391B03">
              <w:t xml:space="preserve">). </w:t>
            </w:r>
          </w:p>
          <w:p w:rsidR="00697BCD" w:rsidRPr="00391B03" w:rsidRDefault="00697BCD" w:rsidP="00697BCD">
            <w:r w:rsidRPr="00391B03">
              <w:t>Table1.1 provides a snapshot of the offers of the number of generally available contracts offered by fuel type and customer segment that were in Energy Made Easy at the end of June 2016. It should be noted that the figures below are an aggregate of contracts that were available in all the gas and electricity zones in each jurisdiction, and do not capture special offers that were available to particular customers.</w:t>
            </w:r>
          </w:p>
        </w:tc>
      </w:tr>
    </w:tbl>
    <w:p w:rsidR="00697BCD" w:rsidRDefault="00697BCD" w:rsidP="009E6D87"/>
    <w:p w:rsidR="00EC4210" w:rsidRDefault="00EC4210" w:rsidP="009E6D87"/>
    <w:p w:rsidR="00697BCD" w:rsidRDefault="00697BCD" w:rsidP="00697BCD">
      <w:pPr>
        <w:pStyle w:val="Tabletitle"/>
      </w:pPr>
      <w:r>
        <w:t>Table 1.1:</w:t>
      </w:r>
      <w:r>
        <w:tab/>
        <w:t>Generally available offers in Energy Made Easy as at 30 June 2016</w:t>
      </w:r>
    </w:p>
    <w:tbl>
      <w:tblPr>
        <w:tblW w:w="5000" w:type="pct"/>
        <w:tblLook w:val="0000" w:firstRow="0" w:lastRow="0" w:firstColumn="0" w:lastColumn="0" w:noHBand="0" w:noVBand="0"/>
      </w:tblPr>
      <w:tblGrid>
        <w:gridCol w:w="1713"/>
        <w:gridCol w:w="2639"/>
        <w:gridCol w:w="2638"/>
        <w:gridCol w:w="2638"/>
      </w:tblGrid>
      <w:tr w:rsidR="00697BCD" w:rsidRPr="00391B03" w:rsidTr="00EB51D5">
        <w:trPr>
          <w:trHeight w:val="60"/>
        </w:trPr>
        <w:tc>
          <w:tcPr>
            <w:tcW w:w="889" w:type="pct"/>
          </w:tcPr>
          <w:p w:rsidR="00697BCD" w:rsidRPr="00391B03" w:rsidRDefault="00697BCD" w:rsidP="006B1E9F">
            <w:pPr>
              <w:pStyle w:val="TableHeading"/>
            </w:pPr>
            <w:r w:rsidRPr="00391B03">
              <w:t>Jurisdiction</w:t>
            </w:r>
          </w:p>
        </w:tc>
        <w:tc>
          <w:tcPr>
            <w:tcW w:w="1370" w:type="pct"/>
          </w:tcPr>
          <w:p w:rsidR="00697BCD" w:rsidRPr="00391B03" w:rsidRDefault="00697BCD" w:rsidP="006B1E9F">
            <w:pPr>
              <w:pStyle w:val="TableHeading"/>
            </w:pPr>
            <w:r w:rsidRPr="00391B03">
              <w:t>Fuel type</w:t>
            </w:r>
          </w:p>
        </w:tc>
        <w:tc>
          <w:tcPr>
            <w:tcW w:w="1370" w:type="pct"/>
          </w:tcPr>
          <w:p w:rsidR="00697BCD" w:rsidRPr="00391B03" w:rsidRDefault="00697BCD" w:rsidP="006B1E9F">
            <w:pPr>
              <w:pStyle w:val="TableHeading"/>
            </w:pPr>
            <w:r w:rsidRPr="00391B03">
              <w:t>Residential</w:t>
            </w:r>
          </w:p>
        </w:tc>
        <w:tc>
          <w:tcPr>
            <w:tcW w:w="1370" w:type="pct"/>
          </w:tcPr>
          <w:p w:rsidR="00697BCD" w:rsidRPr="00391B03" w:rsidRDefault="00697BCD" w:rsidP="006B1E9F">
            <w:pPr>
              <w:pStyle w:val="TableHeading"/>
            </w:pPr>
            <w:r w:rsidRPr="00391B03">
              <w:t>Small business</w:t>
            </w:r>
          </w:p>
        </w:tc>
      </w:tr>
      <w:tr w:rsidR="00697BCD" w:rsidRPr="00391B03" w:rsidTr="00EB51D5">
        <w:trPr>
          <w:trHeight w:val="60"/>
        </w:trPr>
        <w:tc>
          <w:tcPr>
            <w:tcW w:w="889" w:type="pct"/>
          </w:tcPr>
          <w:p w:rsidR="00697BCD" w:rsidRPr="00391B03" w:rsidRDefault="00697BCD" w:rsidP="00624E11">
            <w:pPr>
              <w:pStyle w:val="Tabletext"/>
            </w:pPr>
            <w:r w:rsidRPr="00391B03">
              <w:t>Queensland</w:t>
            </w:r>
          </w:p>
        </w:tc>
        <w:tc>
          <w:tcPr>
            <w:tcW w:w="1370" w:type="pct"/>
          </w:tcPr>
          <w:p w:rsidR="00697BCD" w:rsidRPr="00391B03" w:rsidRDefault="00697BCD" w:rsidP="00624E11">
            <w:pPr>
              <w:pStyle w:val="Tabletext"/>
            </w:pPr>
            <w:r w:rsidRPr="00391B03">
              <w:t>Electricity (2 distribution zones)</w:t>
            </w:r>
          </w:p>
        </w:tc>
        <w:tc>
          <w:tcPr>
            <w:tcW w:w="1370" w:type="pct"/>
          </w:tcPr>
          <w:p w:rsidR="00697BCD" w:rsidRPr="00391B03" w:rsidRDefault="00697BCD" w:rsidP="00624E11">
            <w:pPr>
              <w:pStyle w:val="Tabletext"/>
            </w:pPr>
            <w:r w:rsidRPr="00391B03">
              <w:t>120 Market</w:t>
            </w:r>
          </w:p>
          <w:p w:rsidR="00697BCD" w:rsidRPr="00391B03" w:rsidRDefault="00697BCD" w:rsidP="00624E11">
            <w:pPr>
              <w:pStyle w:val="Tabletext"/>
            </w:pPr>
            <w:r w:rsidRPr="00391B03">
              <w:t>51 Standard</w:t>
            </w:r>
          </w:p>
          <w:p w:rsidR="00697BCD" w:rsidRPr="00391B03" w:rsidRDefault="00697BCD" w:rsidP="00624E11">
            <w:pPr>
              <w:pStyle w:val="Tabletext"/>
            </w:pPr>
            <w:r w:rsidRPr="00391B03">
              <w:t>16 Regulated</w:t>
            </w:r>
          </w:p>
        </w:tc>
        <w:tc>
          <w:tcPr>
            <w:tcW w:w="1370" w:type="pct"/>
          </w:tcPr>
          <w:p w:rsidR="00697BCD" w:rsidRPr="00391B03" w:rsidRDefault="00697BCD" w:rsidP="00624E11">
            <w:pPr>
              <w:pStyle w:val="Tabletext"/>
            </w:pPr>
            <w:r w:rsidRPr="00391B03">
              <w:t>85 Market</w:t>
            </w:r>
          </w:p>
          <w:p w:rsidR="00697BCD" w:rsidRPr="00391B03" w:rsidRDefault="00697BCD" w:rsidP="00624E11">
            <w:pPr>
              <w:pStyle w:val="Tabletext"/>
            </w:pPr>
            <w:r w:rsidRPr="00391B03">
              <w:t>47 Standard</w:t>
            </w:r>
          </w:p>
          <w:p w:rsidR="00697BCD" w:rsidRPr="00391B03" w:rsidRDefault="00697BCD" w:rsidP="00624E11">
            <w:pPr>
              <w:pStyle w:val="Tabletext"/>
            </w:pPr>
            <w:r w:rsidRPr="00391B03">
              <w:t>30 Regulated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Gas (2 distribution zones)</w:t>
            </w:r>
          </w:p>
        </w:tc>
        <w:tc>
          <w:tcPr>
            <w:tcW w:w="1370" w:type="pct"/>
          </w:tcPr>
          <w:p w:rsidR="00697BCD" w:rsidRPr="00391B03" w:rsidRDefault="00697BCD" w:rsidP="00624E11">
            <w:pPr>
              <w:pStyle w:val="Tabletext"/>
            </w:pPr>
            <w:r w:rsidRPr="00391B03">
              <w:t>18 Market</w:t>
            </w:r>
          </w:p>
          <w:p w:rsidR="00697BCD" w:rsidRPr="00391B03" w:rsidRDefault="00697BCD" w:rsidP="00624E11">
            <w:pPr>
              <w:pStyle w:val="Tabletext"/>
            </w:pPr>
            <w:r w:rsidRPr="00391B03">
              <w:t>6 Standard</w:t>
            </w:r>
          </w:p>
        </w:tc>
        <w:tc>
          <w:tcPr>
            <w:tcW w:w="1370" w:type="pct"/>
          </w:tcPr>
          <w:p w:rsidR="00697BCD" w:rsidRPr="00391B03" w:rsidRDefault="00697BCD" w:rsidP="00624E11">
            <w:pPr>
              <w:pStyle w:val="Tabletext"/>
            </w:pPr>
            <w:r w:rsidRPr="00391B03">
              <w:t>18 Market</w:t>
            </w:r>
          </w:p>
          <w:p w:rsidR="00697BCD" w:rsidRPr="00391B03" w:rsidRDefault="00697BCD" w:rsidP="00624E11">
            <w:pPr>
              <w:pStyle w:val="Tabletext"/>
            </w:pPr>
            <w:r w:rsidRPr="00391B03">
              <w:t>6 Standard</w:t>
            </w:r>
          </w:p>
        </w:tc>
      </w:tr>
      <w:tr w:rsidR="00697BCD" w:rsidRPr="00391B03" w:rsidTr="00EB51D5">
        <w:trPr>
          <w:trHeight w:val="60"/>
        </w:trPr>
        <w:tc>
          <w:tcPr>
            <w:tcW w:w="889" w:type="pct"/>
          </w:tcPr>
          <w:p w:rsidR="00697BCD" w:rsidRPr="00391B03" w:rsidRDefault="00697BCD" w:rsidP="00624E11">
            <w:pPr>
              <w:pStyle w:val="Tabletext"/>
            </w:pPr>
            <w:r w:rsidRPr="00391B03">
              <w:t>New South Wales</w:t>
            </w:r>
          </w:p>
        </w:tc>
        <w:tc>
          <w:tcPr>
            <w:tcW w:w="1370" w:type="pct"/>
          </w:tcPr>
          <w:p w:rsidR="00697BCD" w:rsidRPr="00391B03" w:rsidRDefault="00697BCD" w:rsidP="00624E11">
            <w:pPr>
              <w:pStyle w:val="Tabletext"/>
            </w:pPr>
            <w:r w:rsidRPr="00391B03">
              <w:t xml:space="preserve">Electricity (3 distribution zones) </w:t>
            </w:r>
          </w:p>
        </w:tc>
        <w:tc>
          <w:tcPr>
            <w:tcW w:w="1370" w:type="pct"/>
          </w:tcPr>
          <w:p w:rsidR="00697BCD" w:rsidRPr="00391B03" w:rsidRDefault="00697BCD" w:rsidP="00624E11">
            <w:pPr>
              <w:pStyle w:val="Tabletext"/>
            </w:pPr>
            <w:r w:rsidRPr="00391B03">
              <w:t>757 Market</w:t>
            </w:r>
          </w:p>
          <w:p w:rsidR="00697BCD" w:rsidRPr="00391B03" w:rsidRDefault="00697BCD" w:rsidP="00624E11">
            <w:pPr>
              <w:pStyle w:val="Tabletext"/>
            </w:pPr>
            <w:r w:rsidRPr="00391B03">
              <w:t>372 Standard</w:t>
            </w:r>
          </w:p>
        </w:tc>
        <w:tc>
          <w:tcPr>
            <w:tcW w:w="1370" w:type="pct"/>
          </w:tcPr>
          <w:p w:rsidR="00697BCD" w:rsidRPr="00391B03" w:rsidRDefault="00697BCD" w:rsidP="00624E11">
            <w:pPr>
              <w:pStyle w:val="Tabletext"/>
            </w:pPr>
            <w:r w:rsidRPr="00391B03">
              <w:t>661 Market</w:t>
            </w:r>
          </w:p>
          <w:p w:rsidR="00697BCD" w:rsidRPr="00391B03" w:rsidRDefault="00697BCD" w:rsidP="00624E11">
            <w:pPr>
              <w:pStyle w:val="Tabletext"/>
            </w:pPr>
            <w:r w:rsidRPr="00391B03">
              <w:t>346 Standard</w:t>
            </w:r>
          </w:p>
          <w:p w:rsidR="00697BCD" w:rsidRPr="00391B03" w:rsidRDefault="00697BCD" w:rsidP="00624E11">
            <w:pPr>
              <w:pStyle w:val="Tabletext"/>
            </w:pPr>
            <w:r w:rsidRPr="00391B03">
              <w:t>2 Regulated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Gas (6 distribution zones)</w:t>
            </w:r>
          </w:p>
        </w:tc>
        <w:tc>
          <w:tcPr>
            <w:tcW w:w="1370" w:type="pct"/>
          </w:tcPr>
          <w:p w:rsidR="00697BCD" w:rsidRPr="00391B03" w:rsidRDefault="00697BCD" w:rsidP="00624E11">
            <w:pPr>
              <w:pStyle w:val="Tabletext"/>
            </w:pPr>
            <w:r w:rsidRPr="00391B03">
              <w:t>70 Market</w:t>
            </w:r>
          </w:p>
          <w:p w:rsidR="00697BCD" w:rsidRPr="00391B03" w:rsidRDefault="00697BCD" w:rsidP="00624E11">
            <w:pPr>
              <w:pStyle w:val="Tabletext"/>
            </w:pPr>
            <w:r w:rsidRPr="00391B03">
              <w:t>15 Standard</w:t>
            </w:r>
          </w:p>
          <w:p w:rsidR="00697BCD" w:rsidRPr="00391B03" w:rsidRDefault="00697BCD" w:rsidP="00624E11">
            <w:pPr>
              <w:pStyle w:val="Tabletext"/>
            </w:pPr>
            <w:r w:rsidRPr="00391B03">
              <w:t>10 Regulated</w:t>
            </w:r>
          </w:p>
        </w:tc>
        <w:tc>
          <w:tcPr>
            <w:tcW w:w="1370" w:type="pct"/>
          </w:tcPr>
          <w:p w:rsidR="00697BCD" w:rsidRPr="00391B03" w:rsidRDefault="00697BCD" w:rsidP="00624E11">
            <w:pPr>
              <w:pStyle w:val="Tabletext"/>
            </w:pPr>
            <w:r w:rsidRPr="00391B03">
              <w:t>69 Market</w:t>
            </w:r>
          </w:p>
          <w:p w:rsidR="00697BCD" w:rsidRPr="00391B03" w:rsidRDefault="00697BCD" w:rsidP="00624E11">
            <w:pPr>
              <w:pStyle w:val="Tabletext"/>
            </w:pPr>
            <w:r w:rsidRPr="00391B03">
              <w:t>13 Standard</w:t>
            </w:r>
          </w:p>
          <w:p w:rsidR="00697BCD" w:rsidRPr="00391B03" w:rsidRDefault="00697BCD" w:rsidP="00624E11">
            <w:pPr>
              <w:pStyle w:val="Tabletext"/>
            </w:pPr>
            <w:r w:rsidRPr="00391B03">
              <w:t>10 Regulated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 xml:space="preserve">Dual </w:t>
            </w:r>
          </w:p>
        </w:tc>
        <w:tc>
          <w:tcPr>
            <w:tcW w:w="1370" w:type="pct"/>
          </w:tcPr>
          <w:p w:rsidR="00697BCD" w:rsidRPr="00391B03" w:rsidRDefault="00697BCD" w:rsidP="00624E11">
            <w:pPr>
              <w:pStyle w:val="Tabletext"/>
            </w:pPr>
            <w:r w:rsidRPr="00391B03">
              <w:t>21 Market</w:t>
            </w:r>
          </w:p>
        </w:tc>
        <w:tc>
          <w:tcPr>
            <w:tcW w:w="1370"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r>
      <w:tr w:rsidR="00697BCD" w:rsidRPr="00391B03" w:rsidTr="00EB51D5">
        <w:trPr>
          <w:trHeight w:val="60"/>
        </w:trPr>
        <w:tc>
          <w:tcPr>
            <w:tcW w:w="889" w:type="pct"/>
          </w:tcPr>
          <w:p w:rsidR="00697BCD" w:rsidRPr="00391B03" w:rsidRDefault="00697BCD" w:rsidP="00624E11">
            <w:pPr>
              <w:pStyle w:val="Tabletext"/>
            </w:pPr>
            <w:r w:rsidRPr="00391B03">
              <w:t>South Australia</w:t>
            </w:r>
          </w:p>
        </w:tc>
        <w:tc>
          <w:tcPr>
            <w:tcW w:w="1370" w:type="pct"/>
          </w:tcPr>
          <w:p w:rsidR="00697BCD" w:rsidRPr="00391B03" w:rsidRDefault="00697BCD" w:rsidP="00624E11">
            <w:pPr>
              <w:pStyle w:val="Tabletext"/>
            </w:pPr>
            <w:r w:rsidRPr="00391B03">
              <w:t>Electricity (1 distribution zone)</w:t>
            </w:r>
          </w:p>
        </w:tc>
        <w:tc>
          <w:tcPr>
            <w:tcW w:w="1370" w:type="pct"/>
          </w:tcPr>
          <w:p w:rsidR="00697BCD" w:rsidRPr="00391B03" w:rsidRDefault="00697BCD" w:rsidP="00624E11">
            <w:pPr>
              <w:pStyle w:val="Tabletext"/>
            </w:pPr>
            <w:r w:rsidRPr="00391B03">
              <w:t>95 Market</w:t>
            </w:r>
          </w:p>
          <w:p w:rsidR="00697BCD" w:rsidRPr="00391B03" w:rsidRDefault="00697BCD" w:rsidP="00624E11">
            <w:pPr>
              <w:pStyle w:val="Tabletext"/>
            </w:pPr>
            <w:r w:rsidRPr="00391B03">
              <w:t>51 Standard</w:t>
            </w:r>
          </w:p>
          <w:p w:rsidR="00697BCD" w:rsidRPr="00391B03" w:rsidRDefault="00697BCD" w:rsidP="00624E11">
            <w:pPr>
              <w:pStyle w:val="Tabletext"/>
            </w:pPr>
            <w:r w:rsidRPr="00391B03">
              <w:lastRenderedPageBreak/>
              <w:t>16 Regulated</w:t>
            </w:r>
          </w:p>
        </w:tc>
        <w:tc>
          <w:tcPr>
            <w:tcW w:w="1370" w:type="pct"/>
          </w:tcPr>
          <w:p w:rsidR="00697BCD" w:rsidRPr="00391B03" w:rsidRDefault="00697BCD" w:rsidP="00624E11">
            <w:pPr>
              <w:pStyle w:val="Tabletext"/>
            </w:pPr>
            <w:r w:rsidRPr="00391B03">
              <w:lastRenderedPageBreak/>
              <w:t>128 Market</w:t>
            </w:r>
          </w:p>
          <w:p w:rsidR="00697BCD" w:rsidRPr="00391B03" w:rsidRDefault="00697BCD" w:rsidP="00624E11">
            <w:pPr>
              <w:pStyle w:val="Tabletext"/>
            </w:pPr>
            <w:r w:rsidRPr="00391B03">
              <w:t>47 Standard</w:t>
            </w:r>
          </w:p>
          <w:p w:rsidR="00697BCD" w:rsidRPr="00391B03" w:rsidRDefault="00697BCD" w:rsidP="00624E11">
            <w:pPr>
              <w:pStyle w:val="Tabletext"/>
            </w:pPr>
            <w:r w:rsidRPr="00391B03">
              <w:lastRenderedPageBreak/>
              <w:t>30 Regulated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Gas (1 distribution zone)</w:t>
            </w:r>
          </w:p>
        </w:tc>
        <w:tc>
          <w:tcPr>
            <w:tcW w:w="1370" w:type="pct"/>
          </w:tcPr>
          <w:p w:rsidR="00697BCD" w:rsidRPr="00391B03" w:rsidRDefault="00697BCD" w:rsidP="00624E11">
            <w:pPr>
              <w:pStyle w:val="Tabletext"/>
            </w:pPr>
            <w:r w:rsidRPr="00391B03">
              <w:t>23 Market</w:t>
            </w:r>
          </w:p>
          <w:p w:rsidR="00697BCD" w:rsidRPr="00391B03" w:rsidRDefault="00697BCD" w:rsidP="00624E11">
            <w:pPr>
              <w:pStyle w:val="Tabletext"/>
            </w:pPr>
            <w:r w:rsidRPr="00391B03">
              <w:t>9 Standard</w:t>
            </w:r>
          </w:p>
        </w:tc>
        <w:tc>
          <w:tcPr>
            <w:tcW w:w="1370" w:type="pct"/>
          </w:tcPr>
          <w:p w:rsidR="00697BCD" w:rsidRPr="00391B03" w:rsidRDefault="00697BCD" w:rsidP="00624E11">
            <w:pPr>
              <w:pStyle w:val="Tabletext"/>
            </w:pPr>
            <w:r w:rsidRPr="00391B03">
              <w:t>26 Market</w:t>
            </w:r>
          </w:p>
          <w:p w:rsidR="00697BCD" w:rsidRPr="00391B03" w:rsidRDefault="00697BCD" w:rsidP="00624E11">
            <w:pPr>
              <w:pStyle w:val="Tabletext"/>
            </w:pPr>
            <w:r w:rsidRPr="00391B03">
              <w:t>7 Standard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Dual</w:t>
            </w:r>
          </w:p>
        </w:tc>
        <w:tc>
          <w:tcPr>
            <w:tcW w:w="1370" w:type="pct"/>
          </w:tcPr>
          <w:p w:rsidR="00697BCD" w:rsidRPr="00391B03" w:rsidRDefault="00697BCD" w:rsidP="00624E11">
            <w:pPr>
              <w:pStyle w:val="Tabletext"/>
            </w:pPr>
            <w:r w:rsidRPr="00391B03">
              <w:t>17 Market</w:t>
            </w:r>
          </w:p>
          <w:p w:rsidR="00697BCD" w:rsidRPr="00391B03" w:rsidRDefault="00697BCD" w:rsidP="00624E11">
            <w:pPr>
              <w:pStyle w:val="Tabletext"/>
            </w:pPr>
            <w:r w:rsidRPr="00391B03">
              <w:t>2 Standing</w:t>
            </w:r>
          </w:p>
        </w:tc>
        <w:tc>
          <w:tcPr>
            <w:tcW w:w="1370" w:type="pct"/>
          </w:tcPr>
          <w:p w:rsidR="00697BCD" w:rsidRPr="00391B03" w:rsidRDefault="00697BCD" w:rsidP="00624E11">
            <w:pPr>
              <w:pStyle w:val="Tabletext"/>
            </w:pPr>
            <w:r w:rsidRPr="00391B03">
              <w:t>4 Market</w:t>
            </w:r>
          </w:p>
        </w:tc>
      </w:tr>
      <w:tr w:rsidR="00697BCD" w:rsidRPr="00391B03" w:rsidTr="00EB51D5">
        <w:trPr>
          <w:trHeight w:val="60"/>
        </w:trPr>
        <w:tc>
          <w:tcPr>
            <w:tcW w:w="889" w:type="pct"/>
          </w:tcPr>
          <w:p w:rsidR="00697BCD" w:rsidRPr="00391B03" w:rsidRDefault="00697BCD" w:rsidP="00624E11">
            <w:pPr>
              <w:pStyle w:val="Tabletext"/>
            </w:pPr>
            <w:r w:rsidRPr="00391B03">
              <w:t>Tasmania</w:t>
            </w:r>
          </w:p>
        </w:tc>
        <w:tc>
          <w:tcPr>
            <w:tcW w:w="1370" w:type="pct"/>
          </w:tcPr>
          <w:p w:rsidR="00697BCD" w:rsidRPr="00391B03" w:rsidRDefault="00697BCD" w:rsidP="00624E11">
            <w:pPr>
              <w:pStyle w:val="Tabletext"/>
            </w:pPr>
            <w:r w:rsidRPr="00391B03">
              <w:t>Electricity (1 distribution zone)</w:t>
            </w:r>
          </w:p>
        </w:tc>
        <w:tc>
          <w:tcPr>
            <w:tcW w:w="1370" w:type="pct"/>
          </w:tcPr>
          <w:p w:rsidR="00697BCD" w:rsidRPr="00391B03" w:rsidRDefault="00697BCD" w:rsidP="00624E11">
            <w:pPr>
              <w:pStyle w:val="Tabletext"/>
            </w:pPr>
            <w:r w:rsidRPr="00391B03">
              <w:t>2 Regulated</w:t>
            </w:r>
          </w:p>
        </w:tc>
        <w:tc>
          <w:tcPr>
            <w:tcW w:w="1370" w:type="pct"/>
          </w:tcPr>
          <w:p w:rsidR="00697BCD" w:rsidRPr="00391B03" w:rsidRDefault="00697BCD" w:rsidP="00624E11">
            <w:pPr>
              <w:pStyle w:val="Tabletext"/>
            </w:pPr>
            <w:r w:rsidRPr="00391B03">
              <w:t>10 Market</w:t>
            </w:r>
          </w:p>
          <w:p w:rsidR="00697BCD" w:rsidRPr="00391B03" w:rsidRDefault="00697BCD" w:rsidP="00624E11">
            <w:pPr>
              <w:pStyle w:val="Tabletext"/>
            </w:pPr>
            <w:r w:rsidRPr="00391B03">
              <w:t>5 Standard</w:t>
            </w:r>
          </w:p>
          <w:p w:rsidR="00697BCD" w:rsidRPr="00391B03" w:rsidRDefault="00697BCD" w:rsidP="00624E11">
            <w:pPr>
              <w:pStyle w:val="Tabletext"/>
            </w:pPr>
            <w:r w:rsidRPr="00391B03">
              <w:t>2 Regulated</w:t>
            </w:r>
          </w:p>
        </w:tc>
      </w:tr>
      <w:tr w:rsidR="00697BCD" w:rsidRPr="00391B03" w:rsidTr="00EB51D5">
        <w:trPr>
          <w:trHeight w:val="60"/>
        </w:trPr>
        <w:tc>
          <w:tcPr>
            <w:tcW w:w="889" w:type="pct"/>
          </w:tcPr>
          <w:p w:rsidR="00697BCD" w:rsidRPr="00391B03" w:rsidRDefault="00697BCD" w:rsidP="00624E11">
            <w:pPr>
              <w:pStyle w:val="Tabletext"/>
            </w:pPr>
            <w:r w:rsidRPr="00391B03">
              <w:t>ACT</w:t>
            </w:r>
          </w:p>
        </w:tc>
        <w:tc>
          <w:tcPr>
            <w:tcW w:w="1370" w:type="pct"/>
          </w:tcPr>
          <w:p w:rsidR="00697BCD" w:rsidRPr="00391B03" w:rsidRDefault="00697BCD" w:rsidP="00624E11">
            <w:pPr>
              <w:pStyle w:val="Tabletext"/>
            </w:pPr>
            <w:r w:rsidRPr="00391B03">
              <w:t>Electricity (1 distribution zone)</w:t>
            </w:r>
          </w:p>
        </w:tc>
        <w:tc>
          <w:tcPr>
            <w:tcW w:w="1370" w:type="pct"/>
          </w:tcPr>
          <w:p w:rsidR="00697BCD" w:rsidRPr="00391B03" w:rsidRDefault="00697BCD" w:rsidP="00624E11">
            <w:pPr>
              <w:pStyle w:val="Tabletext"/>
            </w:pPr>
            <w:r w:rsidRPr="00391B03">
              <w:t>48 Market</w:t>
            </w:r>
          </w:p>
          <w:p w:rsidR="00697BCD" w:rsidRPr="00391B03" w:rsidRDefault="00697BCD" w:rsidP="00624E11">
            <w:pPr>
              <w:pStyle w:val="Tabletext"/>
            </w:pPr>
            <w:r w:rsidRPr="00391B03">
              <w:t>15 Standard</w:t>
            </w:r>
          </w:p>
        </w:tc>
        <w:tc>
          <w:tcPr>
            <w:tcW w:w="1370" w:type="pct"/>
          </w:tcPr>
          <w:p w:rsidR="00697BCD" w:rsidRPr="00391B03" w:rsidRDefault="00697BCD" w:rsidP="00624E11">
            <w:pPr>
              <w:pStyle w:val="Tabletext"/>
            </w:pPr>
            <w:r w:rsidRPr="00391B03">
              <w:t>30 Market</w:t>
            </w:r>
          </w:p>
          <w:p w:rsidR="00697BCD" w:rsidRPr="00391B03" w:rsidRDefault="00697BCD" w:rsidP="00624E11">
            <w:pPr>
              <w:pStyle w:val="Tabletext"/>
            </w:pPr>
            <w:r w:rsidRPr="00391B03">
              <w:t>17 Standard</w:t>
            </w:r>
          </w:p>
        </w:tc>
      </w:tr>
      <w:tr w:rsidR="00697BCD" w:rsidRPr="00391B03" w:rsidTr="00EB51D5">
        <w:trPr>
          <w:trHeight w:val="60"/>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Gas (1 distribution zone)</w:t>
            </w:r>
          </w:p>
        </w:tc>
        <w:tc>
          <w:tcPr>
            <w:tcW w:w="1370" w:type="pct"/>
          </w:tcPr>
          <w:p w:rsidR="00697BCD" w:rsidRPr="00391B03" w:rsidRDefault="00697BCD" w:rsidP="00624E11">
            <w:pPr>
              <w:pStyle w:val="Tabletext"/>
            </w:pPr>
            <w:r w:rsidRPr="00391B03">
              <w:t>4 Market</w:t>
            </w:r>
          </w:p>
          <w:p w:rsidR="00697BCD" w:rsidRPr="00391B03" w:rsidRDefault="00697BCD" w:rsidP="00624E11">
            <w:pPr>
              <w:pStyle w:val="Tabletext"/>
            </w:pPr>
            <w:r w:rsidRPr="00391B03">
              <w:t>3 Standard</w:t>
            </w:r>
          </w:p>
        </w:tc>
        <w:tc>
          <w:tcPr>
            <w:tcW w:w="1370" w:type="pct"/>
          </w:tcPr>
          <w:p w:rsidR="00697BCD" w:rsidRPr="00391B03" w:rsidRDefault="00697BCD" w:rsidP="00624E11">
            <w:pPr>
              <w:pStyle w:val="Tabletext"/>
            </w:pPr>
            <w:r w:rsidRPr="00391B03">
              <w:t>6 Market</w:t>
            </w:r>
          </w:p>
          <w:p w:rsidR="00697BCD" w:rsidRPr="00391B03" w:rsidRDefault="00697BCD" w:rsidP="00624E11">
            <w:pPr>
              <w:pStyle w:val="Tabletext"/>
            </w:pPr>
            <w:r w:rsidRPr="00391B03">
              <w:t>3 Standard</w:t>
            </w:r>
          </w:p>
        </w:tc>
      </w:tr>
      <w:tr w:rsidR="00697BCD" w:rsidRPr="00391B03" w:rsidTr="00EB51D5">
        <w:trPr>
          <w:trHeight w:val="288"/>
        </w:trPr>
        <w:tc>
          <w:tcPr>
            <w:tcW w:w="889"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c>
          <w:tcPr>
            <w:tcW w:w="1370" w:type="pct"/>
          </w:tcPr>
          <w:p w:rsidR="00697BCD" w:rsidRPr="00391B03" w:rsidRDefault="00697BCD" w:rsidP="00624E11">
            <w:pPr>
              <w:pStyle w:val="Tabletext"/>
            </w:pPr>
            <w:r w:rsidRPr="00391B03">
              <w:t xml:space="preserve">Dual </w:t>
            </w:r>
          </w:p>
        </w:tc>
        <w:tc>
          <w:tcPr>
            <w:tcW w:w="1370" w:type="pct"/>
          </w:tcPr>
          <w:p w:rsidR="00697BCD" w:rsidRPr="00391B03" w:rsidRDefault="00697BCD" w:rsidP="00624E11">
            <w:pPr>
              <w:pStyle w:val="Tabletext"/>
            </w:pPr>
            <w:r w:rsidRPr="00391B03">
              <w:t>16 Market</w:t>
            </w:r>
          </w:p>
        </w:tc>
        <w:tc>
          <w:tcPr>
            <w:tcW w:w="1370" w:type="pct"/>
          </w:tcPr>
          <w:p w:rsidR="00697BCD" w:rsidRDefault="00697BCD">
            <w:pPr>
              <w:pStyle w:val="NoParagraphStyle"/>
              <w:spacing w:line="240" w:lineRule="auto"/>
              <w:textAlignment w:val="auto"/>
              <w:rPr>
                <w:rFonts w:ascii="HelveticaNeueLTStd-Cn" w:hAnsi="HelveticaNeueLTStd-Cn" w:cs="Times New Roman"/>
                <w:color w:val="auto"/>
                <w:lang w:val="en-US"/>
              </w:rPr>
            </w:pPr>
          </w:p>
        </w:tc>
      </w:tr>
    </w:tbl>
    <w:p w:rsidR="00697BCD" w:rsidRDefault="00697BCD"/>
    <w:p w:rsidR="00697BCD" w:rsidRDefault="00697BCD" w:rsidP="000F3A56">
      <w:pPr>
        <w:pStyle w:val="Charttitle"/>
      </w:pPr>
      <w:r>
        <w:t>Figure 1.5:</w:t>
      </w:r>
      <w:r>
        <w:tab/>
        <w:t xml:space="preserve">Electricity customer switching rates—by jurisdiction </w:t>
      </w:r>
    </w:p>
    <w:p w:rsidR="00697BCD" w:rsidRDefault="00EC4210" w:rsidP="0092682E">
      <w:r>
        <w:pict>
          <v:shape id="_x0000_i1029" type="#_x0000_t75" alt="In Victoria, between 6 and 7 per cent of electricity customers switched retailer in each quarter of 2015-16. In New South Wales and South Austalia, around 4 to 5 per cent of electricity customers switched retailer in each quarter of 2015-16. In Queensland, around 3 per cent of electricity customers switched retailer in each quarter of 2015-16." style="width:448.85pt;height:161.75pt">
            <v:imagedata r:id="rId14" o:title=""/>
          </v:shape>
        </w:pict>
      </w:r>
    </w:p>
    <w:p w:rsidR="00697BCD" w:rsidRDefault="00697BCD" w:rsidP="000F3A56">
      <w:pPr>
        <w:pStyle w:val="Charttitle"/>
      </w:pPr>
      <w:r>
        <w:t>Figure 1.6:</w:t>
      </w:r>
      <w:r>
        <w:tab/>
        <w:t xml:space="preserve">Gas customer switching rates—by jurisdiction </w:t>
      </w:r>
    </w:p>
    <w:p w:rsidR="00697BCD" w:rsidRDefault="00EC4210" w:rsidP="0092682E">
      <w:r>
        <w:pict>
          <v:shape id="_x0000_i1030" type="#_x0000_t75" alt="In Victoria, between 5 and 6 per cent of gas customers switched retailer in each quarter of 2015-16. In New South Wales, between 3 and 4 per cent of gas customers switched retailer in each quarter of 2015-16. In South Australia, around 3.5 per cent of gas customers switched retailer in each quarter of 2015-16. In Queensland, around 2 per cent of gas customers switched retailer in each quarter of 2015-16." style="width:448.85pt;height:149.6pt">
            <v:imagedata r:id="rId15" o:title=""/>
          </v:shape>
        </w:pict>
      </w:r>
    </w:p>
    <w:p w:rsidR="00697BCD" w:rsidRDefault="00697BCD" w:rsidP="00697BCD">
      <w:r>
        <w:t xml:space="preserve">The declining or flat rates of customer switching suggest that energy retailers may be shifting their focus away from customer acquisition and towards customer retention. This continues the trend from 2014–15. </w:t>
      </w:r>
    </w:p>
    <w:p w:rsidR="00697BCD" w:rsidRDefault="00697BCD" w:rsidP="00697BCD">
      <w:r>
        <w:lastRenderedPageBreak/>
        <w:t>The AEMC’s 2016 Competition Review</w:t>
      </w:r>
      <w:r w:rsidRPr="009D1DEC">
        <w:rPr>
          <w:rStyle w:val="Superscript"/>
        </w:rPr>
        <w:footnoteReference w:id="9"/>
      </w:r>
      <w:r>
        <w:t xml:space="preserve"> supports this conclusion, highlighting that across NEM jurisdictions (excluding regional Queensland and Tasmania) the proportion of customers who had been directly approached by energy retailers remained steady. </w:t>
      </w:r>
    </w:p>
    <w:p w:rsidR="00697BCD" w:rsidRDefault="00697BCD" w:rsidP="00697BCD">
      <w:r>
        <w:t>Around 38 per cent of residential customers were approached by retailers in the past 12 months. Half of those customers said that they had been approached by one or two retailers, while about 25 per cent of customers were approached by three or more retailers.</w:t>
      </w:r>
    </w:p>
    <w:p w:rsidR="00697BCD" w:rsidRDefault="00697BCD" w:rsidP="00697BCD">
      <w:pPr>
        <w:rPr>
          <w:rStyle w:val="FootnoteReference1"/>
        </w:rPr>
      </w:pPr>
      <w:r>
        <w:t>Among small businesses around 52 said that they had been approached at least once over the past 12 months. Of those, 24 per cent had been approached by three or more retailers.</w:t>
      </w:r>
      <w:r w:rsidRPr="009D1DEC">
        <w:rPr>
          <w:rStyle w:val="Superscript"/>
        </w:rPr>
        <w:footnoteReference w:id="10"/>
      </w:r>
    </w:p>
    <w:p w:rsidR="00697BCD" w:rsidRDefault="00697BCD" w:rsidP="00697BCD">
      <w:r>
        <w:t>Additionally, the continuation of flat switching rates and the increasing proportion of customers on market retail offers has increased in a number jurisdictions, may indicate that more customers on standing offers are benefitting by taking up the option of a market offer with their existing retailer.</w:t>
      </w:r>
    </w:p>
    <w:p w:rsidR="00697BCD" w:rsidRDefault="00697BCD" w:rsidP="00697BCD">
      <w:r>
        <w:t>Small customers in Victoria more actively switch between energy retailers compared with customers in other jurisdictions. This is likely due to more choice of products (due to the use of smart meters) and greater awareness of these choices.</w:t>
      </w:r>
      <w:r w:rsidRPr="009D1DEC">
        <w:rPr>
          <w:rStyle w:val="Superscript"/>
        </w:rPr>
        <w:footnoteReference w:id="11"/>
      </w:r>
      <w:r>
        <w:t xml:space="preserve"> There is also more competition in the retail gas market, with nine gas retailers available to Victorian households.</w:t>
      </w:r>
    </w:p>
    <w:p w:rsidR="00697BCD" w:rsidRDefault="00697BCD" w:rsidP="00697BCD">
      <w:r>
        <w:t>A customer who finds a preferable offer may still have to pay an early exit fee if they choose to switch retailers. The NERL governs the use of exit fees. Retailers can only charge exit fees in a market retail contract that is a fixed period contract and if the contract is terminated in that fixed period. The amount of the fee must be a reasonable estimate of the costs to the retailer resulting from early termination.</w:t>
      </w:r>
      <w:r w:rsidRPr="009D1DEC">
        <w:rPr>
          <w:rStyle w:val="Superscript"/>
        </w:rPr>
        <w:footnoteReference w:id="12"/>
      </w:r>
      <w:r>
        <w:t xml:space="preserve"> Some jurisdictions have separate regulatory requirements governing exit fees. For example, in New South Wales retailers must waive exit fees for hardship and certain other customers experiencing financial difficulty.</w:t>
      </w:r>
    </w:p>
    <w:p w:rsidR="00697BCD" w:rsidRDefault="00697BCD" w:rsidP="00697BCD">
      <w:r>
        <w:t xml:space="preserve">Despite the recent increased availability of market contracts without these exit fees, they still may act as a barrier to customer switching. </w:t>
      </w:r>
    </w:p>
    <w:p w:rsidR="00697BCD" w:rsidRDefault="00697BCD" w:rsidP="00697BCD">
      <w:r>
        <w:t xml:space="preserve">Figure 1.7 shows switching rates in the ACT over the last four years for electricity and gas. Historically, switching has been very low, as </w:t>
      </w:r>
      <w:proofErr w:type="spellStart"/>
      <w:r>
        <w:t>ActewAGL</w:t>
      </w:r>
      <w:proofErr w:type="spellEnd"/>
      <w:r>
        <w:t xml:space="preserve"> only competed with </w:t>
      </w:r>
      <w:proofErr w:type="spellStart"/>
      <w:r>
        <w:t>EnergyAustralia</w:t>
      </w:r>
      <w:proofErr w:type="spellEnd"/>
      <w:r>
        <w:t xml:space="preserve"> for electricity and gas. Origin Energy entered the ACT market in September 2014, and has attracted a small share of the market through its market offers. </w:t>
      </w:r>
    </w:p>
    <w:p w:rsidR="00697BCD" w:rsidRDefault="00697BCD" w:rsidP="00697BCD">
      <w:r>
        <w:t>Gas switching rates dropped significantly in 2015–16 to near their lowest historical rate of 0.1 per 100 customers prior to Origin’s entry to the gas market. The drop may indicate that ACT customers were initially encouraged to switch following Origin’s entry, but did not keep up this behaviour. Electricity switching rates in ACT rose slightly over the year and remained steady over 2015–16.</w:t>
      </w:r>
    </w:p>
    <w:p w:rsidR="00697BCD" w:rsidRDefault="00697BCD" w:rsidP="000F3A56">
      <w:pPr>
        <w:pStyle w:val="Charttitle"/>
      </w:pPr>
      <w:r>
        <w:lastRenderedPageBreak/>
        <w:t>Figure 1.7:</w:t>
      </w:r>
      <w:r>
        <w:tab/>
        <w:t>Electricity and gas customer switching rates in the ACT</w:t>
      </w:r>
    </w:p>
    <w:p w:rsidR="00697BCD" w:rsidRDefault="00EC4210" w:rsidP="0092682E">
      <w:r>
        <w:pict>
          <v:shape id="_x0000_i1031" type="#_x0000_t75" alt="Both electricity and gas customer switching in the ACT was at or below 0.3 per cent of customers each month from July 2012 to October 2014. From November 2014 to January 2016 switching rates increased to around 0.5 per cent of customers each month. From February 2016 to June 2016 gas switching rates decreased to 0.1 per cent of customers, whereas electricity switching rates stayed around 0.4 to 0.5 per cent of customers." style="width:449.75pt;height:143.05pt">
            <v:imagedata r:id="rId16" o:title=""/>
          </v:shape>
        </w:pict>
      </w:r>
    </w:p>
    <w:tbl>
      <w:tblPr>
        <w:tblW w:w="0" w:type="auto"/>
        <w:tblInd w:w="170" w:type="dxa"/>
        <w:tblLayout w:type="fixed"/>
        <w:tblCellMar>
          <w:left w:w="0" w:type="dxa"/>
          <w:right w:w="0" w:type="dxa"/>
        </w:tblCellMar>
        <w:tblLook w:val="0000" w:firstRow="0" w:lastRow="0" w:firstColumn="0" w:lastColumn="0" w:noHBand="0" w:noVBand="0"/>
      </w:tblPr>
      <w:tblGrid>
        <w:gridCol w:w="9072"/>
      </w:tblGrid>
      <w:tr w:rsidR="00697BCD" w:rsidRPr="00391B03" w:rsidTr="0092682E">
        <w:trPr>
          <w:trHeight w:val="60"/>
        </w:trPr>
        <w:tc>
          <w:tcPr>
            <w:tcW w:w="9072" w:type="dxa"/>
            <w:tcBorders>
              <w:top w:val="single" w:sz="6" w:space="0" w:color="auto"/>
              <w:left w:val="single" w:sz="6" w:space="0" w:color="auto"/>
              <w:bottom w:val="single" w:sz="6" w:space="0" w:color="auto"/>
              <w:right w:val="single" w:sz="6" w:space="0" w:color="auto"/>
            </w:tcBorders>
            <w:shd w:val="solid" w:color="BEB3A9" w:fill="auto"/>
            <w:tcMar>
              <w:top w:w="170" w:type="dxa"/>
              <w:left w:w="170" w:type="dxa"/>
              <w:bottom w:w="170" w:type="dxa"/>
              <w:right w:w="170" w:type="dxa"/>
            </w:tcMar>
          </w:tcPr>
          <w:p w:rsidR="00697BCD" w:rsidRPr="00391B03" w:rsidRDefault="00697BCD" w:rsidP="000F3A56">
            <w:pPr>
              <w:pStyle w:val="Heading3"/>
            </w:pPr>
            <w:bookmarkStart w:id="16" w:name="_Toc467665300"/>
            <w:r w:rsidRPr="00391B03">
              <w:t>Queensland engagement with Energy Made Easy</w:t>
            </w:r>
            <w:bookmarkEnd w:id="16"/>
          </w:p>
          <w:p w:rsidR="00697BCD" w:rsidRPr="00391B03" w:rsidRDefault="00697BCD" w:rsidP="00697BCD">
            <w:r w:rsidRPr="00391B03">
              <w:t>The National Energy Retail Law and Rules commenced in Queensland on 1 July 2015.</w:t>
            </w:r>
          </w:p>
          <w:p w:rsidR="00697BCD" w:rsidRPr="00391B03" w:rsidRDefault="00697BCD" w:rsidP="00697BCD">
            <w:r w:rsidRPr="00391B03">
              <w:t>The Retail Law and Rules introduced a range of benefits and protections, which are enforced by us, including:</w:t>
            </w:r>
          </w:p>
          <w:p w:rsidR="00697BCD" w:rsidRPr="00391B03" w:rsidRDefault="00697BCD" w:rsidP="00697BCD">
            <w:pPr>
              <w:pStyle w:val="ListBullet"/>
            </w:pPr>
            <w:proofErr w:type="gramStart"/>
            <w:r w:rsidRPr="00391B03">
              <w:t>access</w:t>
            </w:r>
            <w:proofErr w:type="gramEnd"/>
            <w:r w:rsidRPr="00391B03">
              <w:t xml:space="preserve"> to better quality information. Specifically, retailers are required to give energy consumers clear, accurate and up-front information</w:t>
            </w:r>
          </w:p>
          <w:p w:rsidR="00697BCD" w:rsidRPr="00391B03" w:rsidRDefault="00697BCD" w:rsidP="00697BCD">
            <w:pPr>
              <w:pStyle w:val="ListBullet"/>
            </w:pPr>
            <w:r w:rsidRPr="00391B03">
              <w:t>rules that require providers to offer more help to people struggling to pay their bills, such as flexible payment options and hardship requirements</w:t>
            </w:r>
          </w:p>
          <w:p w:rsidR="00697BCD" w:rsidRPr="00391B03" w:rsidRDefault="00697BCD" w:rsidP="00697BCD">
            <w:pPr>
              <w:pStyle w:val="ListBullet"/>
            </w:pPr>
            <w:proofErr w:type="gramStart"/>
            <w:r w:rsidRPr="00391B03">
              <w:t>rules</w:t>
            </w:r>
            <w:proofErr w:type="gramEnd"/>
            <w:r w:rsidRPr="00391B03">
              <w:t xml:space="preserve"> about marketing conduct by retailers, such as how they present their offers to customers, door-to-door sales and telemarketing.</w:t>
            </w:r>
          </w:p>
          <w:p w:rsidR="00697BCD" w:rsidRPr="00391B03" w:rsidRDefault="00697BCD" w:rsidP="00697BCD">
            <w:r w:rsidRPr="00391B03">
              <w:t>For the first time, customers in South East Queensland were able to use our offer comparison website Energy Made Easy (</w:t>
            </w:r>
            <w:hyperlink r:id="rId17" w:history="1">
              <w:r w:rsidRPr="00391B03">
                <w:t>www.energymadeeasy.gov.au</w:t>
              </w:r>
            </w:hyperlink>
            <w:r w:rsidRPr="00391B03">
              <w:t>). All retailers are required by law to submit the details of their energy offers to Energy Made Easy website.</w:t>
            </w:r>
          </w:p>
          <w:p w:rsidR="00697BCD" w:rsidRPr="00391B03" w:rsidRDefault="00697BCD" w:rsidP="00697BCD">
            <w:r w:rsidRPr="00391B03">
              <w:t>We held a stakeholder launch event for Energy Made Easy in Queensland in August 2015, attended by more than 20 groups, including those representing small business, multicultural and disadvantaged customers.</w:t>
            </w:r>
          </w:p>
          <w:p w:rsidR="00697BCD" w:rsidRPr="00391B03" w:rsidRDefault="00697BCD" w:rsidP="00697BCD">
            <w:r w:rsidRPr="00391B03">
              <w:t>EME usage figures for the 2015–16 financial year show that Queensland customers were actively engaged with the market.</w:t>
            </w:r>
          </w:p>
          <w:p w:rsidR="00697BCD" w:rsidRPr="00391B03" w:rsidRDefault="00697BCD" w:rsidP="00697BCD">
            <w:r w:rsidRPr="00391B03">
              <w:t xml:space="preserve">For instance, EME received 70 174 unique visits from customers in Queensland over the financial year—an average of around 1350 per week. </w:t>
            </w:r>
          </w:p>
          <w:p w:rsidR="00697BCD" w:rsidRPr="00391B03" w:rsidRDefault="00697BCD" w:rsidP="00697BCD">
            <w:r w:rsidRPr="00391B03">
              <w:t>The highest number of visits in a single day was 3494. This was on 5 August 2015, the day of our EME launch which received significant media coverage.</w:t>
            </w:r>
          </w:p>
          <w:p w:rsidR="00697BCD" w:rsidRPr="00391B03" w:rsidRDefault="00697BCD" w:rsidP="00697BCD">
            <w:r w:rsidRPr="00391B03">
              <w:t xml:space="preserve">Over the year, visitors downloaded 3770 Energy Price Fact Sheets (offer summaries). </w:t>
            </w:r>
          </w:p>
        </w:tc>
      </w:tr>
    </w:tbl>
    <w:p w:rsidR="00697BCD" w:rsidRDefault="00697BCD" w:rsidP="009E6D87"/>
    <w:p w:rsidR="00697BCD" w:rsidRDefault="00697BCD" w:rsidP="000F3A56">
      <w:pPr>
        <w:pStyle w:val="Numbered1"/>
      </w:pPr>
      <w:bookmarkStart w:id="17" w:name="_Toc467665301"/>
      <w:r>
        <w:t>Energy retailer performance</w:t>
      </w:r>
      <w:bookmarkEnd w:id="17"/>
    </w:p>
    <w:p w:rsidR="00697BCD" w:rsidRDefault="00697BCD" w:rsidP="00697BCD">
      <w:r>
        <w:t xml:space="preserve">There are a number of reasons why a customer may contact their retailer. For example, customers may contact them to pay a bill, to ask about their bill or a better deal, to seek payment assistance and sometimes to make a complaint. </w:t>
      </w:r>
    </w:p>
    <w:p w:rsidR="00697BCD" w:rsidRDefault="00697BCD" w:rsidP="00697BCD">
      <w:proofErr w:type="gramStart"/>
      <w:r>
        <w:lastRenderedPageBreak/>
        <w:t>While price is important to customers, so too is good customer service.</w:t>
      </w:r>
      <w:proofErr w:type="gramEnd"/>
      <w:r>
        <w:t xml:space="preserve"> This chapter discusses the customer experience with energy retailers, including:</w:t>
      </w:r>
    </w:p>
    <w:p w:rsidR="00697BCD" w:rsidRDefault="00697BCD" w:rsidP="00697BCD">
      <w:pPr>
        <w:pStyle w:val="ListBullet"/>
      </w:pPr>
      <w:r>
        <w:t>customer service and complaints</w:t>
      </w:r>
    </w:p>
    <w:p w:rsidR="00697BCD" w:rsidRDefault="00697BCD" w:rsidP="00697BCD">
      <w:pPr>
        <w:pStyle w:val="ListBullet"/>
      </w:pPr>
      <w:r>
        <w:t>assistance provided to customers with energy debt, such as energy concessions, payment plans and hardship programs</w:t>
      </w:r>
    </w:p>
    <w:p w:rsidR="00697BCD" w:rsidRDefault="00697BCD" w:rsidP="00697BCD">
      <w:pPr>
        <w:pStyle w:val="ListBullet"/>
      </w:pPr>
      <w:proofErr w:type="gramStart"/>
      <w:r>
        <w:t>the</w:t>
      </w:r>
      <w:proofErr w:type="gramEnd"/>
      <w:r>
        <w:t xml:space="preserve"> disconnection and reconnection of an energy service.</w:t>
      </w:r>
    </w:p>
    <w:p w:rsidR="00697BCD" w:rsidRDefault="00697BCD" w:rsidP="000F3A56">
      <w:pPr>
        <w:pStyle w:val="Numbered11"/>
      </w:pPr>
      <w:bookmarkStart w:id="18" w:name="_Toc467665302"/>
      <w:r>
        <w:t>Customer service</w:t>
      </w:r>
      <w:bookmarkEnd w:id="18"/>
    </w:p>
    <w:p w:rsidR="00697BCD" w:rsidRDefault="00697BCD" w:rsidP="00697BCD">
      <w:r>
        <w:t xml:space="preserve">Retailers’ responsiveness to inquiries and complaints is an important measure of customer service. Table 2.1 shows call centre responsiveness, specifically: </w:t>
      </w:r>
    </w:p>
    <w:p w:rsidR="00697BCD" w:rsidRDefault="00697BCD" w:rsidP="00697BCD">
      <w:pPr>
        <w:pStyle w:val="ListBullet"/>
      </w:pPr>
      <w:r>
        <w:t xml:space="preserve">percentage of calls answered within 30 seconds </w:t>
      </w:r>
    </w:p>
    <w:p w:rsidR="00697BCD" w:rsidRDefault="00697BCD" w:rsidP="00697BCD">
      <w:pPr>
        <w:pStyle w:val="ListBullet"/>
      </w:pPr>
      <w:r>
        <w:t>average time before a call is answered</w:t>
      </w:r>
      <w:r w:rsidRPr="009D1DEC">
        <w:rPr>
          <w:rStyle w:val="Superscript"/>
        </w:rPr>
        <w:footnoteReference w:id="13"/>
      </w:r>
      <w:r>
        <w:t xml:space="preserve"> </w:t>
      </w:r>
    </w:p>
    <w:p w:rsidR="00697BCD" w:rsidRDefault="00697BCD" w:rsidP="00697BCD">
      <w:pPr>
        <w:pStyle w:val="ListBullet"/>
      </w:pPr>
      <w:proofErr w:type="gramStart"/>
      <w:r>
        <w:t>percentage</w:t>
      </w:r>
      <w:proofErr w:type="gramEnd"/>
      <w:r>
        <w:t xml:space="preserve"> of calls abandoned before being answered.</w:t>
      </w:r>
    </w:p>
    <w:p w:rsidR="00697BCD" w:rsidRDefault="00697BCD" w:rsidP="00697BCD">
      <w:pPr>
        <w:pStyle w:val="Tabletitle"/>
      </w:pPr>
      <w:r>
        <w:t>Table 2.1:</w:t>
      </w:r>
      <w:r>
        <w:tab/>
        <w:t>Phone calls to retailers in 2015–16, with percentage of calls answered in 30 seconds, average wait time and percentage of calls abandoned before being answered</w:t>
      </w:r>
    </w:p>
    <w:tbl>
      <w:tblPr>
        <w:tblW w:w="0" w:type="auto"/>
        <w:tblBorders>
          <w:top w:val="single" w:sz="4" w:space="0" w:color="BFBFBF"/>
          <w:bottom w:val="single" w:sz="4" w:space="0" w:color="BFBFBF"/>
        </w:tblBorders>
        <w:tblLook w:val="0000" w:firstRow="0" w:lastRow="0" w:firstColumn="0" w:lastColumn="0" w:noHBand="0" w:noVBand="0"/>
      </w:tblPr>
      <w:tblGrid>
        <w:gridCol w:w="2375"/>
        <w:gridCol w:w="1032"/>
        <w:gridCol w:w="1155"/>
        <w:gridCol w:w="823"/>
        <w:gridCol w:w="1203"/>
        <w:gridCol w:w="1420"/>
        <w:gridCol w:w="1620"/>
      </w:tblGrid>
      <w:tr w:rsidR="00697BCD" w:rsidRPr="00391B03" w:rsidTr="00391B03">
        <w:trPr>
          <w:trHeight w:val="60"/>
        </w:trPr>
        <w:tc>
          <w:tcPr>
            <w:tcW w:w="0" w:type="auto"/>
            <w:shd w:val="clear" w:color="auto" w:fill="auto"/>
          </w:tcPr>
          <w:p w:rsidR="00697BCD" w:rsidRPr="00391B03" w:rsidRDefault="00697BCD" w:rsidP="006B1E9F">
            <w:pPr>
              <w:pStyle w:val="TableHeading"/>
              <w:rPr>
                <w:rStyle w:val="Strong"/>
              </w:rPr>
            </w:pPr>
            <w:r w:rsidRPr="00391B03">
              <w:rPr>
                <w:rStyle w:val="Strong"/>
              </w:rPr>
              <w:t>Retailer</w:t>
            </w:r>
          </w:p>
        </w:tc>
        <w:tc>
          <w:tcPr>
            <w:tcW w:w="0" w:type="auto"/>
            <w:gridSpan w:val="2"/>
            <w:shd w:val="clear" w:color="auto" w:fill="auto"/>
          </w:tcPr>
          <w:p w:rsidR="00697BCD" w:rsidRPr="00F049B4" w:rsidRDefault="00697BCD" w:rsidP="006B1E9F">
            <w:pPr>
              <w:pStyle w:val="TableHeading-right"/>
              <w:rPr>
                <w:rStyle w:val="Strong"/>
              </w:rPr>
            </w:pPr>
            <w:r w:rsidRPr="00F049B4">
              <w:rPr>
                <w:rStyle w:val="Strong"/>
              </w:rPr>
              <w:t>Calls taken in 30 secs (%)</w:t>
            </w:r>
            <w:r w:rsidRPr="00F049B4">
              <w:rPr>
                <w:rStyle w:val="Strong"/>
              </w:rPr>
              <w:br/>
            </w:r>
          </w:p>
        </w:tc>
        <w:tc>
          <w:tcPr>
            <w:tcW w:w="0" w:type="auto"/>
            <w:gridSpan w:val="2"/>
            <w:shd w:val="clear" w:color="auto" w:fill="auto"/>
          </w:tcPr>
          <w:p w:rsidR="00697BCD" w:rsidRPr="00F049B4" w:rsidRDefault="00697BCD" w:rsidP="006B1E9F">
            <w:pPr>
              <w:pStyle w:val="TableHeading-right"/>
              <w:rPr>
                <w:rStyle w:val="Strong"/>
              </w:rPr>
            </w:pPr>
            <w:r w:rsidRPr="00F049B4">
              <w:rPr>
                <w:rStyle w:val="Strong"/>
              </w:rPr>
              <w:t>Average wait time (secs)</w:t>
            </w:r>
            <w:r w:rsidRPr="00F049B4">
              <w:rPr>
                <w:rStyle w:val="Strong"/>
              </w:rPr>
              <w:br/>
            </w:r>
          </w:p>
        </w:tc>
        <w:tc>
          <w:tcPr>
            <w:tcW w:w="0" w:type="auto"/>
            <w:gridSpan w:val="2"/>
            <w:shd w:val="clear" w:color="auto" w:fill="auto"/>
          </w:tcPr>
          <w:p w:rsidR="00697BCD" w:rsidRPr="00F049B4" w:rsidRDefault="00697BCD" w:rsidP="006B1E9F">
            <w:pPr>
              <w:pStyle w:val="TableHeading-right"/>
              <w:rPr>
                <w:rStyle w:val="Strong"/>
              </w:rPr>
            </w:pPr>
            <w:r w:rsidRPr="00F049B4">
              <w:rPr>
                <w:rStyle w:val="Strong"/>
              </w:rPr>
              <w:t>Calls abandoned before being answered (%)</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1st Energy</w:t>
            </w:r>
          </w:p>
        </w:tc>
        <w:tc>
          <w:tcPr>
            <w:tcW w:w="0" w:type="auto"/>
            <w:shd w:val="clear" w:color="auto" w:fill="auto"/>
          </w:tcPr>
          <w:p w:rsidR="00697BCD" w:rsidRDefault="00697BCD" w:rsidP="00624E11">
            <w:pPr>
              <w:pStyle w:val="Tabletext-right"/>
            </w:pPr>
            <w:r>
              <w:t>95%</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5%</w:t>
            </w: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ActewAGL</w:t>
            </w:r>
            <w:proofErr w:type="spellEnd"/>
          </w:p>
        </w:tc>
        <w:tc>
          <w:tcPr>
            <w:tcW w:w="0" w:type="auto"/>
            <w:shd w:val="clear" w:color="auto" w:fill="auto"/>
          </w:tcPr>
          <w:p w:rsidR="00697BCD" w:rsidRDefault="00697BCD" w:rsidP="00624E11">
            <w:pPr>
              <w:pStyle w:val="Tabletext-right"/>
            </w:pPr>
            <w:r>
              <w:t>70%</w:t>
            </w:r>
          </w:p>
        </w:tc>
        <w:tc>
          <w:tcPr>
            <w:tcW w:w="0" w:type="auto"/>
            <w:shd w:val="clear" w:color="auto" w:fill="auto"/>
          </w:tcPr>
          <w:p w:rsidR="00697BCD" w:rsidRDefault="00697BCD" w:rsidP="00624E11">
            <w:pPr>
              <w:pStyle w:val="Tabletext-right"/>
            </w:pPr>
            <w:r>
              <w:rPr>
                <w:rStyle w:val="Arialarrow"/>
              </w:rPr>
              <w:t>▼</w:t>
            </w:r>
            <w:r>
              <w:t>1%</w:t>
            </w:r>
          </w:p>
        </w:tc>
        <w:tc>
          <w:tcPr>
            <w:tcW w:w="0" w:type="auto"/>
            <w:shd w:val="clear" w:color="auto" w:fill="auto"/>
          </w:tcPr>
          <w:p w:rsidR="00697BCD" w:rsidRDefault="00697BCD" w:rsidP="00624E11">
            <w:pPr>
              <w:pStyle w:val="Tabletext-right"/>
            </w:pPr>
            <w:r>
              <w:t>191</w:t>
            </w:r>
          </w:p>
        </w:tc>
        <w:tc>
          <w:tcPr>
            <w:tcW w:w="0" w:type="auto"/>
            <w:shd w:val="clear" w:color="auto" w:fill="auto"/>
          </w:tcPr>
          <w:p w:rsidR="00697BCD" w:rsidRDefault="00697BCD" w:rsidP="00624E11">
            <w:pPr>
              <w:pStyle w:val="Tabletext-right"/>
            </w:pPr>
            <w:r>
              <w:rPr>
                <w:rStyle w:val="Arialarrow"/>
              </w:rPr>
              <w:t>▲</w:t>
            </w:r>
            <w:r>
              <w:t>33.8</w:t>
            </w:r>
          </w:p>
        </w:tc>
        <w:tc>
          <w:tcPr>
            <w:tcW w:w="0" w:type="auto"/>
            <w:shd w:val="clear" w:color="auto" w:fill="auto"/>
          </w:tcPr>
          <w:p w:rsidR="00697BCD" w:rsidRDefault="00697BCD" w:rsidP="00624E11">
            <w:pPr>
              <w:pStyle w:val="Tabletext-right"/>
            </w:pPr>
            <w:r>
              <w:t>4%</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AGL</w:t>
            </w:r>
          </w:p>
        </w:tc>
        <w:tc>
          <w:tcPr>
            <w:tcW w:w="0" w:type="auto"/>
            <w:shd w:val="clear" w:color="auto" w:fill="auto"/>
          </w:tcPr>
          <w:p w:rsidR="00697BCD" w:rsidRDefault="00697BCD" w:rsidP="00624E11">
            <w:pPr>
              <w:pStyle w:val="Tabletext-right"/>
            </w:pPr>
            <w:r>
              <w:t>84%</w:t>
            </w:r>
          </w:p>
        </w:tc>
        <w:tc>
          <w:tcPr>
            <w:tcW w:w="0" w:type="auto"/>
            <w:shd w:val="clear" w:color="auto" w:fill="auto"/>
          </w:tcPr>
          <w:p w:rsidR="00697BCD" w:rsidRDefault="00697BCD" w:rsidP="00624E11">
            <w:pPr>
              <w:pStyle w:val="Tabletext-right"/>
            </w:pPr>
            <w:r>
              <w:rPr>
                <w:rStyle w:val="Arialarrow"/>
              </w:rPr>
              <w:t>▼</w:t>
            </w:r>
            <w:r>
              <w:t>2%</w:t>
            </w:r>
          </w:p>
        </w:tc>
        <w:tc>
          <w:tcPr>
            <w:tcW w:w="0" w:type="auto"/>
            <w:shd w:val="clear" w:color="auto" w:fill="auto"/>
          </w:tcPr>
          <w:p w:rsidR="00697BCD" w:rsidRDefault="00697BCD" w:rsidP="00624E11">
            <w:pPr>
              <w:pStyle w:val="Tabletext-right"/>
            </w:pPr>
            <w:r>
              <w:t>28</w:t>
            </w:r>
          </w:p>
        </w:tc>
        <w:tc>
          <w:tcPr>
            <w:tcW w:w="0" w:type="auto"/>
            <w:shd w:val="clear" w:color="auto" w:fill="auto"/>
          </w:tcPr>
          <w:p w:rsidR="00697BCD" w:rsidRDefault="00697BCD" w:rsidP="00624E11">
            <w:pPr>
              <w:pStyle w:val="Tabletext-right"/>
            </w:pPr>
            <w:r>
              <w:rPr>
                <w:rStyle w:val="Arialarrow"/>
              </w:rPr>
              <w:t>▲</w:t>
            </w:r>
            <w:r>
              <w:t>11.0</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Alinta</w:t>
            </w:r>
            <w:proofErr w:type="spellEnd"/>
            <w:r w:rsidRPr="00391B03">
              <w:t xml:space="preserve"> Energy </w:t>
            </w:r>
          </w:p>
        </w:tc>
        <w:tc>
          <w:tcPr>
            <w:tcW w:w="0" w:type="auto"/>
            <w:shd w:val="clear" w:color="auto" w:fill="auto"/>
          </w:tcPr>
          <w:p w:rsidR="00697BCD" w:rsidRDefault="00697BCD" w:rsidP="00624E11">
            <w:pPr>
              <w:pStyle w:val="Tabletext-right"/>
            </w:pPr>
            <w:r>
              <w:t>79%</w:t>
            </w:r>
          </w:p>
        </w:tc>
        <w:tc>
          <w:tcPr>
            <w:tcW w:w="0" w:type="auto"/>
            <w:shd w:val="clear" w:color="auto" w:fill="auto"/>
          </w:tcPr>
          <w:p w:rsidR="00697BCD" w:rsidRDefault="00697BCD" w:rsidP="00624E11">
            <w:pPr>
              <w:pStyle w:val="Tabletext-right"/>
            </w:pPr>
            <w:r>
              <w:rPr>
                <w:rStyle w:val="Arialarrow"/>
              </w:rPr>
              <w:t>▲</w:t>
            </w:r>
            <w:r>
              <w:t>2%</w:t>
            </w:r>
          </w:p>
        </w:tc>
        <w:tc>
          <w:tcPr>
            <w:tcW w:w="0" w:type="auto"/>
            <w:shd w:val="clear" w:color="auto" w:fill="auto"/>
          </w:tcPr>
          <w:p w:rsidR="00697BCD" w:rsidRDefault="00697BCD" w:rsidP="00624E11">
            <w:pPr>
              <w:pStyle w:val="Tabletext-right"/>
            </w:pPr>
            <w:r>
              <w:t>67</w:t>
            </w:r>
          </w:p>
        </w:tc>
        <w:tc>
          <w:tcPr>
            <w:tcW w:w="0" w:type="auto"/>
            <w:shd w:val="clear" w:color="auto" w:fill="auto"/>
          </w:tcPr>
          <w:p w:rsidR="00697BCD" w:rsidRDefault="00697BCD" w:rsidP="00624E11">
            <w:pPr>
              <w:pStyle w:val="Tabletext-right"/>
            </w:pPr>
            <w:r>
              <w:rPr>
                <w:rStyle w:val="Arialarrow"/>
              </w:rPr>
              <w:t>▲</w:t>
            </w:r>
            <w:r>
              <w:t>30.8</w:t>
            </w:r>
          </w:p>
        </w:tc>
        <w:tc>
          <w:tcPr>
            <w:tcW w:w="0" w:type="auto"/>
            <w:shd w:val="clear" w:color="auto" w:fill="auto"/>
          </w:tcPr>
          <w:p w:rsidR="00697BCD" w:rsidRDefault="00697BCD" w:rsidP="00624E11">
            <w:pPr>
              <w:pStyle w:val="Tabletext-right"/>
            </w:pPr>
            <w:r>
              <w:t>3%</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Aurora Energy</w:t>
            </w:r>
          </w:p>
        </w:tc>
        <w:tc>
          <w:tcPr>
            <w:tcW w:w="0" w:type="auto"/>
            <w:shd w:val="clear" w:color="auto" w:fill="auto"/>
          </w:tcPr>
          <w:p w:rsidR="00697BCD" w:rsidRDefault="00697BCD" w:rsidP="00624E11">
            <w:pPr>
              <w:pStyle w:val="Tabletext-right"/>
            </w:pPr>
            <w:r>
              <w:t>74%</w:t>
            </w:r>
          </w:p>
        </w:tc>
        <w:tc>
          <w:tcPr>
            <w:tcW w:w="0" w:type="auto"/>
            <w:shd w:val="clear" w:color="auto" w:fill="auto"/>
          </w:tcPr>
          <w:p w:rsidR="00697BCD" w:rsidRDefault="00697BCD" w:rsidP="00624E11">
            <w:pPr>
              <w:pStyle w:val="Tabletext-right"/>
            </w:pPr>
            <w:r>
              <w:rPr>
                <w:rStyle w:val="Arialarrow"/>
              </w:rPr>
              <w:t>▲</w:t>
            </w:r>
            <w:r>
              <w:t>2%</w:t>
            </w:r>
          </w:p>
        </w:tc>
        <w:tc>
          <w:tcPr>
            <w:tcW w:w="0" w:type="auto"/>
            <w:shd w:val="clear" w:color="auto" w:fill="auto"/>
          </w:tcPr>
          <w:p w:rsidR="00697BCD" w:rsidRDefault="00697BCD" w:rsidP="00624E11">
            <w:pPr>
              <w:pStyle w:val="Tabletext-right"/>
            </w:pPr>
            <w:r>
              <w:t>40</w:t>
            </w:r>
          </w:p>
        </w:tc>
        <w:tc>
          <w:tcPr>
            <w:tcW w:w="0" w:type="auto"/>
            <w:shd w:val="clear" w:color="auto" w:fill="auto"/>
          </w:tcPr>
          <w:p w:rsidR="00697BCD" w:rsidRDefault="00697BCD" w:rsidP="00624E11">
            <w:pPr>
              <w:pStyle w:val="Tabletext-right"/>
            </w:pPr>
            <w:r>
              <w:rPr>
                <w:rStyle w:val="Arialarrow"/>
              </w:rPr>
              <w:t>▼</w:t>
            </w:r>
            <w:r>
              <w:t>5.5</w:t>
            </w:r>
          </w:p>
        </w:tc>
        <w:tc>
          <w:tcPr>
            <w:tcW w:w="0" w:type="auto"/>
            <w:shd w:val="clear" w:color="auto" w:fill="auto"/>
          </w:tcPr>
          <w:p w:rsidR="00697BCD" w:rsidRDefault="00697BCD" w:rsidP="00624E11">
            <w:pPr>
              <w:pStyle w:val="Tabletext-right"/>
            </w:pPr>
            <w:r>
              <w:t>3%</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BlueNRG</w:t>
            </w:r>
            <w:proofErr w:type="spellEnd"/>
          </w:p>
        </w:tc>
        <w:tc>
          <w:tcPr>
            <w:tcW w:w="0" w:type="auto"/>
            <w:shd w:val="clear" w:color="auto" w:fill="auto"/>
          </w:tcPr>
          <w:p w:rsidR="00697BCD" w:rsidRDefault="00697BCD" w:rsidP="00624E11">
            <w:pPr>
              <w:pStyle w:val="Tabletext-right"/>
            </w:pPr>
            <w:r>
              <w:t>75%</w:t>
            </w:r>
          </w:p>
        </w:tc>
        <w:tc>
          <w:tcPr>
            <w:tcW w:w="0" w:type="auto"/>
            <w:shd w:val="clear" w:color="auto" w:fill="auto"/>
          </w:tcPr>
          <w:p w:rsidR="00697BCD" w:rsidRDefault="00697BCD" w:rsidP="00624E11">
            <w:pPr>
              <w:pStyle w:val="Tabletext-right"/>
            </w:pPr>
            <w:r>
              <w:rPr>
                <w:rStyle w:val="Arialarrow"/>
              </w:rPr>
              <w:t>▼</w:t>
            </w:r>
            <w:r>
              <w:t>25%</w:t>
            </w:r>
          </w:p>
        </w:tc>
        <w:tc>
          <w:tcPr>
            <w:tcW w:w="0" w:type="auto"/>
            <w:shd w:val="clear" w:color="auto" w:fill="auto"/>
          </w:tcPr>
          <w:p w:rsidR="00697BCD" w:rsidRDefault="00697BCD" w:rsidP="00624E11">
            <w:pPr>
              <w:pStyle w:val="Tabletext-right"/>
            </w:pPr>
            <w:r>
              <w:t xml:space="preserve"> –</w:t>
            </w:r>
          </w:p>
        </w:tc>
        <w:tc>
          <w:tcPr>
            <w:tcW w:w="0" w:type="auto"/>
            <w:shd w:val="clear" w:color="auto" w:fill="auto"/>
          </w:tcPr>
          <w:p w:rsidR="00697BCD" w:rsidRDefault="00697BCD" w:rsidP="00624E11">
            <w:pPr>
              <w:pStyle w:val="Tabletext-right"/>
            </w:pPr>
            <w:r>
              <w:t xml:space="preserve"> –</w:t>
            </w:r>
          </w:p>
        </w:tc>
        <w:tc>
          <w:tcPr>
            <w:tcW w:w="0" w:type="auto"/>
            <w:shd w:val="clear" w:color="auto" w:fill="auto"/>
          </w:tcPr>
          <w:p w:rsidR="00697BCD" w:rsidRDefault="00697BCD" w:rsidP="00624E11">
            <w:pPr>
              <w:pStyle w:val="Tabletext-right"/>
            </w:pPr>
            <w:r>
              <w:t>7%</w:t>
            </w:r>
          </w:p>
        </w:tc>
        <w:tc>
          <w:tcPr>
            <w:tcW w:w="0" w:type="auto"/>
            <w:shd w:val="clear" w:color="auto" w:fill="auto"/>
          </w:tcPr>
          <w:p w:rsidR="00697BCD" w:rsidRDefault="00697BCD" w:rsidP="00624E11">
            <w:pPr>
              <w:pStyle w:val="Tabletext-right"/>
            </w:pPr>
            <w:r>
              <w:rPr>
                <w:rStyle w:val="Arialarrow"/>
              </w:rPr>
              <w:t>▲</w:t>
            </w:r>
            <w:r>
              <w:t>3%</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Click Energy</w:t>
            </w:r>
          </w:p>
        </w:tc>
        <w:tc>
          <w:tcPr>
            <w:tcW w:w="0" w:type="auto"/>
            <w:shd w:val="clear" w:color="auto" w:fill="auto"/>
          </w:tcPr>
          <w:p w:rsidR="00697BCD" w:rsidRDefault="00697BCD" w:rsidP="00624E11">
            <w:pPr>
              <w:pStyle w:val="Tabletext-right"/>
            </w:pPr>
            <w:r>
              <w:t>69%</w:t>
            </w:r>
          </w:p>
        </w:tc>
        <w:tc>
          <w:tcPr>
            <w:tcW w:w="0" w:type="auto"/>
            <w:shd w:val="clear" w:color="auto" w:fill="auto"/>
          </w:tcPr>
          <w:p w:rsidR="00697BCD" w:rsidRDefault="00697BCD" w:rsidP="00624E11">
            <w:pPr>
              <w:pStyle w:val="Tabletext-right"/>
            </w:pPr>
            <w:r>
              <w:rPr>
                <w:rStyle w:val="Arialarrow"/>
              </w:rPr>
              <w:t>▼</w:t>
            </w:r>
            <w:r>
              <w:t>5%</w:t>
            </w:r>
          </w:p>
        </w:tc>
        <w:tc>
          <w:tcPr>
            <w:tcW w:w="0" w:type="auto"/>
            <w:shd w:val="clear" w:color="auto" w:fill="auto"/>
          </w:tcPr>
          <w:p w:rsidR="00697BCD" w:rsidRDefault="00697BCD" w:rsidP="00624E11">
            <w:pPr>
              <w:pStyle w:val="Tabletext-right"/>
            </w:pPr>
            <w:r>
              <w:t>45</w:t>
            </w:r>
          </w:p>
        </w:tc>
        <w:tc>
          <w:tcPr>
            <w:tcW w:w="0" w:type="auto"/>
            <w:shd w:val="clear" w:color="auto" w:fill="auto"/>
          </w:tcPr>
          <w:p w:rsidR="00697BCD" w:rsidRDefault="00697BCD" w:rsidP="00624E11">
            <w:pPr>
              <w:pStyle w:val="Tabletext-right"/>
            </w:pPr>
            <w:r>
              <w:rPr>
                <w:rStyle w:val="Arialarrow"/>
              </w:rPr>
              <w:t>▼</w:t>
            </w:r>
            <w:r>
              <w:t>4.8</w:t>
            </w:r>
          </w:p>
        </w:tc>
        <w:tc>
          <w:tcPr>
            <w:tcW w:w="0" w:type="auto"/>
            <w:shd w:val="clear" w:color="auto" w:fill="auto"/>
          </w:tcPr>
          <w:p w:rsidR="00697BCD" w:rsidRDefault="00697BCD" w:rsidP="00624E11">
            <w:pPr>
              <w:pStyle w:val="Tabletext-right"/>
            </w:pPr>
            <w:r>
              <w:t>3%</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CovaU</w:t>
            </w:r>
            <w:proofErr w:type="spellEnd"/>
          </w:p>
        </w:tc>
        <w:tc>
          <w:tcPr>
            <w:tcW w:w="0" w:type="auto"/>
            <w:shd w:val="clear" w:color="auto" w:fill="auto"/>
          </w:tcPr>
          <w:p w:rsidR="00697BCD" w:rsidRDefault="00697BCD" w:rsidP="00624E11">
            <w:pPr>
              <w:pStyle w:val="Tabletext-right"/>
            </w:pPr>
            <w:r>
              <w:t>88%</w:t>
            </w:r>
          </w:p>
        </w:tc>
        <w:tc>
          <w:tcPr>
            <w:tcW w:w="0" w:type="auto"/>
            <w:shd w:val="clear" w:color="auto" w:fill="auto"/>
          </w:tcPr>
          <w:p w:rsidR="00697BCD" w:rsidRDefault="00697BCD" w:rsidP="00624E11">
            <w:pPr>
              <w:pStyle w:val="Tabletext-right"/>
            </w:pPr>
            <w:r>
              <w:rPr>
                <w:rStyle w:val="Arialarrow"/>
              </w:rPr>
              <w:t>▼</w:t>
            </w:r>
            <w:r>
              <w:t>5%</w:t>
            </w:r>
          </w:p>
        </w:tc>
        <w:tc>
          <w:tcPr>
            <w:tcW w:w="0" w:type="auto"/>
            <w:shd w:val="clear" w:color="auto" w:fill="auto"/>
          </w:tcPr>
          <w:p w:rsidR="00697BCD" w:rsidRDefault="00697BCD" w:rsidP="00624E11">
            <w:pPr>
              <w:pStyle w:val="Tabletext-right"/>
            </w:pPr>
            <w:r>
              <w:t>19</w:t>
            </w:r>
          </w:p>
        </w:tc>
        <w:tc>
          <w:tcPr>
            <w:tcW w:w="0" w:type="auto"/>
            <w:shd w:val="clear" w:color="auto" w:fill="auto"/>
          </w:tcPr>
          <w:p w:rsidR="00697BCD" w:rsidRDefault="00697BCD" w:rsidP="00624E11">
            <w:pPr>
              <w:pStyle w:val="Tabletext-right"/>
            </w:pPr>
            <w:r>
              <w:rPr>
                <w:rStyle w:val="Arialarrow"/>
              </w:rPr>
              <w:t>▲</w:t>
            </w:r>
            <w:r>
              <w:t>15.5</w:t>
            </w:r>
          </w:p>
        </w:tc>
        <w:tc>
          <w:tcPr>
            <w:tcW w:w="0" w:type="auto"/>
            <w:shd w:val="clear" w:color="auto" w:fill="auto"/>
          </w:tcPr>
          <w:p w:rsidR="00697BCD" w:rsidRDefault="00697BCD" w:rsidP="00624E11">
            <w:pPr>
              <w:pStyle w:val="Tabletext-right"/>
            </w:pPr>
            <w:r>
              <w:t>5%</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Diamond Energy</w:t>
            </w:r>
          </w:p>
        </w:tc>
        <w:tc>
          <w:tcPr>
            <w:tcW w:w="0" w:type="auto"/>
            <w:shd w:val="clear" w:color="auto" w:fill="auto"/>
          </w:tcPr>
          <w:p w:rsidR="00697BCD" w:rsidRDefault="00697BCD" w:rsidP="00624E11">
            <w:pPr>
              <w:pStyle w:val="Tabletext-right"/>
            </w:pPr>
            <w:r>
              <w:t>100%</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 xml:space="preserve"> –</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EnergyAustralia</w:t>
            </w:r>
            <w:proofErr w:type="spellEnd"/>
          </w:p>
        </w:tc>
        <w:tc>
          <w:tcPr>
            <w:tcW w:w="0" w:type="auto"/>
            <w:shd w:val="clear" w:color="auto" w:fill="auto"/>
          </w:tcPr>
          <w:p w:rsidR="00697BCD" w:rsidRDefault="00697BCD" w:rsidP="00624E11">
            <w:pPr>
              <w:pStyle w:val="Tabletext-right"/>
            </w:pPr>
            <w:r>
              <w:t>77%</w:t>
            </w:r>
          </w:p>
        </w:tc>
        <w:tc>
          <w:tcPr>
            <w:tcW w:w="0" w:type="auto"/>
            <w:shd w:val="clear" w:color="auto" w:fill="auto"/>
          </w:tcPr>
          <w:p w:rsidR="00697BCD" w:rsidRDefault="00697BCD" w:rsidP="00624E11">
            <w:pPr>
              <w:pStyle w:val="Tabletext-right"/>
            </w:pPr>
            <w:r>
              <w:rPr>
                <w:rStyle w:val="Arialarrow"/>
              </w:rPr>
              <w:t>▼</w:t>
            </w:r>
            <w:r>
              <w:t>15%</w:t>
            </w:r>
          </w:p>
        </w:tc>
        <w:tc>
          <w:tcPr>
            <w:tcW w:w="0" w:type="auto"/>
            <w:shd w:val="clear" w:color="auto" w:fill="auto"/>
          </w:tcPr>
          <w:p w:rsidR="00697BCD" w:rsidRDefault="00697BCD" w:rsidP="00624E11">
            <w:pPr>
              <w:pStyle w:val="Tabletext-right"/>
            </w:pPr>
            <w:r>
              <w:t>31</w:t>
            </w:r>
          </w:p>
        </w:tc>
        <w:tc>
          <w:tcPr>
            <w:tcW w:w="0" w:type="auto"/>
            <w:shd w:val="clear" w:color="auto" w:fill="auto"/>
          </w:tcPr>
          <w:p w:rsidR="00697BCD" w:rsidRDefault="00697BCD" w:rsidP="00624E11">
            <w:pPr>
              <w:pStyle w:val="Tabletext-right"/>
            </w:pPr>
            <w:r>
              <w:rPr>
                <w:rStyle w:val="Arialarrow"/>
              </w:rPr>
              <w:t>▲</w:t>
            </w:r>
            <w:r>
              <w:t>21.5</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Enova Energy</w:t>
            </w:r>
          </w:p>
        </w:tc>
        <w:tc>
          <w:tcPr>
            <w:tcW w:w="0" w:type="auto"/>
            <w:shd w:val="clear" w:color="auto" w:fill="auto"/>
          </w:tcPr>
          <w:p w:rsidR="00697BCD" w:rsidRDefault="00697BCD" w:rsidP="00624E11">
            <w:pPr>
              <w:pStyle w:val="Tabletext-right"/>
            </w:pPr>
            <w:r>
              <w:t>86%</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4</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5%</w:t>
            </w: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Ergon Energy Queensland</w:t>
            </w:r>
          </w:p>
        </w:tc>
        <w:tc>
          <w:tcPr>
            <w:tcW w:w="0" w:type="auto"/>
            <w:shd w:val="clear" w:color="auto" w:fill="auto"/>
          </w:tcPr>
          <w:p w:rsidR="00697BCD" w:rsidRDefault="00697BCD" w:rsidP="00624E11">
            <w:pPr>
              <w:pStyle w:val="Tabletext-right"/>
            </w:pPr>
            <w:r>
              <w:t>51%</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120</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7%</w:t>
            </w: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ERM Power Retail</w:t>
            </w:r>
          </w:p>
        </w:tc>
        <w:tc>
          <w:tcPr>
            <w:tcW w:w="0" w:type="auto"/>
            <w:shd w:val="clear" w:color="auto" w:fill="auto"/>
          </w:tcPr>
          <w:p w:rsidR="00697BCD" w:rsidRDefault="00697BCD" w:rsidP="00624E11">
            <w:pPr>
              <w:pStyle w:val="Tabletext-right"/>
            </w:pPr>
            <w:r>
              <w:t>97%</w:t>
            </w:r>
          </w:p>
        </w:tc>
        <w:tc>
          <w:tcPr>
            <w:tcW w:w="0" w:type="auto"/>
            <w:shd w:val="clear" w:color="auto" w:fill="auto"/>
          </w:tcPr>
          <w:p w:rsidR="00697BCD" w:rsidRDefault="00697BCD" w:rsidP="00624E11">
            <w:pPr>
              <w:pStyle w:val="Tabletext-right"/>
            </w:pPr>
            <w:r>
              <w:rPr>
                <w:rStyle w:val="Arialarrow"/>
              </w:rPr>
              <w:t>▲</w:t>
            </w:r>
            <w:r>
              <w:t>2%</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rPr>
                <w:rStyle w:val="Arialarrow"/>
              </w:rPr>
              <w:t>▼</w:t>
            </w:r>
            <w:r>
              <w:t>11.8</w:t>
            </w:r>
          </w:p>
        </w:tc>
        <w:tc>
          <w:tcPr>
            <w:tcW w:w="0" w:type="auto"/>
            <w:shd w:val="clear" w:color="auto" w:fill="auto"/>
          </w:tcPr>
          <w:p w:rsidR="00697BCD" w:rsidRDefault="00697BCD" w:rsidP="00624E11">
            <w:pPr>
              <w:pStyle w:val="Tabletext-right"/>
            </w:pPr>
            <w:r>
              <w:t>1%</w:t>
            </w:r>
          </w:p>
        </w:tc>
        <w:tc>
          <w:tcPr>
            <w:tcW w:w="0" w:type="auto"/>
            <w:shd w:val="clear" w:color="auto" w:fill="auto"/>
          </w:tcPr>
          <w:p w:rsidR="00697BCD" w:rsidRDefault="00697BCD" w:rsidP="00624E11">
            <w:pPr>
              <w:pStyle w:val="Tabletext-right"/>
            </w:pPr>
            <w:r>
              <w:rPr>
                <w:rStyle w:val="Arialarrow"/>
              </w:rPr>
              <w:t>▼</w:t>
            </w:r>
            <w:r>
              <w:t>5%</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Locality Planning Energy</w:t>
            </w:r>
          </w:p>
        </w:tc>
        <w:tc>
          <w:tcPr>
            <w:tcW w:w="0" w:type="auto"/>
            <w:shd w:val="clear" w:color="auto" w:fill="auto"/>
          </w:tcPr>
          <w:p w:rsidR="00697BCD" w:rsidRDefault="00697BCD" w:rsidP="00624E11">
            <w:pPr>
              <w:pStyle w:val="Tabletext-right"/>
            </w:pPr>
            <w:r>
              <w:t>80%</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18</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5%</w:t>
            </w: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0" w:type="auto"/>
            <w:shd w:val="clear" w:color="auto" w:fill="auto"/>
          </w:tcPr>
          <w:p w:rsidR="00697BCD" w:rsidRDefault="00697BCD" w:rsidP="00624E11">
            <w:pPr>
              <w:pStyle w:val="Tabletext-right"/>
            </w:pPr>
            <w:r>
              <w:t>84%</w:t>
            </w:r>
          </w:p>
        </w:tc>
        <w:tc>
          <w:tcPr>
            <w:tcW w:w="0" w:type="auto"/>
            <w:shd w:val="clear" w:color="auto" w:fill="auto"/>
          </w:tcPr>
          <w:p w:rsidR="00697BCD" w:rsidRDefault="00697BCD" w:rsidP="00624E11">
            <w:pPr>
              <w:pStyle w:val="Tabletext-right"/>
            </w:pPr>
            <w:r>
              <w:rPr>
                <w:rStyle w:val="Arialarrow"/>
              </w:rPr>
              <w:t>▼</w:t>
            </w:r>
            <w:r>
              <w:t>2%</w:t>
            </w:r>
          </w:p>
        </w:tc>
        <w:tc>
          <w:tcPr>
            <w:tcW w:w="0" w:type="auto"/>
            <w:shd w:val="clear" w:color="auto" w:fill="auto"/>
          </w:tcPr>
          <w:p w:rsidR="00697BCD" w:rsidRDefault="00697BCD" w:rsidP="00624E11">
            <w:pPr>
              <w:pStyle w:val="Tabletext-right"/>
            </w:pPr>
            <w:r>
              <w:t>19</w:t>
            </w:r>
          </w:p>
        </w:tc>
        <w:tc>
          <w:tcPr>
            <w:tcW w:w="0" w:type="auto"/>
            <w:shd w:val="clear" w:color="auto" w:fill="auto"/>
          </w:tcPr>
          <w:p w:rsidR="00697BCD" w:rsidRDefault="00697BCD" w:rsidP="00624E11">
            <w:pPr>
              <w:pStyle w:val="Tabletext-right"/>
            </w:pPr>
            <w:r>
              <w:t>0.0</w:t>
            </w:r>
          </w:p>
        </w:tc>
        <w:tc>
          <w:tcPr>
            <w:tcW w:w="0" w:type="auto"/>
            <w:shd w:val="clear" w:color="auto" w:fill="auto"/>
          </w:tcPr>
          <w:p w:rsidR="00697BCD" w:rsidRDefault="00697BCD" w:rsidP="00624E11">
            <w:pPr>
              <w:pStyle w:val="Tabletext-right"/>
            </w:pPr>
            <w:r>
              <w:t>1%</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M2 Energy</w:t>
            </w:r>
          </w:p>
        </w:tc>
        <w:tc>
          <w:tcPr>
            <w:tcW w:w="0" w:type="auto"/>
            <w:shd w:val="clear" w:color="auto" w:fill="auto"/>
          </w:tcPr>
          <w:p w:rsidR="00697BCD" w:rsidRDefault="00697BCD" w:rsidP="00624E11">
            <w:pPr>
              <w:pStyle w:val="Tabletext-right"/>
            </w:pPr>
            <w:r>
              <w:t>88%</w:t>
            </w:r>
          </w:p>
        </w:tc>
        <w:tc>
          <w:tcPr>
            <w:tcW w:w="0" w:type="auto"/>
            <w:shd w:val="clear" w:color="auto" w:fill="auto"/>
          </w:tcPr>
          <w:p w:rsidR="00697BCD" w:rsidRDefault="00697BCD" w:rsidP="00624E11">
            <w:pPr>
              <w:pStyle w:val="Tabletext-right"/>
            </w:pPr>
            <w:r>
              <w:rPr>
                <w:rStyle w:val="Arialarrow"/>
              </w:rPr>
              <w:t>▲</w:t>
            </w:r>
            <w:r>
              <w:t>9%</w:t>
            </w:r>
          </w:p>
        </w:tc>
        <w:tc>
          <w:tcPr>
            <w:tcW w:w="0" w:type="auto"/>
            <w:shd w:val="clear" w:color="auto" w:fill="auto"/>
          </w:tcPr>
          <w:p w:rsidR="00697BCD" w:rsidRDefault="00697BCD" w:rsidP="00624E11">
            <w:pPr>
              <w:pStyle w:val="Tabletext-right"/>
            </w:pPr>
            <w:r>
              <w:t>26</w:t>
            </w:r>
          </w:p>
        </w:tc>
        <w:tc>
          <w:tcPr>
            <w:tcW w:w="0" w:type="auto"/>
            <w:shd w:val="clear" w:color="auto" w:fill="auto"/>
          </w:tcPr>
          <w:p w:rsidR="00697BCD" w:rsidRDefault="00697BCD" w:rsidP="00624E11">
            <w:pPr>
              <w:pStyle w:val="Tabletext-right"/>
            </w:pPr>
            <w:r>
              <w:rPr>
                <w:rStyle w:val="Arialarrow"/>
              </w:rPr>
              <w:t>▲</w:t>
            </w:r>
            <w:r>
              <w:t>6.3</w:t>
            </w:r>
          </w:p>
        </w:tc>
        <w:tc>
          <w:tcPr>
            <w:tcW w:w="0" w:type="auto"/>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0" w:type="auto"/>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 xml:space="preserve">Metered Energy </w:t>
            </w:r>
            <w:r w:rsidRPr="00391B03">
              <w:lastRenderedPageBreak/>
              <w:t>Holdings</w:t>
            </w:r>
          </w:p>
        </w:tc>
        <w:tc>
          <w:tcPr>
            <w:tcW w:w="0" w:type="auto"/>
            <w:shd w:val="clear" w:color="auto" w:fill="auto"/>
          </w:tcPr>
          <w:p w:rsidR="00697BCD" w:rsidRDefault="00697BCD" w:rsidP="00624E11">
            <w:pPr>
              <w:pStyle w:val="Tabletext-right"/>
            </w:pPr>
            <w:r>
              <w:lastRenderedPageBreak/>
              <w:t>100%</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lastRenderedPageBreak/>
              <w:t>Mojo Power</w:t>
            </w:r>
          </w:p>
        </w:tc>
        <w:tc>
          <w:tcPr>
            <w:tcW w:w="0" w:type="auto"/>
            <w:shd w:val="clear" w:color="auto" w:fill="auto"/>
          </w:tcPr>
          <w:p w:rsidR="00697BCD" w:rsidRDefault="00697BCD" w:rsidP="00624E11">
            <w:pPr>
              <w:pStyle w:val="Tabletext-right"/>
            </w:pPr>
            <w:r>
              <w:t>81%</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9</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Momentum Energy</w:t>
            </w:r>
          </w:p>
        </w:tc>
        <w:tc>
          <w:tcPr>
            <w:tcW w:w="0" w:type="auto"/>
            <w:shd w:val="clear" w:color="auto" w:fill="auto"/>
          </w:tcPr>
          <w:p w:rsidR="00697BCD" w:rsidRDefault="00697BCD" w:rsidP="00624E11">
            <w:pPr>
              <w:pStyle w:val="Tabletext-right"/>
            </w:pPr>
            <w:r>
              <w:t>84%</w:t>
            </w:r>
          </w:p>
        </w:tc>
        <w:tc>
          <w:tcPr>
            <w:tcW w:w="0" w:type="auto"/>
            <w:shd w:val="clear" w:color="auto" w:fill="auto"/>
          </w:tcPr>
          <w:p w:rsidR="00697BCD" w:rsidRDefault="00697BCD" w:rsidP="00624E11">
            <w:pPr>
              <w:pStyle w:val="Tabletext-right"/>
            </w:pPr>
            <w:r>
              <w:rPr>
                <w:rStyle w:val="Arialarrow"/>
              </w:rPr>
              <w:t>▲</w:t>
            </w:r>
            <w:r>
              <w:t>8%</w:t>
            </w:r>
          </w:p>
        </w:tc>
        <w:tc>
          <w:tcPr>
            <w:tcW w:w="0" w:type="auto"/>
            <w:shd w:val="clear" w:color="auto" w:fill="auto"/>
          </w:tcPr>
          <w:p w:rsidR="00697BCD" w:rsidRDefault="00697BCD" w:rsidP="00624E11">
            <w:pPr>
              <w:pStyle w:val="Tabletext-right"/>
            </w:pPr>
            <w:r>
              <w:t>35</w:t>
            </w:r>
          </w:p>
        </w:tc>
        <w:tc>
          <w:tcPr>
            <w:tcW w:w="0" w:type="auto"/>
            <w:shd w:val="clear" w:color="auto" w:fill="auto"/>
          </w:tcPr>
          <w:p w:rsidR="00697BCD" w:rsidRDefault="00697BCD" w:rsidP="00624E11">
            <w:pPr>
              <w:pStyle w:val="Tabletext-right"/>
            </w:pPr>
            <w:r>
              <w:rPr>
                <w:rStyle w:val="Arialarrow"/>
              </w:rPr>
              <w:t>▼</w:t>
            </w:r>
            <w:r>
              <w:t>74.5</w:t>
            </w:r>
          </w:p>
        </w:tc>
        <w:tc>
          <w:tcPr>
            <w:tcW w:w="0" w:type="auto"/>
            <w:shd w:val="clear" w:color="auto" w:fill="auto"/>
          </w:tcPr>
          <w:p w:rsidR="00697BCD" w:rsidRDefault="00697BCD" w:rsidP="00624E11">
            <w:pPr>
              <w:pStyle w:val="Tabletext-right"/>
            </w:pPr>
            <w:r>
              <w:t>1%</w:t>
            </w:r>
          </w:p>
        </w:tc>
        <w:tc>
          <w:tcPr>
            <w:tcW w:w="0" w:type="auto"/>
            <w:shd w:val="clear" w:color="auto" w:fill="auto"/>
          </w:tcPr>
          <w:p w:rsidR="00697BCD" w:rsidRDefault="00697BCD" w:rsidP="00624E11">
            <w:pPr>
              <w:pStyle w:val="Tabletext-right"/>
            </w:pPr>
            <w:r>
              <w:rPr>
                <w:rStyle w:val="Arialarrow"/>
              </w:rPr>
              <w:t>▼</w:t>
            </w:r>
            <w:r>
              <w:t>2%</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Next Business Energy</w:t>
            </w:r>
          </w:p>
        </w:tc>
        <w:tc>
          <w:tcPr>
            <w:tcW w:w="0" w:type="auto"/>
            <w:shd w:val="clear" w:color="auto" w:fill="auto"/>
          </w:tcPr>
          <w:p w:rsidR="00697BCD" w:rsidRDefault="00697BCD" w:rsidP="00624E11">
            <w:pPr>
              <w:pStyle w:val="Tabletext-right"/>
            </w:pPr>
            <w:r>
              <w:t>92%</w:t>
            </w:r>
          </w:p>
        </w:tc>
        <w:tc>
          <w:tcPr>
            <w:tcW w:w="0" w:type="auto"/>
            <w:shd w:val="clear" w:color="auto" w:fill="auto"/>
          </w:tcPr>
          <w:p w:rsidR="00697BCD" w:rsidRDefault="00697BCD" w:rsidP="00624E11">
            <w:pPr>
              <w:pStyle w:val="Tabletext-right"/>
            </w:pPr>
            <w:r>
              <w:rPr>
                <w:rStyle w:val="Arialarrow"/>
              </w:rPr>
              <w:t>▼</w:t>
            </w:r>
            <w:r>
              <w:t>1%</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rPr>
                <w:rStyle w:val="Arialarrow"/>
              </w:rPr>
              <w:t>▼</w:t>
            </w:r>
            <w:r>
              <w:t>11.6</w:t>
            </w:r>
          </w:p>
        </w:tc>
        <w:tc>
          <w:tcPr>
            <w:tcW w:w="0" w:type="auto"/>
            <w:shd w:val="clear" w:color="auto" w:fill="auto"/>
          </w:tcPr>
          <w:p w:rsidR="00697BCD" w:rsidRDefault="00697BCD" w:rsidP="00624E11">
            <w:pPr>
              <w:pStyle w:val="Tabletext-right"/>
            </w:pPr>
            <w:r>
              <w:t>0%</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Origin Energy</w:t>
            </w:r>
          </w:p>
        </w:tc>
        <w:tc>
          <w:tcPr>
            <w:tcW w:w="0" w:type="auto"/>
            <w:shd w:val="clear" w:color="auto" w:fill="auto"/>
          </w:tcPr>
          <w:p w:rsidR="00697BCD" w:rsidRDefault="00697BCD" w:rsidP="00624E11">
            <w:pPr>
              <w:pStyle w:val="Tabletext-right"/>
            </w:pPr>
            <w:r>
              <w:t>53%</w:t>
            </w:r>
          </w:p>
        </w:tc>
        <w:tc>
          <w:tcPr>
            <w:tcW w:w="0" w:type="auto"/>
            <w:shd w:val="clear" w:color="auto" w:fill="auto"/>
          </w:tcPr>
          <w:p w:rsidR="00697BCD" w:rsidRDefault="00697BCD" w:rsidP="00624E11">
            <w:pPr>
              <w:pStyle w:val="Tabletext-right"/>
            </w:pPr>
            <w:r>
              <w:rPr>
                <w:rStyle w:val="Arialarrow"/>
              </w:rPr>
              <w:t>▼</w:t>
            </w:r>
            <w:r>
              <w:t>6%</w:t>
            </w:r>
          </w:p>
        </w:tc>
        <w:tc>
          <w:tcPr>
            <w:tcW w:w="0" w:type="auto"/>
            <w:shd w:val="clear" w:color="auto" w:fill="auto"/>
          </w:tcPr>
          <w:p w:rsidR="00697BCD" w:rsidRDefault="00697BCD" w:rsidP="00624E11">
            <w:pPr>
              <w:pStyle w:val="Tabletext-right"/>
            </w:pPr>
            <w:r>
              <w:t>139</w:t>
            </w:r>
          </w:p>
        </w:tc>
        <w:tc>
          <w:tcPr>
            <w:tcW w:w="0" w:type="auto"/>
            <w:shd w:val="clear" w:color="auto" w:fill="auto"/>
          </w:tcPr>
          <w:p w:rsidR="00697BCD" w:rsidRDefault="00697BCD" w:rsidP="00624E11">
            <w:pPr>
              <w:pStyle w:val="Tabletext-right"/>
            </w:pPr>
            <w:r>
              <w:rPr>
                <w:rStyle w:val="Arialarrow"/>
              </w:rPr>
              <w:t>▲</w:t>
            </w:r>
            <w:r>
              <w:t>61.5</w:t>
            </w:r>
          </w:p>
        </w:tc>
        <w:tc>
          <w:tcPr>
            <w:tcW w:w="0" w:type="auto"/>
            <w:shd w:val="clear" w:color="auto" w:fill="auto"/>
          </w:tcPr>
          <w:p w:rsidR="00697BCD" w:rsidRDefault="00697BCD" w:rsidP="00624E11">
            <w:pPr>
              <w:pStyle w:val="Tabletext-right"/>
            </w:pPr>
            <w:r>
              <w:t>12%</w:t>
            </w:r>
          </w:p>
        </w:tc>
        <w:tc>
          <w:tcPr>
            <w:tcW w:w="0" w:type="auto"/>
            <w:shd w:val="clear" w:color="auto" w:fill="auto"/>
          </w:tcPr>
          <w:p w:rsidR="00697BCD" w:rsidRDefault="00697BCD" w:rsidP="00624E11">
            <w:pPr>
              <w:pStyle w:val="Tabletext-right"/>
            </w:pPr>
            <w:r>
              <w:rPr>
                <w:rStyle w:val="Arialarrow"/>
              </w:rPr>
              <w:t>▲</w:t>
            </w:r>
            <w:r>
              <w:t>2%</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Pacific Hydro Retail</w:t>
            </w:r>
          </w:p>
        </w:tc>
        <w:tc>
          <w:tcPr>
            <w:tcW w:w="0" w:type="auto"/>
            <w:shd w:val="clear" w:color="auto" w:fill="auto"/>
          </w:tcPr>
          <w:p w:rsidR="00697BCD" w:rsidRDefault="00697BCD" w:rsidP="00624E11">
            <w:pPr>
              <w:pStyle w:val="Tabletext-right"/>
            </w:pPr>
            <w:r>
              <w:t>98%</w:t>
            </w:r>
          </w:p>
        </w:tc>
        <w:tc>
          <w:tcPr>
            <w:tcW w:w="0" w:type="auto"/>
            <w:shd w:val="clear" w:color="auto" w:fill="auto"/>
          </w:tcPr>
          <w:p w:rsidR="00697BCD" w:rsidRDefault="00697BCD" w:rsidP="00624E11">
            <w:pPr>
              <w:pStyle w:val="Tabletext-right"/>
            </w:pPr>
            <w:r>
              <w:rPr>
                <w:rStyle w:val="Arialarrow"/>
              </w:rPr>
              <w:t>▲</w:t>
            </w:r>
            <w:r>
              <w:t>1%</w:t>
            </w:r>
          </w:p>
        </w:tc>
        <w:tc>
          <w:tcPr>
            <w:tcW w:w="0" w:type="auto"/>
            <w:shd w:val="clear" w:color="auto" w:fill="auto"/>
          </w:tcPr>
          <w:p w:rsidR="00697BCD" w:rsidRDefault="00697BCD" w:rsidP="00624E11">
            <w:pPr>
              <w:pStyle w:val="Tabletext-right"/>
            </w:pPr>
            <w:r>
              <w:t>5</w:t>
            </w:r>
          </w:p>
        </w:tc>
        <w:tc>
          <w:tcPr>
            <w:tcW w:w="0" w:type="auto"/>
            <w:shd w:val="clear" w:color="auto" w:fill="auto"/>
          </w:tcPr>
          <w:p w:rsidR="00697BCD" w:rsidRDefault="00697BCD" w:rsidP="00624E11">
            <w:pPr>
              <w:pStyle w:val="Tabletext-right"/>
            </w:pPr>
            <w:r>
              <w:t>1.0</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Pooled Energy</w:t>
            </w:r>
          </w:p>
        </w:tc>
        <w:tc>
          <w:tcPr>
            <w:tcW w:w="0" w:type="auto"/>
            <w:shd w:val="clear" w:color="auto" w:fill="auto"/>
          </w:tcPr>
          <w:p w:rsidR="00697BCD" w:rsidRDefault="00697BCD" w:rsidP="00624E11">
            <w:pPr>
              <w:pStyle w:val="Tabletext-right"/>
            </w:pPr>
            <w:r>
              <w:t>91%</w:t>
            </w:r>
          </w:p>
        </w:tc>
        <w:tc>
          <w:tcPr>
            <w:tcW w:w="0" w:type="auto"/>
            <w:shd w:val="clear" w:color="auto" w:fill="auto"/>
          </w:tcPr>
          <w:p w:rsidR="00697BCD" w:rsidRDefault="00697BCD" w:rsidP="00624E11">
            <w:pPr>
              <w:pStyle w:val="Tabletext-right"/>
            </w:pPr>
            <w:r>
              <w:rPr>
                <w:rStyle w:val="Arialarrow"/>
              </w:rPr>
              <w:t>▼</w:t>
            </w:r>
            <w:r>
              <w:t>5%</w:t>
            </w:r>
          </w:p>
        </w:tc>
        <w:tc>
          <w:tcPr>
            <w:tcW w:w="0" w:type="auto"/>
            <w:shd w:val="clear" w:color="auto" w:fill="auto"/>
          </w:tcPr>
          <w:p w:rsidR="00697BCD" w:rsidRDefault="00697BCD" w:rsidP="00624E11">
            <w:pPr>
              <w:pStyle w:val="Tabletext-right"/>
            </w:pPr>
            <w:r>
              <w:t>8</w:t>
            </w:r>
          </w:p>
        </w:tc>
        <w:tc>
          <w:tcPr>
            <w:tcW w:w="0" w:type="auto"/>
            <w:shd w:val="clear" w:color="auto" w:fill="auto"/>
          </w:tcPr>
          <w:p w:rsidR="00697BCD" w:rsidRDefault="00697BCD" w:rsidP="00624E11">
            <w:pPr>
              <w:pStyle w:val="Tabletext-right"/>
            </w:pPr>
            <w:r>
              <w:t>0.0</w:t>
            </w:r>
          </w:p>
        </w:tc>
        <w:tc>
          <w:tcPr>
            <w:tcW w:w="0" w:type="auto"/>
            <w:shd w:val="clear" w:color="auto" w:fill="auto"/>
          </w:tcPr>
          <w:p w:rsidR="00697BCD" w:rsidRDefault="00697BCD" w:rsidP="00624E11">
            <w:pPr>
              <w:pStyle w:val="Tabletext-right"/>
            </w:pPr>
            <w:r>
              <w:t>4%</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Powerdirect</w:t>
            </w:r>
            <w:proofErr w:type="spellEnd"/>
          </w:p>
        </w:tc>
        <w:tc>
          <w:tcPr>
            <w:tcW w:w="0" w:type="auto"/>
            <w:shd w:val="clear" w:color="auto" w:fill="auto"/>
          </w:tcPr>
          <w:p w:rsidR="00697BCD" w:rsidRDefault="00697BCD" w:rsidP="00624E11">
            <w:pPr>
              <w:pStyle w:val="Tabletext-right"/>
            </w:pPr>
            <w:r>
              <w:t>89%</w:t>
            </w:r>
          </w:p>
        </w:tc>
        <w:tc>
          <w:tcPr>
            <w:tcW w:w="0" w:type="auto"/>
            <w:shd w:val="clear" w:color="auto" w:fill="auto"/>
          </w:tcPr>
          <w:p w:rsidR="00697BCD" w:rsidRDefault="00697BCD" w:rsidP="00624E11">
            <w:pPr>
              <w:pStyle w:val="Tabletext-right"/>
            </w:pPr>
            <w:r>
              <w:rPr>
                <w:rStyle w:val="Arialarrow"/>
              </w:rPr>
              <w:t>▲</w:t>
            </w:r>
            <w:r>
              <w:t>9%</w:t>
            </w:r>
          </w:p>
        </w:tc>
        <w:tc>
          <w:tcPr>
            <w:tcW w:w="0" w:type="auto"/>
            <w:shd w:val="clear" w:color="auto" w:fill="auto"/>
          </w:tcPr>
          <w:p w:rsidR="00697BCD" w:rsidRDefault="00697BCD" w:rsidP="00624E11">
            <w:pPr>
              <w:pStyle w:val="Tabletext-right"/>
            </w:pPr>
            <w:r>
              <w:t>13</w:t>
            </w:r>
          </w:p>
        </w:tc>
        <w:tc>
          <w:tcPr>
            <w:tcW w:w="0" w:type="auto"/>
            <w:shd w:val="clear" w:color="auto" w:fill="auto"/>
          </w:tcPr>
          <w:p w:rsidR="00697BCD" w:rsidRDefault="00697BCD" w:rsidP="00624E11">
            <w:pPr>
              <w:pStyle w:val="Tabletext-right"/>
            </w:pPr>
            <w:r>
              <w:rPr>
                <w:rStyle w:val="Arialarrow"/>
              </w:rPr>
              <w:t>▼</w:t>
            </w:r>
            <w:r>
              <w:t>19.9</w:t>
            </w:r>
          </w:p>
        </w:tc>
        <w:tc>
          <w:tcPr>
            <w:tcW w:w="0" w:type="auto"/>
            <w:shd w:val="clear" w:color="auto" w:fill="auto"/>
          </w:tcPr>
          <w:p w:rsidR="00697BCD" w:rsidRDefault="00697BCD" w:rsidP="00624E11">
            <w:pPr>
              <w:pStyle w:val="Tabletext-right"/>
            </w:pPr>
            <w:r>
              <w:t>1%</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Powershop</w:t>
            </w:r>
          </w:p>
        </w:tc>
        <w:tc>
          <w:tcPr>
            <w:tcW w:w="0" w:type="auto"/>
            <w:shd w:val="clear" w:color="auto" w:fill="auto"/>
          </w:tcPr>
          <w:p w:rsidR="00697BCD" w:rsidRDefault="00697BCD" w:rsidP="00624E11">
            <w:pPr>
              <w:pStyle w:val="Tabletext-right"/>
            </w:pPr>
            <w:r>
              <w:t>95%</w:t>
            </w:r>
          </w:p>
        </w:tc>
        <w:tc>
          <w:tcPr>
            <w:tcW w:w="0" w:type="auto"/>
            <w:shd w:val="clear" w:color="auto" w:fill="auto"/>
          </w:tcPr>
          <w:p w:rsidR="00697BCD" w:rsidRDefault="00697BCD" w:rsidP="00624E11">
            <w:pPr>
              <w:pStyle w:val="Tabletext-right"/>
            </w:pPr>
            <w:r>
              <w:rPr>
                <w:rStyle w:val="Arialarrow"/>
              </w:rPr>
              <w:t>▲</w:t>
            </w:r>
            <w:r>
              <w:t>16%</w:t>
            </w:r>
          </w:p>
        </w:tc>
        <w:tc>
          <w:tcPr>
            <w:tcW w:w="0" w:type="auto"/>
            <w:shd w:val="clear" w:color="auto" w:fill="auto"/>
          </w:tcPr>
          <w:p w:rsidR="00697BCD" w:rsidRDefault="00697BCD" w:rsidP="00624E11">
            <w:pPr>
              <w:pStyle w:val="Tabletext-right"/>
            </w:pPr>
            <w:r>
              <w:t>12</w:t>
            </w:r>
          </w:p>
        </w:tc>
        <w:tc>
          <w:tcPr>
            <w:tcW w:w="0" w:type="auto"/>
            <w:shd w:val="clear" w:color="auto" w:fill="auto"/>
          </w:tcPr>
          <w:p w:rsidR="00697BCD" w:rsidRDefault="00697BCD" w:rsidP="00624E11">
            <w:pPr>
              <w:pStyle w:val="Tabletext-right"/>
            </w:pPr>
            <w:r>
              <w:rPr>
                <w:rStyle w:val="Arialarrow"/>
              </w:rPr>
              <w:t>▼</w:t>
            </w:r>
            <w:r>
              <w:t>19.1</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QEnergy</w:t>
            </w:r>
            <w:proofErr w:type="spellEnd"/>
          </w:p>
        </w:tc>
        <w:tc>
          <w:tcPr>
            <w:tcW w:w="0" w:type="auto"/>
            <w:shd w:val="clear" w:color="auto" w:fill="auto"/>
          </w:tcPr>
          <w:p w:rsidR="00697BCD" w:rsidRDefault="00697BCD" w:rsidP="00624E11">
            <w:pPr>
              <w:pStyle w:val="Tabletext-right"/>
            </w:pPr>
            <w:r>
              <w:t>96%</w:t>
            </w:r>
          </w:p>
        </w:tc>
        <w:tc>
          <w:tcPr>
            <w:tcW w:w="0" w:type="auto"/>
            <w:shd w:val="clear" w:color="auto" w:fill="auto"/>
          </w:tcPr>
          <w:p w:rsidR="00697BCD" w:rsidRDefault="00697BCD" w:rsidP="00624E11">
            <w:pPr>
              <w:pStyle w:val="Tabletext-right"/>
            </w:pPr>
            <w:r>
              <w:rPr>
                <w:rStyle w:val="Arialarrow"/>
              </w:rPr>
              <w:t>▲</w:t>
            </w:r>
            <w:r>
              <w:t>1%</w:t>
            </w:r>
          </w:p>
        </w:tc>
        <w:tc>
          <w:tcPr>
            <w:tcW w:w="0" w:type="auto"/>
            <w:shd w:val="clear" w:color="auto" w:fill="auto"/>
          </w:tcPr>
          <w:p w:rsidR="00697BCD" w:rsidRDefault="00697BCD" w:rsidP="00624E11">
            <w:pPr>
              <w:pStyle w:val="Tabletext-right"/>
            </w:pPr>
            <w:r>
              <w:t>4</w:t>
            </w:r>
          </w:p>
        </w:tc>
        <w:tc>
          <w:tcPr>
            <w:tcW w:w="0" w:type="auto"/>
            <w:shd w:val="clear" w:color="auto" w:fill="auto"/>
          </w:tcPr>
          <w:p w:rsidR="00697BCD" w:rsidRDefault="00697BCD" w:rsidP="00624E11">
            <w:pPr>
              <w:pStyle w:val="Tabletext-right"/>
            </w:pPr>
            <w:r>
              <w:rPr>
                <w:rStyle w:val="Arialarrow"/>
              </w:rPr>
              <w:t>▼</w:t>
            </w:r>
            <w:r>
              <w:t>0.1</w:t>
            </w:r>
          </w:p>
        </w:tc>
        <w:tc>
          <w:tcPr>
            <w:tcW w:w="0" w:type="auto"/>
            <w:shd w:val="clear" w:color="auto" w:fill="auto"/>
          </w:tcPr>
          <w:p w:rsidR="00697BCD" w:rsidRDefault="00697BCD" w:rsidP="00624E11">
            <w:pPr>
              <w:pStyle w:val="Tabletext-right"/>
            </w:pPr>
            <w:r>
              <w:t>4%</w:t>
            </w:r>
          </w:p>
        </w:tc>
        <w:tc>
          <w:tcPr>
            <w:tcW w:w="0" w:type="auto"/>
            <w:shd w:val="clear" w:color="auto" w:fill="auto"/>
          </w:tcPr>
          <w:p w:rsidR="00697BCD" w:rsidRDefault="00697BCD" w:rsidP="00624E11">
            <w:pPr>
              <w:pStyle w:val="Tabletext-right"/>
            </w:pPr>
            <w:r>
              <w:rPr>
                <w:rStyle w:val="Arialarrow"/>
              </w:rPr>
              <w:t>▼</w:t>
            </w:r>
            <w:r>
              <w:t>1%</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Red Energy</w:t>
            </w:r>
          </w:p>
        </w:tc>
        <w:tc>
          <w:tcPr>
            <w:tcW w:w="0" w:type="auto"/>
            <w:shd w:val="clear" w:color="auto" w:fill="auto"/>
          </w:tcPr>
          <w:p w:rsidR="00697BCD" w:rsidRDefault="00697BCD" w:rsidP="00624E11">
            <w:pPr>
              <w:pStyle w:val="Tabletext-right"/>
            </w:pPr>
            <w:r>
              <w:t>77%</w:t>
            </w:r>
          </w:p>
        </w:tc>
        <w:tc>
          <w:tcPr>
            <w:tcW w:w="0" w:type="auto"/>
            <w:shd w:val="clear" w:color="auto" w:fill="auto"/>
          </w:tcPr>
          <w:p w:rsidR="00697BCD" w:rsidRDefault="00697BCD" w:rsidP="00624E11">
            <w:pPr>
              <w:pStyle w:val="Tabletext-right"/>
            </w:pPr>
            <w:r>
              <w:rPr>
                <w:rStyle w:val="Arialarrow"/>
              </w:rPr>
              <w:t>▼</w:t>
            </w:r>
            <w:r>
              <w:t>3%</w:t>
            </w:r>
          </w:p>
        </w:tc>
        <w:tc>
          <w:tcPr>
            <w:tcW w:w="0" w:type="auto"/>
            <w:shd w:val="clear" w:color="auto" w:fill="auto"/>
          </w:tcPr>
          <w:p w:rsidR="00697BCD" w:rsidRDefault="00697BCD" w:rsidP="00624E11">
            <w:pPr>
              <w:pStyle w:val="Tabletext-right"/>
            </w:pPr>
            <w:r>
              <w:t>36</w:t>
            </w:r>
          </w:p>
        </w:tc>
        <w:tc>
          <w:tcPr>
            <w:tcW w:w="0" w:type="auto"/>
            <w:shd w:val="clear" w:color="auto" w:fill="auto"/>
          </w:tcPr>
          <w:p w:rsidR="00697BCD" w:rsidRDefault="00697BCD" w:rsidP="00624E11">
            <w:pPr>
              <w:pStyle w:val="Tabletext-right"/>
            </w:pPr>
            <w:r>
              <w:rPr>
                <w:rStyle w:val="Arialarrow"/>
              </w:rPr>
              <w:t>▲</w:t>
            </w:r>
            <w:r>
              <w:t>2.0</w:t>
            </w:r>
          </w:p>
        </w:tc>
        <w:tc>
          <w:tcPr>
            <w:tcW w:w="0" w:type="auto"/>
            <w:shd w:val="clear" w:color="auto" w:fill="auto"/>
          </w:tcPr>
          <w:p w:rsidR="00697BCD" w:rsidRDefault="00697BCD" w:rsidP="00624E11">
            <w:pPr>
              <w:pStyle w:val="Tabletext-right"/>
            </w:pPr>
            <w:r>
              <w:t>3%</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Sanctuary Energy</w:t>
            </w:r>
          </w:p>
        </w:tc>
        <w:tc>
          <w:tcPr>
            <w:tcW w:w="0" w:type="auto"/>
            <w:shd w:val="clear" w:color="auto" w:fill="auto"/>
          </w:tcPr>
          <w:p w:rsidR="00697BCD" w:rsidRDefault="00697BCD" w:rsidP="00624E11">
            <w:pPr>
              <w:pStyle w:val="Tabletext-right"/>
            </w:pPr>
            <w:r>
              <w:t>90%</w:t>
            </w:r>
          </w:p>
        </w:tc>
        <w:tc>
          <w:tcPr>
            <w:tcW w:w="0" w:type="auto"/>
            <w:shd w:val="clear" w:color="auto" w:fill="auto"/>
          </w:tcPr>
          <w:p w:rsidR="00697BCD" w:rsidRDefault="00697BCD" w:rsidP="00624E11">
            <w:pPr>
              <w:pStyle w:val="Tabletext-right"/>
            </w:pPr>
            <w:r>
              <w:rPr>
                <w:rStyle w:val="Arialarrow"/>
              </w:rPr>
              <w:t>▼</w:t>
            </w:r>
            <w:r>
              <w:t>1%</w:t>
            </w:r>
          </w:p>
        </w:tc>
        <w:tc>
          <w:tcPr>
            <w:tcW w:w="0" w:type="auto"/>
            <w:shd w:val="clear" w:color="auto" w:fill="auto"/>
          </w:tcPr>
          <w:p w:rsidR="00697BCD" w:rsidRDefault="00697BCD" w:rsidP="00624E11">
            <w:pPr>
              <w:pStyle w:val="Tabletext-right"/>
            </w:pPr>
            <w:r>
              <w:t>11</w:t>
            </w:r>
          </w:p>
        </w:tc>
        <w:tc>
          <w:tcPr>
            <w:tcW w:w="0" w:type="auto"/>
            <w:shd w:val="clear" w:color="auto" w:fill="auto"/>
          </w:tcPr>
          <w:p w:rsidR="00697BCD" w:rsidRDefault="00697BCD" w:rsidP="00624E11">
            <w:pPr>
              <w:pStyle w:val="Tabletext-right"/>
            </w:pPr>
            <w:r>
              <w:rPr>
                <w:rStyle w:val="Arialarrow"/>
              </w:rPr>
              <w:t>▼</w:t>
            </w:r>
            <w:r>
              <w:t>1.7</w:t>
            </w:r>
          </w:p>
        </w:tc>
        <w:tc>
          <w:tcPr>
            <w:tcW w:w="0" w:type="auto"/>
            <w:shd w:val="clear" w:color="auto" w:fill="auto"/>
          </w:tcPr>
          <w:p w:rsidR="00697BCD" w:rsidRDefault="00697BCD" w:rsidP="00624E11">
            <w:pPr>
              <w:pStyle w:val="Tabletext-right"/>
            </w:pPr>
            <w:r>
              <w:t>1%</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Savant Energy Power Networks</w:t>
            </w:r>
          </w:p>
        </w:tc>
        <w:tc>
          <w:tcPr>
            <w:tcW w:w="0" w:type="auto"/>
            <w:shd w:val="clear" w:color="auto" w:fill="auto"/>
          </w:tcPr>
          <w:p w:rsidR="00697BCD" w:rsidRDefault="00697BCD" w:rsidP="00624E11">
            <w:pPr>
              <w:pStyle w:val="Tabletext-right"/>
            </w:pPr>
            <w:r>
              <w:t>92%</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N/A</w:t>
            </w:r>
          </w:p>
        </w:tc>
      </w:tr>
      <w:tr w:rsidR="00697BCD" w:rsidRPr="00391B03" w:rsidTr="00391B03">
        <w:trPr>
          <w:trHeight w:val="312"/>
        </w:trPr>
        <w:tc>
          <w:tcPr>
            <w:tcW w:w="0" w:type="auto"/>
            <w:shd w:val="clear" w:color="auto" w:fill="auto"/>
          </w:tcPr>
          <w:p w:rsidR="00697BCD" w:rsidRPr="00391B03" w:rsidRDefault="00697BCD" w:rsidP="00624E11">
            <w:pPr>
              <w:pStyle w:val="Tabletext"/>
            </w:pPr>
            <w:r w:rsidRPr="00391B03">
              <w:t>Simply Energy</w:t>
            </w:r>
          </w:p>
        </w:tc>
        <w:tc>
          <w:tcPr>
            <w:tcW w:w="0" w:type="auto"/>
            <w:shd w:val="clear" w:color="auto" w:fill="auto"/>
          </w:tcPr>
          <w:p w:rsidR="00697BCD" w:rsidRDefault="00697BCD" w:rsidP="00624E11">
            <w:pPr>
              <w:pStyle w:val="Tabletext-right"/>
            </w:pPr>
            <w:r>
              <w:t>83%</w:t>
            </w:r>
          </w:p>
        </w:tc>
        <w:tc>
          <w:tcPr>
            <w:tcW w:w="0" w:type="auto"/>
            <w:shd w:val="clear" w:color="auto" w:fill="auto"/>
          </w:tcPr>
          <w:p w:rsidR="00697BCD" w:rsidRDefault="00697BCD" w:rsidP="00624E11">
            <w:pPr>
              <w:pStyle w:val="Tabletext-right"/>
            </w:pPr>
            <w:r>
              <w:rPr>
                <w:rStyle w:val="Arialarrow"/>
              </w:rPr>
              <w:t>▼</w:t>
            </w:r>
            <w:r>
              <w:t>9%</w:t>
            </w:r>
          </w:p>
        </w:tc>
        <w:tc>
          <w:tcPr>
            <w:tcW w:w="0" w:type="auto"/>
            <w:shd w:val="clear" w:color="auto" w:fill="auto"/>
          </w:tcPr>
          <w:p w:rsidR="00697BCD" w:rsidRDefault="00697BCD" w:rsidP="00624E11">
            <w:pPr>
              <w:pStyle w:val="Tabletext-right"/>
            </w:pPr>
            <w:r>
              <w:t>21</w:t>
            </w:r>
          </w:p>
        </w:tc>
        <w:tc>
          <w:tcPr>
            <w:tcW w:w="0" w:type="auto"/>
            <w:shd w:val="clear" w:color="auto" w:fill="auto"/>
          </w:tcPr>
          <w:p w:rsidR="00697BCD" w:rsidRDefault="00697BCD" w:rsidP="00624E11">
            <w:pPr>
              <w:pStyle w:val="Tabletext-right"/>
            </w:pPr>
            <w:r>
              <w:rPr>
                <w:rStyle w:val="Arialarrow"/>
              </w:rPr>
              <w:t>▲</w:t>
            </w:r>
            <w:r>
              <w:t>0.5</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0%</w:t>
            </w:r>
          </w:p>
        </w:tc>
      </w:tr>
      <w:tr w:rsidR="00697BCD" w:rsidRPr="00391B03" w:rsidTr="00391B03">
        <w:trPr>
          <w:trHeight w:val="312"/>
        </w:trPr>
        <w:tc>
          <w:tcPr>
            <w:tcW w:w="0" w:type="auto"/>
            <w:shd w:val="clear" w:color="auto" w:fill="auto"/>
          </w:tcPr>
          <w:p w:rsidR="00697BCD" w:rsidRPr="00391B03" w:rsidRDefault="00697BCD" w:rsidP="00624E11">
            <w:pPr>
              <w:pStyle w:val="Tabletext"/>
            </w:pPr>
            <w:proofErr w:type="spellStart"/>
            <w:r w:rsidRPr="00391B03">
              <w:t>Urth</w:t>
            </w:r>
            <w:proofErr w:type="spellEnd"/>
            <w:r w:rsidRPr="00391B03">
              <w:t xml:space="preserve"> Energy</w:t>
            </w:r>
          </w:p>
        </w:tc>
        <w:tc>
          <w:tcPr>
            <w:tcW w:w="0" w:type="auto"/>
            <w:shd w:val="clear" w:color="auto" w:fill="auto"/>
          </w:tcPr>
          <w:p w:rsidR="00697BCD" w:rsidRDefault="00697BCD" w:rsidP="00624E11">
            <w:pPr>
              <w:pStyle w:val="Tabletext-right"/>
            </w:pPr>
            <w:r>
              <w:t>98%</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3</w:t>
            </w:r>
          </w:p>
        </w:tc>
        <w:tc>
          <w:tcPr>
            <w:tcW w:w="0" w:type="auto"/>
            <w:shd w:val="clear" w:color="auto" w:fill="auto"/>
          </w:tcPr>
          <w:p w:rsidR="00697BCD" w:rsidRDefault="00697BCD" w:rsidP="00624E11">
            <w:pPr>
              <w:pStyle w:val="Tabletext-right"/>
            </w:pPr>
            <w:r>
              <w:t>N/A</w:t>
            </w:r>
          </w:p>
        </w:tc>
        <w:tc>
          <w:tcPr>
            <w:tcW w:w="0" w:type="auto"/>
            <w:shd w:val="clear" w:color="auto" w:fill="auto"/>
          </w:tcPr>
          <w:p w:rsidR="00697BCD" w:rsidRDefault="00697BCD" w:rsidP="00624E11">
            <w:pPr>
              <w:pStyle w:val="Tabletext-right"/>
            </w:pPr>
            <w:r>
              <w:t>2%</w:t>
            </w:r>
          </w:p>
        </w:tc>
        <w:tc>
          <w:tcPr>
            <w:tcW w:w="0" w:type="auto"/>
            <w:shd w:val="clear" w:color="auto" w:fill="auto"/>
          </w:tcPr>
          <w:p w:rsidR="00697BCD" w:rsidRDefault="00697BCD" w:rsidP="00624E11">
            <w:pPr>
              <w:pStyle w:val="Tabletext-right"/>
            </w:pPr>
            <w:r>
              <w:t>N/A</w:t>
            </w:r>
          </w:p>
        </w:tc>
      </w:tr>
    </w:tbl>
    <w:p w:rsidR="00697BCD" w:rsidRDefault="00697BCD"/>
    <w:p w:rsidR="00697BCD" w:rsidRDefault="00697BCD" w:rsidP="00697BCD">
      <w:r>
        <w:t xml:space="preserve">Most energy retailers answered at least 80 per cent of calls within 30 seconds, and had average waiting times of less than one minute. </w:t>
      </w:r>
      <w:proofErr w:type="spellStart"/>
      <w:r>
        <w:t>ActewAGL</w:t>
      </w:r>
      <w:proofErr w:type="spellEnd"/>
      <w:r>
        <w:t>, Ergon Energy and Origin Energy had the longest call waiting times, with Origin Energy’s waiting time increasing by more than one minute since 2014–15. Momentum Energy’s improved, with average call time decreasing by 75 seconds.</w:t>
      </w:r>
    </w:p>
    <w:p w:rsidR="00697BCD" w:rsidRDefault="00697BCD" w:rsidP="00697BCD">
      <w:r>
        <w:t>The South Australian Government requires retailers selling energy to small customers to meet minimum customer service standards (National Energy Retail (Local Provisions) Regulations</w:t>
      </w:r>
      <w:r w:rsidRPr="009D1DEC">
        <w:rPr>
          <w:rStyle w:val="Superscript"/>
        </w:rPr>
        <w:footnoteReference w:id="14"/>
      </w:r>
      <w:r>
        <w:t xml:space="preserve">). These are reported in appendix 2. </w:t>
      </w:r>
    </w:p>
    <w:p w:rsidR="00697BCD" w:rsidRDefault="00697BCD" w:rsidP="000F3A56">
      <w:pPr>
        <w:pStyle w:val="Numbered11"/>
      </w:pPr>
      <w:bookmarkStart w:id="19" w:name="_Toc467665303"/>
      <w:r>
        <w:t>Complaints</w:t>
      </w:r>
      <w:bookmarkEnd w:id="19"/>
    </w:p>
    <w:p w:rsidR="00697BCD" w:rsidRDefault="00697BCD" w:rsidP="00697BCD">
      <w:r>
        <w:t>Energy retailers must report the number of small customer complaints they receive against the following categories:</w:t>
      </w:r>
    </w:p>
    <w:p w:rsidR="00697BCD" w:rsidRDefault="00697BCD" w:rsidP="00697BCD">
      <w:pPr>
        <w:pStyle w:val="ListBullet"/>
      </w:pPr>
      <w:r>
        <w:t xml:space="preserve">billing—includes complaints about prices, billing errors, payment arrangements, debt recovery practices and disconnections </w:t>
      </w:r>
    </w:p>
    <w:p w:rsidR="00697BCD" w:rsidRDefault="00697BCD" w:rsidP="00697BCD">
      <w:pPr>
        <w:pStyle w:val="ListBullet"/>
      </w:pPr>
      <w:r>
        <w:t>energy marketing—includes complaints about sales practices, advertising, contract terms and misleading conduct</w:t>
      </w:r>
    </w:p>
    <w:p w:rsidR="00697BCD" w:rsidRDefault="00697BCD" w:rsidP="00697BCD">
      <w:pPr>
        <w:pStyle w:val="ListBullet"/>
      </w:pPr>
      <w:r>
        <w:t>customer transfer—includes complaints about timeliness of transfer, disruption of supply due to transfer and billing problems directly associated with a transfer</w:t>
      </w:r>
    </w:p>
    <w:p w:rsidR="00697BCD" w:rsidRDefault="00697BCD" w:rsidP="00697BCD">
      <w:pPr>
        <w:pStyle w:val="ListBullet"/>
      </w:pPr>
      <w:proofErr w:type="gramStart"/>
      <w:r>
        <w:t>other</w:t>
      </w:r>
      <w:proofErr w:type="gramEnd"/>
      <w:r>
        <w:t xml:space="preserve"> complaints—includes complaints about customer service, privacy issues, failure to respond to complaints, and health and safety issues. </w:t>
      </w:r>
    </w:p>
    <w:p w:rsidR="00697BCD" w:rsidRDefault="00697BCD" w:rsidP="00697BCD">
      <w:r>
        <w:t>Figure 2.1 shows the number of residential customer complaints made to energy retailers in each jurisdiction in 2014–15 and 2015–16.</w:t>
      </w:r>
    </w:p>
    <w:p w:rsidR="00697BCD" w:rsidRDefault="00697BCD" w:rsidP="000F3A56">
      <w:pPr>
        <w:pStyle w:val="Charttitle"/>
      </w:pPr>
      <w:r>
        <w:lastRenderedPageBreak/>
        <w:t>Figure 2.1:</w:t>
      </w:r>
      <w:r>
        <w:tab/>
        <w:t>Residential customer complaints to retailers in 2014–15 and 2015–16—by jurisdiction</w:t>
      </w:r>
    </w:p>
    <w:p w:rsidR="00697BCD" w:rsidRDefault="00EC4210" w:rsidP="0092682E">
      <w:r>
        <w:pict>
          <v:shape id="_x0000_i1032" type="#_x0000_t75" alt="In Queensland around 11 per cent of customers complained to their retailer. Complaints in South Australia increased from 12 per cent of customers to over 14 per cent of customers, and complaints in New South Wales increased from 11 per cent to 13 per cent of customers. Around half of all complaints in these states are about billing. Complaints in ACT increased from 3 per cent to 6 per cent of customers. Complaints in Tasmania remained stable at around 3 per cent of customers." style="width:451.65pt;height:227.2pt">
            <v:imagedata r:id="rId18" o:title=""/>
          </v:shape>
        </w:pict>
      </w:r>
    </w:p>
    <w:p w:rsidR="00697BCD" w:rsidRDefault="00697BCD" w:rsidP="00697BCD">
      <w:r>
        <w:t xml:space="preserve">Nationally, complaint numbers rose in South Australia, New South Wales and ACT. </w:t>
      </w:r>
    </w:p>
    <w:p w:rsidR="00697BCD" w:rsidRDefault="00697BCD" w:rsidP="00697BCD">
      <w:r>
        <w:t>In Queensland around 11 per cent of residential customers complained to their retailer.</w:t>
      </w:r>
    </w:p>
    <w:p w:rsidR="00697BCD" w:rsidRDefault="00697BCD" w:rsidP="00697BCD">
      <w:r>
        <w:t>Complaints continued to increase in South Australia, with over 14 residential customers per 100 complaining to their retailer (compared to around 12 per 100 in 2014–15). This followed an earlier substantial increase in 2013–14.</w:t>
      </w:r>
    </w:p>
    <w:p w:rsidR="00697BCD" w:rsidRDefault="00697BCD" w:rsidP="00697BCD">
      <w:r>
        <w:t xml:space="preserve">In New South Wales more than 13 per 100 customers made complaints (Increasing from around 11 per 100). Around half of these complaints were for billing issues. </w:t>
      </w:r>
    </w:p>
    <w:p w:rsidR="00697BCD" w:rsidRDefault="00697BCD" w:rsidP="00697BCD">
      <w:r>
        <w:t xml:space="preserve">Complaints to retailers in the ACT increased in 2015–16, rising to nearly 6 per 100 customers (from around 3 per 100). Billing and ‘other’ issues largely drove this. </w:t>
      </w:r>
    </w:p>
    <w:p w:rsidR="00697BCD" w:rsidRDefault="00697BCD" w:rsidP="00697BCD">
      <w:r>
        <w:t xml:space="preserve">Around 3 per 100 customers made complaints in Tasmania. </w:t>
      </w:r>
    </w:p>
    <w:p w:rsidR="00697BCD" w:rsidRDefault="00697BCD" w:rsidP="00697BCD">
      <w:r>
        <w:t xml:space="preserve">We note that complaint figures nationally were significantly influenced by large increases in complaints to Origin Energy. Origin advised us in August 2016 that the increases in its complaint numbers were due to its introduction of new complaint processes, which led to it capturing higher complaint numbers over the first three quarters of 2015–16. </w:t>
      </w:r>
    </w:p>
    <w:p w:rsidR="00697BCD" w:rsidRDefault="00697BCD" w:rsidP="00697BCD">
      <w:r>
        <w:t>Origin advised that it introduced a revised process for recording complaints, effective from Q4.</w:t>
      </w:r>
    </w:p>
    <w:p w:rsidR="00697BCD" w:rsidRDefault="00697BCD" w:rsidP="00697BCD">
      <w:r>
        <w:t xml:space="preserve">Excluding increases to Origin Energy, complaint rates were flatter across most jurisdictions, with other top tier retailers AGL and </w:t>
      </w:r>
      <w:proofErr w:type="spellStart"/>
      <w:r>
        <w:t>EnergyAustralia</w:t>
      </w:r>
      <w:proofErr w:type="spellEnd"/>
      <w:r>
        <w:t xml:space="preserve"> reporting significant decreases.</w:t>
      </w:r>
    </w:p>
    <w:p w:rsidR="00697BCD" w:rsidRDefault="00697BCD" w:rsidP="00697BCD">
      <w:r>
        <w:t xml:space="preserve">While the overall number of complaints provides an indication of customer satisfaction levels, caution should be used in drawing conclusions about retailers’ performance from them. The nature of some complaints can be outside the control of the energy retailer. For example, complaints about prices due to wholesale and network costs may reflect unfairly on energy retailers. Therefore the manner in which complaints are handled is a more effective measure of retailer performance. </w:t>
      </w:r>
    </w:p>
    <w:p w:rsidR="00697BCD" w:rsidRDefault="00697BCD" w:rsidP="00697BCD">
      <w:r>
        <w:t xml:space="preserve">Retailers with effective customer service are generally able to promptly resolve customer complaints when they receive them. Such complaints often do not need to be escalated or referred elsewhere to be resolved. Customers may contact the energy ombudsman in their state or territory if their complaint is not resolved or is dealt with unsatisfactorily by their retailer. Table </w:t>
      </w:r>
      <w:r>
        <w:lastRenderedPageBreak/>
        <w:t xml:space="preserve">2.2 compares the number of complaints made to retailers with those referred to each jurisdictional ombudsman scheme. </w:t>
      </w:r>
    </w:p>
    <w:p w:rsidR="00697BCD" w:rsidRDefault="00697BCD" w:rsidP="00697BCD">
      <w:r>
        <w:t>It shows the ombudsmen schemes received fewer complaints for investigation in 2015–16 when compared with 2014–15.</w:t>
      </w:r>
    </w:p>
    <w:p w:rsidR="00697BCD" w:rsidRDefault="00697BCD" w:rsidP="00697BCD">
      <w:pPr>
        <w:pStyle w:val="Tabletitle"/>
        <w:rPr>
          <w:rStyle w:val="hiddenfootnoteref"/>
        </w:rPr>
      </w:pPr>
      <w:r>
        <w:t>Table 2.2:</w:t>
      </w:r>
      <w:r>
        <w:tab/>
        <w:t xml:space="preserve">Small customer complaints made to each retailer and the respective ombudsman in 2015–16 </w:t>
      </w:r>
    </w:p>
    <w:tbl>
      <w:tblPr>
        <w:tblW w:w="5000" w:type="pct"/>
        <w:tblBorders>
          <w:top w:val="single" w:sz="4" w:space="0" w:color="BFBFBF"/>
          <w:bottom w:val="single" w:sz="4" w:space="0" w:color="BFBFBF"/>
        </w:tblBorders>
        <w:tblLook w:val="0000" w:firstRow="0" w:lastRow="0" w:firstColumn="0" w:lastColumn="0" w:noHBand="0" w:noVBand="0"/>
      </w:tblPr>
      <w:tblGrid>
        <w:gridCol w:w="1628"/>
        <w:gridCol w:w="1599"/>
        <w:gridCol w:w="1601"/>
        <w:gridCol w:w="1599"/>
        <w:gridCol w:w="1599"/>
        <w:gridCol w:w="1602"/>
      </w:tblGrid>
      <w:tr w:rsidR="0092682E" w:rsidRPr="00391B03" w:rsidTr="00391B03">
        <w:trPr>
          <w:trHeight w:val="255"/>
        </w:trPr>
        <w:tc>
          <w:tcPr>
            <w:tcW w:w="833" w:type="pct"/>
            <w:shd w:val="clear" w:color="auto" w:fill="auto"/>
          </w:tcPr>
          <w:p w:rsidR="0092682E" w:rsidRPr="00391B03" w:rsidRDefault="0092682E" w:rsidP="006B1E9F">
            <w:pPr>
              <w:pStyle w:val="TableHeading"/>
            </w:pPr>
            <w:r w:rsidRPr="00391B03">
              <w:t>Retailer</w:t>
            </w:r>
          </w:p>
        </w:tc>
        <w:tc>
          <w:tcPr>
            <w:tcW w:w="1667" w:type="pct"/>
            <w:gridSpan w:val="2"/>
            <w:shd w:val="clear" w:color="auto" w:fill="auto"/>
          </w:tcPr>
          <w:p w:rsidR="0092682E" w:rsidRDefault="0092682E" w:rsidP="006B1E9F">
            <w:pPr>
              <w:pStyle w:val="TableHeading-right"/>
            </w:pPr>
            <w:r>
              <w:t>Complaints to Retailer</w:t>
            </w:r>
          </w:p>
        </w:tc>
        <w:tc>
          <w:tcPr>
            <w:tcW w:w="1666" w:type="pct"/>
            <w:gridSpan w:val="2"/>
            <w:shd w:val="clear" w:color="auto" w:fill="auto"/>
          </w:tcPr>
          <w:p w:rsidR="0092682E" w:rsidRDefault="0092682E" w:rsidP="006B1E9F">
            <w:pPr>
              <w:pStyle w:val="TableHeading-right"/>
            </w:pPr>
            <w:r>
              <w:t>Complaints to ombudsman</w:t>
            </w:r>
            <w:r w:rsidRPr="0092682E">
              <w:rPr>
                <w:rStyle w:val="Superscript"/>
              </w:rPr>
              <w:footnoteReference w:id="15"/>
            </w:r>
          </w:p>
        </w:tc>
        <w:tc>
          <w:tcPr>
            <w:tcW w:w="834" w:type="pct"/>
            <w:shd w:val="clear" w:color="auto" w:fill="auto"/>
          </w:tcPr>
          <w:p w:rsidR="0092682E" w:rsidRDefault="0092682E" w:rsidP="006B1E9F">
            <w:pPr>
              <w:pStyle w:val="TableHeading-right"/>
            </w:pPr>
            <w:r>
              <w:t>Ombudsman Complaints as % of total Complaints</w:t>
            </w:r>
          </w:p>
        </w:tc>
      </w:tr>
      <w:tr w:rsidR="0092682E" w:rsidRPr="00391B03" w:rsidTr="00391B03">
        <w:trPr>
          <w:trHeight w:val="255"/>
        </w:trPr>
        <w:tc>
          <w:tcPr>
            <w:tcW w:w="833" w:type="pct"/>
            <w:shd w:val="clear" w:color="auto" w:fill="auto"/>
          </w:tcPr>
          <w:p w:rsidR="0092682E" w:rsidRPr="00391B03" w:rsidRDefault="0092682E" w:rsidP="00391B03">
            <w:pPr>
              <w:spacing w:before="60" w:after="60"/>
              <w:rPr>
                <w:sz w:val="20"/>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Queensland</w:t>
            </w: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AGL</w:t>
            </w:r>
          </w:p>
        </w:tc>
        <w:tc>
          <w:tcPr>
            <w:tcW w:w="833" w:type="pct"/>
            <w:shd w:val="clear" w:color="auto" w:fill="auto"/>
          </w:tcPr>
          <w:p w:rsidR="0092682E" w:rsidRDefault="0092682E" w:rsidP="00624E11">
            <w:pPr>
              <w:pStyle w:val="Tabletext-right"/>
            </w:pPr>
            <w:r>
              <w:t>15 253</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1 109</w:t>
            </w:r>
          </w:p>
        </w:tc>
        <w:tc>
          <w:tcPr>
            <w:tcW w:w="833" w:type="pct"/>
            <w:shd w:val="clear" w:color="auto" w:fill="auto"/>
          </w:tcPr>
          <w:p w:rsidR="0092682E" w:rsidRDefault="0092682E" w:rsidP="00624E11">
            <w:pPr>
              <w:pStyle w:val="Tabletext-right"/>
            </w:pPr>
            <w:r>
              <w:rPr>
                <w:rStyle w:val="Arialarrow"/>
              </w:rPr>
              <w:t>▼</w:t>
            </w:r>
            <w:r>
              <w:t>319</w:t>
            </w:r>
          </w:p>
        </w:tc>
        <w:tc>
          <w:tcPr>
            <w:tcW w:w="834" w:type="pct"/>
            <w:shd w:val="clear" w:color="auto" w:fill="auto"/>
          </w:tcPr>
          <w:p w:rsidR="0092682E" w:rsidRDefault="0092682E" w:rsidP="00624E11">
            <w:pPr>
              <w:pStyle w:val="Tabletext-right"/>
            </w:pPr>
            <w:r>
              <w:t>7%</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Click Energy</w:t>
            </w:r>
          </w:p>
        </w:tc>
        <w:tc>
          <w:tcPr>
            <w:tcW w:w="833" w:type="pct"/>
            <w:shd w:val="clear" w:color="auto" w:fill="auto"/>
          </w:tcPr>
          <w:p w:rsidR="0092682E" w:rsidRDefault="0092682E" w:rsidP="00624E11">
            <w:pPr>
              <w:pStyle w:val="Tabletext-right"/>
            </w:pPr>
            <w:r>
              <w:t>400</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180</w:t>
            </w:r>
          </w:p>
        </w:tc>
        <w:tc>
          <w:tcPr>
            <w:tcW w:w="833" w:type="pct"/>
            <w:shd w:val="clear" w:color="auto" w:fill="auto"/>
          </w:tcPr>
          <w:p w:rsidR="0092682E" w:rsidRDefault="0092682E" w:rsidP="00624E11">
            <w:pPr>
              <w:pStyle w:val="Tabletext-right"/>
            </w:pPr>
            <w:r>
              <w:rPr>
                <w:rStyle w:val="Arialarrow"/>
              </w:rPr>
              <w:t>▼</w:t>
            </w:r>
            <w:r>
              <w:t>251</w:t>
            </w:r>
          </w:p>
        </w:tc>
        <w:tc>
          <w:tcPr>
            <w:tcW w:w="834" w:type="pct"/>
            <w:shd w:val="clear" w:color="auto" w:fill="auto"/>
          </w:tcPr>
          <w:p w:rsidR="0092682E" w:rsidRDefault="0092682E" w:rsidP="00624E11">
            <w:pPr>
              <w:pStyle w:val="Tabletext-right"/>
            </w:pPr>
            <w:r>
              <w:t>45%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Diamond Energy</w:t>
            </w:r>
          </w:p>
        </w:tc>
        <w:tc>
          <w:tcPr>
            <w:tcW w:w="833" w:type="pct"/>
            <w:shd w:val="clear" w:color="auto" w:fill="auto"/>
          </w:tcPr>
          <w:p w:rsidR="0092682E" w:rsidRDefault="0092682E" w:rsidP="00624E11">
            <w:pPr>
              <w:pStyle w:val="Tabletext-right"/>
            </w:pPr>
            <w:r>
              <w:t>15</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5</w:t>
            </w:r>
          </w:p>
        </w:tc>
        <w:tc>
          <w:tcPr>
            <w:tcW w:w="833" w:type="pct"/>
            <w:shd w:val="clear" w:color="auto" w:fill="auto"/>
          </w:tcPr>
          <w:p w:rsidR="0092682E" w:rsidRDefault="0092682E" w:rsidP="00624E11">
            <w:pPr>
              <w:pStyle w:val="Tabletext-right"/>
            </w:pPr>
            <w:r>
              <w:rPr>
                <w:rStyle w:val="Arialarrow"/>
              </w:rPr>
              <w:t>▲</w:t>
            </w:r>
            <w:r>
              <w:t>3</w:t>
            </w:r>
          </w:p>
        </w:tc>
        <w:tc>
          <w:tcPr>
            <w:tcW w:w="834" w:type="pct"/>
            <w:shd w:val="clear" w:color="auto" w:fill="auto"/>
          </w:tcPr>
          <w:p w:rsidR="0092682E" w:rsidRDefault="0092682E" w:rsidP="00624E11">
            <w:pPr>
              <w:pStyle w:val="Tabletext-right"/>
            </w:pPr>
            <w:r>
              <w:t>33%</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EnergyAustralia</w:t>
            </w:r>
            <w:proofErr w:type="spellEnd"/>
          </w:p>
        </w:tc>
        <w:tc>
          <w:tcPr>
            <w:tcW w:w="833" w:type="pct"/>
            <w:shd w:val="clear" w:color="auto" w:fill="auto"/>
          </w:tcPr>
          <w:p w:rsidR="0092682E" w:rsidRDefault="0092682E" w:rsidP="00624E11">
            <w:pPr>
              <w:pStyle w:val="Tabletext-right"/>
            </w:pPr>
            <w:r>
              <w:t>1 768</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488</w:t>
            </w:r>
          </w:p>
        </w:tc>
        <w:tc>
          <w:tcPr>
            <w:tcW w:w="833" w:type="pct"/>
            <w:shd w:val="clear" w:color="auto" w:fill="auto"/>
          </w:tcPr>
          <w:p w:rsidR="0092682E" w:rsidRDefault="0092682E" w:rsidP="00624E11">
            <w:pPr>
              <w:pStyle w:val="Tabletext-right"/>
            </w:pPr>
            <w:r>
              <w:rPr>
                <w:rStyle w:val="Arialarrow"/>
              </w:rPr>
              <w:t>▼</w:t>
            </w:r>
            <w:r>
              <w:t>349</w:t>
            </w:r>
          </w:p>
        </w:tc>
        <w:tc>
          <w:tcPr>
            <w:tcW w:w="834" w:type="pct"/>
            <w:shd w:val="clear" w:color="auto" w:fill="auto"/>
          </w:tcPr>
          <w:p w:rsidR="0092682E" w:rsidRDefault="0092682E" w:rsidP="00624E11">
            <w:pPr>
              <w:pStyle w:val="Tabletext-right"/>
            </w:pPr>
            <w:r>
              <w:t>28%</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Ergon Energy Queensland</w:t>
            </w:r>
          </w:p>
        </w:tc>
        <w:tc>
          <w:tcPr>
            <w:tcW w:w="833" w:type="pct"/>
            <w:shd w:val="clear" w:color="auto" w:fill="auto"/>
          </w:tcPr>
          <w:p w:rsidR="0092682E" w:rsidRDefault="0092682E" w:rsidP="00624E11">
            <w:pPr>
              <w:pStyle w:val="Tabletext-right"/>
            </w:pPr>
            <w:r>
              <w:t>4 860</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640</w:t>
            </w:r>
          </w:p>
        </w:tc>
        <w:tc>
          <w:tcPr>
            <w:tcW w:w="833" w:type="pct"/>
            <w:shd w:val="clear" w:color="auto" w:fill="auto"/>
          </w:tcPr>
          <w:p w:rsidR="0092682E" w:rsidRDefault="0092682E" w:rsidP="00624E11">
            <w:pPr>
              <w:pStyle w:val="Tabletext-right"/>
            </w:pPr>
            <w:r>
              <w:rPr>
                <w:rStyle w:val="Arialarrow"/>
              </w:rPr>
              <w:t>▼</w:t>
            </w:r>
            <w:r>
              <w:t>39</w:t>
            </w:r>
          </w:p>
        </w:tc>
        <w:tc>
          <w:tcPr>
            <w:tcW w:w="834" w:type="pct"/>
            <w:shd w:val="clear" w:color="auto" w:fill="auto"/>
          </w:tcPr>
          <w:p w:rsidR="0092682E" w:rsidRDefault="0092682E" w:rsidP="00624E11">
            <w:pPr>
              <w:pStyle w:val="Tabletext-right"/>
            </w:pPr>
            <w:r>
              <w:t>13%</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ERM Power Retail</w:t>
            </w:r>
          </w:p>
        </w:tc>
        <w:tc>
          <w:tcPr>
            <w:tcW w:w="833" w:type="pct"/>
            <w:shd w:val="clear" w:color="auto" w:fill="auto"/>
          </w:tcPr>
          <w:p w:rsidR="0092682E" w:rsidRDefault="0092682E" w:rsidP="00624E11">
            <w:pPr>
              <w:pStyle w:val="Tabletext-right"/>
            </w:pPr>
            <w:r>
              <w:t>1</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Locality Planning Energy</w:t>
            </w:r>
          </w:p>
        </w:tc>
        <w:tc>
          <w:tcPr>
            <w:tcW w:w="833" w:type="pct"/>
            <w:shd w:val="clear" w:color="auto" w:fill="auto"/>
          </w:tcPr>
          <w:p w:rsidR="0092682E" w:rsidRDefault="0092682E" w:rsidP="00624E11">
            <w:pPr>
              <w:pStyle w:val="Tabletext-right"/>
            </w:pPr>
            <w:r>
              <w:t>6</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1</w:t>
            </w:r>
          </w:p>
        </w:tc>
        <w:tc>
          <w:tcPr>
            <w:tcW w:w="833" w:type="pct"/>
            <w:shd w:val="clear" w:color="auto" w:fill="auto"/>
          </w:tcPr>
          <w:p w:rsidR="0092682E" w:rsidRDefault="0092682E" w:rsidP="00624E11">
            <w:pPr>
              <w:pStyle w:val="Tabletext-right"/>
            </w:pPr>
            <w:r>
              <w:t xml:space="preserve"> -</w:t>
            </w:r>
          </w:p>
        </w:tc>
        <w:tc>
          <w:tcPr>
            <w:tcW w:w="834" w:type="pct"/>
            <w:shd w:val="clear" w:color="auto" w:fill="auto"/>
          </w:tcPr>
          <w:p w:rsidR="0092682E" w:rsidRDefault="0092682E" w:rsidP="00624E11">
            <w:pPr>
              <w:pStyle w:val="Tabletext-right"/>
            </w:pPr>
            <w:r>
              <w:t>17%</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Lumo</w:t>
            </w:r>
            <w:proofErr w:type="spellEnd"/>
            <w:r w:rsidRPr="00391B03">
              <w:t xml:space="preserve"> Energy</w:t>
            </w:r>
          </w:p>
        </w:tc>
        <w:tc>
          <w:tcPr>
            <w:tcW w:w="833" w:type="pct"/>
            <w:shd w:val="clear" w:color="auto" w:fill="auto"/>
          </w:tcPr>
          <w:p w:rsidR="0092682E" w:rsidRDefault="0092682E" w:rsidP="00624E11">
            <w:pPr>
              <w:pStyle w:val="Tabletext-right"/>
            </w:pPr>
            <w:r>
              <w:t>2 314</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279</w:t>
            </w:r>
          </w:p>
        </w:tc>
        <w:tc>
          <w:tcPr>
            <w:tcW w:w="833" w:type="pct"/>
            <w:shd w:val="clear" w:color="auto" w:fill="auto"/>
          </w:tcPr>
          <w:p w:rsidR="0092682E" w:rsidRDefault="0092682E" w:rsidP="00624E11">
            <w:pPr>
              <w:pStyle w:val="Tabletext-right"/>
            </w:pPr>
            <w:r>
              <w:rPr>
                <w:rStyle w:val="Arialarrow"/>
              </w:rPr>
              <w:t>▲</w:t>
            </w:r>
            <w:r>
              <w:t>14</w:t>
            </w:r>
          </w:p>
        </w:tc>
        <w:tc>
          <w:tcPr>
            <w:tcW w:w="834" w:type="pct"/>
            <w:shd w:val="clear" w:color="auto" w:fill="auto"/>
          </w:tcPr>
          <w:p w:rsidR="0092682E" w:rsidRDefault="0092682E" w:rsidP="00624E11">
            <w:pPr>
              <w:pStyle w:val="Tabletext-right"/>
            </w:pPr>
            <w:r>
              <w:t>12%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M2 Energy</w:t>
            </w:r>
            <w:r w:rsidRPr="00391B03">
              <w:rPr>
                <w:rStyle w:val="hiddenfootnoteref"/>
                <w:vertAlign w:val="superscript"/>
              </w:rPr>
              <w:footnoteReference w:id="16"/>
            </w:r>
          </w:p>
        </w:tc>
        <w:tc>
          <w:tcPr>
            <w:tcW w:w="833" w:type="pct"/>
            <w:shd w:val="clear" w:color="auto" w:fill="auto"/>
          </w:tcPr>
          <w:p w:rsidR="0092682E" w:rsidRDefault="0092682E" w:rsidP="00624E11">
            <w:pPr>
              <w:pStyle w:val="Tabletext-right"/>
            </w:pPr>
            <w:r>
              <w:t>384</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64</w:t>
            </w:r>
          </w:p>
        </w:tc>
        <w:tc>
          <w:tcPr>
            <w:tcW w:w="833" w:type="pct"/>
            <w:shd w:val="clear" w:color="auto" w:fill="auto"/>
          </w:tcPr>
          <w:p w:rsidR="0092682E" w:rsidRDefault="0092682E" w:rsidP="00624E11">
            <w:pPr>
              <w:pStyle w:val="Tabletext-right"/>
            </w:pPr>
            <w:r>
              <w:rPr>
                <w:rStyle w:val="Arialarrow"/>
              </w:rPr>
              <w:t>▼</w:t>
            </w:r>
            <w:r>
              <w:t>5</w:t>
            </w:r>
          </w:p>
        </w:tc>
        <w:tc>
          <w:tcPr>
            <w:tcW w:w="834" w:type="pct"/>
            <w:shd w:val="clear" w:color="auto" w:fill="auto"/>
          </w:tcPr>
          <w:p w:rsidR="0092682E" w:rsidRDefault="0092682E" w:rsidP="00624E11">
            <w:pPr>
              <w:pStyle w:val="Tabletext-right"/>
            </w:pPr>
            <w:r>
              <w:t>17%</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Metered Energy Holdings</w:t>
            </w:r>
          </w:p>
        </w:tc>
        <w:tc>
          <w:tcPr>
            <w:tcW w:w="833" w:type="pct"/>
            <w:shd w:val="clear" w:color="auto" w:fill="auto"/>
          </w:tcPr>
          <w:p w:rsidR="0092682E" w:rsidRDefault="0092682E" w:rsidP="00624E11">
            <w:pPr>
              <w:pStyle w:val="Tabletext-right"/>
            </w:pPr>
            <w:r>
              <w:t>1 347</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N/A</w:t>
            </w:r>
            <w:r w:rsidRPr="00391B03">
              <w:rPr>
                <w:rStyle w:val="hiddenfootnoteref"/>
                <w:vertAlign w:val="superscript"/>
              </w:rPr>
              <w:footnoteReference w:id="17"/>
            </w:r>
          </w:p>
        </w:tc>
        <w:tc>
          <w:tcPr>
            <w:tcW w:w="833" w:type="pct"/>
            <w:shd w:val="clear" w:color="auto" w:fill="auto"/>
          </w:tcPr>
          <w:p w:rsidR="0092682E" w:rsidRDefault="0092682E" w:rsidP="00624E11">
            <w:pPr>
              <w:pStyle w:val="Tabletext-right"/>
            </w:pPr>
            <w:r>
              <w:t xml:space="preserve"> -</w:t>
            </w:r>
          </w:p>
        </w:tc>
        <w:tc>
          <w:tcPr>
            <w:tcW w:w="834" w:type="pct"/>
            <w:shd w:val="clear" w:color="auto" w:fill="auto"/>
          </w:tcPr>
          <w:p w:rsidR="0092682E" w:rsidRDefault="0092682E" w:rsidP="00624E11">
            <w:pPr>
              <w:pStyle w:val="Tabletext-right"/>
            </w:pPr>
            <w:r>
              <w:t>N/A</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Momentum Energy</w:t>
            </w:r>
          </w:p>
        </w:tc>
        <w:tc>
          <w:tcPr>
            <w:tcW w:w="833" w:type="pct"/>
            <w:shd w:val="clear" w:color="auto" w:fill="auto"/>
          </w:tcPr>
          <w:p w:rsidR="0092682E" w:rsidRDefault="0092682E" w:rsidP="00624E11">
            <w:pPr>
              <w:pStyle w:val="Tabletext-right"/>
            </w:pPr>
            <w:r>
              <w:t>2</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6</w:t>
            </w:r>
          </w:p>
        </w:tc>
        <w:tc>
          <w:tcPr>
            <w:tcW w:w="833" w:type="pct"/>
            <w:shd w:val="clear" w:color="auto" w:fill="auto"/>
          </w:tcPr>
          <w:p w:rsidR="0092682E" w:rsidRDefault="0092682E" w:rsidP="00624E11">
            <w:pPr>
              <w:pStyle w:val="Tabletext-right"/>
            </w:pPr>
            <w:r>
              <w:rPr>
                <w:rStyle w:val="Arialarrow"/>
              </w:rPr>
              <w:t>▲</w:t>
            </w:r>
            <w:r>
              <w:t>4</w:t>
            </w:r>
          </w:p>
        </w:tc>
        <w:tc>
          <w:tcPr>
            <w:tcW w:w="834" w:type="pct"/>
            <w:shd w:val="clear" w:color="auto" w:fill="auto"/>
          </w:tcPr>
          <w:p w:rsidR="0092682E" w:rsidRDefault="0092682E" w:rsidP="00624E11">
            <w:pPr>
              <w:pStyle w:val="Tabletext-right"/>
            </w:pPr>
            <w:r>
              <w:t>300%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Origin Energy</w:t>
            </w:r>
          </w:p>
        </w:tc>
        <w:tc>
          <w:tcPr>
            <w:tcW w:w="833" w:type="pct"/>
            <w:shd w:val="clear" w:color="auto" w:fill="auto"/>
          </w:tcPr>
          <w:p w:rsidR="0092682E" w:rsidRDefault="0092682E" w:rsidP="00624E11">
            <w:pPr>
              <w:pStyle w:val="Tabletext-right"/>
            </w:pPr>
            <w:r>
              <w:t>197 878</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2 058</w:t>
            </w:r>
          </w:p>
        </w:tc>
        <w:tc>
          <w:tcPr>
            <w:tcW w:w="833" w:type="pct"/>
            <w:shd w:val="clear" w:color="auto" w:fill="auto"/>
          </w:tcPr>
          <w:p w:rsidR="0092682E" w:rsidRDefault="0092682E" w:rsidP="00624E11">
            <w:pPr>
              <w:pStyle w:val="Tabletext-right"/>
            </w:pPr>
            <w:r>
              <w:rPr>
                <w:rStyle w:val="Arialarrow"/>
              </w:rPr>
              <w:t>▼</w:t>
            </w:r>
            <w:r>
              <w:t>770</w:t>
            </w:r>
          </w:p>
        </w:tc>
        <w:tc>
          <w:tcPr>
            <w:tcW w:w="834" w:type="pct"/>
            <w:shd w:val="clear" w:color="auto" w:fill="auto"/>
          </w:tcPr>
          <w:p w:rsidR="0092682E" w:rsidRDefault="0092682E" w:rsidP="00624E11">
            <w:pPr>
              <w:pStyle w:val="Tabletext-right"/>
            </w:pPr>
            <w:r>
              <w:t>1%</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Powerdirect</w:t>
            </w:r>
            <w:proofErr w:type="spellEnd"/>
          </w:p>
        </w:tc>
        <w:tc>
          <w:tcPr>
            <w:tcW w:w="833" w:type="pct"/>
            <w:shd w:val="clear" w:color="auto" w:fill="auto"/>
          </w:tcPr>
          <w:p w:rsidR="0092682E" w:rsidRDefault="0092682E" w:rsidP="00624E11">
            <w:pPr>
              <w:pStyle w:val="Tabletext-right"/>
            </w:pPr>
            <w:r>
              <w:t>709</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285</w:t>
            </w:r>
          </w:p>
        </w:tc>
        <w:tc>
          <w:tcPr>
            <w:tcW w:w="833" w:type="pct"/>
            <w:shd w:val="clear" w:color="auto" w:fill="auto"/>
          </w:tcPr>
          <w:p w:rsidR="0092682E" w:rsidRDefault="0092682E" w:rsidP="00624E11">
            <w:pPr>
              <w:pStyle w:val="Tabletext-right"/>
            </w:pPr>
            <w:r>
              <w:rPr>
                <w:rStyle w:val="Arialarrow"/>
              </w:rPr>
              <w:t>▲</w:t>
            </w:r>
            <w:r>
              <w:t>42</w:t>
            </w:r>
          </w:p>
        </w:tc>
        <w:tc>
          <w:tcPr>
            <w:tcW w:w="834" w:type="pct"/>
            <w:shd w:val="clear" w:color="auto" w:fill="auto"/>
          </w:tcPr>
          <w:p w:rsidR="0092682E" w:rsidRDefault="0092682E" w:rsidP="00624E11">
            <w:pPr>
              <w:pStyle w:val="Tabletext-right"/>
            </w:pPr>
            <w:r>
              <w:t>40%</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QEnergy</w:t>
            </w:r>
            <w:proofErr w:type="spellEnd"/>
          </w:p>
        </w:tc>
        <w:tc>
          <w:tcPr>
            <w:tcW w:w="833" w:type="pct"/>
            <w:shd w:val="clear" w:color="auto" w:fill="auto"/>
          </w:tcPr>
          <w:p w:rsidR="0092682E" w:rsidRDefault="0092682E" w:rsidP="00624E11">
            <w:pPr>
              <w:pStyle w:val="Tabletext-right"/>
            </w:pPr>
            <w:r>
              <w:t>87</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50</w:t>
            </w:r>
          </w:p>
        </w:tc>
        <w:tc>
          <w:tcPr>
            <w:tcW w:w="833" w:type="pct"/>
            <w:shd w:val="clear" w:color="auto" w:fill="auto"/>
          </w:tcPr>
          <w:p w:rsidR="0092682E" w:rsidRDefault="0092682E" w:rsidP="00624E11">
            <w:pPr>
              <w:pStyle w:val="Tabletext-right"/>
            </w:pPr>
            <w:r>
              <w:rPr>
                <w:rStyle w:val="Arialarrow"/>
              </w:rPr>
              <w:t>▼</w:t>
            </w:r>
            <w:r>
              <w:t>41</w:t>
            </w:r>
          </w:p>
        </w:tc>
        <w:tc>
          <w:tcPr>
            <w:tcW w:w="834" w:type="pct"/>
            <w:shd w:val="clear" w:color="auto" w:fill="auto"/>
          </w:tcPr>
          <w:p w:rsidR="0092682E" w:rsidRDefault="0092682E" w:rsidP="00624E11">
            <w:pPr>
              <w:pStyle w:val="Tabletext-right"/>
            </w:pPr>
            <w:r>
              <w:t>57%</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Sanctuary Energy</w:t>
            </w:r>
          </w:p>
        </w:tc>
        <w:tc>
          <w:tcPr>
            <w:tcW w:w="833" w:type="pct"/>
            <w:shd w:val="clear" w:color="auto" w:fill="auto"/>
          </w:tcPr>
          <w:p w:rsidR="0092682E" w:rsidRDefault="0092682E" w:rsidP="00624E11">
            <w:pPr>
              <w:pStyle w:val="Tabletext-right"/>
            </w:pPr>
            <w:r>
              <w:t>95</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190</w:t>
            </w:r>
          </w:p>
        </w:tc>
        <w:tc>
          <w:tcPr>
            <w:tcW w:w="833" w:type="pct"/>
            <w:shd w:val="clear" w:color="auto" w:fill="auto"/>
          </w:tcPr>
          <w:p w:rsidR="0092682E" w:rsidRDefault="0092682E" w:rsidP="00624E11">
            <w:pPr>
              <w:pStyle w:val="Tabletext-right"/>
            </w:pPr>
            <w:r>
              <w:rPr>
                <w:rStyle w:val="Arialarrow"/>
              </w:rPr>
              <w:t>▼</w:t>
            </w:r>
            <w:r>
              <w:t>81</w:t>
            </w:r>
          </w:p>
        </w:tc>
        <w:tc>
          <w:tcPr>
            <w:tcW w:w="834" w:type="pct"/>
            <w:shd w:val="clear" w:color="auto" w:fill="auto"/>
          </w:tcPr>
          <w:p w:rsidR="0092682E" w:rsidRDefault="0092682E" w:rsidP="00624E11">
            <w:pPr>
              <w:pStyle w:val="Tabletext-right"/>
            </w:pPr>
            <w:r>
              <w:t>200%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Simply Energy</w:t>
            </w:r>
          </w:p>
        </w:tc>
        <w:tc>
          <w:tcPr>
            <w:tcW w:w="833" w:type="pct"/>
            <w:shd w:val="clear" w:color="auto" w:fill="auto"/>
          </w:tcPr>
          <w:p w:rsidR="0092682E" w:rsidRDefault="0092682E" w:rsidP="00624E11">
            <w:pPr>
              <w:pStyle w:val="Tabletext-right"/>
            </w:pPr>
            <w:r>
              <w:t>90</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17</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19%</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lastRenderedPageBreak/>
              <w:t>Total Qld</w:t>
            </w:r>
          </w:p>
        </w:tc>
        <w:tc>
          <w:tcPr>
            <w:tcW w:w="833" w:type="pct"/>
            <w:shd w:val="clear" w:color="auto" w:fill="auto"/>
          </w:tcPr>
          <w:p w:rsidR="0092682E" w:rsidRDefault="0092682E" w:rsidP="00624E11">
            <w:pPr>
              <w:pStyle w:val="Tabletext-right"/>
            </w:pPr>
            <w:r>
              <w:t>225 209</w:t>
            </w: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Default="0092682E" w:rsidP="00624E11">
            <w:pPr>
              <w:pStyle w:val="Tabletext-right"/>
            </w:pPr>
            <w:r>
              <w:t>5372</w:t>
            </w:r>
          </w:p>
        </w:tc>
        <w:tc>
          <w:tcPr>
            <w:tcW w:w="833" w:type="pct"/>
            <w:shd w:val="clear" w:color="auto" w:fill="auto"/>
          </w:tcPr>
          <w:p w:rsidR="0092682E" w:rsidRDefault="0092682E" w:rsidP="00624E11">
            <w:pPr>
              <w:pStyle w:val="Tabletext-right"/>
            </w:pPr>
            <w:r>
              <w:rPr>
                <w:rStyle w:val="Arialarrow"/>
              </w:rPr>
              <w:t>▼</w:t>
            </w:r>
            <w:r>
              <w:t>1 791</w:t>
            </w:r>
          </w:p>
        </w:tc>
        <w:tc>
          <w:tcPr>
            <w:tcW w:w="834" w:type="pct"/>
            <w:shd w:val="clear" w:color="auto" w:fill="auto"/>
          </w:tcPr>
          <w:p w:rsidR="0092682E" w:rsidRDefault="0092682E" w:rsidP="00624E11">
            <w:pPr>
              <w:pStyle w:val="Tabletext-right"/>
            </w:pPr>
            <w:r>
              <w:t>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South Australia</w:t>
            </w: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AGL</w:t>
            </w:r>
          </w:p>
        </w:tc>
        <w:tc>
          <w:tcPr>
            <w:tcW w:w="833" w:type="pct"/>
            <w:shd w:val="clear" w:color="auto" w:fill="auto"/>
          </w:tcPr>
          <w:p w:rsidR="0092682E" w:rsidRDefault="0092682E" w:rsidP="00624E11">
            <w:pPr>
              <w:pStyle w:val="Tabletext-right"/>
            </w:pPr>
            <w:r>
              <w:t>17 159</w:t>
            </w:r>
          </w:p>
        </w:tc>
        <w:tc>
          <w:tcPr>
            <w:tcW w:w="834" w:type="pct"/>
            <w:shd w:val="clear" w:color="auto" w:fill="auto"/>
          </w:tcPr>
          <w:p w:rsidR="0092682E" w:rsidRDefault="0092682E" w:rsidP="00624E11">
            <w:pPr>
              <w:pStyle w:val="Tabletext-right"/>
            </w:pPr>
            <w:r>
              <w:rPr>
                <w:rStyle w:val="Arialarrow"/>
              </w:rPr>
              <w:t>▼</w:t>
            </w:r>
            <w:r>
              <w:t>19 430</w:t>
            </w:r>
          </w:p>
        </w:tc>
        <w:tc>
          <w:tcPr>
            <w:tcW w:w="833" w:type="pct"/>
            <w:shd w:val="clear" w:color="auto" w:fill="auto"/>
          </w:tcPr>
          <w:p w:rsidR="0092682E" w:rsidRDefault="0092682E" w:rsidP="00624E11">
            <w:pPr>
              <w:pStyle w:val="Tabletext-right"/>
            </w:pPr>
            <w:r>
              <w:t>1 767</w:t>
            </w:r>
          </w:p>
        </w:tc>
        <w:tc>
          <w:tcPr>
            <w:tcW w:w="833" w:type="pct"/>
            <w:shd w:val="clear" w:color="auto" w:fill="auto"/>
          </w:tcPr>
          <w:p w:rsidR="0092682E" w:rsidRDefault="0092682E" w:rsidP="00624E11">
            <w:pPr>
              <w:pStyle w:val="Tabletext-right"/>
            </w:pPr>
            <w:r>
              <w:rPr>
                <w:rStyle w:val="Arialarrow"/>
              </w:rPr>
              <w:t>▼</w:t>
            </w:r>
            <w:r>
              <w:t>387</w:t>
            </w:r>
          </w:p>
        </w:tc>
        <w:tc>
          <w:tcPr>
            <w:tcW w:w="834" w:type="pct"/>
            <w:shd w:val="clear" w:color="auto" w:fill="auto"/>
          </w:tcPr>
          <w:p w:rsidR="0092682E" w:rsidRDefault="0092682E" w:rsidP="00624E11">
            <w:pPr>
              <w:pStyle w:val="Tabletext-right"/>
            </w:pPr>
            <w:r>
              <w:t>10%</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Alinta</w:t>
            </w:r>
            <w:proofErr w:type="spellEnd"/>
            <w:r w:rsidRPr="00391B03">
              <w:t xml:space="preserve"> Energy</w:t>
            </w:r>
          </w:p>
        </w:tc>
        <w:tc>
          <w:tcPr>
            <w:tcW w:w="833" w:type="pct"/>
            <w:shd w:val="clear" w:color="auto" w:fill="auto"/>
          </w:tcPr>
          <w:p w:rsidR="0092682E" w:rsidRDefault="0092682E" w:rsidP="00624E11">
            <w:pPr>
              <w:pStyle w:val="Tabletext-right"/>
            </w:pPr>
            <w:r>
              <w:t>1 428</w:t>
            </w:r>
          </w:p>
        </w:tc>
        <w:tc>
          <w:tcPr>
            <w:tcW w:w="834" w:type="pct"/>
            <w:shd w:val="clear" w:color="auto" w:fill="auto"/>
          </w:tcPr>
          <w:p w:rsidR="0092682E" w:rsidRDefault="0092682E" w:rsidP="00624E11">
            <w:pPr>
              <w:pStyle w:val="Tabletext-right"/>
            </w:pPr>
            <w:r>
              <w:rPr>
                <w:rStyle w:val="Arialarrow"/>
              </w:rPr>
              <w:t>▲</w:t>
            </w:r>
            <w:r>
              <w:t>691</w:t>
            </w:r>
          </w:p>
        </w:tc>
        <w:tc>
          <w:tcPr>
            <w:tcW w:w="833" w:type="pct"/>
            <w:shd w:val="clear" w:color="auto" w:fill="auto"/>
          </w:tcPr>
          <w:p w:rsidR="0092682E" w:rsidRDefault="0092682E" w:rsidP="00624E11">
            <w:pPr>
              <w:pStyle w:val="Tabletext-right"/>
            </w:pPr>
            <w:r>
              <w:t>314</w:t>
            </w:r>
          </w:p>
        </w:tc>
        <w:tc>
          <w:tcPr>
            <w:tcW w:w="833" w:type="pct"/>
            <w:shd w:val="clear" w:color="auto" w:fill="auto"/>
          </w:tcPr>
          <w:p w:rsidR="0092682E" w:rsidRDefault="0092682E" w:rsidP="00624E11">
            <w:pPr>
              <w:pStyle w:val="Tabletext-right"/>
            </w:pPr>
            <w:r>
              <w:rPr>
                <w:rStyle w:val="Arialarrow"/>
              </w:rPr>
              <w:t>▼</w:t>
            </w:r>
            <w:r>
              <w:t>63</w:t>
            </w:r>
          </w:p>
        </w:tc>
        <w:tc>
          <w:tcPr>
            <w:tcW w:w="834" w:type="pct"/>
            <w:shd w:val="clear" w:color="auto" w:fill="auto"/>
          </w:tcPr>
          <w:p w:rsidR="0092682E" w:rsidRDefault="0092682E" w:rsidP="00624E11">
            <w:pPr>
              <w:pStyle w:val="Tabletext-right"/>
            </w:pPr>
            <w:r>
              <w:t>22%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Click Energy</w:t>
            </w:r>
          </w:p>
        </w:tc>
        <w:tc>
          <w:tcPr>
            <w:tcW w:w="833" w:type="pct"/>
            <w:shd w:val="clear" w:color="auto" w:fill="auto"/>
          </w:tcPr>
          <w:p w:rsidR="0092682E" w:rsidRDefault="0092682E" w:rsidP="00624E11">
            <w:pPr>
              <w:pStyle w:val="Tabletext-right"/>
            </w:pPr>
            <w:r>
              <w:t>4</w:t>
            </w:r>
          </w:p>
        </w:tc>
        <w:tc>
          <w:tcPr>
            <w:tcW w:w="834" w:type="pct"/>
            <w:shd w:val="clear" w:color="auto" w:fill="auto"/>
          </w:tcPr>
          <w:p w:rsidR="0092682E" w:rsidRDefault="0092682E" w:rsidP="00624E11">
            <w:pPr>
              <w:pStyle w:val="Tabletext-right"/>
            </w:pPr>
            <w:r>
              <w:t>N/A</w:t>
            </w:r>
          </w:p>
        </w:tc>
        <w:tc>
          <w:tcPr>
            <w:tcW w:w="833" w:type="pct"/>
            <w:shd w:val="clear" w:color="auto" w:fill="auto"/>
          </w:tcPr>
          <w:p w:rsidR="0092682E" w:rsidRDefault="0092682E" w:rsidP="00624E11">
            <w:pPr>
              <w:pStyle w:val="Tabletext-right"/>
            </w:pPr>
            <w:r>
              <w:t>3</w:t>
            </w:r>
          </w:p>
        </w:tc>
        <w:tc>
          <w:tcPr>
            <w:tcW w:w="833" w:type="pct"/>
            <w:shd w:val="clear" w:color="auto" w:fill="auto"/>
          </w:tcPr>
          <w:p w:rsidR="0092682E" w:rsidRDefault="0092682E" w:rsidP="00624E11">
            <w:pPr>
              <w:pStyle w:val="Tabletext-right"/>
            </w:pPr>
            <w:r>
              <w:rPr>
                <w:rStyle w:val="Arialarrow"/>
              </w:rPr>
              <w:t>▲</w:t>
            </w:r>
            <w:r>
              <w:t>3</w:t>
            </w:r>
          </w:p>
        </w:tc>
        <w:tc>
          <w:tcPr>
            <w:tcW w:w="834" w:type="pct"/>
            <w:shd w:val="clear" w:color="auto" w:fill="auto"/>
          </w:tcPr>
          <w:p w:rsidR="0092682E" w:rsidRDefault="0092682E" w:rsidP="00624E11">
            <w:pPr>
              <w:pStyle w:val="Tabletext-right"/>
            </w:pPr>
            <w:r>
              <w:t>75%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Diamond Energy</w:t>
            </w:r>
          </w:p>
        </w:tc>
        <w:tc>
          <w:tcPr>
            <w:tcW w:w="833" w:type="pct"/>
            <w:shd w:val="clear" w:color="auto" w:fill="auto"/>
          </w:tcPr>
          <w:p w:rsidR="0092682E" w:rsidRDefault="0092682E" w:rsidP="00624E11">
            <w:pPr>
              <w:pStyle w:val="Tabletext-right"/>
            </w:pPr>
            <w:r>
              <w:t>6</w:t>
            </w:r>
          </w:p>
        </w:tc>
        <w:tc>
          <w:tcPr>
            <w:tcW w:w="834" w:type="pct"/>
            <w:shd w:val="clear" w:color="auto" w:fill="auto"/>
          </w:tcPr>
          <w:p w:rsidR="0092682E" w:rsidRDefault="0092682E" w:rsidP="00624E11">
            <w:pPr>
              <w:pStyle w:val="Tabletext-right"/>
            </w:pPr>
            <w:r>
              <w:rPr>
                <w:rStyle w:val="Arialarrow"/>
              </w:rPr>
              <w:t>▼</w:t>
            </w:r>
            <w:r>
              <w:t>6</w:t>
            </w:r>
          </w:p>
        </w:tc>
        <w:tc>
          <w:tcPr>
            <w:tcW w:w="833" w:type="pct"/>
            <w:shd w:val="clear" w:color="auto" w:fill="auto"/>
          </w:tcPr>
          <w:p w:rsidR="0092682E" w:rsidRDefault="0092682E" w:rsidP="00624E11">
            <w:pPr>
              <w:pStyle w:val="Tabletext-right"/>
            </w:pPr>
            <w:r>
              <w:t>1</w:t>
            </w:r>
          </w:p>
        </w:tc>
        <w:tc>
          <w:tcPr>
            <w:tcW w:w="833" w:type="pct"/>
            <w:shd w:val="clear" w:color="auto" w:fill="auto"/>
          </w:tcPr>
          <w:p w:rsidR="0092682E" w:rsidRDefault="0092682E" w:rsidP="00624E11">
            <w:pPr>
              <w:pStyle w:val="Tabletext-right"/>
            </w:pPr>
            <w:r>
              <w:rPr>
                <w:rStyle w:val="Arialarrow"/>
              </w:rPr>
              <w:t>▼</w:t>
            </w:r>
            <w:r>
              <w:t>1</w:t>
            </w:r>
          </w:p>
        </w:tc>
        <w:tc>
          <w:tcPr>
            <w:tcW w:w="834" w:type="pct"/>
            <w:shd w:val="clear" w:color="auto" w:fill="auto"/>
          </w:tcPr>
          <w:p w:rsidR="0092682E" w:rsidRDefault="0092682E" w:rsidP="00624E11">
            <w:pPr>
              <w:pStyle w:val="Tabletext-right"/>
            </w:pPr>
            <w:r>
              <w:t>17%</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EnergyAustralia</w:t>
            </w:r>
            <w:proofErr w:type="spellEnd"/>
          </w:p>
        </w:tc>
        <w:tc>
          <w:tcPr>
            <w:tcW w:w="833" w:type="pct"/>
            <w:shd w:val="clear" w:color="auto" w:fill="auto"/>
          </w:tcPr>
          <w:p w:rsidR="0092682E" w:rsidRDefault="0092682E" w:rsidP="00624E11">
            <w:pPr>
              <w:pStyle w:val="Tabletext-right"/>
            </w:pPr>
            <w:r>
              <w:t>3 328</w:t>
            </w:r>
          </w:p>
        </w:tc>
        <w:tc>
          <w:tcPr>
            <w:tcW w:w="834" w:type="pct"/>
            <w:shd w:val="clear" w:color="auto" w:fill="auto"/>
          </w:tcPr>
          <w:p w:rsidR="0092682E" w:rsidRDefault="0092682E" w:rsidP="00624E11">
            <w:pPr>
              <w:pStyle w:val="Tabletext-right"/>
            </w:pPr>
            <w:r>
              <w:rPr>
                <w:rStyle w:val="Arialarrow"/>
              </w:rPr>
              <w:t>▼</w:t>
            </w:r>
            <w:r>
              <w:t>3 438</w:t>
            </w:r>
          </w:p>
        </w:tc>
        <w:tc>
          <w:tcPr>
            <w:tcW w:w="833" w:type="pct"/>
            <w:shd w:val="clear" w:color="auto" w:fill="auto"/>
          </w:tcPr>
          <w:p w:rsidR="0092682E" w:rsidRDefault="0092682E" w:rsidP="00624E11">
            <w:pPr>
              <w:pStyle w:val="Tabletext-right"/>
            </w:pPr>
            <w:r>
              <w:t>932</w:t>
            </w:r>
          </w:p>
        </w:tc>
        <w:tc>
          <w:tcPr>
            <w:tcW w:w="833" w:type="pct"/>
            <w:shd w:val="clear" w:color="auto" w:fill="auto"/>
          </w:tcPr>
          <w:p w:rsidR="0092682E" w:rsidRDefault="0092682E" w:rsidP="00624E11">
            <w:pPr>
              <w:pStyle w:val="Tabletext-right"/>
            </w:pPr>
            <w:r>
              <w:rPr>
                <w:rStyle w:val="Arialarrow"/>
              </w:rPr>
              <w:t>▼</w:t>
            </w:r>
            <w:r>
              <w:t>465</w:t>
            </w:r>
          </w:p>
        </w:tc>
        <w:tc>
          <w:tcPr>
            <w:tcW w:w="834" w:type="pct"/>
            <w:shd w:val="clear" w:color="auto" w:fill="auto"/>
          </w:tcPr>
          <w:p w:rsidR="0092682E" w:rsidRDefault="0092682E" w:rsidP="00624E11">
            <w:pPr>
              <w:pStyle w:val="Tabletext-right"/>
            </w:pPr>
            <w:r>
              <w:t>28%</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ERM Power Retail</w:t>
            </w:r>
          </w:p>
        </w:tc>
        <w:tc>
          <w:tcPr>
            <w:tcW w:w="833" w:type="pct"/>
            <w:shd w:val="clear" w:color="auto" w:fill="auto"/>
          </w:tcPr>
          <w:p w:rsidR="0092682E" w:rsidRDefault="0092682E" w:rsidP="00624E11">
            <w:pPr>
              <w:pStyle w:val="Tabletext-right"/>
            </w:pPr>
            <w:r>
              <w:t>23</w:t>
            </w:r>
          </w:p>
        </w:tc>
        <w:tc>
          <w:tcPr>
            <w:tcW w:w="834" w:type="pct"/>
            <w:shd w:val="clear" w:color="auto" w:fill="auto"/>
          </w:tcPr>
          <w:p w:rsidR="0092682E" w:rsidRDefault="0092682E" w:rsidP="00624E11">
            <w:pPr>
              <w:pStyle w:val="Tabletext-right"/>
            </w:pPr>
            <w:r>
              <w:rPr>
                <w:rStyle w:val="Arialarrow"/>
              </w:rPr>
              <w:t>▲</w:t>
            </w:r>
            <w:r>
              <w:t>7</w:t>
            </w:r>
          </w:p>
        </w:tc>
        <w:tc>
          <w:tcPr>
            <w:tcW w:w="833" w:type="pct"/>
            <w:shd w:val="clear" w:color="auto" w:fill="auto"/>
          </w:tcPr>
          <w:p w:rsidR="0092682E" w:rsidRDefault="0092682E" w:rsidP="00624E11">
            <w:pPr>
              <w:pStyle w:val="Tabletext-right"/>
            </w:pPr>
            <w:r>
              <w:t>4</w:t>
            </w:r>
          </w:p>
        </w:tc>
        <w:tc>
          <w:tcPr>
            <w:tcW w:w="833" w:type="pct"/>
            <w:shd w:val="clear" w:color="auto" w:fill="auto"/>
          </w:tcPr>
          <w:p w:rsidR="0092682E" w:rsidRDefault="0092682E" w:rsidP="00624E11">
            <w:pPr>
              <w:pStyle w:val="Tabletext-right"/>
            </w:pPr>
            <w:r>
              <w:rPr>
                <w:rStyle w:val="Arialarrow"/>
              </w:rPr>
              <w:t>▲</w:t>
            </w:r>
            <w:r>
              <w:t>4</w:t>
            </w:r>
          </w:p>
        </w:tc>
        <w:tc>
          <w:tcPr>
            <w:tcW w:w="834" w:type="pct"/>
            <w:shd w:val="clear" w:color="auto" w:fill="auto"/>
          </w:tcPr>
          <w:p w:rsidR="0092682E" w:rsidRDefault="0092682E" w:rsidP="00624E11">
            <w:pPr>
              <w:pStyle w:val="Tabletext-right"/>
            </w:pPr>
            <w:r>
              <w:t>17%</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Lumo</w:t>
            </w:r>
            <w:proofErr w:type="spellEnd"/>
            <w:r w:rsidRPr="00391B03">
              <w:t xml:space="preserve"> Energy</w:t>
            </w:r>
          </w:p>
        </w:tc>
        <w:tc>
          <w:tcPr>
            <w:tcW w:w="833" w:type="pct"/>
            <w:shd w:val="clear" w:color="auto" w:fill="auto"/>
          </w:tcPr>
          <w:p w:rsidR="0092682E" w:rsidRDefault="0092682E" w:rsidP="00624E11">
            <w:pPr>
              <w:pStyle w:val="Tabletext-right"/>
            </w:pPr>
            <w:r>
              <w:t>1 877</w:t>
            </w:r>
          </w:p>
        </w:tc>
        <w:tc>
          <w:tcPr>
            <w:tcW w:w="834" w:type="pct"/>
            <w:shd w:val="clear" w:color="auto" w:fill="auto"/>
          </w:tcPr>
          <w:p w:rsidR="0092682E" w:rsidRDefault="0092682E" w:rsidP="00624E11">
            <w:pPr>
              <w:pStyle w:val="Tabletext-right"/>
            </w:pPr>
            <w:r>
              <w:rPr>
                <w:rStyle w:val="Arialarrow"/>
              </w:rPr>
              <w:t>▼</w:t>
            </w:r>
            <w:r>
              <w:t>58</w:t>
            </w:r>
          </w:p>
        </w:tc>
        <w:tc>
          <w:tcPr>
            <w:tcW w:w="833" w:type="pct"/>
            <w:shd w:val="clear" w:color="auto" w:fill="auto"/>
          </w:tcPr>
          <w:p w:rsidR="0092682E" w:rsidRDefault="0092682E" w:rsidP="00624E11">
            <w:pPr>
              <w:pStyle w:val="Tabletext-right"/>
            </w:pPr>
            <w:r>
              <w:t>285</w:t>
            </w:r>
          </w:p>
        </w:tc>
        <w:tc>
          <w:tcPr>
            <w:tcW w:w="833" w:type="pct"/>
            <w:shd w:val="clear" w:color="auto" w:fill="auto"/>
          </w:tcPr>
          <w:p w:rsidR="0092682E" w:rsidRDefault="0092682E" w:rsidP="00624E11">
            <w:pPr>
              <w:pStyle w:val="Tabletext-right"/>
            </w:pPr>
            <w:r>
              <w:rPr>
                <w:rStyle w:val="Arialarrow"/>
              </w:rPr>
              <w:t>▼</w:t>
            </w:r>
            <w:r>
              <w:t>28</w:t>
            </w:r>
          </w:p>
        </w:tc>
        <w:tc>
          <w:tcPr>
            <w:tcW w:w="834" w:type="pct"/>
            <w:shd w:val="clear" w:color="auto" w:fill="auto"/>
          </w:tcPr>
          <w:p w:rsidR="0092682E" w:rsidRDefault="0092682E" w:rsidP="00624E11">
            <w:pPr>
              <w:pStyle w:val="Tabletext-right"/>
            </w:pPr>
            <w:r>
              <w:t>15%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M2 Energy</w:t>
            </w:r>
          </w:p>
        </w:tc>
        <w:tc>
          <w:tcPr>
            <w:tcW w:w="833" w:type="pct"/>
            <w:shd w:val="clear" w:color="auto" w:fill="auto"/>
          </w:tcPr>
          <w:p w:rsidR="0092682E" w:rsidRDefault="0092682E" w:rsidP="00624E11">
            <w:pPr>
              <w:pStyle w:val="Tabletext-right"/>
            </w:pPr>
            <w:r>
              <w:t>240</w:t>
            </w:r>
          </w:p>
        </w:tc>
        <w:tc>
          <w:tcPr>
            <w:tcW w:w="834" w:type="pct"/>
            <w:shd w:val="clear" w:color="auto" w:fill="auto"/>
          </w:tcPr>
          <w:p w:rsidR="0092682E" w:rsidRDefault="0092682E" w:rsidP="00624E11">
            <w:pPr>
              <w:pStyle w:val="Tabletext-right"/>
            </w:pPr>
            <w:r>
              <w:rPr>
                <w:rStyle w:val="Arialarrow"/>
              </w:rPr>
              <w:t>▲</w:t>
            </w:r>
            <w:r>
              <w:t>112</w:t>
            </w:r>
          </w:p>
        </w:tc>
        <w:tc>
          <w:tcPr>
            <w:tcW w:w="833" w:type="pct"/>
            <w:shd w:val="clear" w:color="auto" w:fill="auto"/>
          </w:tcPr>
          <w:p w:rsidR="0092682E" w:rsidRDefault="0092682E" w:rsidP="00624E11">
            <w:pPr>
              <w:pStyle w:val="Tabletext-right"/>
            </w:pPr>
            <w:r>
              <w:t>34</w:t>
            </w:r>
          </w:p>
        </w:tc>
        <w:tc>
          <w:tcPr>
            <w:tcW w:w="833" w:type="pct"/>
            <w:shd w:val="clear" w:color="auto" w:fill="auto"/>
          </w:tcPr>
          <w:p w:rsidR="0092682E" w:rsidRDefault="0092682E" w:rsidP="00624E11">
            <w:pPr>
              <w:pStyle w:val="Tabletext-right"/>
            </w:pPr>
            <w:r>
              <w:rPr>
                <w:rStyle w:val="Arialarrow"/>
              </w:rPr>
              <w:t>▼</w:t>
            </w:r>
            <w:r>
              <w:t>4</w:t>
            </w:r>
          </w:p>
        </w:tc>
        <w:tc>
          <w:tcPr>
            <w:tcW w:w="834" w:type="pct"/>
            <w:shd w:val="clear" w:color="auto" w:fill="auto"/>
          </w:tcPr>
          <w:p w:rsidR="0092682E" w:rsidRDefault="0092682E" w:rsidP="00624E11">
            <w:pPr>
              <w:pStyle w:val="Tabletext-right"/>
            </w:pPr>
            <w:r>
              <w:t>14%</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Momentum Energy</w:t>
            </w:r>
          </w:p>
        </w:tc>
        <w:tc>
          <w:tcPr>
            <w:tcW w:w="833" w:type="pct"/>
            <w:shd w:val="clear" w:color="auto" w:fill="auto"/>
          </w:tcPr>
          <w:p w:rsidR="0092682E" w:rsidRDefault="0092682E" w:rsidP="00624E11">
            <w:pPr>
              <w:pStyle w:val="Tabletext-right"/>
            </w:pPr>
            <w:r>
              <w:t>105</w:t>
            </w:r>
          </w:p>
        </w:tc>
        <w:tc>
          <w:tcPr>
            <w:tcW w:w="834" w:type="pct"/>
            <w:shd w:val="clear" w:color="auto" w:fill="auto"/>
          </w:tcPr>
          <w:p w:rsidR="0092682E" w:rsidRDefault="0092682E" w:rsidP="00624E11">
            <w:pPr>
              <w:pStyle w:val="Tabletext-right"/>
            </w:pPr>
            <w:r>
              <w:rPr>
                <w:rStyle w:val="Arialarrow"/>
              </w:rPr>
              <w:t>▼</w:t>
            </w:r>
            <w:r>
              <w:t>259</w:t>
            </w:r>
          </w:p>
        </w:tc>
        <w:tc>
          <w:tcPr>
            <w:tcW w:w="833" w:type="pct"/>
            <w:shd w:val="clear" w:color="auto" w:fill="auto"/>
          </w:tcPr>
          <w:p w:rsidR="0092682E" w:rsidRDefault="0092682E" w:rsidP="00624E11">
            <w:pPr>
              <w:pStyle w:val="Tabletext-right"/>
            </w:pPr>
            <w:r>
              <w:t>68</w:t>
            </w:r>
          </w:p>
        </w:tc>
        <w:tc>
          <w:tcPr>
            <w:tcW w:w="833" w:type="pct"/>
            <w:shd w:val="clear" w:color="auto" w:fill="auto"/>
          </w:tcPr>
          <w:p w:rsidR="0092682E" w:rsidRDefault="0092682E" w:rsidP="00624E11">
            <w:pPr>
              <w:pStyle w:val="Tabletext-right"/>
            </w:pPr>
            <w:r>
              <w:rPr>
                <w:rStyle w:val="Arialarrow"/>
              </w:rPr>
              <w:t>▼</w:t>
            </w:r>
            <w:r>
              <w:t>23</w:t>
            </w:r>
          </w:p>
        </w:tc>
        <w:tc>
          <w:tcPr>
            <w:tcW w:w="834" w:type="pct"/>
            <w:shd w:val="clear" w:color="auto" w:fill="auto"/>
          </w:tcPr>
          <w:p w:rsidR="0092682E" w:rsidRDefault="0092682E" w:rsidP="00624E11">
            <w:pPr>
              <w:pStyle w:val="Tabletext-right"/>
            </w:pPr>
            <w:r>
              <w:t>65%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Origin Energy</w:t>
            </w:r>
          </w:p>
        </w:tc>
        <w:tc>
          <w:tcPr>
            <w:tcW w:w="833" w:type="pct"/>
            <w:shd w:val="clear" w:color="auto" w:fill="auto"/>
          </w:tcPr>
          <w:p w:rsidR="0092682E" w:rsidRDefault="0092682E" w:rsidP="00624E11">
            <w:pPr>
              <w:pStyle w:val="Tabletext-right"/>
            </w:pPr>
            <w:r>
              <w:t>85 217</w:t>
            </w:r>
          </w:p>
        </w:tc>
        <w:tc>
          <w:tcPr>
            <w:tcW w:w="834" w:type="pct"/>
            <w:shd w:val="clear" w:color="auto" w:fill="auto"/>
          </w:tcPr>
          <w:p w:rsidR="0092682E" w:rsidRDefault="0092682E" w:rsidP="00624E11">
            <w:pPr>
              <w:pStyle w:val="Tabletext-right"/>
            </w:pPr>
            <w:r>
              <w:rPr>
                <w:rStyle w:val="Arialarrow"/>
              </w:rPr>
              <w:t>▲</w:t>
            </w:r>
            <w:r>
              <w:t>36 228</w:t>
            </w:r>
          </w:p>
        </w:tc>
        <w:tc>
          <w:tcPr>
            <w:tcW w:w="833" w:type="pct"/>
            <w:shd w:val="clear" w:color="auto" w:fill="auto"/>
          </w:tcPr>
          <w:p w:rsidR="0092682E" w:rsidRDefault="0092682E" w:rsidP="00624E11">
            <w:pPr>
              <w:pStyle w:val="Tabletext-right"/>
            </w:pPr>
            <w:r>
              <w:t>1 548</w:t>
            </w:r>
          </w:p>
        </w:tc>
        <w:tc>
          <w:tcPr>
            <w:tcW w:w="833" w:type="pct"/>
            <w:shd w:val="clear" w:color="auto" w:fill="auto"/>
          </w:tcPr>
          <w:p w:rsidR="0092682E" w:rsidRDefault="0092682E" w:rsidP="00624E11">
            <w:pPr>
              <w:pStyle w:val="Tabletext-right"/>
            </w:pPr>
            <w:r>
              <w:rPr>
                <w:rStyle w:val="Arialarrow"/>
              </w:rPr>
              <w:t>▼</w:t>
            </w:r>
            <w:r>
              <w:t>554</w:t>
            </w:r>
          </w:p>
        </w:tc>
        <w:tc>
          <w:tcPr>
            <w:tcW w:w="834" w:type="pct"/>
            <w:shd w:val="clear" w:color="auto" w:fill="auto"/>
          </w:tcPr>
          <w:p w:rsidR="0092682E" w:rsidRDefault="0092682E" w:rsidP="00624E11">
            <w:pPr>
              <w:pStyle w:val="Tabletext-right"/>
            </w:pPr>
            <w:r>
              <w:t>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Pacific Hydro</w:t>
            </w:r>
          </w:p>
        </w:tc>
        <w:tc>
          <w:tcPr>
            <w:tcW w:w="833" w:type="pct"/>
            <w:shd w:val="clear" w:color="auto" w:fill="auto"/>
          </w:tcPr>
          <w:p w:rsidR="0092682E" w:rsidRDefault="0092682E" w:rsidP="00624E11">
            <w:pPr>
              <w:pStyle w:val="Tabletext-right"/>
            </w:pPr>
            <w:r>
              <w:t>1</w:t>
            </w:r>
          </w:p>
        </w:tc>
        <w:tc>
          <w:tcPr>
            <w:tcW w:w="834" w:type="pct"/>
            <w:shd w:val="clear" w:color="auto" w:fill="auto"/>
          </w:tcPr>
          <w:p w:rsidR="0092682E" w:rsidRDefault="0092682E" w:rsidP="00624E11">
            <w:pPr>
              <w:pStyle w:val="Tabletext-right"/>
            </w:pPr>
            <w:r>
              <w:t>N/A</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Powerdirect</w:t>
            </w:r>
            <w:proofErr w:type="spellEnd"/>
          </w:p>
        </w:tc>
        <w:tc>
          <w:tcPr>
            <w:tcW w:w="833" w:type="pct"/>
            <w:shd w:val="clear" w:color="auto" w:fill="auto"/>
          </w:tcPr>
          <w:p w:rsidR="0092682E" w:rsidRDefault="0092682E" w:rsidP="00624E11">
            <w:pPr>
              <w:pStyle w:val="Tabletext-right"/>
            </w:pPr>
            <w:r>
              <w:t>585</w:t>
            </w:r>
          </w:p>
        </w:tc>
        <w:tc>
          <w:tcPr>
            <w:tcW w:w="834" w:type="pct"/>
            <w:shd w:val="clear" w:color="auto" w:fill="auto"/>
          </w:tcPr>
          <w:p w:rsidR="0092682E" w:rsidRDefault="0092682E" w:rsidP="00624E11">
            <w:pPr>
              <w:pStyle w:val="Tabletext-right"/>
            </w:pPr>
            <w:r>
              <w:rPr>
                <w:rStyle w:val="Arialarrow"/>
              </w:rPr>
              <w:t>▼</w:t>
            </w:r>
            <w:r>
              <w:t>1869</w:t>
            </w:r>
          </w:p>
        </w:tc>
        <w:tc>
          <w:tcPr>
            <w:tcW w:w="833" w:type="pct"/>
            <w:shd w:val="clear" w:color="auto" w:fill="auto"/>
          </w:tcPr>
          <w:p w:rsidR="0092682E" w:rsidRDefault="0092682E" w:rsidP="00624E11">
            <w:pPr>
              <w:pStyle w:val="Tabletext-right"/>
            </w:pPr>
            <w:r>
              <w:t>271</w:t>
            </w:r>
          </w:p>
        </w:tc>
        <w:tc>
          <w:tcPr>
            <w:tcW w:w="833" w:type="pct"/>
            <w:shd w:val="clear" w:color="auto" w:fill="auto"/>
          </w:tcPr>
          <w:p w:rsidR="0092682E" w:rsidRDefault="0092682E" w:rsidP="00624E11">
            <w:pPr>
              <w:pStyle w:val="Tabletext-right"/>
            </w:pPr>
            <w:r>
              <w:rPr>
                <w:rStyle w:val="Arialarrow"/>
              </w:rPr>
              <w:t>▼</w:t>
            </w:r>
            <w:r>
              <w:t>11</w:t>
            </w:r>
          </w:p>
        </w:tc>
        <w:tc>
          <w:tcPr>
            <w:tcW w:w="834" w:type="pct"/>
            <w:shd w:val="clear" w:color="auto" w:fill="auto"/>
          </w:tcPr>
          <w:p w:rsidR="0092682E" w:rsidRDefault="0092682E" w:rsidP="00624E11">
            <w:pPr>
              <w:pStyle w:val="Tabletext-right"/>
            </w:pPr>
            <w:r>
              <w:t>46%</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QEnergy</w:t>
            </w:r>
            <w:proofErr w:type="spellEnd"/>
          </w:p>
        </w:tc>
        <w:tc>
          <w:tcPr>
            <w:tcW w:w="833" w:type="pct"/>
            <w:shd w:val="clear" w:color="auto" w:fill="auto"/>
          </w:tcPr>
          <w:p w:rsidR="0092682E" w:rsidRDefault="0092682E" w:rsidP="00624E11">
            <w:pPr>
              <w:pStyle w:val="Tabletext-right"/>
            </w:pPr>
            <w:r>
              <w:t>7</w:t>
            </w:r>
          </w:p>
        </w:tc>
        <w:tc>
          <w:tcPr>
            <w:tcW w:w="834" w:type="pct"/>
            <w:shd w:val="clear" w:color="auto" w:fill="auto"/>
          </w:tcPr>
          <w:p w:rsidR="0092682E" w:rsidRDefault="0092682E" w:rsidP="00624E11">
            <w:pPr>
              <w:pStyle w:val="Tabletext-right"/>
            </w:pPr>
            <w:r>
              <w:rPr>
                <w:rStyle w:val="Arialarrow"/>
              </w:rPr>
              <w:t>▼</w:t>
            </w:r>
            <w:r>
              <w:t>1</w:t>
            </w:r>
          </w:p>
        </w:tc>
        <w:tc>
          <w:tcPr>
            <w:tcW w:w="833" w:type="pct"/>
            <w:shd w:val="clear" w:color="auto" w:fill="auto"/>
          </w:tcPr>
          <w:p w:rsidR="0092682E" w:rsidRDefault="0092682E" w:rsidP="00624E11">
            <w:pPr>
              <w:pStyle w:val="Tabletext-right"/>
            </w:pPr>
            <w:r>
              <w:t>4</w:t>
            </w:r>
          </w:p>
        </w:tc>
        <w:tc>
          <w:tcPr>
            <w:tcW w:w="833" w:type="pct"/>
            <w:shd w:val="clear" w:color="auto" w:fill="auto"/>
          </w:tcPr>
          <w:p w:rsidR="0092682E" w:rsidRDefault="0092682E" w:rsidP="00624E11">
            <w:pPr>
              <w:pStyle w:val="Tabletext-right"/>
            </w:pPr>
            <w:r>
              <w:rPr>
                <w:rStyle w:val="Arialarrow"/>
              </w:rPr>
              <w:t>▼</w:t>
            </w:r>
            <w:r>
              <w:t>2</w:t>
            </w:r>
          </w:p>
        </w:tc>
        <w:tc>
          <w:tcPr>
            <w:tcW w:w="834" w:type="pct"/>
            <w:shd w:val="clear" w:color="auto" w:fill="auto"/>
          </w:tcPr>
          <w:p w:rsidR="0092682E" w:rsidRDefault="0092682E" w:rsidP="00624E11">
            <w:pPr>
              <w:pStyle w:val="Tabletext-right"/>
            </w:pPr>
            <w:r>
              <w:t>57%</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Red Energy</w:t>
            </w:r>
          </w:p>
        </w:tc>
        <w:tc>
          <w:tcPr>
            <w:tcW w:w="833" w:type="pct"/>
            <w:shd w:val="clear" w:color="auto" w:fill="auto"/>
          </w:tcPr>
          <w:p w:rsidR="0092682E" w:rsidRDefault="0092682E" w:rsidP="00624E11">
            <w:pPr>
              <w:pStyle w:val="Tabletext-right"/>
            </w:pPr>
            <w:r>
              <w:t>82</w:t>
            </w:r>
          </w:p>
        </w:tc>
        <w:tc>
          <w:tcPr>
            <w:tcW w:w="834" w:type="pct"/>
            <w:shd w:val="clear" w:color="auto" w:fill="auto"/>
          </w:tcPr>
          <w:p w:rsidR="0092682E" w:rsidRDefault="0092682E" w:rsidP="00624E11">
            <w:pPr>
              <w:pStyle w:val="Tabletext-right"/>
            </w:pPr>
            <w:r>
              <w:rPr>
                <w:rStyle w:val="Arialarrow"/>
              </w:rPr>
              <w:t>▼</w:t>
            </w:r>
            <w:r>
              <w:t>9</w:t>
            </w:r>
          </w:p>
        </w:tc>
        <w:tc>
          <w:tcPr>
            <w:tcW w:w="833" w:type="pct"/>
            <w:shd w:val="clear" w:color="auto" w:fill="auto"/>
          </w:tcPr>
          <w:p w:rsidR="0092682E" w:rsidRDefault="0092682E" w:rsidP="00624E11">
            <w:pPr>
              <w:pStyle w:val="Tabletext-right"/>
            </w:pPr>
            <w:r>
              <w:t>19</w:t>
            </w:r>
          </w:p>
        </w:tc>
        <w:tc>
          <w:tcPr>
            <w:tcW w:w="833" w:type="pct"/>
            <w:shd w:val="clear" w:color="auto" w:fill="auto"/>
          </w:tcPr>
          <w:p w:rsidR="0092682E" w:rsidRDefault="0092682E" w:rsidP="00624E11">
            <w:pPr>
              <w:pStyle w:val="Tabletext-right"/>
            </w:pPr>
            <w:r>
              <w:t>1</w:t>
            </w:r>
          </w:p>
        </w:tc>
        <w:tc>
          <w:tcPr>
            <w:tcW w:w="834" w:type="pct"/>
            <w:shd w:val="clear" w:color="auto" w:fill="auto"/>
          </w:tcPr>
          <w:p w:rsidR="0092682E" w:rsidRDefault="0092682E" w:rsidP="00624E11">
            <w:pPr>
              <w:pStyle w:val="Tabletext-right"/>
            </w:pPr>
            <w:r>
              <w:t>23%</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Sanctuary Energy</w:t>
            </w:r>
          </w:p>
        </w:tc>
        <w:tc>
          <w:tcPr>
            <w:tcW w:w="833" w:type="pct"/>
            <w:shd w:val="clear" w:color="auto" w:fill="auto"/>
          </w:tcPr>
          <w:p w:rsidR="0092682E" w:rsidRDefault="0092682E" w:rsidP="00624E11">
            <w:pPr>
              <w:pStyle w:val="Tabletext-right"/>
            </w:pPr>
            <w:r>
              <w:t>37</w:t>
            </w:r>
          </w:p>
        </w:tc>
        <w:tc>
          <w:tcPr>
            <w:tcW w:w="834" w:type="pct"/>
            <w:shd w:val="clear" w:color="auto" w:fill="auto"/>
          </w:tcPr>
          <w:p w:rsidR="0092682E" w:rsidRDefault="0092682E" w:rsidP="00624E11">
            <w:pPr>
              <w:pStyle w:val="Tabletext-right"/>
            </w:pPr>
            <w:r>
              <w:rPr>
                <w:rStyle w:val="Arialarrow"/>
              </w:rPr>
              <w:t>▼</w:t>
            </w:r>
            <w:r>
              <w:t>18</w:t>
            </w:r>
          </w:p>
        </w:tc>
        <w:tc>
          <w:tcPr>
            <w:tcW w:w="833" w:type="pct"/>
            <w:shd w:val="clear" w:color="auto" w:fill="auto"/>
          </w:tcPr>
          <w:p w:rsidR="0092682E" w:rsidRDefault="0092682E" w:rsidP="00624E11">
            <w:pPr>
              <w:pStyle w:val="Tabletext-right"/>
            </w:pPr>
            <w:r>
              <w:t>34</w:t>
            </w:r>
          </w:p>
        </w:tc>
        <w:tc>
          <w:tcPr>
            <w:tcW w:w="833" w:type="pct"/>
            <w:shd w:val="clear" w:color="auto" w:fill="auto"/>
          </w:tcPr>
          <w:p w:rsidR="0092682E" w:rsidRDefault="0092682E" w:rsidP="00624E11">
            <w:pPr>
              <w:pStyle w:val="Tabletext-right"/>
            </w:pPr>
            <w:r>
              <w:rPr>
                <w:rStyle w:val="Arialarrow"/>
              </w:rPr>
              <w:t>▼</w:t>
            </w:r>
            <w:r>
              <w:t>4</w:t>
            </w:r>
          </w:p>
        </w:tc>
        <w:tc>
          <w:tcPr>
            <w:tcW w:w="834" w:type="pct"/>
            <w:shd w:val="clear" w:color="auto" w:fill="auto"/>
          </w:tcPr>
          <w:p w:rsidR="0092682E" w:rsidRDefault="0092682E" w:rsidP="00624E11">
            <w:pPr>
              <w:pStyle w:val="Tabletext-right"/>
            </w:pPr>
            <w:r>
              <w:t>92%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Savant Energy Power Networks</w:t>
            </w:r>
          </w:p>
        </w:tc>
        <w:tc>
          <w:tcPr>
            <w:tcW w:w="833" w:type="pct"/>
            <w:shd w:val="clear" w:color="auto" w:fill="auto"/>
          </w:tcPr>
          <w:p w:rsidR="0092682E" w:rsidRDefault="0092682E" w:rsidP="00624E11">
            <w:pPr>
              <w:pStyle w:val="Tabletext-right"/>
            </w:pPr>
            <w:r>
              <w:t>14</w:t>
            </w:r>
          </w:p>
        </w:tc>
        <w:tc>
          <w:tcPr>
            <w:tcW w:w="834" w:type="pct"/>
            <w:shd w:val="clear" w:color="auto" w:fill="auto"/>
          </w:tcPr>
          <w:p w:rsidR="0092682E" w:rsidRDefault="0092682E" w:rsidP="00624E11">
            <w:pPr>
              <w:pStyle w:val="Tabletext-right"/>
            </w:pPr>
            <w:r>
              <w:t>N/A</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Simply Energy</w:t>
            </w:r>
          </w:p>
        </w:tc>
        <w:tc>
          <w:tcPr>
            <w:tcW w:w="833" w:type="pct"/>
            <w:shd w:val="clear" w:color="auto" w:fill="auto"/>
          </w:tcPr>
          <w:p w:rsidR="0092682E" w:rsidRDefault="0092682E" w:rsidP="00624E11">
            <w:pPr>
              <w:pStyle w:val="Tabletext-right"/>
            </w:pPr>
            <w:r>
              <w:t>3 593</w:t>
            </w:r>
          </w:p>
        </w:tc>
        <w:tc>
          <w:tcPr>
            <w:tcW w:w="834" w:type="pct"/>
            <w:shd w:val="clear" w:color="auto" w:fill="auto"/>
          </w:tcPr>
          <w:p w:rsidR="0092682E" w:rsidRDefault="0092682E" w:rsidP="00624E11">
            <w:pPr>
              <w:pStyle w:val="Tabletext-right"/>
            </w:pPr>
            <w:r>
              <w:rPr>
                <w:rStyle w:val="Arialarrow"/>
              </w:rPr>
              <w:t>▲</w:t>
            </w:r>
            <w:r>
              <w:t>478</w:t>
            </w:r>
          </w:p>
        </w:tc>
        <w:tc>
          <w:tcPr>
            <w:tcW w:w="833" w:type="pct"/>
            <w:shd w:val="clear" w:color="auto" w:fill="auto"/>
          </w:tcPr>
          <w:p w:rsidR="0092682E" w:rsidRDefault="0092682E" w:rsidP="00624E11">
            <w:pPr>
              <w:pStyle w:val="Tabletext-right"/>
            </w:pPr>
            <w:r>
              <w:t>749</w:t>
            </w:r>
          </w:p>
        </w:tc>
        <w:tc>
          <w:tcPr>
            <w:tcW w:w="833" w:type="pct"/>
            <w:shd w:val="clear" w:color="auto" w:fill="auto"/>
          </w:tcPr>
          <w:p w:rsidR="0092682E" w:rsidRDefault="0092682E" w:rsidP="00624E11">
            <w:pPr>
              <w:pStyle w:val="Tabletext-right"/>
            </w:pPr>
            <w:r>
              <w:rPr>
                <w:rStyle w:val="Arialarrow"/>
              </w:rPr>
              <w:t>▼</w:t>
            </w:r>
            <w:r>
              <w:t>112</w:t>
            </w:r>
          </w:p>
        </w:tc>
        <w:tc>
          <w:tcPr>
            <w:tcW w:w="834" w:type="pct"/>
            <w:shd w:val="clear" w:color="auto" w:fill="auto"/>
          </w:tcPr>
          <w:p w:rsidR="0092682E" w:rsidRDefault="0092682E" w:rsidP="00624E11">
            <w:pPr>
              <w:pStyle w:val="Tabletext-right"/>
            </w:pPr>
            <w:r>
              <w:t>21%</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Total SA</w:t>
            </w:r>
          </w:p>
        </w:tc>
        <w:tc>
          <w:tcPr>
            <w:tcW w:w="833" w:type="pct"/>
            <w:shd w:val="clear" w:color="auto" w:fill="auto"/>
          </w:tcPr>
          <w:p w:rsidR="0092682E" w:rsidRDefault="0092682E" w:rsidP="00624E11">
            <w:pPr>
              <w:pStyle w:val="Tabletext-right"/>
            </w:pPr>
            <w:r>
              <w:t>113 706</w:t>
            </w:r>
          </w:p>
        </w:tc>
        <w:tc>
          <w:tcPr>
            <w:tcW w:w="834" w:type="pct"/>
            <w:shd w:val="clear" w:color="auto" w:fill="auto"/>
          </w:tcPr>
          <w:p w:rsidR="0092682E" w:rsidRDefault="0092682E" w:rsidP="00624E11">
            <w:pPr>
              <w:pStyle w:val="Tabletext-right"/>
            </w:pPr>
            <w:r>
              <w:rPr>
                <w:rStyle w:val="Arialarrow"/>
              </w:rPr>
              <w:t>▲</w:t>
            </w:r>
            <w:r>
              <w:t>12 447</w:t>
            </w:r>
          </w:p>
        </w:tc>
        <w:tc>
          <w:tcPr>
            <w:tcW w:w="833" w:type="pct"/>
            <w:shd w:val="clear" w:color="auto" w:fill="auto"/>
          </w:tcPr>
          <w:p w:rsidR="0092682E" w:rsidRDefault="0092682E" w:rsidP="00624E11">
            <w:pPr>
              <w:pStyle w:val="Tabletext-right"/>
            </w:pPr>
            <w:r>
              <w:t>6 033</w:t>
            </w:r>
          </w:p>
        </w:tc>
        <w:tc>
          <w:tcPr>
            <w:tcW w:w="833" w:type="pct"/>
            <w:shd w:val="clear" w:color="auto" w:fill="auto"/>
          </w:tcPr>
          <w:p w:rsidR="0092682E" w:rsidRDefault="0092682E" w:rsidP="00624E11">
            <w:pPr>
              <w:pStyle w:val="Tabletext-right"/>
            </w:pPr>
            <w:r>
              <w:rPr>
                <w:rStyle w:val="Arialarrow"/>
              </w:rPr>
              <w:t>▼</w:t>
            </w:r>
            <w:r>
              <w:t>1646</w:t>
            </w:r>
          </w:p>
        </w:tc>
        <w:tc>
          <w:tcPr>
            <w:tcW w:w="834" w:type="pct"/>
            <w:shd w:val="clear" w:color="auto" w:fill="auto"/>
          </w:tcPr>
          <w:p w:rsidR="0092682E" w:rsidRDefault="0092682E" w:rsidP="00624E11">
            <w:pPr>
              <w:pStyle w:val="Tabletext-right"/>
            </w:pPr>
            <w:r>
              <w:t>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ACT</w:t>
            </w: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ActewAGL</w:t>
            </w:r>
            <w:proofErr w:type="spellEnd"/>
          </w:p>
        </w:tc>
        <w:tc>
          <w:tcPr>
            <w:tcW w:w="833" w:type="pct"/>
            <w:shd w:val="clear" w:color="auto" w:fill="auto"/>
          </w:tcPr>
          <w:p w:rsidR="0092682E" w:rsidRDefault="0092682E" w:rsidP="00624E11">
            <w:pPr>
              <w:pStyle w:val="Tabletext-right"/>
            </w:pPr>
            <w:r>
              <w:t>5 583</w:t>
            </w:r>
          </w:p>
        </w:tc>
        <w:tc>
          <w:tcPr>
            <w:tcW w:w="834" w:type="pct"/>
            <w:shd w:val="clear" w:color="auto" w:fill="auto"/>
          </w:tcPr>
          <w:p w:rsidR="0092682E" w:rsidRDefault="0092682E" w:rsidP="00624E11">
            <w:pPr>
              <w:pStyle w:val="Tabletext-right"/>
            </w:pPr>
            <w:r>
              <w:t>2 034</w:t>
            </w:r>
          </w:p>
        </w:tc>
        <w:tc>
          <w:tcPr>
            <w:tcW w:w="833" w:type="pct"/>
            <w:shd w:val="clear" w:color="auto" w:fill="auto"/>
          </w:tcPr>
          <w:p w:rsidR="0092682E" w:rsidRDefault="0092682E" w:rsidP="00624E11">
            <w:pPr>
              <w:pStyle w:val="Tabletext-right"/>
            </w:pPr>
            <w:r>
              <w:t>589</w:t>
            </w:r>
          </w:p>
        </w:tc>
        <w:tc>
          <w:tcPr>
            <w:tcW w:w="833" w:type="pct"/>
            <w:shd w:val="clear" w:color="auto" w:fill="auto"/>
          </w:tcPr>
          <w:p w:rsidR="0092682E" w:rsidRDefault="0092682E" w:rsidP="00624E11">
            <w:pPr>
              <w:pStyle w:val="Tabletext-right"/>
            </w:pPr>
            <w:r>
              <w:rPr>
                <w:rStyle w:val="Arialarrow"/>
              </w:rPr>
              <w:t>▼</w:t>
            </w:r>
            <w:r>
              <w:t>370</w:t>
            </w:r>
          </w:p>
        </w:tc>
        <w:tc>
          <w:tcPr>
            <w:tcW w:w="834" w:type="pct"/>
            <w:shd w:val="clear" w:color="auto" w:fill="auto"/>
          </w:tcPr>
          <w:p w:rsidR="0092682E" w:rsidRDefault="0092682E" w:rsidP="00624E11">
            <w:pPr>
              <w:pStyle w:val="Tabletext-right"/>
            </w:pPr>
            <w:r>
              <w:t>11%</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EnergyAustralia</w:t>
            </w:r>
            <w:proofErr w:type="spellEnd"/>
          </w:p>
        </w:tc>
        <w:tc>
          <w:tcPr>
            <w:tcW w:w="833" w:type="pct"/>
            <w:shd w:val="clear" w:color="auto" w:fill="auto"/>
          </w:tcPr>
          <w:p w:rsidR="0092682E" w:rsidRDefault="0092682E" w:rsidP="00624E11">
            <w:pPr>
              <w:pStyle w:val="Tabletext-right"/>
            </w:pPr>
            <w:r>
              <w:t>118</w:t>
            </w:r>
          </w:p>
        </w:tc>
        <w:tc>
          <w:tcPr>
            <w:tcW w:w="834" w:type="pct"/>
            <w:shd w:val="clear" w:color="auto" w:fill="auto"/>
          </w:tcPr>
          <w:p w:rsidR="0092682E" w:rsidRDefault="0092682E" w:rsidP="00624E11">
            <w:pPr>
              <w:pStyle w:val="Tabletext-right"/>
            </w:pPr>
            <w:r>
              <w:rPr>
                <w:rStyle w:val="Arialarrow"/>
              </w:rPr>
              <w:t>▼</w:t>
            </w:r>
            <w:r>
              <w:t>151</w:t>
            </w:r>
          </w:p>
        </w:tc>
        <w:tc>
          <w:tcPr>
            <w:tcW w:w="833" w:type="pct"/>
            <w:shd w:val="clear" w:color="auto" w:fill="auto"/>
          </w:tcPr>
          <w:p w:rsidR="0092682E" w:rsidRDefault="0092682E" w:rsidP="00624E11">
            <w:pPr>
              <w:pStyle w:val="Tabletext-right"/>
            </w:pPr>
            <w:r>
              <w:t>33</w:t>
            </w:r>
          </w:p>
        </w:tc>
        <w:tc>
          <w:tcPr>
            <w:tcW w:w="833" w:type="pct"/>
            <w:shd w:val="clear" w:color="auto" w:fill="auto"/>
          </w:tcPr>
          <w:p w:rsidR="0092682E" w:rsidRDefault="0092682E" w:rsidP="00624E11">
            <w:pPr>
              <w:pStyle w:val="Tabletext-right"/>
            </w:pPr>
            <w:r>
              <w:rPr>
                <w:rStyle w:val="Arialarrow"/>
              </w:rPr>
              <w:t>▼</w:t>
            </w:r>
            <w:r>
              <w:t>38</w:t>
            </w:r>
          </w:p>
        </w:tc>
        <w:tc>
          <w:tcPr>
            <w:tcW w:w="834" w:type="pct"/>
            <w:shd w:val="clear" w:color="auto" w:fill="auto"/>
          </w:tcPr>
          <w:p w:rsidR="0092682E" w:rsidRDefault="0092682E" w:rsidP="00624E11">
            <w:pPr>
              <w:pStyle w:val="Tabletext-right"/>
            </w:pPr>
            <w:r>
              <w:t>28%</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ERM Power Retail</w:t>
            </w:r>
          </w:p>
        </w:tc>
        <w:tc>
          <w:tcPr>
            <w:tcW w:w="833" w:type="pct"/>
            <w:shd w:val="clear" w:color="auto" w:fill="auto"/>
          </w:tcPr>
          <w:p w:rsidR="0092682E" w:rsidRDefault="0092682E" w:rsidP="00624E11">
            <w:pPr>
              <w:pStyle w:val="Tabletext-right"/>
            </w:pPr>
            <w:r>
              <w:t>1</w:t>
            </w:r>
          </w:p>
        </w:tc>
        <w:tc>
          <w:tcPr>
            <w:tcW w:w="834" w:type="pct"/>
            <w:shd w:val="clear" w:color="auto" w:fill="auto"/>
          </w:tcPr>
          <w:p w:rsidR="0092682E" w:rsidRDefault="0092682E" w:rsidP="00624E11">
            <w:pPr>
              <w:pStyle w:val="Tabletext-right"/>
            </w:pPr>
            <w:r>
              <w:rPr>
                <w:rStyle w:val="Arialarrow"/>
              </w:rPr>
              <w:t>▲</w:t>
            </w:r>
            <w:r>
              <w:t>1</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 xml:space="preserve">Origin Energy </w:t>
            </w:r>
          </w:p>
        </w:tc>
        <w:tc>
          <w:tcPr>
            <w:tcW w:w="833" w:type="pct"/>
            <w:shd w:val="clear" w:color="auto" w:fill="auto"/>
          </w:tcPr>
          <w:p w:rsidR="0092682E" w:rsidRDefault="0092682E" w:rsidP="00624E11">
            <w:pPr>
              <w:pStyle w:val="Tabletext-right"/>
            </w:pPr>
            <w:r>
              <w:t>4 919</w:t>
            </w:r>
          </w:p>
        </w:tc>
        <w:tc>
          <w:tcPr>
            <w:tcW w:w="834" w:type="pct"/>
            <w:shd w:val="clear" w:color="auto" w:fill="auto"/>
          </w:tcPr>
          <w:p w:rsidR="0092682E" w:rsidRDefault="0092682E" w:rsidP="00624E11">
            <w:pPr>
              <w:pStyle w:val="Tabletext-right"/>
            </w:pPr>
            <w:r>
              <w:rPr>
                <w:rStyle w:val="Arialarrow"/>
              </w:rPr>
              <w:t>▲</w:t>
            </w:r>
            <w:r>
              <w:t>4 008</w:t>
            </w:r>
          </w:p>
        </w:tc>
        <w:tc>
          <w:tcPr>
            <w:tcW w:w="833" w:type="pct"/>
            <w:shd w:val="clear" w:color="auto" w:fill="auto"/>
          </w:tcPr>
          <w:p w:rsidR="0092682E" w:rsidRDefault="0092682E" w:rsidP="00624E11">
            <w:pPr>
              <w:pStyle w:val="Tabletext-right"/>
            </w:pPr>
            <w:r>
              <w:t>41</w:t>
            </w:r>
          </w:p>
        </w:tc>
        <w:tc>
          <w:tcPr>
            <w:tcW w:w="833" w:type="pct"/>
            <w:shd w:val="clear" w:color="auto" w:fill="auto"/>
          </w:tcPr>
          <w:p w:rsidR="0092682E" w:rsidRDefault="0092682E" w:rsidP="00624E11">
            <w:pPr>
              <w:pStyle w:val="Tabletext-right"/>
            </w:pPr>
            <w:r>
              <w:rPr>
                <w:rStyle w:val="Arialarrow"/>
              </w:rPr>
              <w:t>▲</w:t>
            </w:r>
            <w:r>
              <w:t>26</w:t>
            </w:r>
          </w:p>
        </w:tc>
        <w:tc>
          <w:tcPr>
            <w:tcW w:w="834" w:type="pct"/>
            <w:shd w:val="clear" w:color="auto" w:fill="auto"/>
          </w:tcPr>
          <w:p w:rsidR="0092682E" w:rsidRDefault="0092682E" w:rsidP="00624E11">
            <w:pPr>
              <w:pStyle w:val="Tabletext-right"/>
            </w:pPr>
            <w:r>
              <w:t>1%</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Powerdirect</w:t>
            </w:r>
            <w:proofErr w:type="spellEnd"/>
            <w:r w:rsidRPr="00391B03">
              <w:t xml:space="preserve"> Pty Limited</w:t>
            </w:r>
          </w:p>
        </w:tc>
        <w:tc>
          <w:tcPr>
            <w:tcW w:w="833" w:type="pct"/>
            <w:shd w:val="clear" w:color="auto" w:fill="auto"/>
          </w:tcPr>
          <w:p w:rsidR="0092682E" w:rsidRDefault="0092682E" w:rsidP="00624E11">
            <w:pPr>
              <w:pStyle w:val="Tabletext-right"/>
            </w:pPr>
            <w:r>
              <w:t>3</w:t>
            </w:r>
          </w:p>
        </w:tc>
        <w:tc>
          <w:tcPr>
            <w:tcW w:w="834" w:type="pct"/>
            <w:shd w:val="clear" w:color="auto" w:fill="auto"/>
          </w:tcPr>
          <w:p w:rsidR="0092682E" w:rsidRDefault="0092682E" w:rsidP="00624E11">
            <w:pPr>
              <w:pStyle w:val="Tabletext-right"/>
            </w:pPr>
            <w:r>
              <w:rPr>
                <w:rStyle w:val="Arialarrow"/>
              </w:rPr>
              <w:t>▼</w:t>
            </w:r>
            <w:r>
              <w:t>7</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88"/>
        </w:trPr>
        <w:tc>
          <w:tcPr>
            <w:tcW w:w="833" w:type="pct"/>
            <w:shd w:val="clear" w:color="auto" w:fill="auto"/>
          </w:tcPr>
          <w:p w:rsidR="0092682E" w:rsidRPr="00391B03" w:rsidRDefault="0092682E" w:rsidP="00624E11">
            <w:pPr>
              <w:pStyle w:val="Tabletext"/>
            </w:pPr>
            <w:r w:rsidRPr="00391B03">
              <w:t>Total ACT</w:t>
            </w:r>
          </w:p>
        </w:tc>
        <w:tc>
          <w:tcPr>
            <w:tcW w:w="833" w:type="pct"/>
            <w:shd w:val="clear" w:color="auto" w:fill="auto"/>
          </w:tcPr>
          <w:p w:rsidR="0092682E" w:rsidRDefault="0092682E" w:rsidP="00624E11">
            <w:pPr>
              <w:pStyle w:val="Tabletext-right"/>
            </w:pPr>
            <w:r>
              <w:t>10 624</w:t>
            </w:r>
          </w:p>
        </w:tc>
        <w:tc>
          <w:tcPr>
            <w:tcW w:w="834" w:type="pct"/>
            <w:shd w:val="clear" w:color="auto" w:fill="auto"/>
          </w:tcPr>
          <w:p w:rsidR="0092682E" w:rsidRDefault="0092682E" w:rsidP="00624E11">
            <w:pPr>
              <w:pStyle w:val="Tabletext-right"/>
            </w:pPr>
            <w:r>
              <w:rPr>
                <w:rStyle w:val="Arialarrow"/>
              </w:rPr>
              <w:t>▲</w:t>
            </w:r>
            <w:r>
              <w:t>5 885</w:t>
            </w:r>
          </w:p>
        </w:tc>
        <w:tc>
          <w:tcPr>
            <w:tcW w:w="833" w:type="pct"/>
            <w:shd w:val="clear" w:color="auto" w:fill="auto"/>
          </w:tcPr>
          <w:p w:rsidR="0092682E" w:rsidRDefault="0092682E" w:rsidP="00624E11">
            <w:pPr>
              <w:pStyle w:val="Tabletext-right"/>
            </w:pPr>
            <w:r>
              <w:t>663</w:t>
            </w:r>
          </w:p>
        </w:tc>
        <w:tc>
          <w:tcPr>
            <w:tcW w:w="833" w:type="pct"/>
            <w:shd w:val="clear" w:color="auto" w:fill="auto"/>
          </w:tcPr>
          <w:p w:rsidR="0092682E" w:rsidRDefault="0092682E" w:rsidP="00624E11">
            <w:pPr>
              <w:pStyle w:val="Tabletext-right"/>
            </w:pPr>
            <w:r>
              <w:rPr>
                <w:rStyle w:val="Arialarrow"/>
              </w:rPr>
              <w:t>▼</w:t>
            </w:r>
            <w:r>
              <w:t>382</w:t>
            </w:r>
          </w:p>
        </w:tc>
        <w:tc>
          <w:tcPr>
            <w:tcW w:w="834" w:type="pct"/>
            <w:shd w:val="clear" w:color="auto" w:fill="auto"/>
          </w:tcPr>
          <w:p w:rsidR="0092682E" w:rsidRDefault="0092682E" w:rsidP="00624E11">
            <w:pPr>
              <w:pStyle w:val="Tabletext-right"/>
            </w:pPr>
            <w:r>
              <w:t>6%</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 xml:space="preserve">Tasmania </w:t>
            </w: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Aurora Energy</w:t>
            </w:r>
          </w:p>
        </w:tc>
        <w:tc>
          <w:tcPr>
            <w:tcW w:w="833" w:type="pct"/>
            <w:shd w:val="clear" w:color="auto" w:fill="auto"/>
          </w:tcPr>
          <w:p w:rsidR="0092682E" w:rsidRDefault="0092682E" w:rsidP="00624E11">
            <w:pPr>
              <w:pStyle w:val="Tabletext-right"/>
            </w:pPr>
            <w:r>
              <w:t>8 018</w:t>
            </w:r>
          </w:p>
        </w:tc>
        <w:tc>
          <w:tcPr>
            <w:tcW w:w="834" w:type="pct"/>
            <w:shd w:val="clear" w:color="auto" w:fill="auto"/>
          </w:tcPr>
          <w:p w:rsidR="0092682E" w:rsidRDefault="0092682E" w:rsidP="00624E11">
            <w:pPr>
              <w:pStyle w:val="Tabletext-right"/>
            </w:pPr>
            <w:r>
              <w:rPr>
                <w:rStyle w:val="Arialarrow"/>
              </w:rPr>
              <w:t>▼</w:t>
            </w:r>
            <w:r>
              <w:t>53</w:t>
            </w:r>
          </w:p>
        </w:tc>
        <w:tc>
          <w:tcPr>
            <w:tcW w:w="833" w:type="pct"/>
            <w:shd w:val="clear" w:color="auto" w:fill="auto"/>
          </w:tcPr>
          <w:p w:rsidR="0092682E" w:rsidRDefault="0092682E" w:rsidP="00624E11">
            <w:pPr>
              <w:pStyle w:val="Tabletext-right"/>
            </w:pPr>
            <w:r>
              <w:t>107</w:t>
            </w:r>
          </w:p>
        </w:tc>
        <w:tc>
          <w:tcPr>
            <w:tcW w:w="833" w:type="pct"/>
            <w:shd w:val="clear" w:color="auto" w:fill="auto"/>
          </w:tcPr>
          <w:p w:rsidR="0092682E" w:rsidRDefault="0092682E" w:rsidP="00624E11">
            <w:pPr>
              <w:pStyle w:val="Tabletext-right"/>
            </w:pPr>
            <w:r>
              <w:rPr>
                <w:rStyle w:val="Arialarrow"/>
              </w:rPr>
              <w:t>▼</w:t>
            </w:r>
            <w:r>
              <w:t>60</w:t>
            </w:r>
          </w:p>
        </w:tc>
        <w:tc>
          <w:tcPr>
            <w:tcW w:w="834" w:type="pct"/>
            <w:shd w:val="clear" w:color="auto" w:fill="auto"/>
          </w:tcPr>
          <w:p w:rsidR="0092682E" w:rsidRDefault="0092682E" w:rsidP="00624E11">
            <w:pPr>
              <w:pStyle w:val="Tabletext-right"/>
            </w:pPr>
            <w:r>
              <w:t>1%</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ERM Power Retail</w:t>
            </w:r>
          </w:p>
        </w:tc>
        <w:tc>
          <w:tcPr>
            <w:tcW w:w="833" w:type="pct"/>
            <w:shd w:val="clear" w:color="auto" w:fill="auto"/>
          </w:tcPr>
          <w:p w:rsidR="0092682E" w:rsidRDefault="0092682E" w:rsidP="00624E11">
            <w:pPr>
              <w:pStyle w:val="Tabletext-right"/>
            </w:pPr>
            <w:r>
              <w:t>5</w:t>
            </w:r>
          </w:p>
        </w:tc>
        <w:tc>
          <w:tcPr>
            <w:tcW w:w="834" w:type="pct"/>
            <w:shd w:val="clear" w:color="auto" w:fill="auto"/>
          </w:tcPr>
          <w:p w:rsidR="0092682E" w:rsidRDefault="0092682E" w:rsidP="00624E11">
            <w:pPr>
              <w:pStyle w:val="Tabletext-right"/>
            </w:pPr>
            <w:r>
              <w:rPr>
                <w:rStyle w:val="Arialarrow"/>
              </w:rPr>
              <w:t>▲</w:t>
            </w:r>
            <w:r>
              <w:t>5</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lastRenderedPageBreak/>
              <w:t xml:space="preserve">Total </w:t>
            </w:r>
            <w:proofErr w:type="spellStart"/>
            <w:r w:rsidRPr="00391B03">
              <w:t>Tas</w:t>
            </w:r>
            <w:proofErr w:type="spellEnd"/>
          </w:p>
        </w:tc>
        <w:tc>
          <w:tcPr>
            <w:tcW w:w="833" w:type="pct"/>
            <w:shd w:val="clear" w:color="auto" w:fill="auto"/>
          </w:tcPr>
          <w:p w:rsidR="0092682E" w:rsidRDefault="0092682E" w:rsidP="00624E11">
            <w:pPr>
              <w:pStyle w:val="Tabletext-right"/>
            </w:pPr>
            <w:r>
              <w:t xml:space="preserve"> 8 023</w:t>
            </w:r>
          </w:p>
        </w:tc>
        <w:tc>
          <w:tcPr>
            <w:tcW w:w="834" w:type="pct"/>
            <w:shd w:val="clear" w:color="auto" w:fill="auto"/>
          </w:tcPr>
          <w:p w:rsidR="0092682E" w:rsidRDefault="0092682E" w:rsidP="00624E11">
            <w:pPr>
              <w:pStyle w:val="Tabletext-right"/>
            </w:pPr>
            <w:r>
              <w:rPr>
                <w:rStyle w:val="Arialarrow"/>
              </w:rPr>
              <w:t>▼</w:t>
            </w:r>
            <w:r>
              <w:t>48</w:t>
            </w:r>
          </w:p>
        </w:tc>
        <w:tc>
          <w:tcPr>
            <w:tcW w:w="833" w:type="pct"/>
            <w:shd w:val="clear" w:color="auto" w:fill="auto"/>
          </w:tcPr>
          <w:p w:rsidR="0092682E" w:rsidRDefault="0092682E" w:rsidP="00624E11">
            <w:pPr>
              <w:pStyle w:val="Tabletext-right"/>
            </w:pPr>
            <w:r>
              <w:t>107</w:t>
            </w:r>
          </w:p>
        </w:tc>
        <w:tc>
          <w:tcPr>
            <w:tcW w:w="833" w:type="pct"/>
            <w:shd w:val="clear" w:color="auto" w:fill="auto"/>
          </w:tcPr>
          <w:p w:rsidR="0092682E" w:rsidRDefault="0092682E" w:rsidP="00624E11">
            <w:pPr>
              <w:pStyle w:val="Tabletext-right"/>
            </w:pPr>
            <w:r>
              <w:rPr>
                <w:rStyle w:val="Arialarrow"/>
              </w:rPr>
              <w:t>▼</w:t>
            </w:r>
            <w:r>
              <w:t>60</w:t>
            </w:r>
          </w:p>
        </w:tc>
        <w:tc>
          <w:tcPr>
            <w:tcW w:w="834" w:type="pct"/>
            <w:shd w:val="clear" w:color="auto" w:fill="auto"/>
          </w:tcPr>
          <w:p w:rsidR="0092682E" w:rsidRDefault="0092682E" w:rsidP="00624E11">
            <w:pPr>
              <w:pStyle w:val="Tabletext-right"/>
            </w:pPr>
            <w:r>
              <w:t>1%</w:t>
            </w:r>
          </w:p>
        </w:tc>
      </w:tr>
      <w:tr w:rsidR="0092682E" w:rsidRPr="00391B03" w:rsidTr="00391B03">
        <w:trPr>
          <w:trHeight w:val="288"/>
        </w:trPr>
        <w:tc>
          <w:tcPr>
            <w:tcW w:w="833" w:type="pct"/>
            <w:shd w:val="clear" w:color="auto" w:fill="auto"/>
          </w:tcPr>
          <w:p w:rsidR="0092682E" w:rsidRPr="00391B03" w:rsidRDefault="0092682E" w:rsidP="00624E11">
            <w:pPr>
              <w:pStyle w:val="Tabletext"/>
            </w:pPr>
            <w:r w:rsidRPr="00391B03">
              <w:t>New South Wales</w:t>
            </w: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c>
          <w:tcPr>
            <w:tcW w:w="834" w:type="pct"/>
            <w:shd w:val="clear" w:color="auto" w:fill="auto"/>
          </w:tcPr>
          <w:p w:rsidR="0092682E" w:rsidRPr="00391B03" w:rsidRDefault="0092682E" w:rsidP="00391B03">
            <w:pPr>
              <w:pStyle w:val="NoParagraphStyle"/>
              <w:spacing w:before="60" w:after="60" w:line="240" w:lineRule="auto"/>
              <w:textAlignment w:val="auto"/>
              <w:rPr>
                <w:rFonts w:ascii="HelveticaNeueLTStd-Cn" w:hAnsi="HelveticaNeueLTStd-Cn" w:cs="Times New Roman"/>
                <w:color w:val="auto"/>
                <w:lang w:val="en-US"/>
              </w:rPr>
            </w:pP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1st Energy</w:t>
            </w:r>
          </w:p>
        </w:tc>
        <w:tc>
          <w:tcPr>
            <w:tcW w:w="833" w:type="pct"/>
            <w:shd w:val="clear" w:color="auto" w:fill="auto"/>
          </w:tcPr>
          <w:p w:rsidR="0092682E" w:rsidRDefault="0092682E" w:rsidP="00624E11">
            <w:pPr>
              <w:pStyle w:val="Tabletext-right"/>
            </w:pPr>
            <w:r>
              <w:t>34</w:t>
            </w:r>
          </w:p>
        </w:tc>
        <w:tc>
          <w:tcPr>
            <w:tcW w:w="834" w:type="pct"/>
            <w:shd w:val="clear" w:color="auto" w:fill="auto"/>
          </w:tcPr>
          <w:p w:rsidR="0092682E" w:rsidRDefault="0092682E" w:rsidP="00624E11">
            <w:pPr>
              <w:pStyle w:val="Tabletext-right"/>
            </w:pPr>
            <w:r>
              <w:t>N/A</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 xml:space="preserve"> -</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ActewAGL</w:t>
            </w:r>
            <w:proofErr w:type="spellEnd"/>
          </w:p>
        </w:tc>
        <w:tc>
          <w:tcPr>
            <w:tcW w:w="833" w:type="pct"/>
            <w:shd w:val="clear" w:color="auto" w:fill="auto"/>
          </w:tcPr>
          <w:p w:rsidR="0092682E" w:rsidRDefault="0092682E" w:rsidP="00624E11">
            <w:pPr>
              <w:pStyle w:val="Tabletext-right"/>
            </w:pPr>
            <w:r>
              <w:t>1 249</w:t>
            </w:r>
          </w:p>
        </w:tc>
        <w:tc>
          <w:tcPr>
            <w:tcW w:w="834" w:type="pct"/>
            <w:shd w:val="clear" w:color="auto" w:fill="auto"/>
          </w:tcPr>
          <w:p w:rsidR="0092682E" w:rsidRDefault="0092682E" w:rsidP="00624E11">
            <w:pPr>
              <w:pStyle w:val="Tabletext-right"/>
            </w:pPr>
            <w:r>
              <w:rPr>
                <w:rStyle w:val="Arialarrow"/>
              </w:rPr>
              <w:t>▲</w:t>
            </w:r>
            <w:r>
              <w:t>407</w:t>
            </w:r>
          </w:p>
        </w:tc>
        <w:tc>
          <w:tcPr>
            <w:tcW w:w="833" w:type="pct"/>
            <w:shd w:val="clear" w:color="auto" w:fill="auto"/>
          </w:tcPr>
          <w:p w:rsidR="0092682E" w:rsidRDefault="0092682E" w:rsidP="00624E11">
            <w:pPr>
              <w:pStyle w:val="Tabletext-right"/>
            </w:pPr>
            <w:r>
              <w:t>165</w:t>
            </w:r>
          </w:p>
        </w:tc>
        <w:tc>
          <w:tcPr>
            <w:tcW w:w="833" w:type="pct"/>
            <w:shd w:val="clear" w:color="auto" w:fill="auto"/>
          </w:tcPr>
          <w:p w:rsidR="0092682E" w:rsidRDefault="0092682E" w:rsidP="00624E11">
            <w:pPr>
              <w:pStyle w:val="Tabletext-right"/>
            </w:pPr>
            <w:r>
              <w:rPr>
                <w:rStyle w:val="Arialarrow"/>
              </w:rPr>
              <w:t>▼</w:t>
            </w:r>
            <w:r>
              <w:t>8</w:t>
            </w:r>
          </w:p>
        </w:tc>
        <w:tc>
          <w:tcPr>
            <w:tcW w:w="834" w:type="pct"/>
            <w:shd w:val="clear" w:color="auto" w:fill="auto"/>
          </w:tcPr>
          <w:p w:rsidR="0092682E" w:rsidRDefault="0092682E" w:rsidP="00624E11">
            <w:pPr>
              <w:pStyle w:val="Tabletext-right"/>
            </w:pPr>
            <w:r>
              <w:t>13%</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AGL</w:t>
            </w:r>
          </w:p>
        </w:tc>
        <w:tc>
          <w:tcPr>
            <w:tcW w:w="833" w:type="pct"/>
            <w:shd w:val="clear" w:color="auto" w:fill="auto"/>
          </w:tcPr>
          <w:p w:rsidR="0092682E" w:rsidRDefault="0092682E" w:rsidP="00624E11">
            <w:pPr>
              <w:pStyle w:val="Tabletext-right"/>
            </w:pPr>
            <w:r>
              <w:t>58 065</w:t>
            </w:r>
          </w:p>
        </w:tc>
        <w:tc>
          <w:tcPr>
            <w:tcW w:w="834" w:type="pct"/>
            <w:shd w:val="clear" w:color="auto" w:fill="auto"/>
          </w:tcPr>
          <w:p w:rsidR="0092682E" w:rsidRDefault="0092682E" w:rsidP="00624E11">
            <w:pPr>
              <w:pStyle w:val="Tabletext-right"/>
            </w:pPr>
            <w:r>
              <w:rPr>
                <w:rStyle w:val="Arialarrow"/>
              </w:rPr>
              <w:t>▼</w:t>
            </w:r>
            <w:r>
              <w:t>49 575</w:t>
            </w:r>
          </w:p>
        </w:tc>
        <w:tc>
          <w:tcPr>
            <w:tcW w:w="833" w:type="pct"/>
            <w:shd w:val="clear" w:color="auto" w:fill="auto"/>
          </w:tcPr>
          <w:p w:rsidR="0092682E" w:rsidRDefault="0092682E" w:rsidP="00624E11">
            <w:pPr>
              <w:pStyle w:val="Tabletext-right"/>
            </w:pPr>
            <w:r>
              <w:t>3915</w:t>
            </w:r>
          </w:p>
        </w:tc>
        <w:tc>
          <w:tcPr>
            <w:tcW w:w="833" w:type="pct"/>
            <w:shd w:val="clear" w:color="auto" w:fill="auto"/>
          </w:tcPr>
          <w:p w:rsidR="0092682E" w:rsidRDefault="0092682E" w:rsidP="00624E11">
            <w:pPr>
              <w:pStyle w:val="Tabletext-right"/>
            </w:pPr>
            <w:r>
              <w:rPr>
                <w:rStyle w:val="Arialarrow"/>
              </w:rPr>
              <w:t>▼</w:t>
            </w:r>
            <w:r>
              <w:t>2 594</w:t>
            </w:r>
          </w:p>
        </w:tc>
        <w:tc>
          <w:tcPr>
            <w:tcW w:w="834" w:type="pct"/>
            <w:shd w:val="clear" w:color="auto" w:fill="auto"/>
          </w:tcPr>
          <w:p w:rsidR="0092682E" w:rsidRDefault="0092682E" w:rsidP="00624E11">
            <w:pPr>
              <w:pStyle w:val="Tabletext-right"/>
            </w:pPr>
            <w:r>
              <w:t>7%</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Alinta</w:t>
            </w:r>
            <w:proofErr w:type="spellEnd"/>
            <w:r w:rsidRPr="00391B03">
              <w:t xml:space="preserve"> Energy </w:t>
            </w:r>
          </w:p>
        </w:tc>
        <w:tc>
          <w:tcPr>
            <w:tcW w:w="833" w:type="pct"/>
            <w:shd w:val="clear" w:color="auto" w:fill="auto"/>
          </w:tcPr>
          <w:p w:rsidR="0092682E" w:rsidRDefault="0092682E" w:rsidP="00624E11">
            <w:pPr>
              <w:pStyle w:val="Tabletext-right"/>
            </w:pPr>
            <w:r>
              <w:t>137</w:t>
            </w:r>
          </w:p>
        </w:tc>
        <w:tc>
          <w:tcPr>
            <w:tcW w:w="834" w:type="pct"/>
            <w:shd w:val="clear" w:color="auto" w:fill="auto"/>
          </w:tcPr>
          <w:p w:rsidR="0092682E" w:rsidRDefault="0092682E" w:rsidP="00624E11">
            <w:pPr>
              <w:pStyle w:val="Tabletext-right"/>
            </w:pPr>
            <w:r>
              <w:rPr>
                <w:rStyle w:val="Arialarrow"/>
              </w:rPr>
              <w:t>▲</w:t>
            </w:r>
            <w:r>
              <w:t>137</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 xml:space="preserve"> –</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Blue NRG</w:t>
            </w:r>
          </w:p>
        </w:tc>
        <w:tc>
          <w:tcPr>
            <w:tcW w:w="833" w:type="pct"/>
            <w:shd w:val="clear" w:color="auto" w:fill="auto"/>
          </w:tcPr>
          <w:p w:rsidR="0092682E" w:rsidRDefault="0092682E" w:rsidP="00624E11">
            <w:pPr>
              <w:pStyle w:val="Tabletext-right"/>
            </w:pPr>
            <w:r>
              <w:t>36</w:t>
            </w:r>
          </w:p>
        </w:tc>
        <w:tc>
          <w:tcPr>
            <w:tcW w:w="834" w:type="pct"/>
            <w:shd w:val="clear" w:color="auto" w:fill="auto"/>
          </w:tcPr>
          <w:p w:rsidR="0092682E" w:rsidRDefault="0092682E" w:rsidP="00624E11">
            <w:pPr>
              <w:pStyle w:val="Tabletext-right"/>
            </w:pPr>
            <w:r>
              <w:rPr>
                <w:rStyle w:val="Arialarrow"/>
              </w:rPr>
              <w:t>▼</w:t>
            </w:r>
            <w:r>
              <w:t>32</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 xml:space="preserve"> –</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Click Energy</w:t>
            </w:r>
          </w:p>
        </w:tc>
        <w:tc>
          <w:tcPr>
            <w:tcW w:w="833" w:type="pct"/>
            <w:shd w:val="clear" w:color="auto" w:fill="auto"/>
          </w:tcPr>
          <w:p w:rsidR="0092682E" w:rsidRDefault="0092682E" w:rsidP="00624E11">
            <w:pPr>
              <w:pStyle w:val="Tabletext-right"/>
            </w:pPr>
            <w:r>
              <w:t>290</w:t>
            </w:r>
          </w:p>
        </w:tc>
        <w:tc>
          <w:tcPr>
            <w:tcW w:w="834" w:type="pct"/>
            <w:shd w:val="clear" w:color="auto" w:fill="auto"/>
          </w:tcPr>
          <w:p w:rsidR="0092682E" w:rsidRDefault="0092682E" w:rsidP="00624E11">
            <w:pPr>
              <w:pStyle w:val="Tabletext-right"/>
            </w:pPr>
            <w:r>
              <w:rPr>
                <w:rStyle w:val="Arialarrow"/>
              </w:rPr>
              <w:t>▼</w:t>
            </w:r>
            <w:r>
              <w:t>72</w:t>
            </w:r>
          </w:p>
        </w:tc>
        <w:tc>
          <w:tcPr>
            <w:tcW w:w="833" w:type="pct"/>
            <w:shd w:val="clear" w:color="auto" w:fill="auto"/>
          </w:tcPr>
          <w:p w:rsidR="0092682E" w:rsidRDefault="0092682E" w:rsidP="00624E11">
            <w:pPr>
              <w:pStyle w:val="Tabletext-right"/>
            </w:pPr>
            <w:r>
              <w:t>195</w:t>
            </w:r>
          </w:p>
        </w:tc>
        <w:tc>
          <w:tcPr>
            <w:tcW w:w="833" w:type="pct"/>
            <w:shd w:val="clear" w:color="auto" w:fill="auto"/>
          </w:tcPr>
          <w:p w:rsidR="0092682E" w:rsidRDefault="0092682E" w:rsidP="00624E11">
            <w:pPr>
              <w:pStyle w:val="Tabletext-right"/>
            </w:pPr>
            <w:r>
              <w:rPr>
                <w:rStyle w:val="Arialarrow"/>
              </w:rPr>
              <w:t>▼</w:t>
            </w:r>
            <w:r>
              <w:t>78</w:t>
            </w:r>
          </w:p>
        </w:tc>
        <w:tc>
          <w:tcPr>
            <w:tcW w:w="834" w:type="pct"/>
            <w:shd w:val="clear" w:color="auto" w:fill="auto"/>
          </w:tcPr>
          <w:p w:rsidR="0092682E" w:rsidRDefault="0092682E" w:rsidP="00624E11">
            <w:pPr>
              <w:pStyle w:val="Tabletext-right"/>
            </w:pPr>
            <w:r>
              <w:t>67%</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CovaU</w:t>
            </w:r>
            <w:proofErr w:type="spellEnd"/>
          </w:p>
        </w:tc>
        <w:tc>
          <w:tcPr>
            <w:tcW w:w="833" w:type="pct"/>
            <w:shd w:val="clear" w:color="auto" w:fill="auto"/>
          </w:tcPr>
          <w:p w:rsidR="0092682E" w:rsidRDefault="0092682E" w:rsidP="00624E11">
            <w:pPr>
              <w:pStyle w:val="Tabletext-right"/>
            </w:pPr>
            <w:r>
              <w:t>810</w:t>
            </w:r>
          </w:p>
        </w:tc>
        <w:tc>
          <w:tcPr>
            <w:tcW w:w="834" w:type="pct"/>
            <w:shd w:val="clear" w:color="auto" w:fill="auto"/>
          </w:tcPr>
          <w:p w:rsidR="0092682E" w:rsidRDefault="0092682E" w:rsidP="00624E11">
            <w:pPr>
              <w:pStyle w:val="Tabletext-right"/>
            </w:pPr>
            <w:r>
              <w:rPr>
                <w:rStyle w:val="Arialarrow"/>
              </w:rPr>
              <w:t>▼</w:t>
            </w:r>
            <w:r>
              <w:t>705</w:t>
            </w:r>
          </w:p>
        </w:tc>
        <w:tc>
          <w:tcPr>
            <w:tcW w:w="833" w:type="pct"/>
            <w:shd w:val="clear" w:color="auto" w:fill="auto"/>
          </w:tcPr>
          <w:p w:rsidR="0092682E" w:rsidRDefault="0092682E" w:rsidP="00624E11">
            <w:pPr>
              <w:pStyle w:val="Tabletext-right"/>
            </w:pPr>
            <w:r>
              <w:t>129</w:t>
            </w:r>
          </w:p>
        </w:tc>
        <w:tc>
          <w:tcPr>
            <w:tcW w:w="833" w:type="pct"/>
            <w:shd w:val="clear" w:color="auto" w:fill="auto"/>
          </w:tcPr>
          <w:p w:rsidR="0092682E" w:rsidRDefault="0092682E" w:rsidP="00624E11">
            <w:pPr>
              <w:pStyle w:val="Tabletext-right"/>
            </w:pPr>
            <w:r>
              <w:rPr>
                <w:rStyle w:val="Arialarrow"/>
              </w:rPr>
              <w:t>▲</w:t>
            </w:r>
            <w:r>
              <w:t>74</w:t>
            </w:r>
          </w:p>
        </w:tc>
        <w:tc>
          <w:tcPr>
            <w:tcW w:w="834" w:type="pct"/>
            <w:shd w:val="clear" w:color="auto" w:fill="auto"/>
          </w:tcPr>
          <w:p w:rsidR="0092682E" w:rsidRDefault="0092682E" w:rsidP="00624E11">
            <w:pPr>
              <w:pStyle w:val="Tabletext-right"/>
            </w:pPr>
            <w:r>
              <w:t>16%</w:t>
            </w:r>
          </w:p>
        </w:tc>
      </w:tr>
      <w:tr w:rsidR="0092682E" w:rsidRPr="00391B03" w:rsidTr="00391B03">
        <w:trPr>
          <w:trHeight w:val="288"/>
        </w:trPr>
        <w:tc>
          <w:tcPr>
            <w:tcW w:w="833" w:type="pct"/>
            <w:shd w:val="clear" w:color="auto" w:fill="auto"/>
          </w:tcPr>
          <w:p w:rsidR="0092682E" w:rsidRPr="00391B03" w:rsidRDefault="0092682E" w:rsidP="00624E11">
            <w:pPr>
              <w:pStyle w:val="Tabletext"/>
            </w:pPr>
            <w:r w:rsidRPr="00391B03">
              <w:t>Diamond Energy</w:t>
            </w:r>
          </w:p>
        </w:tc>
        <w:tc>
          <w:tcPr>
            <w:tcW w:w="833" w:type="pct"/>
            <w:shd w:val="clear" w:color="auto" w:fill="auto"/>
          </w:tcPr>
          <w:p w:rsidR="0092682E" w:rsidRDefault="0092682E" w:rsidP="00624E11">
            <w:pPr>
              <w:pStyle w:val="Tabletext-right"/>
            </w:pPr>
            <w:r>
              <w:t>13</w:t>
            </w:r>
          </w:p>
        </w:tc>
        <w:tc>
          <w:tcPr>
            <w:tcW w:w="834" w:type="pct"/>
            <w:shd w:val="clear" w:color="auto" w:fill="auto"/>
          </w:tcPr>
          <w:p w:rsidR="0092682E" w:rsidRDefault="0092682E" w:rsidP="00624E11">
            <w:pPr>
              <w:pStyle w:val="Tabletext-right"/>
            </w:pPr>
            <w:r>
              <w:rPr>
                <w:rStyle w:val="Arialarrow"/>
              </w:rPr>
              <w:t>▼</w:t>
            </w:r>
            <w:r>
              <w:t>11</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EnergyAustralia</w:t>
            </w:r>
            <w:proofErr w:type="spellEnd"/>
          </w:p>
        </w:tc>
        <w:tc>
          <w:tcPr>
            <w:tcW w:w="833" w:type="pct"/>
            <w:shd w:val="clear" w:color="auto" w:fill="auto"/>
          </w:tcPr>
          <w:p w:rsidR="0092682E" w:rsidRDefault="0092682E" w:rsidP="00624E11">
            <w:pPr>
              <w:pStyle w:val="Tabletext-right"/>
            </w:pPr>
            <w:r>
              <w:t>17 684</w:t>
            </w:r>
          </w:p>
        </w:tc>
        <w:tc>
          <w:tcPr>
            <w:tcW w:w="834" w:type="pct"/>
            <w:shd w:val="clear" w:color="auto" w:fill="auto"/>
          </w:tcPr>
          <w:p w:rsidR="0092682E" w:rsidRDefault="0092682E" w:rsidP="00624E11">
            <w:pPr>
              <w:pStyle w:val="Tabletext-right"/>
            </w:pPr>
            <w:r>
              <w:rPr>
                <w:rStyle w:val="Arialarrow"/>
              </w:rPr>
              <w:t>▼</w:t>
            </w:r>
            <w:r>
              <w:t>11 141</w:t>
            </w:r>
          </w:p>
        </w:tc>
        <w:tc>
          <w:tcPr>
            <w:tcW w:w="833" w:type="pct"/>
            <w:shd w:val="clear" w:color="auto" w:fill="auto"/>
          </w:tcPr>
          <w:p w:rsidR="0092682E" w:rsidRDefault="0092682E" w:rsidP="00624E11">
            <w:pPr>
              <w:pStyle w:val="Tabletext-right"/>
            </w:pPr>
            <w:r>
              <w:t>3 498</w:t>
            </w:r>
          </w:p>
        </w:tc>
        <w:tc>
          <w:tcPr>
            <w:tcW w:w="833" w:type="pct"/>
            <w:shd w:val="clear" w:color="auto" w:fill="auto"/>
          </w:tcPr>
          <w:p w:rsidR="0092682E" w:rsidRDefault="0092682E" w:rsidP="00624E11">
            <w:pPr>
              <w:pStyle w:val="Tabletext-right"/>
            </w:pPr>
            <w:r>
              <w:rPr>
                <w:rStyle w:val="Arialarrow"/>
              </w:rPr>
              <w:t>▼</w:t>
            </w:r>
            <w:r>
              <w:t>1351</w:t>
            </w:r>
          </w:p>
        </w:tc>
        <w:tc>
          <w:tcPr>
            <w:tcW w:w="834" w:type="pct"/>
            <w:shd w:val="clear" w:color="auto" w:fill="auto"/>
          </w:tcPr>
          <w:p w:rsidR="0092682E" w:rsidRDefault="0092682E" w:rsidP="00624E11">
            <w:pPr>
              <w:pStyle w:val="Tabletext-right"/>
            </w:pPr>
            <w:r>
              <w:t>20%</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ERM Power Retail</w:t>
            </w:r>
          </w:p>
        </w:tc>
        <w:tc>
          <w:tcPr>
            <w:tcW w:w="833" w:type="pct"/>
            <w:shd w:val="clear" w:color="auto" w:fill="auto"/>
          </w:tcPr>
          <w:p w:rsidR="0092682E" w:rsidRDefault="0092682E" w:rsidP="00624E11">
            <w:pPr>
              <w:pStyle w:val="Tabletext-right"/>
            </w:pPr>
            <w:r>
              <w:t>91</w:t>
            </w:r>
          </w:p>
        </w:tc>
        <w:tc>
          <w:tcPr>
            <w:tcW w:w="834" w:type="pct"/>
            <w:shd w:val="clear" w:color="auto" w:fill="auto"/>
          </w:tcPr>
          <w:p w:rsidR="0092682E" w:rsidRDefault="0092682E" w:rsidP="00624E11">
            <w:pPr>
              <w:pStyle w:val="Tabletext-right"/>
            </w:pPr>
            <w:r>
              <w:rPr>
                <w:rStyle w:val="Arialarrow"/>
              </w:rPr>
              <w:t>▼</w:t>
            </w:r>
            <w:r>
              <w:t>75</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Lumo</w:t>
            </w:r>
            <w:proofErr w:type="spellEnd"/>
            <w:r w:rsidRPr="00391B03">
              <w:t xml:space="preserve"> Energy</w:t>
            </w:r>
          </w:p>
        </w:tc>
        <w:tc>
          <w:tcPr>
            <w:tcW w:w="833" w:type="pct"/>
            <w:shd w:val="clear" w:color="auto" w:fill="auto"/>
          </w:tcPr>
          <w:p w:rsidR="0092682E" w:rsidRDefault="0092682E" w:rsidP="00624E11">
            <w:pPr>
              <w:pStyle w:val="Tabletext-right"/>
            </w:pPr>
            <w:r>
              <w:t>2 676</w:t>
            </w:r>
          </w:p>
        </w:tc>
        <w:tc>
          <w:tcPr>
            <w:tcW w:w="834" w:type="pct"/>
            <w:shd w:val="clear" w:color="auto" w:fill="auto"/>
          </w:tcPr>
          <w:p w:rsidR="0092682E" w:rsidRDefault="0092682E" w:rsidP="00624E11">
            <w:pPr>
              <w:pStyle w:val="Tabletext-right"/>
            </w:pPr>
            <w:r>
              <w:rPr>
                <w:rStyle w:val="Arialarrow"/>
              </w:rPr>
              <w:t>▼</w:t>
            </w:r>
            <w:r>
              <w:t>411</w:t>
            </w:r>
          </w:p>
        </w:tc>
        <w:tc>
          <w:tcPr>
            <w:tcW w:w="833" w:type="pct"/>
            <w:shd w:val="clear" w:color="auto" w:fill="auto"/>
          </w:tcPr>
          <w:p w:rsidR="0092682E" w:rsidRDefault="0092682E" w:rsidP="00624E11">
            <w:pPr>
              <w:pStyle w:val="Tabletext-right"/>
            </w:pPr>
            <w:r>
              <w:t>521</w:t>
            </w:r>
          </w:p>
        </w:tc>
        <w:tc>
          <w:tcPr>
            <w:tcW w:w="833" w:type="pct"/>
            <w:shd w:val="clear" w:color="auto" w:fill="auto"/>
          </w:tcPr>
          <w:p w:rsidR="0092682E" w:rsidRDefault="0092682E" w:rsidP="00624E11">
            <w:pPr>
              <w:pStyle w:val="Tabletext-right"/>
            </w:pPr>
            <w:r>
              <w:rPr>
                <w:rStyle w:val="Arialarrow"/>
              </w:rPr>
              <w:t>▲</w:t>
            </w:r>
            <w:r>
              <w:t>60</w:t>
            </w:r>
          </w:p>
        </w:tc>
        <w:tc>
          <w:tcPr>
            <w:tcW w:w="834" w:type="pct"/>
            <w:shd w:val="clear" w:color="auto" w:fill="auto"/>
          </w:tcPr>
          <w:p w:rsidR="0092682E" w:rsidRDefault="0092682E" w:rsidP="00624E11">
            <w:pPr>
              <w:pStyle w:val="Tabletext-right"/>
            </w:pPr>
            <w:r>
              <w:t>19%</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M2 Energy</w:t>
            </w:r>
          </w:p>
        </w:tc>
        <w:tc>
          <w:tcPr>
            <w:tcW w:w="833" w:type="pct"/>
            <w:shd w:val="clear" w:color="auto" w:fill="auto"/>
          </w:tcPr>
          <w:p w:rsidR="0092682E" w:rsidRDefault="0092682E" w:rsidP="00624E11">
            <w:pPr>
              <w:pStyle w:val="Tabletext-right"/>
            </w:pPr>
            <w:r>
              <w:t>903</w:t>
            </w:r>
          </w:p>
        </w:tc>
        <w:tc>
          <w:tcPr>
            <w:tcW w:w="834" w:type="pct"/>
            <w:shd w:val="clear" w:color="auto" w:fill="auto"/>
          </w:tcPr>
          <w:p w:rsidR="0092682E" w:rsidRDefault="0092682E" w:rsidP="00624E11">
            <w:pPr>
              <w:pStyle w:val="Tabletext-right"/>
            </w:pPr>
            <w:r>
              <w:rPr>
                <w:rStyle w:val="Arialarrow"/>
              </w:rPr>
              <w:t>▲</w:t>
            </w:r>
            <w:r>
              <w:t>36</w:t>
            </w:r>
          </w:p>
        </w:tc>
        <w:tc>
          <w:tcPr>
            <w:tcW w:w="833" w:type="pct"/>
            <w:shd w:val="clear" w:color="auto" w:fill="auto"/>
          </w:tcPr>
          <w:p w:rsidR="0092682E" w:rsidRDefault="0092682E" w:rsidP="00624E11">
            <w:pPr>
              <w:pStyle w:val="Tabletext-right"/>
            </w:pPr>
            <w:r>
              <w:t>119</w:t>
            </w:r>
          </w:p>
        </w:tc>
        <w:tc>
          <w:tcPr>
            <w:tcW w:w="833" w:type="pct"/>
            <w:shd w:val="clear" w:color="auto" w:fill="auto"/>
          </w:tcPr>
          <w:p w:rsidR="0092682E" w:rsidRDefault="0092682E" w:rsidP="00624E11">
            <w:pPr>
              <w:pStyle w:val="Tabletext-right"/>
            </w:pPr>
            <w:r>
              <w:rPr>
                <w:rStyle w:val="Arialarrow"/>
              </w:rPr>
              <w:t>▼</w:t>
            </w:r>
            <w:r>
              <w:t>63</w:t>
            </w:r>
          </w:p>
        </w:tc>
        <w:tc>
          <w:tcPr>
            <w:tcW w:w="834" w:type="pct"/>
            <w:shd w:val="clear" w:color="auto" w:fill="auto"/>
          </w:tcPr>
          <w:p w:rsidR="0092682E" w:rsidRDefault="0092682E" w:rsidP="00624E11">
            <w:pPr>
              <w:pStyle w:val="Tabletext-right"/>
            </w:pPr>
            <w:r>
              <w:t>13%</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Momentum Energy</w:t>
            </w:r>
          </w:p>
        </w:tc>
        <w:tc>
          <w:tcPr>
            <w:tcW w:w="833" w:type="pct"/>
            <w:shd w:val="clear" w:color="auto" w:fill="auto"/>
          </w:tcPr>
          <w:p w:rsidR="0092682E" w:rsidRDefault="0092682E" w:rsidP="00624E11">
            <w:pPr>
              <w:pStyle w:val="Tabletext-right"/>
            </w:pPr>
            <w:r>
              <w:t>211</w:t>
            </w:r>
          </w:p>
        </w:tc>
        <w:tc>
          <w:tcPr>
            <w:tcW w:w="834" w:type="pct"/>
            <w:shd w:val="clear" w:color="auto" w:fill="auto"/>
          </w:tcPr>
          <w:p w:rsidR="0092682E" w:rsidRDefault="0092682E" w:rsidP="00624E11">
            <w:pPr>
              <w:pStyle w:val="Tabletext-right"/>
            </w:pPr>
            <w:r>
              <w:rPr>
                <w:rStyle w:val="Arialarrow"/>
              </w:rPr>
              <w:t>▼</w:t>
            </w:r>
            <w:r>
              <w:t>305</w:t>
            </w:r>
          </w:p>
        </w:tc>
        <w:tc>
          <w:tcPr>
            <w:tcW w:w="833" w:type="pct"/>
            <w:shd w:val="clear" w:color="auto" w:fill="auto"/>
          </w:tcPr>
          <w:p w:rsidR="0092682E" w:rsidRDefault="0092682E" w:rsidP="00624E11">
            <w:pPr>
              <w:pStyle w:val="Tabletext-right"/>
            </w:pPr>
            <w:r>
              <w:t>144</w:t>
            </w:r>
          </w:p>
        </w:tc>
        <w:tc>
          <w:tcPr>
            <w:tcW w:w="833" w:type="pct"/>
            <w:shd w:val="clear" w:color="auto" w:fill="auto"/>
          </w:tcPr>
          <w:p w:rsidR="0092682E" w:rsidRDefault="0092682E" w:rsidP="00624E11">
            <w:pPr>
              <w:pStyle w:val="Tabletext-right"/>
            </w:pPr>
            <w:r>
              <w:rPr>
                <w:rStyle w:val="Arialarrow"/>
              </w:rPr>
              <w:t>▼</w:t>
            </w:r>
            <w:r>
              <w:t>23</w:t>
            </w:r>
          </w:p>
        </w:tc>
        <w:tc>
          <w:tcPr>
            <w:tcW w:w="834" w:type="pct"/>
            <w:shd w:val="clear" w:color="auto" w:fill="auto"/>
          </w:tcPr>
          <w:p w:rsidR="0092682E" w:rsidRDefault="0092682E" w:rsidP="00624E11">
            <w:pPr>
              <w:pStyle w:val="Tabletext-right"/>
            </w:pPr>
            <w:r>
              <w:t>68%</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Next Business Energy</w:t>
            </w:r>
          </w:p>
        </w:tc>
        <w:tc>
          <w:tcPr>
            <w:tcW w:w="833" w:type="pct"/>
            <w:shd w:val="clear" w:color="auto" w:fill="auto"/>
          </w:tcPr>
          <w:p w:rsidR="0092682E" w:rsidRDefault="0092682E" w:rsidP="00624E11">
            <w:pPr>
              <w:pStyle w:val="Tabletext-right"/>
            </w:pPr>
            <w:r>
              <w:t>21</w:t>
            </w:r>
          </w:p>
        </w:tc>
        <w:tc>
          <w:tcPr>
            <w:tcW w:w="834" w:type="pct"/>
            <w:shd w:val="clear" w:color="auto" w:fill="auto"/>
          </w:tcPr>
          <w:p w:rsidR="0092682E" w:rsidRDefault="0092682E" w:rsidP="00624E11">
            <w:pPr>
              <w:pStyle w:val="Tabletext-right"/>
            </w:pPr>
            <w:r>
              <w:rPr>
                <w:rStyle w:val="Arialarrow"/>
              </w:rPr>
              <w:t>▲</w:t>
            </w:r>
            <w:r>
              <w:t>21</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Origin Energy</w:t>
            </w:r>
          </w:p>
        </w:tc>
        <w:tc>
          <w:tcPr>
            <w:tcW w:w="833" w:type="pct"/>
            <w:shd w:val="clear" w:color="auto" w:fill="auto"/>
          </w:tcPr>
          <w:p w:rsidR="0092682E" w:rsidRDefault="0092682E" w:rsidP="00624E11">
            <w:pPr>
              <w:pStyle w:val="Tabletext-right"/>
            </w:pPr>
            <w:r>
              <w:t>352 104</w:t>
            </w:r>
          </w:p>
        </w:tc>
        <w:tc>
          <w:tcPr>
            <w:tcW w:w="834" w:type="pct"/>
            <w:shd w:val="clear" w:color="auto" w:fill="auto"/>
          </w:tcPr>
          <w:p w:rsidR="0092682E" w:rsidRDefault="0092682E" w:rsidP="00624E11">
            <w:pPr>
              <w:pStyle w:val="Tabletext-right"/>
            </w:pPr>
            <w:r>
              <w:rPr>
                <w:rStyle w:val="Arialarrow"/>
              </w:rPr>
              <w:t>▲</w:t>
            </w:r>
            <w:r>
              <w:t>145 169</w:t>
            </w:r>
          </w:p>
        </w:tc>
        <w:tc>
          <w:tcPr>
            <w:tcW w:w="833" w:type="pct"/>
            <w:shd w:val="clear" w:color="auto" w:fill="auto"/>
          </w:tcPr>
          <w:p w:rsidR="0092682E" w:rsidRDefault="0092682E" w:rsidP="00624E11">
            <w:pPr>
              <w:pStyle w:val="Tabletext-right"/>
            </w:pPr>
            <w:r>
              <w:t>5 330</w:t>
            </w:r>
          </w:p>
        </w:tc>
        <w:tc>
          <w:tcPr>
            <w:tcW w:w="833" w:type="pct"/>
            <w:shd w:val="clear" w:color="auto" w:fill="auto"/>
          </w:tcPr>
          <w:p w:rsidR="0092682E" w:rsidRDefault="0092682E" w:rsidP="00624E11">
            <w:pPr>
              <w:pStyle w:val="Tabletext-right"/>
            </w:pPr>
            <w:r>
              <w:rPr>
                <w:rStyle w:val="Arialarrow"/>
              </w:rPr>
              <w:t>▼</w:t>
            </w:r>
            <w:r>
              <w:t>1561</w:t>
            </w:r>
          </w:p>
        </w:tc>
        <w:tc>
          <w:tcPr>
            <w:tcW w:w="834" w:type="pct"/>
            <w:shd w:val="clear" w:color="auto" w:fill="auto"/>
          </w:tcPr>
          <w:p w:rsidR="0092682E" w:rsidRDefault="0092682E" w:rsidP="00624E11">
            <w:pPr>
              <w:pStyle w:val="Tabletext-right"/>
            </w:pPr>
            <w:r>
              <w:t>2%</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Pooled Energy</w:t>
            </w:r>
          </w:p>
        </w:tc>
        <w:tc>
          <w:tcPr>
            <w:tcW w:w="833" w:type="pct"/>
            <w:shd w:val="clear" w:color="auto" w:fill="auto"/>
          </w:tcPr>
          <w:p w:rsidR="0092682E" w:rsidRDefault="0092682E" w:rsidP="00624E11">
            <w:pPr>
              <w:pStyle w:val="Tabletext-right"/>
            </w:pPr>
            <w:r>
              <w:t>13</w:t>
            </w:r>
          </w:p>
        </w:tc>
        <w:tc>
          <w:tcPr>
            <w:tcW w:w="834" w:type="pct"/>
            <w:shd w:val="clear" w:color="auto" w:fill="auto"/>
          </w:tcPr>
          <w:p w:rsidR="0092682E" w:rsidRDefault="0092682E" w:rsidP="00624E11">
            <w:pPr>
              <w:pStyle w:val="Tabletext-right"/>
            </w:pPr>
            <w:r>
              <w:rPr>
                <w:rStyle w:val="Arialarrow"/>
              </w:rPr>
              <w:t>▲</w:t>
            </w:r>
            <w:r>
              <w:t>7</w:t>
            </w:r>
          </w:p>
        </w:tc>
        <w:tc>
          <w:tcPr>
            <w:tcW w:w="833" w:type="pct"/>
            <w:shd w:val="clear" w:color="auto" w:fill="auto"/>
          </w:tcPr>
          <w:p w:rsidR="0092682E" w:rsidRDefault="0092682E" w:rsidP="00624E11">
            <w:pPr>
              <w:pStyle w:val="Tabletext-right"/>
            </w:pPr>
            <w:r>
              <w:t>0</w:t>
            </w:r>
          </w:p>
        </w:tc>
        <w:tc>
          <w:tcPr>
            <w:tcW w:w="833" w:type="pct"/>
            <w:shd w:val="clear" w:color="auto" w:fill="auto"/>
          </w:tcPr>
          <w:p w:rsidR="0092682E" w:rsidRDefault="0092682E" w:rsidP="00624E11">
            <w:pPr>
              <w:pStyle w:val="Tabletext-right"/>
            </w:pPr>
            <w:r>
              <w:t>0</w:t>
            </w:r>
          </w:p>
        </w:tc>
        <w:tc>
          <w:tcPr>
            <w:tcW w:w="834" w:type="pct"/>
            <w:shd w:val="clear" w:color="auto" w:fill="auto"/>
          </w:tcPr>
          <w:p w:rsidR="0092682E" w:rsidRDefault="0092682E" w:rsidP="00624E11">
            <w:pPr>
              <w:pStyle w:val="Tabletext-right"/>
            </w:pPr>
            <w:r>
              <w:t>0%</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Powerdirect</w:t>
            </w:r>
            <w:proofErr w:type="spellEnd"/>
          </w:p>
        </w:tc>
        <w:tc>
          <w:tcPr>
            <w:tcW w:w="833" w:type="pct"/>
            <w:shd w:val="clear" w:color="auto" w:fill="auto"/>
          </w:tcPr>
          <w:p w:rsidR="0092682E" w:rsidRDefault="0092682E" w:rsidP="00624E11">
            <w:pPr>
              <w:pStyle w:val="Tabletext-right"/>
            </w:pPr>
            <w:r>
              <w:t>694</w:t>
            </w:r>
          </w:p>
        </w:tc>
        <w:tc>
          <w:tcPr>
            <w:tcW w:w="834" w:type="pct"/>
            <w:shd w:val="clear" w:color="auto" w:fill="auto"/>
          </w:tcPr>
          <w:p w:rsidR="0092682E" w:rsidRDefault="0092682E" w:rsidP="00624E11">
            <w:pPr>
              <w:pStyle w:val="Tabletext-right"/>
            </w:pPr>
            <w:r>
              <w:rPr>
                <w:rStyle w:val="Arialarrow"/>
              </w:rPr>
              <w:t>▼</w:t>
            </w:r>
            <w:r>
              <w:t>1 865</w:t>
            </w:r>
          </w:p>
        </w:tc>
        <w:tc>
          <w:tcPr>
            <w:tcW w:w="833" w:type="pct"/>
            <w:shd w:val="clear" w:color="auto" w:fill="auto"/>
          </w:tcPr>
          <w:p w:rsidR="0092682E" w:rsidRDefault="0092682E" w:rsidP="00624E11">
            <w:pPr>
              <w:pStyle w:val="Tabletext-right"/>
            </w:pPr>
            <w:r>
              <w:t>380</w:t>
            </w:r>
          </w:p>
        </w:tc>
        <w:tc>
          <w:tcPr>
            <w:tcW w:w="833" w:type="pct"/>
            <w:shd w:val="clear" w:color="auto" w:fill="auto"/>
          </w:tcPr>
          <w:p w:rsidR="0092682E" w:rsidRDefault="0092682E" w:rsidP="00624E11">
            <w:pPr>
              <w:pStyle w:val="Tabletext-right"/>
            </w:pPr>
            <w:r>
              <w:rPr>
                <w:rStyle w:val="Arialarrow"/>
              </w:rPr>
              <w:t>▲</w:t>
            </w:r>
            <w:r>
              <w:t>8</w:t>
            </w:r>
          </w:p>
        </w:tc>
        <w:tc>
          <w:tcPr>
            <w:tcW w:w="834" w:type="pct"/>
            <w:shd w:val="clear" w:color="auto" w:fill="auto"/>
          </w:tcPr>
          <w:p w:rsidR="0092682E" w:rsidRDefault="0092682E" w:rsidP="00624E11">
            <w:pPr>
              <w:pStyle w:val="Tabletext-right"/>
            </w:pPr>
            <w:r>
              <w:t>55%</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Powershop</w:t>
            </w:r>
          </w:p>
        </w:tc>
        <w:tc>
          <w:tcPr>
            <w:tcW w:w="833" w:type="pct"/>
            <w:shd w:val="clear" w:color="auto" w:fill="auto"/>
          </w:tcPr>
          <w:p w:rsidR="0092682E" w:rsidRDefault="0092682E" w:rsidP="00624E11">
            <w:pPr>
              <w:pStyle w:val="Tabletext-right"/>
            </w:pPr>
            <w:r>
              <w:t>40</w:t>
            </w:r>
          </w:p>
        </w:tc>
        <w:tc>
          <w:tcPr>
            <w:tcW w:w="834" w:type="pct"/>
            <w:shd w:val="clear" w:color="auto" w:fill="auto"/>
          </w:tcPr>
          <w:p w:rsidR="0092682E" w:rsidRDefault="0092682E" w:rsidP="00624E11">
            <w:pPr>
              <w:pStyle w:val="Tabletext-right"/>
            </w:pPr>
            <w:r>
              <w:rPr>
                <w:rStyle w:val="Arialarrow"/>
              </w:rPr>
              <w:t>▲</w:t>
            </w:r>
            <w:r>
              <w:t>39</w:t>
            </w:r>
          </w:p>
        </w:tc>
        <w:tc>
          <w:tcPr>
            <w:tcW w:w="833" w:type="pct"/>
            <w:shd w:val="clear" w:color="auto" w:fill="auto"/>
          </w:tcPr>
          <w:p w:rsidR="0092682E" w:rsidRDefault="0092682E" w:rsidP="00624E11">
            <w:pPr>
              <w:pStyle w:val="Tabletext-right"/>
            </w:pPr>
            <w:r>
              <w:t>&lt;50</w:t>
            </w:r>
          </w:p>
        </w:tc>
        <w:tc>
          <w:tcPr>
            <w:tcW w:w="833" w:type="pct"/>
            <w:shd w:val="clear" w:color="auto" w:fill="auto"/>
          </w:tcPr>
          <w:p w:rsidR="0092682E" w:rsidRDefault="0092682E" w:rsidP="00624E11">
            <w:pPr>
              <w:pStyle w:val="Tabletext-right"/>
            </w:pPr>
            <w:r>
              <w:t>–</w:t>
            </w:r>
          </w:p>
        </w:tc>
        <w:tc>
          <w:tcPr>
            <w:tcW w:w="834" w:type="pct"/>
            <w:shd w:val="clear" w:color="auto" w:fill="auto"/>
          </w:tcPr>
          <w:p w:rsidR="0092682E" w:rsidRDefault="0092682E" w:rsidP="00624E11">
            <w:pPr>
              <w:pStyle w:val="Tabletext-right"/>
            </w:pPr>
            <w:r>
              <w:t xml:space="preserve"> –</w:t>
            </w:r>
          </w:p>
        </w:tc>
      </w:tr>
      <w:tr w:rsidR="0092682E" w:rsidRPr="00391B03" w:rsidTr="00391B03">
        <w:trPr>
          <w:trHeight w:val="255"/>
        </w:trPr>
        <w:tc>
          <w:tcPr>
            <w:tcW w:w="833" w:type="pct"/>
            <w:shd w:val="clear" w:color="auto" w:fill="auto"/>
          </w:tcPr>
          <w:p w:rsidR="0092682E" w:rsidRPr="00391B03" w:rsidRDefault="0092682E" w:rsidP="00624E11">
            <w:pPr>
              <w:pStyle w:val="Tabletext"/>
            </w:pPr>
            <w:proofErr w:type="spellStart"/>
            <w:r w:rsidRPr="00391B03">
              <w:t>QEnergy</w:t>
            </w:r>
            <w:proofErr w:type="spellEnd"/>
          </w:p>
        </w:tc>
        <w:tc>
          <w:tcPr>
            <w:tcW w:w="833" w:type="pct"/>
            <w:shd w:val="clear" w:color="auto" w:fill="auto"/>
          </w:tcPr>
          <w:p w:rsidR="0092682E" w:rsidRDefault="0092682E" w:rsidP="00624E11">
            <w:pPr>
              <w:pStyle w:val="Tabletext-right"/>
            </w:pPr>
            <w:r>
              <w:t>125</w:t>
            </w:r>
          </w:p>
        </w:tc>
        <w:tc>
          <w:tcPr>
            <w:tcW w:w="834" w:type="pct"/>
            <w:shd w:val="clear" w:color="auto" w:fill="auto"/>
          </w:tcPr>
          <w:p w:rsidR="0092682E" w:rsidRDefault="0092682E" w:rsidP="00624E11">
            <w:pPr>
              <w:pStyle w:val="Tabletext-right"/>
            </w:pPr>
            <w:r>
              <w:rPr>
                <w:rStyle w:val="Arialarrow"/>
              </w:rPr>
              <w:t>▼</w:t>
            </w:r>
            <w:r>
              <w:t>3</w:t>
            </w:r>
          </w:p>
        </w:tc>
        <w:tc>
          <w:tcPr>
            <w:tcW w:w="833" w:type="pct"/>
            <w:shd w:val="clear" w:color="auto" w:fill="auto"/>
          </w:tcPr>
          <w:p w:rsidR="0092682E" w:rsidRDefault="0092682E" w:rsidP="00624E11">
            <w:pPr>
              <w:pStyle w:val="Tabletext-right"/>
            </w:pPr>
            <w:r>
              <w:t>97</w:t>
            </w:r>
          </w:p>
        </w:tc>
        <w:tc>
          <w:tcPr>
            <w:tcW w:w="833" w:type="pct"/>
            <w:shd w:val="clear" w:color="auto" w:fill="auto"/>
          </w:tcPr>
          <w:p w:rsidR="0092682E" w:rsidRDefault="0092682E" w:rsidP="00624E11">
            <w:pPr>
              <w:pStyle w:val="Tabletext-right"/>
            </w:pPr>
            <w:r>
              <w:rPr>
                <w:rStyle w:val="Arialarrow"/>
              </w:rPr>
              <w:t>▼</w:t>
            </w:r>
            <w:r>
              <w:t>15</w:t>
            </w:r>
          </w:p>
        </w:tc>
        <w:tc>
          <w:tcPr>
            <w:tcW w:w="834" w:type="pct"/>
            <w:shd w:val="clear" w:color="auto" w:fill="auto"/>
          </w:tcPr>
          <w:p w:rsidR="0092682E" w:rsidRDefault="0092682E" w:rsidP="00624E11">
            <w:pPr>
              <w:pStyle w:val="Tabletext-right"/>
            </w:pPr>
            <w:r>
              <w:t>78%</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Red Energy</w:t>
            </w:r>
          </w:p>
        </w:tc>
        <w:tc>
          <w:tcPr>
            <w:tcW w:w="833" w:type="pct"/>
            <w:shd w:val="clear" w:color="auto" w:fill="auto"/>
          </w:tcPr>
          <w:p w:rsidR="0092682E" w:rsidRDefault="0092682E" w:rsidP="00624E11">
            <w:pPr>
              <w:pStyle w:val="Tabletext-right"/>
            </w:pPr>
            <w:r>
              <w:t>2 733</w:t>
            </w:r>
          </w:p>
        </w:tc>
        <w:tc>
          <w:tcPr>
            <w:tcW w:w="834" w:type="pct"/>
            <w:shd w:val="clear" w:color="auto" w:fill="auto"/>
          </w:tcPr>
          <w:p w:rsidR="0092682E" w:rsidRDefault="0092682E" w:rsidP="00624E11">
            <w:pPr>
              <w:pStyle w:val="Tabletext-right"/>
            </w:pPr>
            <w:r>
              <w:rPr>
                <w:rStyle w:val="Arialarrow"/>
              </w:rPr>
              <w:t>▲</w:t>
            </w:r>
            <w:r>
              <w:t>372</w:t>
            </w:r>
          </w:p>
        </w:tc>
        <w:tc>
          <w:tcPr>
            <w:tcW w:w="833" w:type="pct"/>
            <w:shd w:val="clear" w:color="auto" w:fill="auto"/>
          </w:tcPr>
          <w:p w:rsidR="0092682E" w:rsidRDefault="0092682E" w:rsidP="00624E11">
            <w:pPr>
              <w:pStyle w:val="Tabletext-right"/>
            </w:pPr>
            <w:r>
              <w:t>357</w:t>
            </w:r>
          </w:p>
        </w:tc>
        <w:tc>
          <w:tcPr>
            <w:tcW w:w="833" w:type="pct"/>
            <w:shd w:val="clear" w:color="auto" w:fill="auto"/>
          </w:tcPr>
          <w:p w:rsidR="0092682E" w:rsidRDefault="0092682E" w:rsidP="00624E11">
            <w:pPr>
              <w:pStyle w:val="Tabletext-right"/>
            </w:pPr>
            <w:r>
              <w:rPr>
                <w:rStyle w:val="Arialarrow"/>
              </w:rPr>
              <w:t>▲</w:t>
            </w:r>
            <w:r>
              <w:t>195</w:t>
            </w:r>
          </w:p>
        </w:tc>
        <w:tc>
          <w:tcPr>
            <w:tcW w:w="834" w:type="pct"/>
            <w:shd w:val="clear" w:color="auto" w:fill="auto"/>
          </w:tcPr>
          <w:p w:rsidR="0092682E" w:rsidRDefault="0092682E" w:rsidP="00624E11">
            <w:pPr>
              <w:pStyle w:val="Tabletext-right"/>
            </w:pPr>
            <w:r>
              <w:t>13%</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Sanctuary Energy</w:t>
            </w:r>
          </w:p>
        </w:tc>
        <w:tc>
          <w:tcPr>
            <w:tcW w:w="833" w:type="pct"/>
            <w:shd w:val="clear" w:color="auto" w:fill="auto"/>
          </w:tcPr>
          <w:p w:rsidR="0092682E" w:rsidRDefault="0092682E" w:rsidP="00624E11">
            <w:pPr>
              <w:pStyle w:val="Tabletext-right"/>
            </w:pPr>
            <w:r>
              <w:t>151</w:t>
            </w:r>
          </w:p>
        </w:tc>
        <w:tc>
          <w:tcPr>
            <w:tcW w:w="834" w:type="pct"/>
            <w:shd w:val="clear" w:color="auto" w:fill="auto"/>
          </w:tcPr>
          <w:p w:rsidR="0092682E" w:rsidRDefault="0092682E" w:rsidP="00624E11">
            <w:pPr>
              <w:pStyle w:val="Tabletext-right"/>
            </w:pPr>
            <w:r>
              <w:rPr>
                <w:rStyle w:val="Arialarrow"/>
              </w:rPr>
              <w:t>▼</w:t>
            </w:r>
            <w:r>
              <w:t>229</w:t>
            </w:r>
          </w:p>
        </w:tc>
        <w:tc>
          <w:tcPr>
            <w:tcW w:w="833" w:type="pct"/>
            <w:shd w:val="clear" w:color="auto" w:fill="auto"/>
          </w:tcPr>
          <w:p w:rsidR="0092682E" w:rsidRDefault="0092682E" w:rsidP="00624E11">
            <w:pPr>
              <w:pStyle w:val="Tabletext-right"/>
            </w:pPr>
            <w:r>
              <w:t>104</w:t>
            </w:r>
          </w:p>
        </w:tc>
        <w:tc>
          <w:tcPr>
            <w:tcW w:w="833" w:type="pct"/>
            <w:shd w:val="clear" w:color="auto" w:fill="auto"/>
          </w:tcPr>
          <w:p w:rsidR="0092682E" w:rsidRDefault="0092682E" w:rsidP="00624E11">
            <w:pPr>
              <w:pStyle w:val="Tabletext-right"/>
            </w:pPr>
            <w:r>
              <w:rPr>
                <w:rStyle w:val="Arialarrow"/>
              </w:rPr>
              <w:t>▼</w:t>
            </w:r>
            <w:r>
              <w:t>158</w:t>
            </w:r>
          </w:p>
        </w:tc>
        <w:tc>
          <w:tcPr>
            <w:tcW w:w="834" w:type="pct"/>
            <w:shd w:val="clear" w:color="auto" w:fill="auto"/>
          </w:tcPr>
          <w:p w:rsidR="0092682E" w:rsidRDefault="0092682E" w:rsidP="00624E11">
            <w:pPr>
              <w:pStyle w:val="Tabletext-right"/>
            </w:pPr>
            <w:r>
              <w:t>69%</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Simply Energy</w:t>
            </w:r>
          </w:p>
        </w:tc>
        <w:tc>
          <w:tcPr>
            <w:tcW w:w="833" w:type="pct"/>
            <w:shd w:val="clear" w:color="auto" w:fill="auto"/>
          </w:tcPr>
          <w:p w:rsidR="0092682E" w:rsidRDefault="0092682E" w:rsidP="00624E11">
            <w:pPr>
              <w:pStyle w:val="Tabletext-right"/>
            </w:pPr>
            <w:r>
              <w:t>1 479</w:t>
            </w:r>
          </w:p>
        </w:tc>
        <w:tc>
          <w:tcPr>
            <w:tcW w:w="834" w:type="pct"/>
            <w:shd w:val="clear" w:color="auto" w:fill="auto"/>
          </w:tcPr>
          <w:p w:rsidR="0092682E" w:rsidRDefault="0092682E" w:rsidP="00624E11">
            <w:pPr>
              <w:pStyle w:val="Tabletext-right"/>
            </w:pPr>
            <w:r>
              <w:rPr>
                <w:rStyle w:val="Arialarrow"/>
              </w:rPr>
              <w:t>▲</w:t>
            </w:r>
            <w:r>
              <w:t>147</w:t>
            </w:r>
          </w:p>
        </w:tc>
        <w:tc>
          <w:tcPr>
            <w:tcW w:w="833" w:type="pct"/>
            <w:shd w:val="clear" w:color="auto" w:fill="auto"/>
          </w:tcPr>
          <w:p w:rsidR="0092682E" w:rsidRDefault="0092682E" w:rsidP="00624E11">
            <w:pPr>
              <w:pStyle w:val="Tabletext-right"/>
            </w:pPr>
            <w:r>
              <w:t>422</w:t>
            </w:r>
          </w:p>
        </w:tc>
        <w:tc>
          <w:tcPr>
            <w:tcW w:w="833" w:type="pct"/>
            <w:shd w:val="clear" w:color="auto" w:fill="auto"/>
          </w:tcPr>
          <w:p w:rsidR="0092682E" w:rsidRDefault="0092682E" w:rsidP="00624E11">
            <w:pPr>
              <w:pStyle w:val="Tabletext-right"/>
            </w:pPr>
            <w:r>
              <w:rPr>
                <w:rStyle w:val="Arialarrow"/>
              </w:rPr>
              <w:t>▲</w:t>
            </w:r>
            <w:r>
              <w:t>54</w:t>
            </w:r>
          </w:p>
        </w:tc>
        <w:tc>
          <w:tcPr>
            <w:tcW w:w="834" w:type="pct"/>
            <w:shd w:val="clear" w:color="auto" w:fill="auto"/>
          </w:tcPr>
          <w:p w:rsidR="0092682E" w:rsidRDefault="0092682E" w:rsidP="00624E11">
            <w:pPr>
              <w:pStyle w:val="Tabletext-right"/>
            </w:pPr>
            <w:r>
              <w:t>29%</w:t>
            </w:r>
          </w:p>
        </w:tc>
      </w:tr>
      <w:tr w:rsidR="0092682E" w:rsidRPr="00391B03" w:rsidTr="00391B03">
        <w:trPr>
          <w:trHeight w:val="255"/>
        </w:trPr>
        <w:tc>
          <w:tcPr>
            <w:tcW w:w="833" w:type="pct"/>
            <w:shd w:val="clear" w:color="auto" w:fill="auto"/>
          </w:tcPr>
          <w:p w:rsidR="0092682E" w:rsidRPr="00391B03" w:rsidRDefault="0092682E" w:rsidP="00624E11">
            <w:pPr>
              <w:pStyle w:val="Tabletext"/>
            </w:pPr>
            <w:r w:rsidRPr="00391B03">
              <w:t>Total NSW</w:t>
            </w:r>
          </w:p>
        </w:tc>
        <w:tc>
          <w:tcPr>
            <w:tcW w:w="833" w:type="pct"/>
            <w:shd w:val="clear" w:color="auto" w:fill="auto"/>
          </w:tcPr>
          <w:p w:rsidR="0092682E" w:rsidRDefault="0092682E" w:rsidP="00624E11">
            <w:pPr>
              <w:pStyle w:val="Tabletext-right"/>
            </w:pPr>
            <w:r>
              <w:t>439 559</w:t>
            </w:r>
          </w:p>
        </w:tc>
        <w:tc>
          <w:tcPr>
            <w:tcW w:w="834" w:type="pct"/>
            <w:shd w:val="clear" w:color="auto" w:fill="auto"/>
          </w:tcPr>
          <w:p w:rsidR="0092682E" w:rsidRDefault="0092682E" w:rsidP="00624E11">
            <w:pPr>
              <w:pStyle w:val="Tabletext-right"/>
            </w:pPr>
            <w:r>
              <w:rPr>
                <w:rStyle w:val="Arialarrow"/>
              </w:rPr>
              <w:t>▲</w:t>
            </w:r>
            <w:r>
              <w:t>81 945</w:t>
            </w:r>
          </w:p>
        </w:tc>
        <w:tc>
          <w:tcPr>
            <w:tcW w:w="833" w:type="pct"/>
            <w:shd w:val="clear" w:color="auto" w:fill="auto"/>
          </w:tcPr>
          <w:p w:rsidR="0092682E" w:rsidRDefault="0092682E" w:rsidP="00624E11">
            <w:pPr>
              <w:pStyle w:val="Tabletext-right"/>
            </w:pPr>
            <w:r>
              <w:t>15 376</w:t>
            </w:r>
          </w:p>
        </w:tc>
        <w:tc>
          <w:tcPr>
            <w:tcW w:w="833" w:type="pct"/>
            <w:shd w:val="clear" w:color="auto" w:fill="auto"/>
          </w:tcPr>
          <w:p w:rsidR="0092682E" w:rsidRDefault="0092682E" w:rsidP="00624E11">
            <w:pPr>
              <w:pStyle w:val="Tabletext-right"/>
            </w:pPr>
            <w:r>
              <w:rPr>
                <w:rStyle w:val="Arialarrow"/>
              </w:rPr>
              <w:t>▼</w:t>
            </w:r>
            <w:r>
              <w:t>5 476</w:t>
            </w:r>
          </w:p>
        </w:tc>
        <w:tc>
          <w:tcPr>
            <w:tcW w:w="834" w:type="pct"/>
            <w:shd w:val="clear" w:color="auto" w:fill="auto"/>
          </w:tcPr>
          <w:p w:rsidR="0092682E" w:rsidRDefault="0092682E" w:rsidP="00624E11">
            <w:pPr>
              <w:pStyle w:val="Tabletext-right"/>
            </w:pPr>
            <w:r>
              <w:t>3%</w:t>
            </w:r>
          </w:p>
        </w:tc>
      </w:tr>
    </w:tbl>
    <w:p w:rsidR="00697BCD" w:rsidRDefault="00697BCD" w:rsidP="0092682E"/>
    <w:p w:rsidR="00697BCD" w:rsidRDefault="00697BCD" w:rsidP="000F3A56">
      <w:pPr>
        <w:pStyle w:val="Numbered11"/>
      </w:pPr>
      <w:bookmarkStart w:id="20" w:name="_Toc467665304"/>
      <w:r>
        <w:t>Energy bill debt</w:t>
      </w:r>
      <w:bookmarkEnd w:id="20"/>
    </w:p>
    <w:p w:rsidR="00697BCD" w:rsidRDefault="00697BCD" w:rsidP="00697BCD">
      <w:r>
        <w:t>Energy bill debt is defined as an amount owed to a retailer that has been outstanding for 90 days or more.</w:t>
      </w:r>
      <w:r w:rsidRPr="009D1DEC">
        <w:rPr>
          <w:rStyle w:val="Superscript"/>
        </w:rPr>
        <w:footnoteReference w:id="18"/>
      </w:r>
      <w:r>
        <w:t xml:space="preserve"> If a customer hasn’t asked their retailer for help, accumulating energy debt should be a signal to a retailer to discuss assistance measures with the customer. This could include a </w:t>
      </w:r>
      <w:r>
        <w:lastRenderedPageBreak/>
        <w:t xml:space="preserve">payment plan for more moderate payment difficulties or a hardship program for more chronic and severe difficulties. Energy bill debt is therefore one of several indicators that provide information about the overall affordability of energy and how quickly and effectively retailers are assisting customers. </w:t>
      </w:r>
    </w:p>
    <w:p w:rsidR="00697BCD" w:rsidRDefault="00697BCD" w:rsidP="00697BCD">
      <w:r>
        <w:t xml:space="preserve">Figures 2.2 and 2.3 </w:t>
      </w:r>
      <w:proofErr w:type="gramStart"/>
      <w:r>
        <w:t>show</w:t>
      </w:r>
      <w:proofErr w:type="gramEnd"/>
      <w:r>
        <w:t xml:space="preserve"> the proportion of residential customers with electricity and gas debt in each jurisdiction. These figures also show the proportion of customers repaying their debt through a hardship program, as well as the average levels of debt for customers not on hardship programs, and average debt upon entry to hardship programs. </w:t>
      </w:r>
    </w:p>
    <w:p w:rsidR="00697BCD" w:rsidRDefault="00697BCD" w:rsidP="00697BCD">
      <w:r>
        <w:t xml:space="preserve">There are differences between jurisdictions in the proportion of residential customers with debt. For example, South Australia has the largest proportion of electricity customers in debt (5.5 per 100 residential customers) and the ACT has the highest proportion of gas customers in debt (7.9 per 100). This reflects differences in prices and consumption, as discussed in chapter 3. </w:t>
      </w:r>
    </w:p>
    <w:p w:rsidR="00697BCD" w:rsidRDefault="00697BCD" w:rsidP="00697BCD">
      <w:r>
        <w:t xml:space="preserve">The proportion of residential customers with electricity debt has generally decreased in recent years, and the proportion of these customers receiving assistance to repay their debt through a hardship program has increased. </w:t>
      </w:r>
    </w:p>
    <w:p w:rsidR="00697BCD" w:rsidRDefault="00697BCD" w:rsidP="00697BCD">
      <w:r>
        <w:t xml:space="preserve">In the case of electricity, the average debt of customers entering hardship programs has decreased in South Australia (by $305) and New South Wales (by $88). However, the ACT saw its fourth consecutive increase in the average debt of these customers, rising by $124 (to $1293). </w:t>
      </w:r>
    </w:p>
    <w:p w:rsidR="00697BCD" w:rsidRDefault="00697BCD" w:rsidP="00697BCD">
      <w:r>
        <w:t xml:space="preserve">In Queensland, 3.5 per 100 residential electricity customers are repaying debt, including customers in hardship programs (0.97 per 100). The average debt of customers entering hardship programs was $729, the lowest of any jurisdiction. </w:t>
      </w:r>
    </w:p>
    <w:p w:rsidR="00697BCD" w:rsidRDefault="00697BCD" w:rsidP="00697BCD">
      <w:r>
        <w:t xml:space="preserve">Electricity debt for hardship program customers remained steady in Tasmania, following a significant fall in 2014–15. </w:t>
      </w:r>
    </w:p>
    <w:p w:rsidR="00697BCD" w:rsidRDefault="00697BCD" w:rsidP="00697BCD">
      <w:r>
        <w:t>While the proportion of customers with electricity debt has generally decreased, in most jurisdictions the average debt (of customers not on hardship programs) has remained steady.</w:t>
      </w:r>
    </w:p>
    <w:p w:rsidR="00697BCD" w:rsidRDefault="00697BCD" w:rsidP="00697BCD">
      <w:r>
        <w:t>While the proportion of gas customers with a debt was steady across New South Wales, South Australia and ACT, the proportion of those customers receiving assistance to repay their debt through a hardship program increased in these jurisdictions.</w:t>
      </w:r>
    </w:p>
    <w:p w:rsidR="00697BCD" w:rsidRDefault="00697BCD" w:rsidP="00697BCD">
      <w:r>
        <w:t>The average debt of gas customers entering hardship programs in the ACT decreased by $622 (to $1106) and by $123 (to $613) in New South Wales.</w:t>
      </w:r>
    </w:p>
    <w:p w:rsidR="00697BCD" w:rsidRDefault="00697BCD" w:rsidP="000F3A56">
      <w:pPr>
        <w:pStyle w:val="Charttitle"/>
      </w:pPr>
      <w:r>
        <w:lastRenderedPageBreak/>
        <w:t>Figure 2.2:</w:t>
      </w:r>
      <w:r>
        <w:tab/>
        <w:t>Residential electricity customers repaying debt and average debt—as at 30 June</w:t>
      </w:r>
    </w:p>
    <w:p w:rsidR="00697BCD" w:rsidRDefault="00EC4210" w:rsidP="000F3A56">
      <w:pPr>
        <w:pStyle w:val="Charttitle"/>
      </w:pPr>
      <w:r>
        <w:pict>
          <v:shape id="_x0000_i1033" type="#_x0000_t75" alt="In Queensland, 1 per cent of electricity customers are on a hardship program and owe an average debt of $729. A further 2.5 per cent of customers owe an average debt of $502. In South Australia, 1.8 per cent of electricity customers are on a hardship program and owe an average debt of $1080. A further 3.7 per cent of customers owe an average electricity debt of $728. In New South Wales, 0.8 per cent of electricity customers are on a hardship program and owe an average debt of $914. A further 2.6 per cent of customers owe an average electricity debt of $553. In the ACT, 0.4 per cent of electricity customers are on a hardship program and owe an average debt of $1293. A further 2.7 per cent of customers owe an electricity debt of $833. In Tasmania, 0.9 per cent of electricity customers are on a hardship program and owe an average debt of $1866. A further 1.6 per cent of customers owe an average electricity debt of $739." style="width:452.55pt;height:178.6pt">
            <v:imagedata r:id="rId19" o:title=""/>
          </v:shape>
        </w:pict>
      </w:r>
    </w:p>
    <w:p w:rsidR="00697BCD" w:rsidRDefault="00697BCD" w:rsidP="000F3A56">
      <w:pPr>
        <w:pStyle w:val="Charttitle"/>
      </w:pPr>
      <w:r>
        <w:t>Figure 2.3:</w:t>
      </w:r>
      <w:r>
        <w:tab/>
        <w:t xml:space="preserve">Residential gas customers repaying debt and average debt—as at 30 June </w:t>
      </w:r>
    </w:p>
    <w:p w:rsidR="00697BCD" w:rsidRDefault="00EC4210" w:rsidP="000F3A56">
      <w:pPr>
        <w:pStyle w:val="Charttitle"/>
      </w:pPr>
      <w:r>
        <w:pict>
          <v:shape id="_x0000_i1034" type="#_x0000_t75" alt="In Queensland, 0.6 per cent of gas customers are on a hardship program and owe an average debt of $341. A further 3 per cent of customers owe an average debt of $323. In South Australia, 1.4 per cent of gas customers are on a hardship program and owe an average debt of $493. A further 3 per cent of customers owe an average debt of $378. In New South Wales, 0.6 per cent of gas customers are on a hardship program and owe an average debt of $614. A further 3.8 per cent of customers owe an average debt of $453. In the ACT, 0.7 per cent of gas customers are on a hardship program and owe an average debt of $1106. A further 7.2 per cent of customers owe an average debt of $442." style="width:452.55pt;height:187pt">
            <v:imagedata r:id="rId20" o:title=""/>
          </v:shape>
        </w:pict>
      </w:r>
    </w:p>
    <w:p w:rsidR="00697BCD" w:rsidRDefault="00697BCD" w:rsidP="00697BCD">
      <w:proofErr w:type="gramStart"/>
      <w:r>
        <w:t>Tables 2.3 and 2.4 show the proportion of small business customers with electricity and gas debt, along with average debt levels.</w:t>
      </w:r>
      <w:proofErr w:type="gramEnd"/>
      <w:r>
        <w:t xml:space="preserve"> Generally a smaller proportion of businesses held electricity debt in 2016, with the most significant decrease occurring in the ACT. Only New South Wales recorded an increase in this category. </w:t>
      </w:r>
    </w:p>
    <w:p w:rsidR="00697BCD" w:rsidRDefault="00697BCD" w:rsidP="00697BCD">
      <w:r>
        <w:t>Average debt levels notably decreased in all jurisdictions except the ACT. New South Wales small businesses had the highest average debt, at $1666. While the proportion of ACT small business with gas debt decreased significantly, the average debt more than doubled to $3724, the highest of all jurisdictions.</w:t>
      </w:r>
    </w:p>
    <w:p w:rsidR="00624E11" w:rsidRDefault="00624E11">
      <w:pPr>
        <w:rPr>
          <w:b/>
          <w:szCs w:val="20"/>
        </w:rPr>
      </w:pPr>
    </w:p>
    <w:p w:rsidR="00697BCD" w:rsidRDefault="00697BCD" w:rsidP="00697BCD">
      <w:pPr>
        <w:pStyle w:val="Tabletitle"/>
      </w:pPr>
      <w:r>
        <w:t>Table 2.3:</w:t>
      </w:r>
      <w:r>
        <w:tab/>
        <w:t>Small business electricity debt (by jurisdiction, as at 30 June)</w:t>
      </w:r>
    </w:p>
    <w:tbl>
      <w:tblPr>
        <w:tblW w:w="5000" w:type="pct"/>
        <w:tblBorders>
          <w:top w:val="single" w:sz="4" w:space="0" w:color="BFBFBF"/>
          <w:bottom w:val="single" w:sz="4" w:space="0" w:color="BFBFBF"/>
        </w:tblBorders>
        <w:tblLook w:val="0000" w:firstRow="0" w:lastRow="0" w:firstColumn="0" w:lastColumn="0" w:noHBand="0" w:noVBand="0"/>
      </w:tblPr>
      <w:tblGrid>
        <w:gridCol w:w="1605"/>
        <w:gridCol w:w="1337"/>
        <w:gridCol w:w="1337"/>
        <w:gridCol w:w="1339"/>
        <w:gridCol w:w="1336"/>
        <w:gridCol w:w="1336"/>
        <w:gridCol w:w="1338"/>
      </w:tblGrid>
      <w:tr w:rsidR="00697BCD" w:rsidRPr="00391B03" w:rsidTr="00391B03">
        <w:trPr>
          <w:trHeight w:val="60"/>
        </w:trPr>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2083" w:type="pct"/>
            <w:gridSpan w:val="3"/>
            <w:shd w:val="clear" w:color="auto" w:fill="auto"/>
          </w:tcPr>
          <w:p w:rsidR="00697BCD" w:rsidRDefault="00697BCD" w:rsidP="00745268">
            <w:pPr>
              <w:pStyle w:val="TableHeading-centred"/>
            </w:pPr>
            <w:r>
              <w:t>Customers in debt</w:t>
            </w:r>
          </w:p>
        </w:tc>
        <w:tc>
          <w:tcPr>
            <w:tcW w:w="2083" w:type="pct"/>
            <w:gridSpan w:val="3"/>
            <w:shd w:val="clear" w:color="auto" w:fill="auto"/>
          </w:tcPr>
          <w:p w:rsidR="00697BCD" w:rsidRDefault="00697BCD" w:rsidP="00745268">
            <w:pPr>
              <w:pStyle w:val="TableHeading-centred"/>
            </w:pPr>
            <w:r>
              <w:t>Average debt</w:t>
            </w:r>
          </w:p>
        </w:tc>
      </w:tr>
      <w:tr w:rsidR="00697BCD" w:rsidRPr="00391B03" w:rsidTr="00391B03">
        <w:trPr>
          <w:trHeight w:val="60"/>
        </w:trPr>
        <w:tc>
          <w:tcPr>
            <w:tcW w:w="833" w:type="pct"/>
            <w:shd w:val="clear" w:color="auto" w:fill="auto"/>
          </w:tcPr>
          <w:p w:rsidR="00697BCD" w:rsidRPr="00391B03" w:rsidRDefault="00697BCD" w:rsidP="006B1E9F">
            <w:pPr>
              <w:pStyle w:val="TableHeading"/>
            </w:pPr>
            <w:r w:rsidRPr="00391B03">
              <w:t>Jurisdiction</w:t>
            </w:r>
          </w:p>
        </w:tc>
        <w:tc>
          <w:tcPr>
            <w:tcW w:w="694" w:type="pct"/>
            <w:shd w:val="clear" w:color="auto" w:fill="auto"/>
          </w:tcPr>
          <w:p w:rsidR="00697BCD" w:rsidRDefault="00697BCD" w:rsidP="006B1E9F">
            <w:pPr>
              <w:pStyle w:val="TableHeading-right"/>
            </w:pPr>
            <w:r>
              <w:t>2014</w:t>
            </w:r>
          </w:p>
        </w:tc>
        <w:tc>
          <w:tcPr>
            <w:tcW w:w="694" w:type="pct"/>
            <w:shd w:val="clear" w:color="auto" w:fill="auto"/>
          </w:tcPr>
          <w:p w:rsidR="00697BCD" w:rsidRDefault="00697BCD" w:rsidP="006B1E9F">
            <w:pPr>
              <w:pStyle w:val="TableHeading-right"/>
            </w:pPr>
            <w:r>
              <w:t>2015</w:t>
            </w:r>
          </w:p>
        </w:tc>
        <w:tc>
          <w:tcPr>
            <w:tcW w:w="695" w:type="pct"/>
            <w:shd w:val="clear" w:color="auto" w:fill="auto"/>
          </w:tcPr>
          <w:p w:rsidR="00697BCD" w:rsidRDefault="00697BCD" w:rsidP="006B1E9F">
            <w:pPr>
              <w:pStyle w:val="TableHeading-right"/>
            </w:pPr>
            <w:r>
              <w:t>2016</w:t>
            </w:r>
          </w:p>
        </w:tc>
        <w:tc>
          <w:tcPr>
            <w:tcW w:w="694" w:type="pct"/>
            <w:shd w:val="clear" w:color="auto" w:fill="auto"/>
          </w:tcPr>
          <w:p w:rsidR="00697BCD" w:rsidRDefault="00697BCD" w:rsidP="006B1E9F">
            <w:pPr>
              <w:pStyle w:val="TableHeading-right"/>
            </w:pPr>
            <w:r>
              <w:t>2014</w:t>
            </w:r>
          </w:p>
        </w:tc>
        <w:tc>
          <w:tcPr>
            <w:tcW w:w="694" w:type="pct"/>
            <w:shd w:val="clear" w:color="auto" w:fill="auto"/>
          </w:tcPr>
          <w:p w:rsidR="00697BCD" w:rsidRDefault="00697BCD" w:rsidP="006B1E9F">
            <w:pPr>
              <w:pStyle w:val="TableHeading-right"/>
            </w:pPr>
            <w:r>
              <w:t>2015</w:t>
            </w:r>
          </w:p>
        </w:tc>
        <w:tc>
          <w:tcPr>
            <w:tcW w:w="695" w:type="pct"/>
            <w:shd w:val="clear" w:color="auto" w:fill="auto"/>
          </w:tcPr>
          <w:p w:rsidR="00697BCD" w:rsidRDefault="00697BCD" w:rsidP="006B1E9F">
            <w:pPr>
              <w:pStyle w:val="TableHeading-right"/>
            </w:pPr>
            <w:r>
              <w:t>2016</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 xml:space="preserve">Queensland </w:t>
            </w:r>
          </w:p>
        </w:tc>
        <w:tc>
          <w:tcPr>
            <w:tcW w:w="694" w:type="pct"/>
            <w:shd w:val="clear" w:color="auto" w:fill="auto"/>
          </w:tcPr>
          <w:p w:rsidR="00697BCD" w:rsidRDefault="00697BCD" w:rsidP="00624E11">
            <w:pPr>
              <w:pStyle w:val="Tabletext-right"/>
            </w:pPr>
            <w:r>
              <w:t>N/A</w:t>
            </w:r>
          </w:p>
        </w:tc>
        <w:tc>
          <w:tcPr>
            <w:tcW w:w="694" w:type="pct"/>
            <w:shd w:val="clear" w:color="auto" w:fill="auto"/>
          </w:tcPr>
          <w:p w:rsidR="00697BCD" w:rsidRDefault="00697BCD" w:rsidP="00624E11">
            <w:pPr>
              <w:pStyle w:val="Tabletext-right"/>
            </w:pPr>
            <w:r>
              <w:t>N/A</w:t>
            </w:r>
          </w:p>
        </w:tc>
        <w:tc>
          <w:tcPr>
            <w:tcW w:w="695" w:type="pct"/>
            <w:shd w:val="clear" w:color="auto" w:fill="auto"/>
          </w:tcPr>
          <w:p w:rsidR="00697BCD" w:rsidRDefault="00697BCD" w:rsidP="00624E11">
            <w:pPr>
              <w:pStyle w:val="Tabletext-right"/>
            </w:pPr>
            <w:r>
              <w:t>2.1%</w:t>
            </w:r>
          </w:p>
        </w:tc>
        <w:tc>
          <w:tcPr>
            <w:tcW w:w="694" w:type="pct"/>
            <w:shd w:val="clear" w:color="auto" w:fill="auto"/>
          </w:tcPr>
          <w:p w:rsidR="00697BCD" w:rsidRDefault="00697BCD" w:rsidP="00624E11">
            <w:pPr>
              <w:pStyle w:val="Tabletext-right"/>
            </w:pPr>
            <w:r>
              <w:t xml:space="preserve"> N/A </w:t>
            </w:r>
          </w:p>
        </w:tc>
        <w:tc>
          <w:tcPr>
            <w:tcW w:w="694" w:type="pct"/>
            <w:shd w:val="clear" w:color="auto" w:fill="auto"/>
          </w:tcPr>
          <w:p w:rsidR="00697BCD" w:rsidRDefault="00697BCD" w:rsidP="00624E11">
            <w:pPr>
              <w:pStyle w:val="Tabletext-right"/>
            </w:pPr>
            <w:r>
              <w:t xml:space="preserve"> N/A </w:t>
            </w:r>
          </w:p>
        </w:tc>
        <w:tc>
          <w:tcPr>
            <w:tcW w:w="695" w:type="pct"/>
            <w:shd w:val="clear" w:color="auto" w:fill="auto"/>
          </w:tcPr>
          <w:p w:rsidR="00697BCD" w:rsidRDefault="00697BCD" w:rsidP="00624E11">
            <w:pPr>
              <w:pStyle w:val="Tabletext-right"/>
            </w:pPr>
            <w:r>
              <w:t xml:space="preserve"> $1 639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South Australia</w:t>
            </w:r>
          </w:p>
        </w:tc>
        <w:tc>
          <w:tcPr>
            <w:tcW w:w="694" w:type="pct"/>
            <w:shd w:val="clear" w:color="auto" w:fill="auto"/>
          </w:tcPr>
          <w:p w:rsidR="00697BCD" w:rsidRDefault="00697BCD" w:rsidP="00624E11">
            <w:pPr>
              <w:pStyle w:val="Tabletext-right"/>
            </w:pPr>
            <w:r>
              <w:t>3.9%</w:t>
            </w:r>
          </w:p>
        </w:tc>
        <w:tc>
          <w:tcPr>
            <w:tcW w:w="694" w:type="pct"/>
            <w:shd w:val="clear" w:color="auto" w:fill="auto"/>
          </w:tcPr>
          <w:p w:rsidR="00697BCD" w:rsidRDefault="00697BCD" w:rsidP="00624E11">
            <w:pPr>
              <w:pStyle w:val="Tabletext-right"/>
            </w:pPr>
            <w:r>
              <w:t>3.6%</w:t>
            </w:r>
          </w:p>
        </w:tc>
        <w:tc>
          <w:tcPr>
            <w:tcW w:w="695" w:type="pct"/>
            <w:shd w:val="clear" w:color="auto" w:fill="auto"/>
          </w:tcPr>
          <w:p w:rsidR="00697BCD" w:rsidRDefault="00697BCD" w:rsidP="00624E11">
            <w:pPr>
              <w:pStyle w:val="Tabletext-right"/>
            </w:pPr>
            <w:r>
              <w:t>3.4%</w:t>
            </w:r>
          </w:p>
        </w:tc>
        <w:tc>
          <w:tcPr>
            <w:tcW w:w="694" w:type="pct"/>
            <w:shd w:val="clear" w:color="auto" w:fill="auto"/>
          </w:tcPr>
          <w:p w:rsidR="00697BCD" w:rsidRDefault="00697BCD" w:rsidP="00624E11">
            <w:pPr>
              <w:pStyle w:val="Tabletext-right"/>
            </w:pPr>
            <w:r>
              <w:t xml:space="preserve"> $1 453 </w:t>
            </w:r>
          </w:p>
        </w:tc>
        <w:tc>
          <w:tcPr>
            <w:tcW w:w="694" w:type="pct"/>
            <w:shd w:val="clear" w:color="auto" w:fill="auto"/>
          </w:tcPr>
          <w:p w:rsidR="00697BCD" w:rsidRDefault="00697BCD" w:rsidP="00624E11">
            <w:pPr>
              <w:pStyle w:val="Tabletext-right"/>
            </w:pPr>
            <w:r>
              <w:t xml:space="preserve"> $1 490 </w:t>
            </w:r>
          </w:p>
        </w:tc>
        <w:tc>
          <w:tcPr>
            <w:tcW w:w="695" w:type="pct"/>
            <w:shd w:val="clear" w:color="auto" w:fill="auto"/>
          </w:tcPr>
          <w:p w:rsidR="00697BCD" w:rsidRDefault="00697BCD" w:rsidP="00624E11">
            <w:pPr>
              <w:pStyle w:val="Tabletext-right"/>
            </w:pPr>
            <w:r>
              <w:t xml:space="preserve"> $1 441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ACT</w:t>
            </w:r>
          </w:p>
        </w:tc>
        <w:tc>
          <w:tcPr>
            <w:tcW w:w="694" w:type="pct"/>
            <w:shd w:val="clear" w:color="auto" w:fill="auto"/>
          </w:tcPr>
          <w:p w:rsidR="00697BCD" w:rsidRDefault="00697BCD" w:rsidP="00624E11">
            <w:pPr>
              <w:pStyle w:val="Tabletext-right"/>
            </w:pPr>
            <w:r>
              <w:t>6.3%</w:t>
            </w:r>
          </w:p>
        </w:tc>
        <w:tc>
          <w:tcPr>
            <w:tcW w:w="694" w:type="pct"/>
            <w:shd w:val="clear" w:color="auto" w:fill="auto"/>
          </w:tcPr>
          <w:p w:rsidR="00697BCD" w:rsidRDefault="00697BCD" w:rsidP="00624E11">
            <w:pPr>
              <w:pStyle w:val="Tabletext-right"/>
            </w:pPr>
            <w:r>
              <w:t>3.6%</w:t>
            </w:r>
          </w:p>
        </w:tc>
        <w:tc>
          <w:tcPr>
            <w:tcW w:w="695" w:type="pct"/>
            <w:shd w:val="clear" w:color="auto" w:fill="auto"/>
          </w:tcPr>
          <w:p w:rsidR="00697BCD" w:rsidRDefault="00697BCD" w:rsidP="00624E11">
            <w:pPr>
              <w:pStyle w:val="Tabletext-right"/>
            </w:pPr>
            <w:r>
              <w:t>3.0%</w:t>
            </w:r>
          </w:p>
        </w:tc>
        <w:tc>
          <w:tcPr>
            <w:tcW w:w="694" w:type="pct"/>
            <w:shd w:val="clear" w:color="auto" w:fill="auto"/>
          </w:tcPr>
          <w:p w:rsidR="00697BCD" w:rsidRDefault="00697BCD" w:rsidP="00624E11">
            <w:pPr>
              <w:pStyle w:val="Tabletext-right"/>
            </w:pPr>
            <w:r>
              <w:t xml:space="preserve"> $803 </w:t>
            </w:r>
          </w:p>
        </w:tc>
        <w:tc>
          <w:tcPr>
            <w:tcW w:w="694" w:type="pct"/>
            <w:shd w:val="clear" w:color="auto" w:fill="auto"/>
          </w:tcPr>
          <w:p w:rsidR="00697BCD" w:rsidRDefault="00697BCD" w:rsidP="00624E11">
            <w:pPr>
              <w:pStyle w:val="Tabletext-right"/>
            </w:pPr>
            <w:r>
              <w:t xml:space="preserve"> $868 </w:t>
            </w:r>
          </w:p>
        </w:tc>
        <w:tc>
          <w:tcPr>
            <w:tcW w:w="695" w:type="pct"/>
            <w:shd w:val="clear" w:color="auto" w:fill="auto"/>
          </w:tcPr>
          <w:p w:rsidR="00697BCD" w:rsidRDefault="00697BCD" w:rsidP="00624E11">
            <w:pPr>
              <w:pStyle w:val="Tabletext-right"/>
            </w:pPr>
            <w:r>
              <w:t xml:space="preserve"> $1 158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New South Wales</w:t>
            </w:r>
          </w:p>
        </w:tc>
        <w:tc>
          <w:tcPr>
            <w:tcW w:w="694" w:type="pct"/>
            <w:shd w:val="clear" w:color="auto" w:fill="auto"/>
          </w:tcPr>
          <w:p w:rsidR="00697BCD" w:rsidRDefault="00697BCD" w:rsidP="00624E11">
            <w:pPr>
              <w:pStyle w:val="Tabletext-right"/>
            </w:pPr>
            <w:r>
              <w:t>3.9%</w:t>
            </w:r>
          </w:p>
        </w:tc>
        <w:tc>
          <w:tcPr>
            <w:tcW w:w="694" w:type="pct"/>
            <w:shd w:val="clear" w:color="auto" w:fill="auto"/>
          </w:tcPr>
          <w:p w:rsidR="00697BCD" w:rsidRDefault="00697BCD" w:rsidP="00624E11">
            <w:pPr>
              <w:pStyle w:val="Tabletext-right"/>
            </w:pPr>
            <w:r>
              <w:t>3.1%</w:t>
            </w:r>
          </w:p>
        </w:tc>
        <w:tc>
          <w:tcPr>
            <w:tcW w:w="695" w:type="pct"/>
            <w:shd w:val="clear" w:color="auto" w:fill="auto"/>
          </w:tcPr>
          <w:p w:rsidR="00697BCD" w:rsidRDefault="00697BCD" w:rsidP="00624E11">
            <w:pPr>
              <w:pStyle w:val="Tabletext-right"/>
            </w:pPr>
            <w:r>
              <w:t>3.3%</w:t>
            </w:r>
          </w:p>
        </w:tc>
        <w:tc>
          <w:tcPr>
            <w:tcW w:w="694" w:type="pct"/>
            <w:shd w:val="clear" w:color="auto" w:fill="auto"/>
          </w:tcPr>
          <w:p w:rsidR="00697BCD" w:rsidRDefault="00697BCD" w:rsidP="00624E11">
            <w:pPr>
              <w:pStyle w:val="Tabletext-right"/>
            </w:pPr>
            <w:r>
              <w:t xml:space="preserve"> $1 636 </w:t>
            </w:r>
          </w:p>
        </w:tc>
        <w:tc>
          <w:tcPr>
            <w:tcW w:w="694" w:type="pct"/>
            <w:shd w:val="clear" w:color="auto" w:fill="auto"/>
          </w:tcPr>
          <w:p w:rsidR="00697BCD" w:rsidRDefault="00697BCD" w:rsidP="00624E11">
            <w:pPr>
              <w:pStyle w:val="Tabletext-right"/>
            </w:pPr>
            <w:r>
              <w:t xml:space="preserve"> $1 973 </w:t>
            </w:r>
          </w:p>
        </w:tc>
        <w:tc>
          <w:tcPr>
            <w:tcW w:w="695" w:type="pct"/>
            <w:shd w:val="clear" w:color="auto" w:fill="auto"/>
          </w:tcPr>
          <w:p w:rsidR="00697BCD" w:rsidRDefault="00697BCD" w:rsidP="00624E11">
            <w:pPr>
              <w:pStyle w:val="Tabletext-right"/>
            </w:pPr>
            <w:r>
              <w:t xml:space="preserve"> $1 667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Tasmania</w:t>
            </w:r>
          </w:p>
        </w:tc>
        <w:tc>
          <w:tcPr>
            <w:tcW w:w="694" w:type="pct"/>
            <w:shd w:val="clear" w:color="auto" w:fill="auto"/>
          </w:tcPr>
          <w:p w:rsidR="00697BCD" w:rsidRDefault="00697BCD" w:rsidP="00624E11">
            <w:pPr>
              <w:pStyle w:val="Tabletext-right"/>
            </w:pPr>
            <w:r>
              <w:t>1.4%</w:t>
            </w:r>
          </w:p>
        </w:tc>
        <w:tc>
          <w:tcPr>
            <w:tcW w:w="694" w:type="pct"/>
            <w:shd w:val="clear" w:color="auto" w:fill="auto"/>
          </w:tcPr>
          <w:p w:rsidR="00697BCD" w:rsidRDefault="00697BCD" w:rsidP="00624E11">
            <w:pPr>
              <w:pStyle w:val="Tabletext-right"/>
            </w:pPr>
            <w:r>
              <w:t>0.8%</w:t>
            </w:r>
          </w:p>
        </w:tc>
        <w:tc>
          <w:tcPr>
            <w:tcW w:w="695" w:type="pct"/>
            <w:shd w:val="clear" w:color="auto" w:fill="auto"/>
          </w:tcPr>
          <w:p w:rsidR="00697BCD" w:rsidRDefault="00697BCD" w:rsidP="00624E11">
            <w:pPr>
              <w:pStyle w:val="Tabletext-right"/>
            </w:pPr>
            <w:r>
              <w:t>0.3%</w:t>
            </w:r>
          </w:p>
        </w:tc>
        <w:tc>
          <w:tcPr>
            <w:tcW w:w="694" w:type="pct"/>
            <w:shd w:val="clear" w:color="auto" w:fill="auto"/>
          </w:tcPr>
          <w:p w:rsidR="00697BCD" w:rsidRDefault="00697BCD" w:rsidP="00624E11">
            <w:pPr>
              <w:pStyle w:val="Tabletext-right"/>
            </w:pPr>
            <w:r>
              <w:t xml:space="preserve"> $1 918 </w:t>
            </w:r>
          </w:p>
        </w:tc>
        <w:tc>
          <w:tcPr>
            <w:tcW w:w="694" w:type="pct"/>
            <w:shd w:val="clear" w:color="auto" w:fill="auto"/>
          </w:tcPr>
          <w:p w:rsidR="00697BCD" w:rsidRDefault="00697BCD" w:rsidP="00624E11">
            <w:pPr>
              <w:pStyle w:val="Tabletext-right"/>
            </w:pPr>
            <w:r>
              <w:t xml:space="preserve"> $1 138 </w:t>
            </w:r>
          </w:p>
        </w:tc>
        <w:tc>
          <w:tcPr>
            <w:tcW w:w="695" w:type="pct"/>
            <w:shd w:val="clear" w:color="auto" w:fill="auto"/>
          </w:tcPr>
          <w:p w:rsidR="00697BCD" w:rsidRDefault="00697BCD" w:rsidP="00624E11">
            <w:pPr>
              <w:pStyle w:val="Tabletext-right"/>
            </w:pPr>
            <w:r>
              <w:t xml:space="preserve"> $885 </w:t>
            </w:r>
          </w:p>
        </w:tc>
      </w:tr>
    </w:tbl>
    <w:p w:rsidR="00697BCD" w:rsidRDefault="00697BCD"/>
    <w:p w:rsidR="00697BCD" w:rsidRDefault="00697BCD" w:rsidP="00697BCD">
      <w:pPr>
        <w:pStyle w:val="Tabletitle"/>
      </w:pPr>
      <w:r>
        <w:t>Table 2.4:</w:t>
      </w:r>
      <w:r>
        <w:tab/>
        <w:t>Small business gas debt (by jurisdiction, as at 30 June)</w:t>
      </w:r>
    </w:p>
    <w:tbl>
      <w:tblPr>
        <w:tblW w:w="5000" w:type="pct"/>
        <w:tblBorders>
          <w:top w:val="single" w:sz="4" w:space="0" w:color="BFBFBF"/>
          <w:bottom w:val="single" w:sz="4" w:space="0" w:color="BFBFBF"/>
        </w:tblBorders>
        <w:tblLook w:val="0000" w:firstRow="0" w:lastRow="0" w:firstColumn="0" w:lastColumn="0" w:noHBand="0" w:noVBand="0"/>
      </w:tblPr>
      <w:tblGrid>
        <w:gridCol w:w="1605"/>
        <w:gridCol w:w="1337"/>
        <w:gridCol w:w="1337"/>
        <w:gridCol w:w="1339"/>
        <w:gridCol w:w="1336"/>
        <w:gridCol w:w="1336"/>
        <w:gridCol w:w="1338"/>
      </w:tblGrid>
      <w:tr w:rsidR="00697BCD" w:rsidRPr="00391B03" w:rsidTr="00391B03">
        <w:trPr>
          <w:trHeight w:val="60"/>
        </w:trPr>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2083" w:type="pct"/>
            <w:gridSpan w:val="3"/>
            <w:shd w:val="clear" w:color="auto" w:fill="auto"/>
          </w:tcPr>
          <w:p w:rsidR="00697BCD" w:rsidRDefault="00697BCD" w:rsidP="00745268">
            <w:pPr>
              <w:pStyle w:val="TableHeading-centred"/>
            </w:pPr>
            <w:r>
              <w:t>Customers in debt</w:t>
            </w:r>
          </w:p>
        </w:tc>
        <w:tc>
          <w:tcPr>
            <w:tcW w:w="2083" w:type="pct"/>
            <w:gridSpan w:val="3"/>
            <w:shd w:val="clear" w:color="auto" w:fill="auto"/>
          </w:tcPr>
          <w:p w:rsidR="00697BCD" w:rsidRDefault="00697BCD" w:rsidP="00745268">
            <w:pPr>
              <w:pStyle w:val="TableHeading-centred"/>
            </w:pPr>
            <w:r>
              <w:t>Average debt</w:t>
            </w:r>
          </w:p>
        </w:tc>
      </w:tr>
      <w:tr w:rsidR="00697BCD" w:rsidRPr="00391B03" w:rsidTr="00391B03">
        <w:trPr>
          <w:trHeight w:val="60"/>
        </w:trPr>
        <w:tc>
          <w:tcPr>
            <w:tcW w:w="833" w:type="pct"/>
            <w:shd w:val="clear" w:color="auto" w:fill="auto"/>
          </w:tcPr>
          <w:p w:rsidR="00697BCD" w:rsidRPr="00391B03" w:rsidRDefault="00697BCD" w:rsidP="006B1E9F">
            <w:pPr>
              <w:pStyle w:val="TableHeading"/>
            </w:pPr>
            <w:r w:rsidRPr="00391B03">
              <w:t>Jurisdiction</w:t>
            </w:r>
          </w:p>
        </w:tc>
        <w:tc>
          <w:tcPr>
            <w:tcW w:w="694" w:type="pct"/>
            <w:shd w:val="clear" w:color="auto" w:fill="auto"/>
          </w:tcPr>
          <w:p w:rsidR="00697BCD" w:rsidRDefault="00697BCD" w:rsidP="006B1E9F">
            <w:pPr>
              <w:pStyle w:val="TableHeading-right"/>
            </w:pPr>
            <w:r>
              <w:t>2014</w:t>
            </w:r>
          </w:p>
        </w:tc>
        <w:tc>
          <w:tcPr>
            <w:tcW w:w="694" w:type="pct"/>
            <w:shd w:val="clear" w:color="auto" w:fill="auto"/>
          </w:tcPr>
          <w:p w:rsidR="00697BCD" w:rsidRDefault="00697BCD" w:rsidP="006B1E9F">
            <w:pPr>
              <w:pStyle w:val="TableHeading-right"/>
            </w:pPr>
            <w:r>
              <w:t>2015</w:t>
            </w:r>
          </w:p>
        </w:tc>
        <w:tc>
          <w:tcPr>
            <w:tcW w:w="695" w:type="pct"/>
            <w:shd w:val="clear" w:color="auto" w:fill="auto"/>
          </w:tcPr>
          <w:p w:rsidR="00697BCD" w:rsidRDefault="00697BCD" w:rsidP="006B1E9F">
            <w:pPr>
              <w:pStyle w:val="TableHeading-right"/>
            </w:pPr>
            <w:r>
              <w:t>2016</w:t>
            </w:r>
          </w:p>
        </w:tc>
        <w:tc>
          <w:tcPr>
            <w:tcW w:w="694" w:type="pct"/>
            <w:shd w:val="clear" w:color="auto" w:fill="auto"/>
          </w:tcPr>
          <w:p w:rsidR="00697BCD" w:rsidRDefault="00697BCD" w:rsidP="006B1E9F">
            <w:pPr>
              <w:pStyle w:val="TableHeading-right"/>
            </w:pPr>
            <w:r>
              <w:t>2014</w:t>
            </w:r>
          </w:p>
        </w:tc>
        <w:tc>
          <w:tcPr>
            <w:tcW w:w="694" w:type="pct"/>
            <w:shd w:val="clear" w:color="auto" w:fill="auto"/>
          </w:tcPr>
          <w:p w:rsidR="00697BCD" w:rsidRDefault="00697BCD" w:rsidP="006B1E9F">
            <w:pPr>
              <w:pStyle w:val="TableHeading-right"/>
            </w:pPr>
            <w:r>
              <w:t>2015</w:t>
            </w:r>
          </w:p>
        </w:tc>
        <w:tc>
          <w:tcPr>
            <w:tcW w:w="695" w:type="pct"/>
            <w:shd w:val="clear" w:color="auto" w:fill="auto"/>
          </w:tcPr>
          <w:p w:rsidR="00697BCD" w:rsidRDefault="00697BCD" w:rsidP="006B1E9F">
            <w:pPr>
              <w:pStyle w:val="TableHeading-right"/>
            </w:pPr>
            <w:r>
              <w:t>2016</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Queensland</w:t>
            </w:r>
          </w:p>
        </w:tc>
        <w:tc>
          <w:tcPr>
            <w:tcW w:w="694" w:type="pct"/>
            <w:shd w:val="clear" w:color="auto" w:fill="auto"/>
          </w:tcPr>
          <w:p w:rsidR="00697BCD" w:rsidRDefault="00697BCD" w:rsidP="00624E11">
            <w:pPr>
              <w:pStyle w:val="Tabletext-right"/>
            </w:pPr>
            <w:r>
              <w:t>N/A</w:t>
            </w:r>
          </w:p>
        </w:tc>
        <w:tc>
          <w:tcPr>
            <w:tcW w:w="694" w:type="pct"/>
            <w:shd w:val="clear" w:color="auto" w:fill="auto"/>
          </w:tcPr>
          <w:p w:rsidR="00697BCD" w:rsidRDefault="00697BCD" w:rsidP="00624E11">
            <w:pPr>
              <w:pStyle w:val="Tabletext-right"/>
            </w:pPr>
            <w:r>
              <w:t>N/A</w:t>
            </w:r>
          </w:p>
        </w:tc>
        <w:tc>
          <w:tcPr>
            <w:tcW w:w="695" w:type="pct"/>
            <w:shd w:val="clear" w:color="auto" w:fill="auto"/>
          </w:tcPr>
          <w:p w:rsidR="00697BCD" w:rsidRDefault="00697BCD" w:rsidP="00624E11">
            <w:pPr>
              <w:pStyle w:val="Tabletext-right"/>
            </w:pPr>
            <w:r>
              <w:t>4.1%</w:t>
            </w:r>
          </w:p>
        </w:tc>
        <w:tc>
          <w:tcPr>
            <w:tcW w:w="694" w:type="pct"/>
            <w:shd w:val="clear" w:color="auto" w:fill="auto"/>
          </w:tcPr>
          <w:p w:rsidR="00697BCD" w:rsidRDefault="00697BCD" w:rsidP="00624E11">
            <w:pPr>
              <w:pStyle w:val="Tabletext-right"/>
            </w:pPr>
            <w:r>
              <w:t xml:space="preserve"> N/A </w:t>
            </w:r>
          </w:p>
        </w:tc>
        <w:tc>
          <w:tcPr>
            <w:tcW w:w="694" w:type="pct"/>
            <w:shd w:val="clear" w:color="auto" w:fill="auto"/>
          </w:tcPr>
          <w:p w:rsidR="00697BCD" w:rsidRDefault="00697BCD" w:rsidP="00624E11">
            <w:pPr>
              <w:pStyle w:val="Tabletext-right"/>
            </w:pPr>
            <w:r>
              <w:t xml:space="preserve"> N/A </w:t>
            </w:r>
          </w:p>
        </w:tc>
        <w:tc>
          <w:tcPr>
            <w:tcW w:w="695" w:type="pct"/>
            <w:shd w:val="clear" w:color="auto" w:fill="auto"/>
          </w:tcPr>
          <w:p w:rsidR="00697BCD" w:rsidRDefault="00697BCD" w:rsidP="00624E11">
            <w:pPr>
              <w:pStyle w:val="Tabletext-right"/>
            </w:pPr>
            <w:r>
              <w:t xml:space="preserve"> $834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South Australia</w:t>
            </w:r>
          </w:p>
        </w:tc>
        <w:tc>
          <w:tcPr>
            <w:tcW w:w="694" w:type="pct"/>
            <w:shd w:val="clear" w:color="auto" w:fill="auto"/>
          </w:tcPr>
          <w:p w:rsidR="00697BCD" w:rsidRDefault="00697BCD" w:rsidP="00624E11">
            <w:pPr>
              <w:pStyle w:val="Tabletext-right"/>
            </w:pPr>
            <w:r>
              <w:t>3.6%</w:t>
            </w:r>
          </w:p>
        </w:tc>
        <w:tc>
          <w:tcPr>
            <w:tcW w:w="694" w:type="pct"/>
            <w:shd w:val="clear" w:color="auto" w:fill="auto"/>
          </w:tcPr>
          <w:p w:rsidR="00697BCD" w:rsidRDefault="00697BCD" w:rsidP="00624E11">
            <w:pPr>
              <w:pStyle w:val="Tabletext-right"/>
            </w:pPr>
            <w:r>
              <w:t>3.4%</w:t>
            </w:r>
          </w:p>
        </w:tc>
        <w:tc>
          <w:tcPr>
            <w:tcW w:w="695" w:type="pct"/>
            <w:shd w:val="clear" w:color="auto" w:fill="auto"/>
          </w:tcPr>
          <w:p w:rsidR="00697BCD" w:rsidRDefault="00697BCD" w:rsidP="00624E11">
            <w:pPr>
              <w:pStyle w:val="Tabletext-right"/>
            </w:pPr>
            <w:r>
              <w:t>4.7%</w:t>
            </w:r>
          </w:p>
        </w:tc>
        <w:tc>
          <w:tcPr>
            <w:tcW w:w="694" w:type="pct"/>
            <w:shd w:val="clear" w:color="auto" w:fill="auto"/>
          </w:tcPr>
          <w:p w:rsidR="00697BCD" w:rsidRDefault="00697BCD" w:rsidP="00624E11">
            <w:pPr>
              <w:pStyle w:val="Tabletext-right"/>
            </w:pPr>
            <w:r>
              <w:t>$1571</w:t>
            </w:r>
          </w:p>
        </w:tc>
        <w:tc>
          <w:tcPr>
            <w:tcW w:w="694" w:type="pct"/>
            <w:shd w:val="clear" w:color="auto" w:fill="auto"/>
          </w:tcPr>
          <w:p w:rsidR="00697BCD" w:rsidRDefault="00697BCD" w:rsidP="00624E11">
            <w:pPr>
              <w:pStyle w:val="Tabletext-right"/>
            </w:pPr>
            <w:r>
              <w:t>$1769</w:t>
            </w:r>
          </w:p>
        </w:tc>
        <w:tc>
          <w:tcPr>
            <w:tcW w:w="695" w:type="pct"/>
            <w:shd w:val="clear" w:color="auto" w:fill="auto"/>
          </w:tcPr>
          <w:p w:rsidR="00697BCD" w:rsidRDefault="00697BCD" w:rsidP="00624E11">
            <w:pPr>
              <w:pStyle w:val="Tabletext-right"/>
            </w:pPr>
            <w:r>
              <w:t>$1586</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ACT</w:t>
            </w:r>
          </w:p>
        </w:tc>
        <w:tc>
          <w:tcPr>
            <w:tcW w:w="694" w:type="pct"/>
            <w:shd w:val="clear" w:color="auto" w:fill="auto"/>
          </w:tcPr>
          <w:p w:rsidR="00697BCD" w:rsidRDefault="00697BCD" w:rsidP="00624E11">
            <w:pPr>
              <w:pStyle w:val="Tabletext-right"/>
            </w:pPr>
            <w:r>
              <w:t>9.5%</w:t>
            </w:r>
          </w:p>
        </w:tc>
        <w:tc>
          <w:tcPr>
            <w:tcW w:w="694" w:type="pct"/>
            <w:shd w:val="clear" w:color="auto" w:fill="auto"/>
          </w:tcPr>
          <w:p w:rsidR="00697BCD" w:rsidRDefault="00697BCD" w:rsidP="00624E11">
            <w:pPr>
              <w:pStyle w:val="Tabletext-right"/>
            </w:pPr>
            <w:r>
              <w:t>10.8%</w:t>
            </w:r>
          </w:p>
        </w:tc>
        <w:tc>
          <w:tcPr>
            <w:tcW w:w="695" w:type="pct"/>
            <w:shd w:val="clear" w:color="auto" w:fill="auto"/>
          </w:tcPr>
          <w:p w:rsidR="00697BCD" w:rsidRDefault="00697BCD" w:rsidP="00624E11">
            <w:pPr>
              <w:pStyle w:val="Tabletext-right"/>
            </w:pPr>
            <w:r>
              <w:t>6.5%</w:t>
            </w:r>
          </w:p>
        </w:tc>
        <w:tc>
          <w:tcPr>
            <w:tcW w:w="694" w:type="pct"/>
            <w:shd w:val="clear" w:color="auto" w:fill="auto"/>
          </w:tcPr>
          <w:p w:rsidR="00697BCD" w:rsidRDefault="00697BCD" w:rsidP="00624E11">
            <w:pPr>
              <w:pStyle w:val="Tabletext-right"/>
            </w:pPr>
            <w:r>
              <w:t>$1537</w:t>
            </w:r>
          </w:p>
        </w:tc>
        <w:tc>
          <w:tcPr>
            <w:tcW w:w="694" w:type="pct"/>
            <w:shd w:val="clear" w:color="auto" w:fill="auto"/>
          </w:tcPr>
          <w:p w:rsidR="00697BCD" w:rsidRDefault="00697BCD" w:rsidP="00624E11">
            <w:pPr>
              <w:pStyle w:val="Tabletext-right"/>
            </w:pPr>
            <w:r>
              <w:t>$1499</w:t>
            </w:r>
          </w:p>
        </w:tc>
        <w:tc>
          <w:tcPr>
            <w:tcW w:w="695" w:type="pct"/>
            <w:shd w:val="clear" w:color="auto" w:fill="auto"/>
          </w:tcPr>
          <w:p w:rsidR="00697BCD" w:rsidRDefault="00697BCD" w:rsidP="00624E11">
            <w:pPr>
              <w:pStyle w:val="Tabletext-right"/>
            </w:pPr>
            <w:r>
              <w:t>$3724</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New South Wales</w:t>
            </w:r>
          </w:p>
        </w:tc>
        <w:tc>
          <w:tcPr>
            <w:tcW w:w="694" w:type="pct"/>
            <w:shd w:val="clear" w:color="auto" w:fill="auto"/>
          </w:tcPr>
          <w:p w:rsidR="00697BCD" w:rsidRDefault="00697BCD" w:rsidP="00624E11">
            <w:pPr>
              <w:pStyle w:val="Tabletext-right"/>
            </w:pPr>
            <w:r>
              <w:t>7.2%</w:t>
            </w:r>
          </w:p>
        </w:tc>
        <w:tc>
          <w:tcPr>
            <w:tcW w:w="694" w:type="pct"/>
            <w:shd w:val="clear" w:color="auto" w:fill="auto"/>
          </w:tcPr>
          <w:p w:rsidR="00697BCD" w:rsidRDefault="00697BCD" w:rsidP="00624E11">
            <w:pPr>
              <w:pStyle w:val="Tabletext-right"/>
            </w:pPr>
            <w:r>
              <w:t>6.8%</w:t>
            </w:r>
          </w:p>
        </w:tc>
        <w:tc>
          <w:tcPr>
            <w:tcW w:w="695" w:type="pct"/>
            <w:shd w:val="clear" w:color="auto" w:fill="auto"/>
          </w:tcPr>
          <w:p w:rsidR="00697BCD" w:rsidRDefault="00697BCD" w:rsidP="00624E11">
            <w:pPr>
              <w:pStyle w:val="Tabletext-right"/>
            </w:pPr>
            <w:r>
              <w:t>6.6%</w:t>
            </w:r>
          </w:p>
        </w:tc>
        <w:tc>
          <w:tcPr>
            <w:tcW w:w="694" w:type="pct"/>
            <w:shd w:val="clear" w:color="auto" w:fill="auto"/>
          </w:tcPr>
          <w:p w:rsidR="00697BCD" w:rsidRDefault="00697BCD" w:rsidP="00624E11">
            <w:pPr>
              <w:pStyle w:val="Tabletext-right"/>
            </w:pPr>
            <w:r>
              <w:t>$1679</w:t>
            </w:r>
          </w:p>
        </w:tc>
        <w:tc>
          <w:tcPr>
            <w:tcW w:w="694" w:type="pct"/>
            <w:shd w:val="clear" w:color="auto" w:fill="auto"/>
          </w:tcPr>
          <w:p w:rsidR="00697BCD" w:rsidRDefault="00697BCD" w:rsidP="00624E11">
            <w:pPr>
              <w:pStyle w:val="Tabletext-right"/>
            </w:pPr>
            <w:r>
              <w:t>$2057</w:t>
            </w:r>
          </w:p>
        </w:tc>
        <w:tc>
          <w:tcPr>
            <w:tcW w:w="695" w:type="pct"/>
            <w:shd w:val="clear" w:color="auto" w:fill="auto"/>
          </w:tcPr>
          <w:p w:rsidR="00697BCD" w:rsidRDefault="00697BCD" w:rsidP="00624E11">
            <w:pPr>
              <w:pStyle w:val="Tabletext-right"/>
            </w:pPr>
            <w:r>
              <w:t>$2100</w:t>
            </w:r>
          </w:p>
        </w:tc>
      </w:tr>
    </w:tbl>
    <w:p w:rsidR="00697BCD" w:rsidRDefault="00697BCD"/>
    <w:p w:rsidR="00697BCD" w:rsidRDefault="00697BCD" w:rsidP="000F3A56">
      <w:pPr>
        <w:pStyle w:val="Numbered11"/>
      </w:pPr>
      <w:bookmarkStart w:id="21" w:name="_Toc467665305"/>
      <w:r>
        <w:t>Payment plans</w:t>
      </w:r>
      <w:bookmarkEnd w:id="21"/>
    </w:p>
    <w:p w:rsidR="00697BCD" w:rsidRDefault="00697BCD" w:rsidP="009D1DEC">
      <w:r>
        <w:t xml:space="preserve">The Retail Law requires energy retailers to offer payment plans to customers experiencing payment difficulties. A payment plan is a plan for a residential customer experiencing payment difficulties to pay a retailer in periodic instalments, any overdue amount payable by the customer. </w:t>
      </w:r>
    </w:p>
    <w:p w:rsidR="00697BCD" w:rsidRDefault="00697BCD" w:rsidP="00697BCD">
      <w:r>
        <w:t xml:space="preserve">Customers should contact their retailer for assistance as soon as they think it may be required. Retailers must also have processes in place to promptly identify customers who are in debt and help them manage debt through payment plans or hardship programs. </w:t>
      </w:r>
    </w:p>
    <w:p w:rsidR="00697BCD" w:rsidRDefault="00697BCD" w:rsidP="00697BCD">
      <w:r>
        <w:t>Table 2.5 shows the proportion of residential customers on a payment plan for each retailer in each jurisdiction, as well as the rate of payment plan cancellations that occurred in 2015–16. The proportion of customers on payment plans decreased in South Australia, Tasmania and New South Wales, but increased slightly for ACT electricity customers.</w:t>
      </w:r>
    </w:p>
    <w:p w:rsidR="00697BCD" w:rsidRDefault="00697BCD" w:rsidP="00697BCD">
      <w:r>
        <w:t>An increase in payment plan customers, accompanied by a decrease in the number of customers on hardship programs (discussed in the following section) may indicate a retailer is more proactively working with customers to address their debt before it gets unmanageably large.</w:t>
      </w:r>
    </w:p>
    <w:p w:rsidR="00697BCD" w:rsidRDefault="00697BCD" w:rsidP="00697BCD">
      <w:r>
        <w:t xml:space="preserve">In South Australia, </w:t>
      </w:r>
      <w:proofErr w:type="spellStart"/>
      <w:r>
        <w:t>EnergyAustralia</w:t>
      </w:r>
      <w:proofErr w:type="spellEnd"/>
      <w:r>
        <w:t xml:space="preserve"> reported increases in the proportion of electricity and gas customers on payment plans (up to around 11 and 13 per 100 customers respectively). </w:t>
      </w:r>
      <w:r>
        <w:lastRenderedPageBreak/>
        <w:t>Separately, its proportion of hardship customers fell for both fuel types (discussed in the following section).</w:t>
      </w:r>
    </w:p>
    <w:p w:rsidR="00697BCD" w:rsidRDefault="00697BCD" w:rsidP="00697BCD">
      <w:pPr>
        <w:pStyle w:val="Tabletitle"/>
      </w:pPr>
      <w:r>
        <w:t>Table 2.5:</w:t>
      </w:r>
      <w:r>
        <w:tab/>
        <w:t>Customers on payment plans as at 30 June 2015 (change since 2014) and with payment plans cancelled during 2015–16</w:t>
      </w:r>
    </w:p>
    <w:tbl>
      <w:tblPr>
        <w:tblW w:w="5000" w:type="pct"/>
        <w:tblBorders>
          <w:top w:val="single" w:sz="4" w:space="0" w:color="BFBFBF"/>
          <w:bottom w:val="single" w:sz="4" w:space="0" w:color="BFBFBF"/>
        </w:tblBorders>
        <w:tblLook w:val="0000" w:firstRow="0" w:lastRow="0" w:firstColumn="0" w:lastColumn="0" w:noHBand="0" w:noVBand="0"/>
      </w:tblPr>
      <w:tblGrid>
        <w:gridCol w:w="2431"/>
        <w:gridCol w:w="835"/>
        <w:gridCol w:w="934"/>
        <w:gridCol w:w="836"/>
        <w:gridCol w:w="934"/>
        <w:gridCol w:w="863"/>
        <w:gridCol w:w="965"/>
        <w:gridCol w:w="863"/>
        <w:gridCol w:w="967"/>
      </w:tblGrid>
      <w:tr w:rsidR="00697BCD" w:rsidRPr="00391B03" w:rsidTr="00391B03">
        <w:trPr>
          <w:trHeight w:val="255"/>
        </w:trPr>
        <w:tc>
          <w:tcPr>
            <w:tcW w:w="1263" w:type="pct"/>
            <w:vMerge w:val="restart"/>
            <w:shd w:val="clear" w:color="auto" w:fill="auto"/>
          </w:tcPr>
          <w:p w:rsidR="00697BCD" w:rsidRPr="00391B03" w:rsidRDefault="00697BCD" w:rsidP="00624E11">
            <w:pPr>
              <w:pStyle w:val="TableHeading"/>
            </w:pPr>
            <w:r w:rsidRPr="00391B03">
              <w:t>Retailer</w:t>
            </w:r>
          </w:p>
        </w:tc>
        <w:tc>
          <w:tcPr>
            <w:tcW w:w="1838" w:type="pct"/>
            <w:gridSpan w:val="4"/>
            <w:shd w:val="clear" w:color="auto" w:fill="auto"/>
          </w:tcPr>
          <w:p w:rsidR="00697BCD" w:rsidRDefault="00697BCD" w:rsidP="00624E11">
            <w:pPr>
              <w:pStyle w:val="TableHeading-right"/>
            </w:pPr>
            <w:r>
              <w:t>Customers on payment plans (per 100)</w:t>
            </w:r>
          </w:p>
        </w:tc>
        <w:tc>
          <w:tcPr>
            <w:tcW w:w="1899" w:type="pct"/>
            <w:gridSpan w:val="4"/>
            <w:shd w:val="clear" w:color="auto" w:fill="auto"/>
          </w:tcPr>
          <w:p w:rsidR="00697BCD" w:rsidRDefault="00697BCD" w:rsidP="00624E11">
            <w:pPr>
              <w:pStyle w:val="TableHeading-right"/>
            </w:pPr>
            <w:r>
              <w:t xml:space="preserve">Customers with payment plans cancelled </w:t>
            </w:r>
            <w:r>
              <w:br/>
              <w:t>(per 100)</w:t>
            </w:r>
          </w:p>
        </w:tc>
      </w:tr>
      <w:tr w:rsidR="00697BCD" w:rsidRPr="00391B03" w:rsidTr="00391B03">
        <w:trPr>
          <w:trHeight w:val="288"/>
        </w:trPr>
        <w:tc>
          <w:tcPr>
            <w:tcW w:w="1263" w:type="pct"/>
            <w:vMerge/>
            <w:shd w:val="clear" w:color="auto" w:fill="auto"/>
          </w:tcPr>
          <w:p w:rsidR="00697BCD" w:rsidRPr="00391B03" w:rsidRDefault="00697BCD" w:rsidP="00624E11">
            <w:pPr>
              <w:pStyle w:val="TableHeading-right"/>
              <w:rPr>
                <w:rFonts w:ascii="HelveticaNeueLTStd-Cn" w:hAnsi="HelveticaNeueLTStd-Cn"/>
                <w:lang w:val="en-US"/>
              </w:rPr>
            </w:pPr>
          </w:p>
        </w:tc>
        <w:tc>
          <w:tcPr>
            <w:tcW w:w="919" w:type="pct"/>
            <w:gridSpan w:val="2"/>
            <w:shd w:val="clear" w:color="auto" w:fill="auto"/>
          </w:tcPr>
          <w:p w:rsidR="00697BCD" w:rsidRDefault="00697BCD" w:rsidP="00624E11">
            <w:pPr>
              <w:pStyle w:val="TableHeading-right"/>
            </w:pPr>
            <w:r>
              <w:t>Electricity</w:t>
            </w:r>
          </w:p>
        </w:tc>
        <w:tc>
          <w:tcPr>
            <w:tcW w:w="919" w:type="pct"/>
            <w:gridSpan w:val="2"/>
            <w:shd w:val="clear" w:color="auto" w:fill="auto"/>
          </w:tcPr>
          <w:p w:rsidR="00697BCD" w:rsidRDefault="00697BCD" w:rsidP="00624E11">
            <w:pPr>
              <w:pStyle w:val="TableHeading-right"/>
            </w:pPr>
            <w:r>
              <w:t>Gas</w:t>
            </w:r>
          </w:p>
        </w:tc>
        <w:tc>
          <w:tcPr>
            <w:tcW w:w="949" w:type="pct"/>
            <w:gridSpan w:val="2"/>
            <w:shd w:val="clear" w:color="auto" w:fill="auto"/>
          </w:tcPr>
          <w:p w:rsidR="00697BCD" w:rsidRDefault="00697BCD" w:rsidP="00624E11">
            <w:pPr>
              <w:pStyle w:val="TableHeading-right"/>
            </w:pPr>
            <w:r>
              <w:t>Electricity</w:t>
            </w:r>
          </w:p>
        </w:tc>
        <w:tc>
          <w:tcPr>
            <w:tcW w:w="949" w:type="pct"/>
            <w:gridSpan w:val="2"/>
            <w:shd w:val="clear" w:color="auto" w:fill="auto"/>
          </w:tcPr>
          <w:p w:rsidR="00697BCD" w:rsidRDefault="00697BCD" w:rsidP="00624E11">
            <w:pPr>
              <w:pStyle w:val="TableHeading-right"/>
            </w:pPr>
            <w:r>
              <w:t>Gas</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Qld</w:t>
            </w: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AGL</w:t>
            </w:r>
          </w:p>
        </w:tc>
        <w:tc>
          <w:tcPr>
            <w:tcW w:w="434" w:type="pct"/>
            <w:shd w:val="clear" w:color="auto" w:fill="auto"/>
          </w:tcPr>
          <w:p w:rsidR="00697BCD" w:rsidRDefault="00697BCD" w:rsidP="00624E11">
            <w:pPr>
              <w:pStyle w:val="Tabletext-right"/>
            </w:pPr>
            <w:r>
              <w:t>1.05</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0.37</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2.69</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1.22</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Click Energy</w:t>
            </w:r>
          </w:p>
        </w:tc>
        <w:tc>
          <w:tcPr>
            <w:tcW w:w="434" w:type="pct"/>
            <w:shd w:val="clear" w:color="auto" w:fill="auto"/>
          </w:tcPr>
          <w:p w:rsidR="00697BCD" w:rsidRDefault="00697BCD" w:rsidP="00624E11">
            <w:pPr>
              <w:pStyle w:val="Tabletext-right"/>
            </w:pPr>
            <w:r>
              <w:t>1.38</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4.60</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Diamond Energy</w:t>
            </w:r>
          </w:p>
        </w:tc>
        <w:tc>
          <w:tcPr>
            <w:tcW w:w="434" w:type="pct"/>
            <w:shd w:val="clear" w:color="auto" w:fill="auto"/>
          </w:tcPr>
          <w:p w:rsidR="00697BCD" w:rsidRDefault="00697BCD" w:rsidP="00624E11">
            <w:pPr>
              <w:pStyle w:val="Tabletext-right"/>
            </w:pPr>
            <w:r>
              <w:t>2.34</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0.12</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EnergyAustralia</w:t>
            </w:r>
            <w:proofErr w:type="spellEnd"/>
          </w:p>
        </w:tc>
        <w:tc>
          <w:tcPr>
            <w:tcW w:w="434" w:type="pct"/>
            <w:shd w:val="clear" w:color="auto" w:fill="auto"/>
          </w:tcPr>
          <w:p w:rsidR="00697BCD" w:rsidRDefault="00697BCD" w:rsidP="00624E11">
            <w:pPr>
              <w:pStyle w:val="Tabletext-right"/>
            </w:pPr>
            <w:r>
              <w:t>10.83</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16.96</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Ergon Energy</w:t>
            </w:r>
          </w:p>
        </w:tc>
        <w:tc>
          <w:tcPr>
            <w:tcW w:w="434" w:type="pct"/>
            <w:shd w:val="clear" w:color="auto" w:fill="auto"/>
          </w:tcPr>
          <w:p w:rsidR="00697BCD" w:rsidRDefault="00697BCD" w:rsidP="00624E11">
            <w:pPr>
              <w:pStyle w:val="Tabletext-right"/>
            </w:pPr>
            <w:r>
              <w:t>2.60</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7.54</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Locality Planning Energy</w:t>
            </w:r>
          </w:p>
        </w:tc>
        <w:tc>
          <w:tcPr>
            <w:tcW w:w="434" w:type="pct"/>
            <w:shd w:val="clear" w:color="auto" w:fill="auto"/>
          </w:tcPr>
          <w:p w:rsidR="00697BCD" w:rsidRDefault="00697BCD" w:rsidP="00624E11">
            <w:pPr>
              <w:pStyle w:val="Tabletext-right"/>
            </w:pPr>
            <w:r>
              <w:t>0.27</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0.03</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434" w:type="pct"/>
            <w:shd w:val="clear" w:color="auto" w:fill="auto"/>
          </w:tcPr>
          <w:p w:rsidR="00697BCD" w:rsidRDefault="00697BCD" w:rsidP="00624E11">
            <w:pPr>
              <w:pStyle w:val="Tabletext-right"/>
            </w:pPr>
            <w:r>
              <w:t>4.82</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0.90</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M2 Energy</w:t>
            </w:r>
          </w:p>
        </w:tc>
        <w:tc>
          <w:tcPr>
            <w:tcW w:w="434" w:type="pct"/>
            <w:shd w:val="clear" w:color="auto" w:fill="auto"/>
          </w:tcPr>
          <w:p w:rsidR="00697BCD" w:rsidRDefault="00697BCD" w:rsidP="00624E11">
            <w:pPr>
              <w:pStyle w:val="Tabletext-right"/>
            </w:pPr>
            <w:r>
              <w:t>0.20</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0.25</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Metered Energy Holdings</w:t>
            </w:r>
          </w:p>
        </w:tc>
        <w:tc>
          <w:tcPr>
            <w:tcW w:w="434" w:type="pct"/>
            <w:shd w:val="clear" w:color="auto" w:fill="auto"/>
          </w:tcPr>
          <w:p w:rsidR="00697BCD" w:rsidRDefault="00697BCD" w:rsidP="00624E11">
            <w:pPr>
              <w:pStyle w:val="Tabletext-right"/>
            </w:pPr>
            <w:r>
              <w:t>1.19</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Origin Energy</w:t>
            </w:r>
          </w:p>
        </w:tc>
        <w:tc>
          <w:tcPr>
            <w:tcW w:w="434" w:type="pct"/>
            <w:shd w:val="clear" w:color="auto" w:fill="auto"/>
          </w:tcPr>
          <w:p w:rsidR="00697BCD" w:rsidRDefault="00697BCD" w:rsidP="00624E11">
            <w:pPr>
              <w:pStyle w:val="Tabletext-right"/>
            </w:pPr>
            <w:r>
              <w:t>0.66</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0.40</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2.03</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1.53</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Powerdirect</w:t>
            </w:r>
            <w:proofErr w:type="spellEnd"/>
          </w:p>
        </w:tc>
        <w:tc>
          <w:tcPr>
            <w:tcW w:w="434" w:type="pct"/>
            <w:shd w:val="clear" w:color="auto" w:fill="auto"/>
          </w:tcPr>
          <w:p w:rsidR="00697BCD" w:rsidRDefault="00697BCD" w:rsidP="00624E11">
            <w:pPr>
              <w:pStyle w:val="Tabletext-right"/>
            </w:pPr>
            <w:r>
              <w:t>2.37</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0.33</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QEnergy</w:t>
            </w:r>
            <w:proofErr w:type="spellEnd"/>
          </w:p>
        </w:tc>
        <w:tc>
          <w:tcPr>
            <w:tcW w:w="434" w:type="pct"/>
            <w:shd w:val="clear" w:color="auto" w:fill="auto"/>
          </w:tcPr>
          <w:p w:rsidR="00697BCD" w:rsidRDefault="00697BCD" w:rsidP="00624E11">
            <w:pPr>
              <w:pStyle w:val="Tabletext-right"/>
            </w:pPr>
            <w:r>
              <w:t>8.35</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Sanctuary Energy</w:t>
            </w:r>
          </w:p>
        </w:tc>
        <w:tc>
          <w:tcPr>
            <w:tcW w:w="434" w:type="pct"/>
            <w:shd w:val="clear" w:color="auto" w:fill="auto"/>
          </w:tcPr>
          <w:p w:rsidR="00697BCD" w:rsidRDefault="00697BCD" w:rsidP="00624E11">
            <w:pPr>
              <w:pStyle w:val="Tabletext-right"/>
            </w:pPr>
            <w:r>
              <w:t>1.89</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1.78</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Simply Energy</w:t>
            </w:r>
          </w:p>
        </w:tc>
        <w:tc>
          <w:tcPr>
            <w:tcW w:w="434" w:type="pct"/>
            <w:shd w:val="clear" w:color="auto" w:fill="auto"/>
          </w:tcPr>
          <w:p w:rsidR="00697BCD" w:rsidRDefault="00697BCD" w:rsidP="00624E11">
            <w:pPr>
              <w:pStyle w:val="Tabletext-right"/>
            </w:pPr>
            <w:r>
              <w:t>0.63</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1.01</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Total Qld</w:t>
            </w:r>
          </w:p>
        </w:tc>
        <w:tc>
          <w:tcPr>
            <w:tcW w:w="434" w:type="pct"/>
            <w:shd w:val="clear" w:color="auto" w:fill="auto"/>
          </w:tcPr>
          <w:p w:rsidR="00697BCD" w:rsidRDefault="00697BCD" w:rsidP="00624E11">
            <w:pPr>
              <w:pStyle w:val="Tabletext-right"/>
            </w:pPr>
            <w:r>
              <w:t>2.05</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0.38</w:t>
            </w:r>
          </w:p>
        </w:tc>
        <w:tc>
          <w:tcPr>
            <w:tcW w:w="485"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4.69</w:t>
            </w:r>
          </w:p>
        </w:tc>
        <w:tc>
          <w:tcPr>
            <w:tcW w:w="501" w:type="pct"/>
            <w:shd w:val="clear" w:color="auto" w:fill="auto"/>
          </w:tcPr>
          <w:p w:rsidR="00697BCD" w:rsidRDefault="00697BCD" w:rsidP="00624E11">
            <w:pPr>
              <w:pStyle w:val="Tabletext-right"/>
            </w:pPr>
            <w:r>
              <w:t xml:space="preserve"> –</w:t>
            </w:r>
          </w:p>
        </w:tc>
        <w:tc>
          <w:tcPr>
            <w:tcW w:w="448" w:type="pct"/>
            <w:shd w:val="clear" w:color="auto" w:fill="auto"/>
          </w:tcPr>
          <w:p w:rsidR="00697BCD" w:rsidRDefault="00697BCD" w:rsidP="00624E11">
            <w:pPr>
              <w:pStyle w:val="Tabletext-right"/>
            </w:pPr>
            <w:r>
              <w:t>1.35</w:t>
            </w:r>
          </w:p>
        </w:tc>
        <w:tc>
          <w:tcPr>
            <w:tcW w:w="501"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SA</w:t>
            </w: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AGL</w:t>
            </w:r>
          </w:p>
        </w:tc>
        <w:tc>
          <w:tcPr>
            <w:tcW w:w="434" w:type="pct"/>
            <w:shd w:val="clear" w:color="auto" w:fill="auto"/>
          </w:tcPr>
          <w:p w:rsidR="00697BCD" w:rsidRDefault="00697BCD" w:rsidP="00624E11">
            <w:pPr>
              <w:pStyle w:val="Tabletext-right"/>
            </w:pPr>
            <w:r>
              <w:t>0.85</w:t>
            </w:r>
          </w:p>
        </w:tc>
        <w:tc>
          <w:tcPr>
            <w:tcW w:w="485" w:type="pct"/>
            <w:shd w:val="clear" w:color="auto" w:fill="auto"/>
          </w:tcPr>
          <w:p w:rsidR="00697BCD" w:rsidRDefault="00697BCD" w:rsidP="00624E11">
            <w:pPr>
              <w:pStyle w:val="Tabletext-right"/>
            </w:pPr>
            <w:r>
              <w:rPr>
                <w:rStyle w:val="Arialarrow"/>
              </w:rPr>
              <w:t>▲</w:t>
            </w:r>
            <w:r>
              <w:t>0.21</w:t>
            </w:r>
          </w:p>
        </w:tc>
        <w:tc>
          <w:tcPr>
            <w:tcW w:w="434" w:type="pct"/>
            <w:shd w:val="clear" w:color="auto" w:fill="auto"/>
          </w:tcPr>
          <w:p w:rsidR="00697BCD" w:rsidRDefault="00697BCD" w:rsidP="00624E11">
            <w:pPr>
              <w:pStyle w:val="Tabletext-right"/>
            </w:pPr>
            <w:r>
              <w:t>0.46</w:t>
            </w:r>
          </w:p>
        </w:tc>
        <w:tc>
          <w:tcPr>
            <w:tcW w:w="485" w:type="pct"/>
            <w:shd w:val="clear" w:color="auto" w:fill="auto"/>
          </w:tcPr>
          <w:p w:rsidR="00697BCD" w:rsidRDefault="00697BCD" w:rsidP="00624E11">
            <w:pPr>
              <w:pStyle w:val="Tabletext-right"/>
            </w:pPr>
            <w:r>
              <w:rPr>
                <w:rStyle w:val="Arialarrow"/>
              </w:rPr>
              <w:t>▲</w:t>
            </w:r>
            <w:r>
              <w:t>0.17</w:t>
            </w:r>
          </w:p>
        </w:tc>
        <w:tc>
          <w:tcPr>
            <w:tcW w:w="448" w:type="pct"/>
            <w:shd w:val="clear" w:color="auto" w:fill="auto"/>
          </w:tcPr>
          <w:p w:rsidR="00697BCD" w:rsidRDefault="00697BCD" w:rsidP="00624E11">
            <w:pPr>
              <w:pStyle w:val="Tabletext-right"/>
            </w:pPr>
            <w:r>
              <w:t>2.08</w:t>
            </w:r>
          </w:p>
        </w:tc>
        <w:tc>
          <w:tcPr>
            <w:tcW w:w="501" w:type="pct"/>
            <w:shd w:val="clear" w:color="auto" w:fill="auto"/>
          </w:tcPr>
          <w:p w:rsidR="00697BCD" w:rsidRDefault="00697BCD" w:rsidP="00624E11">
            <w:pPr>
              <w:pStyle w:val="Tabletext-right"/>
            </w:pPr>
            <w:r>
              <w:rPr>
                <w:rStyle w:val="Arialarrow"/>
              </w:rPr>
              <w:t>▼</w:t>
            </w:r>
            <w:r>
              <w:t>0.18</w:t>
            </w:r>
          </w:p>
        </w:tc>
        <w:tc>
          <w:tcPr>
            <w:tcW w:w="448" w:type="pct"/>
            <w:shd w:val="clear" w:color="auto" w:fill="auto"/>
          </w:tcPr>
          <w:p w:rsidR="00697BCD" w:rsidRDefault="00697BCD" w:rsidP="00624E11">
            <w:pPr>
              <w:pStyle w:val="Tabletext-right"/>
            </w:pPr>
            <w:r>
              <w:t>1.42</w:t>
            </w:r>
          </w:p>
        </w:tc>
        <w:tc>
          <w:tcPr>
            <w:tcW w:w="501" w:type="pct"/>
            <w:shd w:val="clear" w:color="auto" w:fill="auto"/>
          </w:tcPr>
          <w:p w:rsidR="00697BCD" w:rsidRDefault="00697BCD" w:rsidP="00624E11">
            <w:pPr>
              <w:pStyle w:val="Tabletext-right"/>
            </w:pPr>
            <w:r>
              <w:rPr>
                <w:rStyle w:val="Arialarrow"/>
              </w:rPr>
              <w:t>▲</w:t>
            </w:r>
            <w:r>
              <w:t>0.02</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 </w:t>
            </w:r>
          </w:p>
        </w:tc>
        <w:tc>
          <w:tcPr>
            <w:tcW w:w="434" w:type="pct"/>
            <w:shd w:val="clear" w:color="auto" w:fill="auto"/>
          </w:tcPr>
          <w:p w:rsidR="00697BCD" w:rsidRDefault="00697BCD" w:rsidP="00624E11">
            <w:pPr>
              <w:pStyle w:val="Tabletext-right"/>
            </w:pPr>
            <w:r>
              <w:t>2.85</w:t>
            </w:r>
          </w:p>
        </w:tc>
        <w:tc>
          <w:tcPr>
            <w:tcW w:w="485" w:type="pct"/>
            <w:shd w:val="clear" w:color="auto" w:fill="auto"/>
          </w:tcPr>
          <w:p w:rsidR="00697BCD" w:rsidRDefault="00697BCD" w:rsidP="00624E11">
            <w:pPr>
              <w:pStyle w:val="Tabletext-right"/>
            </w:pPr>
            <w:r>
              <w:rPr>
                <w:rStyle w:val="Arialarrow"/>
              </w:rPr>
              <w:t>▼</w:t>
            </w:r>
            <w:r>
              <w:t>1.70</w:t>
            </w:r>
          </w:p>
        </w:tc>
        <w:tc>
          <w:tcPr>
            <w:tcW w:w="434" w:type="pct"/>
            <w:shd w:val="clear" w:color="auto" w:fill="auto"/>
          </w:tcPr>
          <w:p w:rsidR="00697BCD" w:rsidRDefault="00697BCD" w:rsidP="00624E11">
            <w:pPr>
              <w:pStyle w:val="Tabletext-right"/>
            </w:pPr>
            <w:r>
              <w:t>1.33</w:t>
            </w:r>
          </w:p>
        </w:tc>
        <w:tc>
          <w:tcPr>
            <w:tcW w:w="485" w:type="pct"/>
            <w:shd w:val="clear" w:color="auto" w:fill="auto"/>
          </w:tcPr>
          <w:p w:rsidR="00697BCD" w:rsidRDefault="00697BCD" w:rsidP="00624E11">
            <w:pPr>
              <w:pStyle w:val="Tabletext-right"/>
            </w:pPr>
            <w:r>
              <w:rPr>
                <w:rStyle w:val="Arialarrow"/>
              </w:rPr>
              <w:t>▼</w:t>
            </w:r>
            <w:r>
              <w:t>1.03</w:t>
            </w:r>
          </w:p>
        </w:tc>
        <w:tc>
          <w:tcPr>
            <w:tcW w:w="448" w:type="pct"/>
            <w:shd w:val="clear" w:color="auto" w:fill="auto"/>
          </w:tcPr>
          <w:p w:rsidR="00697BCD" w:rsidRDefault="00697BCD" w:rsidP="00624E11">
            <w:pPr>
              <w:pStyle w:val="Tabletext-right"/>
            </w:pPr>
            <w:r>
              <w:t>9.40</w:t>
            </w:r>
          </w:p>
        </w:tc>
        <w:tc>
          <w:tcPr>
            <w:tcW w:w="501" w:type="pct"/>
            <w:shd w:val="clear" w:color="auto" w:fill="auto"/>
          </w:tcPr>
          <w:p w:rsidR="00697BCD" w:rsidRDefault="00697BCD" w:rsidP="00624E11">
            <w:pPr>
              <w:pStyle w:val="Tabletext-right"/>
            </w:pPr>
            <w:r>
              <w:rPr>
                <w:rStyle w:val="Arialarrow"/>
              </w:rPr>
              <w:t>▲</w:t>
            </w:r>
            <w:r>
              <w:t>4.57</w:t>
            </w:r>
          </w:p>
        </w:tc>
        <w:tc>
          <w:tcPr>
            <w:tcW w:w="448" w:type="pct"/>
            <w:shd w:val="clear" w:color="auto" w:fill="auto"/>
          </w:tcPr>
          <w:p w:rsidR="00697BCD" w:rsidRDefault="00697BCD" w:rsidP="00624E11">
            <w:pPr>
              <w:pStyle w:val="Tabletext-right"/>
            </w:pPr>
            <w:r>
              <w:t>5.74</w:t>
            </w:r>
          </w:p>
        </w:tc>
        <w:tc>
          <w:tcPr>
            <w:tcW w:w="501" w:type="pct"/>
            <w:shd w:val="clear" w:color="auto" w:fill="auto"/>
          </w:tcPr>
          <w:p w:rsidR="00697BCD" w:rsidRDefault="00697BCD" w:rsidP="00624E11">
            <w:pPr>
              <w:pStyle w:val="Tabletext-right"/>
            </w:pPr>
            <w:r>
              <w:rPr>
                <w:rStyle w:val="Arialarrow"/>
              </w:rPr>
              <w:t>▼</w:t>
            </w:r>
            <w:r>
              <w:t>4.40</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Click Energy</w:t>
            </w:r>
          </w:p>
        </w:tc>
        <w:tc>
          <w:tcPr>
            <w:tcW w:w="434" w:type="pct"/>
            <w:shd w:val="clear" w:color="auto" w:fill="auto"/>
          </w:tcPr>
          <w:p w:rsidR="00697BCD" w:rsidRDefault="00697BCD" w:rsidP="00624E11">
            <w:pPr>
              <w:pStyle w:val="Tabletext-right"/>
            </w:pPr>
            <w:r>
              <w:t>0.06</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0.06</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0.06</w:t>
            </w:r>
          </w:p>
        </w:tc>
        <w:tc>
          <w:tcPr>
            <w:tcW w:w="501" w:type="pct"/>
            <w:shd w:val="clear" w:color="auto" w:fill="auto"/>
          </w:tcPr>
          <w:p w:rsidR="00697BCD" w:rsidRDefault="00697BCD" w:rsidP="00624E11">
            <w:pPr>
              <w:pStyle w:val="Tabletext-right"/>
            </w:pPr>
            <w:r>
              <w:rPr>
                <w:rStyle w:val="Arialarrow"/>
              </w:rPr>
              <w:t>▲</w:t>
            </w:r>
            <w:r>
              <w:t>0.06</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Diamond Energy</w:t>
            </w:r>
          </w:p>
        </w:tc>
        <w:tc>
          <w:tcPr>
            <w:tcW w:w="434" w:type="pct"/>
            <w:shd w:val="clear" w:color="auto" w:fill="auto"/>
          </w:tcPr>
          <w:p w:rsidR="00697BCD" w:rsidRDefault="00697BCD" w:rsidP="00624E11">
            <w:pPr>
              <w:pStyle w:val="Tabletext-right"/>
            </w:pPr>
            <w:r>
              <w:t>2.46</w:t>
            </w:r>
          </w:p>
        </w:tc>
        <w:tc>
          <w:tcPr>
            <w:tcW w:w="485" w:type="pct"/>
            <w:shd w:val="clear" w:color="auto" w:fill="auto"/>
          </w:tcPr>
          <w:p w:rsidR="00697BCD" w:rsidRDefault="00697BCD" w:rsidP="00624E11">
            <w:pPr>
              <w:pStyle w:val="Tabletext-right"/>
            </w:pPr>
            <w:r>
              <w:rPr>
                <w:rStyle w:val="Arialarrow"/>
              </w:rPr>
              <w:t>▲</w:t>
            </w:r>
            <w:r>
              <w:t>0.33</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rPr>
                <w:rStyle w:val="Arialarrow"/>
              </w:rPr>
              <w:t>▲</w:t>
            </w: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EnergyAustralia</w:t>
            </w:r>
            <w:proofErr w:type="spellEnd"/>
          </w:p>
        </w:tc>
        <w:tc>
          <w:tcPr>
            <w:tcW w:w="434" w:type="pct"/>
            <w:shd w:val="clear" w:color="auto" w:fill="auto"/>
          </w:tcPr>
          <w:p w:rsidR="00697BCD" w:rsidRDefault="00697BCD" w:rsidP="00624E11">
            <w:pPr>
              <w:pStyle w:val="Tabletext-right"/>
            </w:pPr>
            <w:r>
              <w:t>10.76</w:t>
            </w:r>
          </w:p>
        </w:tc>
        <w:tc>
          <w:tcPr>
            <w:tcW w:w="485" w:type="pct"/>
            <w:shd w:val="clear" w:color="auto" w:fill="auto"/>
          </w:tcPr>
          <w:p w:rsidR="00697BCD" w:rsidRDefault="00697BCD" w:rsidP="00624E11">
            <w:pPr>
              <w:pStyle w:val="Tabletext-right"/>
            </w:pPr>
            <w:r>
              <w:rPr>
                <w:rStyle w:val="Arialarrow"/>
              </w:rPr>
              <w:t>▲</w:t>
            </w:r>
            <w:r>
              <w:t>0.67</w:t>
            </w:r>
          </w:p>
        </w:tc>
        <w:tc>
          <w:tcPr>
            <w:tcW w:w="434" w:type="pct"/>
            <w:shd w:val="clear" w:color="auto" w:fill="auto"/>
          </w:tcPr>
          <w:p w:rsidR="00697BCD" w:rsidRDefault="00697BCD" w:rsidP="00624E11">
            <w:pPr>
              <w:pStyle w:val="Tabletext-right"/>
            </w:pPr>
            <w:r>
              <w:t>8.46</w:t>
            </w:r>
          </w:p>
        </w:tc>
        <w:tc>
          <w:tcPr>
            <w:tcW w:w="485" w:type="pct"/>
            <w:shd w:val="clear" w:color="auto" w:fill="auto"/>
          </w:tcPr>
          <w:p w:rsidR="00697BCD" w:rsidRDefault="00697BCD" w:rsidP="00624E11">
            <w:pPr>
              <w:pStyle w:val="Tabletext-right"/>
            </w:pPr>
            <w:r>
              <w:rPr>
                <w:rStyle w:val="Arialarrow"/>
              </w:rPr>
              <w:t>▲</w:t>
            </w:r>
            <w:r>
              <w:t>0.33</w:t>
            </w:r>
          </w:p>
        </w:tc>
        <w:tc>
          <w:tcPr>
            <w:tcW w:w="448" w:type="pct"/>
            <w:shd w:val="clear" w:color="auto" w:fill="auto"/>
          </w:tcPr>
          <w:p w:rsidR="00697BCD" w:rsidRDefault="00697BCD" w:rsidP="00624E11">
            <w:pPr>
              <w:pStyle w:val="Tabletext-right"/>
            </w:pPr>
            <w:r>
              <w:t>13.13</w:t>
            </w:r>
          </w:p>
        </w:tc>
        <w:tc>
          <w:tcPr>
            <w:tcW w:w="501" w:type="pct"/>
            <w:shd w:val="clear" w:color="auto" w:fill="auto"/>
          </w:tcPr>
          <w:p w:rsidR="00697BCD" w:rsidRDefault="00697BCD" w:rsidP="00624E11">
            <w:pPr>
              <w:pStyle w:val="Tabletext-right"/>
            </w:pPr>
            <w:r>
              <w:rPr>
                <w:rStyle w:val="Arialarrow"/>
              </w:rPr>
              <w:t>▲</w:t>
            </w:r>
            <w:r>
              <w:t>0.14</w:t>
            </w:r>
          </w:p>
        </w:tc>
        <w:tc>
          <w:tcPr>
            <w:tcW w:w="448" w:type="pct"/>
            <w:shd w:val="clear" w:color="auto" w:fill="auto"/>
          </w:tcPr>
          <w:p w:rsidR="00697BCD" w:rsidRDefault="00697BCD" w:rsidP="00624E11">
            <w:pPr>
              <w:pStyle w:val="Tabletext-right"/>
            </w:pPr>
            <w:r>
              <w:t>10.51</w:t>
            </w:r>
          </w:p>
        </w:tc>
        <w:tc>
          <w:tcPr>
            <w:tcW w:w="501" w:type="pct"/>
            <w:shd w:val="clear" w:color="auto" w:fill="auto"/>
          </w:tcPr>
          <w:p w:rsidR="00697BCD" w:rsidRDefault="00697BCD" w:rsidP="00624E11">
            <w:pPr>
              <w:pStyle w:val="Tabletext-right"/>
            </w:pPr>
            <w:r>
              <w:rPr>
                <w:rStyle w:val="Arialarrow"/>
              </w:rPr>
              <w:t>▲</w:t>
            </w:r>
            <w:r>
              <w:t>0.22</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434" w:type="pct"/>
            <w:shd w:val="clear" w:color="auto" w:fill="auto"/>
          </w:tcPr>
          <w:p w:rsidR="00697BCD" w:rsidRDefault="00697BCD" w:rsidP="00624E11">
            <w:pPr>
              <w:pStyle w:val="Tabletext-right"/>
            </w:pPr>
            <w:r>
              <w:t>3.13</w:t>
            </w:r>
          </w:p>
        </w:tc>
        <w:tc>
          <w:tcPr>
            <w:tcW w:w="485" w:type="pct"/>
            <w:shd w:val="clear" w:color="auto" w:fill="auto"/>
          </w:tcPr>
          <w:p w:rsidR="00697BCD" w:rsidRDefault="00697BCD" w:rsidP="00624E11">
            <w:pPr>
              <w:pStyle w:val="Tabletext-right"/>
            </w:pPr>
            <w:r>
              <w:rPr>
                <w:rStyle w:val="Arialarrow"/>
              </w:rPr>
              <w:t>▼</w:t>
            </w:r>
            <w:r>
              <w:t>0.33</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0.57</w:t>
            </w:r>
          </w:p>
        </w:tc>
        <w:tc>
          <w:tcPr>
            <w:tcW w:w="501" w:type="pct"/>
            <w:shd w:val="clear" w:color="auto" w:fill="auto"/>
          </w:tcPr>
          <w:p w:rsidR="00697BCD" w:rsidRDefault="00697BCD" w:rsidP="00624E11">
            <w:pPr>
              <w:pStyle w:val="Tabletext-right"/>
            </w:pPr>
            <w:r>
              <w:rPr>
                <w:rStyle w:val="Arialarrow"/>
              </w:rPr>
              <w:t>▼</w:t>
            </w:r>
            <w:r>
              <w:t>0.21</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M2 Energy</w:t>
            </w:r>
          </w:p>
        </w:tc>
        <w:tc>
          <w:tcPr>
            <w:tcW w:w="434" w:type="pct"/>
            <w:shd w:val="clear" w:color="auto" w:fill="auto"/>
          </w:tcPr>
          <w:p w:rsidR="00697BCD" w:rsidRDefault="00697BCD" w:rsidP="00624E11">
            <w:pPr>
              <w:pStyle w:val="Tabletext-right"/>
            </w:pPr>
            <w:r>
              <w:t>0.15</w:t>
            </w:r>
          </w:p>
        </w:tc>
        <w:tc>
          <w:tcPr>
            <w:tcW w:w="485" w:type="pct"/>
            <w:shd w:val="clear" w:color="auto" w:fill="auto"/>
          </w:tcPr>
          <w:p w:rsidR="00697BCD" w:rsidRDefault="00697BCD" w:rsidP="00624E11">
            <w:pPr>
              <w:pStyle w:val="Tabletext-right"/>
            </w:pPr>
            <w:r>
              <w:rPr>
                <w:rStyle w:val="Arialarrow"/>
              </w:rPr>
              <w:t>▼</w:t>
            </w:r>
            <w:r>
              <w:t>0.07</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0.22</w:t>
            </w:r>
          </w:p>
        </w:tc>
        <w:tc>
          <w:tcPr>
            <w:tcW w:w="501" w:type="pct"/>
            <w:shd w:val="clear" w:color="auto" w:fill="auto"/>
          </w:tcPr>
          <w:p w:rsidR="00697BCD" w:rsidRDefault="00697BCD" w:rsidP="00624E11">
            <w:pPr>
              <w:pStyle w:val="Tabletext-right"/>
            </w:pPr>
            <w:r>
              <w:rPr>
                <w:rStyle w:val="Arialarrow"/>
              </w:rPr>
              <w:t>▲</w:t>
            </w:r>
            <w:r>
              <w:t>0.18</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Momentum Energy</w:t>
            </w:r>
          </w:p>
        </w:tc>
        <w:tc>
          <w:tcPr>
            <w:tcW w:w="434" w:type="pct"/>
            <w:shd w:val="clear" w:color="auto" w:fill="auto"/>
          </w:tcPr>
          <w:p w:rsidR="00697BCD" w:rsidRDefault="00697BCD" w:rsidP="00624E11">
            <w:pPr>
              <w:pStyle w:val="Tabletext-right"/>
            </w:pPr>
            <w:r>
              <w:t>1.08</w:t>
            </w:r>
          </w:p>
        </w:tc>
        <w:tc>
          <w:tcPr>
            <w:tcW w:w="485" w:type="pct"/>
            <w:shd w:val="clear" w:color="auto" w:fill="auto"/>
          </w:tcPr>
          <w:p w:rsidR="00697BCD" w:rsidRDefault="00697BCD" w:rsidP="00624E11">
            <w:pPr>
              <w:pStyle w:val="Tabletext-right"/>
            </w:pPr>
            <w:r>
              <w:rPr>
                <w:rStyle w:val="Arialarrow"/>
              </w:rPr>
              <w:t>▼</w:t>
            </w:r>
            <w:r>
              <w:t>1.81</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4.82</w:t>
            </w:r>
          </w:p>
        </w:tc>
        <w:tc>
          <w:tcPr>
            <w:tcW w:w="501" w:type="pct"/>
            <w:shd w:val="clear" w:color="auto" w:fill="auto"/>
          </w:tcPr>
          <w:p w:rsidR="00697BCD" w:rsidRDefault="00697BCD" w:rsidP="00624E11">
            <w:pPr>
              <w:pStyle w:val="Tabletext-right"/>
            </w:pPr>
            <w:r>
              <w:rPr>
                <w:rStyle w:val="Arialarrow"/>
              </w:rPr>
              <w:t>▼</w:t>
            </w:r>
            <w:r>
              <w:t>1.85</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Origin Energy</w:t>
            </w:r>
          </w:p>
        </w:tc>
        <w:tc>
          <w:tcPr>
            <w:tcW w:w="434" w:type="pct"/>
            <w:shd w:val="clear" w:color="auto" w:fill="auto"/>
          </w:tcPr>
          <w:p w:rsidR="00697BCD" w:rsidRDefault="00697BCD" w:rsidP="00624E11">
            <w:pPr>
              <w:pStyle w:val="Tabletext-right"/>
            </w:pPr>
            <w:r>
              <w:t>0.95</w:t>
            </w:r>
          </w:p>
        </w:tc>
        <w:tc>
          <w:tcPr>
            <w:tcW w:w="485" w:type="pct"/>
            <w:shd w:val="clear" w:color="auto" w:fill="auto"/>
          </w:tcPr>
          <w:p w:rsidR="00697BCD" w:rsidRDefault="00697BCD" w:rsidP="00624E11">
            <w:pPr>
              <w:pStyle w:val="Tabletext-right"/>
            </w:pPr>
            <w:r>
              <w:rPr>
                <w:rStyle w:val="Arialarrow"/>
              </w:rPr>
              <w:t>▼</w:t>
            </w:r>
            <w:r>
              <w:t>0.34</w:t>
            </w:r>
          </w:p>
        </w:tc>
        <w:tc>
          <w:tcPr>
            <w:tcW w:w="434" w:type="pct"/>
            <w:shd w:val="clear" w:color="auto" w:fill="auto"/>
          </w:tcPr>
          <w:p w:rsidR="00697BCD" w:rsidRDefault="00697BCD" w:rsidP="00624E11">
            <w:pPr>
              <w:pStyle w:val="Tabletext-right"/>
            </w:pPr>
            <w:r>
              <w:t>0.47</w:t>
            </w:r>
          </w:p>
        </w:tc>
        <w:tc>
          <w:tcPr>
            <w:tcW w:w="485" w:type="pct"/>
            <w:shd w:val="clear" w:color="auto" w:fill="auto"/>
          </w:tcPr>
          <w:p w:rsidR="00697BCD" w:rsidRDefault="00697BCD" w:rsidP="00624E11">
            <w:pPr>
              <w:pStyle w:val="Tabletext-right"/>
            </w:pPr>
            <w:r>
              <w:t>-0.13</w:t>
            </w:r>
          </w:p>
        </w:tc>
        <w:tc>
          <w:tcPr>
            <w:tcW w:w="448" w:type="pct"/>
            <w:shd w:val="clear" w:color="auto" w:fill="auto"/>
          </w:tcPr>
          <w:p w:rsidR="00697BCD" w:rsidRDefault="00697BCD" w:rsidP="00624E11">
            <w:pPr>
              <w:pStyle w:val="Tabletext-right"/>
            </w:pPr>
            <w:r>
              <w:t>2.78</w:t>
            </w:r>
          </w:p>
        </w:tc>
        <w:tc>
          <w:tcPr>
            <w:tcW w:w="501" w:type="pct"/>
            <w:shd w:val="clear" w:color="auto" w:fill="auto"/>
          </w:tcPr>
          <w:p w:rsidR="00697BCD" w:rsidRDefault="00697BCD" w:rsidP="00624E11">
            <w:pPr>
              <w:pStyle w:val="Tabletext-right"/>
            </w:pPr>
            <w:r>
              <w:rPr>
                <w:rStyle w:val="Arialarrow"/>
              </w:rPr>
              <w:t>▼</w:t>
            </w:r>
            <w:r>
              <w:t>0.59</w:t>
            </w:r>
          </w:p>
        </w:tc>
        <w:tc>
          <w:tcPr>
            <w:tcW w:w="448" w:type="pct"/>
            <w:shd w:val="clear" w:color="auto" w:fill="auto"/>
          </w:tcPr>
          <w:p w:rsidR="00697BCD" w:rsidRDefault="00697BCD" w:rsidP="00624E11">
            <w:pPr>
              <w:pStyle w:val="Tabletext-right"/>
            </w:pPr>
            <w:r>
              <w:t>1.47</w:t>
            </w:r>
          </w:p>
        </w:tc>
        <w:tc>
          <w:tcPr>
            <w:tcW w:w="501" w:type="pct"/>
            <w:shd w:val="clear" w:color="auto" w:fill="auto"/>
          </w:tcPr>
          <w:p w:rsidR="00697BCD" w:rsidRDefault="00697BCD" w:rsidP="00624E11">
            <w:pPr>
              <w:pStyle w:val="Tabletext-right"/>
            </w:pPr>
            <w:r>
              <w:rPr>
                <w:rStyle w:val="Arialarrow"/>
              </w:rPr>
              <w:t>▼</w:t>
            </w:r>
            <w:r>
              <w:t>0.25</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Pacific Hydro Retail</w:t>
            </w:r>
          </w:p>
        </w:tc>
        <w:tc>
          <w:tcPr>
            <w:tcW w:w="434" w:type="pct"/>
            <w:shd w:val="clear" w:color="auto" w:fill="auto"/>
          </w:tcPr>
          <w:p w:rsidR="00697BCD" w:rsidRDefault="00697BCD" w:rsidP="00624E11">
            <w:pPr>
              <w:pStyle w:val="Tabletext-right"/>
            </w:pPr>
            <w:r>
              <w:t>2.17</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rPr>
                <w:rStyle w:val="Arialarrow"/>
              </w:rPr>
              <w:t>▲</w:t>
            </w: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Powerdirect</w:t>
            </w:r>
            <w:proofErr w:type="spellEnd"/>
          </w:p>
        </w:tc>
        <w:tc>
          <w:tcPr>
            <w:tcW w:w="434" w:type="pct"/>
            <w:shd w:val="clear" w:color="auto" w:fill="auto"/>
          </w:tcPr>
          <w:p w:rsidR="00697BCD" w:rsidRDefault="00697BCD" w:rsidP="00624E11">
            <w:pPr>
              <w:pStyle w:val="Tabletext-right"/>
            </w:pPr>
            <w:r>
              <w:t>1.48</w:t>
            </w:r>
          </w:p>
        </w:tc>
        <w:tc>
          <w:tcPr>
            <w:tcW w:w="485" w:type="pct"/>
            <w:shd w:val="clear" w:color="auto" w:fill="auto"/>
          </w:tcPr>
          <w:p w:rsidR="00697BCD" w:rsidRDefault="00697BCD" w:rsidP="00624E11">
            <w:pPr>
              <w:pStyle w:val="Tabletext-right"/>
            </w:pPr>
            <w:r>
              <w:rPr>
                <w:rStyle w:val="Arialarrow"/>
              </w:rPr>
              <w:t>▲</w:t>
            </w:r>
            <w:r>
              <w:t>0.34</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0.27</w:t>
            </w:r>
          </w:p>
        </w:tc>
        <w:tc>
          <w:tcPr>
            <w:tcW w:w="501" w:type="pct"/>
            <w:shd w:val="clear" w:color="auto" w:fill="auto"/>
          </w:tcPr>
          <w:p w:rsidR="00697BCD" w:rsidRDefault="00697BCD" w:rsidP="00624E11">
            <w:pPr>
              <w:pStyle w:val="Tabletext-right"/>
            </w:pPr>
            <w:r>
              <w:rPr>
                <w:rStyle w:val="Arialarrow"/>
              </w:rPr>
              <w:t>▼</w:t>
            </w:r>
            <w:r>
              <w:t>0.02</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lastRenderedPageBreak/>
              <w:t>Red Energy</w:t>
            </w:r>
          </w:p>
        </w:tc>
        <w:tc>
          <w:tcPr>
            <w:tcW w:w="434" w:type="pct"/>
            <w:shd w:val="clear" w:color="auto" w:fill="auto"/>
          </w:tcPr>
          <w:p w:rsidR="00697BCD" w:rsidRDefault="00697BCD" w:rsidP="00624E11">
            <w:pPr>
              <w:pStyle w:val="Tabletext-right"/>
            </w:pPr>
            <w:r>
              <w:t>4.56</w:t>
            </w:r>
          </w:p>
        </w:tc>
        <w:tc>
          <w:tcPr>
            <w:tcW w:w="485" w:type="pct"/>
            <w:shd w:val="clear" w:color="auto" w:fill="auto"/>
          </w:tcPr>
          <w:p w:rsidR="00697BCD" w:rsidRDefault="00697BCD" w:rsidP="00624E11">
            <w:pPr>
              <w:pStyle w:val="Tabletext-right"/>
            </w:pPr>
            <w:r>
              <w:rPr>
                <w:rStyle w:val="Arialarrow"/>
              </w:rPr>
              <w:t>▼</w:t>
            </w:r>
            <w:r>
              <w:t>0.16</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5.47</w:t>
            </w:r>
          </w:p>
        </w:tc>
        <w:tc>
          <w:tcPr>
            <w:tcW w:w="501" w:type="pct"/>
            <w:shd w:val="clear" w:color="auto" w:fill="auto"/>
          </w:tcPr>
          <w:p w:rsidR="00697BCD" w:rsidRDefault="00697BCD" w:rsidP="00624E11">
            <w:pPr>
              <w:pStyle w:val="Tabletext-right"/>
            </w:pPr>
            <w:r>
              <w:rPr>
                <w:rStyle w:val="Arialarrow"/>
              </w:rPr>
              <w:t>▼</w:t>
            </w:r>
            <w:r>
              <w:t>0.39</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Sanctuary Energy</w:t>
            </w:r>
          </w:p>
        </w:tc>
        <w:tc>
          <w:tcPr>
            <w:tcW w:w="434" w:type="pct"/>
            <w:shd w:val="clear" w:color="auto" w:fill="auto"/>
          </w:tcPr>
          <w:p w:rsidR="00697BCD" w:rsidRDefault="00697BCD" w:rsidP="00624E11">
            <w:pPr>
              <w:pStyle w:val="Tabletext-right"/>
            </w:pPr>
            <w:r>
              <w:t>2.03</w:t>
            </w:r>
          </w:p>
        </w:tc>
        <w:tc>
          <w:tcPr>
            <w:tcW w:w="485" w:type="pct"/>
            <w:shd w:val="clear" w:color="auto" w:fill="auto"/>
          </w:tcPr>
          <w:p w:rsidR="00697BCD" w:rsidRDefault="00697BCD" w:rsidP="00624E11">
            <w:pPr>
              <w:pStyle w:val="Tabletext-right"/>
            </w:pPr>
            <w:r>
              <w:rPr>
                <w:rStyle w:val="Arialarrow"/>
              </w:rPr>
              <w:t>▲</w:t>
            </w:r>
            <w:r>
              <w:t>1.21</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1.42</w:t>
            </w:r>
          </w:p>
        </w:tc>
        <w:tc>
          <w:tcPr>
            <w:tcW w:w="501" w:type="pct"/>
            <w:shd w:val="clear" w:color="auto" w:fill="auto"/>
          </w:tcPr>
          <w:p w:rsidR="00697BCD" w:rsidRDefault="00697BCD" w:rsidP="00624E11">
            <w:pPr>
              <w:pStyle w:val="Tabletext-right"/>
            </w:pPr>
            <w:r>
              <w:rPr>
                <w:rStyle w:val="Arialarrow"/>
              </w:rPr>
              <w:t>▼</w:t>
            </w:r>
            <w:r>
              <w:t>0.55</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Savant Energy Power Networks</w:t>
            </w:r>
          </w:p>
        </w:tc>
        <w:tc>
          <w:tcPr>
            <w:tcW w:w="434" w:type="pct"/>
            <w:shd w:val="clear" w:color="auto" w:fill="auto"/>
          </w:tcPr>
          <w:p w:rsidR="00697BCD" w:rsidRDefault="00697BCD" w:rsidP="00624E11">
            <w:pPr>
              <w:pStyle w:val="Tabletext-right"/>
            </w:pPr>
            <w:r>
              <w:t>0.93</w:t>
            </w:r>
          </w:p>
        </w:tc>
        <w:tc>
          <w:tcPr>
            <w:tcW w:w="485" w:type="pct"/>
            <w:shd w:val="clear" w:color="auto" w:fill="auto"/>
          </w:tcPr>
          <w:p w:rsidR="00697BCD" w:rsidRDefault="00697BCD" w:rsidP="00624E11">
            <w:pPr>
              <w:pStyle w:val="Tabletext-right"/>
            </w:pPr>
            <w:r>
              <w:t xml:space="preserve"> –</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Simply Energy</w:t>
            </w:r>
          </w:p>
        </w:tc>
        <w:tc>
          <w:tcPr>
            <w:tcW w:w="434" w:type="pct"/>
            <w:shd w:val="clear" w:color="auto" w:fill="auto"/>
          </w:tcPr>
          <w:p w:rsidR="00697BCD" w:rsidRDefault="00697BCD" w:rsidP="00624E11">
            <w:pPr>
              <w:pStyle w:val="Tabletext-right"/>
            </w:pPr>
            <w:r>
              <w:t>2.11</w:t>
            </w:r>
          </w:p>
        </w:tc>
        <w:tc>
          <w:tcPr>
            <w:tcW w:w="485" w:type="pct"/>
            <w:shd w:val="clear" w:color="auto" w:fill="auto"/>
          </w:tcPr>
          <w:p w:rsidR="00697BCD" w:rsidRDefault="00697BCD" w:rsidP="00624E11">
            <w:pPr>
              <w:pStyle w:val="Tabletext-right"/>
            </w:pPr>
            <w:r>
              <w:rPr>
                <w:rStyle w:val="Arialarrow"/>
              </w:rPr>
              <w:t>▼</w:t>
            </w:r>
            <w:r>
              <w:t>1.99</w:t>
            </w:r>
          </w:p>
        </w:tc>
        <w:tc>
          <w:tcPr>
            <w:tcW w:w="434" w:type="pct"/>
            <w:shd w:val="clear" w:color="auto" w:fill="auto"/>
          </w:tcPr>
          <w:p w:rsidR="00697BCD" w:rsidRDefault="00697BCD" w:rsidP="00624E11">
            <w:pPr>
              <w:pStyle w:val="Tabletext-right"/>
            </w:pPr>
            <w:r>
              <w:t>1.56</w:t>
            </w:r>
          </w:p>
        </w:tc>
        <w:tc>
          <w:tcPr>
            <w:tcW w:w="485" w:type="pct"/>
            <w:shd w:val="clear" w:color="auto" w:fill="auto"/>
          </w:tcPr>
          <w:p w:rsidR="00697BCD" w:rsidRDefault="00697BCD" w:rsidP="00624E11">
            <w:pPr>
              <w:pStyle w:val="Tabletext-right"/>
            </w:pPr>
            <w:r>
              <w:t>-0.63</w:t>
            </w:r>
          </w:p>
        </w:tc>
        <w:tc>
          <w:tcPr>
            <w:tcW w:w="448" w:type="pct"/>
            <w:shd w:val="clear" w:color="auto" w:fill="auto"/>
          </w:tcPr>
          <w:p w:rsidR="00697BCD" w:rsidRDefault="00697BCD" w:rsidP="00624E11">
            <w:pPr>
              <w:pStyle w:val="Tabletext-right"/>
            </w:pPr>
            <w:r>
              <w:t>6.79</w:t>
            </w:r>
          </w:p>
        </w:tc>
        <w:tc>
          <w:tcPr>
            <w:tcW w:w="501" w:type="pct"/>
            <w:shd w:val="clear" w:color="auto" w:fill="auto"/>
          </w:tcPr>
          <w:p w:rsidR="00697BCD" w:rsidRDefault="00697BCD" w:rsidP="00624E11">
            <w:pPr>
              <w:pStyle w:val="Tabletext-right"/>
            </w:pPr>
            <w:r>
              <w:rPr>
                <w:rStyle w:val="Arialarrow"/>
              </w:rPr>
              <w:t>▼</w:t>
            </w:r>
            <w:r>
              <w:t>2.87</w:t>
            </w:r>
          </w:p>
        </w:tc>
        <w:tc>
          <w:tcPr>
            <w:tcW w:w="448" w:type="pct"/>
            <w:shd w:val="clear" w:color="auto" w:fill="auto"/>
          </w:tcPr>
          <w:p w:rsidR="00697BCD" w:rsidRDefault="00697BCD" w:rsidP="00624E11">
            <w:pPr>
              <w:pStyle w:val="Tabletext-right"/>
            </w:pPr>
            <w:r>
              <w:t>5.32</w:t>
            </w:r>
          </w:p>
        </w:tc>
        <w:tc>
          <w:tcPr>
            <w:tcW w:w="501" w:type="pct"/>
            <w:shd w:val="clear" w:color="auto" w:fill="auto"/>
          </w:tcPr>
          <w:p w:rsidR="00697BCD" w:rsidRDefault="00697BCD" w:rsidP="00624E11">
            <w:pPr>
              <w:pStyle w:val="Tabletext-right"/>
            </w:pPr>
            <w:r>
              <w:rPr>
                <w:rStyle w:val="Arialarrow"/>
              </w:rPr>
              <w:t>▼</w:t>
            </w:r>
            <w:r>
              <w:t>1.21</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Total SA</w:t>
            </w:r>
          </w:p>
        </w:tc>
        <w:tc>
          <w:tcPr>
            <w:tcW w:w="434" w:type="pct"/>
            <w:shd w:val="clear" w:color="auto" w:fill="auto"/>
          </w:tcPr>
          <w:p w:rsidR="00697BCD" w:rsidRDefault="00697BCD" w:rsidP="00624E11">
            <w:pPr>
              <w:pStyle w:val="Tabletext-right"/>
            </w:pPr>
            <w:r>
              <w:t>2.29</w:t>
            </w:r>
          </w:p>
        </w:tc>
        <w:tc>
          <w:tcPr>
            <w:tcW w:w="485" w:type="pct"/>
            <w:shd w:val="clear" w:color="auto" w:fill="auto"/>
          </w:tcPr>
          <w:p w:rsidR="00697BCD" w:rsidRDefault="00697BCD" w:rsidP="00624E11">
            <w:pPr>
              <w:pStyle w:val="Tabletext-right"/>
            </w:pPr>
            <w:r>
              <w:rPr>
                <w:rStyle w:val="Arialarrow"/>
              </w:rPr>
              <w:t>▼</w:t>
            </w:r>
            <w:r>
              <w:t>0.10</w:t>
            </w:r>
          </w:p>
        </w:tc>
        <w:tc>
          <w:tcPr>
            <w:tcW w:w="434" w:type="pct"/>
            <w:shd w:val="clear" w:color="auto" w:fill="auto"/>
          </w:tcPr>
          <w:p w:rsidR="00697BCD" w:rsidRDefault="00697BCD" w:rsidP="00624E11">
            <w:pPr>
              <w:pStyle w:val="Tabletext-right"/>
            </w:pPr>
            <w:r>
              <w:t>1.66</w:t>
            </w:r>
          </w:p>
        </w:tc>
        <w:tc>
          <w:tcPr>
            <w:tcW w:w="485" w:type="pct"/>
            <w:shd w:val="clear" w:color="auto" w:fill="auto"/>
          </w:tcPr>
          <w:p w:rsidR="00697BCD" w:rsidRDefault="00697BCD" w:rsidP="00624E11">
            <w:pPr>
              <w:pStyle w:val="Tabletext-right"/>
            </w:pPr>
            <w:r>
              <w:rPr>
                <w:rStyle w:val="Arialarrow"/>
              </w:rPr>
              <w:t>▼</w:t>
            </w:r>
            <w:r>
              <w:t>0.03</w:t>
            </w:r>
          </w:p>
        </w:tc>
        <w:tc>
          <w:tcPr>
            <w:tcW w:w="448" w:type="pct"/>
            <w:shd w:val="clear" w:color="auto" w:fill="auto"/>
          </w:tcPr>
          <w:p w:rsidR="00697BCD" w:rsidRDefault="00697BCD" w:rsidP="00624E11">
            <w:pPr>
              <w:pStyle w:val="Tabletext-right"/>
            </w:pPr>
            <w:r>
              <w:t>4.09</w:t>
            </w:r>
          </w:p>
        </w:tc>
        <w:tc>
          <w:tcPr>
            <w:tcW w:w="501" w:type="pct"/>
            <w:shd w:val="clear" w:color="auto" w:fill="auto"/>
          </w:tcPr>
          <w:p w:rsidR="00697BCD" w:rsidRDefault="00697BCD" w:rsidP="00624E11">
            <w:pPr>
              <w:pStyle w:val="Tabletext-right"/>
            </w:pPr>
            <w:r>
              <w:rPr>
                <w:rStyle w:val="Arialarrow"/>
              </w:rPr>
              <w:t>▼</w:t>
            </w:r>
            <w:r>
              <w:t>0.63</w:t>
            </w:r>
          </w:p>
        </w:tc>
        <w:tc>
          <w:tcPr>
            <w:tcW w:w="448" w:type="pct"/>
            <w:shd w:val="clear" w:color="auto" w:fill="auto"/>
          </w:tcPr>
          <w:p w:rsidR="00697BCD" w:rsidRDefault="00697BCD" w:rsidP="00624E11">
            <w:pPr>
              <w:pStyle w:val="Tabletext-right"/>
            </w:pPr>
            <w:r>
              <w:t>3.16</w:t>
            </w:r>
          </w:p>
        </w:tc>
        <w:tc>
          <w:tcPr>
            <w:tcW w:w="501" w:type="pct"/>
            <w:shd w:val="clear" w:color="auto" w:fill="auto"/>
          </w:tcPr>
          <w:p w:rsidR="00697BCD" w:rsidRDefault="00697BCD" w:rsidP="00624E11">
            <w:pPr>
              <w:pStyle w:val="Tabletext-right"/>
            </w:pPr>
            <w:r>
              <w:rPr>
                <w:rStyle w:val="Arialarrow"/>
              </w:rPr>
              <w:t>▼</w:t>
            </w:r>
            <w:r>
              <w:t>0.28</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ACT</w:t>
            </w: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ActewAGL</w:t>
            </w:r>
            <w:proofErr w:type="spellEnd"/>
          </w:p>
        </w:tc>
        <w:tc>
          <w:tcPr>
            <w:tcW w:w="434" w:type="pct"/>
            <w:shd w:val="clear" w:color="auto" w:fill="auto"/>
          </w:tcPr>
          <w:p w:rsidR="00697BCD" w:rsidRDefault="00697BCD" w:rsidP="00624E11">
            <w:pPr>
              <w:pStyle w:val="Tabletext-right"/>
            </w:pPr>
            <w:r>
              <w:t>0.18</w:t>
            </w:r>
          </w:p>
        </w:tc>
        <w:tc>
          <w:tcPr>
            <w:tcW w:w="485" w:type="pct"/>
            <w:shd w:val="clear" w:color="auto" w:fill="auto"/>
          </w:tcPr>
          <w:p w:rsidR="00697BCD" w:rsidRDefault="00697BCD" w:rsidP="00624E11">
            <w:pPr>
              <w:pStyle w:val="Tabletext-right"/>
            </w:pPr>
            <w:r>
              <w:rPr>
                <w:rStyle w:val="Arialarrow"/>
              </w:rPr>
              <w:t>▲</w:t>
            </w:r>
            <w:r>
              <w:t>0.01</w:t>
            </w:r>
          </w:p>
        </w:tc>
        <w:tc>
          <w:tcPr>
            <w:tcW w:w="434" w:type="pct"/>
            <w:shd w:val="clear" w:color="auto" w:fill="auto"/>
          </w:tcPr>
          <w:p w:rsidR="00697BCD" w:rsidRDefault="00697BCD" w:rsidP="00624E11">
            <w:pPr>
              <w:pStyle w:val="Tabletext-right"/>
            </w:pPr>
            <w:r>
              <w:t>0.09</w:t>
            </w:r>
          </w:p>
        </w:tc>
        <w:tc>
          <w:tcPr>
            <w:tcW w:w="485" w:type="pct"/>
            <w:shd w:val="clear" w:color="auto" w:fill="auto"/>
          </w:tcPr>
          <w:p w:rsidR="00697BCD" w:rsidRDefault="00697BCD" w:rsidP="00624E11">
            <w:pPr>
              <w:pStyle w:val="Tabletext-right"/>
            </w:pPr>
            <w:r>
              <w:rPr>
                <w:rStyle w:val="Arialarrow"/>
              </w:rPr>
              <w:t>▼</w:t>
            </w:r>
            <w:r>
              <w:t>0.07</w:t>
            </w:r>
          </w:p>
        </w:tc>
        <w:tc>
          <w:tcPr>
            <w:tcW w:w="448" w:type="pct"/>
            <w:shd w:val="clear" w:color="auto" w:fill="auto"/>
          </w:tcPr>
          <w:p w:rsidR="00697BCD" w:rsidRDefault="00697BCD" w:rsidP="00624E11">
            <w:pPr>
              <w:pStyle w:val="Tabletext-right"/>
            </w:pPr>
            <w:r>
              <w:t>1.99</w:t>
            </w:r>
          </w:p>
        </w:tc>
        <w:tc>
          <w:tcPr>
            <w:tcW w:w="501" w:type="pct"/>
            <w:shd w:val="clear" w:color="auto" w:fill="auto"/>
          </w:tcPr>
          <w:p w:rsidR="00697BCD" w:rsidRDefault="00697BCD" w:rsidP="00624E11">
            <w:pPr>
              <w:pStyle w:val="Tabletext-right"/>
            </w:pPr>
            <w:r>
              <w:rPr>
                <w:rStyle w:val="Arialarrow"/>
              </w:rPr>
              <w:t>▲</w:t>
            </w:r>
            <w:r>
              <w:t>0.06</w:t>
            </w:r>
          </w:p>
        </w:tc>
        <w:tc>
          <w:tcPr>
            <w:tcW w:w="448" w:type="pct"/>
            <w:shd w:val="clear" w:color="auto" w:fill="auto"/>
          </w:tcPr>
          <w:p w:rsidR="00697BCD" w:rsidRDefault="00697BCD" w:rsidP="00624E11">
            <w:pPr>
              <w:pStyle w:val="Tabletext-right"/>
            </w:pPr>
            <w:r>
              <w:t>0.94</w:t>
            </w:r>
          </w:p>
        </w:tc>
        <w:tc>
          <w:tcPr>
            <w:tcW w:w="501" w:type="pct"/>
            <w:shd w:val="clear" w:color="auto" w:fill="auto"/>
          </w:tcPr>
          <w:p w:rsidR="00697BCD" w:rsidRDefault="00697BCD" w:rsidP="00624E11">
            <w:pPr>
              <w:pStyle w:val="Tabletext-right"/>
            </w:pPr>
            <w:r>
              <w:rPr>
                <w:rStyle w:val="Arialarrow"/>
              </w:rPr>
              <w:t>▼</w:t>
            </w:r>
            <w:r>
              <w:t>0.38</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EnergyAustralia</w:t>
            </w:r>
            <w:proofErr w:type="spellEnd"/>
          </w:p>
        </w:tc>
        <w:tc>
          <w:tcPr>
            <w:tcW w:w="434" w:type="pct"/>
            <w:shd w:val="clear" w:color="auto" w:fill="auto"/>
          </w:tcPr>
          <w:p w:rsidR="00697BCD" w:rsidRDefault="00697BCD" w:rsidP="00624E11">
            <w:pPr>
              <w:pStyle w:val="Tabletext-right"/>
            </w:pPr>
            <w:r>
              <w:t>14.46</w:t>
            </w:r>
          </w:p>
        </w:tc>
        <w:tc>
          <w:tcPr>
            <w:tcW w:w="485" w:type="pct"/>
            <w:shd w:val="clear" w:color="auto" w:fill="auto"/>
          </w:tcPr>
          <w:p w:rsidR="00697BCD" w:rsidRDefault="00697BCD" w:rsidP="00624E11">
            <w:pPr>
              <w:pStyle w:val="Tabletext-right"/>
            </w:pPr>
            <w:r>
              <w:rPr>
                <w:rStyle w:val="Arialarrow"/>
              </w:rPr>
              <w:t>▲</w:t>
            </w:r>
            <w:r>
              <w:t>0.83</w:t>
            </w:r>
          </w:p>
        </w:tc>
        <w:tc>
          <w:tcPr>
            <w:tcW w:w="434" w:type="pct"/>
            <w:shd w:val="clear" w:color="auto" w:fill="auto"/>
          </w:tcPr>
          <w:p w:rsidR="00697BCD" w:rsidRDefault="00697BCD" w:rsidP="00624E11">
            <w:pPr>
              <w:pStyle w:val="Tabletext-right"/>
            </w:pPr>
            <w:r>
              <w:t>13.94</w:t>
            </w:r>
          </w:p>
        </w:tc>
        <w:tc>
          <w:tcPr>
            <w:tcW w:w="485" w:type="pct"/>
            <w:shd w:val="clear" w:color="auto" w:fill="auto"/>
          </w:tcPr>
          <w:p w:rsidR="00697BCD" w:rsidRDefault="00697BCD" w:rsidP="00624E11">
            <w:pPr>
              <w:pStyle w:val="Tabletext-right"/>
            </w:pPr>
            <w:r>
              <w:rPr>
                <w:rStyle w:val="Arialarrow"/>
              </w:rPr>
              <w:t>▲</w:t>
            </w:r>
            <w:r>
              <w:t>0.54</w:t>
            </w:r>
          </w:p>
        </w:tc>
        <w:tc>
          <w:tcPr>
            <w:tcW w:w="448" w:type="pct"/>
            <w:shd w:val="clear" w:color="auto" w:fill="auto"/>
          </w:tcPr>
          <w:p w:rsidR="00697BCD" w:rsidRDefault="00697BCD" w:rsidP="00624E11">
            <w:pPr>
              <w:pStyle w:val="Tabletext-right"/>
            </w:pPr>
            <w:r>
              <w:t>8.86</w:t>
            </w:r>
          </w:p>
        </w:tc>
        <w:tc>
          <w:tcPr>
            <w:tcW w:w="501" w:type="pct"/>
            <w:shd w:val="clear" w:color="auto" w:fill="auto"/>
          </w:tcPr>
          <w:p w:rsidR="00697BCD" w:rsidRDefault="00697BCD" w:rsidP="00624E11">
            <w:pPr>
              <w:pStyle w:val="Tabletext-right"/>
            </w:pPr>
            <w:r>
              <w:rPr>
                <w:rStyle w:val="Arialarrow"/>
              </w:rPr>
              <w:t>▼</w:t>
            </w:r>
            <w:r>
              <w:t>0.16</w:t>
            </w:r>
          </w:p>
        </w:tc>
        <w:tc>
          <w:tcPr>
            <w:tcW w:w="448" w:type="pct"/>
            <w:shd w:val="clear" w:color="auto" w:fill="auto"/>
          </w:tcPr>
          <w:p w:rsidR="00697BCD" w:rsidRDefault="00697BCD" w:rsidP="00624E11">
            <w:pPr>
              <w:pStyle w:val="Tabletext-right"/>
            </w:pPr>
            <w:r>
              <w:t>8.56</w:t>
            </w:r>
          </w:p>
        </w:tc>
        <w:tc>
          <w:tcPr>
            <w:tcW w:w="501" w:type="pct"/>
            <w:shd w:val="clear" w:color="auto" w:fill="auto"/>
          </w:tcPr>
          <w:p w:rsidR="00697BCD" w:rsidRDefault="00697BCD" w:rsidP="00624E11">
            <w:pPr>
              <w:pStyle w:val="Tabletext-right"/>
            </w:pPr>
            <w:r>
              <w:rPr>
                <w:rStyle w:val="Arialarrow"/>
              </w:rPr>
              <w:t>▲</w:t>
            </w:r>
            <w:r>
              <w:t>1.99</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Origin</w:t>
            </w:r>
          </w:p>
        </w:tc>
        <w:tc>
          <w:tcPr>
            <w:tcW w:w="434" w:type="pct"/>
            <w:shd w:val="clear" w:color="auto" w:fill="auto"/>
          </w:tcPr>
          <w:p w:rsidR="00697BCD" w:rsidRDefault="00697BCD" w:rsidP="00624E11">
            <w:pPr>
              <w:pStyle w:val="Tabletext-right"/>
            </w:pPr>
            <w:r>
              <w:t>0.48</w:t>
            </w:r>
          </w:p>
        </w:tc>
        <w:tc>
          <w:tcPr>
            <w:tcW w:w="485" w:type="pct"/>
            <w:shd w:val="clear" w:color="auto" w:fill="auto"/>
          </w:tcPr>
          <w:p w:rsidR="00697BCD" w:rsidRDefault="00697BCD" w:rsidP="00624E11">
            <w:pPr>
              <w:pStyle w:val="Tabletext-right"/>
            </w:pPr>
            <w:r>
              <w:rPr>
                <w:rStyle w:val="Arialarrow"/>
              </w:rPr>
              <w:t>▲</w:t>
            </w:r>
            <w:r>
              <w:t>0.43</w:t>
            </w:r>
          </w:p>
        </w:tc>
        <w:tc>
          <w:tcPr>
            <w:tcW w:w="434" w:type="pct"/>
            <w:shd w:val="clear" w:color="auto" w:fill="auto"/>
          </w:tcPr>
          <w:p w:rsidR="00697BCD" w:rsidRDefault="00697BCD" w:rsidP="00624E11">
            <w:pPr>
              <w:pStyle w:val="Tabletext-right"/>
            </w:pPr>
            <w:r>
              <w:t>0.73</w:t>
            </w:r>
          </w:p>
        </w:tc>
        <w:tc>
          <w:tcPr>
            <w:tcW w:w="485" w:type="pct"/>
            <w:shd w:val="clear" w:color="auto" w:fill="auto"/>
          </w:tcPr>
          <w:p w:rsidR="00697BCD" w:rsidRDefault="00697BCD" w:rsidP="00624E11">
            <w:pPr>
              <w:pStyle w:val="Tabletext-right"/>
            </w:pPr>
            <w:r>
              <w:rPr>
                <w:rStyle w:val="Arialarrow"/>
              </w:rPr>
              <w:t>▲</w:t>
            </w:r>
            <w:r>
              <w:t>0.23</w:t>
            </w:r>
          </w:p>
        </w:tc>
        <w:tc>
          <w:tcPr>
            <w:tcW w:w="448" w:type="pct"/>
            <w:shd w:val="clear" w:color="auto" w:fill="auto"/>
          </w:tcPr>
          <w:p w:rsidR="00697BCD" w:rsidRDefault="00697BCD" w:rsidP="00624E11">
            <w:pPr>
              <w:pStyle w:val="Tabletext-right"/>
            </w:pPr>
            <w:r>
              <w:t>0.72</w:t>
            </w:r>
          </w:p>
        </w:tc>
        <w:tc>
          <w:tcPr>
            <w:tcW w:w="501" w:type="pct"/>
            <w:shd w:val="clear" w:color="auto" w:fill="auto"/>
          </w:tcPr>
          <w:p w:rsidR="00697BCD" w:rsidRDefault="00697BCD" w:rsidP="00624E11">
            <w:pPr>
              <w:pStyle w:val="Tabletext-right"/>
            </w:pPr>
            <w:r>
              <w:rPr>
                <w:rStyle w:val="Arialarrow"/>
              </w:rPr>
              <w:t>▲</w:t>
            </w:r>
            <w:r>
              <w:t>0.65</w:t>
            </w:r>
          </w:p>
        </w:tc>
        <w:tc>
          <w:tcPr>
            <w:tcW w:w="448" w:type="pct"/>
            <w:shd w:val="clear" w:color="auto" w:fill="auto"/>
          </w:tcPr>
          <w:p w:rsidR="00697BCD" w:rsidRDefault="00697BCD" w:rsidP="00624E11">
            <w:pPr>
              <w:pStyle w:val="Tabletext-right"/>
            </w:pPr>
            <w:r>
              <w:t>1.02</w:t>
            </w:r>
          </w:p>
        </w:tc>
        <w:tc>
          <w:tcPr>
            <w:tcW w:w="501" w:type="pct"/>
            <w:shd w:val="clear" w:color="auto" w:fill="auto"/>
          </w:tcPr>
          <w:p w:rsidR="00697BCD" w:rsidRDefault="00697BCD" w:rsidP="00624E11">
            <w:pPr>
              <w:pStyle w:val="Tabletext-right"/>
            </w:pPr>
            <w:r>
              <w:rPr>
                <w:rStyle w:val="Arialarrow"/>
              </w:rPr>
              <w:t>▲</w:t>
            </w:r>
            <w:r>
              <w:t>0.97</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Total ACT</w:t>
            </w:r>
          </w:p>
        </w:tc>
        <w:tc>
          <w:tcPr>
            <w:tcW w:w="434" w:type="pct"/>
            <w:shd w:val="clear" w:color="auto" w:fill="auto"/>
          </w:tcPr>
          <w:p w:rsidR="00697BCD" w:rsidRDefault="00697BCD" w:rsidP="00624E11">
            <w:pPr>
              <w:pStyle w:val="Tabletext-right"/>
            </w:pPr>
            <w:r>
              <w:t>0.66</w:t>
            </w:r>
          </w:p>
        </w:tc>
        <w:tc>
          <w:tcPr>
            <w:tcW w:w="485" w:type="pct"/>
            <w:shd w:val="clear" w:color="auto" w:fill="auto"/>
          </w:tcPr>
          <w:p w:rsidR="00697BCD" w:rsidRDefault="00697BCD" w:rsidP="00624E11">
            <w:pPr>
              <w:pStyle w:val="Tabletext-right"/>
            </w:pPr>
            <w:r>
              <w:rPr>
                <w:rStyle w:val="Arialarrow"/>
              </w:rPr>
              <w:t>▲</w:t>
            </w:r>
            <w:r>
              <w:t>0.04</w:t>
            </w:r>
          </w:p>
        </w:tc>
        <w:tc>
          <w:tcPr>
            <w:tcW w:w="434" w:type="pct"/>
            <w:shd w:val="clear" w:color="auto" w:fill="auto"/>
          </w:tcPr>
          <w:p w:rsidR="00697BCD" w:rsidRDefault="00697BCD" w:rsidP="00624E11">
            <w:pPr>
              <w:pStyle w:val="Tabletext-right"/>
            </w:pPr>
            <w:r>
              <w:t>0.60</w:t>
            </w: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Default="00697BCD" w:rsidP="00624E11">
            <w:pPr>
              <w:pStyle w:val="Tabletext-right"/>
            </w:pPr>
            <w:r>
              <w:t>2.17</w:t>
            </w:r>
          </w:p>
        </w:tc>
        <w:tc>
          <w:tcPr>
            <w:tcW w:w="501" w:type="pct"/>
            <w:shd w:val="clear" w:color="auto" w:fill="auto"/>
          </w:tcPr>
          <w:p w:rsidR="00697BCD" w:rsidRDefault="00697BCD" w:rsidP="00624E11">
            <w:pPr>
              <w:pStyle w:val="Tabletext-right"/>
            </w:pPr>
            <w:r>
              <w:rPr>
                <w:rStyle w:val="Arialarrow"/>
              </w:rPr>
              <w:t>▲</w:t>
            </w:r>
            <w:r>
              <w:t>0.03</w:t>
            </w:r>
          </w:p>
        </w:tc>
        <w:tc>
          <w:tcPr>
            <w:tcW w:w="448" w:type="pct"/>
            <w:shd w:val="clear" w:color="auto" w:fill="auto"/>
          </w:tcPr>
          <w:p w:rsidR="00697BCD" w:rsidRDefault="00697BCD" w:rsidP="00624E11">
            <w:pPr>
              <w:pStyle w:val="Tabletext-right"/>
            </w:pPr>
            <w:r>
              <w:t>1.21</w:t>
            </w:r>
          </w:p>
        </w:tc>
        <w:tc>
          <w:tcPr>
            <w:tcW w:w="501" w:type="pct"/>
            <w:shd w:val="clear" w:color="auto" w:fill="auto"/>
          </w:tcPr>
          <w:p w:rsidR="00697BCD" w:rsidRDefault="00697BCD" w:rsidP="00624E11">
            <w:pPr>
              <w:pStyle w:val="Tabletext-right"/>
            </w:pPr>
            <w:r>
              <w:rPr>
                <w:rStyle w:val="Arialarrow"/>
              </w:rPr>
              <w:t>▼</w:t>
            </w:r>
            <w:r>
              <w:t>0.28</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Tasmania</w:t>
            </w: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Aurora</w:t>
            </w:r>
          </w:p>
        </w:tc>
        <w:tc>
          <w:tcPr>
            <w:tcW w:w="434" w:type="pct"/>
            <w:shd w:val="clear" w:color="auto" w:fill="auto"/>
          </w:tcPr>
          <w:p w:rsidR="00697BCD" w:rsidRDefault="00697BCD" w:rsidP="00624E11">
            <w:pPr>
              <w:pStyle w:val="Tabletext-right"/>
            </w:pPr>
            <w:r>
              <w:t>0.88</w:t>
            </w:r>
          </w:p>
        </w:tc>
        <w:tc>
          <w:tcPr>
            <w:tcW w:w="485" w:type="pct"/>
            <w:shd w:val="clear" w:color="auto" w:fill="auto"/>
          </w:tcPr>
          <w:p w:rsidR="00697BCD" w:rsidRDefault="00697BCD" w:rsidP="00624E11">
            <w:pPr>
              <w:pStyle w:val="Tabletext-right"/>
            </w:pPr>
            <w:r>
              <w:rPr>
                <w:rStyle w:val="Arialarrow"/>
              </w:rPr>
              <w:t>▼</w:t>
            </w:r>
            <w:r>
              <w:t>0.13</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1.45</w:t>
            </w:r>
          </w:p>
        </w:tc>
        <w:tc>
          <w:tcPr>
            <w:tcW w:w="501" w:type="pct"/>
            <w:shd w:val="clear" w:color="auto" w:fill="auto"/>
          </w:tcPr>
          <w:p w:rsidR="00697BCD" w:rsidRDefault="00697BCD" w:rsidP="00624E11">
            <w:pPr>
              <w:pStyle w:val="Tabletext-right"/>
            </w:pPr>
            <w:r>
              <w:rPr>
                <w:rStyle w:val="Arialarrow"/>
              </w:rPr>
              <w:t>▼</w:t>
            </w:r>
            <w:r>
              <w:t>0.15</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NSW</w:t>
            </w: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3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48"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0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ActewAGL</w:t>
            </w:r>
            <w:proofErr w:type="spellEnd"/>
          </w:p>
        </w:tc>
        <w:tc>
          <w:tcPr>
            <w:tcW w:w="434" w:type="pct"/>
            <w:shd w:val="clear" w:color="auto" w:fill="auto"/>
          </w:tcPr>
          <w:p w:rsidR="00697BCD" w:rsidRDefault="00697BCD" w:rsidP="00624E11">
            <w:pPr>
              <w:pStyle w:val="Tabletext-right"/>
            </w:pPr>
            <w:r>
              <w:t>0.50</w:t>
            </w:r>
          </w:p>
        </w:tc>
        <w:tc>
          <w:tcPr>
            <w:tcW w:w="485" w:type="pct"/>
            <w:shd w:val="clear" w:color="auto" w:fill="auto"/>
          </w:tcPr>
          <w:p w:rsidR="00697BCD" w:rsidRDefault="00697BCD" w:rsidP="00624E11">
            <w:pPr>
              <w:pStyle w:val="Tabletext-right"/>
            </w:pPr>
            <w:r>
              <w:rPr>
                <w:rStyle w:val="Arialarrow"/>
              </w:rPr>
              <w:t>▼</w:t>
            </w:r>
            <w:r>
              <w:t>0.02</w:t>
            </w:r>
          </w:p>
        </w:tc>
        <w:tc>
          <w:tcPr>
            <w:tcW w:w="434" w:type="pct"/>
            <w:shd w:val="clear" w:color="auto" w:fill="auto"/>
          </w:tcPr>
          <w:p w:rsidR="00697BCD" w:rsidRDefault="00697BCD" w:rsidP="00624E11">
            <w:pPr>
              <w:pStyle w:val="Tabletext-right"/>
            </w:pPr>
            <w:r>
              <w:t>0.15</w:t>
            </w:r>
          </w:p>
        </w:tc>
        <w:tc>
          <w:tcPr>
            <w:tcW w:w="485" w:type="pct"/>
            <w:shd w:val="clear" w:color="auto" w:fill="auto"/>
          </w:tcPr>
          <w:p w:rsidR="00697BCD" w:rsidRDefault="00697BCD" w:rsidP="00624E11">
            <w:pPr>
              <w:pStyle w:val="Tabletext-right"/>
            </w:pPr>
            <w:r>
              <w:rPr>
                <w:rStyle w:val="Arialarrow"/>
              </w:rPr>
              <w:t>▼</w:t>
            </w:r>
            <w:r>
              <w:t>0.06</w:t>
            </w:r>
          </w:p>
        </w:tc>
        <w:tc>
          <w:tcPr>
            <w:tcW w:w="448" w:type="pct"/>
            <w:shd w:val="clear" w:color="auto" w:fill="auto"/>
          </w:tcPr>
          <w:p w:rsidR="00697BCD" w:rsidRDefault="00697BCD" w:rsidP="00624E11">
            <w:pPr>
              <w:pStyle w:val="Tabletext-right"/>
            </w:pPr>
            <w:r>
              <w:t>4.61</w:t>
            </w:r>
          </w:p>
        </w:tc>
        <w:tc>
          <w:tcPr>
            <w:tcW w:w="501" w:type="pct"/>
            <w:shd w:val="clear" w:color="auto" w:fill="auto"/>
          </w:tcPr>
          <w:p w:rsidR="00697BCD" w:rsidRDefault="00697BCD" w:rsidP="00624E11">
            <w:pPr>
              <w:pStyle w:val="Tabletext-right"/>
            </w:pPr>
            <w:r>
              <w:rPr>
                <w:rStyle w:val="Arialarrow"/>
              </w:rPr>
              <w:t>▼</w:t>
            </w:r>
            <w:r>
              <w:t>0.42</w:t>
            </w:r>
          </w:p>
        </w:tc>
        <w:tc>
          <w:tcPr>
            <w:tcW w:w="448" w:type="pct"/>
            <w:shd w:val="clear" w:color="auto" w:fill="auto"/>
          </w:tcPr>
          <w:p w:rsidR="00697BCD" w:rsidRDefault="00697BCD" w:rsidP="00624E11">
            <w:pPr>
              <w:pStyle w:val="Tabletext-right"/>
            </w:pPr>
            <w:r>
              <w:t>1.29</w:t>
            </w:r>
          </w:p>
        </w:tc>
        <w:tc>
          <w:tcPr>
            <w:tcW w:w="501" w:type="pct"/>
            <w:shd w:val="clear" w:color="auto" w:fill="auto"/>
          </w:tcPr>
          <w:p w:rsidR="00697BCD" w:rsidRDefault="00697BCD" w:rsidP="00624E11">
            <w:pPr>
              <w:pStyle w:val="Tabletext-right"/>
            </w:pPr>
            <w:r>
              <w:rPr>
                <w:rStyle w:val="Arialarrow"/>
              </w:rPr>
              <w:t>▼</w:t>
            </w:r>
            <w:r>
              <w:t>0.42</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AGL</w:t>
            </w:r>
          </w:p>
        </w:tc>
        <w:tc>
          <w:tcPr>
            <w:tcW w:w="434" w:type="pct"/>
            <w:shd w:val="clear" w:color="auto" w:fill="auto"/>
          </w:tcPr>
          <w:p w:rsidR="00697BCD" w:rsidRDefault="00697BCD" w:rsidP="00624E11">
            <w:pPr>
              <w:pStyle w:val="Tabletext-right"/>
            </w:pPr>
            <w:r>
              <w:t>0.69</w:t>
            </w:r>
          </w:p>
        </w:tc>
        <w:tc>
          <w:tcPr>
            <w:tcW w:w="485" w:type="pct"/>
            <w:shd w:val="clear" w:color="auto" w:fill="auto"/>
          </w:tcPr>
          <w:p w:rsidR="00697BCD" w:rsidRDefault="00697BCD" w:rsidP="00624E11">
            <w:pPr>
              <w:pStyle w:val="Tabletext-right"/>
            </w:pPr>
            <w:r>
              <w:rPr>
                <w:rStyle w:val="Arialarrow"/>
              </w:rPr>
              <w:t>▲</w:t>
            </w:r>
            <w:r>
              <w:t>0.27</w:t>
            </w:r>
          </w:p>
        </w:tc>
        <w:tc>
          <w:tcPr>
            <w:tcW w:w="434" w:type="pct"/>
            <w:shd w:val="clear" w:color="auto" w:fill="auto"/>
          </w:tcPr>
          <w:p w:rsidR="00697BCD" w:rsidRDefault="00697BCD" w:rsidP="00624E11">
            <w:pPr>
              <w:pStyle w:val="Tabletext-right"/>
            </w:pPr>
            <w:r>
              <w:t>0.20</w:t>
            </w:r>
          </w:p>
        </w:tc>
        <w:tc>
          <w:tcPr>
            <w:tcW w:w="485" w:type="pct"/>
            <w:shd w:val="clear" w:color="auto" w:fill="auto"/>
          </w:tcPr>
          <w:p w:rsidR="00697BCD" w:rsidRDefault="00697BCD" w:rsidP="00624E11">
            <w:pPr>
              <w:pStyle w:val="Tabletext-right"/>
            </w:pPr>
            <w:r>
              <w:rPr>
                <w:rStyle w:val="Arialarrow"/>
              </w:rPr>
              <w:t>▲</w:t>
            </w:r>
            <w:r>
              <w:t>0.02</w:t>
            </w:r>
          </w:p>
        </w:tc>
        <w:tc>
          <w:tcPr>
            <w:tcW w:w="448" w:type="pct"/>
            <w:shd w:val="clear" w:color="auto" w:fill="auto"/>
          </w:tcPr>
          <w:p w:rsidR="00697BCD" w:rsidRDefault="00697BCD" w:rsidP="00624E11">
            <w:pPr>
              <w:pStyle w:val="Tabletext-right"/>
            </w:pPr>
            <w:r>
              <w:t>1.98</w:t>
            </w:r>
          </w:p>
        </w:tc>
        <w:tc>
          <w:tcPr>
            <w:tcW w:w="501" w:type="pct"/>
            <w:shd w:val="clear" w:color="auto" w:fill="auto"/>
          </w:tcPr>
          <w:p w:rsidR="00697BCD" w:rsidRDefault="00697BCD" w:rsidP="00624E11">
            <w:pPr>
              <w:pStyle w:val="Tabletext-right"/>
            </w:pPr>
            <w:r>
              <w:rPr>
                <w:rStyle w:val="Arialarrow"/>
              </w:rPr>
              <w:t>▼</w:t>
            </w:r>
            <w:r>
              <w:t>0.41</w:t>
            </w:r>
          </w:p>
        </w:tc>
        <w:tc>
          <w:tcPr>
            <w:tcW w:w="448" w:type="pct"/>
            <w:shd w:val="clear" w:color="auto" w:fill="auto"/>
          </w:tcPr>
          <w:p w:rsidR="00697BCD" w:rsidRDefault="00697BCD" w:rsidP="00624E11">
            <w:pPr>
              <w:pStyle w:val="Tabletext-right"/>
            </w:pPr>
            <w:r>
              <w:t>0.78</w:t>
            </w:r>
          </w:p>
        </w:tc>
        <w:tc>
          <w:tcPr>
            <w:tcW w:w="501" w:type="pct"/>
            <w:shd w:val="clear" w:color="auto" w:fill="auto"/>
          </w:tcPr>
          <w:p w:rsidR="00697BCD" w:rsidRDefault="00697BCD" w:rsidP="00624E11">
            <w:pPr>
              <w:pStyle w:val="Tabletext-right"/>
            </w:pPr>
            <w:r>
              <w:rPr>
                <w:rStyle w:val="Arialarrow"/>
              </w:rPr>
              <w:t>▼</w:t>
            </w:r>
            <w:r>
              <w:t>0.08</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Click Energy</w:t>
            </w:r>
          </w:p>
        </w:tc>
        <w:tc>
          <w:tcPr>
            <w:tcW w:w="434" w:type="pct"/>
            <w:shd w:val="clear" w:color="auto" w:fill="auto"/>
          </w:tcPr>
          <w:p w:rsidR="00697BCD" w:rsidRDefault="00697BCD" w:rsidP="00624E11">
            <w:pPr>
              <w:pStyle w:val="Tabletext-right"/>
            </w:pPr>
            <w:r>
              <w:t>0.44</w:t>
            </w:r>
          </w:p>
        </w:tc>
        <w:tc>
          <w:tcPr>
            <w:tcW w:w="485" w:type="pct"/>
            <w:shd w:val="clear" w:color="auto" w:fill="auto"/>
          </w:tcPr>
          <w:p w:rsidR="00697BCD" w:rsidRDefault="00697BCD" w:rsidP="00624E11">
            <w:pPr>
              <w:pStyle w:val="Tabletext-right"/>
            </w:pPr>
            <w:r>
              <w:rPr>
                <w:rStyle w:val="Arialarrow"/>
              </w:rPr>
              <w:t>▲</w:t>
            </w:r>
            <w:r>
              <w:t>0.08</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1.09</w:t>
            </w:r>
          </w:p>
        </w:tc>
        <w:tc>
          <w:tcPr>
            <w:tcW w:w="501" w:type="pct"/>
            <w:shd w:val="clear" w:color="auto" w:fill="auto"/>
          </w:tcPr>
          <w:p w:rsidR="00697BCD" w:rsidRDefault="00697BCD" w:rsidP="00624E11">
            <w:pPr>
              <w:pStyle w:val="Tabletext-right"/>
            </w:pPr>
            <w:r>
              <w:rPr>
                <w:rStyle w:val="Arialarrow"/>
              </w:rPr>
              <w:t>▲</w:t>
            </w:r>
            <w:r>
              <w:t>0.01</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CovaU</w:t>
            </w:r>
            <w:proofErr w:type="spellEnd"/>
          </w:p>
        </w:tc>
        <w:tc>
          <w:tcPr>
            <w:tcW w:w="434" w:type="pct"/>
            <w:shd w:val="clear" w:color="auto" w:fill="auto"/>
          </w:tcPr>
          <w:p w:rsidR="00697BCD" w:rsidRDefault="00697BCD" w:rsidP="00624E11">
            <w:pPr>
              <w:pStyle w:val="Tabletext-right"/>
            </w:pPr>
            <w:r>
              <w:t>1.56</w:t>
            </w:r>
          </w:p>
        </w:tc>
        <w:tc>
          <w:tcPr>
            <w:tcW w:w="485" w:type="pct"/>
            <w:shd w:val="clear" w:color="auto" w:fill="auto"/>
          </w:tcPr>
          <w:p w:rsidR="00697BCD" w:rsidRDefault="00697BCD" w:rsidP="00624E11">
            <w:pPr>
              <w:pStyle w:val="Tabletext-right"/>
            </w:pPr>
            <w:r>
              <w:rPr>
                <w:rStyle w:val="Arialarrow"/>
              </w:rPr>
              <w:t>▲</w:t>
            </w:r>
            <w:r>
              <w:t>0.42</w:t>
            </w:r>
          </w:p>
        </w:tc>
        <w:tc>
          <w:tcPr>
            <w:tcW w:w="434" w:type="pct"/>
            <w:shd w:val="clear" w:color="auto" w:fill="auto"/>
          </w:tcPr>
          <w:p w:rsidR="00697BCD" w:rsidRDefault="00697BCD" w:rsidP="00624E11">
            <w:pPr>
              <w:pStyle w:val="Tabletext-right"/>
            </w:pPr>
            <w:r>
              <w:t>0.74</w:t>
            </w:r>
          </w:p>
        </w:tc>
        <w:tc>
          <w:tcPr>
            <w:tcW w:w="485" w:type="pct"/>
            <w:shd w:val="clear" w:color="auto" w:fill="auto"/>
          </w:tcPr>
          <w:p w:rsidR="00697BCD" w:rsidRDefault="00697BCD" w:rsidP="00624E11">
            <w:pPr>
              <w:pStyle w:val="Tabletext-right"/>
            </w:pPr>
            <w:r>
              <w:rPr>
                <w:rStyle w:val="Arialarrow"/>
              </w:rPr>
              <w:t>▲</w:t>
            </w:r>
            <w:r>
              <w:t>0.25</w:t>
            </w:r>
          </w:p>
        </w:tc>
        <w:tc>
          <w:tcPr>
            <w:tcW w:w="448" w:type="pct"/>
            <w:shd w:val="clear" w:color="auto" w:fill="auto"/>
          </w:tcPr>
          <w:p w:rsidR="00697BCD" w:rsidRDefault="00697BCD" w:rsidP="00624E11">
            <w:pPr>
              <w:pStyle w:val="Tabletext-right"/>
            </w:pPr>
            <w:r>
              <w:t>2.29</w:t>
            </w:r>
          </w:p>
        </w:tc>
        <w:tc>
          <w:tcPr>
            <w:tcW w:w="501" w:type="pct"/>
            <w:shd w:val="clear" w:color="auto" w:fill="auto"/>
          </w:tcPr>
          <w:p w:rsidR="00697BCD" w:rsidRDefault="00697BCD" w:rsidP="00624E11">
            <w:pPr>
              <w:pStyle w:val="Tabletext-right"/>
            </w:pPr>
            <w:r>
              <w:rPr>
                <w:rStyle w:val="Arialarrow"/>
              </w:rPr>
              <w:t>▲</w:t>
            </w:r>
            <w:r>
              <w:t>1.91</w:t>
            </w:r>
          </w:p>
        </w:tc>
        <w:tc>
          <w:tcPr>
            <w:tcW w:w="448" w:type="pct"/>
            <w:shd w:val="clear" w:color="auto" w:fill="auto"/>
          </w:tcPr>
          <w:p w:rsidR="00697BCD" w:rsidRDefault="00697BCD" w:rsidP="00624E11">
            <w:pPr>
              <w:pStyle w:val="Tabletext-right"/>
            </w:pPr>
            <w:r>
              <w:t>1.17</w:t>
            </w:r>
          </w:p>
        </w:tc>
        <w:tc>
          <w:tcPr>
            <w:tcW w:w="501" w:type="pct"/>
            <w:shd w:val="clear" w:color="auto" w:fill="auto"/>
          </w:tcPr>
          <w:p w:rsidR="00697BCD" w:rsidRDefault="00697BCD" w:rsidP="00624E11">
            <w:pPr>
              <w:pStyle w:val="Tabletext-right"/>
            </w:pPr>
            <w:r>
              <w:rPr>
                <w:rStyle w:val="Arialarrow"/>
              </w:rPr>
              <w:t>▲</w:t>
            </w:r>
            <w:r>
              <w:t>1.17</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Diamond Energy</w:t>
            </w:r>
          </w:p>
        </w:tc>
        <w:tc>
          <w:tcPr>
            <w:tcW w:w="434" w:type="pct"/>
            <w:shd w:val="clear" w:color="auto" w:fill="auto"/>
          </w:tcPr>
          <w:p w:rsidR="00697BCD" w:rsidRDefault="00697BCD" w:rsidP="00624E11">
            <w:pPr>
              <w:pStyle w:val="Tabletext-right"/>
            </w:pPr>
            <w:r>
              <w:t>2.03</w:t>
            </w:r>
          </w:p>
        </w:tc>
        <w:tc>
          <w:tcPr>
            <w:tcW w:w="485" w:type="pct"/>
            <w:shd w:val="clear" w:color="auto" w:fill="auto"/>
          </w:tcPr>
          <w:p w:rsidR="00697BCD" w:rsidRDefault="00697BCD" w:rsidP="00624E11">
            <w:pPr>
              <w:pStyle w:val="Tabletext-right"/>
            </w:pPr>
            <w:r>
              <w:rPr>
                <w:rStyle w:val="Arialarrow"/>
              </w:rPr>
              <w:t>▲</w:t>
            </w:r>
            <w:r>
              <w:t>0.09</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EnergyAustralia</w:t>
            </w:r>
            <w:proofErr w:type="spellEnd"/>
          </w:p>
        </w:tc>
        <w:tc>
          <w:tcPr>
            <w:tcW w:w="434" w:type="pct"/>
            <w:shd w:val="clear" w:color="auto" w:fill="auto"/>
          </w:tcPr>
          <w:p w:rsidR="00697BCD" w:rsidRDefault="00697BCD" w:rsidP="00624E11">
            <w:pPr>
              <w:pStyle w:val="Tabletext-right"/>
            </w:pPr>
            <w:r>
              <w:t>6.35</w:t>
            </w:r>
          </w:p>
        </w:tc>
        <w:tc>
          <w:tcPr>
            <w:tcW w:w="485" w:type="pct"/>
            <w:shd w:val="clear" w:color="auto" w:fill="auto"/>
          </w:tcPr>
          <w:p w:rsidR="00697BCD" w:rsidRDefault="00697BCD" w:rsidP="00624E11">
            <w:pPr>
              <w:pStyle w:val="Tabletext-right"/>
            </w:pPr>
            <w:r>
              <w:rPr>
                <w:rStyle w:val="Arialarrow"/>
              </w:rPr>
              <w:t>▼</w:t>
            </w:r>
            <w:r>
              <w:t>0.16</w:t>
            </w:r>
          </w:p>
        </w:tc>
        <w:tc>
          <w:tcPr>
            <w:tcW w:w="434" w:type="pct"/>
            <w:shd w:val="clear" w:color="auto" w:fill="auto"/>
          </w:tcPr>
          <w:p w:rsidR="00697BCD" w:rsidRDefault="00697BCD" w:rsidP="00624E11">
            <w:pPr>
              <w:pStyle w:val="Tabletext-right"/>
            </w:pPr>
            <w:r>
              <w:t>4.96</w:t>
            </w:r>
          </w:p>
        </w:tc>
        <w:tc>
          <w:tcPr>
            <w:tcW w:w="485" w:type="pct"/>
            <w:shd w:val="clear" w:color="auto" w:fill="auto"/>
          </w:tcPr>
          <w:p w:rsidR="00697BCD" w:rsidRDefault="00697BCD" w:rsidP="00624E11">
            <w:pPr>
              <w:pStyle w:val="Tabletext-right"/>
            </w:pPr>
            <w:r>
              <w:rPr>
                <w:rStyle w:val="Arialarrow"/>
              </w:rPr>
              <w:t>▲</w:t>
            </w:r>
            <w:r>
              <w:t>0.08</w:t>
            </w:r>
          </w:p>
        </w:tc>
        <w:tc>
          <w:tcPr>
            <w:tcW w:w="448" w:type="pct"/>
            <w:shd w:val="clear" w:color="auto" w:fill="auto"/>
          </w:tcPr>
          <w:p w:rsidR="00697BCD" w:rsidRDefault="00697BCD" w:rsidP="00624E11">
            <w:pPr>
              <w:pStyle w:val="Tabletext-right"/>
            </w:pPr>
            <w:r>
              <w:t>8.46</w:t>
            </w:r>
          </w:p>
        </w:tc>
        <w:tc>
          <w:tcPr>
            <w:tcW w:w="501" w:type="pct"/>
            <w:shd w:val="clear" w:color="auto" w:fill="auto"/>
          </w:tcPr>
          <w:p w:rsidR="00697BCD" w:rsidRDefault="00697BCD" w:rsidP="00624E11">
            <w:pPr>
              <w:pStyle w:val="Tabletext-right"/>
            </w:pPr>
            <w:r>
              <w:rPr>
                <w:rStyle w:val="Arialarrow"/>
              </w:rPr>
              <w:t>▲</w:t>
            </w:r>
            <w:r>
              <w:t>2.10</w:t>
            </w:r>
          </w:p>
        </w:tc>
        <w:tc>
          <w:tcPr>
            <w:tcW w:w="448" w:type="pct"/>
            <w:shd w:val="clear" w:color="auto" w:fill="auto"/>
          </w:tcPr>
          <w:p w:rsidR="00697BCD" w:rsidRDefault="00697BCD" w:rsidP="00624E11">
            <w:pPr>
              <w:pStyle w:val="Tabletext-right"/>
            </w:pPr>
            <w:r>
              <w:t>6.51</w:t>
            </w:r>
          </w:p>
        </w:tc>
        <w:tc>
          <w:tcPr>
            <w:tcW w:w="501" w:type="pct"/>
            <w:shd w:val="clear" w:color="auto" w:fill="auto"/>
          </w:tcPr>
          <w:p w:rsidR="00697BCD" w:rsidRDefault="00697BCD" w:rsidP="00624E11">
            <w:pPr>
              <w:pStyle w:val="Tabletext-right"/>
            </w:pPr>
            <w:r>
              <w:rPr>
                <w:rStyle w:val="Arialarrow"/>
              </w:rPr>
              <w:t>▲</w:t>
            </w:r>
            <w:r>
              <w:t>2.16</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434" w:type="pct"/>
            <w:shd w:val="clear" w:color="auto" w:fill="auto"/>
          </w:tcPr>
          <w:p w:rsidR="00697BCD" w:rsidRDefault="00697BCD" w:rsidP="00624E11">
            <w:pPr>
              <w:pStyle w:val="Tabletext-right"/>
            </w:pPr>
            <w:r>
              <w:t>4.32</w:t>
            </w:r>
          </w:p>
        </w:tc>
        <w:tc>
          <w:tcPr>
            <w:tcW w:w="485" w:type="pct"/>
            <w:shd w:val="clear" w:color="auto" w:fill="auto"/>
          </w:tcPr>
          <w:p w:rsidR="00697BCD" w:rsidRDefault="00697BCD" w:rsidP="00624E11">
            <w:pPr>
              <w:pStyle w:val="Tabletext-right"/>
            </w:pPr>
            <w:r>
              <w:rPr>
                <w:rStyle w:val="Arialarrow"/>
              </w:rPr>
              <w:t>▲</w:t>
            </w:r>
            <w:r>
              <w:t>0.75</w:t>
            </w:r>
          </w:p>
        </w:tc>
        <w:tc>
          <w:tcPr>
            <w:tcW w:w="434" w:type="pct"/>
            <w:shd w:val="clear" w:color="auto" w:fill="auto"/>
          </w:tcPr>
          <w:p w:rsidR="00697BCD" w:rsidRDefault="00697BCD" w:rsidP="00624E11">
            <w:pPr>
              <w:pStyle w:val="Tabletext-right"/>
            </w:pPr>
            <w:r>
              <w:t>3.40</w:t>
            </w:r>
          </w:p>
        </w:tc>
        <w:tc>
          <w:tcPr>
            <w:tcW w:w="485" w:type="pct"/>
            <w:shd w:val="clear" w:color="auto" w:fill="auto"/>
          </w:tcPr>
          <w:p w:rsidR="00697BCD" w:rsidRDefault="00697BCD" w:rsidP="00624E11">
            <w:pPr>
              <w:pStyle w:val="Tabletext-right"/>
            </w:pPr>
            <w:r>
              <w:rPr>
                <w:rStyle w:val="Arialarrow"/>
              </w:rPr>
              <w:t>▲</w:t>
            </w:r>
            <w:r>
              <w:t>0.48</w:t>
            </w:r>
          </w:p>
        </w:tc>
        <w:tc>
          <w:tcPr>
            <w:tcW w:w="448" w:type="pct"/>
            <w:shd w:val="clear" w:color="auto" w:fill="auto"/>
          </w:tcPr>
          <w:p w:rsidR="00697BCD" w:rsidRDefault="00697BCD" w:rsidP="00624E11">
            <w:pPr>
              <w:pStyle w:val="Tabletext-right"/>
            </w:pPr>
            <w:r>
              <w:t>1.14</w:t>
            </w:r>
          </w:p>
        </w:tc>
        <w:tc>
          <w:tcPr>
            <w:tcW w:w="501" w:type="pct"/>
            <w:shd w:val="clear" w:color="auto" w:fill="auto"/>
          </w:tcPr>
          <w:p w:rsidR="00697BCD" w:rsidRDefault="00697BCD" w:rsidP="00624E11">
            <w:pPr>
              <w:pStyle w:val="Tabletext-right"/>
            </w:pPr>
            <w:r>
              <w:rPr>
                <w:rStyle w:val="Arialarrow"/>
              </w:rPr>
              <w:t>▲</w:t>
            </w:r>
            <w:r>
              <w:t>0.10</w:t>
            </w:r>
          </w:p>
        </w:tc>
        <w:tc>
          <w:tcPr>
            <w:tcW w:w="448" w:type="pct"/>
            <w:shd w:val="clear" w:color="auto" w:fill="auto"/>
          </w:tcPr>
          <w:p w:rsidR="00697BCD" w:rsidRDefault="00697BCD" w:rsidP="00624E11">
            <w:pPr>
              <w:pStyle w:val="Tabletext-right"/>
            </w:pPr>
            <w:r>
              <w:t>0.71</w:t>
            </w:r>
          </w:p>
        </w:tc>
        <w:tc>
          <w:tcPr>
            <w:tcW w:w="501" w:type="pct"/>
            <w:shd w:val="clear" w:color="auto" w:fill="auto"/>
          </w:tcPr>
          <w:p w:rsidR="00697BCD" w:rsidRDefault="00697BCD" w:rsidP="00624E11">
            <w:pPr>
              <w:pStyle w:val="Tabletext-right"/>
            </w:pPr>
            <w:r>
              <w:rPr>
                <w:rStyle w:val="Arialarrow"/>
              </w:rPr>
              <w:t>▼</w:t>
            </w:r>
            <w:r>
              <w:t>0.03</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M2 Energy</w:t>
            </w:r>
          </w:p>
        </w:tc>
        <w:tc>
          <w:tcPr>
            <w:tcW w:w="434" w:type="pct"/>
            <w:shd w:val="clear" w:color="auto" w:fill="auto"/>
          </w:tcPr>
          <w:p w:rsidR="00697BCD" w:rsidRDefault="00697BCD" w:rsidP="00624E11">
            <w:pPr>
              <w:pStyle w:val="Tabletext-right"/>
            </w:pPr>
            <w:r>
              <w:t>0.08</w:t>
            </w:r>
          </w:p>
        </w:tc>
        <w:tc>
          <w:tcPr>
            <w:tcW w:w="485" w:type="pct"/>
            <w:shd w:val="clear" w:color="auto" w:fill="auto"/>
          </w:tcPr>
          <w:p w:rsidR="00697BCD" w:rsidRDefault="00697BCD" w:rsidP="00624E11">
            <w:pPr>
              <w:pStyle w:val="Tabletext-right"/>
            </w:pPr>
            <w:r>
              <w:rPr>
                <w:rStyle w:val="Arialarrow"/>
              </w:rPr>
              <w:t>▼</w:t>
            </w:r>
            <w:r>
              <w:t>0.08</w:t>
            </w:r>
          </w:p>
        </w:tc>
        <w:tc>
          <w:tcPr>
            <w:tcW w:w="434" w:type="pct"/>
            <w:shd w:val="clear" w:color="auto" w:fill="auto"/>
          </w:tcPr>
          <w:p w:rsidR="00697BCD" w:rsidRDefault="00697BCD" w:rsidP="00624E11">
            <w:pPr>
              <w:pStyle w:val="Tabletext-right"/>
            </w:pPr>
            <w:r>
              <w:t>0.00</w:t>
            </w:r>
          </w:p>
        </w:tc>
        <w:tc>
          <w:tcPr>
            <w:tcW w:w="485" w:type="pct"/>
            <w:shd w:val="clear" w:color="auto" w:fill="auto"/>
          </w:tcPr>
          <w:p w:rsidR="00697BCD" w:rsidRDefault="00697BCD" w:rsidP="00624E11">
            <w:pPr>
              <w:pStyle w:val="Tabletext-right"/>
            </w:pPr>
            <w:r>
              <w:t>0.00</w:t>
            </w:r>
          </w:p>
        </w:tc>
        <w:tc>
          <w:tcPr>
            <w:tcW w:w="448" w:type="pct"/>
            <w:shd w:val="clear" w:color="auto" w:fill="auto"/>
          </w:tcPr>
          <w:p w:rsidR="00697BCD" w:rsidRDefault="00697BCD" w:rsidP="00624E11">
            <w:pPr>
              <w:pStyle w:val="Tabletext-right"/>
            </w:pPr>
            <w:r>
              <w:t>0.28</w:t>
            </w:r>
          </w:p>
        </w:tc>
        <w:tc>
          <w:tcPr>
            <w:tcW w:w="501" w:type="pct"/>
            <w:shd w:val="clear" w:color="auto" w:fill="auto"/>
          </w:tcPr>
          <w:p w:rsidR="00697BCD" w:rsidRDefault="00697BCD" w:rsidP="00624E11">
            <w:pPr>
              <w:pStyle w:val="Tabletext-right"/>
            </w:pPr>
            <w:r>
              <w:rPr>
                <w:rStyle w:val="Arialarrow"/>
              </w:rPr>
              <w:t>▲</w:t>
            </w:r>
            <w:r>
              <w:t>0.08</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0.00</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Momentum Energy</w:t>
            </w:r>
          </w:p>
        </w:tc>
        <w:tc>
          <w:tcPr>
            <w:tcW w:w="434" w:type="pct"/>
            <w:shd w:val="clear" w:color="auto" w:fill="auto"/>
          </w:tcPr>
          <w:p w:rsidR="00697BCD" w:rsidRDefault="00697BCD" w:rsidP="00624E11">
            <w:pPr>
              <w:pStyle w:val="Tabletext-right"/>
            </w:pPr>
            <w:r>
              <w:t>1.21</w:t>
            </w:r>
          </w:p>
        </w:tc>
        <w:tc>
          <w:tcPr>
            <w:tcW w:w="485" w:type="pct"/>
            <w:shd w:val="clear" w:color="auto" w:fill="auto"/>
          </w:tcPr>
          <w:p w:rsidR="00697BCD" w:rsidRDefault="00697BCD" w:rsidP="00624E11">
            <w:pPr>
              <w:pStyle w:val="Tabletext-right"/>
            </w:pPr>
            <w:r>
              <w:rPr>
                <w:rStyle w:val="Arialarrow"/>
              </w:rPr>
              <w:t>▲</w:t>
            </w:r>
            <w:r>
              <w:t>0.38</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7.30</w:t>
            </w:r>
          </w:p>
        </w:tc>
        <w:tc>
          <w:tcPr>
            <w:tcW w:w="501" w:type="pct"/>
            <w:shd w:val="clear" w:color="auto" w:fill="auto"/>
          </w:tcPr>
          <w:p w:rsidR="00697BCD" w:rsidRDefault="00697BCD" w:rsidP="00624E11">
            <w:pPr>
              <w:pStyle w:val="Tabletext-right"/>
            </w:pPr>
            <w:r>
              <w:rPr>
                <w:rStyle w:val="Arialarrow"/>
              </w:rPr>
              <w:t>▲</w:t>
            </w:r>
            <w:r>
              <w:t>1.24</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Origin Energy</w:t>
            </w:r>
          </w:p>
        </w:tc>
        <w:tc>
          <w:tcPr>
            <w:tcW w:w="434" w:type="pct"/>
            <w:shd w:val="clear" w:color="auto" w:fill="auto"/>
          </w:tcPr>
          <w:p w:rsidR="00697BCD" w:rsidRDefault="00697BCD" w:rsidP="00624E11">
            <w:pPr>
              <w:pStyle w:val="Tabletext-right"/>
            </w:pPr>
            <w:r>
              <w:t>0.58</w:t>
            </w:r>
          </w:p>
        </w:tc>
        <w:tc>
          <w:tcPr>
            <w:tcW w:w="485" w:type="pct"/>
            <w:shd w:val="clear" w:color="auto" w:fill="auto"/>
          </w:tcPr>
          <w:p w:rsidR="00697BCD" w:rsidRDefault="00697BCD" w:rsidP="00624E11">
            <w:pPr>
              <w:pStyle w:val="Tabletext-right"/>
            </w:pPr>
            <w:r>
              <w:rPr>
                <w:rStyle w:val="Arialarrow"/>
              </w:rPr>
              <w:t>▼</w:t>
            </w:r>
            <w:r>
              <w:t>0.25</w:t>
            </w:r>
          </w:p>
        </w:tc>
        <w:tc>
          <w:tcPr>
            <w:tcW w:w="434" w:type="pct"/>
            <w:shd w:val="clear" w:color="auto" w:fill="auto"/>
          </w:tcPr>
          <w:p w:rsidR="00697BCD" w:rsidRDefault="00697BCD" w:rsidP="00624E11">
            <w:pPr>
              <w:pStyle w:val="Tabletext-right"/>
            </w:pPr>
            <w:r>
              <w:t>1.17</w:t>
            </w:r>
          </w:p>
        </w:tc>
        <w:tc>
          <w:tcPr>
            <w:tcW w:w="485" w:type="pct"/>
            <w:shd w:val="clear" w:color="auto" w:fill="auto"/>
          </w:tcPr>
          <w:p w:rsidR="00697BCD" w:rsidRDefault="00697BCD" w:rsidP="00624E11">
            <w:pPr>
              <w:pStyle w:val="Tabletext-right"/>
            </w:pPr>
            <w:r>
              <w:rPr>
                <w:rStyle w:val="Arialarrow"/>
              </w:rPr>
              <w:t>▲</w:t>
            </w:r>
            <w:r>
              <w:t>0.19</w:t>
            </w:r>
          </w:p>
        </w:tc>
        <w:tc>
          <w:tcPr>
            <w:tcW w:w="448" w:type="pct"/>
            <w:shd w:val="clear" w:color="auto" w:fill="auto"/>
          </w:tcPr>
          <w:p w:rsidR="00697BCD" w:rsidRDefault="00697BCD" w:rsidP="00624E11">
            <w:pPr>
              <w:pStyle w:val="Tabletext-right"/>
            </w:pPr>
            <w:r>
              <w:t>1.82</w:t>
            </w:r>
          </w:p>
        </w:tc>
        <w:tc>
          <w:tcPr>
            <w:tcW w:w="501" w:type="pct"/>
            <w:shd w:val="clear" w:color="auto" w:fill="auto"/>
          </w:tcPr>
          <w:p w:rsidR="00697BCD" w:rsidRDefault="00697BCD" w:rsidP="00624E11">
            <w:pPr>
              <w:pStyle w:val="Tabletext-right"/>
            </w:pPr>
            <w:r>
              <w:rPr>
                <w:rStyle w:val="Arialarrow"/>
              </w:rPr>
              <w:t>▼</w:t>
            </w:r>
            <w:r>
              <w:t>0.41</w:t>
            </w:r>
          </w:p>
        </w:tc>
        <w:tc>
          <w:tcPr>
            <w:tcW w:w="448" w:type="pct"/>
            <w:shd w:val="clear" w:color="auto" w:fill="auto"/>
          </w:tcPr>
          <w:p w:rsidR="00697BCD" w:rsidRDefault="00697BCD" w:rsidP="00624E11">
            <w:pPr>
              <w:pStyle w:val="Tabletext-right"/>
            </w:pPr>
            <w:r>
              <w:t>1.59</w:t>
            </w:r>
          </w:p>
        </w:tc>
        <w:tc>
          <w:tcPr>
            <w:tcW w:w="501" w:type="pct"/>
            <w:shd w:val="clear" w:color="auto" w:fill="auto"/>
          </w:tcPr>
          <w:p w:rsidR="00697BCD" w:rsidRDefault="00697BCD" w:rsidP="00624E11">
            <w:pPr>
              <w:pStyle w:val="Tabletext-right"/>
            </w:pPr>
            <w:r>
              <w:rPr>
                <w:rStyle w:val="Arialarrow"/>
              </w:rPr>
              <w:t>▼</w:t>
            </w:r>
            <w:r>
              <w:t>0.16</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Powerdirect</w:t>
            </w:r>
            <w:proofErr w:type="spellEnd"/>
          </w:p>
        </w:tc>
        <w:tc>
          <w:tcPr>
            <w:tcW w:w="434" w:type="pct"/>
            <w:shd w:val="clear" w:color="auto" w:fill="auto"/>
          </w:tcPr>
          <w:p w:rsidR="00697BCD" w:rsidRDefault="00697BCD" w:rsidP="00624E11">
            <w:pPr>
              <w:pStyle w:val="Tabletext-right"/>
            </w:pPr>
            <w:r>
              <w:t>1.42</w:t>
            </w:r>
          </w:p>
        </w:tc>
        <w:tc>
          <w:tcPr>
            <w:tcW w:w="485" w:type="pct"/>
            <w:shd w:val="clear" w:color="auto" w:fill="auto"/>
          </w:tcPr>
          <w:p w:rsidR="00697BCD" w:rsidRDefault="00697BCD" w:rsidP="00624E11">
            <w:pPr>
              <w:pStyle w:val="Tabletext-right"/>
            </w:pPr>
            <w:r>
              <w:rPr>
                <w:rStyle w:val="Arialarrow"/>
              </w:rPr>
              <w:t>▲</w:t>
            </w:r>
            <w:r>
              <w:t>0.15</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0.17</w:t>
            </w:r>
          </w:p>
        </w:tc>
        <w:tc>
          <w:tcPr>
            <w:tcW w:w="501" w:type="pct"/>
            <w:shd w:val="clear" w:color="auto" w:fill="auto"/>
          </w:tcPr>
          <w:p w:rsidR="00697BCD" w:rsidRDefault="00697BCD" w:rsidP="00624E11">
            <w:pPr>
              <w:pStyle w:val="Tabletext-right"/>
            </w:pPr>
            <w:r>
              <w:rPr>
                <w:rStyle w:val="Arialarrow"/>
              </w:rPr>
              <w:t>▼</w:t>
            </w:r>
            <w:r>
              <w:t>0.13</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Powershop</w:t>
            </w:r>
          </w:p>
        </w:tc>
        <w:tc>
          <w:tcPr>
            <w:tcW w:w="434" w:type="pct"/>
            <w:shd w:val="clear" w:color="auto" w:fill="auto"/>
          </w:tcPr>
          <w:p w:rsidR="00697BCD" w:rsidRDefault="00697BCD" w:rsidP="00624E11">
            <w:pPr>
              <w:pStyle w:val="Tabletext-right"/>
            </w:pPr>
            <w:r>
              <w:t>0.32</w:t>
            </w:r>
          </w:p>
        </w:tc>
        <w:tc>
          <w:tcPr>
            <w:tcW w:w="485" w:type="pct"/>
            <w:shd w:val="clear" w:color="auto" w:fill="auto"/>
          </w:tcPr>
          <w:p w:rsidR="00697BCD" w:rsidRDefault="00697BCD" w:rsidP="00624E11">
            <w:pPr>
              <w:pStyle w:val="Tabletext-right"/>
            </w:pPr>
            <w:r>
              <w:rPr>
                <w:rStyle w:val="Arialarrow"/>
              </w:rPr>
              <w:t>▲</w:t>
            </w:r>
            <w:r>
              <w:t>0.32</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proofErr w:type="spellStart"/>
            <w:r w:rsidRPr="00391B03">
              <w:t>QEnergy</w:t>
            </w:r>
            <w:proofErr w:type="spellEnd"/>
          </w:p>
        </w:tc>
        <w:tc>
          <w:tcPr>
            <w:tcW w:w="434" w:type="pct"/>
            <w:shd w:val="clear" w:color="auto" w:fill="auto"/>
          </w:tcPr>
          <w:p w:rsidR="00697BCD" w:rsidRDefault="00697BCD" w:rsidP="00624E11">
            <w:pPr>
              <w:pStyle w:val="Tabletext-right"/>
            </w:pPr>
            <w:r>
              <w:t>3.24</w:t>
            </w:r>
          </w:p>
        </w:tc>
        <w:tc>
          <w:tcPr>
            <w:tcW w:w="485" w:type="pct"/>
            <w:shd w:val="clear" w:color="auto" w:fill="auto"/>
          </w:tcPr>
          <w:p w:rsidR="00697BCD" w:rsidRDefault="00697BCD" w:rsidP="00624E11">
            <w:pPr>
              <w:pStyle w:val="Tabletext-right"/>
            </w:pPr>
            <w:r>
              <w:rPr>
                <w:rStyle w:val="Arialarrow"/>
              </w:rPr>
              <w:t>▲</w:t>
            </w:r>
            <w:r>
              <w:t>0.77</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0.00</w:t>
            </w:r>
          </w:p>
        </w:tc>
        <w:tc>
          <w:tcPr>
            <w:tcW w:w="501" w:type="pct"/>
            <w:shd w:val="clear" w:color="auto" w:fill="auto"/>
          </w:tcPr>
          <w:p w:rsidR="00697BCD" w:rsidRDefault="00697BCD" w:rsidP="00624E11">
            <w:pPr>
              <w:pStyle w:val="Tabletext-right"/>
            </w:pPr>
            <w:r>
              <w:t>0.00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Red Energy</w:t>
            </w:r>
          </w:p>
        </w:tc>
        <w:tc>
          <w:tcPr>
            <w:tcW w:w="434" w:type="pct"/>
            <w:shd w:val="clear" w:color="auto" w:fill="auto"/>
          </w:tcPr>
          <w:p w:rsidR="00697BCD" w:rsidRDefault="00697BCD" w:rsidP="00624E11">
            <w:pPr>
              <w:pStyle w:val="Tabletext-right"/>
            </w:pPr>
            <w:r>
              <w:t>2.65</w:t>
            </w:r>
          </w:p>
        </w:tc>
        <w:tc>
          <w:tcPr>
            <w:tcW w:w="485" w:type="pct"/>
            <w:shd w:val="clear" w:color="auto" w:fill="auto"/>
          </w:tcPr>
          <w:p w:rsidR="00697BCD" w:rsidRDefault="00697BCD" w:rsidP="00624E11">
            <w:pPr>
              <w:pStyle w:val="Tabletext-right"/>
            </w:pPr>
            <w:r>
              <w:rPr>
                <w:rStyle w:val="Arialarrow"/>
              </w:rPr>
              <w:t>▼</w:t>
            </w:r>
            <w:r>
              <w:t>0.25</w:t>
            </w:r>
          </w:p>
        </w:tc>
        <w:tc>
          <w:tcPr>
            <w:tcW w:w="434" w:type="pct"/>
            <w:shd w:val="clear" w:color="auto" w:fill="auto"/>
          </w:tcPr>
          <w:p w:rsidR="00697BCD" w:rsidRDefault="00697BCD" w:rsidP="00624E11">
            <w:pPr>
              <w:pStyle w:val="Tabletext-right"/>
            </w:pPr>
            <w:r>
              <w:t>0.57</w:t>
            </w:r>
          </w:p>
        </w:tc>
        <w:tc>
          <w:tcPr>
            <w:tcW w:w="485" w:type="pct"/>
            <w:shd w:val="clear" w:color="auto" w:fill="auto"/>
          </w:tcPr>
          <w:p w:rsidR="00697BCD" w:rsidRDefault="00697BCD" w:rsidP="00624E11">
            <w:pPr>
              <w:pStyle w:val="Tabletext-right"/>
            </w:pPr>
            <w:r>
              <w:rPr>
                <w:rStyle w:val="Arialarrow"/>
              </w:rPr>
              <w:t>▲</w:t>
            </w:r>
            <w:r>
              <w:t>0.57</w:t>
            </w:r>
          </w:p>
        </w:tc>
        <w:tc>
          <w:tcPr>
            <w:tcW w:w="448" w:type="pct"/>
            <w:shd w:val="clear" w:color="auto" w:fill="auto"/>
          </w:tcPr>
          <w:p w:rsidR="00697BCD" w:rsidRDefault="00697BCD" w:rsidP="00624E11">
            <w:pPr>
              <w:pStyle w:val="Tabletext-right"/>
            </w:pPr>
            <w:r>
              <w:t>3.25</w:t>
            </w:r>
          </w:p>
        </w:tc>
        <w:tc>
          <w:tcPr>
            <w:tcW w:w="501" w:type="pct"/>
            <w:shd w:val="clear" w:color="auto" w:fill="auto"/>
          </w:tcPr>
          <w:p w:rsidR="00697BCD" w:rsidRDefault="00697BCD" w:rsidP="00624E11">
            <w:pPr>
              <w:pStyle w:val="Tabletext-right"/>
            </w:pPr>
            <w:r>
              <w:rPr>
                <w:rStyle w:val="Arialarrow"/>
              </w:rPr>
              <w:t>▼</w:t>
            </w:r>
            <w:r>
              <w:t>0.19</w:t>
            </w:r>
          </w:p>
        </w:tc>
        <w:tc>
          <w:tcPr>
            <w:tcW w:w="448" w:type="pct"/>
            <w:shd w:val="clear" w:color="auto" w:fill="auto"/>
          </w:tcPr>
          <w:p w:rsidR="00697BCD" w:rsidRDefault="00697BCD" w:rsidP="00624E11">
            <w:pPr>
              <w:pStyle w:val="Tabletext-right"/>
            </w:pPr>
            <w:r>
              <w:t>0.24</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Sanctuary Energy</w:t>
            </w:r>
          </w:p>
        </w:tc>
        <w:tc>
          <w:tcPr>
            <w:tcW w:w="434" w:type="pct"/>
            <w:shd w:val="clear" w:color="auto" w:fill="auto"/>
          </w:tcPr>
          <w:p w:rsidR="00697BCD" w:rsidRDefault="00697BCD" w:rsidP="00624E11">
            <w:pPr>
              <w:pStyle w:val="Tabletext-right"/>
            </w:pPr>
            <w:r>
              <w:t>1.71</w:t>
            </w:r>
          </w:p>
        </w:tc>
        <w:tc>
          <w:tcPr>
            <w:tcW w:w="485" w:type="pct"/>
            <w:shd w:val="clear" w:color="auto" w:fill="auto"/>
          </w:tcPr>
          <w:p w:rsidR="00697BCD" w:rsidRDefault="00697BCD" w:rsidP="00624E11">
            <w:pPr>
              <w:pStyle w:val="Tabletext-right"/>
            </w:pPr>
            <w:r>
              <w:rPr>
                <w:rStyle w:val="Arialarrow"/>
              </w:rPr>
              <w:t>▲</w:t>
            </w:r>
            <w:r>
              <w:t>1.10</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1.40</w:t>
            </w:r>
          </w:p>
        </w:tc>
        <w:tc>
          <w:tcPr>
            <w:tcW w:w="501" w:type="pct"/>
            <w:shd w:val="clear" w:color="auto" w:fill="auto"/>
          </w:tcPr>
          <w:p w:rsidR="00697BCD" w:rsidRDefault="00697BCD" w:rsidP="00624E11">
            <w:pPr>
              <w:pStyle w:val="Tabletext-right"/>
            </w:pPr>
            <w:r>
              <w:rPr>
                <w:rStyle w:val="Arialarrow"/>
              </w:rPr>
              <w:t>▼</w:t>
            </w:r>
            <w:r>
              <w:t>0.20</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Simply Energy</w:t>
            </w:r>
          </w:p>
        </w:tc>
        <w:tc>
          <w:tcPr>
            <w:tcW w:w="434" w:type="pct"/>
            <w:shd w:val="clear" w:color="auto" w:fill="auto"/>
          </w:tcPr>
          <w:p w:rsidR="00697BCD" w:rsidRDefault="00697BCD" w:rsidP="00624E11">
            <w:pPr>
              <w:pStyle w:val="Tabletext-right"/>
            </w:pPr>
            <w:r>
              <w:t>3.28</w:t>
            </w:r>
          </w:p>
        </w:tc>
        <w:tc>
          <w:tcPr>
            <w:tcW w:w="485" w:type="pct"/>
            <w:shd w:val="clear" w:color="auto" w:fill="auto"/>
          </w:tcPr>
          <w:p w:rsidR="00697BCD" w:rsidRDefault="00697BCD" w:rsidP="00624E11">
            <w:pPr>
              <w:pStyle w:val="Tabletext-right"/>
            </w:pPr>
            <w:r>
              <w:rPr>
                <w:rStyle w:val="Arialarrow"/>
              </w:rPr>
              <w:t>▲</w:t>
            </w:r>
            <w:r>
              <w:t>1.62</w:t>
            </w:r>
          </w:p>
        </w:tc>
        <w:tc>
          <w:tcPr>
            <w:tcW w:w="434" w:type="pct"/>
            <w:shd w:val="clear" w:color="auto" w:fill="auto"/>
          </w:tcPr>
          <w:p w:rsidR="00697BCD" w:rsidRDefault="00697BCD" w:rsidP="00624E11">
            <w:pPr>
              <w:pStyle w:val="Tabletext-right"/>
            </w:pPr>
            <w:r>
              <w:t>N/A</w:t>
            </w:r>
          </w:p>
        </w:tc>
        <w:tc>
          <w:tcPr>
            <w:tcW w:w="485" w:type="pct"/>
            <w:shd w:val="clear" w:color="auto" w:fill="auto"/>
          </w:tcPr>
          <w:p w:rsidR="00697BCD" w:rsidRDefault="00697BCD" w:rsidP="00624E11">
            <w:pPr>
              <w:pStyle w:val="Tabletext-right"/>
            </w:pPr>
            <w:r>
              <w:t>N/A</w:t>
            </w:r>
          </w:p>
        </w:tc>
        <w:tc>
          <w:tcPr>
            <w:tcW w:w="448" w:type="pct"/>
            <w:shd w:val="clear" w:color="auto" w:fill="auto"/>
          </w:tcPr>
          <w:p w:rsidR="00697BCD" w:rsidRDefault="00697BCD" w:rsidP="00624E11">
            <w:pPr>
              <w:pStyle w:val="Tabletext-right"/>
            </w:pPr>
            <w:r>
              <w:t>11.61</w:t>
            </w:r>
          </w:p>
        </w:tc>
        <w:tc>
          <w:tcPr>
            <w:tcW w:w="501" w:type="pct"/>
            <w:shd w:val="clear" w:color="auto" w:fill="auto"/>
          </w:tcPr>
          <w:p w:rsidR="00697BCD" w:rsidRDefault="00697BCD" w:rsidP="00624E11">
            <w:pPr>
              <w:pStyle w:val="Tabletext-right"/>
            </w:pPr>
            <w:r>
              <w:rPr>
                <w:rStyle w:val="Arialarrow"/>
              </w:rPr>
              <w:t>▼</w:t>
            </w:r>
            <w:r>
              <w:t>1.09</w:t>
            </w:r>
          </w:p>
        </w:tc>
        <w:tc>
          <w:tcPr>
            <w:tcW w:w="448" w:type="pct"/>
            <w:shd w:val="clear" w:color="auto" w:fill="auto"/>
          </w:tcPr>
          <w:p w:rsidR="00697BCD" w:rsidRDefault="00697BCD" w:rsidP="00624E11">
            <w:pPr>
              <w:pStyle w:val="Tabletext-right"/>
            </w:pPr>
            <w:r>
              <w:t>N/A</w:t>
            </w:r>
          </w:p>
        </w:tc>
        <w:tc>
          <w:tcPr>
            <w:tcW w:w="501" w:type="pct"/>
            <w:shd w:val="clear" w:color="auto" w:fill="auto"/>
          </w:tcPr>
          <w:p w:rsidR="00697BCD" w:rsidRDefault="00697BCD" w:rsidP="00624E11">
            <w:pPr>
              <w:pStyle w:val="Tabletext-right"/>
            </w:pPr>
            <w:r>
              <w:t>N/A</w:t>
            </w:r>
          </w:p>
        </w:tc>
      </w:tr>
      <w:tr w:rsidR="00697BCD" w:rsidRPr="00391B03" w:rsidTr="00391B03">
        <w:trPr>
          <w:trHeight w:val="255"/>
        </w:trPr>
        <w:tc>
          <w:tcPr>
            <w:tcW w:w="1263" w:type="pct"/>
            <w:shd w:val="clear" w:color="auto" w:fill="auto"/>
          </w:tcPr>
          <w:p w:rsidR="00697BCD" w:rsidRPr="00391B03" w:rsidRDefault="00697BCD" w:rsidP="00624E11">
            <w:pPr>
              <w:pStyle w:val="Tabletext"/>
            </w:pPr>
            <w:r w:rsidRPr="00391B03">
              <w:t>Total NSW</w:t>
            </w:r>
          </w:p>
        </w:tc>
        <w:tc>
          <w:tcPr>
            <w:tcW w:w="434" w:type="pct"/>
            <w:shd w:val="clear" w:color="auto" w:fill="auto"/>
          </w:tcPr>
          <w:p w:rsidR="00697BCD" w:rsidRDefault="00697BCD" w:rsidP="00624E11">
            <w:pPr>
              <w:pStyle w:val="Tabletext-right"/>
            </w:pPr>
            <w:r>
              <w:t>2.49</w:t>
            </w:r>
          </w:p>
        </w:tc>
        <w:tc>
          <w:tcPr>
            <w:tcW w:w="485" w:type="pct"/>
            <w:shd w:val="clear" w:color="auto" w:fill="auto"/>
          </w:tcPr>
          <w:p w:rsidR="00697BCD" w:rsidRDefault="00697BCD" w:rsidP="00624E11">
            <w:pPr>
              <w:pStyle w:val="Tabletext-right"/>
            </w:pPr>
            <w:r>
              <w:rPr>
                <w:rStyle w:val="Arialarrow"/>
              </w:rPr>
              <w:t>▼</w:t>
            </w:r>
            <w:r>
              <w:t>0.10</w:t>
            </w:r>
          </w:p>
        </w:tc>
        <w:tc>
          <w:tcPr>
            <w:tcW w:w="434" w:type="pct"/>
            <w:shd w:val="clear" w:color="auto" w:fill="auto"/>
          </w:tcPr>
          <w:p w:rsidR="00697BCD" w:rsidRDefault="00697BCD" w:rsidP="00624E11">
            <w:pPr>
              <w:pStyle w:val="Tabletext-right"/>
            </w:pPr>
            <w:r>
              <w:t>1.58</w:t>
            </w:r>
          </w:p>
        </w:tc>
        <w:tc>
          <w:tcPr>
            <w:tcW w:w="485" w:type="pct"/>
            <w:shd w:val="clear" w:color="auto" w:fill="auto"/>
          </w:tcPr>
          <w:p w:rsidR="00697BCD" w:rsidRDefault="00697BCD" w:rsidP="00624E11">
            <w:pPr>
              <w:pStyle w:val="Tabletext-right"/>
            </w:pPr>
            <w:r>
              <w:rPr>
                <w:rStyle w:val="Arialarrow"/>
              </w:rPr>
              <w:t>▲</w:t>
            </w:r>
            <w:r>
              <w:t>0.08</w:t>
            </w:r>
          </w:p>
        </w:tc>
        <w:tc>
          <w:tcPr>
            <w:tcW w:w="448" w:type="pct"/>
            <w:shd w:val="clear" w:color="auto" w:fill="auto"/>
          </w:tcPr>
          <w:p w:rsidR="00697BCD" w:rsidRDefault="00697BCD" w:rsidP="00624E11">
            <w:pPr>
              <w:pStyle w:val="Tabletext-right"/>
            </w:pPr>
            <w:r>
              <w:t>4.00</w:t>
            </w:r>
          </w:p>
        </w:tc>
        <w:tc>
          <w:tcPr>
            <w:tcW w:w="501" w:type="pct"/>
            <w:shd w:val="clear" w:color="auto" w:fill="auto"/>
          </w:tcPr>
          <w:p w:rsidR="00697BCD" w:rsidRDefault="00697BCD" w:rsidP="00624E11">
            <w:pPr>
              <w:pStyle w:val="Tabletext-right"/>
            </w:pPr>
            <w:r>
              <w:rPr>
                <w:rStyle w:val="Arialarrow"/>
              </w:rPr>
              <w:t>▲</w:t>
            </w:r>
            <w:r>
              <w:t>0.39</w:t>
            </w:r>
          </w:p>
        </w:tc>
        <w:tc>
          <w:tcPr>
            <w:tcW w:w="448" w:type="pct"/>
            <w:shd w:val="clear" w:color="auto" w:fill="auto"/>
          </w:tcPr>
          <w:p w:rsidR="00697BCD" w:rsidRDefault="00697BCD" w:rsidP="00624E11">
            <w:pPr>
              <w:pStyle w:val="Tabletext-right"/>
            </w:pPr>
            <w:r>
              <w:t>2.33</w:t>
            </w:r>
          </w:p>
        </w:tc>
        <w:tc>
          <w:tcPr>
            <w:tcW w:w="501" w:type="pct"/>
            <w:shd w:val="clear" w:color="auto" w:fill="auto"/>
          </w:tcPr>
          <w:p w:rsidR="00697BCD" w:rsidRDefault="00697BCD" w:rsidP="00624E11">
            <w:pPr>
              <w:pStyle w:val="Tabletext-right"/>
            </w:pPr>
            <w:r>
              <w:rPr>
                <w:rStyle w:val="Arialarrow"/>
              </w:rPr>
              <w:t>▲</w:t>
            </w:r>
            <w:r>
              <w:t>0.49</w:t>
            </w:r>
          </w:p>
        </w:tc>
      </w:tr>
    </w:tbl>
    <w:p w:rsidR="00697BCD" w:rsidRDefault="00697BCD" w:rsidP="00624E11"/>
    <w:tbl>
      <w:tblPr>
        <w:tblW w:w="0" w:type="auto"/>
        <w:tblInd w:w="170" w:type="dxa"/>
        <w:tblLayout w:type="fixed"/>
        <w:tblCellMar>
          <w:left w:w="0" w:type="dxa"/>
          <w:right w:w="0" w:type="dxa"/>
        </w:tblCellMar>
        <w:tblLook w:val="0000" w:firstRow="0" w:lastRow="0" w:firstColumn="0" w:lastColumn="0" w:noHBand="0" w:noVBand="0"/>
      </w:tblPr>
      <w:tblGrid>
        <w:gridCol w:w="9356"/>
      </w:tblGrid>
      <w:tr w:rsidR="00697BCD" w:rsidRPr="00391B03" w:rsidTr="00624E11">
        <w:trPr>
          <w:trHeight w:val="12000"/>
        </w:trPr>
        <w:tc>
          <w:tcPr>
            <w:tcW w:w="9356" w:type="dxa"/>
            <w:tcBorders>
              <w:top w:val="single" w:sz="6" w:space="0" w:color="auto"/>
              <w:left w:val="single" w:sz="6" w:space="0" w:color="auto"/>
              <w:bottom w:val="single" w:sz="6" w:space="0" w:color="auto"/>
              <w:right w:val="single" w:sz="6" w:space="0" w:color="auto"/>
            </w:tcBorders>
            <w:shd w:val="solid" w:color="BEB3A9" w:fill="auto"/>
            <w:tcMar>
              <w:top w:w="170" w:type="dxa"/>
              <w:left w:w="170" w:type="dxa"/>
              <w:bottom w:w="170" w:type="dxa"/>
              <w:right w:w="170" w:type="dxa"/>
            </w:tcMar>
          </w:tcPr>
          <w:p w:rsidR="00697BCD" w:rsidRPr="00391B03" w:rsidRDefault="00697BCD" w:rsidP="000F3A56">
            <w:pPr>
              <w:pStyle w:val="Heading3"/>
            </w:pPr>
            <w:bookmarkStart w:id="22" w:name="_Toc467665306"/>
            <w:r w:rsidRPr="00391B03">
              <w:lastRenderedPageBreak/>
              <w:t>Managing customers with payment difficulties: The AER’s Sustainable Payment Plans Framework</w:t>
            </w:r>
            <w:bookmarkEnd w:id="22"/>
          </w:p>
          <w:p w:rsidR="00697BCD" w:rsidRPr="00391B03" w:rsidRDefault="00697BCD" w:rsidP="00697BCD">
            <w:r w:rsidRPr="00391B03">
              <w:t>Payment plans are one of the main ways energy retailers can help customers who are experiencing financial difficulties to better manage their energy bills. Under the National Energy Retail Law and Rules energy retailers must establish payment plans by having regard to a customer’s capacity to pay, any amount they owe, and how much energy they expect to use over the next year.</w:t>
            </w:r>
          </w:p>
          <w:p w:rsidR="00697BCD" w:rsidRPr="00391B03" w:rsidRDefault="00697BCD" w:rsidP="00697BCD">
            <w:r w:rsidRPr="00391B03">
              <w:t>During 2015–16 we worked collaboratively with a wide range of stakeholders to develop a good practice framework for assessing customers’ capacity to pay.</w:t>
            </w:r>
          </w:p>
          <w:p w:rsidR="00697BCD" w:rsidRPr="00391B03" w:rsidRDefault="00697BCD" w:rsidP="00697BCD">
            <w:r w:rsidRPr="00391B03">
              <w:t>The Sustainable Payment Plans Framework (Framework) is intended to improve the quality of capacity to pay conversations while still allowing flexibility and encouraging retailers to offer extra assistance to customers. Its aim is to achieve better outcomes by helping customers and retailers agree to payment plans that are affordable and sustainable.</w:t>
            </w:r>
          </w:p>
          <w:p w:rsidR="00697BCD" w:rsidRPr="00391B03" w:rsidRDefault="00697BCD" w:rsidP="00697BCD">
            <w:r w:rsidRPr="00391B03">
              <w:t>The Framework consists of:</w:t>
            </w:r>
          </w:p>
          <w:p w:rsidR="00697BCD" w:rsidRPr="00391B03" w:rsidRDefault="00697BCD" w:rsidP="00697BCD">
            <w:pPr>
              <w:pStyle w:val="ListBullet"/>
            </w:pPr>
            <w:proofErr w:type="gramStart"/>
            <w:r w:rsidRPr="00391B03">
              <w:t>a</w:t>
            </w:r>
            <w:proofErr w:type="gramEnd"/>
            <w:r w:rsidRPr="00391B03">
              <w:t xml:space="preserve"> set of principles that should guide retailers’ capacity to pay conversations with customers. The principles are:</w:t>
            </w:r>
          </w:p>
          <w:p w:rsidR="00697BCD" w:rsidRPr="00391B03" w:rsidRDefault="00697BCD">
            <w:r w:rsidRPr="00391B03">
              <w:t>Empathy and respect—including that retailers should avoid blame and judgement, and act in good faith towards customers</w:t>
            </w:r>
          </w:p>
          <w:p w:rsidR="00697BCD" w:rsidRPr="00391B03" w:rsidRDefault="00697BCD">
            <w:r w:rsidRPr="00391B03">
              <w:t>Flexibility—including accepting that customers’ circumstances vary, and that financial issues may be short or long–term</w:t>
            </w:r>
          </w:p>
          <w:p w:rsidR="00697BCD" w:rsidRPr="00391B03" w:rsidRDefault="00697BCD">
            <w:r w:rsidRPr="00391B03">
              <w:t xml:space="preserve">Consistency—including </w:t>
            </w:r>
            <w:proofErr w:type="gramStart"/>
            <w:r w:rsidRPr="00391B03">
              <w:t>that retailers</w:t>
            </w:r>
            <w:proofErr w:type="gramEnd"/>
            <w:r w:rsidRPr="00391B03">
              <w:t xml:space="preserve"> consistently apply the Framework’s principles to their engagement with payment plan customers, so that those with the same circumstances will receive the same standard of assistance.</w:t>
            </w:r>
          </w:p>
          <w:p w:rsidR="00697BCD" w:rsidRPr="00391B03" w:rsidRDefault="00697BCD" w:rsidP="00697BCD">
            <w:pPr>
              <w:pStyle w:val="ListBullet"/>
            </w:pPr>
            <w:proofErr w:type="gramStart"/>
            <w:r w:rsidRPr="00391B03">
              <w:t>a</w:t>
            </w:r>
            <w:proofErr w:type="gramEnd"/>
            <w:r w:rsidRPr="00391B03">
              <w:t xml:space="preserve"> flow chart outlining good practice actions and considerations at different stages of a payment plan, including: determining the customer’s capacity to pay, reviewing the payment plan, helping customers in severe financial difficulty, dealing with missed payments and completing a payment plan.</w:t>
            </w:r>
          </w:p>
          <w:p w:rsidR="00697BCD" w:rsidRPr="00391B03" w:rsidRDefault="00697BCD" w:rsidP="00697BCD">
            <w:pPr>
              <w:rPr>
                <w:rStyle w:val="Strong"/>
              </w:rPr>
            </w:pPr>
            <w:r w:rsidRPr="00391B03">
              <w:rPr>
                <w:rStyle w:val="Strong"/>
              </w:rPr>
              <w:t>Background</w:t>
            </w:r>
          </w:p>
          <w:p w:rsidR="00697BCD" w:rsidRPr="00391B03" w:rsidRDefault="00697BCD" w:rsidP="00697BCD">
            <w:r w:rsidRPr="00391B03">
              <w:t xml:space="preserve">In January 2015, we published a review of energy retailers’ customer hardship policies and practices. </w:t>
            </w:r>
          </w:p>
          <w:p w:rsidR="00697BCD" w:rsidRPr="00391B03" w:rsidRDefault="00697BCD" w:rsidP="00697BCD">
            <w:r w:rsidRPr="00391B03">
              <w:t>The review made a number of findings and observations about energy retailers’ approaches to dealing with customers experiencing payment difficulties, including how they approached establishing payment plans with customers.</w:t>
            </w:r>
          </w:p>
          <w:p w:rsidR="00697BCD" w:rsidRPr="00391B03" w:rsidRDefault="00697BCD" w:rsidP="00697BCD">
            <w:r w:rsidRPr="00391B03">
              <w:t>These included numerous examples of good practice in regard to some retailers’ approaches to negotiating affordable repayment amounts with customers, but also practices and attitudes that contributed to poor consumer outcomes.</w:t>
            </w:r>
          </w:p>
          <w:p w:rsidR="00697BCD" w:rsidRPr="00391B03" w:rsidRDefault="00697BCD" w:rsidP="00697BCD">
            <w:r w:rsidRPr="00391B03">
              <w:t>The review identified a range of issues that had a negative impact on outcomes for consumers, including:</w:t>
            </w:r>
          </w:p>
          <w:p w:rsidR="00697BCD" w:rsidRPr="00391B03" w:rsidRDefault="00697BCD" w:rsidP="00697BCD">
            <w:pPr>
              <w:pStyle w:val="ListBullet"/>
            </w:pPr>
            <w:r w:rsidRPr="00391B03">
              <w:t>customers feeling pressured to agree to retailers’ proposed repayment amounts, even if they could not afford them</w:t>
            </w:r>
          </w:p>
          <w:p w:rsidR="00697BCD" w:rsidRPr="00391B03" w:rsidRDefault="00697BCD"/>
        </w:tc>
      </w:tr>
    </w:tbl>
    <w:p w:rsidR="00697BCD" w:rsidRDefault="00697BCD" w:rsidP="009E6D87"/>
    <w:tbl>
      <w:tblPr>
        <w:tblW w:w="0" w:type="auto"/>
        <w:tblInd w:w="170" w:type="dxa"/>
        <w:tblLayout w:type="fixed"/>
        <w:tblCellMar>
          <w:left w:w="0" w:type="dxa"/>
          <w:right w:w="0" w:type="dxa"/>
        </w:tblCellMar>
        <w:tblLook w:val="0000" w:firstRow="0" w:lastRow="0" w:firstColumn="0" w:lastColumn="0" w:noHBand="0" w:noVBand="0"/>
      </w:tblPr>
      <w:tblGrid>
        <w:gridCol w:w="9356"/>
      </w:tblGrid>
      <w:tr w:rsidR="00697BCD" w:rsidRPr="00391B03" w:rsidTr="00624E11">
        <w:trPr>
          <w:trHeight w:val="113"/>
        </w:trPr>
        <w:tc>
          <w:tcPr>
            <w:tcW w:w="9356" w:type="dxa"/>
            <w:tcBorders>
              <w:top w:val="single" w:sz="6" w:space="0" w:color="auto"/>
              <w:left w:val="single" w:sz="6" w:space="0" w:color="auto"/>
              <w:bottom w:val="single" w:sz="6" w:space="0" w:color="auto"/>
              <w:right w:val="single" w:sz="6" w:space="0" w:color="auto"/>
            </w:tcBorders>
            <w:shd w:val="solid" w:color="BEB3A9" w:fill="auto"/>
            <w:tcMar>
              <w:top w:w="170" w:type="dxa"/>
              <w:left w:w="170" w:type="dxa"/>
              <w:bottom w:w="170" w:type="dxa"/>
              <w:right w:w="170" w:type="dxa"/>
            </w:tcMar>
          </w:tcPr>
          <w:p w:rsidR="00697BCD" w:rsidRPr="00391B03" w:rsidRDefault="00697BCD" w:rsidP="00697BCD">
            <w:pPr>
              <w:pStyle w:val="ListBullet"/>
            </w:pPr>
            <w:r w:rsidRPr="00391B03">
              <w:t>retailers pushing customers to meet their current consumption costs even if the customer said they could not afford that amount, and</w:t>
            </w:r>
          </w:p>
          <w:p w:rsidR="00697BCD" w:rsidRPr="00391B03" w:rsidRDefault="00697BCD" w:rsidP="00697BCD">
            <w:pPr>
              <w:pStyle w:val="ListBullet"/>
            </w:pPr>
            <w:proofErr w:type="gramStart"/>
            <w:r w:rsidRPr="00391B03">
              <w:t>retailer</w:t>
            </w:r>
            <w:proofErr w:type="gramEnd"/>
            <w:r w:rsidRPr="00391B03">
              <w:t xml:space="preserve"> uncertainty about processes for dealing with payment plan customers, such as requiring customers to see a financial counsellor as a pre-condition of accessing a payment plan.</w:t>
            </w:r>
          </w:p>
          <w:p w:rsidR="00697BCD" w:rsidRPr="00391B03" w:rsidRDefault="00697BCD" w:rsidP="00697BCD">
            <w:r w:rsidRPr="00391B03">
              <w:t>The report noted that we would work collaboratively with retailers and other stakeholders to develop and implement strategies to improve outcomes for customers experiencing financial difficulties.</w:t>
            </w:r>
          </w:p>
          <w:p w:rsidR="00697BCD" w:rsidRPr="00391B03" w:rsidRDefault="00697BCD" w:rsidP="00697BCD">
            <w:pPr>
              <w:rPr>
                <w:rStyle w:val="Strong"/>
              </w:rPr>
            </w:pPr>
            <w:r w:rsidRPr="00391B03">
              <w:t>In October 2015, we commenced preliminary discussions with stakeholders about developing a practical Framework, based on identified and agreed good practice, which retailers could adopt to guide their engagement with customers when having conversations about a customer’s capacity to pay in the context of setting up payment arrangements.</w:t>
            </w:r>
          </w:p>
          <w:p w:rsidR="00697BCD" w:rsidRPr="00391B03" w:rsidRDefault="00697BCD" w:rsidP="00697BCD">
            <w:pPr>
              <w:rPr>
                <w:rStyle w:val="Strong"/>
              </w:rPr>
            </w:pPr>
            <w:r w:rsidRPr="00391B03">
              <w:rPr>
                <w:rStyle w:val="Strong"/>
              </w:rPr>
              <w:t>Consultation</w:t>
            </w:r>
          </w:p>
          <w:p w:rsidR="00697BCD" w:rsidRPr="00391B03" w:rsidRDefault="00697BCD" w:rsidP="00697BCD">
            <w:r w:rsidRPr="00391B03">
              <w:t>We engaged with large, medium and small energy retailers, financial counsellors, consumer representatives, energy Ombudsman schemes and other interested stakeholders to develop the Framework. Many of these stakeholders provided feedback to inform specific aspects of the Framework.</w:t>
            </w:r>
          </w:p>
          <w:p w:rsidR="00697BCD" w:rsidRPr="00391B03" w:rsidRDefault="00697BCD" w:rsidP="00697BCD">
            <w:r w:rsidRPr="00391B03">
              <w:t xml:space="preserve">Retailer, consumer and ombudsman stakeholders were all supportive of the Framework’s principles-based approach, and of the principles themselves. </w:t>
            </w:r>
          </w:p>
          <w:p w:rsidR="00697BCD" w:rsidRPr="00391B03" w:rsidRDefault="00697BCD" w:rsidP="00697BCD">
            <w:pPr>
              <w:rPr>
                <w:rStyle w:val="Strong"/>
              </w:rPr>
            </w:pPr>
            <w:r w:rsidRPr="00391B03">
              <w:rPr>
                <w:rStyle w:val="Strong"/>
              </w:rPr>
              <w:t>Implementation</w:t>
            </w:r>
          </w:p>
          <w:p w:rsidR="00697BCD" w:rsidRPr="00391B03" w:rsidRDefault="00697BCD" w:rsidP="00697BCD">
            <w:r w:rsidRPr="00391B03">
              <w:t xml:space="preserve">The framework is voluntary. In November 2016 we published a list on our website and Energy Made Easy of retailers whose businesses committed to meeting the Framework’s standards. </w:t>
            </w:r>
          </w:p>
          <w:p w:rsidR="00697BCD" w:rsidRPr="00391B03" w:rsidRDefault="00697BCD" w:rsidP="00697BCD">
            <w:r w:rsidRPr="00391B03">
              <w:t>This published list will assist customers and their representatives know what to expect when dealing with a retailer, provide positive recognition for retailers that adopted the Framework, and promote transparency and accountability.</w:t>
            </w:r>
          </w:p>
        </w:tc>
      </w:tr>
    </w:tbl>
    <w:p w:rsidR="00697BCD" w:rsidRDefault="00697BCD" w:rsidP="00697BCD"/>
    <w:p w:rsidR="00697BCD" w:rsidRDefault="00697BCD" w:rsidP="000F3A56">
      <w:pPr>
        <w:pStyle w:val="Numbered11"/>
      </w:pPr>
      <w:bookmarkStart w:id="23" w:name="_Toc467665307"/>
      <w:r>
        <w:t>Hardship programs</w:t>
      </w:r>
      <w:bookmarkEnd w:id="23"/>
    </w:p>
    <w:p w:rsidR="00697BCD" w:rsidRDefault="00697BCD" w:rsidP="00697BCD">
      <w:r>
        <w:t>A key protection for vulnerable customers is the requirement for energy retailers to develop and maintain a customer hardship policy that sets out their approach to identifying and assisting customers experiencing difficulty paying their energy bills.</w:t>
      </w:r>
      <w:r w:rsidRPr="009D1DEC">
        <w:rPr>
          <w:rStyle w:val="Superscript"/>
        </w:rPr>
        <w:footnoteReference w:id="19"/>
      </w:r>
      <w:r>
        <w:t xml:space="preserve"> </w:t>
      </w:r>
    </w:p>
    <w:p w:rsidR="00697BCD" w:rsidRDefault="00697BCD" w:rsidP="00697BCD">
      <w:r>
        <w:t xml:space="preserve">Referral to a hardship program is generally the most appropriate form of assistance when a customer’s payment difficulties are overwhelming, such that they cannot meet a payment plan arrangement because they lack the capacity to pay for current and future consumption. </w:t>
      </w:r>
    </w:p>
    <w:p w:rsidR="00697BCD" w:rsidRDefault="00697BCD" w:rsidP="00697BCD">
      <w:r>
        <w:t xml:space="preserve">Help under a retailer’s hardship program can include tailored payment plans and further support measures to assist customers to manage their bills on an ongoing basis. As long as a customer is meeting their payments, they can’t be disconnected. </w:t>
      </w:r>
    </w:p>
    <w:p w:rsidR="00697BCD" w:rsidRDefault="00697BCD" w:rsidP="00697BCD">
      <w:r>
        <w:lastRenderedPageBreak/>
        <w:t>Retailers report annually on:</w:t>
      </w:r>
    </w:p>
    <w:p w:rsidR="00697BCD" w:rsidRDefault="00697BCD" w:rsidP="00697BCD">
      <w:pPr>
        <w:pStyle w:val="ListBullet"/>
      </w:pPr>
      <w:r>
        <w:t>the number of customers who each retailer has on hardship programs</w:t>
      </w:r>
    </w:p>
    <w:p w:rsidR="00697BCD" w:rsidRDefault="00697BCD" w:rsidP="00697BCD">
      <w:pPr>
        <w:pStyle w:val="ListBullet"/>
      </w:pPr>
      <w:r>
        <w:t>the payment methods used by these customers</w:t>
      </w:r>
    </w:p>
    <w:p w:rsidR="00697BCD" w:rsidRDefault="00697BCD" w:rsidP="00697BCD">
      <w:pPr>
        <w:pStyle w:val="ListBullet"/>
      </w:pPr>
      <w:r>
        <w:t>the average level of debt held by customers on hardship programs</w:t>
      </w:r>
    </w:p>
    <w:p w:rsidR="00697BCD" w:rsidRDefault="00697BCD" w:rsidP="00697BCD">
      <w:pPr>
        <w:pStyle w:val="ListBullet"/>
      </w:pPr>
      <w:proofErr w:type="gramStart"/>
      <w:r>
        <w:t>the</w:t>
      </w:r>
      <w:proofErr w:type="gramEnd"/>
      <w:r>
        <w:t xml:space="preserve"> reasons for customers exiting hardship programs.</w:t>
      </w:r>
    </w:p>
    <w:p w:rsidR="00697BCD" w:rsidRDefault="00697BCD" w:rsidP="000F3A56">
      <w:pPr>
        <w:pStyle w:val="Numbered111"/>
      </w:pPr>
      <w:bookmarkStart w:id="24" w:name="_Toc467665308"/>
      <w:r>
        <w:t>Customers on hardship programs</w:t>
      </w:r>
      <w:bookmarkEnd w:id="24"/>
    </w:p>
    <w:p w:rsidR="00697BCD" w:rsidRDefault="00697BCD" w:rsidP="00697BCD">
      <w:r>
        <w:t>Table 2.6 shows the number of electricity and gas customers on hardship programs for each retailer in each jurisdiction.</w:t>
      </w:r>
    </w:p>
    <w:p w:rsidR="00697BCD" w:rsidRDefault="00697BCD" w:rsidP="00697BCD">
      <w:r>
        <w:t xml:space="preserve">In New South Wales, Queensland, the ACT and Tasmania, </w:t>
      </w:r>
      <w:proofErr w:type="gramStart"/>
      <w:r>
        <w:t>fewer</w:t>
      </w:r>
      <w:proofErr w:type="gramEnd"/>
      <w:r>
        <w:t xml:space="preserve"> than 1 per 100 electricity customers are receiving assistance under a retailer’s hardship program. </w:t>
      </w:r>
    </w:p>
    <w:p w:rsidR="00697BCD" w:rsidRDefault="00697BCD" w:rsidP="00697BCD">
      <w:r>
        <w:t xml:space="preserve">In South Australia, the rate increased to 1.8 per 100 electricity customers and 1.4 per 100 gas customers. </w:t>
      </w:r>
    </w:p>
    <w:p w:rsidR="00697BCD" w:rsidRDefault="00697BCD" w:rsidP="00697BCD">
      <w:r>
        <w:t>This was driven in part by AGL, for whom the rate of electricity customers on hardship programs (increased to 2.2 per 100 electricity customers and up to 2.45 per 100 gas customers. AGL’s hardship rates were the highest in South Australia, followed by Simply Energy.</w:t>
      </w:r>
    </w:p>
    <w:p w:rsidR="00697BCD" w:rsidRDefault="00697BCD" w:rsidP="00697BCD">
      <w:r>
        <w:t xml:space="preserve">Decreases were reported by </w:t>
      </w:r>
      <w:proofErr w:type="spellStart"/>
      <w:r>
        <w:t>EnergyAustralia</w:t>
      </w:r>
      <w:proofErr w:type="spellEnd"/>
      <w:r>
        <w:t xml:space="preserve"> and Momentum Energy. Interestingly, both these retailers had high levels of customers on payment plans compared to other retailers.</w:t>
      </w:r>
    </w:p>
    <w:p w:rsidR="00697BCD" w:rsidRDefault="00697BCD" w:rsidP="00697BCD">
      <w:r>
        <w:t xml:space="preserve">In New South Wales, increases in the proportion of electricity customers on hardship programs were reported by AGL and </w:t>
      </w:r>
      <w:proofErr w:type="spellStart"/>
      <w:r>
        <w:t>QEnergy</w:t>
      </w:r>
      <w:proofErr w:type="spellEnd"/>
      <w:r>
        <w:t xml:space="preserve">. Decreases were recorded by Simply Energy and M2 Energy. </w:t>
      </w:r>
    </w:p>
    <w:p w:rsidR="00697BCD" w:rsidRDefault="00697BCD" w:rsidP="00697BCD">
      <w:r>
        <w:t xml:space="preserve">In Tasmania, the number of Aurora Energy’s customers on hardship programs increased to 0.87 per 100 customers. </w:t>
      </w:r>
    </w:p>
    <w:p w:rsidR="00697BCD" w:rsidRDefault="00697BCD" w:rsidP="00697BCD">
      <w:r>
        <w:t>There was little change in the proportion of electricity customers on hardship programs in the ACT.</w:t>
      </w:r>
    </w:p>
    <w:p w:rsidR="00697BCD" w:rsidRDefault="00697BCD" w:rsidP="00697BCD">
      <w:pPr>
        <w:pStyle w:val="Tabletitle"/>
      </w:pPr>
      <w:r>
        <w:t>Table 2.6:</w:t>
      </w:r>
      <w:r>
        <w:tab/>
        <w:t>Customers on hardship programs as at 30 June 2016 (change since 2015)</w:t>
      </w:r>
    </w:p>
    <w:tbl>
      <w:tblPr>
        <w:tblW w:w="5000" w:type="pct"/>
        <w:tblBorders>
          <w:top w:val="single" w:sz="4" w:space="0" w:color="BFBFBF"/>
          <w:bottom w:val="single" w:sz="4" w:space="0" w:color="BFBFBF"/>
        </w:tblBorders>
        <w:tblLook w:val="0000" w:firstRow="0" w:lastRow="0" w:firstColumn="0" w:lastColumn="0" w:noHBand="0" w:noVBand="0"/>
      </w:tblPr>
      <w:tblGrid>
        <w:gridCol w:w="3650"/>
        <w:gridCol w:w="1284"/>
        <w:gridCol w:w="1704"/>
        <w:gridCol w:w="1284"/>
        <w:gridCol w:w="1706"/>
      </w:tblGrid>
      <w:tr w:rsidR="00697BCD" w:rsidRPr="00391B03" w:rsidTr="00391B03">
        <w:trPr>
          <w:trHeight w:val="255"/>
        </w:trPr>
        <w:tc>
          <w:tcPr>
            <w:tcW w:w="1895" w:type="pct"/>
            <w:vMerge w:val="restart"/>
            <w:shd w:val="clear" w:color="auto" w:fill="auto"/>
          </w:tcPr>
          <w:p w:rsidR="00697BCD" w:rsidRPr="00391B03" w:rsidRDefault="00697BCD" w:rsidP="006B1E9F">
            <w:pPr>
              <w:pStyle w:val="TableHeading"/>
            </w:pPr>
            <w:r w:rsidRPr="00391B03">
              <w:t>Retailer</w:t>
            </w:r>
          </w:p>
        </w:tc>
        <w:tc>
          <w:tcPr>
            <w:tcW w:w="3105" w:type="pct"/>
            <w:gridSpan w:val="4"/>
            <w:shd w:val="clear" w:color="auto" w:fill="auto"/>
          </w:tcPr>
          <w:p w:rsidR="00697BCD" w:rsidRDefault="00697BCD" w:rsidP="00450BF1">
            <w:pPr>
              <w:pStyle w:val="TableHeading-centred"/>
            </w:pPr>
            <w:r>
              <w:t>Customers on hardship programs (per 100)</w:t>
            </w:r>
          </w:p>
        </w:tc>
      </w:tr>
      <w:tr w:rsidR="00697BCD" w:rsidRPr="00391B03" w:rsidTr="00391B03">
        <w:trPr>
          <w:trHeight w:val="255"/>
        </w:trPr>
        <w:tc>
          <w:tcPr>
            <w:tcW w:w="1895"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552" w:type="pct"/>
            <w:gridSpan w:val="2"/>
            <w:shd w:val="clear" w:color="auto" w:fill="auto"/>
          </w:tcPr>
          <w:p w:rsidR="00697BCD" w:rsidRDefault="00697BCD" w:rsidP="00450BF1">
            <w:pPr>
              <w:pStyle w:val="TableHeading-centred"/>
            </w:pPr>
            <w:r>
              <w:t>Electricity</w:t>
            </w:r>
          </w:p>
        </w:tc>
        <w:tc>
          <w:tcPr>
            <w:tcW w:w="1552" w:type="pct"/>
            <w:gridSpan w:val="2"/>
            <w:shd w:val="clear" w:color="auto" w:fill="auto"/>
          </w:tcPr>
          <w:p w:rsidR="00697BCD" w:rsidRDefault="00697BCD" w:rsidP="00450BF1">
            <w:pPr>
              <w:pStyle w:val="TableHeading-centred"/>
            </w:pPr>
            <w:r>
              <w:t>Gas</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Qld</w:t>
            </w: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AGL</w:t>
            </w:r>
          </w:p>
        </w:tc>
        <w:tc>
          <w:tcPr>
            <w:tcW w:w="667" w:type="pct"/>
            <w:shd w:val="clear" w:color="auto" w:fill="auto"/>
          </w:tcPr>
          <w:p w:rsidR="00697BCD" w:rsidRDefault="00697BCD" w:rsidP="00624E11">
            <w:pPr>
              <w:pStyle w:val="Tabletext-right"/>
            </w:pPr>
            <w:r>
              <w:t>1.43</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1.04</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Click Energy</w:t>
            </w:r>
          </w:p>
        </w:tc>
        <w:tc>
          <w:tcPr>
            <w:tcW w:w="667" w:type="pct"/>
            <w:shd w:val="clear" w:color="auto" w:fill="auto"/>
          </w:tcPr>
          <w:p w:rsidR="00697BCD" w:rsidRDefault="00697BCD" w:rsidP="00624E11">
            <w:pPr>
              <w:pStyle w:val="Tabletext-right"/>
            </w:pPr>
            <w:r>
              <w:t>0.80</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Diamond Energy</w:t>
            </w:r>
          </w:p>
        </w:tc>
        <w:tc>
          <w:tcPr>
            <w:tcW w:w="667" w:type="pct"/>
            <w:shd w:val="clear" w:color="auto" w:fill="auto"/>
          </w:tcPr>
          <w:p w:rsidR="00697BCD" w:rsidRDefault="00697BCD" w:rsidP="00624E11">
            <w:pPr>
              <w:pStyle w:val="Tabletext-right"/>
            </w:pPr>
            <w:r>
              <w:t>0.31</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EnergyAustralia</w:t>
            </w:r>
            <w:proofErr w:type="spellEnd"/>
          </w:p>
        </w:tc>
        <w:tc>
          <w:tcPr>
            <w:tcW w:w="667" w:type="pct"/>
            <w:shd w:val="clear" w:color="auto" w:fill="auto"/>
          </w:tcPr>
          <w:p w:rsidR="00697BCD" w:rsidRDefault="00697BCD" w:rsidP="00624E11">
            <w:pPr>
              <w:pStyle w:val="Tabletext-right"/>
            </w:pPr>
            <w:r>
              <w:t>1.06</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Ergon Energy</w:t>
            </w:r>
          </w:p>
        </w:tc>
        <w:tc>
          <w:tcPr>
            <w:tcW w:w="667" w:type="pct"/>
            <w:shd w:val="clear" w:color="auto" w:fill="auto"/>
          </w:tcPr>
          <w:p w:rsidR="00697BCD" w:rsidRDefault="00697BCD" w:rsidP="00624E11">
            <w:pPr>
              <w:pStyle w:val="Tabletext-right"/>
            </w:pPr>
            <w:r>
              <w:t>1.06</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7" w:type="pct"/>
            <w:shd w:val="clear" w:color="auto" w:fill="auto"/>
          </w:tcPr>
          <w:p w:rsidR="00697BCD" w:rsidRDefault="00697BCD" w:rsidP="00624E11">
            <w:pPr>
              <w:pStyle w:val="Tabletext-right"/>
            </w:pPr>
            <w:r>
              <w:t>0.74</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M2 Energy</w:t>
            </w:r>
          </w:p>
        </w:tc>
        <w:tc>
          <w:tcPr>
            <w:tcW w:w="667" w:type="pct"/>
            <w:shd w:val="clear" w:color="auto" w:fill="auto"/>
          </w:tcPr>
          <w:p w:rsidR="00697BCD" w:rsidRDefault="00697BCD" w:rsidP="00624E11">
            <w:pPr>
              <w:pStyle w:val="Tabletext-right"/>
            </w:pPr>
            <w:r>
              <w:t>1.63</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Metered Energy Holdings</w:t>
            </w:r>
          </w:p>
        </w:tc>
        <w:tc>
          <w:tcPr>
            <w:tcW w:w="667" w:type="pct"/>
            <w:shd w:val="clear" w:color="auto" w:fill="auto"/>
          </w:tcPr>
          <w:p w:rsidR="00697BCD" w:rsidRDefault="00697BCD" w:rsidP="00624E11">
            <w:pPr>
              <w:pStyle w:val="Tabletext-right"/>
            </w:pPr>
            <w:r>
              <w:t>0.15</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0.00</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Origin Energy</w:t>
            </w:r>
          </w:p>
        </w:tc>
        <w:tc>
          <w:tcPr>
            <w:tcW w:w="667" w:type="pct"/>
            <w:shd w:val="clear" w:color="auto" w:fill="auto"/>
          </w:tcPr>
          <w:p w:rsidR="00697BCD" w:rsidRDefault="00697BCD" w:rsidP="00624E11">
            <w:pPr>
              <w:pStyle w:val="Tabletext-right"/>
            </w:pPr>
            <w:r>
              <w:t>0.68</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0.29</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Powerdirect</w:t>
            </w:r>
            <w:proofErr w:type="spellEnd"/>
          </w:p>
        </w:tc>
        <w:tc>
          <w:tcPr>
            <w:tcW w:w="667" w:type="pct"/>
            <w:shd w:val="clear" w:color="auto" w:fill="auto"/>
          </w:tcPr>
          <w:p w:rsidR="00697BCD" w:rsidRDefault="00697BCD" w:rsidP="00624E11">
            <w:pPr>
              <w:pStyle w:val="Tabletext-right"/>
            </w:pPr>
            <w:r>
              <w:t>1.01</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lastRenderedPageBreak/>
              <w:t>QEnergy</w:t>
            </w:r>
            <w:proofErr w:type="spellEnd"/>
          </w:p>
        </w:tc>
        <w:tc>
          <w:tcPr>
            <w:tcW w:w="667" w:type="pct"/>
            <w:shd w:val="clear" w:color="auto" w:fill="auto"/>
          </w:tcPr>
          <w:p w:rsidR="00697BCD" w:rsidRDefault="00697BCD" w:rsidP="00624E11">
            <w:pPr>
              <w:pStyle w:val="Tabletext-right"/>
            </w:pPr>
            <w:r>
              <w:t>3.03</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Sanctuary Energy</w:t>
            </w:r>
          </w:p>
        </w:tc>
        <w:tc>
          <w:tcPr>
            <w:tcW w:w="667" w:type="pct"/>
            <w:shd w:val="clear" w:color="auto" w:fill="auto"/>
          </w:tcPr>
          <w:p w:rsidR="00697BCD" w:rsidRDefault="00697BCD" w:rsidP="00624E11">
            <w:pPr>
              <w:pStyle w:val="Tabletext-right"/>
            </w:pPr>
            <w:r>
              <w:t>0.70</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Simply Energy</w:t>
            </w:r>
          </w:p>
        </w:tc>
        <w:tc>
          <w:tcPr>
            <w:tcW w:w="667" w:type="pct"/>
            <w:shd w:val="clear" w:color="auto" w:fill="auto"/>
          </w:tcPr>
          <w:p w:rsidR="00697BCD" w:rsidRDefault="00697BCD" w:rsidP="00624E11">
            <w:pPr>
              <w:pStyle w:val="Tabletext-right"/>
            </w:pPr>
            <w:r>
              <w:t>0.13</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Total Qld</w:t>
            </w:r>
          </w:p>
        </w:tc>
        <w:tc>
          <w:tcPr>
            <w:tcW w:w="667" w:type="pct"/>
            <w:shd w:val="clear" w:color="auto" w:fill="auto"/>
          </w:tcPr>
          <w:p w:rsidR="00697BCD" w:rsidRDefault="00697BCD" w:rsidP="00624E11">
            <w:pPr>
              <w:pStyle w:val="Tabletext-right"/>
            </w:pPr>
            <w:r>
              <w:t>0.97</w:t>
            </w: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Default="00697BCD" w:rsidP="00624E11">
            <w:pPr>
              <w:pStyle w:val="Tabletext-right"/>
            </w:pPr>
            <w:r>
              <w:t>0.59</w:t>
            </w: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SA</w:t>
            </w: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AGL</w:t>
            </w:r>
          </w:p>
        </w:tc>
        <w:tc>
          <w:tcPr>
            <w:tcW w:w="667" w:type="pct"/>
            <w:shd w:val="clear" w:color="auto" w:fill="auto"/>
          </w:tcPr>
          <w:p w:rsidR="00697BCD" w:rsidRDefault="00697BCD" w:rsidP="00624E11">
            <w:pPr>
              <w:pStyle w:val="Tabletext-right"/>
            </w:pPr>
            <w:r>
              <w:t>2.20</w:t>
            </w:r>
          </w:p>
        </w:tc>
        <w:tc>
          <w:tcPr>
            <w:tcW w:w="885" w:type="pct"/>
            <w:shd w:val="clear" w:color="auto" w:fill="auto"/>
          </w:tcPr>
          <w:p w:rsidR="00697BCD" w:rsidRDefault="00697BCD" w:rsidP="00624E11">
            <w:pPr>
              <w:pStyle w:val="Tabletext-right"/>
            </w:pPr>
            <w:r>
              <w:rPr>
                <w:rStyle w:val="Arialarrow"/>
              </w:rPr>
              <w:t>▲</w:t>
            </w:r>
            <w:r>
              <w:t>0.84</w:t>
            </w:r>
          </w:p>
        </w:tc>
        <w:tc>
          <w:tcPr>
            <w:tcW w:w="667" w:type="pct"/>
            <w:shd w:val="clear" w:color="auto" w:fill="auto"/>
          </w:tcPr>
          <w:p w:rsidR="00697BCD" w:rsidRDefault="00697BCD" w:rsidP="00624E11">
            <w:pPr>
              <w:pStyle w:val="Tabletext-right"/>
            </w:pPr>
            <w:r>
              <w:t>2.45</w:t>
            </w:r>
          </w:p>
        </w:tc>
        <w:tc>
          <w:tcPr>
            <w:tcW w:w="885" w:type="pct"/>
            <w:shd w:val="clear" w:color="auto" w:fill="auto"/>
          </w:tcPr>
          <w:p w:rsidR="00697BCD" w:rsidRDefault="00697BCD" w:rsidP="00624E11">
            <w:pPr>
              <w:pStyle w:val="Tabletext-right"/>
            </w:pPr>
            <w:r>
              <w:rPr>
                <w:rStyle w:val="Arialarrow"/>
              </w:rPr>
              <w:t>▲</w:t>
            </w:r>
            <w:r>
              <w:t>1.10</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 </w:t>
            </w:r>
          </w:p>
        </w:tc>
        <w:tc>
          <w:tcPr>
            <w:tcW w:w="667" w:type="pct"/>
            <w:shd w:val="clear" w:color="auto" w:fill="auto"/>
          </w:tcPr>
          <w:p w:rsidR="00697BCD" w:rsidRDefault="00697BCD" w:rsidP="00624E11">
            <w:pPr>
              <w:pStyle w:val="Tabletext-right"/>
            </w:pPr>
            <w:r>
              <w:t>1.02</w:t>
            </w:r>
          </w:p>
        </w:tc>
        <w:tc>
          <w:tcPr>
            <w:tcW w:w="885" w:type="pct"/>
            <w:shd w:val="clear" w:color="auto" w:fill="auto"/>
          </w:tcPr>
          <w:p w:rsidR="00697BCD" w:rsidRDefault="00697BCD" w:rsidP="00624E11">
            <w:pPr>
              <w:pStyle w:val="Tabletext-right"/>
            </w:pPr>
            <w:r>
              <w:rPr>
                <w:rStyle w:val="Arialarrow"/>
              </w:rPr>
              <w:t>▼</w:t>
            </w:r>
            <w:r>
              <w:t>0.50</w:t>
            </w:r>
          </w:p>
        </w:tc>
        <w:tc>
          <w:tcPr>
            <w:tcW w:w="667" w:type="pct"/>
            <w:shd w:val="clear" w:color="auto" w:fill="auto"/>
          </w:tcPr>
          <w:p w:rsidR="00697BCD" w:rsidRDefault="00697BCD" w:rsidP="00624E11">
            <w:pPr>
              <w:pStyle w:val="Tabletext-right"/>
            </w:pPr>
            <w:r>
              <w:t>0.61</w:t>
            </w:r>
          </w:p>
        </w:tc>
        <w:tc>
          <w:tcPr>
            <w:tcW w:w="885" w:type="pct"/>
            <w:shd w:val="clear" w:color="auto" w:fill="auto"/>
          </w:tcPr>
          <w:p w:rsidR="00697BCD" w:rsidRDefault="00697BCD" w:rsidP="00624E11">
            <w:pPr>
              <w:pStyle w:val="Tabletext-right"/>
            </w:pPr>
            <w:r>
              <w:rPr>
                <w:rStyle w:val="Arialarrow"/>
              </w:rPr>
              <w:t>▼</w:t>
            </w:r>
            <w:r>
              <w:t>0.44</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Diamond Energy</w:t>
            </w:r>
          </w:p>
        </w:tc>
        <w:tc>
          <w:tcPr>
            <w:tcW w:w="667" w:type="pct"/>
            <w:shd w:val="clear" w:color="auto" w:fill="auto"/>
          </w:tcPr>
          <w:p w:rsidR="00697BCD" w:rsidRDefault="00697BCD" w:rsidP="00624E11">
            <w:pPr>
              <w:pStyle w:val="Tabletext-right"/>
            </w:pPr>
            <w:r>
              <w:t>0.21</w:t>
            </w:r>
          </w:p>
        </w:tc>
        <w:tc>
          <w:tcPr>
            <w:tcW w:w="885" w:type="pct"/>
            <w:shd w:val="clear" w:color="auto" w:fill="auto"/>
          </w:tcPr>
          <w:p w:rsidR="00697BCD" w:rsidRDefault="00697BCD" w:rsidP="00624E11">
            <w:pPr>
              <w:pStyle w:val="Tabletext-right"/>
            </w:pPr>
            <w:r>
              <w:rPr>
                <w:rStyle w:val="Arialarrow"/>
              </w:rPr>
              <w:t>▲</w:t>
            </w:r>
            <w:r>
              <w:t>0.21</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0.00</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EnergyAustralia</w:t>
            </w:r>
            <w:proofErr w:type="spellEnd"/>
          </w:p>
        </w:tc>
        <w:tc>
          <w:tcPr>
            <w:tcW w:w="667" w:type="pct"/>
            <w:shd w:val="clear" w:color="auto" w:fill="auto"/>
          </w:tcPr>
          <w:p w:rsidR="00697BCD" w:rsidRDefault="00697BCD" w:rsidP="00624E11">
            <w:pPr>
              <w:pStyle w:val="Tabletext-right"/>
            </w:pPr>
            <w:r>
              <w:t>1.83</w:t>
            </w:r>
          </w:p>
        </w:tc>
        <w:tc>
          <w:tcPr>
            <w:tcW w:w="885" w:type="pct"/>
            <w:shd w:val="clear" w:color="auto" w:fill="auto"/>
          </w:tcPr>
          <w:p w:rsidR="00697BCD" w:rsidRDefault="00697BCD" w:rsidP="00624E11">
            <w:pPr>
              <w:pStyle w:val="Tabletext-right"/>
            </w:pPr>
            <w:r>
              <w:rPr>
                <w:rStyle w:val="Arialarrow"/>
              </w:rPr>
              <w:t>▼</w:t>
            </w:r>
            <w:r>
              <w:t>0.70</w:t>
            </w:r>
          </w:p>
        </w:tc>
        <w:tc>
          <w:tcPr>
            <w:tcW w:w="667" w:type="pct"/>
            <w:shd w:val="clear" w:color="auto" w:fill="auto"/>
          </w:tcPr>
          <w:p w:rsidR="00697BCD" w:rsidRDefault="00697BCD" w:rsidP="00624E11">
            <w:pPr>
              <w:pStyle w:val="Tabletext-right"/>
            </w:pPr>
            <w:r>
              <w:t>0.87</w:t>
            </w:r>
          </w:p>
        </w:tc>
        <w:tc>
          <w:tcPr>
            <w:tcW w:w="885" w:type="pct"/>
            <w:shd w:val="clear" w:color="auto" w:fill="auto"/>
          </w:tcPr>
          <w:p w:rsidR="00697BCD" w:rsidRDefault="00697BCD" w:rsidP="00624E11">
            <w:pPr>
              <w:pStyle w:val="Tabletext-right"/>
            </w:pPr>
            <w:r>
              <w:rPr>
                <w:rStyle w:val="Arialarrow"/>
              </w:rPr>
              <w:t>▼</w:t>
            </w:r>
            <w:r>
              <w:t>0.27</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7" w:type="pct"/>
            <w:shd w:val="clear" w:color="auto" w:fill="auto"/>
          </w:tcPr>
          <w:p w:rsidR="00697BCD" w:rsidRDefault="00697BCD" w:rsidP="00624E11">
            <w:pPr>
              <w:pStyle w:val="Tabletext-right"/>
            </w:pPr>
            <w:r>
              <w:t>0.60</w:t>
            </w:r>
          </w:p>
        </w:tc>
        <w:tc>
          <w:tcPr>
            <w:tcW w:w="885" w:type="pct"/>
            <w:shd w:val="clear" w:color="auto" w:fill="auto"/>
          </w:tcPr>
          <w:p w:rsidR="00697BCD" w:rsidRDefault="00697BCD" w:rsidP="00624E11">
            <w:pPr>
              <w:pStyle w:val="Tabletext-right"/>
            </w:pPr>
            <w:r>
              <w:rPr>
                <w:rStyle w:val="Arialarrow"/>
              </w:rPr>
              <w:t>▲</w:t>
            </w:r>
            <w:r>
              <w:t>0.07</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M2 Energy</w:t>
            </w:r>
          </w:p>
        </w:tc>
        <w:tc>
          <w:tcPr>
            <w:tcW w:w="667" w:type="pct"/>
            <w:shd w:val="clear" w:color="auto" w:fill="auto"/>
          </w:tcPr>
          <w:p w:rsidR="00697BCD" w:rsidRDefault="00697BCD" w:rsidP="00624E11">
            <w:pPr>
              <w:pStyle w:val="Tabletext-right"/>
            </w:pPr>
            <w:r>
              <w:t>1.47</w:t>
            </w:r>
          </w:p>
        </w:tc>
        <w:tc>
          <w:tcPr>
            <w:tcW w:w="885" w:type="pct"/>
            <w:shd w:val="clear" w:color="auto" w:fill="auto"/>
          </w:tcPr>
          <w:p w:rsidR="00697BCD" w:rsidRDefault="00697BCD" w:rsidP="00624E11">
            <w:pPr>
              <w:pStyle w:val="Tabletext-right"/>
            </w:pPr>
            <w:r>
              <w:rPr>
                <w:rStyle w:val="Arialarrow"/>
              </w:rPr>
              <w:t>▲</w:t>
            </w:r>
            <w:r>
              <w:t>0.30</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Momentum Energy</w:t>
            </w:r>
          </w:p>
        </w:tc>
        <w:tc>
          <w:tcPr>
            <w:tcW w:w="667" w:type="pct"/>
            <w:shd w:val="clear" w:color="auto" w:fill="auto"/>
          </w:tcPr>
          <w:p w:rsidR="00697BCD" w:rsidRDefault="00697BCD" w:rsidP="00624E11">
            <w:pPr>
              <w:pStyle w:val="Tabletext-right"/>
            </w:pPr>
            <w:r>
              <w:t>1.55</w:t>
            </w:r>
          </w:p>
        </w:tc>
        <w:tc>
          <w:tcPr>
            <w:tcW w:w="885" w:type="pct"/>
            <w:shd w:val="clear" w:color="auto" w:fill="auto"/>
          </w:tcPr>
          <w:p w:rsidR="00697BCD" w:rsidRDefault="00697BCD" w:rsidP="00624E11">
            <w:pPr>
              <w:pStyle w:val="Tabletext-right"/>
            </w:pPr>
            <w:r>
              <w:rPr>
                <w:rStyle w:val="Arialarrow"/>
              </w:rPr>
              <w:t>▼</w:t>
            </w:r>
            <w:r>
              <w:t>0.41</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Origin Energy</w:t>
            </w:r>
          </w:p>
        </w:tc>
        <w:tc>
          <w:tcPr>
            <w:tcW w:w="667" w:type="pct"/>
            <w:shd w:val="clear" w:color="auto" w:fill="auto"/>
          </w:tcPr>
          <w:p w:rsidR="00697BCD" w:rsidRDefault="00697BCD" w:rsidP="00624E11">
            <w:pPr>
              <w:pStyle w:val="Tabletext-right"/>
            </w:pPr>
            <w:r>
              <w:t>1.50</w:t>
            </w:r>
          </w:p>
        </w:tc>
        <w:tc>
          <w:tcPr>
            <w:tcW w:w="885" w:type="pct"/>
            <w:shd w:val="clear" w:color="auto" w:fill="auto"/>
          </w:tcPr>
          <w:p w:rsidR="00697BCD" w:rsidRDefault="00697BCD" w:rsidP="00624E11">
            <w:pPr>
              <w:pStyle w:val="Tabletext-right"/>
            </w:pPr>
            <w:r>
              <w:rPr>
                <w:rStyle w:val="Arialarrow"/>
              </w:rPr>
              <w:t>▲</w:t>
            </w:r>
            <w:r>
              <w:t>0.02</w:t>
            </w:r>
          </w:p>
        </w:tc>
        <w:tc>
          <w:tcPr>
            <w:tcW w:w="667" w:type="pct"/>
            <w:shd w:val="clear" w:color="auto" w:fill="auto"/>
          </w:tcPr>
          <w:p w:rsidR="00697BCD" w:rsidRDefault="00697BCD" w:rsidP="00624E11">
            <w:pPr>
              <w:pStyle w:val="Tabletext-right"/>
            </w:pPr>
            <w:r>
              <w:t>0.65</w:t>
            </w:r>
          </w:p>
        </w:tc>
        <w:tc>
          <w:tcPr>
            <w:tcW w:w="885" w:type="pct"/>
            <w:shd w:val="clear" w:color="auto" w:fill="auto"/>
          </w:tcPr>
          <w:p w:rsidR="00697BCD" w:rsidRDefault="00697BCD" w:rsidP="00624E11">
            <w:pPr>
              <w:pStyle w:val="Tabletext-right"/>
            </w:pPr>
            <w:r>
              <w:rPr>
                <w:rStyle w:val="Arialarrow"/>
              </w:rPr>
              <w:t>▲</w:t>
            </w:r>
            <w:r>
              <w:t>0.13</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Powerdirect</w:t>
            </w:r>
            <w:proofErr w:type="spellEnd"/>
          </w:p>
        </w:tc>
        <w:tc>
          <w:tcPr>
            <w:tcW w:w="667" w:type="pct"/>
            <w:shd w:val="clear" w:color="auto" w:fill="auto"/>
          </w:tcPr>
          <w:p w:rsidR="00697BCD" w:rsidRDefault="00697BCD" w:rsidP="00624E11">
            <w:pPr>
              <w:pStyle w:val="Tabletext-right"/>
            </w:pPr>
            <w:r>
              <w:t>1.11</w:t>
            </w:r>
          </w:p>
        </w:tc>
        <w:tc>
          <w:tcPr>
            <w:tcW w:w="885" w:type="pct"/>
            <w:shd w:val="clear" w:color="auto" w:fill="auto"/>
          </w:tcPr>
          <w:p w:rsidR="00697BCD" w:rsidRDefault="00697BCD" w:rsidP="00624E11">
            <w:pPr>
              <w:pStyle w:val="Tabletext-right"/>
            </w:pPr>
            <w:r>
              <w:rPr>
                <w:rStyle w:val="Arialarrow"/>
              </w:rPr>
              <w:t>▲</w:t>
            </w:r>
            <w:r>
              <w:t>0.45</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QEnergy</w:t>
            </w:r>
            <w:proofErr w:type="spellEnd"/>
          </w:p>
        </w:tc>
        <w:tc>
          <w:tcPr>
            <w:tcW w:w="667" w:type="pct"/>
            <w:shd w:val="clear" w:color="auto" w:fill="auto"/>
          </w:tcPr>
          <w:p w:rsidR="00697BCD" w:rsidRDefault="00697BCD" w:rsidP="00624E11">
            <w:pPr>
              <w:pStyle w:val="Tabletext-right"/>
            </w:pPr>
            <w:r>
              <w:t>0.81</w:t>
            </w:r>
          </w:p>
        </w:tc>
        <w:tc>
          <w:tcPr>
            <w:tcW w:w="885" w:type="pct"/>
            <w:shd w:val="clear" w:color="auto" w:fill="auto"/>
          </w:tcPr>
          <w:p w:rsidR="00697BCD" w:rsidRDefault="00697BCD" w:rsidP="00624E11">
            <w:pPr>
              <w:pStyle w:val="Tabletext-right"/>
            </w:pPr>
            <w:r>
              <w:t>–</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Red Energy</w:t>
            </w:r>
          </w:p>
        </w:tc>
        <w:tc>
          <w:tcPr>
            <w:tcW w:w="667" w:type="pct"/>
            <w:shd w:val="clear" w:color="auto" w:fill="auto"/>
          </w:tcPr>
          <w:p w:rsidR="00697BCD" w:rsidRDefault="00697BCD" w:rsidP="00624E11">
            <w:pPr>
              <w:pStyle w:val="Tabletext-right"/>
            </w:pPr>
            <w:r>
              <w:t>0.91</w:t>
            </w:r>
          </w:p>
        </w:tc>
        <w:tc>
          <w:tcPr>
            <w:tcW w:w="885" w:type="pct"/>
            <w:shd w:val="clear" w:color="auto" w:fill="auto"/>
          </w:tcPr>
          <w:p w:rsidR="00697BCD" w:rsidRDefault="00697BCD" w:rsidP="00624E11">
            <w:pPr>
              <w:pStyle w:val="Tabletext-right"/>
            </w:pPr>
            <w:r>
              <w:rPr>
                <w:rStyle w:val="Arialarrow"/>
              </w:rPr>
              <w:t>▲</w:t>
            </w:r>
            <w:r>
              <w:t>0.07</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Simply Energy</w:t>
            </w:r>
          </w:p>
        </w:tc>
        <w:tc>
          <w:tcPr>
            <w:tcW w:w="667" w:type="pct"/>
            <w:shd w:val="clear" w:color="auto" w:fill="auto"/>
          </w:tcPr>
          <w:p w:rsidR="00697BCD" w:rsidRDefault="00697BCD" w:rsidP="00624E11">
            <w:pPr>
              <w:pStyle w:val="Tabletext-right"/>
            </w:pPr>
            <w:r>
              <w:t>2.02</w:t>
            </w:r>
          </w:p>
        </w:tc>
        <w:tc>
          <w:tcPr>
            <w:tcW w:w="885" w:type="pct"/>
            <w:shd w:val="clear" w:color="auto" w:fill="auto"/>
          </w:tcPr>
          <w:p w:rsidR="00697BCD" w:rsidRDefault="00697BCD" w:rsidP="00624E11">
            <w:pPr>
              <w:pStyle w:val="Tabletext-right"/>
            </w:pPr>
            <w:r>
              <w:rPr>
                <w:rStyle w:val="Arialarrow"/>
              </w:rPr>
              <w:t>▼</w:t>
            </w:r>
            <w:r>
              <w:t>0.14</w:t>
            </w:r>
          </w:p>
        </w:tc>
        <w:tc>
          <w:tcPr>
            <w:tcW w:w="667" w:type="pct"/>
            <w:shd w:val="clear" w:color="auto" w:fill="auto"/>
          </w:tcPr>
          <w:p w:rsidR="00697BCD" w:rsidRDefault="00697BCD" w:rsidP="00624E11">
            <w:pPr>
              <w:pStyle w:val="Tabletext-right"/>
            </w:pPr>
            <w:r>
              <w:t>2.14</w:t>
            </w:r>
          </w:p>
        </w:tc>
        <w:tc>
          <w:tcPr>
            <w:tcW w:w="885" w:type="pct"/>
            <w:shd w:val="clear" w:color="auto" w:fill="auto"/>
          </w:tcPr>
          <w:p w:rsidR="00697BCD" w:rsidRDefault="00697BCD" w:rsidP="00624E11">
            <w:pPr>
              <w:pStyle w:val="Tabletext-right"/>
            </w:pPr>
            <w:r>
              <w:rPr>
                <w:rStyle w:val="Arialarrow"/>
              </w:rPr>
              <w:t>▲</w:t>
            </w:r>
            <w:r>
              <w:t>0.13</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Total SA</w:t>
            </w:r>
          </w:p>
        </w:tc>
        <w:tc>
          <w:tcPr>
            <w:tcW w:w="667" w:type="pct"/>
            <w:shd w:val="clear" w:color="auto" w:fill="auto"/>
          </w:tcPr>
          <w:p w:rsidR="00697BCD" w:rsidRDefault="00697BCD" w:rsidP="00624E11">
            <w:pPr>
              <w:pStyle w:val="Tabletext-right"/>
            </w:pPr>
            <w:r>
              <w:t>1.8</w:t>
            </w:r>
          </w:p>
        </w:tc>
        <w:tc>
          <w:tcPr>
            <w:tcW w:w="885" w:type="pct"/>
            <w:shd w:val="clear" w:color="auto" w:fill="auto"/>
          </w:tcPr>
          <w:p w:rsidR="00697BCD" w:rsidRDefault="00697BCD" w:rsidP="00624E11">
            <w:pPr>
              <w:pStyle w:val="Tabletext-right"/>
            </w:pPr>
            <w:r>
              <w:rPr>
                <w:rStyle w:val="Arialarrow"/>
              </w:rPr>
              <w:t>0.3</w:t>
            </w:r>
          </w:p>
        </w:tc>
        <w:tc>
          <w:tcPr>
            <w:tcW w:w="667" w:type="pct"/>
            <w:shd w:val="clear" w:color="auto" w:fill="auto"/>
          </w:tcPr>
          <w:p w:rsidR="00697BCD" w:rsidRDefault="00697BCD" w:rsidP="00624E11">
            <w:pPr>
              <w:pStyle w:val="Tabletext-right"/>
            </w:pPr>
            <w:r>
              <w:t>1.36</w:t>
            </w:r>
          </w:p>
        </w:tc>
        <w:tc>
          <w:tcPr>
            <w:tcW w:w="885" w:type="pct"/>
            <w:shd w:val="clear" w:color="auto" w:fill="auto"/>
          </w:tcPr>
          <w:p w:rsidR="00697BCD" w:rsidRDefault="00697BCD" w:rsidP="00624E11">
            <w:pPr>
              <w:pStyle w:val="Tabletext-right"/>
            </w:pPr>
            <w:r>
              <w:rPr>
                <w:rStyle w:val="Arialarrow"/>
              </w:rPr>
              <w:t>▲</w:t>
            </w:r>
            <w:r>
              <w:t>0.36</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ACT</w:t>
            </w: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ActewAGL</w:t>
            </w:r>
            <w:proofErr w:type="spellEnd"/>
          </w:p>
        </w:tc>
        <w:tc>
          <w:tcPr>
            <w:tcW w:w="667" w:type="pct"/>
            <w:shd w:val="clear" w:color="auto" w:fill="auto"/>
          </w:tcPr>
          <w:p w:rsidR="00697BCD" w:rsidRDefault="00697BCD" w:rsidP="00624E11">
            <w:pPr>
              <w:pStyle w:val="Tabletext-right"/>
            </w:pPr>
            <w:r>
              <w:t>0.36</w:t>
            </w:r>
          </w:p>
        </w:tc>
        <w:tc>
          <w:tcPr>
            <w:tcW w:w="885" w:type="pct"/>
            <w:shd w:val="clear" w:color="auto" w:fill="auto"/>
          </w:tcPr>
          <w:p w:rsidR="00697BCD" w:rsidRDefault="00697BCD" w:rsidP="00624E11">
            <w:pPr>
              <w:pStyle w:val="Tabletext-right"/>
            </w:pPr>
            <w:r>
              <w:rPr>
                <w:rStyle w:val="Arialarrow"/>
              </w:rPr>
              <w:t>▼</w:t>
            </w:r>
            <w:r>
              <w:t>0.02</w:t>
            </w:r>
          </w:p>
        </w:tc>
        <w:tc>
          <w:tcPr>
            <w:tcW w:w="667" w:type="pct"/>
            <w:shd w:val="clear" w:color="auto" w:fill="auto"/>
          </w:tcPr>
          <w:p w:rsidR="00697BCD" w:rsidRDefault="00697BCD" w:rsidP="00624E11">
            <w:pPr>
              <w:pStyle w:val="Tabletext-right"/>
            </w:pPr>
            <w:r>
              <w:t>0.70</w:t>
            </w:r>
          </w:p>
        </w:tc>
        <w:tc>
          <w:tcPr>
            <w:tcW w:w="885" w:type="pct"/>
            <w:shd w:val="clear" w:color="auto" w:fill="auto"/>
          </w:tcPr>
          <w:p w:rsidR="00697BCD" w:rsidRDefault="00697BCD" w:rsidP="00624E11">
            <w:pPr>
              <w:pStyle w:val="Tabletext-right"/>
            </w:pPr>
            <w:r>
              <w:rPr>
                <w:rStyle w:val="Arialarrow"/>
              </w:rPr>
              <w:t>▲</w:t>
            </w:r>
            <w:r>
              <w:t>0.21</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EnergyAustralia</w:t>
            </w:r>
            <w:proofErr w:type="spellEnd"/>
          </w:p>
        </w:tc>
        <w:tc>
          <w:tcPr>
            <w:tcW w:w="667" w:type="pct"/>
            <w:shd w:val="clear" w:color="auto" w:fill="auto"/>
          </w:tcPr>
          <w:p w:rsidR="00697BCD" w:rsidRDefault="00697BCD" w:rsidP="00624E11">
            <w:pPr>
              <w:pStyle w:val="Tabletext-right"/>
            </w:pPr>
            <w:r>
              <w:t>0.86</w:t>
            </w:r>
          </w:p>
        </w:tc>
        <w:tc>
          <w:tcPr>
            <w:tcW w:w="885" w:type="pct"/>
            <w:shd w:val="clear" w:color="auto" w:fill="auto"/>
          </w:tcPr>
          <w:p w:rsidR="00697BCD" w:rsidRDefault="00697BCD" w:rsidP="00624E11">
            <w:pPr>
              <w:pStyle w:val="Tabletext-right"/>
            </w:pPr>
            <w:r>
              <w:rPr>
                <w:rStyle w:val="Arialarrow"/>
              </w:rPr>
              <w:t>▼</w:t>
            </w:r>
            <w:r>
              <w:t>0.95</w:t>
            </w:r>
          </w:p>
        </w:tc>
        <w:tc>
          <w:tcPr>
            <w:tcW w:w="667" w:type="pct"/>
            <w:shd w:val="clear" w:color="auto" w:fill="auto"/>
          </w:tcPr>
          <w:p w:rsidR="00697BCD" w:rsidRDefault="00697BCD" w:rsidP="00624E11">
            <w:pPr>
              <w:pStyle w:val="Tabletext-right"/>
            </w:pPr>
            <w:r>
              <w:t>0.72</w:t>
            </w:r>
          </w:p>
        </w:tc>
        <w:tc>
          <w:tcPr>
            <w:tcW w:w="885" w:type="pct"/>
            <w:shd w:val="clear" w:color="auto" w:fill="auto"/>
          </w:tcPr>
          <w:p w:rsidR="00697BCD" w:rsidRDefault="00697BCD" w:rsidP="00624E11">
            <w:pPr>
              <w:pStyle w:val="Tabletext-right"/>
            </w:pPr>
            <w:r>
              <w:rPr>
                <w:rStyle w:val="Arialarrow"/>
              </w:rPr>
              <w:t>▼</w:t>
            </w:r>
            <w:r>
              <w:t>0.35</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Origin</w:t>
            </w:r>
          </w:p>
        </w:tc>
        <w:tc>
          <w:tcPr>
            <w:tcW w:w="667" w:type="pct"/>
            <w:shd w:val="clear" w:color="auto" w:fill="auto"/>
          </w:tcPr>
          <w:p w:rsidR="00697BCD" w:rsidRDefault="00697BCD" w:rsidP="00624E11">
            <w:pPr>
              <w:pStyle w:val="Tabletext-right"/>
            </w:pPr>
            <w:r>
              <w:t>0.16</w:t>
            </w:r>
          </w:p>
        </w:tc>
        <w:tc>
          <w:tcPr>
            <w:tcW w:w="885" w:type="pct"/>
            <w:shd w:val="clear" w:color="auto" w:fill="auto"/>
          </w:tcPr>
          <w:p w:rsidR="00697BCD" w:rsidRDefault="00697BCD" w:rsidP="00624E11">
            <w:pPr>
              <w:pStyle w:val="Tabletext-right"/>
            </w:pPr>
            <w:r>
              <w:rPr>
                <w:rStyle w:val="Arialarrow"/>
              </w:rPr>
              <w:t>▲</w:t>
            </w:r>
            <w:r>
              <w:t>0.16</w:t>
            </w:r>
          </w:p>
        </w:tc>
        <w:tc>
          <w:tcPr>
            <w:tcW w:w="667" w:type="pct"/>
            <w:shd w:val="clear" w:color="auto" w:fill="auto"/>
          </w:tcPr>
          <w:p w:rsidR="00697BCD" w:rsidRDefault="00697BCD" w:rsidP="00624E11">
            <w:pPr>
              <w:pStyle w:val="Tabletext-right"/>
            </w:pPr>
            <w:r>
              <w:t>0.25</w:t>
            </w:r>
          </w:p>
        </w:tc>
        <w:tc>
          <w:tcPr>
            <w:tcW w:w="885" w:type="pct"/>
            <w:shd w:val="clear" w:color="auto" w:fill="auto"/>
          </w:tcPr>
          <w:p w:rsidR="00697BCD" w:rsidRDefault="00697BCD" w:rsidP="00624E11">
            <w:pPr>
              <w:pStyle w:val="Tabletext-right"/>
            </w:pPr>
            <w:r>
              <w:t>N/A</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Total ACT</w:t>
            </w:r>
          </w:p>
        </w:tc>
        <w:tc>
          <w:tcPr>
            <w:tcW w:w="667" w:type="pct"/>
            <w:shd w:val="clear" w:color="auto" w:fill="auto"/>
          </w:tcPr>
          <w:p w:rsidR="00697BCD" w:rsidRDefault="00697BCD" w:rsidP="00624E11">
            <w:pPr>
              <w:pStyle w:val="Tabletext-right"/>
            </w:pPr>
            <w:r>
              <w:t>0.37</w:t>
            </w:r>
          </w:p>
        </w:tc>
        <w:tc>
          <w:tcPr>
            <w:tcW w:w="885" w:type="pct"/>
            <w:shd w:val="clear" w:color="auto" w:fill="auto"/>
          </w:tcPr>
          <w:p w:rsidR="00697BCD" w:rsidRDefault="00697BCD" w:rsidP="00624E11">
            <w:pPr>
              <w:pStyle w:val="Tabletext-right"/>
            </w:pPr>
            <w:r>
              <w:rPr>
                <w:rStyle w:val="Arialarrow"/>
              </w:rPr>
              <w:t>▼</w:t>
            </w:r>
            <w:r>
              <w:t>0.05</w:t>
            </w:r>
          </w:p>
        </w:tc>
        <w:tc>
          <w:tcPr>
            <w:tcW w:w="667" w:type="pct"/>
            <w:shd w:val="clear" w:color="auto" w:fill="auto"/>
          </w:tcPr>
          <w:p w:rsidR="00697BCD" w:rsidRDefault="00697BCD" w:rsidP="00624E11">
            <w:pPr>
              <w:pStyle w:val="Tabletext-right"/>
            </w:pPr>
            <w:r>
              <w:t>0.68</w:t>
            </w:r>
          </w:p>
        </w:tc>
        <w:tc>
          <w:tcPr>
            <w:tcW w:w="885" w:type="pct"/>
            <w:shd w:val="clear" w:color="auto" w:fill="auto"/>
          </w:tcPr>
          <w:p w:rsidR="00697BCD" w:rsidRDefault="00697BCD" w:rsidP="00624E11">
            <w:pPr>
              <w:pStyle w:val="Tabletext-right"/>
            </w:pPr>
            <w:r>
              <w:rPr>
                <w:rStyle w:val="Arialarrow"/>
              </w:rPr>
              <w:t>▲</w:t>
            </w:r>
            <w:r>
              <w:t>0.18</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Tasmania</w:t>
            </w: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Aurora</w:t>
            </w:r>
          </w:p>
        </w:tc>
        <w:tc>
          <w:tcPr>
            <w:tcW w:w="667" w:type="pct"/>
            <w:shd w:val="clear" w:color="auto" w:fill="auto"/>
          </w:tcPr>
          <w:p w:rsidR="00697BCD" w:rsidRDefault="00697BCD" w:rsidP="00624E11">
            <w:pPr>
              <w:pStyle w:val="Tabletext-right"/>
            </w:pPr>
            <w:r>
              <w:t>0.87</w:t>
            </w:r>
          </w:p>
        </w:tc>
        <w:tc>
          <w:tcPr>
            <w:tcW w:w="885" w:type="pct"/>
            <w:shd w:val="clear" w:color="auto" w:fill="auto"/>
          </w:tcPr>
          <w:p w:rsidR="00697BCD" w:rsidRDefault="00697BCD" w:rsidP="00624E11">
            <w:pPr>
              <w:pStyle w:val="Tabletext-right"/>
            </w:pPr>
            <w:r>
              <w:rPr>
                <w:rStyle w:val="Arialarrow"/>
              </w:rPr>
              <w:t>▲</w:t>
            </w:r>
            <w:r>
              <w:t>0.16</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N/A</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NSW</w:t>
            </w: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8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1st Energy</w:t>
            </w:r>
          </w:p>
        </w:tc>
        <w:tc>
          <w:tcPr>
            <w:tcW w:w="667" w:type="pct"/>
            <w:shd w:val="clear" w:color="auto" w:fill="auto"/>
          </w:tcPr>
          <w:p w:rsidR="00697BCD" w:rsidRDefault="00697BCD" w:rsidP="00624E11">
            <w:pPr>
              <w:pStyle w:val="Tabletext-right"/>
            </w:pPr>
            <w:r>
              <w:t>0.07</w:t>
            </w:r>
          </w:p>
        </w:tc>
        <w:tc>
          <w:tcPr>
            <w:tcW w:w="885" w:type="pct"/>
            <w:shd w:val="clear" w:color="auto" w:fill="auto"/>
          </w:tcPr>
          <w:p w:rsidR="00697BCD" w:rsidRDefault="00697BCD" w:rsidP="00624E11">
            <w:pPr>
              <w:pStyle w:val="Tabletext-right"/>
            </w:pPr>
            <w:r>
              <w:t>N/A</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ActewAGL</w:t>
            </w:r>
            <w:proofErr w:type="spellEnd"/>
          </w:p>
        </w:tc>
        <w:tc>
          <w:tcPr>
            <w:tcW w:w="667" w:type="pct"/>
            <w:shd w:val="clear" w:color="auto" w:fill="auto"/>
          </w:tcPr>
          <w:p w:rsidR="00697BCD" w:rsidRDefault="00697BCD" w:rsidP="00624E11">
            <w:pPr>
              <w:pStyle w:val="Tabletext-right"/>
            </w:pPr>
            <w:r>
              <w:t>1.29</w:t>
            </w:r>
          </w:p>
        </w:tc>
        <w:tc>
          <w:tcPr>
            <w:tcW w:w="885" w:type="pct"/>
            <w:shd w:val="clear" w:color="auto" w:fill="auto"/>
          </w:tcPr>
          <w:p w:rsidR="00697BCD" w:rsidRDefault="00697BCD" w:rsidP="00624E11">
            <w:pPr>
              <w:pStyle w:val="Tabletext-right"/>
            </w:pPr>
            <w:r>
              <w:rPr>
                <w:rStyle w:val="Arialarrow"/>
              </w:rPr>
              <w:t>▼</w:t>
            </w:r>
            <w:r>
              <w:t>0.15</w:t>
            </w:r>
          </w:p>
        </w:tc>
        <w:tc>
          <w:tcPr>
            <w:tcW w:w="667" w:type="pct"/>
            <w:shd w:val="clear" w:color="auto" w:fill="auto"/>
          </w:tcPr>
          <w:p w:rsidR="00697BCD" w:rsidRDefault="00697BCD" w:rsidP="00624E11">
            <w:pPr>
              <w:pStyle w:val="Tabletext-right"/>
            </w:pPr>
            <w:r>
              <w:t>1.03</w:t>
            </w:r>
          </w:p>
        </w:tc>
        <w:tc>
          <w:tcPr>
            <w:tcW w:w="885" w:type="pct"/>
            <w:shd w:val="clear" w:color="auto" w:fill="auto"/>
          </w:tcPr>
          <w:p w:rsidR="00697BCD" w:rsidRDefault="00697BCD" w:rsidP="00624E11">
            <w:pPr>
              <w:pStyle w:val="Tabletext-right"/>
            </w:pPr>
            <w:r>
              <w:rPr>
                <w:rStyle w:val="Arialarrow"/>
              </w:rPr>
              <w:t>▲</w:t>
            </w:r>
            <w:r>
              <w:t>0.25</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AGL</w:t>
            </w:r>
          </w:p>
        </w:tc>
        <w:tc>
          <w:tcPr>
            <w:tcW w:w="667" w:type="pct"/>
            <w:shd w:val="clear" w:color="auto" w:fill="auto"/>
          </w:tcPr>
          <w:p w:rsidR="00697BCD" w:rsidRDefault="00697BCD" w:rsidP="00624E11">
            <w:pPr>
              <w:pStyle w:val="Tabletext-right"/>
            </w:pPr>
            <w:r>
              <w:t>1.53</w:t>
            </w:r>
          </w:p>
        </w:tc>
        <w:tc>
          <w:tcPr>
            <w:tcW w:w="885" w:type="pct"/>
            <w:shd w:val="clear" w:color="auto" w:fill="auto"/>
          </w:tcPr>
          <w:p w:rsidR="00697BCD" w:rsidRDefault="00697BCD" w:rsidP="00624E11">
            <w:pPr>
              <w:pStyle w:val="Tabletext-right"/>
            </w:pPr>
            <w:r>
              <w:rPr>
                <w:rStyle w:val="Arialarrow"/>
              </w:rPr>
              <w:t>▲</w:t>
            </w:r>
            <w:r>
              <w:t>0.64</w:t>
            </w:r>
          </w:p>
        </w:tc>
        <w:tc>
          <w:tcPr>
            <w:tcW w:w="667" w:type="pct"/>
            <w:shd w:val="clear" w:color="auto" w:fill="auto"/>
          </w:tcPr>
          <w:p w:rsidR="00697BCD" w:rsidRDefault="00697BCD" w:rsidP="00624E11">
            <w:pPr>
              <w:pStyle w:val="Tabletext-right"/>
            </w:pPr>
            <w:r>
              <w:t>0.80</w:t>
            </w:r>
          </w:p>
        </w:tc>
        <w:tc>
          <w:tcPr>
            <w:tcW w:w="885" w:type="pct"/>
            <w:shd w:val="clear" w:color="auto" w:fill="auto"/>
          </w:tcPr>
          <w:p w:rsidR="00697BCD" w:rsidRDefault="00697BCD" w:rsidP="00624E11">
            <w:pPr>
              <w:pStyle w:val="Tabletext-right"/>
            </w:pPr>
            <w:r>
              <w:rPr>
                <w:rStyle w:val="Arialarrow"/>
              </w:rPr>
              <w:t>▲</w:t>
            </w:r>
            <w:r>
              <w:t>0.37</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Click Energy</w:t>
            </w:r>
          </w:p>
        </w:tc>
        <w:tc>
          <w:tcPr>
            <w:tcW w:w="667" w:type="pct"/>
            <w:shd w:val="clear" w:color="auto" w:fill="auto"/>
          </w:tcPr>
          <w:p w:rsidR="00697BCD" w:rsidRDefault="00697BCD" w:rsidP="00624E11">
            <w:pPr>
              <w:pStyle w:val="Tabletext-right"/>
            </w:pPr>
            <w:r>
              <w:t>0.29</w:t>
            </w:r>
          </w:p>
        </w:tc>
        <w:tc>
          <w:tcPr>
            <w:tcW w:w="885" w:type="pct"/>
            <w:shd w:val="clear" w:color="auto" w:fill="auto"/>
          </w:tcPr>
          <w:p w:rsidR="00697BCD" w:rsidRDefault="00697BCD" w:rsidP="00624E11">
            <w:pPr>
              <w:pStyle w:val="Tabletext-right"/>
            </w:pPr>
            <w:r>
              <w:rPr>
                <w:rStyle w:val="Arialarrow"/>
              </w:rPr>
              <w:t>▲</w:t>
            </w:r>
            <w:r>
              <w:t>0.16</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CovaU</w:t>
            </w:r>
            <w:proofErr w:type="spellEnd"/>
          </w:p>
        </w:tc>
        <w:tc>
          <w:tcPr>
            <w:tcW w:w="667" w:type="pct"/>
            <w:shd w:val="clear" w:color="auto" w:fill="auto"/>
          </w:tcPr>
          <w:p w:rsidR="00697BCD" w:rsidRDefault="00697BCD" w:rsidP="00624E11">
            <w:pPr>
              <w:pStyle w:val="Tabletext-right"/>
            </w:pPr>
            <w:r>
              <w:t>0.23</w:t>
            </w:r>
          </w:p>
        </w:tc>
        <w:tc>
          <w:tcPr>
            <w:tcW w:w="885" w:type="pct"/>
            <w:shd w:val="clear" w:color="auto" w:fill="auto"/>
          </w:tcPr>
          <w:p w:rsidR="00697BCD" w:rsidRDefault="00697BCD" w:rsidP="00624E11">
            <w:pPr>
              <w:pStyle w:val="Tabletext-right"/>
            </w:pPr>
            <w:r>
              <w:rPr>
                <w:rStyle w:val="Arialarrow"/>
              </w:rPr>
              <w:t>▲</w:t>
            </w:r>
            <w:r>
              <w:t>0.16</w:t>
            </w:r>
          </w:p>
        </w:tc>
        <w:tc>
          <w:tcPr>
            <w:tcW w:w="667" w:type="pct"/>
            <w:shd w:val="clear" w:color="auto" w:fill="auto"/>
          </w:tcPr>
          <w:p w:rsidR="00697BCD" w:rsidRDefault="00697BCD" w:rsidP="00624E11">
            <w:pPr>
              <w:pStyle w:val="Tabletext-right"/>
            </w:pPr>
            <w:r>
              <w:t>0.11</w:t>
            </w:r>
          </w:p>
        </w:tc>
        <w:tc>
          <w:tcPr>
            <w:tcW w:w="885" w:type="pct"/>
            <w:shd w:val="clear" w:color="auto" w:fill="auto"/>
          </w:tcPr>
          <w:p w:rsidR="00697BCD" w:rsidRDefault="00697BCD" w:rsidP="00624E11">
            <w:pPr>
              <w:pStyle w:val="Tabletext-right"/>
            </w:pPr>
            <w:r>
              <w:t>N/A</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Diamond Energy</w:t>
            </w:r>
          </w:p>
        </w:tc>
        <w:tc>
          <w:tcPr>
            <w:tcW w:w="667" w:type="pct"/>
            <w:shd w:val="clear" w:color="auto" w:fill="auto"/>
          </w:tcPr>
          <w:p w:rsidR="00697BCD" w:rsidRDefault="00697BCD" w:rsidP="00624E11">
            <w:pPr>
              <w:pStyle w:val="Tabletext-right"/>
            </w:pPr>
            <w:r>
              <w:t>0.13</w:t>
            </w:r>
          </w:p>
        </w:tc>
        <w:tc>
          <w:tcPr>
            <w:tcW w:w="885" w:type="pct"/>
            <w:shd w:val="clear" w:color="auto" w:fill="auto"/>
          </w:tcPr>
          <w:p w:rsidR="00697BCD" w:rsidRDefault="00697BCD" w:rsidP="00624E11">
            <w:pPr>
              <w:pStyle w:val="Tabletext-right"/>
            </w:pPr>
            <w:r>
              <w:rPr>
                <w:rStyle w:val="Arialarrow"/>
              </w:rPr>
              <w:t>▲</w:t>
            </w:r>
            <w:r>
              <w:t>0.06</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EnergyAustralia</w:t>
            </w:r>
            <w:proofErr w:type="spellEnd"/>
          </w:p>
        </w:tc>
        <w:tc>
          <w:tcPr>
            <w:tcW w:w="667" w:type="pct"/>
            <w:shd w:val="clear" w:color="auto" w:fill="auto"/>
          </w:tcPr>
          <w:p w:rsidR="00697BCD" w:rsidRDefault="00697BCD" w:rsidP="00624E11">
            <w:pPr>
              <w:pStyle w:val="Tabletext-right"/>
            </w:pPr>
            <w:r>
              <w:t>0.36</w:t>
            </w:r>
          </w:p>
        </w:tc>
        <w:tc>
          <w:tcPr>
            <w:tcW w:w="885" w:type="pct"/>
            <w:shd w:val="clear" w:color="auto" w:fill="auto"/>
          </w:tcPr>
          <w:p w:rsidR="00697BCD" w:rsidRDefault="00697BCD" w:rsidP="00624E11">
            <w:pPr>
              <w:pStyle w:val="Tabletext-right"/>
            </w:pPr>
            <w:r>
              <w:rPr>
                <w:rStyle w:val="Arialarrow"/>
              </w:rPr>
              <w:t>▼</w:t>
            </w:r>
            <w:r>
              <w:t>0.20</w:t>
            </w:r>
          </w:p>
        </w:tc>
        <w:tc>
          <w:tcPr>
            <w:tcW w:w="667" w:type="pct"/>
            <w:shd w:val="clear" w:color="auto" w:fill="auto"/>
          </w:tcPr>
          <w:p w:rsidR="00697BCD" w:rsidRDefault="00697BCD" w:rsidP="00624E11">
            <w:pPr>
              <w:pStyle w:val="Tabletext-right"/>
            </w:pPr>
            <w:r>
              <w:t>0.16</w:t>
            </w:r>
          </w:p>
        </w:tc>
        <w:tc>
          <w:tcPr>
            <w:tcW w:w="885" w:type="pct"/>
            <w:shd w:val="clear" w:color="auto" w:fill="auto"/>
          </w:tcPr>
          <w:p w:rsidR="00697BCD" w:rsidRDefault="00697BCD" w:rsidP="00624E11">
            <w:pPr>
              <w:pStyle w:val="Tabletext-right"/>
            </w:pPr>
            <w:r>
              <w:rPr>
                <w:rStyle w:val="Arialarrow"/>
              </w:rPr>
              <w:t>▲</w:t>
            </w:r>
            <w:r>
              <w:t>0.00</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7" w:type="pct"/>
            <w:shd w:val="clear" w:color="auto" w:fill="auto"/>
          </w:tcPr>
          <w:p w:rsidR="00697BCD" w:rsidRDefault="00697BCD" w:rsidP="00624E11">
            <w:pPr>
              <w:pStyle w:val="Tabletext-right"/>
            </w:pPr>
            <w:r>
              <w:t>0.46</w:t>
            </w:r>
          </w:p>
        </w:tc>
        <w:tc>
          <w:tcPr>
            <w:tcW w:w="885" w:type="pct"/>
            <w:shd w:val="clear" w:color="auto" w:fill="auto"/>
          </w:tcPr>
          <w:p w:rsidR="00697BCD" w:rsidRDefault="00697BCD" w:rsidP="00624E11">
            <w:pPr>
              <w:pStyle w:val="Tabletext-right"/>
            </w:pPr>
            <w:r>
              <w:rPr>
                <w:rStyle w:val="Arialarrow"/>
              </w:rPr>
              <w:t>▲</w:t>
            </w:r>
            <w:r>
              <w:t>0.10</w:t>
            </w:r>
          </w:p>
        </w:tc>
        <w:tc>
          <w:tcPr>
            <w:tcW w:w="667" w:type="pct"/>
            <w:shd w:val="clear" w:color="auto" w:fill="auto"/>
          </w:tcPr>
          <w:p w:rsidR="00697BCD" w:rsidRDefault="00697BCD" w:rsidP="00624E11">
            <w:pPr>
              <w:pStyle w:val="Tabletext-right"/>
            </w:pPr>
            <w:r>
              <w:t>0.29</w:t>
            </w:r>
          </w:p>
        </w:tc>
        <w:tc>
          <w:tcPr>
            <w:tcW w:w="885" w:type="pct"/>
            <w:shd w:val="clear" w:color="auto" w:fill="auto"/>
          </w:tcPr>
          <w:p w:rsidR="00697BCD" w:rsidRDefault="00697BCD" w:rsidP="00624E11">
            <w:pPr>
              <w:pStyle w:val="Tabletext-right"/>
            </w:pPr>
            <w:r>
              <w:rPr>
                <w:rStyle w:val="Arialarrow"/>
              </w:rPr>
              <w:t>▲</w:t>
            </w:r>
            <w:r>
              <w:t>0.03</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M2 Energy</w:t>
            </w:r>
          </w:p>
        </w:tc>
        <w:tc>
          <w:tcPr>
            <w:tcW w:w="667" w:type="pct"/>
            <w:shd w:val="clear" w:color="auto" w:fill="auto"/>
          </w:tcPr>
          <w:p w:rsidR="00697BCD" w:rsidRDefault="00697BCD" w:rsidP="00624E11">
            <w:pPr>
              <w:pStyle w:val="Tabletext-right"/>
            </w:pPr>
            <w:r>
              <w:t>0.81</w:t>
            </w:r>
          </w:p>
        </w:tc>
        <w:tc>
          <w:tcPr>
            <w:tcW w:w="885" w:type="pct"/>
            <w:shd w:val="clear" w:color="auto" w:fill="auto"/>
          </w:tcPr>
          <w:p w:rsidR="00697BCD" w:rsidRDefault="00697BCD" w:rsidP="00624E11">
            <w:pPr>
              <w:pStyle w:val="Tabletext-right"/>
            </w:pPr>
            <w:r>
              <w:rPr>
                <w:rStyle w:val="Arialarrow"/>
              </w:rPr>
              <w:t>▼</w:t>
            </w:r>
            <w:r>
              <w:t>0.47</w:t>
            </w:r>
          </w:p>
        </w:tc>
        <w:tc>
          <w:tcPr>
            <w:tcW w:w="667" w:type="pct"/>
            <w:shd w:val="clear" w:color="auto" w:fill="auto"/>
          </w:tcPr>
          <w:p w:rsidR="00697BCD" w:rsidRDefault="00697BCD" w:rsidP="00624E11">
            <w:pPr>
              <w:pStyle w:val="Tabletext-right"/>
            </w:pPr>
            <w:r>
              <w:t>0.07</w:t>
            </w:r>
          </w:p>
        </w:tc>
        <w:tc>
          <w:tcPr>
            <w:tcW w:w="885" w:type="pct"/>
            <w:shd w:val="clear" w:color="auto" w:fill="auto"/>
          </w:tcPr>
          <w:p w:rsidR="00697BCD" w:rsidRDefault="00697BCD" w:rsidP="00624E11">
            <w:pPr>
              <w:pStyle w:val="Tabletext-right"/>
            </w:pPr>
            <w:r>
              <w:rPr>
                <w:rStyle w:val="Arialarrow"/>
              </w:rPr>
              <w:t>▲</w:t>
            </w:r>
            <w:r>
              <w:t>0.07</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lastRenderedPageBreak/>
              <w:t>Momentum Energy</w:t>
            </w:r>
          </w:p>
        </w:tc>
        <w:tc>
          <w:tcPr>
            <w:tcW w:w="667" w:type="pct"/>
            <w:shd w:val="clear" w:color="auto" w:fill="auto"/>
          </w:tcPr>
          <w:p w:rsidR="00697BCD" w:rsidRDefault="00697BCD" w:rsidP="00624E11">
            <w:pPr>
              <w:pStyle w:val="Tabletext-right"/>
            </w:pPr>
            <w:r>
              <w:t>1.66</w:t>
            </w:r>
          </w:p>
        </w:tc>
        <w:tc>
          <w:tcPr>
            <w:tcW w:w="885" w:type="pct"/>
            <w:shd w:val="clear" w:color="auto" w:fill="auto"/>
          </w:tcPr>
          <w:p w:rsidR="00697BCD" w:rsidRDefault="00697BCD" w:rsidP="00624E11">
            <w:pPr>
              <w:pStyle w:val="Tabletext-right"/>
            </w:pPr>
            <w:r>
              <w:rPr>
                <w:rStyle w:val="Arialarrow"/>
              </w:rPr>
              <w:t>▼</w:t>
            </w:r>
            <w:r>
              <w:t>0.39</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Origin Energy</w:t>
            </w:r>
          </w:p>
        </w:tc>
        <w:tc>
          <w:tcPr>
            <w:tcW w:w="667" w:type="pct"/>
            <w:shd w:val="clear" w:color="auto" w:fill="auto"/>
          </w:tcPr>
          <w:p w:rsidR="00697BCD" w:rsidRDefault="00697BCD" w:rsidP="00624E11">
            <w:pPr>
              <w:pStyle w:val="Tabletext-right"/>
            </w:pPr>
            <w:r>
              <w:t>0.68</w:t>
            </w:r>
          </w:p>
        </w:tc>
        <w:tc>
          <w:tcPr>
            <w:tcW w:w="885" w:type="pct"/>
            <w:shd w:val="clear" w:color="auto" w:fill="auto"/>
          </w:tcPr>
          <w:p w:rsidR="00697BCD" w:rsidRDefault="00697BCD" w:rsidP="00624E11">
            <w:pPr>
              <w:pStyle w:val="Tabletext-right"/>
            </w:pPr>
            <w:r>
              <w:rPr>
                <w:rStyle w:val="Arialarrow"/>
              </w:rPr>
              <w:t>▼</w:t>
            </w:r>
            <w:r>
              <w:t>0.09</w:t>
            </w:r>
          </w:p>
        </w:tc>
        <w:tc>
          <w:tcPr>
            <w:tcW w:w="667" w:type="pct"/>
            <w:shd w:val="clear" w:color="auto" w:fill="auto"/>
          </w:tcPr>
          <w:p w:rsidR="00697BCD" w:rsidRDefault="00697BCD" w:rsidP="00624E11">
            <w:pPr>
              <w:pStyle w:val="Tabletext-right"/>
            </w:pPr>
            <w:r>
              <w:t>0.45</w:t>
            </w:r>
          </w:p>
        </w:tc>
        <w:tc>
          <w:tcPr>
            <w:tcW w:w="885" w:type="pct"/>
            <w:shd w:val="clear" w:color="auto" w:fill="auto"/>
          </w:tcPr>
          <w:p w:rsidR="00697BCD" w:rsidRDefault="00697BCD" w:rsidP="00624E11">
            <w:pPr>
              <w:pStyle w:val="Tabletext-right"/>
            </w:pPr>
            <w:r>
              <w:rPr>
                <w:rStyle w:val="Arialarrow"/>
              </w:rPr>
              <w:t>▲</w:t>
            </w:r>
            <w:r>
              <w:t>0.10</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Powerdirect</w:t>
            </w:r>
            <w:proofErr w:type="spellEnd"/>
          </w:p>
        </w:tc>
        <w:tc>
          <w:tcPr>
            <w:tcW w:w="667" w:type="pct"/>
            <w:shd w:val="clear" w:color="auto" w:fill="auto"/>
          </w:tcPr>
          <w:p w:rsidR="00697BCD" w:rsidRDefault="00697BCD" w:rsidP="00624E11">
            <w:pPr>
              <w:pStyle w:val="Tabletext-right"/>
            </w:pPr>
            <w:r>
              <w:t>0.72</w:t>
            </w:r>
          </w:p>
        </w:tc>
        <w:tc>
          <w:tcPr>
            <w:tcW w:w="885" w:type="pct"/>
            <w:shd w:val="clear" w:color="auto" w:fill="auto"/>
          </w:tcPr>
          <w:p w:rsidR="00697BCD" w:rsidRDefault="00697BCD" w:rsidP="00624E11">
            <w:pPr>
              <w:pStyle w:val="Tabletext-right"/>
            </w:pPr>
            <w:r>
              <w:rPr>
                <w:rStyle w:val="Arialarrow"/>
              </w:rPr>
              <w:t>▲</w:t>
            </w:r>
            <w:r>
              <w:t>0.23</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Powershop</w:t>
            </w:r>
          </w:p>
        </w:tc>
        <w:tc>
          <w:tcPr>
            <w:tcW w:w="667" w:type="pct"/>
            <w:shd w:val="clear" w:color="auto" w:fill="auto"/>
          </w:tcPr>
          <w:p w:rsidR="00697BCD" w:rsidRDefault="00697BCD" w:rsidP="00624E11">
            <w:pPr>
              <w:pStyle w:val="Tabletext-right"/>
            </w:pPr>
            <w:r>
              <w:t>0.14</w:t>
            </w:r>
          </w:p>
        </w:tc>
        <w:tc>
          <w:tcPr>
            <w:tcW w:w="885" w:type="pct"/>
            <w:shd w:val="clear" w:color="auto" w:fill="auto"/>
          </w:tcPr>
          <w:p w:rsidR="00697BCD" w:rsidRDefault="00697BCD" w:rsidP="00624E11">
            <w:pPr>
              <w:pStyle w:val="Tabletext-right"/>
            </w:pPr>
            <w:r>
              <w:t>N/A</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proofErr w:type="spellStart"/>
            <w:r w:rsidRPr="00391B03">
              <w:t>QEnergy</w:t>
            </w:r>
            <w:proofErr w:type="spellEnd"/>
          </w:p>
        </w:tc>
        <w:tc>
          <w:tcPr>
            <w:tcW w:w="667" w:type="pct"/>
            <w:shd w:val="clear" w:color="auto" w:fill="auto"/>
          </w:tcPr>
          <w:p w:rsidR="00697BCD" w:rsidRDefault="00697BCD" w:rsidP="00624E11">
            <w:pPr>
              <w:pStyle w:val="Tabletext-right"/>
            </w:pPr>
            <w:r>
              <w:t>3.24</w:t>
            </w:r>
          </w:p>
        </w:tc>
        <w:tc>
          <w:tcPr>
            <w:tcW w:w="885" w:type="pct"/>
            <w:shd w:val="clear" w:color="auto" w:fill="auto"/>
          </w:tcPr>
          <w:p w:rsidR="00697BCD" w:rsidRDefault="00697BCD" w:rsidP="00624E11">
            <w:pPr>
              <w:pStyle w:val="Tabletext-right"/>
            </w:pPr>
            <w:r>
              <w:rPr>
                <w:rStyle w:val="Arialarrow"/>
              </w:rPr>
              <w:t>▲</w:t>
            </w:r>
            <w:r>
              <w:t>1.42</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Red Energy</w:t>
            </w:r>
          </w:p>
        </w:tc>
        <w:tc>
          <w:tcPr>
            <w:tcW w:w="667" w:type="pct"/>
            <w:shd w:val="clear" w:color="auto" w:fill="auto"/>
          </w:tcPr>
          <w:p w:rsidR="00697BCD" w:rsidRDefault="00697BCD" w:rsidP="00624E11">
            <w:pPr>
              <w:pStyle w:val="Tabletext-right"/>
            </w:pPr>
            <w:r>
              <w:t>0.45</w:t>
            </w:r>
          </w:p>
        </w:tc>
        <w:tc>
          <w:tcPr>
            <w:tcW w:w="885" w:type="pct"/>
            <w:shd w:val="clear" w:color="auto" w:fill="auto"/>
          </w:tcPr>
          <w:p w:rsidR="00697BCD" w:rsidRDefault="00697BCD" w:rsidP="00624E11">
            <w:pPr>
              <w:pStyle w:val="Tabletext-right"/>
            </w:pPr>
            <w:r>
              <w:t>0.00</w:t>
            </w:r>
          </w:p>
        </w:tc>
        <w:tc>
          <w:tcPr>
            <w:tcW w:w="667" w:type="pct"/>
            <w:shd w:val="clear" w:color="auto" w:fill="auto"/>
          </w:tcPr>
          <w:p w:rsidR="00697BCD" w:rsidRDefault="00697BCD" w:rsidP="00624E11">
            <w:pPr>
              <w:pStyle w:val="Tabletext-right"/>
            </w:pPr>
            <w:r>
              <w:t>0.13</w:t>
            </w:r>
          </w:p>
        </w:tc>
        <w:tc>
          <w:tcPr>
            <w:tcW w:w="885" w:type="pct"/>
            <w:shd w:val="clear" w:color="auto" w:fill="auto"/>
          </w:tcPr>
          <w:p w:rsidR="00697BCD" w:rsidRDefault="00697BCD" w:rsidP="00624E11">
            <w:pPr>
              <w:pStyle w:val="Tabletext-right"/>
            </w:pPr>
            <w:r>
              <w:t>N/A</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Sanctuary Energy</w:t>
            </w:r>
          </w:p>
        </w:tc>
        <w:tc>
          <w:tcPr>
            <w:tcW w:w="667" w:type="pct"/>
            <w:shd w:val="clear" w:color="auto" w:fill="auto"/>
          </w:tcPr>
          <w:p w:rsidR="00697BCD" w:rsidRDefault="00697BCD" w:rsidP="00624E11">
            <w:pPr>
              <w:pStyle w:val="Tabletext-right"/>
            </w:pPr>
            <w:r>
              <w:t>0.21</w:t>
            </w:r>
          </w:p>
        </w:tc>
        <w:tc>
          <w:tcPr>
            <w:tcW w:w="885" w:type="pct"/>
            <w:shd w:val="clear" w:color="auto" w:fill="auto"/>
          </w:tcPr>
          <w:p w:rsidR="00697BCD" w:rsidRDefault="00697BCD" w:rsidP="00624E11">
            <w:pPr>
              <w:pStyle w:val="Tabletext-right"/>
            </w:pPr>
            <w:r>
              <w:rPr>
                <w:rStyle w:val="Arialarrow"/>
              </w:rPr>
              <w:t>▼</w:t>
            </w:r>
            <w:r>
              <w:t>0.04</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88"/>
        </w:trPr>
        <w:tc>
          <w:tcPr>
            <w:tcW w:w="1895" w:type="pct"/>
            <w:shd w:val="clear" w:color="auto" w:fill="auto"/>
          </w:tcPr>
          <w:p w:rsidR="00697BCD" w:rsidRPr="00391B03" w:rsidRDefault="00697BCD" w:rsidP="00624E11">
            <w:pPr>
              <w:pStyle w:val="Tabletext"/>
            </w:pPr>
            <w:r w:rsidRPr="00391B03">
              <w:t>Simply Energy</w:t>
            </w:r>
          </w:p>
        </w:tc>
        <w:tc>
          <w:tcPr>
            <w:tcW w:w="667" w:type="pct"/>
            <w:shd w:val="clear" w:color="auto" w:fill="auto"/>
          </w:tcPr>
          <w:p w:rsidR="00697BCD" w:rsidRDefault="00697BCD" w:rsidP="00624E11">
            <w:pPr>
              <w:pStyle w:val="Tabletext-right"/>
            </w:pPr>
            <w:r>
              <w:t>2.21</w:t>
            </w:r>
          </w:p>
        </w:tc>
        <w:tc>
          <w:tcPr>
            <w:tcW w:w="885" w:type="pct"/>
            <w:shd w:val="clear" w:color="auto" w:fill="auto"/>
          </w:tcPr>
          <w:p w:rsidR="00697BCD" w:rsidRDefault="00697BCD" w:rsidP="00624E11">
            <w:pPr>
              <w:pStyle w:val="Tabletext-right"/>
            </w:pPr>
            <w:r>
              <w:rPr>
                <w:rStyle w:val="Arialarrow"/>
              </w:rPr>
              <w:t>▼</w:t>
            </w:r>
            <w:r>
              <w:t>0.70</w:t>
            </w:r>
          </w:p>
        </w:tc>
        <w:tc>
          <w:tcPr>
            <w:tcW w:w="667" w:type="pct"/>
            <w:shd w:val="clear" w:color="auto" w:fill="auto"/>
          </w:tcPr>
          <w:p w:rsidR="00697BCD" w:rsidRDefault="00697BCD" w:rsidP="00624E11">
            <w:pPr>
              <w:pStyle w:val="Tabletext-right"/>
            </w:pPr>
            <w:r>
              <w:t>–</w:t>
            </w:r>
          </w:p>
        </w:tc>
        <w:tc>
          <w:tcPr>
            <w:tcW w:w="885" w:type="pct"/>
            <w:shd w:val="clear" w:color="auto" w:fill="auto"/>
          </w:tcPr>
          <w:p w:rsidR="00697BCD" w:rsidRDefault="00697BCD" w:rsidP="00624E11">
            <w:pPr>
              <w:pStyle w:val="Tabletext-right"/>
            </w:pPr>
            <w:r>
              <w:t>–</w:t>
            </w:r>
          </w:p>
        </w:tc>
      </w:tr>
      <w:tr w:rsidR="00697BCD" w:rsidRPr="00391B03" w:rsidTr="00391B03">
        <w:trPr>
          <w:trHeight w:val="255"/>
        </w:trPr>
        <w:tc>
          <w:tcPr>
            <w:tcW w:w="1895" w:type="pct"/>
            <w:shd w:val="clear" w:color="auto" w:fill="auto"/>
          </w:tcPr>
          <w:p w:rsidR="00697BCD" w:rsidRPr="00391B03" w:rsidRDefault="00697BCD" w:rsidP="00624E11">
            <w:pPr>
              <w:pStyle w:val="Tabletext"/>
            </w:pPr>
            <w:r w:rsidRPr="00391B03">
              <w:t>Total NSW</w:t>
            </w:r>
          </w:p>
        </w:tc>
        <w:tc>
          <w:tcPr>
            <w:tcW w:w="667" w:type="pct"/>
            <w:shd w:val="clear" w:color="auto" w:fill="auto"/>
          </w:tcPr>
          <w:p w:rsidR="00697BCD" w:rsidRDefault="00697BCD" w:rsidP="00624E11">
            <w:pPr>
              <w:pStyle w:val="Tabletext-right"/>
            </w:pPr>
            <w:r>
              <w:t>0.79</w:t>
            </w:r>
          </w:p>
        </w:tc>
        <w:tc>
          <w:tcPr>
            <w:tcW w:w="885" w:type="pct"/>
            <w:shd w:val="clear" w:color="auto" w:fill="auto"/>
          </w:tcPr>
          <w:p w:rsidR="00697BCD" w:rsidRDefault="00697BCD" w:rsidP="00624E11">
            <w:pPr>
              <w:pStyle w:val="Tabletext-right"/>
            </w:pPr>
            <w:r>
              <w:rPr>
                <w:rStyle w:val="Arialarrow"/>
              </w:rPr>
              <w:t>▲</w:t>
            </w:r>
            <w:r>
              <w:t>0.05</w:t>
            </w:r>
          </w:p>
        </w:tc>
        <w:tc>
          <w:tcPr>
            <w:tcW w:w="667" w:type="pct"/>
            <w:shd w:val="clear" w:color="auto" w:fill="auto"/>
          </w:tcPr>
          <w:p w:rsidR="00697BCD" w:rsidRDefault="00697BCD" w:rsidP="00624E11">
            <w:pPr>
              <w:pStyle w:val="Tabletext-right"/>
            </w:pPr>
            <w:r>
              <w:t>0.56</w:t>
            </w:r>
          </w:p>
        </w:tc>
        <w:tc>
          <w:tcPr>
            <w:tcW w:w="885" w:type="pct"/>
            <w:shd w:val="clear" w:color="auto" w:fill="auto"/>
          </w:tcPr>
          <w:p w:rsidR="00697BCD" w:rsidRDefault="00697BCD" w:rsidP="00624E11">
            <w:pPr>
              <w:pStyle w:val="Tabletext-right"/>
            </w:pPr>
            <w:r>
              <w:rPr>
                <w:rStyle w:val="Arialarrow"/>
              </w:rPr>
              <w:t>▲</w:t>
            </w:r>
            <w:r>
              <w:t>0.20</w:t>
            </w:r>
          </w:p>
        </w:tc>
      </w:tr>
    </w:tbl>
    <w:p w:rsidR="00697BCD" w:rsidRDefault="00697BCD">
      <w:r>
        <w:t>Note: Excludes retailers with zero customers on hardship programs.</w:t>
      </w:r>
    </w:p>
    <w:p w:rsidR="00697BCD" w:rsidRDefault="00697BCD" w:rsidP="00697BCD">
      <w:r>
        <w:t xml:space="preserve">Table 2.7 shows the proportion of customers on hardship programs that also receive payment assistance through energy concessions. </w:t>
      </w:r>
    </w:p>
    <w:p w:rsidR="00697BCD" w:rsidRDefault="00697BCD" w:rsidP="00697BCD">
      <w:r>
        <w:t>The proportion of New South Wales electricity customers on hardship programs receiving concessions increased to 73 per cent (from 60 per cent). Only 41 per cent of electricity customers on hardship programs in South Australia receive concessions, whereas 79 per cent in Tasmania receive concessions.</w:t>
      </w:r>
    </w:p>
    <w:p w:rsidR="00697BCD" w:rsidRDefault="00697BCD" w:rsidP="00697BCD">
      <w:r>
        <w:t>The proportion of ACT gas hardship customers receiving an energy concession more than halved to 26 per cent (from 57 per cent).</w:t>
      </w:r>
    </w:p>
    <w:p w:rsidR="00697BCD" w:rsidRDefault="00697BCD" w:rsidP="00697BCD">
      <w:pPr>
        <w:pStyle w:val="Tabletitle"/>
      </w:pPr>
      <w:r>
        <w:t>Table 2.7:</w:t>
      </w:r>
      <w:r>
        <w:tab/>
        <w:t>Concession customers on hardship programs (change since 2014)</w:t>
      </w:r>
    </w:p>
    <w:tbl>
      <w:tblPr>
        <w:tblW w:w="5000" w:type="pct"/>
        <w:tblBorders>
          <w:top w:val="single" w:sz="4" w:space="0" w:color="BFBFBF"/>
          <w:bottom w:val="single" w:sz="4" w:space="0" w:color="BFBFBF"/>
        </w:tblBorders>
        <w:tblLook w:val="0000" w:firstRow="0" w:lastRow="0" w:firstColumn="0" w:lastColumn="0" w:noHBand="0" w:noVBand="0"/>
      </w:tblPr>
      <w:tblGrid>
        <w:gridCol w:w="2352"/>
        <w:gridCol w:w="1820"/>
        <w:gridCol w:w="1820"/>
        <w:gridCol w:w="1818"/>
        <w:gridCol w:w="1818"/>
      </w:tblGrid>
      <w:tr w:rsidR="00697BCD" w:rsidRPr="00391B03" w:rsidTr="00391B03">
        <w:trPr>
          <w:trHeight w:val="255"/>
        </w:trPr>
        <w:tc>
          <w:tcPr>
            <w:tcW w:w="1222" w:type="pct"/>
            <w:shd w:val="clear" w:color="auto" w:fill="auto"/>
          </w:tcPr>
          <w:p w:rsidR="00697BCD" w:rsidRPr="00391B03" w:rsidRDefault="00697BCD" w:rsidP="006B1E9F">
            <w:pPr>
              <w:pStyle w:val="TableHeading"/>
            </w:pPr>
            <w:r w:rsidRPr="00391B03">
              <w:t xml:space="preserve"> Jurisdiction</w:t>
            </w:r>
          </w:p>
        </w:tc>
        <w:tc>
          <w:tcPr>
            <w:tcW w:w="1889" w:type="pct"/>
            <w:gridSpan w:val="2"/>
            <w:shd w:val="clear" w:color="auto" w:fill="auto"/>
          </w:tcPr>
          <w:p w:rsidR="00697BCD" w:rsidRDefault="00697BCD" w:rsidP="006B1E9F">
            <w:pPr>
              <w:pStyle w:val="TableHeading-right"/>
            </w:pPr>
            <w:r>
              <w:t>Electricity</w:t>
            </w:r>
          </w:p>
          <w:p w:rsidR="00697BCD" w:rsidRDefault="00697BCD" w:rsidP="006B1E9F">
            <w:pPr>
              <w:pStyle w:val="TableHeading-right"/>
            </w:pPr>
            <w:r>
              <w:t xml:space="preserve"> (% of customers on hardship programs)</w:t>
            </w:r>
          </w:p>
        </w:tc>
        <w:tc>
          <w:tcPr>
            <w:tcW w:w="1889" w:type="pct"/>
            <w:gridSpan w:val="2"/>
            <w:shd w:val="clear" w:color="auto" w:fill="auto"/>
          </w:tcPr>
          <w:p w:rsidR="00697BCD" w:rsidRDefault="00697BCD" w:rsidP="006B1E9F">
            <w:pPr>
              <w:pStyle w:val="TableHeading-right"/>
            </w:pPr>
            <w:r>
              <w:t xml:space="preserve">Gas </w:t>
            </w:r>
          </w:p>
          <w:p w:rsidR="00697BCD" w:rsidRDefault="00697BCD" w:rsidP="006B1E9F">
            <w:pPr>
              <w:pStyle w:val="TableHeading-right"/>
            </w:pPr>
            <w:r>
              <w:t>(% of customers on hardship programs)</w:t>
            </w:r>
          </w:p>
        </w:tc>
      </w:tr>
      <w:tr w:rsidR="00697BCD" w:rsidRPr="00391B03" w:rsidTr="00391B03">
        <w:trPr>
          <w:trHeight w:val="255"/>
        </w:trPr>
        <w:tc>
          <w:tcPr>
            <w:tcW w:w="1222" w:type="pct"/>
            <w:shd w:val="clear" w:color="auto" w:fill="auto"/>
          </w:tcPr>
          <w:p w:rsidR="00697BCD" w:rsidRPr="00391B03" w:rsidRDefault="00697BCD" w:rsidP="00624E11">
            <w:pPr>
              <w:pStyle w:val="Tabletext"/>
            </w:pPr>
            <w:r w:rsidRPr="00391B03">
              <w:t>Queensland</w:t>
            </w:r>
          </w:p>
        </w:tc>
        <w:tc>
          <w:tcPr>
            <w:tcW w:w="945" w:type="pct"/>
            <w:shd w:val="clear" w:color="auto" w:fill="auto"/>
          </w:tcPr>
          <w:p w:rsidR="00697BCD" w:rsidRDefault="00697BCD" w:rsidP="006B1E9F">
            <w:pPr>
              <w:pStyle w:val="TableHeading-right"/>
            </w:pPr>
            <w:r>
              <w:t>52%</w:t>
            </w:r>
          </w:p>
        </w:tc>
        <w:tc>
          <w:tcPr>
            <w:tcW w:w="945" w:type="pct"/>
            <w:shd w:val="clear" w:color="auto" w:fill="auto"/>
          </w:tcPr>
          <w:p w:rsidR="00697BCD" w:rsidRDefault="00697BCD" w:rsidP="006B1E9F">
            <w:pPr>
              <w:pStyle w:val="TableHeading-right"/>
            </w:pPr>
            <w:r>
              <w:t>N/A</w:t>
            </w:r>
          </w:p>
        </w:tc>
        <w:tc>
          <w:tcPr>
            <w:tcW w:w="944" w:type="pct"/>
            <w:shd w:val="clear" w:color="auto" w:fill="auto"/>
          </w:tcPr>
          <w:p w:rsidR="00697BCD" w:rsidRDefault="00697BCD" w:rsidP="006B1E9F">
            <w:pPr>
              <w:pStyle w:val="TableHeading-right"/>
            </w:pPr>
            <w:r>
              <w:t>53%</w:t>
            </w:r>
          </w:p>
        </w:tc>
        <w:tc>
          <w:tcPr>
            <w:tcW w:w="94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222" w:type="pct"/>
            <w:shd w:val="clear" w:color="auto" w:fill="auto"/>
          </w:tcPr>
          <w:p w:rsidR="00697BCD" w:rsidRPr="00391B03" w:rsidRDefault="00697BCD" w:rsidP="00624E11">
            <w:pPr>
              <w:pStyle w:val="Tabletext"/>
            </w:pPr>
            <w:r w:rsidRPr="00391B03">
              <w:t>South Australia</w:t>
            </w:r>
          </w:p>
        </w:tc>
        <w:tc>
          <w:tcPr>
            <w:tcW w:w="945" w:type="pct"/>
            <w:shd w:val="clear" w:color="auto" w:fill="auto"/>
          </w:tcPr>
          <w:p w:rsidR="00697BCD" w:rsidRDefault="00697BCD" w:rsidP="006B1E9F">
            <w:pPr>
              <w:pStyle w:val="TableHeading-right"/>
            </w:pPr>
            <w:r>
              <w:t>41%</w:t>
            </w:r>
          </w:p>
        </w:tc>
        <w:tc>
          <w:tcPr>
            <w:tcW w:w="945" w:type="pct"/>
            <w:shd w:val="clear" w:color="auto" w:fill="auto"/>
          </w:tcPr>
          <w:p w:rsidR="00697BCD" w:rsidRDefault="00697BCD" w:rsidP="006B1E9F">
            <w:pPr>
              <w:pStyle w:val="TableHeading-right"/>
            </w:pPr>
            <w:r>
              <w:t>0%</w:t>
            </w:r>
          </w:p>
        </w:tc>
        <w:tc>
          <w:tcPr>
            <w:tcW w:w="944" w:type="pct"/>
            <w:shd w:val="clear" w:color="auto" w:fill="auto"/>
          </w:tcPr>
          <w:p w:rsidR="00697BCD" w:rsidRDefault="00697BCD" w:rsidP="006B1E9F">
            <w:pPr>
              <w:pStyle w:val="TableHeading-right"/>
            </w:pPr>
            <w:r>
              <w:t>12%</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4%</w:t>
            </w:r>
          </w:p>
        </w:tc>
      </w:tr>
      <w:tr w:rsidR="00697BCD" w:rsidRPr="00391B03" w:rsidTr="00391B03">
        <w:trPr>
          <w:trHeight w:val="255"/>
        </w:trPr>
        <w:tc>
          <w:tcPr>
            <w:tcW w:w="1222" w:type="pct"/>
            <w:shd w:val="clear" w:color="auto" w:fill="auto"/>
          </w:tcPr>
          <w:p w:rsidR="00697BCD" w:rsidRPr="00391B03" w:rsidRDefault="00697BCD" w:rsidP="00624E11">
            <w:pPr>
              <w:pStyle w:val="Tabletext"/>
            </w:pPr>
            <w:r w:rsidRPr="00391B03">
              <w:t>ACT</w:t>
            </w:r>
          </w:p>
        </w:tc>
        <w:tc>
          <w:tcPr>
            <w:tcW w:w="945" w:type="pct"/>
            <w:shd w:val="clear" w:color="auto" w:fill="auto"/>
          </w:tcPr>
          <w:p w:rsidR="00697BCD" w:rsidRDefault="00697BCD" w:rsidP="006B1E9F">
            <w:pPr>
              <w:pStyle w:val="TableHeading-right"/>
            </w:pPr>
            <w:r>
              <w:t>60%</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2%</w:t>
            </w:r>
          </w:p>
        </w:tc>
        <w:tc>
          <w:tcPr>
            <w:tcW w:w="944" w:type="pct"/>
            <w:shd w:val="clear" w:color="auto" w:fill="auto"/>
          </w:tcPr>
          <w:p w:rsidR="00697BCD" w:rsidRDefault="00697BCD" w:rsidP="006B1E9F">
            <w:pPr>
              <w:pStyle w:val="TableHeading-right"/>
            </w:pPr>
            <w:r>
              <w:t>26%</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31%</w:t>
            </w:r>
          </w:p>
        </w:tc>
      </w:tr>
      <w:tr w:rsidR="00697BCD" w:rsidRPr="00391B03" w:rsidTr="00391B03">
        <w:trPr>
          <w:trHeight w:val="255"/>
        </w:trPr>
        <w:tc>
          <w:tcPr>
            <w:tcW w:w="1222" w:type="pct"/>
            <w:shd w:val="clear" w:color="auto" w:fill="auto"/>
          </w:tcPr>
          <w:p w:rsidR="00697BCD" w:rsidRPr="00391B03" w:rsidRDefault="00697BCD" w:rsidP="00624E11">
            <w:pPr>
              <w:pStyle w:val="Tabletext"/>
            </w:pPr>
            <w:r w:rsidRPr="00391B03">
              <w:t>New South Wales</w:t>
            </w:r>
          </w:p>
        </w:tc>
        <w:tc>
          <w:tcPr>
            <w:tcW w:w="945" w:type="pct"/>
            <w:shd w:val="clear" w:color="auto" w:fill="auto"/>
          </w:tcPr>
          <w:p w:rsidR="00697BCD" w:rsidRDefault="00697BCD" w:rsidP="006B1E9F">
            <w:pPr>
              <w:pStyle w:val="TableHeading-right"/>
            </w:pPr>
            <w:r>
              <w:t>73%</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13%</w:t>
            </w:r>
          </w:p>
        </w:tc>
        <w:tc>
          <w:tcPr>
            <w:tcW w:w="944" w:type="pct"/>
            <w:shd w:val="clear" w:color="auto" w:fill="auto"/>
          </w:tcPr>
          <w:p w:rsidR="00697BCD" w:rsidRDefault="00697BCD" w:rsidP="006B1E9F">
            <w:pPr>
              <w:pStyle w:val="TableHeading-right"/>
            </w:pPr>
            <w:r>
              <w:t>66%</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66%</w:t>
            </w:r>
          </w:p>
        </w:tc>
      </w:tr>
      <w:tr w:rsidR="00697BCD" w:rsidRPr="00391B03" w:rsidTr="00391B03">
        <w:trPr>
          <w:trHeight w:val="255"/>
        </w:trPr>
        <w:tc>
          <w:tcPr>
            <w:tcW w:w="1222" w:type="pct"/>
            <w:shd w:val="clear" w:color="auto" w:fill="auto"/>
          </w:tcPr>
          <w:p w:rsidR="00697BCD" w:rsidRPr="00391B03" w:rsidRDefault="00697BCD" w:rsidP="00624E11">
            <w:pPr>
              <w:pStyle w:val="Tabletext"/>
            </w:pPr>
            <w:r w:rsidRPr="00391B03">
              <w:t>Tasmania</w:t>
            </w:r>
          </w:p>
        </w:tc>
        <w:tc>
          <w:tcPr>
            <w:tcW w:w="945" w:type="pct"/>
            <w:shd w:val="clear" w:color="auto" w:fill="auto"/>
          </w:tcPr>
          <w:p w:rsidR="00697BCD" w:rsidRDefault="00697BCD" w:rsidP="006B1E9F">
            <w:pPr>
              <w:pStyle w:val="TableHeading-right"/>
            </w:pPr>
            <w:r>
              <w:t>79%</w:t>
            </w:r>
          </w:p>
        </w:tc>
        <w:tc>
          <w:tcPr>
            <w:tcW w:w="945" w:type="pct"/>
            <w:shd w:val="clear" w:color="auto" w:fill="auto"/>
          </w:tcPr>
          <w:p w:rsidR="00697BCD" w:rsidRDefault="00697BCD" w:rsidP="006B1E9F">
            <w:pPr>
              <w:pStyle w:val="TableHeading-right"/>
            </w:pPr>
            <w:r w:rsidRPr="00391B03">
              <w:rPr>
                <w:rStyle w:val="Arialarrow"/>
                <w:color w:val="000000"/>
                <w:sz w:val="18"/>
                <w:szCs w:val="18"/>
              </w:rPr>
              <w:t>▼</w:t>
            </w:r>
            <w:r>
              <w:t>2%</w:t>
            </w:r>
          </w:p>
        </w:tc>
        <w:tc>
          <w:tcPr>
            <w:tcW w:w="944" w:type="pct"/>
            <w:shd w:val="clear" w:color="auto" w:fill="auto"/>
          </w:tcPr>
          <w:p w:rsidR="00697BCD" w:rsidRDefault="00697BCD" w:rsidP="006B1E9F">
            <w:pPr>
              <w:pStyle w:val="TableHeading-right"/>
            </w:pPr>
            <w:r>
              <w:t xml:space="preserve"> –</w:t>
            </w:r>
          </w:p>
        </w:tc>
        <w:tc>
          <w:tcPr>
            <w:tcW w:w="945" w:type="pct"/>
            <w:shd w:val="clear" w:color="auto" w:fill="auto"/>
          </w:tcPr>
          <w:p w:rsidR="00697BCD" w:rsidRDefault="00697BCD" w:rsidP="006B1E9F">
            <w:pPr>
              <w:pStyle w:val="TableHeading-right"/>
            </w:pPr>
            <w:r>
              <w:t xml:space="preserve"> –</w:t>
            </w:r>
          </w:p>
        </w:tc>
      </w:tr>
    </w:tbl>
    <w:p w:rsidR="00697BCD" w:rsidRDefault="00697BCD"/>
    <w:p w:rsidR="00697BCD" w:rsidRDefault="00697BCD" w:rsidP="000F3A56">
      <w:pPr>
        <w:pStyle w:val="Numbered111"/>
      </w:pPr>
      <w:bookmarkStart w:id="25" w:name="_Toc467665309"/>
      <w:r>
        <w:t>Payment methods of hardship program customers</w:t>
      </w:r>
      <w:bookmarkEnd w:id="25"/>
      <w:r>
        <w:t xml:space="preserve"> </w:t>
      </w:r>
    </w:p>
    <w:p w:rsidR="00697BCD" w:rsidRDefault="00697BCD" w:rsidP="00697BCD">
      <w:r>
        <w:t>The Retail Rules require that a payment plan for a hardship customer must be established having regard to the customer’s capacity to pay, any amounts owed by the customer, and the customer’s expected energy consumption over the coming 12 months.</w:t>
      </w:r>
      <w:r w:rsidRPr="009D1DEC">
        <w:rPr>
          <w:rStyle w:val="Superscript"/>
        </w:rPr>
        <w:footnoteReference w:id="20"/>
      </w:r>
      <w:r>
        <w:t xml:space="preserve"> </w:t>
      </w:r>
    </w:p>
    <w:p w:rsidR="00697BCD" w:rsidRDefault="00697BCD" w:rsidP="00697BCD">
      <w:r>
        <w:t>The Retail Law requires retailers to offer flexible payment options (including Centrepay) to hardship customers.</w:t>
      </w:r>
      <w:r w:rsidRPr="009D1DEC">
        <w:rPr>
          <w:rStyle w:val="Superscript"/>
        </w:rPr>
        <w:footnoteReference w:id="21"/>
      </w:r>
      <w:r>
        <w:t xml:space="preserve"> Centrepay is a free direct bill-paying service available to customers </w:t>
      </w:r>
      <w:r>
        <w:lastRenderedPageBreak/>
        <w:t xml:space="preserve">receiving Centrelink payments. Through Centrepay, customers can pay bills by having a regular amount deducted from their Centrelink payments and transferred electronically to an approved Centrepay business. Centrepay make it easier for customers to budget by having their bills paid in more manageable instalments. </w:t>
      </w:r>
    </w:p>
    <w:p w:rsidR="00697BCD" w:rsidRDefault="00697BCD" w:rsidP="00697BCD">
      <w:r>
        <w:t>Table 2.8 shows the payment methods of electricity and gas customers on hardship programs.</w:t>
      </w:r>
    </w:p>
    <w:p w:rsidR="00697BCD" w:rsidRDefault="00697BCD" w:rsidP="00697BCD">
      <w:r>
        <w:t xml:space="preserve">The table shows take-up of Centrepay as a payment option varies across jurisdictions, with New South Wales, South Australia and Queensland having low levels of Centrepay use (fewer than one in four hardship customers) while in the ACT and Tasmania more than one in three hardship customers are using Centrepay. </w:t>
      </w:r>
    </w:p>
    <w:p w:rsidR="00697BCD" w:rsidRDefault="00697BCD" w:rsidP="00697BCD">
      <w:r>
        <w:t>This may be due to a range of factors, including lack of retailer promotion of Centrepay as a payment option.</w:t>
      </w:r>
      <w:r w:rsidRPr="009D1DEC">
        <w:rPr>
          <w:rStyle w:val="Superscript"/>
        </w:rPr>
        <w:footnoteReference w:id="22"/>
      </w:r>
    </w:p>
    <w:p w:rsidR="00697BCD" w:rsidRDefault="00697BCD" w:rsidP="00697BCD">
      <w:r>
        <w:t xml:space="preserve">Other reasons may include demographic changes. As with energy concessions, lower proportions of customers on hardship programs using Centrepay to repay energy debt (as in South Australia and New South Wales) may suggest that not only customers with low incomes are accessing hardship programs. </w:t>
      </w:r>
    </w:p>
    <w:p w:rsidR="00697BCD" w:rsidRDefault="00697BCD" w:rsidP="00697BCD">
      <w:r>
        <w:t>This observation supports findings of consumer welfare organisations that the demographic of people needing assistance is changing, that more middle income families are seeking assistance to pay their energy bills</w:t>
      </w:r>
      <w:r w:rsidRPr="009D1DEC">
        <w:rPr>
          <w:rStyle w:val="Superscript"/>
        </w:rPr>
        <w:footnoteReference w:id="23"/>
      </w:r>
      <w:r>
        <w:t>, and that energy stress is not limited to traditionally socio-economically disadvantaged areas.</w:t>
      </w:r>
      <w:r w:rsidRPr="009D1DEC">
        <w:rPr>
          <w:rStyle w:val="Superscript"/>
        </w:rPr>
        <w:footnoteReference w:id="24"/>
      </w:r>
    </w:p>
    <w:p w:rsidR="00697BCD" w:rsidRDefault="00697BCD" w:rsidP="00697BCD">
      <w:r>
        <w:t>In contrast, Tasmania’s rate of Centrepay use increased to 48 per 100 hardship customers (from 39 per 100).</w:t>
      </w:r>
    </w:p>
    <w:p w:rsidR="00697BCD" w:rsidRDefault="00697BCD" w:rsidP="00697BCD">
      <w:r>
        <w:t xml:space="preserve">We consider that Centrepay is an important budget management tool that retailers should actively promote and offer to eligible customers not only those customers in hardship programs. </w:t>
      </w:r>
    </w:p>
    <w:p w:rsidR="00697BCD" w:rsidRDefault="00697BCD" w:rsidP="00697BCD">
      <w:r>
        <w:t>In this context, our voluntary Sustainable Payment Plans Framework states that retailers should offer Centrepay and conduct concession checks to every customer who receives income from Centrelink, as this is a very easy way to assist this particular group of vulnerable customers.</w:t>
      </w:r>
      <w:r w:rsidRPr="009D1DEC">
        <w:rPr>
          <w:rStyle w:val="Superscript"/>
        </w:rPr>
        <w:footnoteReference w:id="25"/>
      </w:r>
      <w:r>
        <w:t xml:space="preserve"> </w:t>
      </w:r>
    </w:p>
    <w:p w:rsidR="00697BCD" w:rsidRDefault="00697BCD" w:rsidP="00697BCD">
      <w:pPr>
        <w:pStyle w:val="Tabletitle"/>
      </w:pPr>
      <w:r>
        <w:t>Table 2.8:</w:t>
      </w:r>
      <w:r>
        <w:tab/>
        <w:t>Payment methods of hardship program customers</w:t>
      </w:r>
    </w:p>
    <w:tbl>
      <w:tblPr>
        <w:tblW w:w="5000" w:type="pct"/>
        <w:tblBorders>
          <w:top w:val="single" w:sz="4" w:space="0" w:color="BFBFBF"/>
          <w:bottom w:val="single" w:sz="4" w:space="0" w:color="BFBFBF"/>
        </w:tblBorders>
        <w:tblLook w:val="0000" w:firstRow="0" w:lastRow="0" w:firstColumn="0" w:lastColumn="0" w:noHBand="0" w:noVBand="0"/>
      </w:tblPr>
      <w:tblGrid>
        <w:gridCol w:w="2098"/>
        <w:gridCol w:w="1256"/>
        <w:gridCol w:w="1255"/>
        <w:gridCol w:w="1255"/>
        <w:gridCol w:w="1254"/>
        <w:gridCol w:w="1255"/>
        <w:gridCol w:w="1255"/>
      </w:tblGrid>
      <w:tr w:rsidR="00697BCD" w:rsidRPr="00391B03" w:rsidTr="00391B03">
        <w:trPr>
          <w:trHeight w:val="255"/>
        </w:trPr>
        <w:tc>
          <w:tcPr>
            <w:tcW w:w="1089" w:type="pct"/>
            <w:shd w:val="clear" w:color="auto" w:fill="auto"/>
          </w:tcPr>
          <w:p w:rsidR="00697BCD" w:rsidRPr="00391B03" w:rsidRDefault="00697BCD" w:rsidP="006B1E9F">
            <w:pPr>
              <w:pStyle w:val="TableHeading"/>
            </w:pPr>
            <w:r w:rsidRPr="00391B03">
              <w:t>Jurisdiction</w:t>
            </w:r>
          </w:p>
        </w:tc>
        <w:tc>
          <w:tcPr>
            <w:tcW w:w="1304" w:type="pct"/>
            <w:gridSpan w:val="2"/>
            <w:shd w:val="clear" w:color="auto" w:fill="auto"/>
          </w:tcPr>
          <w:p w:rsidR="00697BCD" w:rsidRDefault="00697BCD" w:rsidP="006B1E9F">
            <w:pPr>
              <w:pStyle w:val="TableHeading-right"/>
            </w:pPr>
            <w:r>
              <w:t>Payment plan (non-Centrepay)</w:t>
            </w:r>
          </w:p>
        </w:tc>
        <w:tc>
          <w:tcPr>
            <w:tcW w:w="1303" w:type="pct"/>
            <w:gridSpan w:val="2"/>
            <w:shd w:val="clear" w:color="auto" w:fill="auto"/>
          </w:tcPr>
          <w:p w:rsidR="00697BCD" w:rsidRDefault="00697BCD" w:rsidP="006B1E9F">
            <w:pPr>
              <w:pStyle w:val="TableHeading-right"/>
            </w:pPr>
            <w:r>
              <w:t>Centrepay</w:t>
            </w:r>
          </w:p>
        </w:tc>
        <w:tc>
          <w:tcPr>
            <w:tcW w:w="1304" w:type="pct"/>
            <w:gridSpan w:val="2"/>
            <w:shd w:val="clear" w:color="auto" w:fill="auto"/>
          </w:tcPr>
          <w:p w:rsidR="00697BCD" w:rsidRDefault="00697BCD" w:rsidP="006B1E9F">
            <w:pPr>
              <w:pStyle w:val="TableHeading-right"/>
            </w:pPr>
            <w:r>
              <w:t>Other</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Electricity</w:t>
            </w: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Queensland</w:t>
            </w:r>
          </w:p>
        </w:tc>
        <w:tc>
          <w:tcPr>
            <w:tcW w:w="652" w:type="pct"/>
            <w:shd w:val="clear" w:color="auto" w:fill="auto"/>
          </w:tcPr>
          <w:p w:rsidR="00697BCD" w:rsidRDefault="00697BCD" w:rsidP="00624E11">
            <w:pPr>
              <w:pStyle w:val="Tabletext-right"/>
            </w:pPr>
            <w:r>
              <w:t>51%</w:t>
            </w:r>
          </w:p>
        </w:tc>
        <w:tc>
          <w:tcPr>
            <w:tcW w:w="652" w:type="pct"/>
            <w:shd w:val="clear" w:color="auto" w:fill="auto"/>
          </w:tcPr>
          <w:p w:rsidR="00697BCD" w:rsidRDefault="00697BCD" w:rsidP="00624E11">
            <w:pPr>
              <w:pStyle w:val="Tabletext-right"/>
            </w:pPr>
            <w:r>
              <w:t xml:space="preserve"> –</w:t>
            </w:r>
          </w:p>
        </w:tc>
        <w:tc>
          <w:tcPr>
            <w:tcW w:w="652" w:type="pct"/>
            <w:shd w:val="clear" w:color="auto" w:fill="auto"/>
          </w:tcPr>
          <w:p w:rsidR="00697BCD" w:rsidRDefault="00697BCD" w:rsidP="00624E11">
            <w:pPr>
              <w:pStyle w:val="Tabletext-right"/>
            </w:pPr>
            <w:r>
              <w:t>17%</w:t>
            </w:r>
          </w:p>
        </w:tc>
        <w:tc>
          <w:tcPr>
            <w:tcW w:w="651" w:type="pct"/>
            <w:shd w:val="clear" w:color="auto" w:fill="auto"/>
          </w:tcPr>
          <w:p w:rsidR="00697BCD" w:rsidRDefault="00697BCD" w:rsidP="00624E11">
            <w:pPr>
              <w:pStyle w:val="Tabletext-right"/>
            </w:pPr>
            <w:r>
              <w:t xml:space="preserve"> –</w:t>
            </w:r>
          </w:p>
        </w:tc>
        <w:tc>
          <w:tcPr>
            <w:tcW w:w="652" w:type="pct"/>
            <w:shd w:val="clear" w:color="auto" w:fill="auto"/>
          </w:tcPr>
          <w:p w:rsidR="00697BCD" w:rsidRDefault="00697BCD" w:rsidP="00624E11">
            <w:pPr>
              <w:pStyle w:val="Tabletext-right"/>
            </w:pPr>
            <w:r>
              <w:t>32%</w:t>
            </w:r>
          </w:p>
        </w:tc>
        <w:tc>
          <w:tcPr>
            <w:tcW w:w="652"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South Australia</w:t>
            </w:r>
          </w:p>
        </w:tc>
        <w:tc>
          <w:tcPr>
            <w:tcW w:w="652" w:type="pct"/>
            <w:shd w:val="clear" w:color="auto" w:fill="auto"/>
          </w:tcPr>
          <w:p w:rsidR="00697BCD" w:rsidRDefault="00697BCD" w:rsidP="00624E11">
            <w:pPr>
              <w:pStyle w:val="Tabletext-right"/>
            </w:pPr>
            <w:r>
              <w:t>63%</w:t>
            </w:r>
          </w:p>
        </w:tc>
        <w:tc>
          <w:tcPr>
            <w:tcW w:w="652" w:type="pct"/>
            <w:shd w:val="clear" w:color="auto" w:fill="auto"/>
          </w:tcPr>
          <w:p w:rsidR="00697BCD" w:rsidRDefault="00697BCD" w:rsidP="00624E11">
            <w:pPr>
              <w:pStyle w:val="Tabletext-right"/>
            </w:pPr>
            <w:r>
              <w:rPr>
                <w:rStyle w:val="Arialarrow"/>
              </w:rPr>
              <w:t>▼</w:t>
            </w:r>
            <w:r>
              <w:t>10%</w:t>
            </w:r>
          </w:p>
        </w:tc>
        <w:tc>
          <w:tcPr>
            <w:tcW w:w="652" w:type="pct"/>
            <w:shd w:val="clear" w:color="auto" w:fill="auto"/>
          </w:tcPr>
          <w:p w:rsidR="00697BCD" w:rsidRDefault="00697BCD" w:rsidP="00624E11">
            <w:pPr>
              <w:pStyle w:val="Tabletext-right"/>
            </w:pPr>
            <w:r>
              <w:t>23%</w:t>
            </w:r>
          </w:p>
        </w:tc>
        <w:tc>
          <w:tcPr>
            <w:tcW w:w="651" w:type="pct"/>
            <w:shd w:val="clear" w:color="auto" w:fill="auto"/>
          </w:tcPr>
          <w:p w:rsidR="00697BCD" w:rsidRDefault="00697BCD" w:rsidP="00624E11">
            <w:pPr>
              <w:pStyle w:val="Tabletext-right"/>
            </w:pPr>
            <w:r>
              <w:rPr>
                <w:rStyle w:val="Arialarrow"/>
              </w:rPr>
              <w:t>▲</w:t>
            </w:r>
            <w:r>
              <w:t>1%</w:t>
            </w:r>
          </w:p>
        </w:tc>
        <w:tc>
          <w:tcPr>
            <w:tcW w:w="652" w:type="pct"/>
            <w:shd w:val="clear" w:color="auto" w:fill="auto"/>
          </w:tcPr>
          <w:p w:rsidR="00697BCD" w:rsidRDefault="00697BCD" w:rsidP="00624E11">
            <w:pPr>
              <w:pStyle w:val="Tabletext-right"/>
            </w:pPr>
            <w:r>
              <w:t>14%</w:t>
            </w:r>
          </w:p>
        </w:tc>
        <w:tc>
          <w:tcPr>
            <w:tcW w:w="652" w:type="pct"/>
            <w:shd w:val="clear" w:color="auto" w:fill="auto"/>
          </w:tcPr>
          <w:p w:rsidR="00697BCD" w:rsidRDefault="00697BCD" w:rsidP="00624E11">
            <w:pPr>
              <w:pStyle w:val="Tabletext-right"/>
            </w:pPr>
            <w:r>
              <w:rPr>
                <w:rStyle w:val="Arialarrow"/>
              </w:rPr>
              <w:t>▲</w:t>
            </w:r>
            <w:r>
              <w:t>9%</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ACT</w:t>
            </w:r>
          </w:p>
        </w:tc>
        <w:tc>
          <w:tcPr>
            <w:tcW w:w="652" w:type="pct"/>
            <w:shd w:val="clear" w:color="auto" w:fill="auto"/>
          </w:tcPr>
          <w:p w:rsidR="00697BCD" w:rsidRDefault="00697BCD" w:rsidP="00624E11">
            <w:pPr>
              <w:pStyle w:val="Tabletext-right"/>
            </w:pPr>
            <w:r>
              <w:t>52%</w:t>
            </w:r>
          </w:p>
        </w:tc>
        <w:tc>
          <w:tcPr>
            <w:tcW w:w="652" w:type="pct"/>
            <w:shd w:val="clear" w:color="auto" w:fill="auto"/>
          </w:tcPr>
          <w:p w:rsidR="00697BCD" w:rsidRDefault="00697BCD" w:rsidP="00624E11">
            <w:pPr>
              <w:pStyle w:val="Tabletext-right"/>
            </w:pPr>
            <w:r>
              <w:rPr>
                <w:rStyle w:val="Arialarrow"/>
              </w:rPr>
              <w:t>▼</w:t>
            </w:r>
            <w:r>
              <w:t>6%</w:t>
            </w:r>
          </w:p>
        </w:tc>
        <w:tc>
          <w:tcPr>
            <w:tcW w:w="652" w:type="pct"/>
            <w:shd w:val="clear" w:color="auto" w:fill="auto"/>
          </w:tcPr>
          <w:p w:rsidR="00697BCD" w:rsidRDefault="00697BCD" w:rsidP="00624E11">
            <w:pPr>
              <w:pStyle w:val="Tabletext-right"/>
            </w:pPr>
            <w:r>
              <w:t>47%</w:t>
            </w:r>
          </w:p>
        </w:tc>
        <w:tc>
          <w:tcPr>
            <w:tcW w:w="651" w:type="pct"/>
            <w:shd w:val="clear" w:color="auto" w:fill="auto"/>
          </w:tcPr>
          <w:p w:rsidR="00697BCD" w:rsidRDefault="00697BCD" w:rsidP="00624E11">
            <w:pPr>
              <w:pStyle w:val="Tabletext-right"/>
            </w:pPr>
            <w:r>
              <w:rPr>
                <w:rStyle w:val="Arialarrow"/>
              </w:rPr>
              <w:t>▲</w:t>
            </w:r>
            <w:r>
              <w:t>5%</w:t>
            </w:r>
          </w:p>
        </w:tc>
        <w:tc>
          <w:tcPr>
            <w:tcW w:w="652" w:type="pct"/>
            <w:shd w:val="clear" w:color="auto" w:fill="auto"/>
          </w:tcPr>
          <w:p w:rsidR="00697BCD" w:rsidRDefault="00697BCD" w:rsidP="00624E11">
            <w:pPr>
              <w:pStyle w:val="Tabletext-right"/>
            </w:pPr>
            <w:r>
              <w:t>1%</w:t>
            </w:r>
          </w:p>
        </w:tc>
        <w:tc>
          <w:tcPr>
            <w:tcW w:w="652" w:type="pct"/>
            <w:shd w:val="clear" w:color="auto" w:fill="auto"/>
          </w:tcPr>
          <w:p w:rsidR="00697BCD" w:rsidRDefault="00697BCD" w:rsidP="00624E11">
            <w:pPr>
              <w:pStyle w:val="Tabletext-right"/>
            </w:pPr>
            <w:r>
              <w:rPr>
                <w:rStyle w:val="Arialarrow"/>
              </w:rPr>
              <w:t>▲</w:t>
            </w:r>
            <w:r>
              <w:t>1%</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New South Wales</w:t>
            </w:r>
          </w:p>
        </w:tc>
        <w:tc>
          <w:tcPr>
            <w:tcW w:w="652" w:type="pct"/>
            <w:shd w:val="clear" w:color="auto" w:fill="auto"/>
          </w:tcPr>
          <w:p w:rsidR="00697BCD" w:rsidRDefault="00697BCD" w:rsidP="00624E11">
            <w:pPr>
              <w:pStyle w:val="Tabletext-right"/>
            </w:pPr>
            <w:r>
              <w:t>56%</w:t>
            </w:r>
          </w:p>
        </w:tc>
        <w:tc>
          <w:tcPr>
            <w:tcW w:w="652" w:type="pct"/>
            <w:shd w:val="clear" w:color="auto" w:fill="auto"/>
          </w:tcPr>
          <w:p w:rsidR="00697BCD" w:rsidRDefault="00697BCD" w:rsidP="00624E11">
            <w:pPr>
              <w:pStyle w:val="Tabletext-right"/>
            </w:pPr>
            <w:r>
              <w:rPr>
                <w:rStyle w:val="Arialarrow"/>
              </w:rPr>
              <w:t>▼</w:t>
            </w:r>
            <w:r>
              <w:t>16%</w:t>
            </w:r>
          </w:p>
        </w:tc>
        <w:tc>
          <w:tcPr>
            <w:tcW w:w="652" w:type="pct"/>
            <w:shd w:val="clear" w:color="auto" w:fill="auto"/>
          </w:tcPr>
          <w:p w:rsidR="00697BCD" w:rsidRDefault="00697BCD" w:rsidP="00624E11">
            <w:pPr>
              <w:pStyle w:val="Tabletext-right"/>
            </w:pPr>
            <w:r>
              <w:t>25%</w:t>
            </w:r>
          </w:p>
        </w:tc>
        <w:tc>
          <w:tcPr>
            <w:tcW w:w="651" w:type="pct"/>
            <w:shd w:val="clear" w:color="auto" w:fill="auto"/>
          </w:tcPr>
          <w:p w:rsidR="00697BCD" w:rsidRDefault="00697BCD" w:rsidP="00624E11">
            <w:pPr>
              <w:pStyle w:val="Tabletext-right"/>
            </w:pPr>
            <w:r>
              <w:rPr>
                <w:rStyle w:val="Arialarrow"/>
              </w:rPr>
              <w:t>▼</w:t>
            </w:r>
            <w:r>
              <w:t>2%</w:t>
            </w:r>
          </w:p>
        </w:tc>
        <w:tc>
          <w:tcPr>
            <w:tcW w:w="652" w:type="pct"/>
            <w:shd w:val="clear" w:color="auto" w:fill="auto"/>
          </w:tcPr>
          <w:p w:rsidR="00697BCD" w:rsidRDefault="00697BCD" w:rsidP="00624E11">
            <w:pPr>
              <w:pStyle w:val="Tabletext-right"/>
            </w:pPr>
            <w:r>
              <w:t>18%</w:t>
            </w:r>
          </w:p>
        </w:tc>
        <w:tc>
          <w:tcPr>
            <w:tcW w:w="652" w:type="pct"/>
            <w:shd w:val="clear" w:color="auto" w:fill="auto"/>
          </w:tcPr>
          <w:p w:rsidR="00697BCD" w:rsidRDefault="00697BCD" w:rsidP="00624E11">
            <w:pPr>
              <w:pStyle w:val="Tabletext-right"/>
            </w:pPr>
            <w:r>
              <w:rPr>
                <w:rStyle w:val="Arialarrow"/>
              </w:rPr>
              <w:t>▲</w:t>
            </w:r>
            <w:r>
              <w:t>17%</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lastRenderedPageBreak/>
              <w:t>Tasmania</w:t>
            </w:r>
          </w:p>
        </w:tc>
        <w:tc>
          <w:tcPr>
            <w:tcW w:w="652" w:type="pct"/>
            <w:shd w:val="clear" w:color="auto" w:fill="auto"/>
          </w:tcPr>
          <w:p w:rsidR="00697BCD" w:rsidRDefault="00697BCD" w:rsidP="00624E11">
            <w:pPr>
              <w:pStyle w:val="Tabletext-right"/>
            </w:pPr>
            <w:r>
              <w:t>52%</w:t>
            </w:r>
          </w:p>
        </w:tc>
        <w:tc>
          <w:tcPr>
            <w:tcW w:w="652" w:type="pct"/>
            <w:shd w:val="clear" w:color="auto" w:fill="auto"/>
          </w:tcPr>
          <w:p w:rsidR="00697BCD" w:rsidRDefault="00697BCD" w:rsidP="00624E11">
            <w:pPr>
              <w:pStyle w:val="Tabletext-right"/>
            </w:pPr>
            <w:r>
              <w:rPr>
                <w:rStyle w:val="Arialarrow"/>
              </w:rPr>
              <w:t>▼</w:t>
            </w:r>
            <w:r>
              <w:t>9%</w:t>
            </w:r>
          </w:p>
        </w:tc>
        <w:tc>
          <w:tcPr>
            <w:tcW w:w="652" w:type="pct"/>
            <w:shd w:val="clear" w:color="auto" w:fill="auto"/>
          </w:tcPr>
          <w:p w:rsidR="00697BCD" w:rsidRDefault="00697BCD" w:rsidP="00624E11">
            <w:pPr>
              <w:pStyle w:val="Tabletext-right"/>
            </w:pPr>
            <w:r>
              <w:t>48%</w:t>
            </w:r>
          </w:p>
        </w:tc>
        <w:tc>
          <w:tcPr>
            <w:tcW w:w="651" w:type="pct"/>
            <w:shd w:val="clear" w:color="auto" w:fill="auto"/>
          </w:tcPr>
          <w:p w:rsidR="00697BCD" w:rsidRDefault="00697BCD" w:rsidP="00624E11">
            <w:pPr>
              <w:pStyle w:val="Tabletext-right"/>
            </w:pPr>
            <w:r>
              <w:rPr>
                <w:rStyle w:val="Arialarrow"/>
              </w:rPr>
              <w:t>▲</w:t>
            </w:r>
            <w:r>
              <w:t>9%</w:t>
            </w:r>
          </w:p>
        </w:tc>
        <w:tc>
          <w:tcPr>
            <w:tcW w:w="652" w:type="pct"/>
            <w:shd w:val="clear" w:color="auto" w:fill="auto"/>
          </w:tcPr>
          <w:p w:rsidR="00697BCD" w:rsidRDefault="00697BCD" w:rsidP="00624E11">
            <w:pPr>
              <w:pStyle w:val="Tabletext-right"/>
            </w:pPr>
            <w:r>
              <w:t>0%</w:t>
            </w:r>
          </w:p>
        </w:tc>
        <w:tc>
          <w:tcPr>
            <w:tcW w:w="652" w:type="pct"/>
            <w:shd w:val="clear" w:color="auto" w:fill="auto"/>
          </w:tcPr>
          <w:p w:rsidR="00697BCD" w:rsidRDefault="00697BCD" w:rsidP="00624E11">
            <w:pPr>
              <w:pStyle w:val="Tabletext-right"/>
            </w:pPr>
            <w:r>
              <w:t>0%</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Gas</w:t>
            </w: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Queensland</w:t>
            </w:r>
          </w:p>
        </w:tc>
        <w:tc>
          <w:tcPr>
            <w:tcW w:w="652" w:type="pct"/>
            <w:shd w:val="clear" w:color="auto" w:fill="auto"/>
          </w:tcPr>
          <w:p w:rsidR="00697BCD" w:rsidRDefault="00697BCD" w:rsidP="00624E11">
            <w:pPr>
              <w:pStyle w:val="Tabletext-right"/>
            </w:pPr>
            <w:r>
              <w:t>68%</w:t>
            </w:r>
          </w:p>
        </w:tc>
        <w:tc>
          <w:tcPr>
            <w:tcW w:w="65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52" w:type="pct"/>
            <w:shd w:val="clear" w:color="auto" w:fill="auto"/>
          </w:tcPr>
          <w:p w:rsidR="00697BCD" w:rsidRDefault="00697BCD" w:rsidP="00624E11">
            <w:pPr>
              <w:pStyle w:val="Tabletext-right"/>
            </w:pPr>
            <w:r>
              <w:t>14%</w:t>
            </w:r>
          </w:p>
        </w:tc>
        <w:tc>
          <w:tcPr>
            <w:tcW w:w="651" w:type="pct"/>
            <w:shd w:val="clear" w:color="auto" w:fill="auto"/>
          </w:tcPr>
          <w:p w:rsidR="00697BCD" w:rsidRDefault="00697BCD" w:rsidP="00624E11">
            <w:pPr>
              <w:pStyle w:val="Tabletext-right"/>
            </w:pPr>
            <w:r>
              <w:t xml:space="preserve"> –</w:t>
            </w:r>
          </w:p>
        </w:tc>
        <w:tc>
          <w:tcPr>
            <w:tcW w:w="652" w:type="pct"/>
            <w:shd w:val="clear" w:color="auto" w:fill="auto"/>
          </w:tcPr>
          <w:p w:rsidR="00697BCD" w:rsidRDefault="00697BCD" w:rsidP="00624E11">
            <w:pPr>
              <w:pStyle w:val="Tabletext-right"/>
            </w:pPr>
            <w:r>
              <w:t>18%</w:t>
            </w:r>
          </w:p>
        </w:tc>
        <w:tc>
          <w:tcPr>
            <w:tcW w:w="652" w:type="pct"/>
            <w:shd w:val="clear" w:color="auto" w:fill="auto"/>
          </w:tcPr>
          <w:p w:rsidR="00697BCD" w:rsidRDefault="00697BCD" w:rsidP="00624E11">
            <w:pPr>
              <w:pStyle w:val="Tabletext-right"/>
            </w:pPr>
            <w:r>
              <w:rPr>
                <w:rStyle w:val="Arialarrow"/>
              </w:rPr>
              <w:t>▲</w:t>
            </w:r>
            <w:r>
              <w:t>18%</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South Australia</w:t>
            </w:r>
          </w:p>
        </w:tc>
        <w:tc>
          <w:tcPr>
            <w:tcW w:w="652" w:type="pct"/>
            <w:shd w:val="clear" w:color="auto" w:fill="auto"/>
          </w:tcPr>
          <w:p w:rsidR="00697BCD" w:rsidRDefault="00697BCD" w:rsidP="00624E11">
            <w:pPr>
              <w:pStyle w:val="Tabletext-right"/>
            </w:pPr>
            <w:r>
              <w:t>61%</w:t>
            </w:r>
          </w:p>
        </w:tc>
        <w:tc>
          <w:tcPr>
            <w:tcW w:w="652" w:type="pct"/>
            <w:shd w:val="clear" w:color="auto" w:fill="auto"/>
          </w:tcPr>
          <w:p w:rsidR="00697BCD" w:rsidRDefault="00697BCD" w:rsidP="00624E11">
            <w:pPr>
              <w:pStyle w:val="Tabletext-right"/>
            </w:pPr>
            <w:r>
              <w:rPr>
                <w:rStyle w:val="Arialarrow"/>
              </w:rPr>
              <w:t>▼</w:t>
            </w:r>
            <w:r>
              <w:t>8%</w:t>
            </w:r>
          </w:p>
        </w:tc>
        <w:tc>
          <w:tcPr>
            <w:tcW w:w="652" w:type="pct"/>
            <w:shd w:val="clear" w:color="auto" w:fill="auto"/>
          </w:tcPr>
          <w:p w:rsidR="00697BCD" w:rsidRDefault="00697BCD" w:rsidP="00624E11">
            <w:pPr>
              <w:pStyle w:val="Tabletext-right"/>
            </w:pPr>
            <w:r>
              <w:t>22%</w:t>
            </w:r>
          </w:p>
        </w:tc>
        <w:tc>
          <w:tcPr>
            <w:tcW w:w="651" w:type="pct"/>
            <w:shd w:val="clear" w:color="auto" w:fill="auto"/>
          </w:tcPr>
          <w:p w:rsidR="00697BCD" w:rsidRDefault="00697BCD" w:rsidP="00624E11">
            <w:pPr>
              <w:pStyle w:val="Tabletext-right"/>
            </w:pPr>
            <w:r>
              <w:rPr>
                <w:rStyle w:val="Arialarrow"/>
              </w:rPr>
              <w:t>▼</w:t>
            </w:r>
            <w:r>
              <w:t>1%</w:t>
            </w:r>
          </w:p>
        </w:tc>
        <w:tc>
          <w:tcPr>
            <w:tcW w:w="652" w:type="pct"/>
            <w:shd w:val="clear" w:color="auto" w:fill="auto"/>
          </w:tcPr>
          <w:p w:rsidR="00697BCD" w:rsidRDefault="00697BCD" w:rsidP="00624E11">
            <w:pPr>
              <w:pStyle w:val="Tabletext-right"/>
            </w:pPr>
            <w:r>
              <w:t>17%</w:t>
            </w:r>
          </w:p>
        </w:tc>
        <w:tc>
          <w:tcPr>
            <w:tcW w:w="652" w:type="pct"/>
            <w:shd w:val="clear" w:color="auto" w:fill="auto"/>
          </w:tcPr>
          <w:p w:rsidR="00697BCD" w:rsidRDefault="00697BCD" w:rsidP="00624E11">
            <w:pPr>
              <w:pStyle w:val="Tabletext-right"/>
            </w:pPr>
            <w:r>
              <w:rPr>
                <w:rStyle w:val="Arialarrow"/>
              </w:rPr>
              <w:t>▲</w:t>
            </w:r>
            <w:r>
              <w:t>9%</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ACT</w:t>
            </w:r>
          </w:p>
        </w:tc>
        <w:tc>
          <w:tcPr>
            <w:tcW w:w="652" w:type="pct"/>
            <w:shd w:val="clear" w:color="auto" w:fill="auto"/>
          </w:tcPr>
          <w:p w:rsidR="00697BCD" w:rsidRDefault="00697BCD" w:rsidP="00624E11">
            <w:pPr>
              <w:pStyle w:val="Tabletext-right"/>
            </w:pPr>
            <w:r>
              <w:t>69%</w:t>
            </w:r>
          </w:p>
        </w:tc>
        <w:tc>
          <w:tcPr>
            <w:tcW w:w="652" w:type="pct"/>
            <w:shd w:val="clear" w:color="auto" w:fill="auto"/>
          </w:tcPr>
          <w:p w:rsidR="00697BCD" w:rsidRDefault="00697BCD" w:rsidP="00624E11">
            <w:pPr>
              <w:pStyle w:val="Tabletext-right"/>
            </w:pPr>
            <w:r>
              <w:rPr>
                <w:rStyle w:val="Arialarrow"/>
              </w:rPr>
              <w:t>▼</w:t>
            </w:r>
            <w:r>
              <w:t>6%</w:t>
            </w:r>
          </w:p>
        </w:tc>
        <w:tc>
          <w:tcPr>
            <w:tcW w:w="652" w:type="pct"/>
            <w:shd w:val="clear" w:color="auto" w:fill="auto"/>
          </w:tcPr>
          <w:p w:rsidR="00697BCD" w:rsidRDefault="00697BCD" w:rsidP="00624E11">
            <w:pPr>
              <w:pStyle w:val="Tabletext-right"/>
            </w:pPr>
            <w:r>
              <w:t>30%</w:t>
            </w:r>
          </w:p>
        </w:tc>
        <w:tc>
          <w:tcPr>
            <w:tcW w:w="651" w:type="pct"/>
            <w:shd w:val="clear" w:color="auto" w:fill="auto"/>
          </w:tcPr>
          <w:p w:rsidR="00697BCD" w:rsidRDefault="00697BCD" w:rsidP="00624E11">
            <w:pPr>
              <w:pStyle w:val="Tabletext-right"/>
            </w:pPr>
            <w:r>
              <w:rPr>
                <w:rStyle w:val="Arialarrow"/>
              </w:rPr>
              <w:t>▲</w:t>
            </w:r>
            <w:r>
              <w:t>5%</w:t>
            </w:r>
          </w:p>
        </w:tc>
        <w:tc>
          <w:tcPr>
            <w:tcW w:w="652" w:type="pct"/>
            <w:shd w:val="clear" w:color="auto" w:fill="auto"/>
          </w:tcPr>
          <w:p w:rsidR="00697BCD" w:rsidRDefault="00697BCD" w:rsidP="00624E11">
            <w:pPr>
              <w:pStyle w:val="Tabletext-right"/>
            </w:pPr>
            <w:r>
              <w:t>2%</w:t>
            </w:r>
          </w:p>
        </w:tc>
        <w:tc>
          <w:tcPr>
            <w:tcW w:w="652" w:type="pct"/>
            <w:shd w:val="clear" w:color="auto" w:fill="auto"/>
          </w:tcPr>
          <w:p w:rsidR="00697BCD" w:rsidRDefault="00697BCD" w:rsidP="00624E11">
            <w:pPr>
              <w:pStyle w:val="Tabletext-right"/>
            </w:pPr>
            <w:r>
              <w:rPr>
                <w:rStyle w:val="Arialarrow"/>
              </w:rPr>
              <w:t>▲</w:t>
            </w:r>
            <w:r>
              <w:t>2%</w:t>
            </w:r>
          </w:p>
        </w:tc>
      </w:tr>
      <w:tr w:rsidR="00697BCD" w:rsidRPr="00391B03" w:rsidTr="00391B03">
        <w:trPr>
          <w:trHeight w:val="255"/>
        </w:trPr>
        <w:tc>
          <w:tcPr>
            <w:tcW w:w="1089" w:type="pct"/>
            <w:shd w:val="clear" w:color="auto" w:fill="auto"/>
          </w:tcPr>
          <w:p w:rsidR="00697BCD" w:rsidRPr="00391B03" w:rsidRDefault="00697BCD" w:rsidP="00624E11">
            <w:pPr>
              <w:pStyle w:val="Tabletext"/>
            </w:pPr>
            <w:r w:rsidRPr="00391B03">
              <w:t>New South Wales</w:t>
            </w:r>
          </w:p>
        </w:tc>
        <w:tc>
          <w:tcPr>
            <w:tcW w:w="652" w:type="pct"/>
            <w:shd w:val="clear" w:color="auto" w:fill="auto"/>
          </w:tcPr>
          <w:p w:rsidR="00697BCD" w:rsidRDefault="00697BCD" w:rsidP="00624E11">
            <w:pPr>
              <w:pStyle w:val="Tabletext-right"/>
            </w:pPr>
            <w:r>
              <w:t>68%</w:t>
            </w:r>
          </w:p>
        </w:tc>
        <w:tc>
          <w:tcPr>
            <w:tcW w:w="652" w:type="pct"/>
            <w:shd w:val="clear" w:color="auto" w:fill="auto"/>
          </w:tcPr>
          <w:p w:rsidR="00697BCD" w:rsidRDefault="00697BCD" w:rsidP="00624E11">
            <w:pPr>
              <w:pStyle w:val="Tabletext-right"/>
            </w:pPr>
            <w:r>
              <w:rPr>
                <w:rStyle w:val="Arialarrow"/>
              </w:rPr>
              <w:t>▼</w:t>
            </w:r>
            <w:r>
              <w:t>6%</w:t>
            </w:r>
          </w:p>
        </w:tc>
        <w:tc>
          <w:tcPr>
            <w:tcW w:w="652" w:type="pct"/>
            <w:shd w:val="clear" w:color="auto" w:fill="auto"/>
          </w:tcPr>
          <w:p w:rsidR="00697BCD" w:rsidRDefault="00697BCD" w:rsidP="00624E11">
            <w:pPr>
              <w:pStyle w:val="Tabletext-right"/>
            </w:pPr>
            <w:r>
              <w:t>21%</w:t>
            </w:r>
          </w:p>
        </w:tc>
        <w:tc>
          <w:tcPr>
            <w:tcW w:w="651" w:type="pct"/>
            <w:shd w:val="clear" w:color="auto" w:fill="auto"/>
          </w:tcPr>
          <w:p w:rsidR="00697BCD" w:rsidRDefault="00697BCD" w:rsidP="00624E11">
            <w:pPr>
              <w:pStyle w:val="Tabletext-right"/>
            </w:pPr>
            <w:r>
              <w:rPr>
                <w:rStyle w:val="Arialarrow"/>
              </w:rPr>
              <w:t>▼</w:t>
            </w:r>
            <w:r>
              <w:t>5%</w:t>
            </w:r>
          </w:p>
        </w:tc>
        <w:tc>
          <w:tcPr>
            <w:tcW w:w="652" w:type="pct"/>
            <w:shd w:val="clear" w:color="auto" w:fill="auto"/>
          </w:tcPr>
          <w:p w:rsidR="00697BCD" w:rsidRDefault="00697BCD" w:rsidP="00624E11">
            <w:pPr>
              <w:pStyle w:val="Tabletext-right"/>
            </w:pPr>
            <w:r>
              <w:t>11%</w:t>
            </w:r>
          </w:p>
        </w:tc>
        <w:tc>
          <w:tcPr>
            <w:tcW w:w="652" w:type="pct"/>
            <w:shd w:val="clear" w:color="auto" w:fill="auto"/>
          </w:tcPr>
          <w:p w:rsidR="00697BCD" w:rsidRDefault="00697BCD" w:rsidP="00624E11">
            <w:pPr>
              <w:pStyle w:val="Tabletext-right"/>
            </w:pPr>
            <w:r>
              <w:rPr>
                <w:rStyle w:val="Arialarrow"/>
              </w:rPr>
              <w:t>▲</w:t>
            </w:r>
            <w:r>
              <w:t>11%</w:t>
            </w:r>
          </w:p>
        </w:tc>
      </w:tr>
    </w:tbl>
    <w:p w:rsidR="00697BCD" w:rsidRDefault="00697BCD"/>
    <w:p w:rsidR="00697BCD" w:rsidRDefault="00697BCD" w:rsidP="000F3A56">
      <w:pPr>
        <w:pStyle w:val="Numbered111"/>
      </w:pPr>
      <w:bookmarkStart w:id="26" w:name="_Toc467665310"/>
      <w:r>
        <w:t>Debt levels of customers on hardship programs</w:t>
      </w:r>
      <w:bookmarkEnd w:id="26"/>
    </w:p>
    <w:p w:rsidR="00697BCD" w:rsidRDefault="00697BCD" w:rsidP="00697BCD">
      <w:r>
        <w:t xml:space="preserve">If a customer enters a hardship program with a low level of debt they have a greater chance of fully repaying their debt, and successfully completing the hardship program. Low debt levels may indicate that retailers are being more proactive in identifying customers experiencing financial issues, as well as greater awareness among customers that they should seek assistance as soon as they experience payment difficulties. Figures 2.4 and 2.5 </w:t>
      </w:r>
      <w:proofErr w:type="gramStart"/>
      <w:r>
        <w:t>show</w:t>
      </w:r>
      <w:proofErr w:type="gramEnd"/>
      <w:r>
        <w:t xml:space="preserve"> the debt levels of electricity and gas customers who entered hardship programs in 2014–15 and 2015–16. </w:t>
      </w:r>
    </w:p>
    <w:p w:rsidR="00697BCD" w:rsidRDefault="00697BCD" w:rsidP="00697BCD">
      <w:r>
        <w:t xml:space="preserve">Around 64 per 100 Click Energy customers, 76 per 100 </w:t>
      </w:r>
      <w:proofErr w:type="spellStart"/>
      <w:r>
        <w:t>Lumo</w:t>
      </w:r>
      <w:proofErr w:type="spellEnd"/>
      <w:r>
        <w:t xml:space="preserve"> Energy customers and 82 per 100 Red Energy customers entering those retailers’ hardship programs had debt less than $500. In contrast, 44 per 100 Aurora customers and 47 per 100 </w:t>
      </w:r>
      <w:proofErr w:type="spellStart"/>
      <w:r>
        <w:t>Powerdirect</w:t>
      </w:r>
      <w:proofErr w:type="spellEnd"/>
      <w:r>
        <w:t xml:space="preserve"> customers entering hardship programs had debts over $1500.</w:t>
      </w:r>
    </w:p>
    <w:p w:rsidR="00697BCD" w:rsidRDefault="00697BCD" w:rsidP="00697BCD">
      <w:r>
        <w:t>Origin Energy had proportionally 14 per cent fewer electricity customers entering its hardship program with debts over $1500.</w:t>
      </w:r>
    </w:p>
    <w:p w:rsidR="00697BCD" w:rsidRDefault="00697BCD" w:rsidP="00697BCD">
      <w:r>
        <w:t xml:space="preserve">Gas customers generally entered hardship programs with lower levels of debt, with most customers of gas retailers entering hardship programs with less than $500 of debt. </w:t>
      </w:r>
    </w:p>
    <w:p w:rsidR="00697BCD" w:rsidRDefault="00697BCD" w:rsidP="00697BCD">
      <w:r>
        <w:t xml:space="preserve">After reporting 40 per cent of customers entering hardship programs had debts greater than $1500 in 2014–15, </w:t>
      </w:r>
      <w:proofErr w:type="spellStart"/>
      <w:r>
        <w:t>EnergyAustralia</w:t>
      </w:r>
      <w:proofErr w:type="spellEnd"/>
      <w:r>
        <w:t xml:space="preserve"> this year reported 17 per cent of customers with this level of debt. Origin Energy also recorded an increase in the proportion of customers entering its hardship program with debt less than $500 in 2015–16 (74 per cent, compared with 59 per cent in 2014–15).</w:t>
      </w:r>
    </w:p>
    <w:p w:rsidR="00697BCD" w:rsidRDefault="00697BCD" w:rsidP="00697BCD">
      <w:r>
        <w:t xml:space="preserve">Nationally, the customers with the highest average debt when entering their retailer’s hardship program belonged to Aurora ($1866), </w:t>
      </w:r>
      <w:proofErr w:type="spellStart"/>
      <w:r>
        <w:t>Powerdirect</w:t>
      </w:r>
      <w:proofErr w:type="spellEnd"/>
      <w:r>
        <w:t xml:space="preserve"> ($1717) and M2 Energy ($1629).</w:t>
      </w:r>
    </w:p>
    <w:p w:rsidR="00697BCD" w:rsidRDefault="00697BCD" w:rsidP="000F3A56">
      <w:pPr>
        <w:pStyle w:val="Charttitle"/>
      </w:pPr>
      <w:r>
        <w:lastRenderedPageBreak/>
        <w:t>Figure 2.4:</w:t>
      </w:r>
      <w:r>
        <w:tab/>
        <w:t>Electricity debt levels of customers entering hardship programs in 2014–15 and 2015–16</w:t>
      </w:r>
    </w:p>
    <w:p w:rsidR="00697BCD" w:rsidRDefault="00EC4210">
      <w:r>
        <w:pict>
          <v:shape id="_x0000_i1035" type="#_x0000_t75" alt="Of the electricity customers that entered hardship programs in 2015-16, 54 per cent had a debt between $0 and $500, 27 per cent had a debt between $500 and $1500, 10 per cent had a debt between $1500 and $2500, and 9 per cent had a debt of over $2500." style="width:465.65pt;height:475.95pt">
            <v:imagedata r:id="rId21" o:title=""/>
          </v:shape>
        </w:pict>
      </w:r>
    </w:p>
    <w:p w:rsidR="00697BCD" w:rsidRDefault="00697BCD" w:rsidP="000F3A56">
      <w:pPr>
        <w:pStyle w:val="Charttitle"/>
      </w:pPr>
      <w:r>
        <w:lastRenderedPageBreak/>
        <w:t>Figure 2.5:</w:t>
      </w:r>
      <w:r>
        <w:tab/>
        <w:t>Gas debt levels of customers entering hardship programs in 2014–15 and 2015–16</w:t>
      </w:r>
    </w:p>
    <w:p w:rsidR="00697BCD" w:rsidRDefault="00EC4210" w:rsidP="000F3A56">
      <w:pPr>
        <w:pStyle w:val="Charttitle"/>
      </w:pPr>
      <w:r>
        <w:pict>
          <v:shape id="_x0000_i1036" type="#_x0000_t75" alt="Of the gas customers that entered hardship programs in 2015-16, 68 per cent had a debt between $0 and $500, 24 per cent had a debt between $500 and $1500, 5 per cent had a debt between $1500 and $2500, and 3 per cent had a debt of over $2500" style="width:468.45pt;height:278.65pt">
            <v:imagedata r:id="rId22" o:title=""/>
          </v:shape>
        </w:pict>
      </w:r>
    </w:p>
    <w:p w:rsidR="00697BCD" w:rsidRDefault="00697BCD" w:rsidP="000F3A56">
      <w:pPr>
        <w:pStyle w:val="Numbered111"/>
      </w:pPr>
      <w:bookmarkStart w:id="27" w:name="_Toc467665311"/>
      <w:r>
        <w:t>Customers exiting hardship programs</w:t>
      </w:r>
      <w:bookmarkEnd w:id="27"/>
    </w:p>
    <w:p w:rsidR="00697BCD" w:rsidRDefault="00697BCD" w:rsidP="00697BCD">
      <w:r>
        <w:t xml:space="preserve">Retailers report the number of customers exiting their hardship programs for each of the following reasons: </w:t>
      </w:r>
    </w:p>
    <w:p w:rsidR="00697BCD" w:rsidRDefault="00697BCD" w:rsidP="00697BCD">
      <w:pPr>
        <w:pStyle w:val="ListBullet"/>
      </w:pPr>
      <w:r>
        <w:t>customer who successfully completed the program or exited with the agreement of the retailer</w:t>
      </w:r>
    </w:p>
    <w:p w:rsidR="00697BCD" w:rsidRDefault="00697BCD" w:rsidP="00697BCD">
      <w:pPr>
        <w:pStyle w:val="ListBullet"/>
      </w:pPr>
      <w:r>
        <w:t>customers who transferred, switched or left the retailer, and</w:t>
      </w:r>
    </w:p>
    <w:p w:rsidR="00697BCD" w:rsidRDefault="00697BCD" w:rsidP="00697BCD">
      <w:pPr>
        <w:pStyle w:val="ListBullet"/>
      </w:pPr>
      <w:proofErr w:type="gramStart"/>
      <w:r>
        <w:t>customers</w:t>
      </w:r>
      <w:proofErr w:type="gramEnd"/>
      <w:r>
        <w:t xml:space="preserve"> who were excluded or removed from the program for failing to meet the requirements.</w:t>
      </w:r>
    </w:p>
    <w:p w:rsidR="00697BCD" w:rsidRDefault="00697BCD" w:rsidP="00697BCD">
      <w:proofErr w:type="gramStart"/>
      <w:r>
        <w:t>Figures 2.6 and 2.7 shows the number of electricity and gas customers who exited hardship programs for each retailer in 2014–15 and 2015–16.</w:t>
      </w:r>
      <w:proofErr w:type="gramEnd"/>
      <w:r>
        <w:t xml:space="preserve"> </w:t>
      </w:r>
    </w:p>
    <w:p w:rsidR="00697BCD" w:rsidRDefault="00697BCD" w:rsidP="00697BCD">
      <w:r>
        <w:t xml:space="preserve">These figures, read in conjunction with debt levels and debt on entry, may indicate retailers are taking a more proactive approach to managing customers through their hardship programs. </w:t>
      </w:r>
    </w:p>
    <w:p w:rsidR="00697BCD" w:rsidRDefault="00697BCD" w:rsidP="00697BCD">
      <w:r>
        <w:t>The proportion of electricity customers exiting hardship programs due to successfully paying off debt increased from 24 per 100 customers exiting in 2014–15 to 36 per 100 exiting 2015–16.</w:t>
      </w:r>
    </w:p>
    <w:p w:rsidR="00697BCD" w:rsidRDefault="00697BCD" w:rsidP="00697BCD">
      <w:r>
        <w:t xml:space="preserve">Additionally, over this period the rate of customers exiting hardship customers due to exclusion decreased from 57 to 46 per 100 customers, while the proportion of customers exiting by transfer to other retailers remained static. </w:t>
      </w:r>
    </w:p>
    <w:p w:rsidR="00697BCD" w:rsidRDefault="00697BCD" w:rsidP="00697BCD">
      <w:r>
        <w:t xml:space="preserve">This increase in successful completion was due in part to the three largest retailers, all of which reported higher rates of customers exiting hardship plans for this reason. </w:t>
      </w:r>
    </w:p>
    <w:p w:rsidR="00697BCD" w:rsidRDefault="00697BCD" w:rsidP="00697BCD">
      <w:proofErr w:type="spellStart"/>
      <w:r>
        <w:t>Alinta</w:t>
      </w:r>
      <w:proofErr w:type="spellEnd"/>
      <w:r>
        <w:t xml:space="preserve"> Energy’s rate of exit for successful completion also increased from 10 to 36 per 100 customers.</w:t>
      </w:r>
    </w:p>
    <w:p w:rsidR="00697BCD" w:rsidRDefault="00697BCD" w:rsidP="00697BCD">
      <w:r>
        <w:t>Momentum Energy (13 per 100 exiting customers) and M2 Energy (11 per 100) had among the lowest rates of customers exiting hardship programs due to successful completion over the year.</w:t>
      </w:r>
    </w:p>
    <w:p w:rsidR="00697BCD" w:rsidRDefault="00697BCD" w:rsidP="000F3A56">
      <w:pPr>
        <w:pStyle w:val="Charttitle"/>
      </w:pPr>
      <w:r>
        <w:lastRenderedPageBreak/>
        <w:t>Figure 2.6:</w:t>
      </w:r>
      <w:r>
        <w:tab/>
        <w:t>Electricity customers exiting h</w:t>
      </w:r>
      <w:r w:rsidR="00BF05A8">
        <w:t>ardship programs in 2014–15 and</w:t>
      </w:r>
      <w:r w:rsidR="00BF05A8">
        <w:br/>
      </w:r>
      <w:r>
        <w:t>2015–16</w:t>
      </w:r>
    </w:p>
    <w:p w:rsidR="00697BCD" w:rsidRDefault="00EC4210" w:rsidP="000F3A56">
      <w:pPr>
        <w:pStyle w:val="Charttitle"/>
      </w:pPr>
      <w:r>
        <w:pict>
          <v:shape id="_x0000_i1037" type="#_x0000_t75" alt="Of the electricity customers that exited hardship programs in 2015-16, 36 per cent successfully repaid their debt, 18 per cent transferred to another retailer, and 46 per cent were excluded for not meeting repayments." style="width:471.25pt;height:447.9pt">
            <v:imagedata r:id="rId23" o:title=""/>
          </v:shape>
        </w:pict>
      </w:r>
    </w:p>
    <w:p w:rsidR="00697BCD" w:rsidRDefault="00697BCD" w:rsidP="00697BCD">
      <w:r>
        <w:t>The ‘success rate’ of gas customers exiting hardship programs increased, from 22 per 100 customers in 2014–15 to 29 per 100 customers in 2015–16. Additionally over this period the proportion of customers leaving due to exclusion decreased from 57 to 48 per 100 customers.</w:t>
      </w:r>
    </w:p>
    <w:p w:rsidR="00697BCD" w:rsidRDefault="00697BCD" w:rsidP="00697BCD">
      <w:proofErr w:type="spellStart"/>
      <w:r>
        <w:t>Lumo</w:t>
      </w:r>
      <w:proofErr w:type="spellEnd"/>
      <w:r>
        <w:t xml:space="preserve"> Energy had the lowest rate of gas customers exiting hardship programs for successful completion (5 per cent). </w:t>
      </w:r>
      <w:proofErr w:type="spellStart"/>
      <w:r>
        <w:t>EnergyAustralia</w:t>
      </w:r>
      <w:proofErr w:type="spellEnd"/>
      <w:r>
        <w:t xml:space="preserve"> had the highest success rate, with more than half exiting due to successful completion.</w:t>
      </w:r>
    </w:p>
    <w:p w:rsidR="00697BCD" w:rsidRDefault="00697BCD" w:rsidP="000F3A56">
      <w:pPr>
        <w:pStyle w:val="Charttitle"/>
      </w:pPr>
      <w:r>
        <w:lastRenderedPageBreak/>
        <w:t>Figure 2.7:</w:t>
      </w:r>
      <w:r>
        <w:tab/>
        <w:t>Gas customers exiting hardship programs in 2014–15 and 2015–16</w:t>
      </w:r>
    </w:p>
    <w:p w:rsidR="00697BCD" w:rsidRDefault="00EC4210" w:rsidP="000F3A56">
      <w:pPr>
        <w:pStyle w:val="Charttitle"/>
      </w:pPr>
      <w:r>
        <w:pict>
          <v:shape id="_x0000_i1038" type="#_x0000_t75" alt="Of the gas customers that exited hardship programs in 2015-16, 29% per cent successfully repaid their debt, 24% per cent transferred to another retailer, and 48% per cent were excluded for not meeting repayments." style="width:470.35pt;height:212.25pt">
            <v:imagedata r:id="rId24" o:title=""/>
          </v:shape>
        </w:pict>
      </w:r>
    </w:p>
    <w:p w:rsidR="00697BCD" w:rsidRDefault="00697BCD" w:rsidP="000F3A56">
      <w:pPr>
        <w:pStyle w:val="Numbered111"/>
      </w:pPr>
      <w:bookmarkStart w:id="28" w:name="_Toc467665312"/>
      <w:r>
        <w:t>How do retailers manage customers on hardship programs?</w:t>
      </w:r>
      <w:bookmarkEnd w:id="28"/>
    </w:p>
    <w:p w:rsidR="00697BCD" w:rsidRDefault="00697BCD" w:rsidP="00697BCD">
      <w:r>
        <w:t>Retailers have reported to us different types of assistance that they may provide under their hardship program. For example, retailers generally found the following methods were successful in helping the customer repay their energy debt:</w:t>
      </w:r>
    </w:p>
    <w:p w:rsidR="00697BCD" w:rsidRDefault="00697BCD" w:rsidP="00697BCD">
      <w:pPr>
        <w:pStyle w:val="ListBullet"/>
      </w:pPr>
      <w:r>
        <w:t>early identification of customers with debt</w:t>
      </w:r>
    </w:p>
    <w:p w:rsidR="00697BCD" w:rsidRDefault="00697BCD" w:rsidP="00697BCD">
      <w:pPr>
        <w:pStyle w:val="ListBullet"/>
      </w:pPr>
      <w:r>
        <w:t>conducting home energy audits and replacing faulty appliances</w:t>
      </w:r>
    </w:p>
    <w:p w:rsidR="00697BCD" w:rsidRDefault="00697BCD" w:rsidP="00697BCD">
      <w:pPr>
        <w:pStyle w:val="ListBullet"/>
      </w:pPr>
      <w:r>
        <w:t>matching customer debt repayments, or providing goodwill credits towards customer accounts</w:t>
      </w:r>
    </w:p>
    <w:p w:rsidR="00697BCD" w:rsidRDefault="00697BCD" w:rsidP="00697BCD">
      <w:pPr>
        <w:pStyle w:val="ListBullet"/>
      </w:pPr>
      <w:proofErr w:type="gramStart"/>
      <w:r>
        <w:t>accepting</w:t>
      </w:r>
      <w:proofErr w:type="gramEnd"/>
      <w:r>
        <w:t xml:space="preserve"> lower than normal repayments in the short term.</w:t>
      </w:r>
    </w:p>
    <w:p w:rsidR="00697BCD" w:rsidRDefault="00697BCD" w:rsidP="00697BCD">
      <w:r>
        <w:t>No clear correlation between average debt on entry, use of Centrepay and success rate was evident from the 2015–16 figures. While the retailers with the highest successful hardship program rates tended to have lower debt on entry, several retailers with low average debt on entry also had very low success rates.</w:t>
      </w:r>
    </w:p>
    <w:p w:rsidR="00697BCD" w:rsidRDefault="00697BCD" w:rsidP="00697BCD">
      <w:r>
        <w:t>We note that while there were improvements in the indicators for customers exiting hardship programs in 2015–16 (figures 2.6 and 2.7) success rates for hardship programs as a proportion of all hardship customers were generally low. Only four electricity retailers and one gas retailer had a success rate greater than 10 per 100 hardship customers.</w:t>
      </w:r>
    </w:p>
    <w:p w:rsidR="00697BCD" w:rsidRDefault="00697BCD" w:rsidP="00697BCD">
      <w:r>
        <w:t xml:space="preserve">In summary, it is important not to view these indicators in isolation when assessing the performance of retailers in managing customers on hardship programs. For example, in some cases the success rates reported by retailers may be due to early intervention; but the data suggests that this is not the case for all retailers. </w:t>
      </w:r>
    </w:p>
    <w:p w:rsidR="00BF55FB" w:rsidRDefault="00BF55FB">
      <w:pPr>
        <w:rPr>
          <w:b/>
          <w:szCs w:val="20"/>
        </w:rPr>
      </w:pPr>
      <w:r>
        <w:br w:type="page"/>
      </w:r>
    </w:p>
    <w:p w:rsidR="00697BCD" w:rsidRDefault="00697BCD" w:rsidP="00697BCD">
      <w:pPr>
        <w:pStyle w:val="Tabletitle"/>
      </w:pPr>
      <w:r>
        <w:t>Table 2.9:</w:t>
      </w:r>
      <w:r>
        <w:tab/>
        <w:t>Hardship program performance indicators—by retailer</w:t>
      </w:r>
    </w:p>
    <w:tbl>
      <w:tblPr>
        <w:tblW w:w="5000" w:type="pct"/>
        <w:tblBorders>
          <w:top w:val="single" w:sz="4" w:space="0" w:color="BFBFBF"/>
          <w:bottom w:val="single" w:sz="4" w:space="0" w:color="BFBFBF"/>
        </w:tblBorders>
        <w:tblLook w:val="0000" w:firstRow="0" w:lastRow="0" w:firstColumn="0" w:lastColumn="0" w:noHBand="0" w:noVBand="0"/>
      </w:tblPr>
      <w:tblGrid>
        <w:gridCol w:w="2006"/>
        <w:gridCol w:w="1915"/>
        <w:gridCol w:w="1881"/>
        <w:gridCol w:w="1411"/>
        <w:gridCol w:w="2415"/>
      </w:tblGrid>
      <w:tr w:rsidR="00697BCD" w:rsidRPr="00391B03" w:rsidTr="00391B03">
        <w:trPr>
          <w:trHeight w:val="255"/>
        </w:trPr>
        <w:tc>
          <w:tcPr>
            <w:tcW w:w="104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94" w:type="pct"/>
            <w:shd w:val="clear" w:color="auto" w:fill="auto"/>
          </w:tcPr>
          <w:p w:rsidR="00697BCD" w:rsidRDefault="00697BCD" w:rsidP="006B1E9F">
            <w:pPr>
              <w:pStyle w:val="TableHeading-right"/>
            </w:pPr>
            <w:r>
              <w:t>Customers on hardship programs (as % of customers with debt)</w:t>
            </w:r>
          </w:p>
        </w:tc>
        <w:tc>
          <w:tcPr>
            <w:tcW w:w="977" w:type="pct"/>
            <w:shd w:val="clear" w:color="auto" w:fill="auto"/>
          </w:tcPr>
          <w:p w:rsidR="00697BCD" w:rsidRDefault="00697BCD" w:rsidP="006B1E9F">
            <w:pPr>
              <w:pStyle w:val="TableHeading-right"/>
            </w:pPr>
            <w:r>
              <w:t>Average debt on entry to hardship programs</w:t>
            </w:r>
          </w:p>
        </w:tc>
        <w:tc>
          <w:tcPr>
            <w:tcW w:w="733" w:type="pct"/>
            <w:shd w:val="clear" w:color="auto" w:fill="auto"/>
          </w:tcPr>
          <w:p w:rsidR="00697BCD" w:rsidRDefault="00697BCD" w:rsidP="006B1E9F">
            <w:pPr>
              <w:pStyle w:val="TableHeading-right"/>
            </w:pPr>
            <w:r>
              <w:t>Hardship customers using Centrepay</w:t>
            </w:r>
          </w:p>
        </w:tc>
        <w:tc>
          <w:tcPr>
            <w:tcW w:w="1254" w:type="pct"/>
            <w:shd w:val="clear" w:color="auto" w:fill="auto"/>
          </w:tcPr>
          <w:p w:rsidR="00697BCD" w:rsidRDefault="00697BCD" w:rsidP="006B1E9F">
            <w:pPr>
              <w:pStyle w:val="TableHeading-right"/>
            </w:pPr>
            <w:r>
              <w:t>Success rate of hardship programs</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Electricity</w:t>
            </w:r>
          </w:p>
        </w:tc>
        <w:tc>
          <w:tcPr>
            <w:tcW w:w="99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7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7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2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1st Energy</w:t>
            </w:r>
          </w:p>
        </w:tc>
        <w:tc>
          <w:tcPr>
            <w:tcW w:w="994" w:type="pct"/>
            <w:shd w:val="clear" w:color="auto" w:fill="auto"/>
          </w:tcPr>
          <w:p w:rsidR="00697BCD" w:rsidRDefault="00697BCD" w:rsidP="00624E11">
            <w:pPr>
              <w:pStyle w:val="Tabletext-right"/>
            </w:pPr>
            <w:r>
              <w:t>38%</w:t>
            </w:r>
          </w:p>
        </w:tc>
        <w:tc>
          <w:tcPr>
            <w:tcW w:w="977" w:type="pct"/>
            <w:shd w:val="clear" w:color="auto" w:fill="auto"/>
          </w:tcPr>
          <w:p w:rsidR="00697BCD" w:rsidRDefault="00697BCD" w:rsidP="00624E11">
            <w:pPr>
              <w:pStyle w:val="Tabletext-right"/>
            </w:pPr>
            <w:r>
              <w:t>$846.52</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0%</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ActewAGL</w:t>
            </w:r>
            <w:proofErr w:type="spellEnd"/>
          </w:p>
        </w:tc>
        <w:tc>
          <w:tcPr>
            <w:tcW w:w="994" w:type="pct"/>
            <w:shd w:val="clear" w:color="auto" w:fill="auto"/>
          </w:tcPr>
          <w:p w:rsidR="00697BCD" w:rsidRDefault="00697BCD" w:rsidP="00624E11">
            <w:pPr>
              <w:pStyle w:val="Tabletext-right"/>
            </w:pPr>
            <w:r>
              <w:t>15%</w:t>
            </w:r>
          </w:p>
        </w:tc>
        <w:tc>
          <w:tcPr>
            <w:tcW w:w="977" w:type="pct"/>
            <w:shd w:val="clear" w:color="auto" w:fill="auto"/>
          </w:tcPr>
          <w:p w:rsidR="00697BCD" w:rsidRDefault="00697BCD" w:rsidP="00624E11">
            <w:pPr>
              <w:pStyle w:val="Tabletext-right"/>
            </w:pPr>
            <w:r>
              <w:t>$988.09</w:t>
            </w:r>
          </w:p>
        </w:tc>
        <w:tc>
          <w:tcPr>
            <w:tcW w:w="733" w:type="pct"/>
            <w:shd w:val="clear" w:color="auto" w:fill="auto"/>
          </w:tcPr>
          <w:p w:rsidR="00697BCD" w:rsidRDefault="00697BCD" w:rsidP="00624E11">
            <w:pPr>
              <w:pStyle w:val="Tabletext-right"/>
            </w:pPr>
            <w:r>
              <w:t>48%</w:t>
            </w:r>
          </w:p>
        </w:tc>
        <w:tc>
          <w:tcPr>
            <w:tcW w:w="1254" w:type="pct"/>
            <w:shd w:val="clear" w:color="auto" w:fill="auto"/>
          </w:tcPr>
          <w:p w:rsidR="00697BCD" w:rsidRDefault="00697BCD" w:rsidP="00624E11">
            <w:pPr>
              <w:pStyle w:val="Tabletext-right"/>
            </w:pPr>
            <w:r>
              <w:t>3%</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AGL</w:t>
            </w:r>
          </w:p>
        </w:tc>
        <w:tc>
          <w:tcPr>
            <w:tcW w:w="994" w:type="pct"/>
            <w:shd w:val="clear" w:color="auto" w:fill="auto"/>
          </w:tcPr>
          <w:p w:rsidR="00697BCD" w:rsidRDefault="00697BCD" w:rsidP="00624E11">
            <w:pPr>
              <w:pStyle w:val="Tabletext-right"/>
            </w:pPr>
            <w:r>
              <w:t>29%</w:t>
            </w:r>
          </w:p>
        </w:tc>
        <w:tc>
          <w:tcPr>
            <w:tcW w:w="977" w:type="pct"/>
            <w:shd w:val="clear" w:color="auto" w:fill="auto"/>
          </w:tcPr>
          <w:p w:rsidR="00697BCD" w:rsidRDefault="00697BCD" w:rsidP="00624E11">
            <w:pPr>
              <w:pStyle w:val="Tabletext-right"/>
            </w:pPr>
            <w:r>
              <w:t>$967.01</w:t>
            </w:r>
          </w:p>
        </w:tc>
        <w:tc>
          <w:tcPr>
            <w:tcW w:w="733" w:type="pct"/>
            <w:shd w:val="clear" w:color="auto" w:fill="auto"/>
          </w:tcPr>
          <w:p w:rsidR="00697BCD" w:rsidRDefault="00697BCD" w:rsidP="00624E11">
            <w:pPr>
              <w:pStyle w:val="Tabletext-right"/>
            </w:pPr>
            <w:r>
              <w:t>17%</w:t>
            </w:r>
          </w:p>
        </w:tc>
        <w:tc>
          <w:tcPr>
            <w:tcW w:w="1254" w:type="pct"/>
            <w:shd w:val="clear" w:color="auto" w:fill="auto"/>
          </w:tcPr>
          <w:p w:rsidR="00697BCD" w:rsidRDefault="00697BCD" w:rsidP="00624E11">
            <w:pPr>
              <w:pStyle w:val="Tabletext-right"/>
            </w:pPr>
            <w:r>
              <w:t>9%</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Alinta</w:t>
            </w:r>
            <w:proofErr w:type="spellEnd"/>
          </w:p>
        </w:tc>
        <w:tc>
          <w:tcPr>
            <w:tcW w:w="994" w:type="pct"/>
            <w:shd w:val="clear" w:color="auto" w:fill="auto"/>
          </w:tcPr>
          <w:p w:rsidR="00697BCD" w:rsidRDefault="00697BCD" w:rsidP="00624E11">
            <w:pPr>
              <w:pStyle w:val="Tabletext-right"/>
            </w:pPr>
            <w:r>
              <w:t>24%</w:t>
            </w:r>
          </w:p>
        </w:tc>
        <w:tc>
          <w:tcPr>
            <w:tcW w:w="977" w:type="pct"/>
            <w:shd w:val="clear" w:color="auto" w:fill="auto"/>
          </w:tcPr>
          <w:p w:rsidR="00697BCD" w:rsidRDefault="00697BCD" w:rsidP="00624E11">
            <w:pPr>
              <w:pStyle w:val="Tabletext-right"/>
            </w:pPr>
            <w:r>
              <w:t>$1000.00</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52%</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Aurora</w:t>
            </w:r>
          </w:p>
        </w:tc>
        <w:tc>
          <w:tcPr>
            <w:tcW w:w="994" w:type="pct"/>
            <w:shd w:val="clear" w:color="auto" w:fill="auto"/>
          </w:tcPr>
          <w:p w:rsidR="00697BCD" w:rsidRDefault="00697BCD" w:rsidP="00624E11">
            <w:pPr>
              <w:pStyle w:val="Tabletext-right"/>
            </w:pPr>
            <w:r>
              <w:t>36%</w:t>
            </w:r>
          </w:p>
        </w:tc>
        <w:tc>
          <w:tcPr>
            <w:tcW w:w="977" w:type="pct"/>
            <w:shd w:val="clear" w:color="auto" w:fill="auto"/>
          </w:tcPr>
          <w:p w:rsidR="00697BCD" w:rsidRDefault="00697BCD" w:rsidP="00624E11">
            <w:pPr>
              <w:pStyle w:val="Tabletext-right"/>
            </w:pPr>
            <w:r>
              <w:t>$1866.00</w:t>
            </w:r>
          </w:p>
        </w:tc>
        <w:tc>
          <w:tcPr>
            <w:tcW w:w="733" w:type="pct"/>
            <w:shd w:val="clear" w:color="auto" w:fill="auto"/>
          </w:tcPr>
          <w:p w:rsidR="00697BCD" w:rsidRDefault="00697BCD" w:rsidP="00624E11">
            <w:pPr>
              <w:pStyle w:val="Tabletext-right"/>
            </w:pPr>
            <w:r>
              <w:t>48%</w:t>
            </w:r>
          </w:p>
        </w:tc>
        <w:tc>
          <w:tcPr>
            <w:tcW w:w="1254" w:type="pct"/>
            <w:shd w:val="clear" w:color="auto" w:fill="auto"/>
          </w:tcPr>
          <w:p w:rsidR="00697BCD" w:rsidRDefault="00697BCD" w:rsidP="00624E11">
            <w:pPr>
              <w:pStyle w:val="Tabletext-right"/>
            </w:pPr>
            <w:r>
              <w:t>9%</w:t>
            </w:r>
          </w:p>
        </w:tc>
      </w:tr>
      <w:tr w:rsidR="00697BCD" w:rsidRPr="00391B03" w:rsidTr="00391B03">
        <w:trPr>
          <w:trHeight w:val="288"/>
        </w:trPr>
        <w:tc>
          <w:tcPr>
            <w:tcW w:w="1041" w:type="pct"/>
            <w:shd w:val="clear" w:color="auto" w:fill="auto"/>
          </w:tcPr>
          <w:p w:rsidR="00697BCD" w:rsidRPr="00391B03" w:rsidRDefault="00697BCD" w:rsidP="00624E11">
            <w:pPr>
              <w:pStyle w:val="Tabletext"/>
            </w:pPr>
            <w:r w:rsidRPr="00391B03">
              <w:t>Click Energy</w:t>
            </w:r>
          </w:p>
        </w:tc>
        <w:tc>
          <w:tcPr>
            <w:tcW w:w="994" w:type="pct"/>
            <w:shd w:val="clear" w:color="auto" w:fill="auto"/>
          </w:tcPr>
          <w:p w:rsidR="00697BCD" w:rsidRDefault="00697BCD" w:rsidP="00624E11">
            <w:pPr>
              <w:pStyle w:val="Tabletext-right"/>
            </w:pPr>
            <w:r>
              <w:t>27%</w:t>
            </w:r>
          </w:p>
        </w:tc>
        <w:tc>
          <w:tcPr>
            <w:tcW w:w="977" w:type="pct"/>
            <w:shd w:val="clear" w:color="auto" w:fill="auto"/>
          </w:tcPr>
          <w:p w:rsidR="00697BCD" w:rsidRDefault="00697BCD" w:rsidP="00624E11">
            <w:pPr>
              <w:pStyle w:val="Tabletext-right"/>
            </w:pPr>
            <w:r>
              <w:t>$704.93</w:t>
            </w:r>
          </w:p>
        </w:tc>
        <w:tc>
          <w:tcPr>
            <w:tcW w:w="733" w:type="pct"/>
            <w:shd w:val="clear" w:color="auto" w:fill="auto"/>
          </w:tcPr>
          <w:p w:rsidR="00697BCD" w:rsidRDefault="00697BCD" w:rsidP="00624E11">
            <w:pPr>
              <w:pStyle w:val="Tabletext-right"/>
            </w:pPr>
            <w:r>
              <w:t>15%</w:t>
            </w:r>
          </w:p>
        </w:tc>
        <w:tc>
          <w:tcPr>
            <w:tcW w:w="1254" w:type="pct"/>
            <w:shd w:val="clear" w:color="auto" w:fill="auto"/>
          </w:tcPr>
          <w:p w:rsidR="00697BCD" w:rsidRDefault="00697BCD" w:rsidP="00624E11">
            <w:pPr>
              <w:pStyle w:val="Tabletext-right"/>
            </w:pPr>
            <w:r>
              <w:t>23%</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CovaU</w:t>
            </w:r>
            <w:proofErr w:type="spellEnd"/>
          </w:p>
        </w:tc>
        <w:tc>
          <w:tcPr>
            <w:tcW w:w="994" w:type="pct"/>
            <w:shd w:val="clear" w:color="auto" w:fill="auto"/>
          </w:tcPr>
          <w:p w:rsidR="00697BCD" w:rsidRDefault="00697BCD" w:rsidP="00624E11">
            <w:pPr>
              <w:pStyle w:val="Tabletext-right"/>
            </w:pPr>
            <w:r>
              <w:t>13%</w:t>
            </w:r>
          </w:p>
        </w:tc>
        <w:tc>
          <w:tcPr>
            <w:tcW w:w="977" w:type="pct"/>
            <w:shd w:val="clear" w:color="auto" w:fill="auto"/>
          </w:tcPr>
          <w:p w:rsidR="00697BCD" w:rsidRDefault="00697BCD" w:rsidP="00624E11">
            <w:pPr>
              <w:pStyle w:val="Tabletext-right"/>
            </w:pPr>
            <w:r>
              <w:t>$1296.90</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10%</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Diamond Energy</w:t>
            </w:r>
          </w:p>
        </w:tc>
        <w:tc>
          <w:tcPr>
            <w:tcW w:w="994" w:type="pct"/>
            <w:shd w:val="clear" w:color="auto" w:fill="auto"/>
          </w:tcPr>
          <w:p w:rsidR="00697BCD" w:rsidRDefault="00697BCD" w:rsidP="00624E11">
            <w:pPr>
              <w:pStyle w:val="Tabletext-right"/>
            </w:pPr>
            <w:r>
              <w:t>22%</w:t>
            </w:r>
          </w:p>
        </w:tc>
        <w:tc>
          <w:tcPr>
            <w:tcW w:w="977" w:type="pct"/>
            <w:shd w:val="clear" w:color="auto" w:fill="auto"/>
          </w:tcPr>
          <w:p w:rsidR="00697BCD" w:rsidRDefault="00697BCD" w:rsidP="00624E11">
            <w:pPr>
              <w:pStyle w:val="Tabletext-right"/>
            </w:pPr>
            <w:r>
              <w:t>$924.49</w:t>
            </w:r>
          </w:p>
        </w:tc>
        <w:tc>
          <w:tcPr>
            <w:tcW w:w="733" w:type="pct"/>
            <w:shd w:val="clear" w:color="auto" w:fill="auto"/>
          </w:tcPr>
          <w:p w:rsidR="00697BCD" w:rsidRDefault="00697BCD" w:rsidP="00624E11">
            <w:pPr>
              <w:pStyle w:val="Tabletext-right"/>
            </w:pPr>
            <w:r>
              <w:t>19%</w:t>
            </w:r>
          </w:p>
        </w:tc>
        <w:tc>
          <w:tcPr>
            <w:tcW w:w="1254" w:type="pct"/>
            <w:shd w:val="clear" w:color="auto" w:fill="auto"/>
          </w:tcPr>
          <w:p w:rsidR="00697BCD" w:rsidRDefault="00697BCD" w:rsidP="00624E11">
            <w:pPr>
              <w:pStyle w:val="Tabletext-right"/>
            </w:pPr>
            <w:r>
              <w:t>10%</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EnergyAustralia</w:t>
            </w:r>
            <w:proofErr w:type="spellEnd"/>
          </w:p>
        </w:tc>
        <w:tc>
          <w:tcPr>
            <w:tcW w:w="994" w:type="pct"/>
            <w:shd w:val="clear" w:color="auto" w:fill="auto"/>
          </w:tcPr>
          <w:p w:rsidR="00697BCD" w:rsidRDefault="00697BCD" w:rsidP="00624E11">
            <w:pPr>
              <w:pStyle w:val="Tabletext-right"/>
            </w:pPr>
            <w:r>
              <w:t>13%</w:t>
            </w:r>
          </w:p>
        </w:tc>
        <w:tc>
          <w:tcPr>
            <w:tcW w:w="977" w:type="pct"/>
            <w:shd w:val="clear" w:color="auto" w:fill="auto"/>
          </w:tcPr>
          <w:p w:rsidR="00697BCD" w:rsidRDefault="00697BCD" w:rsidP="00624E11">
            <w:pPr>
              <w:pStyle w:val="Tabletext-right"/>
            </w:pPr>
            <w:r>
              <w:t>$1093.46</w:t>
            </w:r>
          </w:p>
        </w:tc>
        <w:tc>
          <w:tcPr>
            <w:tcW w:w="733" w:type="pct"/>
            <w:shd w:val="clear" w:color="auto" w:fill="auto"/>
          </w:tcPr>
          <w:p w:rsidR="00697BCD" w:rsidRDefault="00697BCD" w:rsidP="00624E11">
            <w:pPr>
              <w:pStyle w:val="Tabletext-right"/>
            </w:pPr>
            <w:r>
              <w:t>34%</w:t>
            </w:r>
          </w:p>
        </w:tc>
        <w:tc>
          <w:tcPr>
            <w:tcW w:w="1254" w:type="pct"/>
            <w:shd w:val="clear" w:color="auto" w:fill="auto"/>
          </w:tcPr>
          <w:p w:rsidR="00697BCD" w:rsidRDefault="00697BCD" w:rsidP="00624E11">
            <w:pPr>
              <w:pStyle w:val="Tabletext-right"/>
            </w:pPr>
            <w:r>
              <w:t>9%</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Ergon</w:t>
            </w:r>
          </w:p>
        </w:tc>
        <w:tc>
          <w:tcPr>
            <w:tcW w:w="994" w:type="pct"/>
            <w:shd w:val="clear" w:color="auto" w:fill="auto"/>
          </w:tcPr>
          <w:p w:rsidR="00697BCD" w:rsidRDefault="00697BCD" w:rsidP="00624E11">
            <w:pPr>
              <w:pStyle w:val="Tabletext-right"/>
            </w:pPr>
            <w:r>
              <w:t>32%</w:t>
            </w:r>
          </w:p>
        </w:tc>
        <w:tc>
          <w:tcPr>
            <w:tcW w:w="977" w:type="pct"/>
            <w:shd w:val="clear" w:color="auto" w:fill="auto"/>
          </w:tcPr>
          <w:p w:rsidR="00697BCD" w:rsidRDefault="00697BCD" w:rsidP="00624E11">
            <w:pPr>
              <w:pStyle w:val="Tabletext-right"/>
            </w:pPr>
            <w:r>
              <w:t>$581.00</w:t>
            </w:r>
          </w:p>
        </w:tc>
        <w:tc>
          <w:tcPr>
            <w:tcW w:w="733" w:type="pct"/>
            <w:shd w:val="clear" w:color="auto" w:fill="auto"/>
          </w:tcPr>
          <w:p w:rsidR="00697BCD" w:rsidRDefault="00697BCD" w:rsidP="00624E11">
            <w:pPr>
              <w:pStyle w:val="Tabletext-right"/>
            </w:pPr>
            <w:r>
              <w:t>26%</w:t>
            </w:r>
          </w:p>
        </w:tc>
        <w:tc>
          <w:tcPr>
            <w:tcW w:w="1254" w:type="pct"/>
            <w:shd w:val="clear" w:color="auto" w:fill="auto"/>
          </w:tcPr>
          <w:p w:rsidR="00697BCD" w:rsidRDefault="00697BCD" w:rsidP="00624E11">
            <w:pPr>
              <w:pStyle w:val="Tabletext-right"/>
            </w:pPr>
            <w:r>
              <w:t>42%</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Lumo</w:t>
            </w:r>
            <w:proofErr w:type="spellEnd"/>
          </w:p>
        </w:tc>
        <w:tc>
          <w:tcPr>
            <w:tcW w:w="994" w:type="pct"/>
            <w:shd w:val="clear" w:color="auto" w:fill="auto"/>
          </w:tcPr>
          <w:p w:rsidR="00697BCD" w:rsidRDefault="00697BCD" w:rsidP="00624E11">
            <w:pPr>
              <w:pStyle w:val="Tabletext-right"/>
            </w:pPr>
            <w:r>
              <w:t>20%</w:t>
            </w:r>
          </w:p>
        </w:tc>
        <w:tc>
          <w:tcPr>
            <w:tcW w:w="977" w:type="pct"/>
            <w:shd w:val="clear" w:color="auto" w:fill="auto"/>
          </w:tcPr>
          <w:p w:rsidR="00697BCD" w:rsidRDefault="00697BCD" w:rsidP="00624E11">
            <w:pPr>
              <w:pStyle w:val="Tabletext-right"/>
            </w:pPr>
            <w:r>
              <w:t>$574.53</w:t>
            </w:r>
          </w:p>
        </w:tc>
        <w:tc>
          <w:tcPr>
            <w:tcW w:w="733" w:type="pct"/>
            <w:shd w:val="clear" w:color="auto" w:fill="auto"/>
          </w:tcPr>
          <w:p w:rsidR="00697BCD" w:rsidRDefault="00697BCD" w:rsidP="00624E11">
            <w:pPr>
              <w:pStyle w:val="Tabletext-right"/>
            </w:pPr>
            <w:r>
              <w:t>7%</w:t>
            </w:r>
          </w:p>
        </w:tc>
        <w:tc>
          <w:tcPr>
            <w:tcW w:w="1254" w:type="pct"/>
            <w:shd w:val="clear" w:color="auto" w:fill="auto"/>
          </w:tcPr>
          <w:p w:rsidR="00697BCD" w:rsidRDefault="00697BCD" w:rsidP="00624E11">
            <w:pPr>
              <w:pStyle w:val="Tabletext-right"/>
            </w:pPr>
            <w:r>
              <w:t>11%</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M2 Energy</w:t>
            </w:r>
          </w:p>
        </w:tc>
        <w:tc>
          <w:tcPr>
            <w:tcW w:w="994" w:type="pct"/>
            <w:shd w:val="clear" w:color="auto" w:fill="auto"/>
          </w:tcPr>
          <w:p w:rsidR="00697BCD" w:rsidRDefault="00697BCD" w:rsidP="00624E11">
            <w:pPr>
              <w:pStyle w:val="Tabletext-right"/>
            </w:pPr>
            <w:r>
              <w:t>81%</w:t>
            </w:r>
          </w:p>
        </w:tc>
        <w:tc>
          <w:tcPr>
            <w:tcW w:w="977" w:type="pct"/>
            <w:shd w:val="clear" w:color="auto" w:fill="auto"/>
          </w:tcPr>
          <w:p w:rsidR="00697BCD" w:rsidRDefault="00697BCD" w:rsidP="00624E11">
            <w:pPr>
              <w:pStyle w:val="Tabletext-right"/>
            </w:pPr>
            <w:r>
              <w:t>$1629.42</w:t>
            </w:r>
          </w:p>
        </w:tc>
        <w:tc>
          <w:tcPr>
            <w:tcW w:w="733" w:type="pct"/>
            <w:shd w:val="clear" w:color="auto" w:fill="auto"/>
          </w:tcPr>
          <w:p w:rsidR="00697BCD" w:rsidRDefault="00697BCD" w:rsidP="00624E11">
            <w:pPr>
              <w:pStyle w:val="Tabletext-right"/>
            </w:pPr>
            <w:r>
              <w:t>9%</w:t>
            </w:r>
          </w:p>
        </w:tc>
        <w:tc>
          <w:tcPr>
            <w:tcW w:w="1254" w:type="pct"/>
            <w:shd w:val="clear" w:color="auto" w:fill="auto"/>
          </w:tcPr>
          <w:p w:rsidR="00697BCD" w:rsidRDefault="00697BCD" w:rsidP="00624E11">
            <w:pPr>
              <w:pStyle w:val="Tabletext-right"/>
            </w:pPr>
            <w:r>
              <w:t>3%</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 xml:space="preserve">Metered Energy </w:t>
            </w:r>
          </w:p>
        </w:tc>
        <w:tc>
          <w:tcPr>
            <w:tcW w:w="994" w:type="pct"/>
            <w:shd w:val="clear" w:color="auto" w:fill="auto"/>
          </w:tcPr>
          <w:p w:rsidR="00697BCD" w:rsidRDefault="00697BCD" w:rsidP="00624E11">
            <w:pPr>
              <w:pStyle w:val="Tabletext-right"/>
            </w:pPr>
            <w:r>
              <w:t>6%</w:t>
            </w:r>
          </w:p>
        </w:tc>
        <w:tc>
          <w:tcPr>
            <w:tcW w:w="977" w:type="pct"/>
            <w:shd w:val="clear" w:color="auto" w:fill="auto"/>
          </w:tcPr>
          <w:p w:rsidR="00697BCD" w:rsidRDefault="00697BCD" w:rsidP="00624E11">
            <w:pPr>
              <w:pStyle w:val="Tabletext-right"/>
            </w:pPr>
            <w:r>
              <w:t>$658.03</w:t>
            </w:r>
          </w:p>
        </w:tc>
        <w:tc>
          <w:tcPr>
            <w:tcW w:w="733" w:type="pct"/>
            <w:shd w:val="clear" w:color="auto" w:fill="auto"/>
          </w:tcPr>
          <w:p w:rsidR="00697BCD" w:rsidRDefault="00697BCD" w:rsidP="00624E11">
            <w:pPr>
              <w:pStyle w:val="Tabletext-right"/>
            </w:pPr>
            <w:r>
              <w:t>79%</w:t>
            </w:r>
          </w:p>
        </w:tc>
        <w:tc>
          <w:tcPr>
            <w:tcW w:w="1254" w:type="pct"/>
            <w:shd w:val="clear" w:color="auto" w:fill="auto"/>
          </w:tcPr>
          <w:p w:rsidR="00697BCD" w:rsidRDefault="00697BCD" w:rsidP="00624E11">
            <w:pPr>
              <w:pStyle w:val="Tabletext-right"/>
            </w:pPr>
            <w:r>
              <w:t>14%</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Momentum</w:t>
            </w:r>
          </w:p>
        </w:tc>
        <w:tc>
          <w:tcPr>
            <w:tcW w:w="994" w:type="pct"/>
            <w:shd w:val="clear" w:color="auto" w:fill="auto"/>
          </w:tcPr>
          <w:p w:rsidR="00697BCD" w:rsidRDefault="00697BCD" w:rsidP="00624E11">
            <w:pPr>
              <w:pStyle w:val="Tabletext-right"/>
            </w:pPr>
            <w:r>
              <w:t>58%</w:t>
            </w:r>
          </w:p>
        </w:tc>
        <w:tc>
          <w:tcPr>
            <w:tcW w:w="977" w:type="pct"/>
            <w:shd w:val="clear" w:color="auto" w:fill="auto"/>
          </w:tcPr>
          <w:p w:rsidR="00697BCD" w:rsidRDefault="00697BCD" w:rsidP="00624E11">
            <w:pPr>
              <w:pStyle w:val="Tabletext-right"/>
            </w:pPr>
            <w:r>
              <w:t>$546.39</w:t>
            </w:r>
          </w:p>
        </w:tc>
        <w:tc>
          <w:tcPr>
            <w:tcW w:w="733" w:type="pct"/>
            <w:shd w:val="clear" w:color="auto" w:fill="auto"/>
          </w:tcPr>
          <w:p w:rsidR="00697BCD" w:rsidRDefault="00697BCD" w:rsidP="00624E11">
            <w:pPr>
              <w:pStyle w:val="Tabletext-right"/>
            </w:pPr>
            <w:r>
              <w:t>46%</w:t>
            </w:r>
          </w:p>
        </w:tc>
        <w:tc>
          <w:tcPr>
            <w:tcW w:w="1254" w:type="pct"/>
            <w:shd w:val="clear" w:color="auto" w:fill="auto"/>
          </w:tcPr>
          <w:p w:rsidR="00697BCD" w:rsidRDefault="00697BCD" w:rsidP="00624E11">
            <w:pPr>
              <w:pStyle w:val="Tabletext-right"/>
            </w:pPr>
            <w:r>
              <w:t>8%</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Next Business</w:t>
            </w:r>
          </w:p>
        </w:tc>
        <w:tc>
          <w:tcPr>
            <w:tcW w:w="994" w:type="pct"/>
            <w:shd w:val="clear" w:color="auto" w:fill="auto"/>
          </w:tcPr>
          <w:p w:rsidR="00697BCD" w:rsidRDefault="00697BCD" w:rsidP="00624E11">
            <w:pPr>
              <w:pStyle w:val="Tabletext-right"/>
            </w:pPr>
            <w:r>
              <w:t>33%</w:t>
            </w:r>
          </w:p>
        </w:tc>
        <w:tc>
          <w:tcPr>
            <w:tcW w:w="977" w:type="pct"/>
            <w:shd w:val="clear" w:color="auto" w:fill="auto"/>
          </w:tcPr>
          <w:p w:rsidR="00697BCD" w:rsidRDefault="00697BCD" w:rsidP="00624E11">
            <w:pPr>
              <w:pStyle w:val="Tabletext-right"/>
            </w:pPr>
            <w:r>
              <w:t>$630.00</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0%</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Origin</w:t>
            </w:r>
          </w:p>
        </w:tc>
        <w:tc>
          <w:tcPr>
            <w:tcW w:w="994" w:type="pct"/>
            <w:shd w:val="clear" w:color="auto" w:fill="auto"/>
          </w:tcPr>
          <w:p w:rsidR="00697BCD" w:rsidRDefault="00697BCD" w:rsidP="00624E11">
            <w:pPr>
              <w:pStyle w:val="Tabletext-right"/>
            </w:pPr>
            <w:r>
              <w:t>34%</w:t>
            </w:r>
          </w:p>
        </w:tc>
        <w:tc>
          <w:tcPr>
            <w:tcW w:w="977" w:type="pct"/>
            <w:shd w:val="clear" w:color="auto" w:fill="auto"/>
          </w:tcPr>
          <w:p w:rsidR="00697BCD" w:rsidRDefault="00697BCD" w:rsidP="00624E11">
            <w:pPr>
              <w:pStyle w:val="Tabletext-right"/>
            </w:pPr>
            <w:r>
              <w:t>$790.15</w:t>
            </w:r>
          </w:p>
        </w:tc>
        <w:tc>
          <w:tcPr>
            <w:tcW w:w="733" w:type="pct"/>
            <w:shd w:val="clear" w:color="auto" w:fill="auto"/>
          </w:tcPr>
          <w:p w:rsidR="00697BCD" w:rsidRDefault="00697BCD" w:rsidP="00624E11">
            <w:pPr>
              <w:pStyle w:val="Tabletext-right"/>
            </w:pPr>
            <w:r>
              <w:t>30%</w:t>
            </w:r>
          </w:p>
        </w:tc>
        <w:tc>
          <w:tcPr>
            <w:tcW w:w="1254" w:type="pct"/>
            <w:shd w:val="clear" w:color="auto" w:fill="auto"/>
          </w:tcPr>
          <w:p w:rsidR="00697BCD" w:rsidRDefault="00697BCD" w:rsidP="00624E11">
            <w:pPr>
              <w:pStyle w:val="Tabletext-right"/>
            </w:pPr>
            <w:r>
              <w:t>10%</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Powerdirect</w:t>
            </w:r>
            <w:proofErr w:type="spellEnd"/>
          </w:p>
        </w:tc>
        <w:tc>
          <w:tcPr>
            <w:tcW w:w="994" w:type="pct"/>
            <w:shd w:val="clear" w:color="auto" w:fill="auto"/>
          </w:tcPr>
          <w:p w:rsidR="00697BCD" w:rsidRDefault="00697BCD" w:rsidP="00624E11">
            <w:pPr>
              <w:pStyle w:val="Tabletext-right"/>
            </w:pPr>
            <w:r>
              <w:t>10%</w:t>
            </w:r>
          </w:p>
        </w:tc>
        <w:tc>
          <w:tcPr>
            <w:tcW w:w="977" w:type="pct"/>
            <w:shd w:val="clear" w:color="auto" w:fill="auto"/>
          </w:tcPr>
          <w:p w:rsidR="00697BCD" w:rsidRDefault="00697BCD" w:rsidP="00624E11">
            <w:pPr>
              <w:pStyle w:val="Tabletext-right"/>
            </w:pPr>
            <w:r>
              <w:t>$1716.92</w:t>
            </w:r>
          </w:p>
        </w:tc>
        <w:tc>
          <w:tcPr>
            <w:tcW w:w="733" w:type="pct"/>
            <w:shd w:val="clear" w:color="auto" w:fill="auto"/>
          </w:tcPr>
          <w:p w:rsidR="00697BCD" w:rsidRDefault="00697BCD" w:rsidP="00624E11">
            <w:pPr>
              <w:pStyle w:val="Tabletext-right"/>
            </w:pPr>
            <w:r>
              <w:t>26%</w:t>
            </w:r>
          </w:p>
        </w:tc>
        <w:tc>
          <w:tcPr>
            <w:tcW w:w="1254" w:type="pct"/>
            <w:shd w:val="clear" w:color="auto" w:fill="auto"/>
          </w:tcPr>
          <w:p w:rsidR="00697BCD" w:rsidRDefault="00697BCD" w:rsidP="00624E11">
            <w:pPr>
              <w:pStyle w:val="Tabletext-right"/>
            </w:pPr>
            <w:r>
              <w:t>4%</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Powershop</w:t>
            </w:r>
          </w:p>
        </w:tc>
        <w:tc>
          <w:tcPr>
            <w:tcW w:w="994" w:type="pct"/>
            <w:shd w:val="clear" w:color="auto" w:fill="auto"/>
          </w:tcPr>
          <w:p w:rsidR="00697BCD" w:rsidRDefault="00697BCD" w:rsidP="00624E11">
            <w:pPr>
              <w:pStyle w:val="Tabletext-right"/>
            </w:pPr>
            <w:r>
              <w:t>13%</w:t>
            </w:r>
          </w:p>
        </w:tc>
        <w:tc>
          <w:tcPr>
            <w:tcW w:w="977" w:type="pct"/>
            <w:shd w:val="clear" w:color="auto" w:fill="auto"/>
          </w:tcPr>
          <w:p w:rsidR="00697BCD" w:rsidRDefault="00697BCD" w:rsidP="00624E11">
            <w:pPr>
              <w:pStyle w:val="Tabletext-right"/>
            </w:pPr>
            <w:r>
              <w:t>$656.67</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3%</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QEnergy</w:t>
            </w:r>
            <w:proofErr w:type="spellEnd"/>
          </w:p>
        </w:tc>
        <w:tc>
          <w:tcPr>
            <w:tcW w:w="994" w:type="pct"/>
            <w:shd w:val="clear" w:color="auto" w:fill="auto"/>
          </w:tcPr>
          <w:p w:rsidR="00697BCD" w:rsidRDefault="00697BCD" w:rsidP="00624E11">
            <w:pPr>
              <w:pStyle w:val="Tabletext-right"/>
            </w:pPr>
            <w:r>
              <w:t>29%</w:t>
            </w:r>
          </w:p>
        </w:tc>
        <w:tc>
          <w:tcPr>
            <w:tcW w:w="977" w:type="pct"/>
            <w:shd w:val="clear" w:color="auto" w:fill="auto"/>
          </w:tcPr>
          <w:p w:rsidR="00697BCD" w:rsidRDefault="00697BCD" w:rsidP="00624E11">
            <w:pPr>
              <w:pStyle w:val="Tabletext-right"/>
            </w:pPr>
            <w:r>
              <w:t>$983.71</w:t>
            </w:r>
          </w:p>
        </w:tc>
        <w:tc>
          <w:tcPr>
            <w:tcW w:w="733" w:type="pct"/>
            <w:shd w:val="clear" w:color="auto" w:fill="auto"/>
          </w:tcPr>
          <w:p w:rsidR="00697BCD" w:rsidRDefault="00697BCD" w:rsidP="00624E11">
            <w:pPr>
              <w:pStyle w:val="Tabletext-right"/>
            </w:pPr>
            <w:r>
              <w:t>20%</w:t>
            </w:r>
          </w:p>
        </w:tc>
        <w:tc>
          <w:tcPr>
            <w:tcW w:w="1254" w:type="pct"/>
            <w:shd w:val="clear" w:color="auto" w:fill="auto"/>
          </w:tcPr>
          <w:p w:rsidR="00697BCD" w:rsidRDefault="00697BCD" w:rsidP="00624E11">
            <w:pPr>
              <w:pStyle w:val="Tabletext-right"/>
            </w:pPr>
            <w:r>
              <w:t>12%</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Red Energy</w:t>
            </w:r>
          </w:p>
        </w:tc>
        <w:tc>
          <w:tcPr>
            <w:tcW w:w="994" w:type="pct"/>
            <w:shd w:val="clear" w:color="auto" w:fill="auto"/>
          </w:tcPr>
          <w:p w:rsidR="00697BCD" w:rsidRDefault="00697BCD" w:rsidP="00624E11">
            <w:pPr>
              <w:pStyle w:val="Tabletext-right"/>
            </w:pPr>
            <w:r>
              <w:t>21%</w:t>
            </w:r>
          </w:p>
        </w:tc>
        <w:tc>
          <w:tcPr>
            <w:tcW w:w="977" w:type="pct"/>
            <w:shd w:val="clear" w:color="auto" w:fill="auto"/>
          </w:tcPr>
          <w:p w:rsidR="00697BCD" w:rsidRDefault="00697BCD" w:rsidP="00624E11">
            <w:pPr>
              <w:pStyle w:val="Tabletext-right"/>
            </w:pPr>
            <w:r>
              <w:t>$223.36</w:t>
            </w:r>
          </w:p>
        </w:tc>
        <w:tc>
          <w:tcPr>
            <w:tcW w:w="733" w:type="pct"/>
            <w:shd w:val="clear" w:color="auto" w:fill="auto"/>
          </w:tcPr>
          <w:p w:rsidR="00697BCD" w:rsidRDefault="00697BCD" w:rsidP="00624E11">
            <w:pPr>
              <w:pStyle w:val="Tabletext-right"/>
            </w:pPr>
            <w:r>
              <w:t>41%</w:t>
            </w:r>
          </w:p>
        </w:tc>
        <w:tc>
          <w:tcPr>
            <w:tcW w:w="1254" w:type="pct"/>
            <w:shd w:val="clear" w:color="auto" w:fill="auto"/>
          </w:tcPr>
          <w:p w:rsidR="00697BCD" w:rsidRDefault="00697BCD" w:rsidP="00624E11">
            <w:pPr>
              <w:pStyle w:val="Tabletext-right"/>
            </w:pPr>
            <w:r>
              <w:t>9%</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Sanctaury</w:t>
            </w:r>
            <w:proofErr w:type="spellEnd"/>
          </w:p>
        </w:tc>
        <w:tc>
          <w:tcPr>
            <w:tcW w:w="994" w:type="pct"/>
            <w:shd w:val="clear" w:color="auto" w:fill="auto"/>
          </w:tcPr>
          <w:p w:rsidR="00697BCD" w:rsidRDefault="00697BCD" w:rsidP="00624E11">
            <w:pPr>
              <w:pStyle w:val="Tabletext-right"/>
            </w:pPr>
            <w:r>
              <w:t>13%</w:t>
            </w:r>
          </w:p>
        </w:tc>
        <w:tc>
          <w:tcPr>
            <w:tcW w:w="977" w:type="pct"/>
            <w:shd w:val="clear" w:color="auto" w:fill="auto"/>
          </w:tcPr>
          <w:p w:rsidR="00697BCD" w:rsidRDefault="00697BCD" w:rsidP="00624E11">
            <w:pPr>
              <w:pStyle w:val="Tabletext-right"/>
            </w:pPr>
            <w:r>
              <w:t>$258.42</w:t>
            </w:r>
          </w:p>
        </w:tc>
        <w:tc>
          <w:tcPr>
            <w:tcW w:w="733" w:type="pct"/>
            <w:shd w:val="clear" w:color="auto" w:fill="auto"/>
          </w:tcPr>
          <w:p w:rsidR="00697BCD" w:rsidRDefault="00697BCD" w:rsidP="00624E11">
            <w:pPr>
              <w:pStyle w:val="Tabletext-right"/>
            </w:pPr>
            <w:r>
              <w:t>10%</w:t>
            </w:r>
          </w:p>
        </w:tc>
        <w:tc>
          <w:tcPr>
            <w:tcW w:w="1254" w:type="pct"/>
            <w:shd w:val="clear" w:color="auto" w:fill="auto"/>
          </w:tcPr>
          <w:p w:rsidR="00697BCD" w:rsidRDefault="00697BCD" w:rsidP="00624E11">
            <w:pPr>
              <w:pStyle w:val="Tabletext-right"/>
            </w:pPr>
            <w:r>
              <w:t>5%</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Simply Energy</w:t>
            </w:r>
          </w:p>
        </w:tc>
        <w:tc>
          <w:tcPr>
            <w:tcW w:w="994" w:type="pct"/>
            <w:shd w:val="clear" w:color="auto" w:fill="auto"/>
          </w:tcPr>
          <w:p w:rsidR="00697BCD" w:rsidRDefault="00697BCD" w:rsidP="00624E11">
            <w:pPr>
              <w:pStyle w:val="Tabletext-right"/>
            </w:pPr>
            <w:r>
              <w:t>38%</w:t>
            </w:r>
          </w:p>
        </w:tc>
        <w:tc>
          <w:tcPr>
            <w:tcW w:w="977" w:type="pct"/>
            <w:shd w:val="clear" w:color="auto" w:fill="auto"/>
          </w:tcPr>
          <w:p w:rsidR="00697BCD" w:rsidRDefault="00697BCD" w:rsidP="00624E11">
            <w:pPr>
              <w:pStyle w:val="Tabletext-right"/>
            </w:pPr>
            <w:r>
              <w:t>$1216.87</w:t>
            </w:r>
          </w:p>
        </w:tc>
        <w:tc>
          <w:tcPr>
            <w:tcW w:w="733" w:type="pct"/>
            <w:shd w:val="clear" w:color="auto" w:fill="auto"/>
          </w:tcPr>
          <w:p w:rsidR="00697BCD" w:rsidRDefault="00697BCD" w:rsidP="00624E11">
            <w:pPr>
              <w:pStyle w:val="Tabletext-right"/>
            </w:pPr>
            <w:r>
              <w:t>39%</w:t>
            </w:r>
          </w:p>
        </w:tc>
        <w:tc>
          <w:tcPr>
            <w:tcW w:w="1254" w:type="pct"/>
            <w:shd w:val="clear" w:color="auto" w:fill="auto"/>
          </w:tcPr>
          <w:p w:rsidR="00697BCD" w:rsidRDefault="00697BCD" w:rsidP="00624E11">
            <w:pPr>
              <w:pStyle w:val="Tabletext-right"/>
            </w:pPr>
            <w:r>
              <w:t>5%</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Gas</w:t>
            </w:r>
          </w:p>
        </w:tc>
        <w:tc>
          <w:tcPr>
            <w:tcW w:w="99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7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7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2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ActewAGL</w:t>
            </w:r>
            <w:proofErr w:type="spellEnd"/>
          </w:p>
        </w:tc>
        <w:tc>
          <w:tcPr>
            <w:tcW w:w="994" w:type="pct"/>
            <w:shd w:val="clear" w:color="auto" w:fill="auto"/>
          </w:tcPr>
          <w:p w:rsidR="00697BCD" w:rsidRDefault="00697BCD" w:rsidP="00624E11">
            <w:pPr>
              <w:pStyle w:val="Tabletext-right"/>
            </w:pPr>
            <w:r>
              <w:t>9%</w:t>
            </w:r>
          </w:p>
        </w:tc>
        <w:tc>
          <w:tcPr>
            <w:tcW w:w="977" w:type="pct"/>
            <w:shd w:val="clear" w:color="auto" w:fill="auto"/>
          </w:tcPr>
          <w:p w:rsidR="00697BCD" w:rsidRDefault="00697BCD" w:rsidP="00624E11">
            <w:pPr>
              <w:pStyle w:val="Tabletext-right"/>
            </w:pPr>
            <w:r>
              <w:t>$1065.23</w:t>
            </w:r>
          </w:p>
        </w:tc>
        <w:tc>
          <w:tcPr>
            <w:tcW w:w="733" w:type="pct"/>
            <w:shd w:val="clear" w:color="auto" w:fill="auto"/>
          </w:tcPr>
          <w:p w:rsidR="00697BCD" w:rsidRDefault="00697BCD" w:rsidP="00624E11">
            <w:pPr>
              <w:pStyle w:val="Tabletext-right"/>
            </w:pPr>
            <w:r>
              <w:t>27%</w:t>
            </w:r>
          </w:p>
        </w:tc>
        <w:tc>
          <w:tcPr>
            <w:tcW w:w="1254" w:type="pct"/>
            <w:shd w:val="clear" w:color="auto" w:fill="auto"/>
          </w:tcPr>
          <w:p w:rsidR="00697BCD" w:rsidRDefault="00697BCD" w:rsidP="00624E11">
            <w:pPr>
              <w:pStyle w:val="Tabletext-right"/>
            </w:pPr>
            <w:r>
              <w:t>1%</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AGL</w:t>
            </w:r>
          </w:p>
        </w:tc>
        <w:tc>
          <w:tcPr>
            <w:tcW w:w="994" w:type="pct"/>
            <w:shd w:val="clear" w:color="auto" w:fill="auto"/>
          </w:tcPr>
          <w:p w:rsidR="00697BCD" w:rsidRDefault="00697BCD" w:rsidP="00624E11">
            <w:pPr>
              <w:pStyle w:val="Tabletext-right"/>
            </w:pPr>
            <w:r>
              <w:t>23%</w:t>
            </w:r>
          </w:p>
        </w:tc>
        <w:tc>
          <w:tcPr>
            <w:tcW w:w="977" w:type="pct"/>
            <w:shd w:val="clear" w:color="auto" w:fill="auto"/>
          </w:tcPr>
          <w:p w:rsidR="00697BCD" w:rsidRDefault="00697BCD" w:rsidP="00624E11">
            <w:pPr>
              <w:pStyle w:val="Tabletext-right"/>
            </w:pPr>
            <w:r>
              <w:t>$512.99</w:t>
            </w:r>
          </w:p>
        </w:tc>
        <w:tc>
          <w:tcPr>
            <w:tcW w:w="733" w:type="pct"/>
            <w:shd w:val="clear" w:color="auto" w:fill="auto"/>
          </w:tcPr>
          <w:p w:rsidR="00697BCD" w:rsidRDefault="00697BCD" w:rsidP="00624E11">
            <w:pPr>
              <w:pStyle w:val="Tabletext-right"/>
            </w:pPr>
            <w:r>
              <w:t>15%</w:t>
            </w:r>
          </w:p>
        </w:tc>
        <w:tc>
          <w:tcPr>
            <w:tcW w:w="1254" w:type="pct"/>
            <w:shd w:val="clear" w:color="auto" w:fill="auto"/>
          </w:tcPr>
          <w:p w:rsidR="00697BCD" w:rsidRDefault="00697BCD" w:rsidP="00624E11">
            <w:pPr>
              <w:pStyle w:val="Tabletext-right"/>
            </w:pPr>
            <w:r>
              <w:t>8%</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Alinta</w:t>
            </w:r>
            <w:proofErr w:type="spellEnd"/>
          </w:p>
        </w:tc>
        <w:tc>
          <w:tcPr>
            <w:tcW w:w="994" w:type="pct"/>
            <w:shd w:val="clear" w:color="auto" w:fill="auto"/>
          </w:tcPr>
          <w:p w:rsidR="00697BCD" w:rsidRDefault="00697BCD" w:rsidP="00624E11">
            <w:pPr>
              <w:pStyle w:val="Tabletext-right"/>
            </w:pPr>
            <w:r>
              <w:t>17%</w:t>
            </w:r>
          </w:p>
        </w:tc>
        <w:tc>
          <w:tcPr>
            <w:tcW w:w="977" w:type="pct"/>
            <w:shd w:val="clear" w:color="auto" w:fill="auto"/>
          </w:tcPr>
          <w:p w:rsidR="00697BCD" w:rsidRDefault="00697BCD" w:rsidP="00624E11">
            <w:pPr>
              <w:pStyle w:val="Tabletext-right"/>
            </w:pPr>
            <w:r>
              <w:t>$460.00</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42%</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CovaU</w:t>
            </w:r>
            <w:proofErr w:type="spellEnd"/>
          </w:p>
        </w:tc>
        <w:tc>
          <w:tcPr>
            <w:tcW w:w="994" w:type="pct"/>
            <w:shd w:val="clear" w:color="auto" w:fill="auto"/>
          </w:tcPr>
          <w:p w:rsidR="00697BCD" w:rsidRDefault="00697BCD" w:rsidP="00624E11">
            <w:pPr>
              <w:pStyle w:val="Tabletext-right"/>
            </w:pPr>
            <w:r>
              <w:t>18%</w:t>
            </w:r>
          </w:p>
        </w:tc>
        <w:tc>
          <w:tcPr>
            <w:tcW w:w="977" w:type="pct"/>
            <w:shd w:val="clear" w:color="auto" w:fill="auto"/>
          </w:tcPr>
          <w:p w:rsidR="00697BCD" w:rsidRDefault="00697BCD" w:rsidP="00624E11">
            <w:pPr>
              <w:pStyle w:val="Tabletext-right"/>
            </w:pPr>
            <w:r>
              <w:t>$376.00</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0%</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t>EnergyAustralia</w:t>
            </w:r>
            <w:proofErr w:type="spellEnd"/>
          </w:p>
        </w:tc>
        <w:tc>
          <w:tcPr>
            <w:tcW w:w="994" w:type="pct"/>
            <w:shd w:val="clear" w:color="auto" w:fill="auto"/>
          </w:tcPr>
          <w:p w:rsidR="00697BCD" w:rsidRDefault="00697BCD" w:rsidP="00624E11">
            <w:pPr>
              <w:pStyle w:val="Tabletext-right"/>
            </w:pPr>
            <w:r>
              <w:t>6%</w:t>
            </w:r>
          </w:p>
        </w:tc>
        <w:tc>
          <w:tcPr>
            <w:tcW w:w="977" w:type="pct"/>
            <w:shd w:val="clear" w:color="auto" w:fill="auto"/>
          </w:tcPr>
          <w:p w:rsidR="00697BCD" w:rsidRDefault="00697BCD" w:rsidP="00624E11">
            <w:pPr>
              <w:pStyle w:val="Tabletext-right"/>
            </w:pPr>
            <w:r>
              <w:t>$848.88</w:t>
            </w:r>
          </w:p>
        </w:tc>
        <w:tc>
          <w:tcPr>
            <w:tcW w:w="733" w:type="pct"/>
            <w:shd w:val="clear" w:color="auto" w:fill="auto"/>
          </w:tcPr>
          <w:p w:rsidR="00697BCD" w:rsidRDefault="00697BCD" w:rsidP="00624E11">
            <w:pPr>
              <w:pStyle w:val="Tabletext-right"/>
            </w:pPr>
            <w:r>
              <w:t>31%</w:t>
            </w:r>
          </w:p>
        </w:tc>
        <w:tc>
          <w:tcPr>
            <w:tcW w:w="1254" w:type="pct"/>
            <w:shd w:val="clear" w:color="auto" w:fill="auto"/>
          </w:tcPr>
          <w:p w:rsidR="00697BCD" w:rsidRDefault="00697BCD" w:rsidP="00624E11">
            <w:pPr>
              <w:pStyle w:val="Tabletext-right"/>
            </w:pPr>
            <w:r>
              <w:t>8%</w:t>
            </w:r>
          </w:p>
        </w:tc>
      </w:tr>
      <w:tr w:rsidR="00697BCD" w:rsidRPr="00391B03" w:rsidTr="00391B03">
        <w:trPr>
          <w:trHeight w:val="255"/>
        </w:trPr>
        <w:tc>
          <w:tcPr>
            <w:tcW w:w="1041" w:type="pct"/>
            <w:shd w:val="clear" w:color="auto" w:fill="auto"/>
          </w:tcPr>
          <w:p w:rsidR="00697BCD" w:rsidRPr="00391B03" w:rsidRDefault="00697BCD" w:rsidP="00624E11">
            <w:pPr>
              <w:pStyle w:val="Tabletext"/>
            </w:pPr>
            <w:proofErr w:type="spellStart"/>
            <w:r w:rsidRPr="00391B03">
              <w:lastRenderedPageBreak/>
              <w:t>Lumo</w:t>
            </w:r>
            <w:proofErr w:type="spellEnd"/>
          </w:p>
        </w:tc>
        <w:tc>
          <w:tcPr>
            <w:tcW w:w="994" w:type="pct"/>
            <w:shd w:val="clear" w:color="auto" w:fill="auto"/>
          </w:tcPr>
          <w:p w:rsidR="00697BCD" w:rsidRDefault="00697BCD" w:rsidP="00624E11">
            <w:pPr>
              <w:pStyle w:val="Tabletext-right"/>
            </w:pPr>
            <w:r>
              <w:t>7%</w:t>
            </w:r>
          </w:p>
        </w:tc>
        <w:tc>
          <w:tcPr>
            <w:tcW w:w="977" w:type="pct"/>
            <w:shd w:val="clear" w:color="auto" w:fill="auto"/>
          </w:tcPr>
          <w:p w:rsidR="00697BCD" w:rsidRDefault="00697BCD" w:rsidP="00624E11">
            <w:pPr>
              <w:pStyle w:val="Tabletext-right"/>
            </w:pPr>
            <w:r>
              <w:t>$1424.21</w:t>
            </w:r>
          </w:p>
        </w:tc>
        <w:tc>
          <w:tcPr>
            <w:tcW w:w="733" w:type="pct"/>
            <w:shd w:val="clear" w:color="auto" w:fill="auto"/>
          </w:tcPr>
          <w:p w:rsidR="00697BCD" w:rsidRDefault="00697BCD" w:rsidP="00624E11">
            <w:pPr>
              <w:pStyle w:val="Tabletext-right"/>
            </w:pPr>
            <w:r>
              <w:t>5%</w:t>
            </w:r>
          </w:p>
        </w:tc>
        <w:tc>
          <w:tcPr>
            <w:tcW w:w="1254" w:type="pct"/>
            <w:shd w:val="clear" w:color="auto" w:fill="auto"/>
          </w:tcPr>
          <w:p w:rsidR="00697BCD" w:rsidRDefault="00697BCD" w:rsidP="00624E11">
            <w:pPr>
              <w:pStyle w:val="Tabletext-right"/>
            </w:pPr>
            <w:r>
              <w:t>8%</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M2 Energy</w:t>
            </w:r>
          </w:p>
        </w:tc>
        <w:tc>
          <w:tcPr>
            <w:tcW w:w="994" w:type="pct"/>
            <w:shd w:val="clear" w:color="auto" w:fill="auto"/>
          </w:tcPr>
          <w:p w:rsidR="00697BCD" w:rsidRDefault="00697BCD" w:rsidP="00624E11">
            <w:pPr>
              <w:pStyle w:val="Tabletext-right"/>
            </w:pPr>
            <w:r>
              <w:t>19%</w:t>
            </w:r>
          </w:p>
        </w:tc>
        <w:tc>
          <w:tcPr>
            <w:tcW w:w="977" w:type="pct"/>
            <w:shd w:val="clear" w:color="auto" w:fill="auto"/>
          </w:tcPr>
          <w:p w:rsidR="00697BCD" w:rsidRDefault="00697BCD" w:rsidP="00624E11">
            <w:pPr>
              <w:pStyle w:val="Tabletext-right"/>
            </w:pPr>
            <w:r>
              <w:t>$455.21</w:t>
            </w:r>
          </w:p>
        </w:tc>
        <w:tc>
          <w:tcPr>
            <w:tcW w:w="733" w:type="pct"/>
            <w:shd w:val="clear" w:color="auto" w:fill="auto"/>
          </w:tcPr>
          <w:p w:rsidR="00697BCD" w:rsidRDefault="00697BCD" w:rsidP="00624E11">
            <w:pPr>
              <w:pStyle w:val="Tabletext-right"/>
            </w:pPr>
            <w:r>
              <w:t>0%</w:t>
            </w:r>
          </w:p>
        </w:tc>
        <w:tc>
          <w:tcPr>
            <w:tcW w:w="1254" w:type="pct"/>
            <w:shd w:val="clear" w:color="auto" w:fill="auto"/>
          </w:tcPr>
          <w:p w:rsidR="00697BCD" w:rsidRDefault="00697BCD" w:rsidP="00624E11">
            <w:pPr>
              <w:pStyle w:val="Tabletext-right"/>
            </w:pPr>
            <w:r>
              <w:t>0%</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Origin Energy</w:t>
            </w:r>
          </w:p>
        </w:tc>
        <w:tc>
          <w:tcPr>
            <w:tcW w:w="994" w:type="pct"/>
            <w:shd w:val="clear" w:color="auto" w:fill="auto"/>
          </w:tcPr>
          <w:p w:rsidR="00697BCD" w:rsidRDefault="00697BCD" w:rsidP="00624E11">
            <w:pPr>
              <w:pStyle w:val="Tabletext-right"/>
            </w:pPr>
            <w:r>
              <w:t>14%</w:t>
            </w:r>
          </w:p>
        </w:tc>
        <w:tc>
          <w:tcPr>
            <w:tcW w:w="977" w:type="pct"/>
            <w:shd w:val="clear" w:color="auto" w:fill="auto"/>
          </w:tcPr>
          <w:p w:rsidR="00697BCD" w:rsidRDefault="00697BCD" w:rsidP="00624E11">
            <w:pPr>
              <w:pStyle w:val="Tabletext-right"/>
            </w:pPr>
            <w:r>
              <w:t>$514.59</w:t>
            </w:r>
          </w:p>
        </w:tc>
        <w:tc>
          <w:tcPr>
            <w:tcW w:w="733" w:type="pct"/>
            <w:shd w:val="clear" w:color="auto" w:fill="auto"/>
          </w:tcPr>
          <w:p w:rsidR="00697BCD" w:rsidRDefault="00697BCD" w:rsidP="00624E11">
            <w:pPr>
              <w:pStyle w:val="Tabletext-right"/>
            </w:pPr>
            <w:r>
              <w:t>35%</w:t>
            </w:r>
          </w:p>
        </w:tc>
        <w:tc>
          <w:tcPr>
            <w:tcW w:w="1254" w:type="pct"/>
            <w:shd w:val="clear" w:color="auto" w:fill="auto"/>
          </w:tcPr>
          <w:p w:rsidR="00697BCD" w:rsidRDefault="00697BCD" w:rsidP="00624E11">
            <w:pPr>
              <w:pStyle w:val="Tabletext-right"/>
            </w:pPr>
            <w:r>
              <w:t>9%</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Red Energy</w:t>
            </w:r>
          </w:p>
        </w:tc>
        <w:tc>
          <w:tcPr>
            <w:tcW w:w="994" w:type="pct"/>
            <w:shd w:val="clear" w:color="auto" w:fill="auto"/>
          </w:tcPr>
          <w:p w:rsidR="00697BCD" w:rsidRDefault="00697BCD" w:rsidP="00624E11">
            <w:pPr>
              <w:pStyle w:val="Tabletext-right"/>
            </w:pPr>
            <w:r>
              <w:t>6%</w:t>
            </w:r>
          </w:p>
        </w:tc>
        <w:tc>
          <w:tcPr>
            <w:tcW w:w="977" w:type="pct"/>
            <w:shd w:val="clear" w:color="auto" w:fill="auto"/>
          </w:tcPr>
          <w:p w:rsidR="00697BCD" w:rsidRDefault="00697BCD" w:rsidP="00624E11">
            <w:pPr>
              <w:pStyle w:val="Tabletext-right"/>
            </w:pPr>
            <w:r>
              <w:t>$26.66</w:t>
            </w:r>
          </w:p>
        </w:tc>
        <w:tc>
          <w:tcPr>
            <w:tcW w:w="733" w:type="pct"/>
            <w:shd w:val="clear" w:color="auto" w:fill="auto"/>
          </w:tcPr>
          <w:p w:rsidR="00697BCD" w:rsidRDefault="00697BCD" w:rsidP="00624E11">
            <w:pPr>
              <w:pStyle w:val="Tabletext-right"/>
            </w:pPr>
            <w:r>
              <w:t>8%</w:t>
            </w:r>
          </w:p>
        </w:tc>
        <w:tc>
          <w:tcPr>
            <w:tcW w:w="1254" w:type="pct"/>
            <w:shd w:val="clear" w:color="auto" w:fill="auto"/>
          </w:tcPr>
          <w:p w:rsidR="00697BCD" w:rsidRDefault="00697BCD" w:rsidP="00624E11">
            <w:pPr>
              <w:pStyle w:val="Tabletext-right"/>
            </w:pPr>
            <w:r>
              <w:t>0%</w:t>
            </w:r>
          </w:p>
        </w:tc>
      </w:tr>
      <w:tr w:rsidR="00697BCD" w:rsidRPr="00391B03" w:rsidTr="00391B03">
        <w:trPr>
          <w:trHeight w:val="255"/>
        </w:trPr>
        <w:tc>
          <w:tcPr>
            <w:tcW w:w="1041" w:type="pct"/>
            <w:shd w:val="clear" w:color="auto" w:fill="auto"/>
          </w:tcPr>
          <w:p w:rsidR="00697BCD" w:rsidRPr="00391B03" w:rsidRDefault="00697BCD" w:rsidP="00624E11">
            <w:pPr>
              <w:pStyle w:val="Tabletext"/>
            </w:pPr>
            <w:r w:rsidRPr="00391B03">
              <w:t>Simply Energy</w:t>
            </w:r>
          </w:p>
        </w:tc>
        <w:tc>
          <w:tcPr>
            <w:tcW w:w="994" w:type="pct"/>
            <w:shd w:val="clear" w:color="auto" w:fill="auto"/>
          </w:tcPr>
          <w:p w:rsidR="00697BCD" w:rsidRDefault="00697BCD" w:rsidP="00624E11">
            <w:pPr>
              <w:pStyle w:val="Tabletext-right"/>
            </w:pPr>
            <w:r>
              <w:t>44%</w:t>
            </w:r>
          </w:p>
        </w:tc>
        <w:tc>
          <w:tcPr>
            <w:tcW w:w="977" w:type="pct"/>
            <w:shd w:val="clear" w:color="auto" w:fill="auto"/>
          </w:tcPr>
          <w:p w:rsidR="00697BCD" w:rsidRDefault="00697BCD" w:rsidP="00624E11">
            <w:pPr>
              <w:pStyle w:val="Tabletext-right"/>
            </w:pPr>
            <w:r>
              <w:t>$501.08</w:t>
            </w:r>
          </w:p>
        </w:tc>
        <w:tc>
          <w:tcPr>
            <w:tcW w:w="733" w:type="pct"/>
            <w:shd w:val="clear" w:color="auto" w:fill="auto"/>
          </w:tcPr>
          <w:p w:rsidR="00697BCD" w:rsidRDefault="00697BCD" w:rsidP="00624E11">
            <w:pPr>
              <w:pStyle w:val="Tabletext-right"/>
            </w:pPr>
            <w:r>
              <w:t>26%</w:t>
            </w:r>
          </w:p>
        </w:tc>
        <w:tc>
          <w:tcPr>
            <w:tcW w:w="1254" w:type="pct"/>
            <w:shd w:val="clear" w:color="auto" w:fill="auto"/>
          </w:tcPr>
          <w:p w:rsidR="00697BCD" w:rsidRDefault="00697BCD" w:rsidP="00624E11">
            <w:pPr>
              <w:pStyle w:val="Tabletext-right"/>
            </w:pPr>
            <w:r>
              <w:t>5%</w:t>
            </w:r>
          </w:p>
        </w:tc>
      </w:tr>
    </w:tbl>
    <w:p w:rsidR="00697BCD" w:rsidRDefault="00697BCD"/>
    <w:p w:rsidR="00697BCD" w:rsidRDefault="00697BCD" w:rsidP="000F3A56">
      <w:pPr>
        <w:pStyle w:val="Numbered11"/>
      </w:pPr>
      <w:bookmarkStart w:id="29" w:name="_Toc467665313"/>
      <w:r>
        <w:t>Disconnections and reconnections</w:t>
      </w:r>
      <w:bookmarkEnd w:id="29"/>
    </w:p>
    <w:p w:rsidR="00697BCD" w:rsidRDefault="00697BCD" w:rsidP="00697BCD">
      <w:r>
        <w:t>Energy is an essential service. Disconnection for non-payment of bills should be viewed as a last resort. The number of disconnections may be analysed alongside hardship program and energy debt statistics to provide an indication of how retailers meet their obligations to help customers manage their debt while ensuring that customers continue to receive an energy supply.</w:t>
      </w:r>
    </w:p>
    <w:p w:rsidR="00697BCD" w:rsidRDefault="00697BCD" w:rsidP="00697BCD">
      <w:r>
        <w:t>Figure 2.8 shows the proportion of residential customers disconnected for non-payment in each jurisdiction. It also shows the proportion of customers who were reconnected under the same name and address by their retailer.</w:t>
      </w:r>
    </w:p>
    <w:p w:rsidR="00697BCD" w:rsidRDefault="00697BCD" w:rsidP="00697BCD">
      <w:r>
        <w:t>Disconnections for non-payment increased in South Australia for electricity and gas to 1.39 electricity customers per 100 and 1.2 gas customers per 100.</w:t>
      </w:r>
    </w:p>
    <w:p w:rsidR="00697BCD" w:rsidRDefault="00697BCD" w:rsidP="00697BCD">
      <w:r>
        <w:t xml:space="preserve">While disconnections for non-payment increased in the ACT and Tasmania, overall the rates remained comparatively low. </w:t>
      </w:r>
    </w:p>
    <w:p w:rsidR="00697BCD" w:rsidRDefault="00697BCD" w:rsidP="00697BCD">
      <w:r>
        <w:t>Disconnection rates decreased in NSW for both fuel types, and there was a slight decrease in the rate of gas disconnections in the ACT.</w:t>
      </w:r>
    </w:p>
    <w:p w:rsidR="00697BCD" w:rsidRDefault="00697BCD" w:rsidP="000F3A56">
      <w:pPr>
        <w:pStyle w:val="Charttitle"/>
      </w:pPr>
      <w:r>
        <w:t>Figure 2.8:</w:t>
      </w:r>
      <w:r>
        <w:tab/>
        <w:t>Residential customers disconnected for non-payment in 2014–15 and 2015–16 by jurisdiction</w:t>
      </w:r>
    </w:p>
    <w:p w:rsidR="00697BCD" w:rsidRDefault="00EC4210" w:rsidP="000F3A56">
      <w:pPr>
        <w:pStyle w:val="Charttitle"/>
      </w:pPr>
      <w:r>
        <w:pict>
          <v:shape id="_x0000_i1039" type="#_x0000_t75" alt="In South Australia, 1.39 per cent of electricity customers and 1.23 per cent of gas customers were disconnected for non-payment in 2015-16. 47 per cent of electricity customers and 40 per cent of gas customers were reconnected. In New South Wales, 0.99 per cent of electricity customers and 0.51 per cent of gas customers were disconnected for non-payment in 2015-16. 44 per cent of electricity customers and 25 per cent of gas customers were reconnected. In the ACT, 0.24 per cent of electricity customers and 1.19 per cent of gas customers were disconnected for non-payment in 2015-16. 61 per cent of electricity customers and 38 per cent of gas customers were reconnected. In Tasmania, 0.50 per cent of electricity customers were disconnected for non-payment in 2015-16, and 50 per cent were reconnected." style="width:470.35pt;height:201.95pt">
            <v:imagedata r:id="rId25" o:title=""/>
          </v:shape>
        </w:pict>
      </w:r>
    </w:p>
    <w:p w:rsidR="00697BCD" w:rsidRDefault="00697BCD" w:rsidP="00697BCD">
      <w:r>
        <w:t>Tables 2.10 and 2.11 show the rates of electricity and gas customers (respectively) disconnected for non-payment. The tables also show the percentage of disconnected customers who were reconnected as well as the percentage of those reconnections that occurred within seven days.</w:t>
      </w:r>
    </w:p>
    <w:p w:rsidR="00697BCD" w:rsidRDefault="00697BCD" w:rsidP="00697BCD">
      <w:r>
        <w:t xml:space="preserve">South Australia had the highest rate of electricity customers disconnected for non-payment. Three large retailers—AGL, Origin Energy and Simply Energy—disconnected a smaller </w:t>
      </w:r>
      <w:r>
        <w:lastRenderedPageBreak/>
        <w:t xml:space="preserve">proportion of customers than in 2014–15, but these decreases were offset by increases in the rate of disconnections by </w:t>
      </w:r>
      <w:proofErr w:type="spellStart"/>
      <w:r>
        <w:t>EnergyAustralia</w:t>
      </w:r>
      <w:proofErr w:type="spellEnd"/>
      <w:r>
        <w:t xml:space="preserve"> (a three-and-a-half-fold increase from 2014–15), </w:t>
      </w:r>
      <w:proofErr w:type="spellStart"/>
      <w:r>
        <w:t>Alinta</w:t>
      </w:r>
      <w:proofErr w:type="spellEnd"/>
      <w:r>
        <w:t xml:space="preserve"> Energy (around double 2014–15), </w:t>
      </w:r>
      <w:proofErr w:type="spellStart"/>
      <w:r>
        <w:t>Lumo</w:t>
      </w:r>
      <w:proofErr w:type="spellEnd"/>
      <w:r>
        <w:t xml:space="preserve"> Energy (more than double) and Red Energy (up by a half).</w:t>
      </w:r>
    </w:p>
    <w:p w:rsidR="00697BCD" w:rsidRDefault="00697BCD" w:rsidP="00697BCD">
      <w:proofErr w:type="spellStart"/>
      <w:r>
        <w:t>Alinta</w:t>
      </w:r>
      <w:proofErr w:type="spellEnd"/>
      <w:r>
        <w:t xml:space="preserve"> Energy had the highest electricity disconnection rate of South Australian retailers, disconnecting 3.64 electricity customers per 100.</w:t>
      </w:r>
    </w:p>
    <w:p w:rsidR="00697BCD" w:rsidRDefault="00697BCD" w:rsidP="00697BCD">
      <w:r>
        <w:t xml:space="preserve">In South Australia, </w:t>
      </w:r>
      <w:proofErr w:type="spellStart"/>
      <w:r>
        <w:t>Alinta’s</w:t>
      </w:r>
      <w:proofErr w:type="spellEnd"/>
      <w:r>
        <w:t xml:space="preserve"> disconnection rate of over 6 per 100 gas customers was more than three times the rate of the next highest retailer.</w:t>
      </w:r>
    </w:p>
    <w:p w:rsidR="00697BCD" w:rsidRDefault="00697BCD" w:rsidP="00697BCD">
      <w:r>
        <w:t>Electricity disconnections rates fell in New South Wales fell, assisted by decreased numbers of disconnections by Origin Energy and AGL.</w:t>
      </w:r>
    </w:p>
    <w:p w:rsidR="00697BCD" w:rsidRDefault="00697BCD" w:rsidP="00697BCD">
      <w:pPr>
        <w:pStyle w:val="Tabletitle"/>
      </w:pPr>
      <w:r>
        <w:t>Table 2.10:</w:t>
      </w:r>
      <w:r>
        <w:tab/>
        <w:t>Residential electricity customers disconnected and reconnected by retailers for non-payment in 2015–16</w:t>
      </w:r>
    </w:p>
    <w:tbl>
      <w:tblPr>
        <w:tblW w:w="5000" w:type="pct"/>
        <w:tblBorders>
          <w:top w:val="single" w:sz="4" w:space="0" w:color="BFBFBF"/>
          <w:bottom w:val="single" w:sz="4" w:space="0" w:color="BFBFBF"/>
        </w:tblBorders>
        <w:tblLook w:val="0000" w:firstRow="0" w:lastRow="0" w:firstColumn="0" w:lastColumn="0" w:noHBand="0" w:noVBand="0"/>
      </w:tblPr>
      <w:tblGrid>
        <w:gridCol w:w="2541"/>
        <w:gridCol w:w="1727"/>
        <w:gridCol w:w="1729"/>
        <w:gridCol w:w="1903"/>
        <w:gridCol w:w="1728"/>
      </w:tblGrid>
      <w:tr w:rsidR="00697BCD" w:rsidRPr="00391B03" w:rsidTr="00391B03">
        <w:trPr>
          <w:trHeight w:val="255"/>
        </w:trPr>
        <w:tc>
          <w:tcPr>
            <w:tcW w:w="1338" w:type="pct"/>
            <w:shd w:val="clear" w:color="auto" w:fill="auto"/>
          </w:tcPr>
          <w:p w:rsidR="00697BCD" w:rsidRPr="00391B03" w:rsidRDefault="00697BCD" w:rsidP="006B1E9F">
            <w:pPr>
              <w:pStyle w:val="TableHeading"/>
            </w:pPr>
            <w:r w:rsidRPr="00391B03">
              <w:t>Retailer</w:t>
            </w:r>
          </w:p>
        </w:tc>
        <w:tc>
          <w:tcPr>
            <w:tcW w:w="1831" w:type="pct"/>
            <w:gridSpan w:val="2"/>
            <w:shd w:val="clear" w:color="auto" w:fill="auto"/>
          </w:tcPr>
          <w:p w:rsidR="00697BCD" w:rsidRDefault="00697BCD" w:rsidP="006B1E9F">
            <w:pPr>
              <w:pStyle w:val="TableHeading-right"/>
            </w:pPr>
            <w:r>
              <w:t xml:space="preserve">Disconnections </w:t>
            </w:r>
          </w:p>
          <w:p w:rsidR="00697BCD" w:rsidRDefault="00697BCD" w:rsidP="006B1E9F">
            <w:pPr>
              <w:pStyle w:val="TableHeading-right"/>
            </w:pPr>
            <w:r>
              <w:t>(per 100)</w:t>
            </w:r>
          </w:p>
        </w:tc>
        <w:tc>
          <w:tcPr>
            <w:tcW w:w="916" w:type="pct"/>
            <w:shd w:val="clear" w:color="auto" w:fill="auto"/>
          </w:tcPr>
          <w:p w:rsidR="00697BCD" w:rsidRDefault="00697BCD" w:rsidP="006B1E9F">
            <w:pPr>
              <w:pStyle w:val="TableHeading-right"/>
            </w:pPr>
            <w:r>
              <w:t>Reconnections (% of disconnections)</w:t>
            </w:r>
          </w:p>
        </w:tc>
        <w:tc>
          <w:tcPr>
            <w:tcW w:w="916" w:type="pct"/>
            <w:shd w:val="clear" w:color="auto" w:fill="auto"/>
          </w:tcPr>
          <w:p w:rsidR="00697BCD" w:rsidRDefault="00697BCD" w:rsidP="006B1E9F">
            <w:pPr>
              <w:pStyle w:val="TableHeading-right"/>
            </w:pPr>
            <w:r>
              <w:t>% of reconnections within 7 days</w:t>
            </w:r>
          </w:p>
        </w:tc>
      </w:tr>
      <w:tr w:rsidR="00697BCD" w:rsidRPr="00391B03" w:rsidTr="00391B03">
        <w:trPr>
          <w:trHeight w:val="288"/>
        </w:trPr>
        <w:tc>
          <w:tcPr>
            <w:tcW w:w="1338" w:type="pct"/>
            <w:shd w:val="clear" w:color="auto" w:fill="auto"/>
          </w:tcPr>
          <w:p w:rsidR="00697BCD" w:rsidRPr="00391B03" w:rsidRDefault="00697BCD" w:rsidP="00624E11">
            <w:pPr>
              <w:pStyle w:val="Tabletext"/>
            </w:pPr>
            <w:r w:rsidRPr="00391B03">
              <w:t>Queensland</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AGL</w:t>
            </w:r>
          </w:p>
        </w:tc>
        <w:tc>
          <w:tcPr>
            <w:tcW w:w="915" w:type="pct"/>
            <w:shd w:val="clear" w:color="auto" w:fill="auto"/>
          </w:tcPr>
          <w:p w:rsidR="00697BCD" w:rsidRDefault="00697BCD" w:rsidP="00624E11">
            <w:pPr>
              <w:pStyle w:val="Tabletext-right"/>
            </w:pPr>
            <w:r>
              <w:t>1.16</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42%</w:t>
            </w:r>
          </w:p>
        </w:tc>
        <w:tc>
          <w:tcPr>
            <w:tcW w:w="916" w:type="pct"/>
            <w:shd w:val="clear" w:color="auto" w:fill="auto"/>
          </w:tcPr>
          <w:p w:rsidR="00697BCD" w:rsidRDefault="00697BCD" w:rsidP="00624E11">
            <w:pPr>
              <w:pStyle w:val="Tabletext-right"/>
            </w:pPr>
            <w:r>
              <w:t>96%</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Click Energy</w:t>
            </w:r>
          </w:p>
        </w:tc>
        <w:tc>
          <w:tcPr>
            <w:tcW w:w="915" w:type="pct"/>
            <w:shd w:val="clear" w:color="auto" w:fill="auto"/>
          </w:tcPr>
          <w:p w:rsidR="00697BCD" w:rsidRDefault="00697BCD" w:rsidP="00624E11">
            <w:pPr>
              <w:pStyle w:val="Tabletext-right"/>
            </w:pPr>
            <w:r>
              <w:t>0.65</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45%</w:t>
            </w:r>
          </w:p>
        </w:tc>
        <w:tc>
          <w:tcPr>
            <w:tcW w:w="916" w:type="pct"/>
            <w:shd w:val="clear" w:color="auto" w:fill="auto"/>
          </w:tcPr>
          <w:p w:rsidR="00697BCD" w:rsidRDefault="00697BCD" w:rsidP="00624E11">
            <w:pPr>
              <w:pStyle w:val="Tabletext-right"/>
            </w:pPr>
            <w:r>
              <w:t>95%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Diamond Energy</w:t>
            </w:r>
          </w:p>
        </w:tc>
        <w:tc>
          <w:tcPr>
            <w:tcW w:w="915" w:type="pct"/>
            <w:shd w:val="clear" w:color="auto" w:fill="auto"/>
          </w:tcPr>
          <w:p w:rsidR="00697BCD" w:rsidRDefault="00697BCD" w:rsidP="00624E11">
            <w:pPr>
              <w:pStyle w:val="Tabletext-right"/>
            </w:pPr>
            <w:r>
              <w:t>0.35</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67%</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1.76</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49%</w:t>
            </w:r>
          </w:p>
        </w:tc>
        <w:tc>
          <w:tcPr>
            <w:tcW w:w="916" w:type="pct"/>
            <w:shd w:val="clear" w:color="auto" w:fill="auto"/>
          </w:tcPr>
          <w:p w:rsidR="00697BCD" w:rsidRDefault="00697BCD" w:rsidP="00624E11">
            <w:pPr>
              <w:pStyle w:val="Tabletext-right"/>
            </w:pPr>
            <w:r>
              <w:t>91%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Ergon Energy</w:t>
            </w:r>
          </w:p>
        </w:tc>
        <w:tc>
          <w:tcPr>
            <w:tcW w:w="915" w:type="pct"/>
            <w:shd w:val="clear" w:color="auto" w:fill="auto"/>
          </w:tcPr>
          <w:p w:rsidR="00697BCD" w:rsidRDefault="00697BCD" w:rsidP="00624E11">
            <w:pPr>
              <w:pStyle w:val="Tabletext-right"/>
            </w:pPr>
            <w:r>
              <w:t>1.40</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45%</w:t>
            </w:r>
          </w:p>
        </w:tc>
        <w:tc>
          <w:tcPr>
            <w:tcW w:w="916" w:type="pct"/>
            <w:shd w:val="clear" w:color="auto" w:fill="auto"/>
          </w:tcPr>
          <w:p w:rsidR="00697BCD" w:rsidRDefault="00697BCD" w:rsidP="00624E11">
            <w:pPr>
              <w:pStyle w:val="Tabletext-right"/>
            </w:pPr>
            <w:r>
              <w:t>93%</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Locality Planning Energy</w:t>
            </w:r>
          </w:p>
        </w:tc>
        <w:tc>
          <w:tcPr>
            <w:tcW w:w="915" w:type="pct"/>
            <w:shd w:val="clear" w:color="auto" w:fill="auto"/>
          </w:tcPr>
          <w:p w:rsidR="00697BCD" w:rsidRDefault="00697BCD" w:rsidP="00624E11">
            <w:pPr>
              <w:pStyle w:val="Tabletext-right"/>
            </w:pPr>
            <w:r>
              <w:t>0.20</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100%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915" w:type="pct"/>
            <w:shd w:val="clear" w:color="auto" w:fill="auto"/>
          </w:tcPr>
          <w:p w:rsidR="00697BCD" w:rsidRDefault="00697BCD" w:rsidP="00624E11">
            <w:pPr>
              <w:pStyle w:val="Tabletext-right"/>
            </w:pPr>
            <w:r>
              <w:t>2.07</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M2 Energy</w:t>
            </w:r>
          </w:p>
        </w:tc>
        <w:tc>
          <w:tcPr>
            <w:tcW w:w="915" w:type="pct"/>
            <w:shd w:val="clear" w:color="auto" w:fill="auto"/>
          </w:tcPr>
          <w:p w:rsidR="00697BCD" w:rsidRDefault="00697BCD" w:rsidP="00624E11">
            <w:pPr>
              <w:pStyle w:val="Tabletext-right"/>
            </w:pPr>
            <w:r>
              <w:t>0.45</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22%</w:t>
            </w:r>
          </w:p>
        </w:tc>
        <w:tc>
          <w:tcPr>
            <w:tcW w:w="916" w:type="pct"/>
            <w:shd w:val="clear" w:color="auto" w:fill="auto"/>
          </w:tcPr>
          <w:p w:rsidR="00697BCD" w:rsidRDefault="00697BCD" w:rsidP="00624E11">
            <w:pPr>
              <w:pStyle w:val="Tabletext-right"/>
            </w:pPr>
            <w:r>
              <w:t>81%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Metered Energy Holdings</w:t>
            </w:r>
          </w:p>
        </w:tc>
        <w:tc>
          <w:tcPr>
            <w:tcW w:w="915" w:type="pct"/>
            <w:shd w:val="clear" w:color="auto" w:fill="auto"/>
          </w:tcPr>
          <w:p w:rsidR="00697BCD" w:rsidRDefault="00697BCD" w:rsidP="00624E11">
            <w:pPr>
              <w:pStyle w:val="Tabletext-right"/>
            </w:pPr>
            <w:r>
              <w:t>1.98</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77%</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0.33</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67%</w:t>
            </w:r>
          </w:p>
        </w:tc>
        <w:tc>
          <w:tcPr>
            <w:tcW w:w="916" w:type="pct"/>
            <w:shd w:val="clear" w:color="auto" w:fill="auto"/>
          </w:tcPr>
          <w:p w:rsidR="00697BCD" w:rsidRDefault="00697BCD" w:rsidP="00624E11">
            <w:pPr>
              <w:pStyle w:val="Tabletext-right"/>
            </w:pPr>
            <w:r>
              <w:t>95%</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Powerdirect</w:t>
            </w:r>
            <w:proofErr w:type="spellEnd"/>
          </w:p>
        </w:tc>
        <w:tc>
          <w:tcPr>
            <w:tcW w:w="915" w:type="pct"/>
            <w:shd w:val="clear" w:color="auto" w:fill="auto"/>
          </w:tcPr>
          <w:p w:rsidR="00697BCD" w:rsidRDefault="00697BCD" w:rsidP="00624E11">
            <w:pPr>
              <w:pStyle w:val="Tabletext-right"/>
            </w:pPr>
            <w:r>
              <w:t>2.21</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52%</w:t>
            </w:r>
          </w:p>
        </w:tc>
        <w:tc>
          <w:tcPr>
            <w:tcW w:w="916" w:type="pct"/>
            <w:shd w:val="clear" w:color="auto" w:fill="auto"/>
          </w:tcPr>
          <w:p w:rsidR="00697BCD" w:rsidRDefault="00697BCD" w:rsidP="00624E11">
            <w:pPr>
              <w:pStyle w:val="Tabletext-right"/>
            </w:pPr>
            <w:r>
              <w:t>98%</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QEnergy</w:t>
            </w:r>
            <w:proofErr w:type="spellEnd"/>
          </w:p>
        </w:tc>
        <w:tc>
          <w:tcPr>
            <w:tcW w:w="915" w:type="pct"/>
            <w:shd w:val="clear" w:color="auto" w:fill="auto"/>
          </w:tcPr>
          <w:p w:rsidR="00697BCD" w:rsidRDefault="00697BCD" w:rsidP="00624E11">
            <w:pPr>
              <w:pStyle w:val="Tabletext-right"/>
            </w:pPr>
            <w:r>
              <w:t>1.90</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28%</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Sanctuary Energy</w:t>
            </w:r>
          </w:p>
        </w:tc>
        <w:tc>
          <w:tcPr>
            <w:tcW w:w="915" w:type="pct"/>
            <w:shd w:val="clear" w:color="auto" w:fill="auto"/>
          </w:tcPr>
          <w:p w:rsidR="00697BCD" w:rsidRDefault="00697BCD" w:rsidP="00624E11">
            <w:pPr>
              <w:pStyle w:val="Tabletext-right"/>
            </w:pPr>
            <w:r>
              <w:t>0.38</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71%</w:t>
            </w:r>
          </w:p>
        </w:tc>
        <w:tc>
          <w:tcPr>
            <w:tcW w:w="916" w:type="pct"/>
            <w:shd w:val="clear" w:color="auto" w:fill="auto"/>
          </w:tcPr>
          <w:p w:rsidR="00697BCD" w:rsidRDefault="00697BCD" w:rsidP="00624E11">
            <w:pPr>
              <w:pStyle w:val="Tabletext-right"/>
            </w:pPr>
            <w:r>
              <w:t>80%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Simply Energy</w:t>
            </w:r>
          </w:p>
        </w:tc>
        <w:tc>
          <w:tcPr>
            <w:tcW w:w="915" w:type="pct"/>
            <w:shd w:val="clear" w:color="auto" w:fill="auto"/>
          </w:tcPr>
          <w:p w:rsidR="00697BCD" w:rsidRDefault="00697BCD" w:rsidP="00624E11">
            <w:pPr>
              <w:pStyle w:val="Tabletext-right"/>
            </w:pPr>
            <w:r>
              <w:t>0.76</w:t>
            </w:r>
          </w:p>
        </w:tc>
        <w:tc>
          <w:tcPr>
            <w:tcW w:w="916" w:type="pct"/>
            <w:shd w:val="clear" w:color="auto" w:fill="auto"/>
          </w:tcPr>
          <w:p w:rsidR="00697BCD" w:rsidRDefault="00697BCD" w:rsidP="00624E11">
            <w:pPr>
              <w:pStyle w:val="Tabletext-right"/>
            </w:pPr>
            <w:r>
              <w:t>–</w:t>
            </w:r>
          </w:p>
        </w:tc>
        <w:tc>
          <w:tcPr>
            <w:tcW w:w="916" w:type="pct"/>
            <w:shd w:val="clear" w:color="auto" w:fill="auto"/>
          </w:tcPr>
          <w:p w:rsidR="00697BCD" w:rsidRDefault="00697BCD" w:rsidP="00624E11">
            <w:pPr>
              <w:pStyle w:val="Tabletext-right"/>
            </w:pPr>
            <w:r>
              <w:t>42%</w:t>
            </w:r>
          </w:p>
        </w:tc>
        <w:tc>
          <w:tcPr>
            <w:tcW w:w="916" w:type="pct"/>
            <w:shd w:val="clear" w:color="auto" w:fill="auto"/>
          </w:tcPr>
          <w:p w:rsidR="00697BCD" w:rsidRDefault="00697BCD" w:rsidP="00624E11">
            <w:pPr>
              <w:pStyle w:val="Tabletext-right"/>
            </w:pPr>
            <w:r>
              <w:t>80%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Qld</w:t>
            </w:r>
          </w:p>
        </w:tc>
        <w:tc>
          <w:tcPr>
            <w:tcW w:w="915" w:type="pct"/>
            <w:shd w:val="clear" w:color="auto" w:fill="auto"/>
          </w:tcPr>
          <w:p w:rsidR="00697BCD" w:rsidRDefault="00697BCD" w:rsidP="00624E11">
            <w:pPr>
              <w:pStyle w:val="Tabletext-right"/>
            </w:pPr>
            <w:r>
              <w:t>1.14</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50%</w:t>
            </w:r>
          </w:p>
        </w:tc>
        <w:tc>
          <w:tcPr>
            <w:tcW w:w="916" w:type="pct"/>
            <w:shd w:val="clear" w:color="auto" w:fill="auto"/>
          </w:tcPr>
          <w:p w:rsidR="00697BCD" w:rsidRDefault="00697BCD" w:rsidP="00624E11">
            <w:pPr>
              <w:pStyle w:val="Tabletext-right"/>
            </w:pPr>
            <w:r>
              <w:t>94%</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South Australia</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 xml:space="preserve">AGL South Australia </w:t>
            </w:r>
          </w:p>
        </w:tc>
        <w:tc>
          <w:tcPr>
            <w:tcW w:w="915" w:type="pct"/>
            <w:shd w:val="clear" w:color="auto" w:fill="auto"/>
          </w:tcPr>
          <w:p w:rsidR="00697BCD" w:rsidRDefault="00697BCD" w:rsidP="00624E11">
            <w:pPr>
              <w:pStyle w:val="Tabletext-right"/>
            </w:pPr>
            <w:r>
              <w:t>0.93</w:t>
            </w:r>
          </w:p>
        </w:tc>
        <w:tc>
          <w:tcPr>
            <w:tcW w:w="916" w:type="pct"/>
            <w:shd w:val="clear" w:color="auto" w:fill="auto"/>
          </w:tcPr>
          <w:p w:rsidR="00697BCD" w:rsidRDefault="00697BCD" w:rsidP="00624E11">
            <w:pPr>
              <w:pStyle w:val="Tabletext-right"/>
            </w:pPr>
            <w:r>
              <w:rPr>
                <w:rStyle w:val="Arialarrow"/>
              </w:rPr>
              <w:t>▲</w:t>
            </w:r>
            <w:r>
              <w:t>0.30</w:t>
            </w:r>
          </w:p>
        </w:tc>
        <w:tc>
          <w:tcPr>
            <w:tcW w:w="916" w:type="pct"/>
            <w:shd w:val="clear" w:color="auto" w:fill="auto"/>
          </w:tcPr>
          <w:p w:rsidR="00697BCD" w:rsidRDefault="00697BCD" w:rsidP="00624E11">
            <w:pPr>
              <w:pStyle w:val="Tabletext-right"/>
            </w:pPr>
            <w:r>
              <w:t>48%</w:t>
            </w:r>
          </w:p>
        </w:tc>
        <w:tc>
          <w:tcPr>
            <w:tcW w:w="916" w:type="pct"/>
            <w:shd w:val="clear" w:color="auto" w:fill="auto"/>
          </w:tcPr>
          <w:p w:rsidR="00697BCD" w:rsidRDefault="00697BCD" w:rsidP="00624E11">
            <w:pPr>
              <w:pStyle w:val="Tabletext-right"/>
            </w:pPr>
            <w:r>
              <w:t>92%</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 </w:t>
            </w:r>
          </w:p>
        </w:tc>
        <w:tc>
          <w:tcPr>
            <w:tcW w:w="915" w:type="pct"/>
            <w:shd w:val="clear" w:color="auto" w:fill="auto"/>
          </w:tcPr>
          <w:p w:rsidR="00697BCD" w:rsidRDefault="00697BCD" w:rsidP="00624E11">
            <w:pPr>
              <w:pStyle w:val="Tabletext-right"/>
            </w:pPr>
            <w:r>
              <w:t>3.64</w:t>
            </w:r>
          </w:p>
        </w:tc>
        <w:tc>
          <w:tcPr>
            <w:tcW w:w="916" w:type="pct"/>
            <w:shd w:val="clear" w:color="auto" w:fill="auto"/>
          </w:tcPr>
          <w:p w:rsidR="00697BCD" w:rsidRDefault="00697BCD" w:rsidP="00624E11">
            <w:pPr>
              <w:pStyle w:val="Tabletext-right"/>
            </w:pPr>
            <w:r>
              <w:rPr>
                <w:rStyle w:val="Arialarrow"/>
              </w:rPr>
              <w:t>▲</w:t>
            </w:r>
            <w:r>
              <w:t>1.86</w:t>
            </w:r>
          </w:p>
        </w:tc>
        <w:tc>
          <w:tcPr>
            <w:tcW w:w="916" w:type="pct"/>
            <w:shd w:val="clear" w:color="auto" w:fill="auto"/>
          </w:tcPr>
          <w:p w:rsidR="00697BCD" w:rsidRDefault="00697BCD" w:rsidP="00624E11">
            <w:pPr>
              <w:pStyle w:val="Tabletext-right"/>
            </w:pPr>
            <w:r>
              <w:t>38%</w:t>
            </w:r>
          </w:p>
        </w:tc>
        <w:tc>
          <w:tcPr>
            <w:tcW w:w="916" w:type="pct"/>
            <w:shd w:val="clear" w:color="auto" w:fill="auto"/>
          </w:tcPr>
          <w:p w:rsidR="00697BCD" w:rsidRDefault="00697BCD" w:rsidP="00624E11">
            <w:pPr>
              <w:pStyle w:val="Tabletext-right"/>
            </w:pPr>
            <w:r>
              <w:t>92%</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Diamond Energy</w:t>
            </w:r>
          </w:p>
        </w:tc>
        <w:tc>
          <w:tcPr>
            <w:tcW w:w="915" w:type="pct"/>
            <w:shd w:val="clear" w:color="auto" w:fill="auto"/>
          </w:tcPr>
          <w:p w:rsidR="00697BCD" w:rsidRDefault="00697BCD" w:rsidP="00624E11">
            <w:pPr>
              <w:pStyle w:val="Tabletext-right"/>
            </w:pPr>
            <w:r>
              <w:t>0.14</w:t>
            </w:r>
          </w:p>
        </w:tc>
        <w:tc>
          <w:tcPr>
            <w:tcW w:w="916" w:type="pct"/>
            <w:shd w:val="clear" w:color="auto" w:fill="auto"/>
          </w:tcPr>
          <w:p w:rsidR="00697BCD" w:rsidRDefault="00697BCD" w:rsidP="00624E11">
            <w:pPr>
              <w:pStyle w:val="Tabletext-right"/>
            </w:pPr>
            <w:r>
              <w:t>N/A</w:t>
            </w:r>
          </w:p>
        </w:tc>
        <w:tc>
          <w:tcPr>
            <w:tcW w:w="916" w:type="pct"/>
            <w:shd w:val="clear" w:color="auto" w:fill="auto"/>
          </w:tcPr>
          <w:p w:rsidR="00697BCD" w:rsidRDefault="00697BCD" w:rsidP="00624E11">
            <w:pPr>
              <w:pStyle w:val="Tabletext-right"/>
            </w:pPr>
            <w:r>
              <w:t>50%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w:t>
            </w:r>
          </w:p>
        </w:tc>
        <w:tc>
          <w:tcPr>
            <w:tcW w:w="915" w:type="pct"/>
            <w:shd w:val="clear" w:color="auto" w:fill="auto"/>
          </w:tcPr>
          <w:p w:rsidR="00697BCD" w:rsidRDefault="00697BCD" w:rsidP="00624E11">
            <w:pPr>
              <w:pStyle w:val="Tabletext-right"/>
            </w:pPr>
            <w:r>
              <w:t>1.99</w:t>
            </w:r>
          </w:p>
        </w:tc>
        <w:tc>
          <w:tcPr>
            <w:tcW w:w="916" w:type="pct"/>
            <w:shd w:val="clear" w:color="auto" w:fill="auto"/>
          </w:tcPr>
          <w:p w:rsidR="00697BCD" w:rsidRDefault="00697BCD" w:rsidP="00624E11">
            <w:pPr>
              <w:pStyle w:val="Tabletext-right"/>
            </w:pPr>
            <w:r>
              <w:rPr>
                <w:rStyle w:val="Arialarrow"/>
              </w:rPr>
              <w:t>▲</w:t>
            </w:r>
            <w:r>
              <w:t>1.44</w:t>
            </w:r>
          </w:p>
        </w:tc>
        <w:tc>
          <w:tcPr>
            <w:tcW w:w="916" w:type="pct"/>
            <w:shd w:val="clear" w:color="auto" w:fill="auto"/>
          </w:tcPr>
          <w:p w:rsidR="00697BCD" w:rsidRDefault="00697BCD" w:rsidP="00624E11">
            <w:pPr>
              <w:pStyle w:val="Tabletext-right"/>
            </w:pPr>
            <w:r>
              <w:t>51%</w:t>
            </w:r>
          </w:p>
        </w:tc>
        <w:tc>
          <w:tcPr>
            <w:tcW w:w="916" w:type="pct"/>
            <w:shd w:val="clear" w:color="auto" w:fill="auto"/>
          </w:tcPr>
          <w:p w:rsidR="00697BCD" w:rsidRDefault="00697BCD" w:rsidP="00624E11">
            <w:pPr>
              <w:pStyle w:val="Tabletext-right"/>
            </w:pPr>
            <w:r>
              <w:t>81%</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 (SA) </w:t>
            </w:r>
          </w:p>
        </w:tc>
        <w:tc>
          <w:tcPr>
            <w:tcW w:w="915" w:type="pct"/>
            <w:shd w:val="clear" w:color="auto" w:fill="auto"/>
          </w:tcPr>
          <w:p w:rsidR="00697BCD" w:rsidRDefault="00697BCD" w:rsidP="00624E11">
            <w:pPr>
              <w:pStyle w:val="Tabletext-right"/>
            </w:pPr>
            <w:r>
              <w:t>1.91</w:t>
            </w:r>
          </w:p>
        </w:tc>
        <w:tc>
          <w:tcPr>
            <w:tcW w:w="916" w:type="pct"/>
            <w:shd w:val="clear" w:color="auto" w:fill="auto"/>
          </w:tcPr>
          <w:p w:rsidR="00697BCD" w:rsidRDefault="00697BCD" w:rsidP="00624E11">
            <w:pPr>
              <w:pStyle w:val="Tabletext-right"/>
            </w:pPr>
            <w:r>
              <w:rPr>
                <w:rStyle w:val="Arialarrow"/>
              </w:rPr>
              <w:t>▲</w:t>
            </w:r>
            <w:r>
              <w:t>1.04</w:t>
            </w:r>
          </w:p>
        </w:tc>
        <w:tc>
          <w:tcPr>
            <w:tcW w:w="916" w:type="pct"/>
            <w:shd w:val="clear" w:color="auto" w:fill="auto"/>
          </w:tcPr>
          <w:p w:rsidR="00697BCD" w:rsidRDefault="00697BCD" w:rsidP="00624E11">
            <w:pPr>
              <w:pStyle w:val="Tabletext-right"/>
            </w:pPr>
            <w:r>
              <w:t>20%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 xml:space="preserve">M2 Energy </w:t>
            </w:r>
          </w:p>
        </w:tc>
        <w:tc>
          <w:tcPr>
            <w:tcW w:w="915" w:type="pct"/>
            <w:shd w:val="clear" w:color="auto" w:fill="auto"/>
          </w:tcPr>
          <w:p w:rsidR="00697BCD" w:rsidRDefault="00697BCD" w:rsidP="00624E11">
            <w:pPr>
              <w:pStyle w:val="Tabletext-right"/>
            </w:pPr>
            <w:r>
              <w:t>0.32</w:t>
            </w:r>
          </w:p>
        </w:tc>
        <w:tc>
          <w:tcPr>
            <w:tcW w:w="916" w:type="pct"/>
            <w:shd w:val="clear" w:color="auto" w:fill="auto"/>
          </w:tcPr>
          <w:p w:rsidR="00697BCD" w:rsidRDefault="00697BCD" w:rsidP="00624E11">
            <w:pPr>
              <w:pStyle w:val="Tabletext-right"/>
            </w:pPr>
            <w:r>
              <w:rPr>
                <w:rStyle w:val="Arialarrow"/>
              </w:rPr>
              <w:t>▲</w:t>
            </w:r>
            <w:r>
              <w:t>0.21</w:t>
            </w:r>
          </w:p>
        </w:tc>
        <w:tc>
          <w:tcPr>
            <w:tcW w:w="916" w:type="pct"/>
            <w:shd w:val="clear" w:color="auto" w:fill="auto"/>
          </w:tcPr>
          <w:p w:rsidR="00697BCD" w:rsidRDefault="00697BCD" w:rsidP="00624E11">
            <w:pPr>
              <w:pStyle w:val="Tabletext-right"/>
            </w:pPr>
            <w:r>
              <w:t>40%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lastRenderedPageBreak/>
              <w:t>Momentum Energy</w:t>
            </w:r>
          </w:p>
        </w:tc>
        <w:tc>
          <w:tcPr>
            <w:tcW w:w="915" w:type="pct"/>
            <w:shd w:val="clear" w:color="auto" w:fill="auto"/>
          </w:tcPr>
          <w:p w:rsidR="00697BCD" w:rsidRDefault="00697BCD" w:rsidP="00624E11">
            <w:pPr>
              <w:pStyle w:val="Tabletext-right"/>
            </w:pPr>
            <w:r>
              <w:t>1.56</w:t>
            </w:r>
          </w:p>
        </w:tc>
        <w:tc>
          <w:tcPr>
            <w:tcW w:w="916" w:type="pct"/>
            <w:shd w:val="clear" w:color="auto" w:fill="auto"/>
          </w:tcPr>
          <w:p w:rsidR="00697BCD" w:rsidRDefault="00697BCD" w:rsidP="00624E11">
            <w:pPr>
              <w:pStyle w:val="Tabletext-right"/>
            </w:pPr>
            <w:r>
              <w:rPr>
                <w:rStyle w:val="Arialarrow"/>
              </w:rPr>
              <w:t>▲</w:t>
            </w:r>
            <w:r>
              <w:t>0.41</w:t>
            </w:r>
          </w:p>
        </w:tc>
        <w:tc>
          <w:tcPr>
            <w:tcW w:w="916" w:type="pct"/>
            <w:shd w:val="clear" w:color="auto" w:fill="auto"/>
          </w:tcPr>
          <w:p w:rsidR="00697BCD" w:rsidRDefault="00697BCD" w:rsidP="00624E11">
            <w:pPr>
              <w:pStyle w:val="Tabletext-right"/>
            </w:pPr>
            <w:r>
              <w:t>48%</w:t>
            </w:r>
          </w:p>
        </w:tc>
        <w:tc>
          <w:tcPr>
            <w:tcW w:w="916" w:type="pct"/>
            <w:shd w:val="clear" w:color="auto" w:fill="auto"/>
          </w:tcPr>
          <w:p w:rsidR="00697BCD" w:rsidRDefault="00697BCD" w:rsidP="00624E11">
            <w:pPr>
              <w:pStyle w:val="Tabletext-right"/>
            </w:pPr>
            <w:r>
              <w:t>75%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 xml:space="preserve">Origin Energy </w:t>
            </w:r>
          </w:p>
        </w:tc>
        <w:tc>
          <w:tcPr>
            <w:tcW w:w="915" w:type="pct"/>
            <w:shd w:val="clear" w:color="auto" w:fill="auto"/>
          </w:tcPr>
          <w:p w:rsidR="00697BCD" w:rsidRDefault="00697BCD" w:rsidP="00624E11">
            <w:pPr>
              <w:pStyle w:val="Tabletext-right"/>
            </w:pPr>
            <w:r>
              <w:t>1.40</w:t>
            </w:r>
          </w:p>
        </w:tc>
        <w:tc>
          <w:tcPr>
            <w:tcW w:w="916" w:type="pct"/>
            <w:shd w:val="clear" w:color="auto" w:fill="auto"/>
          </w:tcPr>
          <w:p w:rsidR="00697BCD" w:rsidRDefault="00697BCD" w:rsidP="00624E11">
            <w:pPr>
              <w:pStyle w:val="Tabletext-right"/>
            </w:pPr>
            <w:r>
              <w:rPr>
                <w:rStyle w:val="Arialarrow"/>
              </w:rPr>
              <w:t>▼</w:t>
            </w:r>
            <w:r>
              <w:t>0.35</w:t>
            </w:r>
          </w:p>
        </w:tc>
        <w:tc>
          <w:tcPr>
            <w:tcW w:w="916" w:type="pct"/>
            <w:shd w:val="clear" w:color="auto" w:fill="auto"/>
          </w:tcPr>
          <w:p w:rsidR="00697BCD" w:rsidRDefault="00697BCD" w:rsidP="00624E11">
            <w:pPr>
              <w:pStyle w:val="Tabletext-right"/>
            </w:pPr>
            <w:r>
              <w:t>55%</w:t>
            </w:r>
          </w:p>
        </w:tc>
        <w:tc>
          <w:tcPr>
            <w:tcW w:w="916" w:type="pct"/>
            <w:shd w:val="clear" w:color="auto" w:fill="auto"/>
          </w:tcPr>
          <w:p w:rsidR="00697BCD" w:rsidRDefault="00697BCD" w:rsidP="00624E11">
            <w:pPr>
              <w:pStyle w:val="Tabletext-right"/>
            </w:pPr>
            <w:r>
              <w:t>89%</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Powerdirect</w:t>
            </w:r>
            <w:proofErr w:type="spellEnd"/>
            <w:r w:rsidRPr="00391B03">
              <w:t xml:space="preserve"> </w:t>
            </w:r>
          </w:p>
        </w:tc>
        <w:tc>
          <w:tcPr>
            <w:tcW w:w="915" w:type="pct"/>
            <w:shd w:val="clear" w:color="auto" w:fill="auto"/>
          </w:tcPr>
          <w:p w:rsidR="00697BCD" w:rsidRDefault="00697BCD" w:rsidP="00624E11">
            <w:pPr>
              <w:pStyle w:val="Tabletext-right"/>
            </w:pPr>
            <w:r>
              <w:t>1.24</w:t>
            </w:r>
          </w:p>
        </w:tc>
        <w:tc>
          <w:tcPr>
            <w:tcW w:w="916" w:type="pct"/>
            <w:shd w:val="clear" w:color="auto" w:fill="auto"/>
          </w:tcPr>
          <w:p w:rsidR="00697BCD" w:rsidRDefault="00697BCD" w:rsidP="00624E11">
            <w:pPr>
              <w:pStyle w:val="Tabletext-right"/>
            </w:pPr>
            <w:r>
              <w:rPr>
                <w:rStyle w:val="Arialarrow"/>
              </w:rPr>
              <w:t>▲</w:t>
            </w:r>
            <w:r>
              <w:t>0.43</w:t>
            </w:r>
          </w:p>
        </w:tc>
        <w:tc>
          <w:tcPr>
            <w:tcW w:w="916" w:type="pct"/>
            <w:shd w:val="clear" w:color="auto" w:fill="auto"/>
          </w:tcPr>
          <w:p w:rsidR="00697BCD" w:rsidRDefault="00697BCD" w:rsidP="00624E11">
            <w:pPr>
              <w:pStyle w:val="Tabletext-right"/>
            </w:pPr>
            <w:r>
              <w:t>41%</w:t>
            </w:r>
          </w:p>
        </w:tc>
        <w:tc>
          <w:tcPr>
            <w:tcW w:w="916" w:type="pct"/>
            <w:shd w:val="clear" w:color="auto" w:fill="auto"/>
          </w:tcPr>
          <w:p w:rsidR="00697BCD" w:rsidRDefault="00697BCD" w:rsidP="00624E11">
            <w:pPr>
              <w:pStyle w:val="Tabletext-right"/>
            </w:pPr>
            <w:r>
              <w:t>94%</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QEnergy</w:t>
            </w:r>
            <w:proofErr w:type="spellEnd"/>
            <w:r w:rsidRPr="00391B03">
              <w:t xml:space="preserve"> </w:t>
            </w:r>
          </w:p>
        </w:tc>
        <w:tc>
          <w:tcPr>
            <w:tcW w:w="915" w:type="pct"/>
            <w:shd w:val="clear" w:color="auto" w:fill="auto"/>
          </w:tcPr>
          <w:p w:rsidR="00697BCD" w:rsidRDefault="00697BCD" w:rsidP="00624E11">
            <w:pPr>
              <w:pStyle w:val="Tabletext-right"/>
            </w:pPr>
            <w:r>
              <w:t>0.81</w:t>
            </w:r>
          </w:p>
        </w:tc>
        <w:tc>
          <w:tcPr>
            <w:tcW w:w="916" w:type="pct"/>
            <w:shd w:val="clear" w:color="auto" w:fill="auto"/>
          </w:tcPr>
          <w:p w:rsidR="00697BCD" w:rsidRDefault="00697BCD" w:rsidP="00624E11">
            <w:pPr>
              <w:pStyle w:val="Tabletext-right"/>
            </w:pPr>
            <w:r>
              <w:rPr>
                <w:rStyle w:val="Arialarrow"/>
              </w:rPr>
              <w:t>▼</w:t>
            </w:r>
            <w:r>
              <w:t>5.81</w:t>
            </w:r>
          </w:p>
        </w:tc>
        <w:tc>
          <w:tcPr>
            <w:tcW w:w="916" w:type="pct"/>
            <w:shd w:val="clear" w:color="auto" w:fill="auto"/>
          </w:tcPr>
          <w:p w:rsidR="00697BCD" w:rsidRDefault="00697BCD" w:rsidP="00624E11">
            <w:pPr>
              <w:pStyle w:val="Tabletext-right"/>
            </w:pPr>
            <w:r>
              <w:t>0%</w:t>
            </w:r>
          </w:p>
        </w:tc>
        <w:tc>
          <w:tcPr>
            <w:tcW w:w="916" w:type="pct"/>
            <w:shd w:val="clear" w:color="auto" w:fill="auto"/>
          </w:tcPr>
          <w:p w:rsidR="00697BCD" w:rsidRDefault="00697BCD" w:rsidP="00624E11">
            <w:pPr>
              <w:pStyle w:val="Tabletext-right"/>
            </w:pPr>
            <w:r>
              <w:t>N/A</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 xml:space="preserve">Red Energy </w:t>
            </w:r>
          </w:p>
        </w:tc>
        <w:tc>
          <w:tcPr>
            <w:tcW w:w="915" w:type="pct"/>
            <w:shd w:val="clear" w:color="auto" w:fill="auto"/>
          </w:tcPr>
          <w:p w:rsidR="00697BCD" w:rsidRDefault="00697BCD" w:rsidP="00624E11">
            <w:pPr>
              <w:pStyle w:val="Tabletext-right"/>
            </w:pPr>
            <w:r>
              <w:t>1.61</w:t>
            </w:r>
          </w:p>
        </w:tc>
        <w:tc>
          <w:tcPr>
            <w:tcW w:w="916" w:type="pct"/>
            <w:shd w:val="clear" w:color="auto" w:fill="auto"/>
          </w:tcPr>
          <w:p w:rsidR="00697BCD" w:rsidRDefault="00697BCD" w:rsidP="00624E11">
            <w:pPr>
              <w:pStyle w:val="Tabletext-right"/>
            </w:pPr>
            <w:r>
              <w:rPr>
                <w:rStyle w:val="Arialarrow"/>
              </w:rPr>
              <w:t>▲</w:t>
            </w:r>
            <w:r>
              <w:t>0.53</w:t>
            </w:r>
          </w:p>
        </w:tc>
        <w:tc>
          <w:tcPr>
            <w:tcW w:w="916" w:type="pct"/>
            <w:shd w:val="clear" w:color="auto" w:fill="auto"/>
          </w:tcPr>
          <w:p w:rsidR="00697BCD" w:rsidRDefault="00697BCD" w:rsidP="00624E11">
            <w:pPr>
              <w:pStyle w:val="Tabletext-right"/>
            </w:pPr>
            <w:r>
              <w:t>20%</w:t>
            </w:r>
          </w:p>
        </w:tc>
        <w:tc>
          <w:tcPr>
            <w:tcW w:w="916" w:type="pct"/>
            <w:shd w:val="clear" w:color="auto" w:fill="auto"/>
          </w:tcPr>
          <w:p w:rsidR="00697BCD" w:rsidRDefault="00697BCD" w:rsidP="00624E11">
            <w:pPr>
              <w:pStyle w:val="Tabletext-right"/>
            </w:pPr>
            <w:r>
              <w:t>89%</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Simply Energy</w:t>
            </w:r>
          </w:p>
        </w:tc>
        <w:tc>
          <w:tcPr>
            <w:tcW w:w="915" w:type="pct"/>
            <w:shd w:val="clear" w:color="auto" w:fill="auto"/>
          </w:tcPr>
          <w:p w:rsidR="00697BCD" w:rsidRDefault="00697BCD" w:rsidP="00624E11">
            <w:pPr>
              <w:pStyle w:val="Tabletext-right"/>
            </w:pPr>
            <w:r>
              <w:t>1.61</w:t>
            </w:r>
          </w:p>
        </w:tc>
        <w:tc>
          <w:tcPr>
            <w:tcW w:w="916" w:type="pct"/>
            <w:shd w:val="clear" w:color="auto" w:fill="auto"/>
          </w:tcPr>
          <w:p w:rsidR="00697BCD" w:rsidRDefault="00697BCD" w:rsidP="00624E11">
            <w:pPr>
              <w:pStyle w:val="Tabletext-right"/>
            </w:pPr>
            <w:r>
              <w:rPr>
                <w:rStyle w:val="Arialarrow"/>
              </w:rPr>
              <w:t>▼</w:t>
            </w:r>
            <w:r>
              <w:t>0.78</w:t>
            </w:r>
          </w:p>
        </w:tc>
        <w:tc>
          <w:tcPr>
            <w:tcW w:w="916" w:type="pct"/>
            <w:shd w:val="clear" w:color="auto" w:fill="auto"/>
          </w:tcPr>
          <w:p w:rsidR="00697BCD" w:rsidRDefault="00697BCD" w:rsidP="00624E11">
            <w:pPr>
              <w:pStyle w:val="Tabletext-right"/>
            </w:pPr>
            <w:r>
              <w:t>57%</w:t>
            </w:r>
          </w:p>
        </w:tc>
        <w:tc>
          <w:tcPr>
            <w:tcW w:w="916" w:type="pct"/>
            <w:shd w:val="clear" w:color="auto" w:fill="auto"/>
          </w:tcPr>
          <w:p w:rsidR="00697BCD" w:rsidRDefault="00697BCD" w:rsidP="00624E11">
            <w:pPr>
              <w:pStyle w:val="Tabletext-right"/>
            </w:pPr>
            <w:r>
              <w:t>70%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SA</w:t>
            </w:r>
          </w:p>
        </w:tc>
        <w:tc>
          <w:tcPr>
            <w:tcW w:w="915" w:type="pct"/>
            <w:shd w:val="clear" w:color="auto" w:fill="auto"/>
          </w:tcPr>
          <w:p w:rsidR="00697BCD" w:rsidRDefault="00697BCD" w:rsidP="00624E11">
            <w:pPr>
              <w:pStyle w:val="Tabletext-right"/>
            </w:pPr>
            <w:r>
              <w:t>1.39</w:t>
            </w:r>
          </w:p>
        </w:tc>
        <w:tc>
          <w:tcPr>
            <w:tcW w:w="916" w:type="pct"/>
            <w:shd w:val="clear" w:color="auto" w:fill="auto"/>
          </w:tcPr>
          <w:p w:rsidR="00697BCD" w:rsidRDefault="00697BCD" w:rsidP="00624E11">
            <w:pPr>
              <w:pStyle w:val="Tabletext-right"/>
            </w:pPr>
            <w:r>
              <w:rPr>
                <w:rStyle w:val="Arialarrow"/>
              </w:rPr>
              <w:t>▲</w:t>
            </w:r>
            <w:r>
              <w:t>0.03</w:t>
            </w:r>
          </w:p>
        </w:tc>
        <w:tc>
          <w:tcPr>
            <w:tcW w:w="916" w:type="pct"/>
            <w:shd w:val="clear" w:color="auto" w:fill="auto"/>
          </w:tcPr>
          <w:p w:rsidR="00697BCD" w:rsidRDefault="00697BCD" w:rsidP="00624E11">
            <w:pPr>
              <w:pStyle w:val="Tabletext-right"/>
            </w:pPr>
            <w:r>
              <w:t>47%</w:t>
            </w:r>
          </w:p>
        </w:tc>
        <w:tc>
          <w:tcPr>
            <w:tcW w:w="916" w:type="pct"/>
            <w:shd w:val="clear" w:color="auto" w:fill="auto"/>
          </w:tcPr>
          <w:p w:rsidR="00697BCD" w:rsidRDefault="00697BCD" w:rsidP="00624E11">
            <w:pPr>
              <w:pStyle w:val="Tabletext-right"/>
            </w:pPr>
            <w:r>
              <w:t>87%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ACT</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ActewAGL</w:t>
            </w:r>
            <w:proofErr w:type="spellEnd"/>
          </w:p>
        </w:tc>
        <w:tc>
          <w:tcPr>
            <w:tcW w:w="915" w:type="pct"/>
            <w:shd w:val="clear" w:color="auto" w:fill="auto"/>
          </w:tcPr>
          <w:p w:rsidR="00697BCD" w:rsidRDefault="00697BCD" w:rsidP="00624E11">
            <w:pPr>
              <w:pStyle w:val="Tabletext-right"/>
            </w:pPr>
            <w:r>
              <w:t>0.19</w:t>
            </w:r>
          </w:p>
        </w:tc>
        <w:tc>
          <w:tcPr>
            <w:tcW w:w="916" w:type="pct"/>
            <w:shd w:val="clear" w:color="auto" w:fill="auto"/>
          </w:tcPr>
          <w:p w:rsidR="00697BCD" w:rsidRDefault="00697BCD" w:rsidP="00624E11">
            <w:pPr>
              <w:pStyle w:val="Tabletext-right"/>
            </w:pPr>
            <w:r>
              <w:rPr>
                <w:rStyle w:val="Arialarrow"/>
              </w:rPr>
              <w:t>▼</w:t>
            </w:r>
            <w:r>
              <w:t>0.03</w:t>
            </w:r>
          </w:p>
        </w:tc>
        <w:tc>
          <w:tcPr>
            <w:tcW w:w="916" w:type="pct"/>
            <w:shd w:val="clear" w:color="auto" w:fill="auto"/>
          </w:tcPr>
          <w:p w:rsidR="00697BCD" w:rsidRDefault="00697BCD" w:rsidP="00624E11">
            <w:pPr>
              <w:pStyle w:val="Tabletext-right"/>
            </w:pPr>
            <w:r>
              <w:t>64%</w:t>
            </w:r>
          </w:p>
        </w:tc>
        <w:tc>
          <w:tcPr>
            <w:tcW w:w="916" w:type="pct"/>
            <w:shd w:val="clear" w:color="auto" w:fill="auto"/>
          </w:tcPr>
          <w:p w:rsidR="00697BCD" w:rsidRDefault="00697BCD" w:rsidP="00624E11">
            <w:pPr>
              <w:pStyle w:val="Tabletext-right"/>
            </w:pPr>
            <w:r>
              <w:t>94%</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1.21</w:t>
            </w:r>
          </w:p>
        </w:tc>
        <w:tc>
          <w:tcPr>
            <w:tcW w:w="916" w:type="pct"/>
            <w:shd w:val="clear" w:color="auto" w:fill="auto"/>
          </w:tcPr>
          <w:p w:rsidR="00697BCD" w:rsidRDefault="00697BCD" w:rsidP="00624E11">
            <w:pPr>
              <w:pStyle w:val="Tabletext-right"/>
            </w:pPr>
            <w:r>
              <w:rPr>
                <w:rStyle w:val="Arialarrow"/>
              </w:rPr>
              <w:t>▲</w:t>
            </w:r>
            <w:r>
              <w:t>1.10</w:t>
            </w:r>
          </w:p>
        </w:tc>
        <w:tc>
          <w:tcPr>
            <w:tcW w:w="916" w:type="pct"/>
            <w:shd w:val="clear" w:color="auto" w:fill="auto"/>
          </w:tcPr>
          <w:p w:rsidR="00697BCD" w:rsidRDefault="00697BCD" w:rsidP="00624E11">
            <w:pPr>
              <w:pStyle w:val="Tabletext-right"/>
            </w:pPr>
            <w:r>
              <w:t>55%</w:t>
            </w:r>
          </w:p>
        </w:tc>
        <w:tc>
          <w:tcPr>
            <w:tcW w:w="916" w:type="pct"/>
            <w:shd w:val="clear" w:color="auto" w:fill="auto"/>
          </w:tcPr>
          <w:p w:rsidR="00697BCD" w:rsidRDefault="00697BCD" w:rsidP="00624E11">
            <w:pPr>
              <w:pStyle w:val="Tabletext-right"/>
            </w:pPr>
            <w:r>
              <w:t>67%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0.54</w:t>
            </w:r>
          </w:p>
        </w:tc>
        <w:tc>
          <w:tcPr>
            <w:tcW w:w="916" w:type="pct"/>
            <w:shd w:val="clear" w:color="auto" w:fill="auto"/>
          </w:tcPr>
          <w:p w:rsidR="00697BCD" w:rsidRDefault="00697BCD" w:rsidP="00624E11">
            <w:pPr>
              <w:pStyle w:val="Tabletext-right"/>
            </w:pPr>
            <w:r>
              <w:t>N/A</w:t>
            </w:r>
          </w:p>
        </w:tc>
        <w:tc>
          <w:tcPr>
            <w:tcW w:w="916" w:type="pct"/>
            <w:shd w:val="clear" w:color="auto" w:fill="auto"/>
          </w:tcPr>
          <w:p w:rsidR="00697BCD" w:rsidRDefault="00697BCD" w:rsidP="00624E11">
            <w:pPr>
              <w:pStyle w:val="Tabletext-right"/>
            </w:pPr>
            <w:r>
              <w:t>44%</w:t>
            </w:r>
          </w:p>
        </w:tc>
        <w:tc>
          <w:tcPr>
            <w:tcW w:w="916" w:type="pct"/>
            <w:shd w:val="clear" w:color="auto" w:fill="auto"/>
          </w:tcPr>
          <w:p w:rsidR="00697BCD" w:rsidRDefault="00697BCD" w:rsidP="00624E11">
            <w:pPr>
              <w:pStyle w:val="Tabletext-right"/>
            </w:pPr>
            <w:r>
              <w:t>44%</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ACT</w:t>
            </w:r>
          </w:p>
        </w:tc>
        <w:tc>
          <w:tcPr>
            <w:tcW w:w="915" w:type="pct"/>
            <w:shd w:val="clear" w:color="auto" w:fill="auto"/>
          </w:tcPr>
          <w:p w:rsidR="00697BCD" w:rsidRDefault="00697BCD" w:rsidP="00624E11">
            <w:pPr>
              <w:pStyle w:val="Tabletext-right"/>
            </w:pPr>
            <w:r>
              <w:t>0.24</w:t>
            </w:r>
          </w:p>
        </w:tc>
        <w:tc>
          <w:tcPr>
            <w:tcW w:w="916" w:type="pct"/>
            <w:shd w:val="clear" w:color="auto" w:fill="auto"/>
          </w:tcPr>
          <w:p w:rsidR="00697BCD" w:rsidRDefault="00697BCD" w:rsidP="00624E11">
            <w:pPr>
              <w:pStyle w:val="Tabletext-right"/>
            </w:pPr>
            <w:r>
              <w:rPr>
                <w:rStyle w:val="Arialarrow"/>
              </w:rPr>
              <w:t>▲</w:t>
            </w:r>
            <w:r>
              <w:t>0.03</w:t>
            </w:r>
          </w:p>
        </w:tc>
        <w:tc>
          <w:tcPr>
            <w:tcW w:w="916" w:type="pct"/>
            <w:shd w:val="clear" w:color="auto" w:fill="auto"/>
          </w:tcPr>
          <w:p w:rsidR="00697BCD" w:rsidRDefault="00697BCD" w:rsidP="00624E11">
            <w:pPr>
              <w:pStyle w:val="Tabletext-right"/>
            </w:pPr>
            <w:r>
              <w:t>61%</w:t>
            </w:r>
          </w:p>
        </w:tc>
        <w:tc>
          <w:tcPr>
            <w:tcW w:w="916" w:type="pct"/>
            <w:shd w:val="clear" w:color="auto" w:fill="auto"/>
          </w:tcPr>
          <w:p w:rsidR="00697BCD" w:rsidRDefault="00697BCD" w:rsidP="00624E11">
            <w:pPr>
              <w:pStyle w:val="Tabletext-right"/>
            </w:pPr>
            <w:r>
              <w:t>86%</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Tasmania</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Aurora</w:t>
            </w:r>
          </w:p>
        </w:tc>
        <w:tc>
          <w:tcPr>
            <w:tcW w:w="915" w:type="pct"/>
            <w:shd w:val="clear" w:color="auto" w:fill="auto"/>
          </w:tcPr>
          <w:p w:rsidR="00697BCD" w:rsidRDefault="00697BCD" w:rsidP="00624E11">
            <w:pPr>
              <w:pStyle w:val="Tabletext-right"/>
            </w:pPr>
            <w:r>
              <w:t>0.50</w:t>
            </w:r>
          </w:p>
        </w:tc>
        <w:tc>
          <w:tcPr>
            <w:tcW w:w="916" w:type="pct"/>
            <w:shd w:val="clear" w:color="auto" w:fill="auto"/>
          </w:tcPr>
          <w:p w:rsidR="00697BCD" w:rsidRDefault="00697BCD" w:rsidP="00624E11">
            <w:pPr>
              <w:pStyle w:val="Tabletext-right"/>
            </w:pPr>
            <w:r>
              <w:rPr>
                <w:rStyle w:val="Arialarrow"/>
              </w:rPr>
              <w:t>▲</w:t>
            </w:r>
            <w:r>
              <w:t>0.05</w:t>
            </w:r>
          </w:p>
        </w:tc>
        <w:tc>
          <w:tcPr>
            <w:tcW w:w="916" w:type="pct"/>
            <w:shd w:val="clear" w:color="auto" w:fill="auto"/>
          </w:tcPr>
          <w:p w:rsidR="00697BCD" w:rsidRDefault="00697BCD" w:rsidP="00624E11">
            <w:pPr>
              <w:pStyle w:val="Tabletext-right"/>
            </w:pPr>
            <w:r>
              <w:t>50%</w:t>
            </w:r>
          </w:p>
        </w:tc>
        <w:tc>
          <w:tcPr>
            <w:tcW w:w="916" w:type="pct"/>
            <w:shd w:val="clear" w:color="auto" w:fill="auto"/>
          </w:tcPr>
          <w:p w:rsidR="00697BCD" w:rsidRDefault="00697BCD" w:rsidP="00624E11">
            <w:pPr>
              <w:pStyle w:val="Tabletext-right"/>
            </w:pPr>
            <w:r>
              <w:t>90%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New South Wales</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1st Energy</w:t>
            </w:r>
          </w:p>
        </w:tc>
        <w:tc>
          <w:tcPr>
            <w:tcW w:w="915" w:type="pct"/>
            <w:shd w:val="clear" w:color="auto" w:fill="auto"/>
          </w:tcPr>
          <w:p w:rsidR="00697BCD" w:rsidRDefault="00697BCD" w:rsidP="00624E11">
            <w:pPr>
              <w:pStyle w:val="Tabletext-right"/>
            </w:pPr>
            <w:r>
              <w:t>0.07</w:t>
            </w:r>
          </w:p>
        </w:tc>
        <w:tc>
          <w:tcPr>
            <w:tcW w:w="916" w:type="pct"/>
            <w:shd w:val="clear" w:color="auto" w:fill="auto"/>
          </w:tcPr>
          <w:p w:rsidR="00697BCD" w:rsidRDefault="00697BCD" w:rsidP="00624E11">
            <w:pPr>
              <w:pStyle w:val="Tabletext-right"/>
            </w:pPr>
            <w:r>
              <w:t>N/A</w:t>
            </w:r>
          </w:p>
        </w:tc>
        <w:tc>
          <w:tcPr>
            <w:tcW w:w="916" w:type="pct"/>
            <w:shd w:val="clear" w:color="auto" w:fill="auto"/>
          </w:tcPr>
          <w:p w:rsidR="00697BCD" w:rsidRDefault="00697BCD" w:rsidP="00624E11">
            <w:pPr>
              <w:pStyle w:val="Tabletext-right"/>
            </w:pPr>
            <w:r>
              <w:t>33%</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ActewAGL</w:t>
            </w:r>
            <w:proofErr w:type="spellEnd"/>
          </w:p>
        </w:tc>
        <w:tc>
          <w:tcPr>
            <w:tcW w:w="915" w:type="pct"/>
            <w:shd w:val="clear" w:color="auto" w:fill="auto"/>
          </w:tcPr>
          <w:p w:rsidR="00697BCD" w:rsidRDefault="00697BCD" w:rsidP="00624E11">
            <w:pPr>
              <w:pStyle w:val="Tabletext-right"/>
            </w:pPr>
            <w:r>
              <w:t>0.52</w:t>
            </w:r>
          </w:p>
        </w:tc>
        <w:tc>
          <w:tcPr>
            <w:tcW w:w="916" w:type="pct"/>
            <w:shd w:val="clear" w:color="auto" w:fill="auto"/>
          </w:tcPr>
          <w:p w:rsidR="00697BCD" w:rsidRDefault="00697BCD" w:rsidP="00624E11">
            <w:pPr>
              <w:pStyle w:val="Tabletext-right"/>
            </w:pPr>
            <w:r>
              <w:rPr>
                <w:rStyle w:val="Arialarrow"/>
              </w:rPr>
              <w:t>▼</w:t>
            </w:r>
            <w:r>
              <w:t>0.01</w:t>
            </w:r>
          </w:p>
        </w:tc>
        <w:tc>
          <w:tcPr>
            <w:tcW w:w="916" w:type="pct"/>
            <w:shd w:val="clear" w:color="auto" w:fill="auto"/>
          </w:tcPr>
          <w:p w:rsidR="00697BCD" w:rsidRDefault="00697BCD" w:rsidP="00624E11">
            <w:pPr>
              <w:pStyle w:val="Tabletext-right"/>
            </w:pPr>
            <w:r>
              <w:t>36%</w:t>
            </w:r>
          </w:p>
        </w:tc>
        <w:tc>
          <w:tcPr>
            <w:tcW w:w="916" w:type="pct"/>
            <w:shd w:val="clear" w:color="auto" w:fill="auto"/>
          </w:tcPr>
          <w:p w:rsidR="00697BCD" w:rsidRDefault="00697BCD" w:rsidP="00624E11">
            <w:pPr>
              <w:pStyle w:val="Tabletext-right"/>
            </w:pPr>
            <w:r>
              <w:t>87%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AGL</w:t>
            </w:r>
          </w:p>
        </w:tc>
        <w:tc>
          <w:tcPr>
            <w:tcW w:w="915" w:type="pct"/>
            <w:shd w:val="clear" w:color="auto" w:fill="auto"/>
          </w:tcPr>
          <w:p w:rsidR="00697BCD" w:rsidRDefault="00697BCD" w:rsidP="00624E11">
            <w:pPr>
              <w:pStyle w:val="Tabletext-right"/>
            </w:pPr>
            <w:r>
              <w:t>1.36</w:t>
            </w:r>
          </w:p>
        </w:tc>
        <w:tc>
          <w:tcPr>
            <w:tcW w:w="916" w:type="pct"/>
            <w:shd w:val="clear" w:color="auto" w:fill="auto"/>
          </w:tcPr>
          <w:p w:rsidR="00697BCD" w:rsidRDefault="00697BCD" w:rsidP="00624E11">
            <w:pPr>
              <w:pStyle w:val="Tabletext-right"/>
            </w:pPr>
            <w:r>
              <w:rPr>
                <w:rStyle w:val="Arialarrow"/>
              </w:rPr>
              <w:t>▼</w:t>
            </w:r>
            <w:r>
              <w:t>0.45</w:t>
            </w:r>
          </w:p>
        </w:tc>
        <w:tc>
          <w:tcPr>
            <w:tcW w:w="916" w:type="pct"/>
            <w:shd w:val="clear" w:color="auto" w:fill="auto"/>
          </w:tcPr>
          <w:p w:rsidR="00697BCD" w:rsidRDefault="00697BCD" w:rsidP="00624E11">
            <w:pPr>
              <w:pStyle w:val="Tabletext-right"/>
            </w:pPr>
            <w:r>
              <w:t>38%</w:t>
            </w:r>
          </w:p>
        </w:tc>
        <w:tc>
          <w:tcPr>
            <w:tcW w:w="916" w:type="pct"/>
            <w:shd w:val="clear" w:color="auto" w:fill="auto"/>
          </w:tcPr>
          <w:p w:rsidR="00697BCD" w:rsidRDefault="00697BCD" w:rsidP="00624E11">
            <w:pPr>
              <w:pStyle w:val="Tabletext-right"/>
            </w:pPr>
            <w:r>
              <w:t>95%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Click Energy</w:t>
            </w:r>
          </w:p>
        </w:tc>
        <w:tc>
          <w:tcPr>
            <w:tcW w:w="915" w:type="pct"/>
            <w:shd w:val="clear" w:color="auto" w:fill="auto"/>
          </w:tcPr>
          <w:p w:rsidR="00697BCD" w:rsidRDefault="00697BCD" w:rsidP="00624E11">
            <w:pPr>
              <w:pStyle w:val="Tabletext-right"/>
            </w:pPr>
            <w:r>
              <w:t>0.23</w:t>
            </w:r>
          </w:p>
        </w:tc>
        <w:tc>
          <w:tcPr>
            <w:tcW w:w="916" w:type="pct"/>
            <w:shd w:val="clear" w:color="auto" w:fill="auto"/>
          </w:tcPr>
          <w:p w:rsidR="00697BCD" w:rsidRDefault="00697BCD" w:rsidP="00624E11">
            <w:pPr>
              <w:pStyle w:val="Tabletext-right"/>
            </w:pPr>
            <w:r>
              <w:rPr>
                <w:rStyle w:val="Arialarrow"/>
              </w:rPr>
              <w:t>▼</w:t>
            </w:r>
            <w:r>
              <w:t>0.55</w:t>
            </w:r>
          </w:p>
        </w:tc>
        <w:tc>
          <w:tcPr>
            <w:tcW w:w="916" w:type="pct"/>
            <w:shd w:val="clear" w:color="auto" w:fill="auto"/>
          </w:tcPr>
          <w:p w:rsidR="00697BCD" w:rsidRDefault="00697BCD" w:rsidP="00624E11">
            <w:pPr>
              <w:pStyle w:val="Tabletext-right"/>
            </w:pPr>
            <w:r>
              <w:t>28%</w:t>
            </w:r>
          </w:p>
        </w:tc>
        <w:tc>
          <w:tcPr>
            <w:tcW w:w="916" w:type="pct"/>
            <w:shd w:val="clear" w:color="auto" w:fill="auto"/>
          </w:tcPr>
          <w:p w:rsidR="00697BCD" w:rsidRDefault="00697BCD" w:rsidP="00624E11">
            <w:pPr>
              <w:pStyle w:val="Tabletext-right"/>
            </w:pPr>
            <w:r>
              <w:t>75%</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CovaU</w:t>
            </w:r>
            <w:proofErr w:type="spellEnd"/>
          </w:p>
        </w:tc>
        <w:tc>
          <w:tcPr>
            <w:tcW w:w="915" w:type="pct"/>
            <w:shd w:val="clear" w:color="auto" w:fill="auto"/>
          </w:tcPr>
          <w:p w:rsidR="00697BCD" w:rsidRDefault="00697BCD" w:rsidP="00624E11">
            <w:pPr>
              <w:pStyle w:val="Tabletext-right"/>
            </w:pPr>
            <w:r>
              <w:t>2.11</w:t>
            </w:r>
          </w:p>
        </w:tc>
        <w:tc>
          <w:tcPr>
            <w:tcW w:w="916" w:type="pct"/>
            <w:shd w:val="clear" w:color="auto" w:fill="auto"/>
          </w:tcPr>
          <w:p w:rsidR="00697BCD" w:rsidRDefault="00697BCD" w:rsidP="00624E11">
            <w:pPr>
              <w:pStyle w:val="Tabletext-right"/>
            </w:pPr>
            <w:r>
              <w:rPr>
                <w:rStyle w:val="Arialarrow"/>
              </w:rPr>
              <w:t>▲</w:t>
            </w:r>
            <w:r>
              <w:t>2.04</w:t>
            </w:r>
          </w:p>
        </w:tc>
        <w:tc>
          <w:tcPr>
            <w:tcW w:w="916" w:type="pct"/>
            <w:shd w:val="clear" w:color="auto" w:fill="auto"/>
          </w:tcPr>
          <w:p w:rsidR="00697BCD" w:rsidRDefault="00697BCD" w:rsidP="00624E11">
            <w:pPr>
              <w:pStyle w:val="Tabletext-right"/>
            </w:pPr>
            <w:r>
              <w:t>31%</w:t>
            </w:r>
          </w:p>
        </w:tc>
        <w:tc>
          <w:tcPr>
            <w:tcW w:w="916" w:type="pct"/>
            <w:shd w:val="clear" w:color="auto" w:fill="auto"/>
          </w:tcPr>
          <w:p w:rsidR="00697BCD" w:rsidRDefault="00697BCD" w:rsidP="00624E11">
            <w:pPr>
              <w:pStyle w:val="Tabletext-right"/>
            </w:pPr>
            <w:r>
              <w:t>81%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Diamond Energy</w:t>
            </w:r>
          </w:p>
        </w:tc>
        <w:tc>
          <w:tcPr>
            <w:tcW w:w="915" w:type="pct"/>
            <w:shd w:val="clear" w:color="auto" w:fill="auto"/>
          </w:tcPr>
          <w:p w:rsidR="00697BCD" w:rsidRDefault="00697BCD" w:rsidP="00624E11">
            <w:pPr>
              <w:pStyle w:val="Tabletext-right"/>
            </w:pPr>
            <w:r>
              <w:t>0.67</w:t>
            </w:r>
          </w:p>
        </w:tc>
        <w:tc>
          <w:tcPr>
            <w:tcW w:w="916" w:type="pct"/>
            <w:shd w:val="clear" w:color="auto" w:fill="auto"/>
          </w:tcPr>
          <w:p w:rsidR="00697BCD" w:rsidRDefault="00697BCD" w:rsidP="00624E11">
            <w:pPr>
              <w:pStyle w:val="Tabletext-right"/>
            </w:pPr>
            <w:r>
              <w:rPr>
                <w:rStyle w:val="Arialarrow"/>
              </w:rPr>
              <w:t>▲</w:t>
            </w:r>
            <w:r>
              <w:t>0.54</w:t>
            </w:r>
          </w:p>
        </w:tc>
        <w:tc>
          <w:tcPr>
            <w:tcW w:w="916" w:type="pct"/>
            <w:shd w:val="clear" w:color="auto" w:fill="auto"/>
          </w:tcPr>
          <w:p w:rsidR="00697BCD" w:rsidRDefault="00697BCD" w:rsidP="00624E11">
            <w:pPr>
              <w:pStyle w:val="Tabletext-right"/>
            </w:pPr>
            <w:r>
              <w:t>42%</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0.72</w:t>
            </w:r>
          </w:p>
        </w:tc>
        <w:tc>
          <w:tcPr>
            <w:tcW w:w="916" w:type="pct"/>
            <w:shd w:val="clear" w:color="auto" w:fill="auto"/>
          </w:tcPr>
          <w:p w:rsidR="00697BCD" w:rsidRDefault="00697BCD" w:rsidP="00624E11">
            <w:pPr>
              <w:pStyle w:val="Tabletext-right"/>
            </w:pPr>
            <w:r>
              <w:rPr>
                <w:rStyle w:val="Arialarrow"/>
              </w:rPr>
              <w:t>▲</w:t>
            </w:r>
            <w:r>
              <w:t>0.45</w:t>
            </w:r>
          </w:p>
        </w:tc>
        <w:tc>
          <w:tcPr>
            <w:tcW w:w="916" w:type="pct"/>
            <w:shd w:val="clear" w:color="auto" w:fill="auto"/>
          </w:tcPr>
          <w:p w:rsidR="00697BCD" w:rsidRDefault="00697BCD" w:rsidP="00624E11">
            <w:pPr>
              <w:pStyle w:val="Tabletext-right"/>
            </w:pPr>
            <w:r>
              <w:t>43%</w:t>
            </w:r>
          </w:p>
        </w:tc>
        <w:tc>
          <w:tcPr>
            <w:tcW w:w="916" w:type="pct"/>
            <w:shd w:val="clear" w:color="auto" w:fill="auto"/>
          </w:tcPr>
          <w:p w:rsidR="00697BCD" w:rsidRDefault="00697BCD" w:rsidP="00624E11">
            <w:pPr>
              <w:pStyle w:val="Tabletext-right"/>
            </w:pPr>
            <w:r>
              <w:t>89%</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915" w:type="pct"/>
            <w:shd w:val="clear" w:color="auto" w:fill="auto"/>
          </w:tcPr>
          <w:p w:rsidR="00697BCD" w:rsidRDefault="00697BCD" w:rsidP="00624E11">
            <w:pPr>
              <w:pStyle w:val="Tabletext-right"/>
            </w:pPr>
            <w:r>
              <w:t>3.18</w:t>
            </w:r>
          </w:p>
        </w:tc>
        <w:tc>
          <w:tcPr>
            <w:tcW w:w="916" w:type="pct"/>
            <w:shd w:val="clear" w:color="auto" w:fill="auto"/>
          </w:tcPr>
          <w:p w:rsidR="00697BCD" w:rsidRDefault="00697BCD" w:rsidP="00624E11">
            <w:pPr>
              <w:pStyle w:val="Tabletext-right"/>
            </w:pPr>
            <w:r>
              <w:rPr>
                <w:rStyle w:val="Arialarrow"/>
              </w:rPr>
              <w:t>▲</w:t>
            </w:r>
            <w:r>
              <w:t>2.00</w:t>
            </w:r>
          </w:p>
        </w:tc>
        <w:tc>
          <w:tcPr>
            <w:tcW w:w="916" w:type="pct"/>
            <w:shd w:val="clear" w:color="auto" w:fill="auto"/>
          </w:tcPr>
          <w:p w:rsidR="00697BCD" w:rsidRDefault="00697BCD" w:rsidP="00624E11">
            <w:pPr>
              <w:pStyle w:val="Tabletext-right"/>
            </w:pPr>
            <w:r>
              <w:t>22%</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M2 Energy</w:t>
            </w:r>
          </w:p>
        </w:tc>
        <w:tc>
          <w:tcPr>
            <w:tcW w:w="915" w:type="pct"/>
            <w:shd w:val="clear" w:color="auto" w:fill="auto"/>
          </w:tcPr>
          <w:p w:rsidR="00697BCD" w:rsidRDefault="00697BCD" w:rsidP="00624E11">
            <w:pPr>
              <w:pStyle w:val="Tabletext-right"/>
            </w:pPr>
            <w:r>
              <w:t>0.52</w:t>
            </w:r>
          </w:p>
        </w:tc>
        <w:tc>
          <w:tcPr>
            <w:tcW w:w="916" w:type="pct"/>
            <w:shd w:val="clear" w:color="auto" w:fill="auto"/>
          </w:tcPr>
          <w:p w:rsidR="00697BCD" w:rsidRDefault="00697BCD" w:rsidP="00624E11">
            <w:pPr>
              <w:pStyle w:val="Tabletext-right"/>
            </w:pPr>
            <w:r>
              <w:rPr>
                <w:rStyle w:val="Arialarrow"/>
              </w:rPr>
              <w:t>▼</w:t>
            </w:r>
            <w:r>
              <w:t>0.11</w:t>
            </w:r>
          </w:p>
        </w:tc>
        <w:tc>
          <w:tcPr>
            <w:tcW w:w="916" w:type="pct"/>
            <w:shd w:val="clear" w:color="auto" w:fill="auto"/>
          </w:tcPr>
          <w:p w:rsidR="00697BCD" w:rsidRDefault="00697BCD" w:rsidP="00624E11">
            <w:pPr>
              <w:pStyle w:val="Tabletext-right"/>
            </w:pPr>
            <w:r>
              <w:t>27%</w:t>
            </w:r>
          </w:p>
        </w:tc>
        <w:tc>
          <w:tcPr>
            <w:tcW w:w="916" w:type="pct"/>
            <w:shd w:val="clear" w:color="auto" w:fill="auto"/>
          </w:tcPr>
          <w:p w:rsidR="00697BCD" w:rsidRDefault="00697BCD" w:rsidP="00624E11">
            <w:pPr>
              <w:pStyle w:val="Tabletext-right"/>
            </w:pPr>
            <w:r>
              <w:t>88%</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Momentum Energy</w:t>
            </w:r>
          </w:p>
        </w:tc>
        <w:tc>
          <w:tcPr>
            <w:tcW w:w="915" w:type="pct"/>
            <w:shd w:val="clear" w:color="auto" w:fill="auto"/>
          </w:tcPr>
          <w:p w:rsidR="00697BCD" w:rsidRDefault="00697BCD" w:rsidP="00624E11">
            <w:pPr>
              <w:pStyle w:val="Tabletext-right"/>
            </w:pPr>
            <w:r>
              <w:t>2.31</w:t>
            </w:r>
          </w:p>
        </w:tc>
        <w:tc>
          <w:tcPr>
            <w:tcW w:w="916" w:type="pct"/>
            <w:shd w:val="clear" w:color="auto" w:fill="auto"/>
          </w:tcPr>
          <w:p w:rsidR="00697BCD" w:rsidRDefault="00697BCD" w:rsidP="00624E11">
            <w:pPr>
              <w:pStyle w:val="Tabletext-right"/>
            </w:pPr>
            <w:r>
              <w:rPr>
                <w:rStyle w:val="Arialarrow"/>
              </w:rPr>
              <w:t>▲</w:t>
            </w:r>
            <w:r>
              <w:t>1.18</w:t>
            </w:r>
          </w:p>
        </w:tc>
        <w:tc>
          <w:tcPr>
            <w:tcW w:w="916" w:type="pct"/>
            <w:shd w:val="clear" w:color="auto" w:fill="auto"/>
          </w:tcPr>
          <w:p w:rsidR="00697BCD" w:rsidRDefault="00697BCD" w:rsidP="00624E11">
            <w:pPr>
              <w:pStyle w:val="Tabletext-right"/>
            </w:pPr>
            <w:r>
              <w:t>40%</w:t>
            </w:r>
          </w:p>
        </w:tc>
        <w:tc>
          <w:tcPr>
            <w:tcW w:w="916" w:type="pct"/>
            <w:shd w:val="clear" w:color="auto" w:fill="auto"/>
          </w:tcPr>
          <w:p w:rsidR="00697BCD" w:rsidRDefault="00697BCD" w:rsidP="00624E11">
            <w:pPr>
              <w:pStyle w:val="Tabletext-right"/>
            </w:pPr>
            <w:r>
              <w:t>91%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Next Business Energy</w:t>
            </w:r>
          </w:p>
        </w:tc>
        <w:tc>
          <w:tcPr>
            <w:tcW w:w="915" w:type="pct"/>
            <w:shd w:val="clear" w:color="auto" w:fill="auto"/>
          </w:tcPr>
          <w:p w:rsidR="00697BCD" w:rsidRDefault="00697BCD" w:rsidP="00624E11">
            <w:pPr>
              <w:pStyle w:val="Tabletext-right"/>
            </w:pPr>
            <w:r>
              <w:t>0.59</w:t>
            </w:r>
          </w:p>
        </w:tc>
        <w:tc>
          <w:tcPr>
            <w:tcW w:w="916" w:type="pct"/>
            <w:shd w:val="clear" w:color="auto" w:fill="auto"/>
          </w:tcPr>
          <w:p w:rsidR="00697BCD" w:rsidRDefault="00697BCD" w:rsidP="00624E11">
            <w:pPr>
              <w:pStyle w:val="Tabletext-right"/>
            </w:pPr>
            <w:r>
              <w:t>N/A</w:t>
            </w:r>
          </w:p>
        </w:tc>
        <w:tc>
          <w:tcPr>
            <w:tcW w:w="916" w:type="pct"/>
            <w:shd w:val="clear" w:color="auto" w:fill="auto"/>
          </w:tcPr>
          <w:p w:rsidR="00697BCD" w:rsidRDefault="00697BCD" w:rsidP="00624E11">
            <w:pPr>
              <w:pStyle w:val="Tabletext-right"/>
            </w:pPr>
            <w:r>
              <w:t>100%</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0.89</w:t>
            </w:r>
          </w:p>
        </w:tc>
        <w:tc>
          <w:tcPr>
            <w:tcW w:w="916" w:type="pct"/>
            <w:shd w:val="clear" w:color="auto" w:fill="auto"/>
          </w:tcPr>
          <w:p w:rsidR="00697BCD" w:rsidRDefault="00697BCD" w:rsidP="00624E11">
            <w:pPr>
              <w:pStyle w:val="Tabletext-right"/>
            </w:pPr>
            <w:r>
              <w:rPr>
                <w:rStyle w:val="Arialarrow"/>
              </w:rPr>
              <w:t>▼</w:t>
            </w:r>
            <w:r>
              <w:t>0.31</w:t>
            </w:r>
          </w:p>
        </w:tc>
        <w:tc>
          <w:tcPr>
            <w:tcW w:w="916" w:type="pct"/>
            <w:shd w:val="clear" w:color="auto" w:fill="auto"/>
          </w:tcPr>
          <w:p w:rsidR="00697BCD" w:rsidRDefault="00697BCD" w:rsidP="00624E11">
            <w:pPr>
              <w:pStyle w:val="Tabletext-right"/>
            </w:pPr>
            <w:r>
              <w:t>55%</w:t>
            </w:r>
          </w:p>
        </w:tc>
        <w:tc>
          <w:tcPr>
            <w:tcW w:w="916" w:type="pct"/>
            <w:shd w:val="clear" w:color="auto" w:fill="auto"/>
          </w:tcPr>
          <w:p w:rsidR="00697BCD" w:rsidRDefault="00697BCD" w:rsidP="00624E11">
            <w:pPr>
              <w:pStyle w:val="Tabletext-right"/>
            </w:pPr>
            <w:r>
              <w:t>90%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Powerdirect</w:t>
            </w:r>
            <w:proofErr w:type="spellEnd"/>
          </w:p>
        </w:tc>
        <w:tc>
          <w:tcPr>
            <w:tcW w:w="915" w:type="pct"/>
            <w:shd w:val="clear" w:color="auto" w:fill="auto"/>
          </w:tcPr>
          <w:p w:rsidR="00697BCD" w:rsidRDefault="00697BCD" w:rsidP="00624E11">
            <w:pPr>
              <w:pStyle w:val="Tabletext-right"/>
            </w:pPr>
            <w:r>
              <w:t>2.22</w:t>
            </w:r>
          </w:p>
        </w:tc>
        <w:tc>
          <w:tcPr>
            <w:tcW w:w="916" w:type="pct"/>
            <w:shd w:val="clear" w:color="auto" w:fill="auto"/>
          </w:tcPr>
          <w:p w:rsidR="00697BCD" w:rsidRDefault="00697BCD" w:rsidP="00624E11">
            <w:pPr>
              <w:pStyle w:val="Tabletext-right"/>
            </w:pPr>
            <w:r>
              <w:rPr>
                <w:rStyle w:val="Arialarrow"/>
              </w:rPr>
              <w:t>▲</w:t>
            </w:r>
            <w:r>
              <w:t>1.26</w:t>
            </w:r>
          </w:p>
        </w:tc>
        <w:tc>
          <w:tcPr>
            <w:tcW w:w="916" w:type="pct"/>
            <w:shd w:val="clear" w:color="auto" w:fill="auto"/>
          </w:tcPr>
          <w:p w:rsidR="00697BCD" w:rsidRDefault="00697BCD" w:rsidP="00624E11">
            <w:pPr>
              <w:pStyle w:val="Tabletext-right"/>
            </w:pPr>
            <w:r>
              <w:t>35%</w:t>
            </w:r>
          </w:p>
        </w:tc>
        <w:tc>
          <w:tcPr>
            <w:tcW w:w="916" w:type="pct"/>
            <w:shd w:val="clear" w:color="auto" w:fill="auto"/>
          </w:tcPr>
          <w:p w:rsidR="00697BCD" w:rsidRDefault="00697BCD" w:rsidP="00624E11">
            <w:pPr>
              <w:pStyle w:val="Tabletext-right"/>
            </w:pPr>
            <w:r>
              <w:t>96%</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Powershop</w:t>
            </w:r>
          </w:p>
        </w:tc>
        <w:tc>
          <w:tcPr>
            <w:tcW w:w="915" w:type="pct"/>
            <w:shd w:val="clear" w:color="auto" w:fill="auto"/>
          </w:tcPr>
          <w:p w:rsidR="00697BCD" w:rsidRDefault="00697BCD" w:rsidP="00624E11">
            <w:pPr>
              <w:pStyle w:val="Tabletext-right"/>
            </w:pPr>
            <w:r>
              <w:t>0.08</w:t>
            </w:r>
          </w:p>
        </w:tc>
        <w:tc>
          <w:tcPr>
            <w:tcW w:w="916" w:type="pct"/>
            <w:shd w:val="clear" w:color="auto" w:fill="auto"/>
          </w:tcPr>
          <w:p w:rsidR="00697BCD" w:rsidRDefault="00697BCD" w:rsidP="00624E11">
            <w:pPr>
              <w:pStyle w:val="Tabletext-right"/>
            </w:pPr>
            <w:r>
              <w:t>N/A</w:t>
            </w:r>
          </w:p>
        </w:tc>
        <w:tc>
          <w:tcPr>
            <w:tcW w:w="916" w:type="pct"/>
            <w:shd w:val="clear" w:color="auto" w:fill="auto"/>
          </w:tcPr>
          <w:p w:rsidR="00697BCD" w:rsidRDefault="00697BCD" w:rsidP="00624E11">
            <w:pPr>
              <w:pStyle w:val="Tabletext-right"/>
            </w:pPr>
            <w:r>
              <w:t>22%</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QEnergy</w:t>
            </w:r>
            <w:proofErr w:type="spellEnd"/>
          </w:p>
        </w:tc>
        <w:tc>
          <w:tcPr>
            <w:tcW w:w="915" w:type="pct"/>
            <w:shd w:val="clear" w:color="auto" w:fill="auto"/>
          </w:tcPr>
          <w:p w:rsidR="00697BCD" w:rsidRDefault="00697BCD" w:rsidP="00624E11">
            <w:pPr>
              <w:pStyle w:val="Tabletext-right"/>
            </w:pPr>
            <w:r>
              <w:t>2.68</w:t>
            </w:r>
          </w:p>
        </w:tc>
        <w:tc>
          <w:tcPr>
            <w:tcW w:w="916" w:type="pct"/>
            <w:shd w:val="clear" w:color="auto" w:fill="auto"/>
          </w:tcPr>
          <w:p w:rsidR="00697BCD" w:rsidRDefault="00697BCD" w:rsidP="00624E11">
            <w:pPr>
              <w:pStyle w:val="Tabletext-right"/>
            </w:pPr>
            <w:r>
              <w:rPr>
                <w:rStyle w:val="Arialarrow"/>
              </w:rPr>
              <w:t>▼</w:t>
            </w:r>
            <w:r>
              <w:t>1.32</w:t>
            </w:r>
          </w:p>
        </w:tc>
        <w:tc>
          <w:tcPr>
            <w:tcW w:w="916" w:type="pct"/>
            <w:shd w:val="clear" w:color="auto" w:fill="auto"/>
          </w:tcPr>
          <w:p w:rsidR="00697BCD" w:rsidRDefault="00697BCD" w:rsidP="00624E11">
            <w:pPr>
              <w:pStyle w:val="Tabletext-right"/>
            </w:pPr>
            <w:r>
              <w:t>33%</w:t>
            </w:r>
          </w:p>
        </w:tc>
        <w:tc>
          <w:tcPr>
            <w:tcW w:w="916" w:type="pct"/>
            <w:shd w:val="clear" w:color="auto" w:fill="auto"/>
          </w:tcPr>
          <w:p w:rsidR="00697BCD" w:rsidRDefault="00697BCD" w:rsidP="00624E11">
            <w:pPr>
              <w:pStyle w:val="Tabletext-right"/>
            </w:pPr>
            <w:r>
              <w:t>75%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Red Energy</w:t>
            </w:r>
          </w:p>
        </w:tc>
        <w:tc>
          <w:tcPr>
            <w:tcW w:w="915" w:type="pct"/>
            <w:shd w:val="clear" w:color="auto" w:fill="auto"/>
          </w:tcPr>
          <w:p w:rsidR="00697BCD" w:rsidRDefault="00697BCD" w:rsidP="00624E11">
            <w:pPr>
              <w:pStyle w:val="Tabletext-right"/>
            </w:pPr>
            <w:r>
              <w:t>0.69</w:t>
            </w:r>
          </w:p>
        </w:tc>
        <w:tc>
          <w:tcPr>
            <w:tcW w:w="916" w:type="pct"/>
            <w:shd w:val="clear" w:color="auto" w:fill="auto"/>
          </w:tcPr>
          <w:p w:rsidR="00697BCD" w:rsidRDefault="00697BCD" w:rsidP="00624E11">
            <w:pPr>
              <w:pStyle w:val="Tabletext-right"/>
            </w:pPr>
            <w:r>
              <w:rPr>
                <w:rStyle w:val="Arialarrow"/>
              </w:rPr>
              <w:t>▲</w:t>
            </w:r>
            <w:r>
              <w:t>0.04</w:t>
            </w:r>
          </w:p>
        </w:tc>
        <w:tc>
          <w:tcPr>
            <w:tcW w:w="916" w:type="pct"/>
            <w:shd w:val="clear" w:color="auto" w:fill="auto"/>
          </w:tcPr>
          <w:p w:rsidR="00697BCD" w:rsidRDefault="00697BCD" w:rsidP="00624E11">
            <w:pPr>
              <w:pStyle w:val="Tabletext-right"/>
            </w:pPr>
            <w:r>
              <w:t>29%</w:t>
            </w:r>
          </w:p>
        </w:tc>
        <w:tc>
          <w:tcPr>
            <w:tcW w:w="916" w:type="pct"/>
            <w:shd w:val="clear" w:color="auto" w:fill="auto"/>
          </w:tcPr>
          <w:p w:rsidR="00697BCD" w:rsidRDefault="00697BCD" w:rsidP="00624E11">
            <w:pPr>
              <w:pStyle w:val="Tabletext-right"/>
            </w:pPr>
            <w:r>
              <w:t>71%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Sanctuary Energy</w:t>
            </w:r>
          </w:p>
        </w:tc>
        <w:tc>
          <w:tcPr>
            <w:tcW w:w="915" w:type="pct"/>
            <w:shd w:val="clear" w:color="auto" w:fill="auto"/>
          </w:tcPr>
          <w:p w:rsidR="00697BCD" w:rsidRDefault="00697BCD" w:rsidP="00624E11">
            <w:pPr>
              <w:pStyle w:val="Tabletext-right"/>
            </w:pPr>
            <w:r>
              <w:t>0.10</w:t>
            </w:r>
          </w:p>
        </w:tc>
        <w:tc>
          <w:tcPr>
            <w:tcW w:w="916" w:type="pct"/>
            <w:shd w:val="clear" w:color="auto" w:fill="auto"/>
          </w:tcPr>
          <w:p w:rsidR="00697BCD" w:rsidRDefault="00697BCD" w:rsidP="00624E11">
            <w:pPr>
              <w:pStyle w:val="Tabletext-right"/>
            </w:pPr>
            <w:r>
              <w:rPr>
                <w:rStyle w:val="Arialarrow"/>
              </w:rPr>
              <w:t>▼</w:t>
            </w:r>
            <w:r>
              <w:t>0.19</w:t>
            </w:r>
          </w:p>
        </w:tc>
        <w:tc>
          <w:tcPr>
            <w:tcW w:w="916" w:type="pct"/>
            <w:shd w:val="clear" w:color="auto" w:fill="auto"/>
          </w:tcPr>
          <w:p w:rsidR="00697BCD" w:rsidRDefault="00697BCD" w:rsidP="00624E11">
            <w:pPr>
              <w:pStyle w:val="Tabletext-right"/>
            </w:pPr>
            <w:r>
              <w:t>75%</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Simply Energy</w:t>
            </w:r>
          </w:p>
        </w:tc>
        <w:tc>
          <w:tcPr>
            <w:tcW w:w="915" w:type="pct"/>
            <w:shd w:val="clear" w:color="auto" w:fill="auto"/>
          </w:tcPr>
          <w:p w:rsidR="00697BCD" w:rsidRDefault="00697BCD" w:rsidP="00624E11">
            <w:pPr>
              <w:pStyle w:val="Tabletext-right"/>
            </w:pPr>
            <w:r>
              <w:t>4.50</w:t>
            </w:r>
          </w:p>
        </w:tc>
        <w:tc>
          <w:tcPr>
            <w:tcW w:w="916" w:type="pct"/>
            <w:shd w:val="clear" w:color="auto" w:fill="auto"/>
          </w:tcPr>
          <w:p w:rsidR="00697BCD" w:rsidRDefault="00697BCD" w:rsidP="00624E11">
            <w:pPr>
              <w:pStyle w:val="Tabletext-right"/>
            </w:pPr>
            <w:r>
              <w:rPr>
                <w:rStyle w:val="Arialarrow"/>
              </w:rPr>
              <w:t>▼</w:t>
            </w:r>
            <w:r>
              <w:t>1.78</w:t>
            </w:r>
          </w:p>
        </w:tc>
        <w:tc>
          <w:tcPr>
            <w:tcW w:w="916" w:type="pct"/>
            <w:shd w:val="clear" w:color="auto" w:fill="auto"/>
          </w:tcPr>
          <w:p w:rsidR="00697BCD" w:rsidRDefault="00697BCD" w:rsidP="00624E11">
            <w:pPr>
              <w:pStyle w:val="Tabletext-right"/>
            </w:pPr>
            <w:r>
              <w:t>48%</w:t>
            </w:r>
          </w:p>
        </w:tc>
        <w:tc>
          <w:tcPr>
            <w:tcW w:w="916" w:type="pct"/>
            <w:shd w:val="clear" w:color="auto" w:fill="auto"/>
          </w:tcPr>
          <w:p w:rsidR="00697BCD" w:rsidRDefault="00697BCD" w:rsidP="00624E11">
            <w:pPr>
              <w:pStyle w:val="Tabletext-right"/>
            </w:pPr>
            <w:r>
              <w:t>79%</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NSW</w:t>
            </w:r>
          </w:p>
        </w:tc>
        <w:tc>
          <w:tcPr>
            <w:tcW w:w="915" w:type="pct"/>
            <w:shd w:val="clear" w:color="auto" w:fill="auto"/>
          </w:tcPr>
          <w:p w:rsidR="00697BCD" w:rsidRDefault="00697BCD" w:rsidP="00624E11">
            <w:pPr>
              <w:pStyle w:val="Tabletext-right"/>
            </w:pPr>
            <w:r>
              <w:t>0.99</w:t>
            </w:r>
          </w:p>
        </w:tc>
        <w:tc>
          <w:tcPr>
            <w:tcW w:w="916" w:type="pct"/>
            <w:shd w:val="clear" w:color="auto" w:fill="auto"/>
          </w:tcPr>
          <w:p w:rsidR="00697BCD" w:rsidRDefault="00697BCD" w:rsidP="00624E11">
            <w:pPr>
              <w:pStyle w:val="Tabletext-right"/>
            </w:pPr>
            <w:r>
              <w:rPr>
                <w:rStyle w:val="Arialarrow"/>
              </w:rPr>
              <w:t>▼</w:t>
            </w:r>
            <w:r>
              <w:t>0.07</w:t>
            </w:r>
          </w:p>
        </w:tc>
        <w:tc>
          <w:tcPr>
            <w:tcW w:w="916" w:type="pct"/>
            <w:shd w:val="clear" w:color="auto" w:fill="auto"/>
          </w:tcPr>
          <w:p w:rsidR="00697BCD" w:rsidRDefault="00697BCD" w:rsidP="00624E11">
            <w:pPr>
              <w:pStyle w:val="Tabletext-right"/>
            </w:pPr>
            <w:r>
              <w:t>44%</w:t>
            </w:r>
          </w:p>
        </w:tc>
        <w:tc>
          <w:tcPr>
            <w:tcW w:w="916" w:type="pct"/>
            <w:shd w:val="clear" w:color="auto" w:fill="auto"/>
          </w:tcPr>
          <w:p w:rsidR="00697BCD" w:rsidRDefault="00697BCD" w:rsidP="00624E11">
            <w:pPr>
              <w:pStyle w:val="Tabletext-right"/>
            </w:pPr>
            <w:r>
              <w:t>90%</w:t>
            </w:r>
          </w:p>
        </w:tc>
      </w:tr>
    </w:tbl>
    <w:p w:rsidR="00697BCD" w:rsidRDefault="00697BCD"/>
    <w:p w:rsidR="00697BCD" w:rsidRDefault="00697BCD" w:rsidP="00697BCD">
      <w:pPr>
        <w:pStyle w:val="Tabletitle"/>
      </w:pPr>
      <w:r>
        <w:lastRenderedPageBreak/>
        <w:t>Table 2.11:</w:t>
      </w:r>
      <w:r>
        <w:tab/>
        <w:t>Residential gas customers disconnected and reconnected by retailers for non-payment in 2015–16</w:t>
      </w:r>
    </w:p>
    <w:tbl>
      <w:tblPr>
        <w:tblW w:w="5000" w:type="pct"/>
        <w:tblBorders>
          <w:top w:val="single" w:sz="4" w:space="0" w:color="BFBFBF"/>
          <w:bottom w:val="single" w:sz="4" w:space="0" w:color="BFBFBF"/>
        </w:tblBorders>
        <w:tblLook w:val="0000" w:firstRow="0" w:lastRow="0" w:firstColumn="0" w:lastColumn="0" w:noHBand="0" w:noVBand="0"/>
      </w:tblPr>
      <w:tblGrid>
        <w:gridCol w:w="2541"/>
        <w:gridCol w:w="1727"/>
        <w:gridCol w:w="1729"/>
        <w:gridCol w:w="1903"/>
        <w:gridCol w:w="1728"/>
      </w:tblGrid>
      <w:tr w:rsidR="00697BCD" w:rsidRPr="00391B03" w:rsidTr="00391B03">
        <w:trPr>
          <w:trHeight w:val="255"/>
        </w:trPr>
        <w:tc>
          <w:tcPr>
            <w:tcW w:w="1338" w:type="pct"/>
            <w:shd w:val="clear" w:color="auto" w:fill="auto"/>
          </w:tcPr>
          <w:p w:rsidR="00697BCD" w:rsidRPr="00391B03" w:rsidRDefault="00697BCD" w:rsidP="006B1E9F">
            <w:pPr>
              <w:pStyle w:val="TableHeading"/>
            </w:pPr>
            <w:r w:rsidRPr="00391B03">
              <w:t>Retailer</w:t>
            </w:r>
          </w:p>
        </w:tc>
        <w:tc>
          <w:tcPr>
            <w:tcW w:w="1831" w:type="pct"/>
            <w:gridSpan w:val="2"/>
            <w:shd w:val="clear" w:color="auto" w:fill="auto"/>
          </w:tcPr>
          <w:p w:rsidR="00697BCD" w:rsidRPr="00391B03" w:rsidRDefault="00697BCD" w:rsidP="006B1E9F">
            <w:pPr>
              <w:pStyle w:val="TableHeading"/>
            </w:pPr>
            <w:r w:rsidRPr="00391B03">
              <w:t>Disconnections (per 100)</w:t>
            </w:r>
          </w:p>
        </w:tc>
        <w:tc>
          <w:tcPr>
            <w:tcW w:w="916" w:type="pct"/>
            <w:shd w:val="clear" w:color="auto" w:fill="auto"/>
          </w:tcPr>
          <w:p w:rsidR="00697BCD" w:rsidRPr="00391B03" w:rsidRDefault="00697BCD" w:rsidP="006B1E9F">
            <w:pPr>
              <w:pStyle w:val="TableHeading"/>
            </w:pPr>
            <w:r w:rsidRPr="00391B03">
              <w:t>Reconnections (% of disconnections)</w:t>
            </w:r>
          </w:p>
        </w:tc>
        <w:tc>
          <w:tcPr>
            <w:tcW w:w="916" w:type="pct"/>
            <w:shd w:val="clear" w:color="auto" w:fill="auto"/>
          </w:tcPr>
          <w:p w:rsidR="00697BCD" w:rsidRPr="00391B03" w:rsidRDefault="00697BCD" w:rsidP="006B1E9F">
            <w:pPr>
              <w:pStyle w:val="TableHeading"/>
            </w:pPr>
            <w:r w:rsidRPr="00391B03">
              <w:t>% of reconnections within 7 days</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Queensland</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AGL</w:t>
            </w:r>
          </w:p>
        </w:tc>
        <w:tc>
          <w:tcPr>
            <w:tcW w:w="915" w:type="pct"/>
            <w:shd w:val="clear" w:color="auto" w:fill="auto"/>
          </w:tcPr>
          <w:p w:rsidR="00697BCD" w:rsidRDefault="00697BCD" w:rsidP="00624E11">
            <w:pPr>
              <w:pStyle w:val="Tabletext-right"/>
            </w:pPr>
            <w:r>
              <w:t>1.23</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31%</w:t>
            </w:r>
          </w:p>
        </w:tc>
        <w:tc>
          <w:tcPr>
            <w:tcW w:w="916" w:type="pct"/>
            <w:shd w:val="clear" w:color="auto" w:fill="auto"/>
          </w:tcPr>
          <w:p w:rsidR="00697BCD" w:rsidRDefault="00697BCD" w:rsidP="00624E11">
            <w:pPr>
              <w:pStyle w:val="Tabletext-right"/>
            </w:pPr>
            <w:r>
              <w:t>76%</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Metered Energy Holdings</w:t>
            </w:r>
          </w:p>
        </w:tc>
        <w:tc>
          <w:tcPr>
            <w:tcW w:w="915" w:type="pct"/>
            <w:shd w:val="clear" w:color="auto" w:fill="auto"/>
          </w:tcPr>
          <w:p w:rsidR="00697BCD" w:rsidRDefault="00697BCD" w:rsidP="00624E11">
            <w:pPr>
              <w:pStyle w:val="Tabletext-right"/>
            </w:pPr>
            <w:r>
              <w:t>0.14</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75%</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0.49</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36%</w:t>
            </w:r>
          </w:p>
        </w:tc>
        <w:tc>
          <w:tcPr>
            <w:tcW w:w="916" w:type="pct"/>
            <w:shd w:val="clear" w:color="auto" w:fill="auto"/>
          </w:tcPr>
          <w:p w:rsidR="00697BCD" w:rsidRDefault="00697BCD" w:rsidP="00624E11">
            <w:pPr>
              <w:pStyle w:val="Tabletext-right"/>
            </w:pPr>
            <w:r>
              <w:t>49%</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Qld</w:t>
            </w:r>
          </w:p>
        </w:tc>
        <w:tc>
          <w:tcPr>
            <w:tcW w:w="915" w:type="pct"/>
            <w:shd w:val="clear" w:color="auto" w:fill="auto"/>
          </w:tcPr>
          <w:p w:rsidR="00697BCD" w:rsidRDefault="00697BCD" w:rsidP="00624E11">
            <w:pPr>
              <w:pStyle w:val="Tabletext-right"/>
            </w:pPr>
            <w:r>
              <w:t>0.79</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33%</w:t>
            </w:r>
          </w:p>
        </w:tc>
        <w:tc>
          <w:tcPr>
            <w:tcW w:w="916" w:type="pct"/>
            <w:shd w:val="clear" w:color="auto" w:fill="auto"/>
          </w:tcPr>
          <w:p w:rsidR="00697BCD" w:rsidRDefault="00697BCD" w:rsidP="00624E11">
            <w:pPr>
              <w:pStyle w:val="Tabletext-right"/>
            </w:pPr>
            <w:r>
              <w:t>67%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South Australia</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AGL</w:t>
            </w:r>
          </w:p>
        </w:tc>
        <w:tc>
          <w:tcPr>
            <w:tcW w:w="915" w:type="pct"/>
            <w:shd w:val="clear" w:color="auto" w:fill="auto"/>
          </w:tcPr>
          <w:p w:rsidR="00697BCD" w:rsidRDefault="00697BCD" w:rsidP="00624E11">
            <w:pPr>
              <w:pStyle w:val="Tabletext-right"/>
            </w:pPr>
            <w:r>
              <w:t>0.98</w:t>
            </w:r>
          </w:p>
        </w:tc>
        <w:tc>
          <w:tcPr>
            <w:tcW w:w="916" w:type="pct"/>
            <w:shd w:val="clear" w:color="auto" w:fill="auto"/>
          </w:tcPr>
          <w:p w:rsidR="00697BCD" w:rsidRDefault="00697BCD" w:rsidP="00624E11">
            <w:pPr>
              <w:pStyle w:val="Tabletext-right"/>
            </w:pPr>
            <w:r>
              <w:rPr>
                <w:rStyle w:val="Arialarrow"/>
              </w:rPr>
              <w:t>▼</w:t>
            </w:r>
            <w:r>
              <w:t>0.29</w:t>
            </w:r>
          </w:p>
        </w:tc>
        <w:tc>
          <w:tcPr>
            <w:tcW w:w="916" w:type="pct"/>
            <w:shd w:val="clear" w:color="auto" w:fill="auto"/>
          </w:tcPr>
          <w:p w:rsidR="00697BCD" w:rsidRDefault="00697BCD" w:rsidP="00624E11">
            <w:pPr>
              <w:pStyle w:val="Tabletext-right"/>
            </w:pPr>
            <w:r>
              <w:t>40%</w:t>
            </w:r>
          </w:p>
        </w:tc>
        <w:tc>
          <w:tcPr>
            <w:tcW w:w="916" w:type="pct"/>
            <w:shd w:val="clear" w:color="auto" w:fill="auto"/>
          </w:tcPr>
          <w:p w:rsidR="00697BCD" w:rsidRDefault="00697BCD" w:rsidP="00624E11">
            <w:pPr>
              <w:pStyle w:val="Tabletext-right"/>
            </w:pPr>
            <w:r>
              <w:t>84%</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915" w:type="pct"/>
            <w:shd w:val="clear" w:color="auto" w:fill="auto"/>
          </w:tcPr>
          <w:p w:rsidR="00697BCD" w:rsidRDefault="00697BCD" w:rsidP="00624E11">
            <w:pPr>
              <w:pStyle w:val="Tabletext-right"/>
            </w:pPr>
            <w:r>
              <w:t>6.25</w:t>
            </w:r>
          </w:p>
        </w:tc>
        <w:tc>
          <w:tcPr>
            <w:tcW w:w="916" w:type="pct"/>
            <w:shd w:val="clear" w:color="auto" w:fill="auto"/>
          </w:tcPr>
          <w:p w:rsidR="00697BCD" w:rsidRDefault="00697BCD" w:rsidP="00624E11">
            <w:pPr>
              <w:pStyle w:val="Tabletext-right"/>
            </w:pPr>
            <w:r>
              <w:rPr>
                <w:rStyle w:val="Arialarrow"/>
              </w:rPr>
              <w:t>▲</w:t>
            </w:r>
            <w:r>
              <w:t>4.58</w:t>
            </w:r>
          </w:p>
        </w:tc>
        <w:tc>
          <w:tcPr>
            <w:tcW w:w="916" w:type="pct"/>
            <w:shd w:val="clear" w:color="auto" w:fill="auto"/>
          </w:tcPr>
          <w:p w:rsidR="00697BCD" w:rsidRDefault="00697BCD" w:rsidP="00624E11">
            <w:pPr>
              <w:pStyle w:val="Tabletext-right"/>
            </w:pPr>
            <w:r>
              <w:t>23%</w:t>
            </w:r>
          </w:p>
        </w:tc>
        <w:tc>
          <w:tcPr>
            <w:tcW w:w="916" w:type="pct"/>
            <w:shd w:val="clear" w:color="auto" w:fill="auto"/>
          </w:tcPr>
          <w:p w:rsidR="00697BCD" w:rsidRDefault="00697BCD" w:rsidP="00624E11">
            <w:pPr>
              <w:pStyle w:val="Tabletext-right"/>
            </w:pPr>
            <w:r>
              <w:t>71%</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1.36</w:t>
            </w:r>
          </w:p>
        </w:tc>
        <w:tc>
          <w:tcPr>
            <w:tcW w:w="916" w:type="pct"/>
            <w:shd w:val="clear" w:color="auto" w:fill="auto"/>
          </w:tcPr>
          <w:p w:rsidR="00697BCD" w:rsidRDefault="00697BCD" w:rsidP="00624E11">
            <w:pPr>
              <w:pStyle w:val="Tabletext-right"/>
            </w:pPr>
            <w:r>
              <w:rPr>
                <w:rStyle w:val="Arialarrow"/>
              </w:rPr>
              <w:t>▲</w:t>
            </w:r>
            <w:r>
              <w:t>0.93</w:t>
            </w:r>
          </w:p>
        </w:tc>
        <w:tc>
          <w:tcPr>
            <w:tcW w:w="916" w:type="pct"/>
            <w:shd w:val="clear" w:color="auto" w:fill="auto"/>
          </w:tcPr>
          <w:p w:rsidR="00697BCD" w:rsidRDefault="00697BCD" w:rsidP="00624E11">
            <w:pPr>
              <w:pStyle w:val="Tabletext-right"/>
            </w:pPr>
            <w:r>
              <w:t>50%</w:t>
            </w:r>
          </w:p>
        </w:tc>
        <w:tc>
          <w:tcPr>
            <w:tcW w:w="916" w:type="pct"/>
            <w:shd w:val="clear" w:color="auto" w:fill="auto"/>
          </w:tcPr>
          <w:p w:rsidR="00697BCD" w:rsidRDefault="00697BCD" w:rsidP="00624E11">
            <w:pPr>
              <w:pStyle w:val="Tabletext-right"/>
            </w:pPr>
            <w:r>
              <w:t>57%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0.80</w:t>
            </w:r>
          </w:p>
        </w:tc>
        <w:tc>
          <w:tcPr>
            <w:tcW w:w="916" w:type="pct"/>
            <w:shd w:val="clear" w:color="auto" w:fill="auto"/>
          </w:tcPr>
          <w:p w:rsidR="00697BCD" w:rsidRDefault="00697BCD" w:rsidP="00624E11">
            <w:pPr>
              <w:pStyle w:val="Tabletext-right"/>
            </w:pPr>
            <w:r>
              <w:rPr>
                <w:rStyle w:val="Arialarrow"/>
              </w:rPr>
              <w:t>▲</w:t>
            </w:r>
            <w:r>
              <w:t>0.12</w:t>
            </w:r>
          </w:p>
        </w:tc>
        <w:tc>
          <w:tcPr>
            <w:tcW w:w="916" w:type="pct"/>
            <w:shd w:val="clear" w:color="auto" w:fill="auto"/>
          </w:tcPr>
          <w:p w:rsidR="00697BCD" w:rsidRDefault="00697BCD" w:rsidP="00624E11">
            <w:pPr>
              <w:pStyle w:val="Tabletext-right"/>
            </w:pPr>
            <w:r>
              <w:t>49%</w:t>
            </w:r>
          </w:p>
        </w:tc>
        <w:tc>
          <w:tcPr>
            <w:tcW w:w="916" w:type="pct"/>
            <w:shd w:val="clear" w:color="auto" w:fill="auto"/>
          </w:tcPr>
          <w:p w:rsidR="00697BCD" w:rsidRDefault="00697BCD" w:rsidP="00624E11">
            <w:pPr>
              <w:pStyle w:val="Tabletext-right"/>
            </w:pPr>
            <w:r>
              <w:t>74%</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Simply Energy</w:t>
            </w:r>
          </w:p>
        </w:tc>
        <w:tc>
          <w:tcPr>
            <w:tcW w:w="915" w:type="pct"/>
            <w:shd w:val="clear" w:color="auto" w:fill="auto"/>
          </w:tcPr>
          <w:p w:rsidR="00697BCD" w:rsidRDefault="00697BCD" w:rsidP="00624E11">
            <w:pPr>
              <w:pStyle w:val="Tabletext-right"/>
            </w:pPr>
            <w:r>
              <w:t>1.64</w:t>
            </w:r>
          </w:p>
        </w:tc>
        <w:tc>
          <w:tcPr>
            <w:tcW w:w="916" w:type="pct"/>
            <w:shd w:val="clear" w:color="auto" w:fill="auto"/>
          </w:tcPr>
          <w:p w:rsidR="00697BCD" w:rsidRDefault="00697BCD" w:rsidP="00624E11">
            <w:pPr>
              <w:pStyle w:val="Tabletext-right"/>
            </w:pPr>
            <w:r>
              <w:rPr>
                <w:rStyle w:val="Arialarrow"/>
              </w:rPr>
              <w:t>▼</w:t>
            </w:r>
            <w:r>
              <w:t>0.98</w:t>
            </w:r>
          </w:p>
        </w:tc>
        <w:tc>
          <w:tcPr>
            <w:tcW w:w="916" w:type="pct"/>
            <w:shd w:val="clear" w:color="auto" w:fill="auto"/>
          </w:tcPr>
          <w:p w:rsidR="00697BCD" w:rsidRDefault="00697BCD" w:rsidP="00624E11">
            <w:pPr>
              <w:pStyle w:val="Tabletext-right"/>
            </w:pPr>
            <w:r>
              <w:t>34%</w:t>
            </w:r>
          </w:p>
        </w:tc>
        <w:tc>
          <w:tcPr>
            <w:tcW w:w="916" w:type="pct"/>
            <w:shd w:val="clear" w:color="auto" w:fill="auto"/>
          </w:tcPr>
          <w:p w:rsidR="00697BCD" w:rsidRDefault="00697BCD" w:rsidP="00624E11">
            <w:pPr>
              <w:pStyle w:val="Tabletext-right"/>
            </w:pPr>
            <w:r>
              <w:t>55%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SA</w:t>
            </w:r>
          </w:p>
        </w:tc>
        <w:tc>
          <w:tcPr>
            <w:tcW w:w="915" w:type="pct"/>
            <w:shd w:val="clear" w:color="auto" w:fill="auto"/>
          </w:tcPr>
          <w:p w:rsidR="00697BCD" w:rsidRDefault="00697BCD" w:rsidP="00624E11">
            <w:pPr>
              <w:pStyle w:val="Tabletext-right"/>
            </w:pPr>
            <w:r>
              <w:t>1.23</w:t>
            </w:r>
          </w:p>
        </w:tc>
        <w:tc>
          <w:tcPr>
            <w:tcW w:w="916" w:type="pct"/>
            <w:shd w:val="clear" w:color="auto" w:fill="auto"/>
          </w:tcPr>
          <w:p w:rsidR="00697BCD" w:rsidRDefault="00697BCD" w:rsidP="00624E11">
            <w:pPr>
              <w:pStyle w:val="Tabletext-right"/>
            </w:pPr>
            <w:r>
              <w:rPr>
                <w:rStyle w:val="Arialarrow"/>
              </w:rPr>
              <w:t>▲</w:t>
            </w:r>
            <w:r>
              <w:t>0.11</w:t>
            </w:r>
          </w:p>
        </w:tc>
        <w:tc>
          <w:tcPr>
            <w:tcW w:w="916" w:type="pct"/>
            <w:shd w:val="clear" w:color="auto" w:fill="auto"/>
          </w:tcPr>
          <w:p w:rsidR="00697BCD" w:rsidRDefault="00697BCD" w:rsidP="00624E11">
            <w:pPr>
              <w:pStyle w:val="Tabletext-right"/>
            </w:pPr>
            <w:r>
              <w:t>40%</w:t>
            </w:r>
          </w:p>
        </w:tc>
        <w:tc>
          <w:tcPr>
            <w:tcW w:w="916" w:type="pct"/>
            <w:shd w:val="clear" w:color="auto" w:fill="auto"/>
          </w:tcPr>
          <w:p w:rsidR="00697BCD" w:rsidRDefault="00697BCD" w:rsidP="00624E11">
            <w:pPr>
              <w:pStyle w:val="Tabletext-right"/>
            </w:pPr>
            <w:r>
              <w:t>71%</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ACT</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ActewAGL</w:t>
            </w:r>
            <w:proofErr w:type="spellEnd"/>
          </w:p>
        </w:tc>
        <w:tc>
          <w:tcPr>
            <w:tcW w:w="915" w:type="pct"/>
            <w:shd w:val="clear" w:color="auto" w:fill="auto"/>
          </w:tcPr>
          <w:p w:rsidR="00697BCD" w:rsidRDefault="00697BCD" w:rsidP="00624E11">
            <w:pPr>
              <w:pStyle w:val="Tabletext-right"/>
            </w:pPr>
            <w:r>
              <w:t>1.21</w:t>
            </w:r>
          </w:p>
        </w:tc>
        <w:tc>
          <w:tcPr>
            <w:tcW w:w="916" w:type="pct"/>
            <w:shd w:val="clear" w:color="auto" w:fill="auto"/>
          </w:tcPr>
          <w:p w:rsidR="00697BCD" w:rsidRDefault="00697BCD" w:rsidP="00624E11">
            <w:pPr>
              <w:pStyle w:val="Tabletext-right"/>
            </w:pPr>
            <w:r>
              <w:rPr>
                <w:rStyle w:val="Arialarrow"/>
              </w:rPr>
              <w:t>▼</w:t>
            </w:r>
            <w:r>
              <w:t>0.04</w:t>
            </w:r>
          </w:p>
        </w:tc>
        <w:tc>
          <w:tcPr>
            <w:tcW w:w="916" w:type="pct"/>
            <w:shd w:val="clear" w:color="auto" w:fill="auto"/>
          </w:tcPr>
          <w:p w:rsidR="00697BCD" w:rsidRDefault="00697BCD" w:rsidP="00624E11">
            <w:pPr>
              <w:pStyle w:val="Tabletext-right"/>
            </w:pPr>
            <w:r>
              <w:t>38%</w:t>
            </w:r>
          </w:p>
        </w:tc>
        <w:tc>
          <w:tcPr>
            <w:tcW w:w="916" w:type="pct"/>
            <w:shd w:val="clear" w:color="auto" w:fill="auto"/>
          </w:tcPr>
          <w:p w:rsidR="00697BCD" w:rsidRDefault="00697BCD" w:rsidP="00624E11">
            <w:pPr>
              <w:pStyle w:val="Tabletext-right"/>
            </w:pPr>
            <w:r>
              <w:t>73%</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1.48</w:t>
            </w:r>
          </w:p>
        </w:tc>
        <w:tc>
          <w:tcPr>
            <w:tcW w:w="916" w:type="pct"/>
            <w:shd w:val="clear" w:color="auto" w:fill="auto"/>
          </w:tcPr>
          <w:p w:rsidR="00697BCD" w:rsidRDefault="00697BCD" w:rsidP="00624E11">
            <w:pPr>
              <w:pStyle w:val="Tabletext-right"/>
            </w:pPr>
            <w:r>
              <w:rPr>
                <w:rStyle w:val="Arialarrow"/>
              </w:rPr>
              <w:t>▲</w:t>
            </w:r>
            <w:r>
              <w:t>0.79</w:t>
            </w:r>
          </w:p>
        </w:tc>
        <w:tc>
          <w:tcPr>
            <w:tcW w:w="916" w:type="pct"/>
            <w:shd w:val="clear" w:color="auto" w:fill="auto"/>
          </w:tcPr>
          <w:p w:rsidR="00697BCD" w:rsidRDefault="00697BCD" w:rsidP="00624E11">
            <w:pPr>
              <w:pStyle w:val="Tabletext-right"/>
            </w:pPr>
            <w:r>
              <w:t>37%</w:t>
            </w:r>
          </w:p>
        </w:tc>
        <w:tc>
          <w:tcPr>
            <w:tcW w:w="916" w:type="pct"/>
            <w:shd w:val="clear" w:color="auto" w:fill="auto"/>
          </w:tcPr>
          <w:p w:rsidR="00697BCD" w:rsidRDefault="00697BCD" w:rsidP="00624E11">
            <w:pPr>
              <w:pStyle w:val="Tabletext-right"/>
            </w:pPr>
            <w:r>
              <w:t>48%</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0.55</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29%</w:t>
            </w:r>
          </w:p>
        </w:tc>
        <w:tc>
          <w:tcPr>
            <w:tcW w:w="916" w:type="pct"/>
            <w:shd w:val="clear" w:color="auto" w:fill="auto"/>
          </w:tcPr>
          <w:p w:rsidR="00697BCD" w:rsidRDefault="00697BCD" w:rsidP="00624E11">
            <w:pPr>
              <w:pStyle w:val="Tabletext-right"/>
            </w:pPr>
            <w:r>
              <w:t>57%</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ACT</w:t>
            </w:r>
          </w:p>
        </w:tc>
        <w:tc>
          <w:tcPr>
            <w:tcW w:w="915" w:type="pct"/>
            <w:shd w:val="clear" w:color="auto" w:fill="auto"/>
          </w:tcPr>
          <w:p w:rsidR="00697BCD" w:rsidRDefault="00697BCD" w:rsidP="00624E11">
            <w:pPr>
              <w:pStyle w:val="Tabletext-right"/>
            </w:pPr>
            <w:r>
              <w:t>1.19</w:t>
            </w:r>
          </w:p>
        </w:tc>
        <w:tc>
          <w:tcPr>
            <w:tcW w:w="916" w:type="pct"/>
            <w:shd w:val="clear" w:color="auto" w:fill="auto"/>
          </w:tcPr>
          <w:p w:rsidR="00697BCD" w:rsidRDefault="00697BCD" w:rsidP="00624E11">
            <w:pPr>
              <w:pStyle w:val="Tabletext-right"/>
            </w:pPr>
            <w:r>
              <w:rPr>
                <w:rStyle w:val="Arialarrow"/>
              </w:rPr>
              <w:t>▼</w:t>
            </w:r>
            <w:r>
              <w:t>0.01</w:t>
            </w:r>
          </w:p>
        </w:tc>
        <w:tc>
          <w:tcPr>
            <w:tcW w:w="916" w:type="pct"/>
            <w:shd w:val="clear" w:color="auto" w:fill="auto"/>
          </w:tcPr>
          <w:p w:rsidR="00697BCD" w:rsidRDefault="00697BCD" w:rsidP="00624E11">
            <w:pPr>
              <w:pStyle w:val="Tabletext-right"/>
            </w:pPr>
            <w:r>
              <w:t>38%</w:t>
            </w:r>
          </w:p>
        </w:tc>
        <w:tc>
          <w:tcPr>
            <w:tcW w:w="916" w:type="pct"/>
            <w:shd w:val="clear" w:color="auto" w:fill="auto"/>
          </w:tcPr>
          <w:p w:rsidR="00697BCD" w:rsidRDefault="00697BCD" w:rsidP="00624E11">
            <w:pPr>
              <w:pStyle w:val="Tabletext-right"/>
            </w:pPr>
            <w:r>
              <w:t>72%</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New South Wales</w:t>
            </w:r>
          </w:p>
        </w:tc>
        <w:tc>
          <w:tcPr>
            <w:tcW w:w="91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ActewAGL</w:t>
            </w:r>
            <w:proofErr w:type="spellEnd"/>
          </w:p>
        </w:tc>
        <w:tc>
          <w:tcPr>
            <w:tcW w:w="915" w:type="pct"/>
            <w:shd w:val="clear" w:color="auto" w:fill="auto"/>
          </w:tcPr>
          <w:p w:rsidR="00697BCD" w:rsidRDefault="00697BCD" w:rsidP="00624E11">
            <w:pPr>
              <w:pStyle w:val="Tabletext-right"/>
            </w:pPr>
            <w:r>
              <w:t>2.16</w:t>
            </w:r>
          </w:p>
        </w:tc>
        <w:tc>
          <w:tcPr>
            <w:tcW w:w="916" w:type="pct"/>
            <w:shd w:val="clear" w:color="auto" w:fill="auto"/>
          </w:tcPr>
          <w:p w:rsidR="00697BCD" w:rsidRDefault="00697BCD" w:rsidP="00624E11">
            <w:pPr>
              <w:pStyle w:val="Tabletext-right"/>
            </w:pPr>
            <w:r>
              <w:rPr>
                <w:rStyle w:val="Arialarrow"/>
              </w:rPr>
              <w:t>▼</w:t>
            </w:r>
            <w:r>
              <w:t>0.32</w:t>
            </w:r>
          </w:p>
        </w:tc>
        <w:tc>
          <w:tcPr>
            <w:tcW w:w="916" w:type="pct"/>
            <w:shd w:val="clear" w:color="auto" w:fill="auto"/>
          </w:tcPr>
          <w:p w:rsidR="00697BCD" w:rsidRDefault="00697BCD" w:rsidP="00624E11">
            <w:pPr>
              <w:pStyle w:val="Tabletext-right"/>
            </w:pPr>
            <w:r>
              <w:t>28%</w:t>
            </w:r>
          </w:p>
        </w:tc>
        <w:tc>
          <w:tcPr>
            <w:tcW w:w="916" w:type="pct"/>
            <w:shd w:val="clear" w:color="auto" w:fill="auto"/>
          </w:tcPr>
          <w:p w:rsidR="00697BCD" w:rsidRDefault="00697BCD" w:rsidP="00624E11">
            <w:pPr>
              <w:pStyle w:val="Tabletext-right"/>
            </w:pPr>
            <w:r>
              <w:t>78%</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AGL</w:t>
            </w:r>
          </w:p>
        </w:tc>
        <w:tc>
          <w:tcPr>
            <w:tcW w:w="915" w:type="pct"/>
            <w:shd w:val="clear" w:color="auto" w:fill="auto"/>
          </w:tcPr>
          <w:p w:rsidR="00697BCD" w:rsidRDefault="00697BCD" w:rsidP="00624E11">
            <w:pPr>
              <w:pStyle w:val="Tabletext-right"/>
            </w:pPr>
            <w:r>
              <w:t>0.43</w:t>
            </w:r>
          </w:p>
        </w:tc>
        <w:tc>
          <w:tcPr>
            <w:tcW w:w="916" w:type="pct"/>
            <w:shd w:val="clear" w:color="auto" w:fill="auto"/>
          </w:tcPr>
          <w:p w:rsidR="00697BCD" w:rsidRDefault="00697BCD" w:rsidP="00624E11">
            <w:pPr>
              <w:pStyle w:val="Tabletext-right"/>
            </w:pPr>
            <w:r>
              <w:rPr>
                <w:rStyle w:val="Arialarrow"/>
              </w:rPr>
              <w:t>▼</w:t>
            </w:r>
            <w:r>
              <w:t>0.29</w:t>
            </w:r>
          </w:p>
        </w:tc>
        <w:tc>
          <w:tcPr>
            <w:tcW w:w="916" w:type="pct"/>
            <w:shd w:val="clear" w:color="auto" w:fill="auto"/>
          </w:tcPr>
          <w:p w:rsidR="00697BCD" w:rsidRDefault="00697BCD" w:rsidP="00624E11">
            <w:pPr>
              <w:pStyle w:val="Tabletext-right"/>
            </w:pPr>
            <w:r>
              <w:t>25%</w:t>
            </w:r>
          </w:p>
        </w:tc>
        <w:tc>
          <w:tcPr>
            <w:tcW w:w="916" w:type="pct"/>
            <w:shd w:val="clear" w:color="auto" w:fill="auto"/>
          </w:tcPr>
          <w:p w:rsidR="00697BCD" w:rsidRDefault="00697BCD" w:rsidP="00624E11">
            <w:pPr>
              <w:pStyle w:val="Tabletext-right"/>
            </w:pPr>
            <w:r>
              <w:t>81%</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CovaU</w:t>
            </w:r>
            <w:proofErr w:type="spellEnd"/>
          </w:p>
        </w:tc>
        <w:tc>
          <w:tcPr>
            <w:tcW w:w="915" w:type="pct"/>
            <w:shd w:val="clear" w:color="auto" w:fill="auto"/>
          </w:tcPr>
          <w:p w:rsidR="00697BCD" w:rsidRDefault="00697BCD" w:rsidP="00624E11">
            <w:pPr>
              <w:pStyle w:val="Tabletext-right"/>
            </w:pPr>
            <w:r>
              <w:t>0.80</w:t>
            </w:r>
          </w:p>
        </w:tc>
        <w:tc>
          <w:tcPr>
            <w:tcW w:w="916"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16" w:type="pct"/>
            <w:shd w:val="clear" w:color="auto" w:fill="auto"/>
          </w:tcPr>
          <w:p w:rsidR="00697BCD" w:rsidRDefault="00697BCD" w:rsidP="00624E11">
            <w:pPr>
              <w:pStyle w:val="Tabletext-right"/>
            </w:pPr>
            <w:r>
              <w:t>33%</w:t>
            </w:r>
          </w:p>
        </w:tc>
        <w:tc>
          <w:tcPr>
            <w:tcW w:w="916" w:type="pct"/>
            <w:shd w:val="clear" w:color="auto" w:fill="auto"/>
          </w:tcPr>
          <w:p w:rsidR="00697BCD" w:rsidRDefault="00697BCD" w:rsidP="00624E11">
            <w:pPr>
              <w:pStyle w:val="Tabletext-right"/>
            </w:pPr>
            <w:r>
              <w:t>100%</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EnergyAustralia</w:t>
            </w:r>
            <w:proofErr w:type="spellEnd"/>
          </w:p>
        </w:tc>
        <w:tc>
          <w:tcPr>
            <w:tcW w:w="915" w:type="pct"/>
            <w:shd w:val="clear" w:color="auto" w:fill="auto"/>
          </w:tcPr>
          <w:p w:rsidR="00697BCD" w:rsidRDefault="00697BCD" w:rsidP="00624E11">
            <w:pPr>
              <w:pStyle w:val="Tabletext-right"/>
            </w:pPr>
            <w:r>
              <w:t>0.56</w:t>
            </w:r>
          </w:p>
        </w:tc>
        <w:tc>
          <w:tcPr>
            <w:tcW w:w="916" w:type="pct"/>
            <w:shd w:val="clear" w:color="auto" w:fill="auto"/>
          </w:tcPr>
          <w:p w:rsidR="00697BCD" w:rsidRDefault="00697BCD" w:rsidP="00624E11">
            <w:pPr>
              <w:pStyle w:val="Tabletext-right"/>
            </w:pPr>
            <w:r>
              <w:rPr>
                <w:rStyle w:val="Arialarrow"/>
              </w:rPr>
              <w:t>▲</w:t>
            </w:r>
            <w:r>
              <w:t>0.42</w:t>
            </w:r>
          </w:p>
        </w:tc>
        <w:tc>
          <w:tcPr>
            <w:tcW w:w="916" w:type="pct"/>
            <w:shd w:val="clear" w:color="auto" w:fill="auto"/>
          </w:tcPr>
          <w:p w:rsidR="00697BCD" w:rsidRDefault="00697BCD" w:rsidP="00624E11">
            <w:pPr>
              <w:pStyle w:val="Tabletext-right"/>
            </w:pPr>
            <w:r>
              <w:t>23%</w:t>
            </w:r>
          </w:p>
        </w:tc>
        <w:tc>
          <w:tcPr>
            <w:tcW w:w="916" w:type="pct"/>
            <w:shd w:val="clear" w:color="auto" w:fill="auto"/>
          </w:tcPr>
          <w:p w:rsidR="00697BCD" w:rsidRDefault="00697BCD" w:rsidP="00624E11">
            <w:pPr>
              <w:pStyle w:val="Tabletext-right"/>
            </w:pPr>
            <w:r>
              <w:t>64%</w:t>
            </w:r>
          </w:p>
        </w:tc>
      </w:tr>
      <w:tr w:rsidR="00697BCD" w:rsidRPr="00391B03" w:rsidTr="00391B03">
        <w:trPr>
          <w:trHeight w:val="255"/>
        </w:trPr>
        <w:tc>
          <w:tcPr>
            <w:tcW w:w="1338" w:type="pct"/>
            <w:shd w:val="clear" w:color="auto" w:fill="auto"/>
          </w:tcPr>
          <w:p w:rsidR="00697BCD" w:rsidRPr="00391B03" w:rsidRDefault="00697BCD" w:rsidP="00624E11">
            <w:pPr>
              <w:pStyle w:val="Tabletext"/>
            </w:pPr>
            <w:proofErr w:type="spellStart"/>
            <w:r w:rsidRPr="00391B03">
              <w:t>Lumo</w:t>
            </w:r>
            <w:proofErr w:type="spellEnd"/>
          </w:p>
        </w:tc>
        <w:tc>
          <w:tcPr>
            <w:tcW w:w="915" w:type="pct"/>
            <w:shd w:val="clear" w:color="auto" w:fill="auto"/>
          </w:tcPr>
          <w:p w:rsidR="00697BCD" w:rsidRDefault="00697BCD" w:rsidP="00624E11">
            <w:pPr>
              <w:pStyle w:val="Tabletext-right"/>
            </w:pPr>
            <w:r>
              <w:t>1.34</w:t>
            </w:r>
          </w:p>
        </w:tc>
        <w:tc>
          <w:tcPr>
            <w:tcW w:w="916" w:type="pct"/>
            <w:shd w:val="clear" w:color="auto" w:fill="auto"/>
          </w:tcPr>
          <w:p w:rsidR="00697BCD" w:rsidRDefault="00697BCD" w:rsidP="00624E11">
            <w:pPr>
              <w:pStyle w:val="Tabletext-right"/>
            </w:pPr>
            <w:r>
              <w:rPr>
                <w:rStyle w:val="Arialarrow"/>
              </w:rPr>
              <w:t>▲</w:t>
            </w:r>
            <w:r>
              <w:t>1.25</w:t>
            </w:r>
          </w:p>
        </w:tc>
        <w:tc>
          <w:tcPr>
            <w:tcW w:w="916" w:type="pct"/>
            <w:shd w:val="clear" w:color="auto" w:fill="auto"/>
          </w:tcPr>
          <w:p w:rsidR="00697BCD" w:rsidRDefault="00697BCD" w:rsidP="00624E11">
            <w:pPr>
              <w:pStyle w:val="Tabletext-right"/>
            </w:pPr>
            <w:r>
              <w:t>11%</w:t>
            </w:r>
          </w:p>
        </w:tc>
        <w:tc>
          <w:tcPr>
            <w:tcW w:w="916" w:type="pct"/>
            <w:shd w:val="clear" w:color="auto" w:fill="auto"/>
          </w:tcPr>
          <w:p w:rsidR="00697BCD" w:rsidRDefault="00697BCD" w:rsidP="00624E11">
            <w:pPr>
              <w:pStyle w:val="Tabletext-right"/>
            </w:pPr>
            <w:r>
              <w:t>60%</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Origin Energy</w:t>
            </w:r>
          </w:p>
        </w:tc>
        <w:tc>
          <w:tcPr>
            <w:tcW w:w="915" w:type="pct"/>
            <w:shd w:val="clear" w:color="auto" w:fill="auto"/>
          </w:tcPr>
          <w:p w:rsidR="00697BCD" w:rsidRDefault="00697BCD" w:rsidP="00624E11">
            <w:pPr>
              <w:pStyle w:val="Tabletext-right"/>
            </w:pPr>
            <w:r>
              <w:t>0.49</w:t>
            </w:r>
          </w:p>
        </w:tc>
        <w:tc>
          <w:tcPr>
            <w:tcW w:w="916" w:type="pct"/>
            <w:shd w:val="clear" w:color="auto" w:fill="auto"/>
          </w:tcPr>
          <w:p w:rsidR="00697BCD" w:rsidRDefault="00697BCD" w:rsidP="00624E11">
            <w:pPr>
              <w:pStyle w:val="Tabletext-right"/>
            </w:pPr>
            <w:r>
              <w:rPr>
                <w:rStyle w:val="Arialarrow"/>
              </w:rPr>
              <w:t>▼</w:t>
            </w:r>
            <w:r>
              <w:t>0.26</w:t>
            </w:r>
          </w:p>
        </w:tc>
        <w:tc>
          <w:tcPr>
            <w:tcW w:w="916" w:type="pct"/>
            <w:shd w:val="clear" w:color="auto" w:fill="auto"/>
          </w:tcPr>
          <w:p w:rsidR="00697BCD" w:rsidRDefault="00697BCD" w:rsidP="00624E11">
            <w:pPr>
              <w:pStyle w:val="Tabletext-right"/>
            </w:pPr>
            <w:r>
              <w:t>27%</w:t>
            </w:r>
          </w:p>
        </w:tc>
        <w:tc>
          <w:tcPr>
            <w:tcW w:w="916" w:type="pct"/>
            <w:shd w:val="clear" w:color="auto" w:fill="auto"/>
          </w:tcPr>
          <w:p w:rsidR="00697BCD" w:rsidRDefault="00697BCD" w:rsidP="00624E11">
            <w:pPr>
              <w:pStyle w:val="Tabletext-right"/>
            </w:pPr>
            <w:r>
              <w:t>65%</w:t>
            </w:r>
          </w:p>
        </w:tc>
      </w:tr>
      <w:tr w:rsidR="00697BCD" w:rsidRPr="00391B03" w:rsidTr="00391B03">
        <w:trPr>
          <w:trHeight w:val="255"/>
        </w:trPr>
        <w:tc>
          <w:tcPr>
            <w:tcW w:w="1338" w:type="pct"/>
            <w:shd w:val="clear" w:color="auto" w:fill="auto"/>
          </w:tcPr>
          <w:p w:rsidR="00697BCD" w:rsidRPr="00391B03" w:rsidRDefault="00697BCD" w:rsidP="00624E11">
            <w:pPr>
              <w:pStyle w:val="Tabletext"/>
            </w:pPr>
            <w:r w:rsidRPr="00391B03">
              <w:t>Total NSW</w:t>
            </w:r>
          </w:p>
        </w:tc>
        <w:tc>
          <w:tcPr>
            <w:tcW w:w="915" w:type="pct"/>
            <w:shd w:val="clear" w:color="auto" w:fill="auto"/>
          </w:tcPr>
          <w:p w:rsidR="00697BCD" w:rsidRDefault="00697BCD" w:rsidP="00624E11">
            <w:pPr>
              <w:pStyle w:val="Tabletext-right"/>
            </w:pPr>
            <w:r>
              <w:t>0.51</w:t>
            </w:r>
          </w:p>
        </w:tc>
        <w:tc>
          <w:tcPr>
            <w:tcW w:w="916" w:type="pct"/>
            <w:shd w:val="clear" w:color="auto" w:fill="auto"/>
          </w:tcPr>
          <w:p w:rsidR="00697BCD" w:rsidRDefault="00697BCD" w:rsidP="00624E11">
            <w:pPr>
              <w:pStyle w:val="Tabletext-right"/>
            </w:pPr>
            <w:r>
              <w:rPr>
                <w:rStyle w:val="Arialarrow"/>
              </w:rPr>
              <w:t>▼</w:t>
            </w:r>
            <w:r>
              <w:t>0.11</w:t>
            </w:r>
          </w:p>
        </w:tc>
        <w:tc>
          <w:tcPr>
            <w:tcW w:w="916" w:type="pct"/>
            <w:shd w:val="clear" w:color="auto" w:fill="auto"/>
          </w:tcPr>
          <w:p w:rsidR="00697BCD" w:rsidRDefault="00697BCD" w:rsidP="00624E11">
            <w:pPr>
              <w:pStyle w:val="Tabletext-right"/>
            </w:pPr>
            <w:r>
              <w:t>25%</w:t>
            </w:r>
          </w:p>
        </w:tc>
        <w:tc>
          <w:tcPr>
            <w:tcW w:w="916" w:type="pct"/>
            <w:shd w:val="clear" w:color="auto" w:fill="auto"/>
          </w:tcPr>
          <w:p w:rsidR="00697BCD" w:rsidRDefault="00697BCD" w:rsidP="00624E11">
            <w:pPr>
              <w:pStyle w:val="Tabletext-right"/>
            </w:pPr>
            <w:r>
              <w:t>73%</w:t>
            </w:r>
          </w:p>
        </w:tc>
      </w:tr>
    </w:tbl>
    <w:p w:rsidR="00697BCD" w:rsidRDefault="00697BCD"/>
    <w:p w:rsidR="00697BCD" w:rsidRDefault="00697BCD" w:rsidP="00697BCD">
      <w:proofErr w:type="gramStart"/>
      <w:r>
        <w:t>Tables 2.12 and 2.13 show the number of residential electricity and gas disconnections in each jurisdiction since 2009–10.</w:t>
      </w:r>
      <w:proofErr w:type="gramEnd"/>
      <w:r>
        <w:t xml:space="preserve"> </w:t>
      </w:r>
    </w:p>
    <w:p w:rsidR="00697BCD" w:rsidRDefault="00697BCD" w:rsidP="00697BCD">
      <w:r>
        <w:t>Electricity disconnections in New South Wales decreased slightly for the second consecutive year to around 30 000. For the fourth successive year, over 10 000 electricity customers were disconnected for non-payment of electricity bills in South Australia.</w:t>
      </w:r>
    </w:p>
    <w:p w:rsidR="00697BCD" w:rsidRDefault="00697BCD" w:rsidP="00697BCD">
      <w:r>
        <w:lastRenderedPageBreak/>
        <w:t>Despite the increase in gas disconnections in New South Wales, the number of customers disconnected was well below the peak in 2011–12. Gas disconnections in South Australia have reached their highest ever level.</w:t>
      </w:r>
    </w:p>
    <w:p w:rsidR="00697BCD" w:rsidRDefault="00697BCD" w:rsidP="00697BCD">
      <w:pPr>
        <w:pStyle w:val="Tabletitle"/>
      </w:pPr>
      <w:r>
        <w:t>Table 2.12:</w:t>
      </w:r>
      <w:r>
        <w:tab/>
        <w:t>Residential electricity disconnections for non-payment, 2009–10 to 2015–16</w:t>
      </w:r>
    </w:p>
    <w:tbl>
      <w:tblPr>
        <w:tblW w:w="5000" w:type="pct"/>
        <w:tblBorders>
          <w:top w:val="single" w:sz="4" w:space="0" w:color="BFBFBF"/>
          <w:bottom w:val="single" w:sz="4" w:space="0" w:color="BFBFBF"/>
        </w:tblBorders>
        <w:tblLook w:val="0000" w:firstRow="0" w:lastRow="0" w:firstColumn="0" w:lastColumn="0" w:noHBand="0" w:noVBand="0"/>
      </w:tblPr>
      <w:tblGrid>
        <w:gridCol w:w="1347"/>
        <w:gridCol w:w="1657"/>
        <w:gridCol w:w="1656"/>
        <w:gridCol w:w="1656"/>
        <w:gridCol w:w="1656"/>
        <w:gridCol w:w="1656"/>
      </w:tblGrid>
      <w:tr w:rsidR="00697BCD" w:rsidRPr="00391B03" w:rsidTr="00391B03">
        <w:trPr>
          <w:trHeight w:val="302"/>
        </w:trPr>
        <w:tc>
          <w:tcPr>
            <w:tcW w:w="69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60" w:type="pct"/>
            <w:shd w:val="clear" w:color="auto" w:fill="auto"/>
          </w:tcPr>
          <w:p w:rsidR="00697BCD" w:rsidRDefault="00697BCD" w:rsidP="006B1E9F">
            <w:pPr>
              <w:pStyle w:val="TableHeading-right"/>
            </w:pPr>
            <w:r>
              <w:t>Queensland</w:t>
            </w:r>
          </w:p>
        </w:tc>
        <w:tc>
          <w:tcPr>
            <w:tcW w:w="860" w:type="pct"/>
            <w:shd w:val="clear" w:color="auto" w:fill="auto"/>
          </w:tcPr>
          <w:p w:rsidR="00697BCD" w:rsidRDefault="00697BCD" w:rsidP="006B1E9F">
            <w:pPr>
              <w:pStyle w:val="TableHeading-right"/>
            </w:pPr>
            <w:r>
              <w:t>New South Wales</w:t>
            </w:r>
          </w:p>
        </w:tc>
        <w:tc>
          <w:tcPr>
            <w:tcW w:w="860" w:type="pct"/>
            <w:shd w:val="clear" w:color="auto" w:fill="auto"/>
          </w:tcPr>
          <w:p w:rsidR="00697BCD" w:rsidRDefault="00697BCD" w:rsidP="006B1E9F">
            <w:pPr>
              <w:pStyle w:val="TableHeading-right"/>
            </w:pPr>
            <w:r>
              <w:t>South Australia</w:t>
            </w:r>
          </w:p>
        </w:tc>
        <w:tc>
          <w:tcPr>
            <w:tcW w:w="860" w:type="pct"/>
            <w:shd w:val="clear" w:color="auto" w:fill="auto"/>
          </w:tcPr>
          <w:p w:rsidR="00697BCD" w:rsidRDefault="00697BCD" w:rsidP="006B1E9F">
            <w:pPr>
              <w:pStyle w:val="TableHeading-right"/>
            </w:pPr>
            <w:r>
              <w:t>Tasmania</w:t>
            </w:r>
          </w:p>
        </w:tc>
        <w:tc>
          <w:tcPr>
            <w:tcW w:w="860" w:type="pct"/>
            <w:shd w:val="clear" w:color="auto" w:fill="auto"/>
          </w:tcPr>
          <w:p w:rsidR="00697BCD" w:rsidRDefault="00697BCD" w:rsidP="006B1E9F">
            <w:pPr>
              <w:pStyle w:val="TableHeading-right"/>
            </w:pPr>
            <w:r>
              <w:t>ACT</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2009–10</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15 835</w:t>
            </w:r>
          </w:p>
        </w:tc>
        <w:tc>
          <w:tcPr>
            <w:tcW w:w="860" w:type="pct"/>
            <w:shd w:val="clear" w:color="auto" w:fill="auto"/>
          </w:tcPr>
          <w:p w:rsidR="00697BCD" w:rsidRDefault="00697BCD" w:rsidP="00624E11">
            <w:pPr>
              <w:pStyle w:val="Tabletext-right"/>
            </w:pPr>
            <w:r>
              <w:t>4 748</w:t>
            </w:r>
          </w:p>
        </w:tc>
        <w:tc>
          <w:tcPr>
            <w:tcW w:w="860" w:type="pct"/>
            <w:shd w:val="clear" w:color="auto" w:fill="auto"/>
          </w:tcPr>
          <w:p w:rsidR="00697BCD" w:rsidRDefault="00697BCD" w:rsidP="00624E11">
            <w:pPr>
              <w:pStyle w:val="Tabletext-right"/>
            </w:pPr>
            <w:r>
              <w:t>1 396</w:t>
            </w:r>
          </w:p>
        </w:tc>
        <w:tc>
          <w:tcPr>
            <w:tcW w:w="860" w:type="pct"/>
            <w:shd w:val="clear" w:color="auto" w:fill="auto"/>
          </w:tcPr>
          <w:p w:rsidR="00697BCD" w:rsidRDefault="00697BCD" w:rsidP="00624E11">
            <w:pPr>
              <w:pStyle w:val="Tabletext-right"/>
            </w:pPr>
            <w:r>
              <w:t>880</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2010–11</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18 561</w:t>
            </w:r>
          </w:p>
        </w:tc>
        <w:tc>
          <w:tcPr>
            <w:tcW w:w="860" w:type="pct"/>
            <w:shd w:val="clear" w:color="auto" w:fill="auto"/>
          </w:tcPr>
          <w:p w:rsidR="00697BCD" w:rsidRDefault="00697BCD" w:rsidP="00624E11">
            <w:pPr>
              <w:pStyle w:val="Tabletext-right"/>
            </w:pPr>
            <w:r>
              <w:t>7 383</w:t>
            </w:r>
          </w:p>
        </w:tc>
        <w:tc>
          <w:tcPr>
            <w:tcW w:w="860" w:type="pct"/>
            <w:shd w:val="clear" w:color="auto" w:fill="auto"/>
          </w:tcPr>
          <w:p w:rsidR="00697BCD" w:rsidRDefault="00697BCD" w:rsidP="00624E11">
            <w:pPr>
              <w:pStyle w:val="Tabletext-right"/>
            </w:pPr>
            <w:r>
              <w:t>958</w:t>
            </w:r>
          </w:p>
        </w:tc>
        <w:tc>
          <w:tcPr>
            <w:tcW w:w="860" w:type="pct"/>
            <w:shd w:val="clear" w:color="auto" w:fill="auto"/>
          </w:tcPr>
          <w:p w:rsidR="00697BCD" w:rsidRDefault="00697BCD" w:rsidP="00624E11">
            <w:pPr>
              <w:pStyle w:val="Tabletext-right"/>
            </w:pPr>
            <w:r>
              <w:t>402</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2011–12</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23 207</w:t>
            </w:r>
          </w:p>
        </w:tc>
        <w:tc>
          <w:tcPr>
            <w:tcW w:w="860" w:type="pct"/>
            <w:shd w:val="clear" w:color="auto" w:fill="auto"/>
          </w:tcPr>
          <w:p w:rsidR="00697BCD" w:rsidRDefault="00697BCD" w:rsidP="00624E11">
            <w:pPr>
              <w:pStyle w:val="Tabletext-right"/>
            </w:pPr>
            <w:r>
              <w:t>9 893</w:t>
            </w:r>
          </w:p>
        </w:tc>
        <w:tc>
          <w:tcPr>
            <w:tcW w:w="860" w:type="pct"/>
            <w:shd w:val="clear" w:color="auto" w:fill="auto"/>
          </w:tcPr>
          <w:p w:rsidR="00697BCD" w:rsidRDefault="00697BCD" w:rsidP="00624E11">
            <w:pPr>
              <w:pStyle w:val="Tabletext-right"/>
            </w:pPr>
            <w:r>
              <w:t>178</w:t>
            </w:r>
          </w:p>
        </w:tc>
        <w:tc>
          <w:tcPr>
            <w:tcW w:w="860" w:type="pct"/>
            <w:shd w:val="clear" w:color="auto" w:fill="auto"/>
          </w:tcPr>
          <w:p w:rsidR="00697BCD" w:rsidRDefault="00697BCD" w:rsidP="00624E11">
            <w:pPr>
              <w:pStyle w:val="Tabletext-right"/>
            </w:pPr>
            <w:r>
              <w:t>420</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2012–13</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24 888</w:t>
            </w:r>
          </w:p>
        </w:tc>
        <w:tc>
          <w:tcPr>
            <w:tcW w:w="860" w:type="pct"/>
            <w:shd w:val="clear" w:color="auto" w:fill="auto"/>
          </w:tcPr>
          <w:p w:rsidR="00697BCD" w:rsidRDefault="00697BCD" w:rsidP="00624E11">
            <w:pPr>
              <w:pStyle w:val="Tabletext-right"/>
            </w:pPr>
            <w:r>
              <w:t>10 723</w:t>
            </w:r>
          </w:p>
        </w:tc>
        <w:tc>
          <w:tcPr>
            <w:tcW w:w="860" w:type="pct"/>
            <w:shd w:val="clear" w:color="auto" w:fill="auto"/>
          </w:tcPr>
          <w:p w:rsidR="00697BCD" w:rsidRDefault="00697BCD" w:rsidP="00624E11">
            <w:pPr>
              <w:pStyle w:val="Tabletext-right"/>
            </w:pPr>
            <w:r>
              <w:t>1 057</w:t>
            </w:r>
          </w:p>
        </w:tc>
        <w:tc>
          <w:tcPr>
            <w:tcW w:w="860" w:type="pct"/>
            <w:shd w:val="clear" w:color="auto" w:fill="auto"/>
          </w:tcPr>
          <w:p w:rsidR="00697BCD" w:rsidRDefault="00697BCD" w:rsidP="00624E11">
            <w:pPr>
              <w:pStyle w:val="Tabletext-right"/>
            </w:pPr>
            <w:r>
              <w:t>73</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2013–14</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32 940</w:t>
            </w:r>
          </w:p>
        </w:tc>
        <w:tc>
          <w:tcPr>
            <w:tcW w:w="860" w:type="pct"/>
            <w:shd w:val="clear" w:color="auto" w:fill="auto"/>
          </w:tcPr>
          <w:p w:rsidR="00697BCD" w:rsidRDefault="00697BCD" w:rsidP="00624E11">
            <w:pPr>
              <w:pStyle w:val="Tabletext-right"/>
            </w:pPr>
            <w:r>
              <w:t>10 148</w:t>
            </w:r>
          </w:p>
        </w:tc>
        <w:tc>
          <w:tcPr>
            <w:tcW w:w="860" w:type="pct"/>
            <w:shd w:val="clear" w:color="auto" w:fill="auto"/>
          </w:tcPr>
          <w:p w:rsidR="00697BCD" w:rsidRDefault="00697BCD" w:rsidP="00624E11">
            <w:pPr>
              <w:pStyle w:val="Tabletext-right"/>
            </w:pPr>
            <w:r>
              <w:t>1 555</w:t>
            </w:r>
          </w:p>
        </w:tc>
        <w:tc>
          <w:tcPr>
            <w:tcW w:w="860" w:type="pct"/>
            <w:shd w:val="clear" w:color="auto" w:fill="auto"/>
          </w:tcPr>
          <w:p w:rsidR="00697BCD" w:rsidRDefault="00697BCD" w:rsidP="00624E11">
            <w:pPr>
              <w:pStyle w:val="Tabletext-right"/>
            </w:pPr>
            <w:r>
              <w:t>269</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2014–15</w:t>
            </w:r>
          </w:p>
        </w:tc>
        <w:tc>
          <w:tcPr>
            <w:tcW w:w="860" w:type="pct"/>
            <w:shd w:val="clear" w:color="auto" w:fill="auto"/>
          </w:tcPr>
          <w:p w:rsidR="00697BCD" w:rsidRDefault="00697BCD" w:rsidP="00624E11">
            <w:pPr>
              <w:pStyle w:val="Tabletext-right"/>
            </w:pPr>
            <w:r>
              <w:t>–</w:t>
            </w:r>
          </w:p>
        </w:tc>
        <w:tc>
          <w:tcPr>
            <w:tcW w:w="860" w:type="pct"/>
            <w:shd w:val="clear" w:color="auto" w:fill="auto"/>
          </w:tcPr>
          <w:p w:rsidR="00697BCD" w:rsidRDefault="00697BCD" w:rsidP="00624E11">
            <w:pPr>
              <w:pStyle w:val="Tabletext-right"/>
            </w:pPr>
            <w:r>
              <w:t>31 979</w:t>
            </w:r>
          </w:p>
        </w:tc>
        <w:tc>
          <w:tcPr>
            <w:tcW w:w="860" w:type="pct"/>
            <w:shd w:val="clear" w:color="auto" w:fill="auto"/>
          </w:tcPr>
          <w:p w:rsidR="00697BCD" w:rsidRDefault="00697BCD" w:rsidP="00624E11">
            <w:pPr>
              <w:pStyle w:val="Tabletext-right"/>
            </w:pPr>
            <w:r>
              <w:t>10 179</w:t>
            </w:r>
          </w:p>
        </w:tc>
        <w:tc>
          <w:tcPr>
            <w:tcW w:w="860" w:type="pct"/>
            <w:shd w:val="clear" w:color="auto" w:fill="auto"/>
          </w:tcPr>
          <w:p w:rsidR="00697BCD" w:rsidRDefault="00697BCD" w:rsidP="00624E11">
            <w:pPr>
              <w:pStyle w:val="Tabletext-right"/>
            </w:pPr>
            <w:r>
              <w:t>1 046</w:t>
            </w:r>
          </w:p>
        </w:tc>
        <w:tc>
          <w:tcPr>
            <w:tcW w:w="860" w:type="pct"/>
            <w:shd w:val="clear" w:color="auto" w:fill="auto"/>
          </w:tcPr>
          <w:p w:rsidR="00697BCD" w:rsidRDefault="00697BCD" w:rsidP="00624E11">
            <w:pPr>
              <w:pStyle w:val="Tabletext-right"/>
            </w:pPr>
            <w:r>
              <w:t>345</w:t>
            </w:r>
          </w:p>
        </w:tc>
      </w:tr>
      <w:tr w:rsidR="00697BCD" w:rsidRPr="00391B03" w:rsidTr="00391B03">
        <w:trPr>
          <w:trHeight w:val="257"/>
        </w:trPr>
        <w:tc>
          <w:tcPr>
            <w:tcW w:w="699" w:type="pct"/>
            <w:shd w:val="clear" w:color="auto" w:fill="auto"/>
          </w:tcPr>
          <w:p w:rsidR="00697BCD" w:rsidRPr="00391B03" w:rsidRDefault="00697BCD" w:rsidP="00624E11">
            <w:pPr>
              <w:pStyle w:val="Tabletext"/>
            </w:pPr>
            <w:r w:rsidRPr="00391B03">
              <w:t>2015–16</w:t>
            </w:r>
          </w:p>
        </w:tc>
        <w:tc>
          <w:tcPr>
            <w:tcW w:w="860" w:type="pct"/>
            <w:shd w:val="clear" w:color="auto" w:fill="auto"/>
          </w:tcPr>
          <w:p w:rsidR="00697BCD" w:rsidRDefault="00697BCD" w:rsidP="00624E11">
            <w:pPr>
              <w:pStyle w:val="Tabletext-right"/>
            </w:pPr>
            <w:r>
              <w:t>21 672</w:t>
            </w:r>
          </w:p>
        </w:tc>
        <w:tc>
          <w:tcPr>
            <w:tcW w:w="860" w:type="pct"/>
            <w:shd w:val="clear" w:color="auto" w:fill="auto"/>
          </w:tcPr>
          <w:p w:rsidR="00697BCD" w:rsidRDefault="00697BCD" w:rsidP="00624E11">
            <w:pPr>
              <w:pStyle w:val="Tabletext-right"/>
            </w:pPr>
            <w:r>
              <w:t>30 065</w:t>
            </w:r>
          </w:p>
        </w:tc>
        <w:tc>
          <w:tcPr>
            <w:tcW w:w="860" w:type="pct"/>
            <w:shd w:val="clear" w:color="auto" w:fill="auto"/>
          </w:tcPr>
          <w:p w:rsidR="00697BCD" w:rsidRDefault="00697BCD" w:rsidP="00624E11">
            <w:pPr>
              <w:pStyle w:val="Tabletext-right"/>
            </w:pPr>
            <w:r>
              <w:t>10 546</w:t>
            </w:r>
          </w:p>
        </w:tc>
        <w:tc>
          <w:tcPr>
            <w:tcW w:w="860" w:type="pct"/>
            <w:shd w:val="clear" w:color="auto" w:fill="auto"/>
          </w:tcPr>
          <w:p w:rsidR="00697BCD" w:rsidRDefault="00697BCD" w:rsidP="00624E11">
            <w:pPr>
              <w:pStyle w:val="Tabletext-right"/>
            </w:pPr>
            <w:r>
              <w:t>1 172</w:t>
            </w:r>
          </w:p>
        </w:tc>
        <w:tc>
          <w:tcPr>
            <w:tcW w:w="860" w:type="pct"/>
            <w:shd w:val="clear" w:color="auto" w:fill="auto"/>
          </w:tcPr>
          <w:p w:rsidR="00697BCD" w:rsidRDefault="00697BCD" w:rsidP="00624E11">
            <w:pPr>
              <w:pStyle w:val="Tabletext-right"/>
            </w:pPr>
            <w:r>
              <w:t>388</w:t>
            </w:r>
          </w:p>
        </w:tc>
      </w:tr>
    </w:tbl>
    <w:p w:rsidR="00697BCD" w:rsidRDefault="00697BCD"/>
    <w:p w:rsidR="00697BCD" w:rsidRDefault="00697BCD" w:rsidP="00697BCD">
      <w:pPr>
        <w:pStyle w:val="Tabletitle"/>
      </w:pPr>
      <w:r>
        <w:t>Table 2.13:</w:t>
      </w:r>
      <w:r>
        <w:tab/>
        <w:t>Residential gas disconnections for non-payment, 2009–10 to 2015–16</w:t>
      </w:r>
    </w:p>
    <w:tbl>
      <w:tblPr>
        <w:tblW w:w="5000" w:type="pct"/>
        <w:tblBorders>
          <w:top w:val="single" w:sz="4" w:space="0" w:color="BFBFBF"/>
          <w:bottom w:val="single" w:sz="4" w:space="0" w:color="BFBFBF"/>
        </w:tblBorders>
        <w:tblLook w:val="0000" w:firstRow="0" w:lastRow="0" w:firstColumn="0" w:lastColumn="0" w:noHBand="0" w:noVBand="0"/>
      </w:tblPr>
      <w:tblGrid>
        <w:gridCol w:w="1711"/>
        <w:gridCol w:w="1979"/>
        <w:gridCol w:w="1978"/>
        <w:gridCol w:w="1980"/>
        <w:gridCol w:w="1980"/>
      </w:tblGrid>
      <w:tr w:rsidR="00697BCD" w:rsidRPr="00391B03" w:rsidTr="00391B03">
        <w:trPr>
          <w:trHeight w:val="259"/>
        </w:trPr>
        <w:tc>
          <w:tcPr>
            <w:tcW w:w="8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028" w:type="pct"/>
            <w:shd w:val="clear" w:color="auto" w:fill="auto"/>
          </w:tcPr>
          <w:p w:rsidR="00697BCD" w:rsidRDefault="00697BCD" w:rsidP="006B1E9F">
            <w:pPr>
              <w:pStyle w:val="TableHeading-right"/>
            </w:pPr>
            <w:r>
              <w:t>Queensland</w:t>
            </w:r>
          </w:p>
        </w:tc>
        <w:tc>
          <w:tcPr>
            <w:tcW w:w="1027" w:type="pct"/>
            <w:shd w:val="clear" w:color="auto" w:fill="auto"/>
          </w:tcPr>
          <w:p w:rsidR="00697BCD" w:rsidRDefault="00697BCD" w:rsidP="006B1E9F">
            <w:pPr>
              <w:pStyle w:val="TableHeading-right"/>
            </w:pPr>
            <w:r>
              <w:t>New South Wales</w:t>
            </w:r>
          </w:p>
        </w:tc>
        <w:tc>
          <w:tcPr>
            <w:tcW w:w="1028" w:type="pct"/>
            <w:shd w:val="clear" w:color="auto" w:fill="auto"/>
          </w:tcPr>
          <w:p w:rsidR="00697BCD" w:rsidRDefault="00697BCD" w:rsidP="006B1E9F">
            <w:pPr>
              <w:pStyle w:val="TableHeading-right"/>
            </w:pPr>
            <w:r>
              <w:t>South Australia</w:t>
            </w:r>
          </w:p>
        </w:tc>
        <w:tc>
          <w:tcPr>
            <w:tcW w:w="1028" w:type="pct"/>
            <w:shd w:val="clear" w:color="auto" w:fill="auto"/>
          </w:tcPr>
          <w:p w:rsidR="00697BCD" w:rsidRDefault="00697BCD" w:rsidP="006B1E9F">
            <w:pPr>
              <w:pStyle w:val="TableHeading-right"/>
            </w:pPr>
            <w:r>
              <w:t>ACT</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2009–10</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14 811</w:t>
            </w:r>
          </w:p>
        </w:tc>
        <w:tc>
          <w:tcPr>
            <w:tcW w:w="1028" w:type="pct"/>
            <w:shd w:val="clear" w:color="auto" w:fill="auto"/>
          </w:tcPr>
          <w:p w:rsidR="00697BCD" w:rsidRDefault="00697BCD" w:rsidP="00624E11">
            <w:pPr>
              <w:pStyle w:val="Tabletext-right"/>
            </w:pPr>
            <w:r>
              <w:t>3 410</w:t>
            </w:r>
          </w:p>
        </w:tc>
        <w:tc>
          <w:tcPr>
            <w:tcW w:w="1028" w:type="pct"/>
            <w:shd w:val="clear" w:color="auto" w:fill="auto"/>
          </w:tcPr>
          <w:p w:rsidR="00697BCD" w:rsidRDefault="00697BCD" w:rsidP="00624E11">
            <w:pPr>
              <w:pStyle w:val="Tabletext-right"/>
            </w:pPr>
            <w:r>
              <w:t>1 611</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2010–11</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17 480</w:t>
            </w:r>
          </w:p>
        </w:tc>
        <w:tc>
          <w:tcPr>
            <w:tcW w:w="1028" w:type="pct"/>
            <w:shd w:val="clear" w:color="auto" w:fill="auto"/>
          </w:tcPr>
          <w:p w:rsidR="00697BCD" w:rsidRDefault="00697BCD" w:rsidP="00624E11">
            <w:pPr>
              <w:pStyle w:val="Tabletext-right"/>
            </w:pPr>
            <w:r>
              <w:t>2 724</w:t>
            </w:r>
          </w:p>
        </w:tc>
        <w:tc>
          <w:tcPr>
            <w:tcW w:w="1028" w:type="pct"/>
            <w:shd w:val="clear" w:color="auto" w:fill="auto"/>
          </w:tcPr>
          <w:p w:rsidR="00697BCD" w:rsidRDefault="00697BCD" w:rsidP="00624E11">
            <w:pPr>
              <w:pStyle w:val="Tabletext-right"/>
            </w:pPr>
            <w:r>
              <w:t>1 411</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2011–12</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20 118</w:t>
            </w:r>
          </w:p>
        </w:tc>
        <w:tc>
          <w:tcPr>
            <w:tcW w:w="1028" w:type="pct"/>
            <w:shd w:val="clear" w:color="auto" w:fill="auto"/>
          </w:tcPr>
          <w:p w:rsidR="00697BCD" w:rsidRDefault="00697BCD" w:rsidP="00624E11">
            <w:pPr>
              <w:pStyle w:val="Tabletext-right"/>
            </w:pPr>
            <w:r>
              <w:t>4 403</w:t>
            </w:r>
          </w:p>
        </w:tc>
        <w:tc>
          <w:tcPr>
            <w:tcW w:w="1028" w:type="pct"/>
            <w:shd w:val="clear" w:color="auto" w:fill="auto"/>
          </w:tcPr>
          <w:p w:rsidR="00697BCD" w:rsidRDefault="00697BCD" w:rsidP="00624E11">
            <w:pPr>
              <w:pStyle w:val="Tabletext-right"/>
            </w:pPr>
            <w:r>
              <w:t>2 356</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2012–13</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7 520</w:t>
            </w:r>
          </w:p>
        </w:tc>
        <w:tc>
          <w:tcPr>
            <w:tcW w:w="1028" w:type="pct"/>
            <w:shd w:val="clear" w:color="auto" w:fill="auto"/>
          </w:tcPr>
          <w:p w:rsidR="00697BCD" w:rsidRDefault="00697BCD" w:rsidP="00624E11">
            <w:pPr>
              <w:pStyle w:val="Tabletext-right"/>
            </w:pPr>
            <w:r>
              <w:t>3 129</w:t>
            </w:r>
          </w:p>
        </w:tc>
        <w:tc>
          <w:tcPr>
            <w:tcW w:w="1028" w:type="pct"/>
            <w:shd w:val="clear" w:color="auto" w:fill="auto"/>
          </w:tcPr>
          <w:p w:rsidR="00697BCD" w:rsidRDefault="00697BCD" w:rsidP="00624E11">
            <w:pPr>
              <w:pStyle w:val="Tabletext-right"/>
            </w:pPr>
            <w:r>
              <w:t>1 572</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2013–14</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4 921</w:t>
            </w:r>
          </w:p>
        </w:tc>
        <w:tc>
          <w:tcPr>
            <w:tcW w:w="1028" w:type="pct"/>
            <w:shd w:val="clear" w:color="auto" w:fill="auto"/>
          </w:tcPr>
          <w:p w:rsidR="00697BCD" w:rsidRDefault="00697BCD" w:rsidP="00624E11">
            <w:pPr>
              <w:pStyle w:val="Tabletext-right"/>
            </w:pPr>
            <w:r>
              <w:t>3 418</w:t>
            </w:r>
          </w:p>
        </w:tc>
        <w:tc>
          <w:tcPr>
            <w:tcW w:w="1028" w:type="pct"/>
            <w:shd w:val="clear" w:color="auto" w:fill="auto"/>
          </w:tcPr>
          <w:p w:rsidR="00697BCD" w:rsidRDefault="00697BCD" w:rsidP="00624E11">
            <w:pPr>
              <w:pStyle w:val="Tabletext-right"/>
            </w:pPr>
            <w:r>
              <w:t>1 066</w:t>
            </w:r>
          </w:p>
        </w:tc>
      </w:tr>
      <w:tr w:rsidR="00697BCD" w:rsidRPr="00391B03" w:rsidTr="00391B03">
        <w:trPr>
          <w:trHeight w:val="259"/>
        </w:trPr>
        <w:tc>
          <w:tcPr>
            <w:tcW w:w="889" w:type="pct"/>
            <w:shd w:val="clear" w:color="auto" w:fill="auto"/>
          </w:tcPr>
          <w:p w:rsidR="00697BCD" w:rsidRPr="00391B03" w:rsidRDefault="00697BCD" w:rsidP="00624E11">
            <w:pPr>
              <w:pStyle w:val="Tabletext"/>
            </w:pPr>
            <w:r w:rsidRPr="00391B03">
              <w:t>2014–15</w:t>
            </w:r>
          </w:p>
        </w:tc>
        <w:tc>
          <w:tcPr>
            <w:tcW w:w="1028" w:type="pct"/>
            <w:shd w:val="clear" w:color="auto" w:fill="auto"/>
          </w:tcPr>
          <w:p w:rsidR="00697BCD" w:rsidRDefault="00697BCD" w:rsidP="00624E11">
            <w:pPr>
              <w:pStyle w:val="Tabletext-right"/>
            </w:pPr>
            <w:r>
              <w:t>–</w:t>
            </w:r>
          </w:p>
        </w:tc>
        <w:tc>
          <w:tcPr>
            <w:tcW w:w="1027" w:type="pct"/>
            <w:shd w:val="clear" w:color="auto" w:fill="auto"/>
          </w:tcPr>
          <w:p w:rsidR="00697BCD" w:rsidRDefault="00697BCD" w:rsidP="00624E11">
            <w:pPr>
              <w:pStyle w:val="Tabletext-right"/>
            </w:pPr>
            <w:r>
              <w:t>7 555</w:t>
            </w:r>
          </w:p>
        </w:tc>
        <w:tc>
          <w:tcPr>
            <w:tcW w:w="1028" w:type="pct"/>
            <w:shd w:val="clear" w:color="auto" w:fill="auto"/>
          </w:tcPr>
          <w:p w:rsidR="00697BCD" w:rsidRDefault="00697BCD" w:rsidP="00624E11">
            <w:pPr>
              <w:pStyle w:val="Tabletext-right"/>
            </w:pPr>
            <w:r>
              <w:t>4 575</w:t>
            </w:r>
          </w:p>
        </w:tc>
        <w:tc>
          <w:tcPr>
            <w:tcW w:w="1028" w:type="pct"/>
            <w:shd w:val="clear" w:color="auto" w:fill="auto"/>
          </w:tcPr>
          <w:p w:rsidR="00697BCD" w:rsidRDefault="00697BCD" w:rsidP="00624E11">
            <w:pPr>
              <w:pStyle w:val="Tabletext-right"/>
            </w:pPr>
            <w:r>
              <w:t>1 404</w:t>
            </w:r>
          </w:p>
        </w:tc>
      </w:tr>
      <w:tr w:rsidR="00697BCD" w:rsidRPr="00391B03" w:rsidTr="00391B03">
        <w:trPr>
          <w:trHeight w:val="310"/>
        </w:trPr>
        <w:tc>
          <w:tcPr>
            <w:tcW w:w="889" w:type="pct"/>
            <w:shd w:val="clear" w:color="auto" w:fill="auto"/>
          </w:tcPr>
          <w:p w:rsidR="00697BCD" w:rsidRPr="00391B03" w:rsidRDefault="00697BCD" w:rsidP="00624E11">
            <w:pPr>
              <w:pStyle w:val="Tabletext"/>
            </w:pPr>
            <w:r w:rsidRPr="00391B03">
              <w:t>2015–16</w:t>
            </w:r>
          </w:p>
        </w:tc>
        <w:tc>
          <w:tcPr>
            <w:tcW w:w="1028" w:type="pct"/>
            <w:shd w:val="clear" w:color="auto" w:fill="auto"/>
          </w:tcPr>
          <w:p w:rsidR="00697BCD" w:rsidRDefault="00697BCD" w:rsidP="00624E11">
            <w:pPr>
              <w:pStyle w:val="Tabletext-right"/>
            </w:pPr>
            <w:r>
              <w:t>1 410</w:t>
            </w:r>
          </w:p>
        </w:tc>
        <w:tc>
          <w:tcPr>
            <w:tcW w:w="1027" w:type="pct"/>
            <w:shd w:val="clear" w:color="auto" w:fill="auto"/>
          </w:tcPr>
          <w:p w:rsidR="00697BCD" w:rsidRDefault="00697BCD" w:rsidP="00624E11">
            <w:pPr>
              <w:pStyle w:val="Tabletext-right"/>
            </w:pPr>
            <w:r>
              <w:t>6 389</w:t>
            </w:r>
          </w:p>
        </w:tc>
        <w:tc>
          <w:tcPr>
            <w:tcW w:w="1028" w:type="pct"/>
            <w:shd w:val="clear" w:color="auto" w:fill="auto"/>
          </w:tcPr>
          <w:p w:rsidR="00697BCD" w:rsidRDefault="00697BCD" w:rsidP="00624E11">
            <w:pPr>
              <w:pStyle w:val="Tabletext-right"/>
            </w:pPr>
            <w:r>
              <w:t>5 081</w:t>
            </w:r>
          </w:p>
        </w:tc>
        <w:tc>
          <w:tcPr>
            <w:tcW w:w="1028" w:type="pct"/>
            <w:shd w:val="clear" w:color="auto" w:fill="auto"/>
          </w:tcPr>
          <w:p w:rsidR="00697BCD" w:rsidRDefault="00697BCD" w:rsidP="00624E11">
            <w:pPr>
              <w:pStyle w:val="Tabletext-right"/>
            </w:pPr>
            <w:r>
              <w:t>1 403</w:t>
            </w:r>
          </w:p>
        </w:tc>
      </w:tr>
    </w:tbl>
    <w:p w:rsidR="00697BCD" w:rsidRDefault="00697BCD"/>
    <w:p w:rsidR="00697BCD" w:rsidRDefault="00697BCD" w:rsidP="000F3A56">
      <w:pPr>
        <w:pStyle w:val="Numbered111"/>
      </w:pPr>
      <w:bookmarkStart w:id="30" w:name="_Toc467665314"/>
      <w:r>
        <w:t>Disconnections of customers experiencing financial difficulty</w:t>
      </w:r>
      <w:bookmarkEnd w:id="30"/>
    </w:p>
    <w:p w:rsidR="00697BCD" w:rsidRDefault="00697BCD" w:rsidP="00697BCD">
      <w:r>
        <w:t>Table 2.14 provides further information about residential customers disconnected in 2015–16 with indicators of financial difficulty.</w:t>
      </w:r>
    </w:p>
    <w:p w:rsidR="00697BCD" w:rsidRDefault="00697BCD" w:rsidP="00697BCD">
      <w:r>
        <w:t>These indicators include the proportion of disconnected customers who:</w:t>
      </w:r>
    </w:p>
    <w:p w:rsidR="00697BCD" w:rsidRDefault="00697BCD" w:rsidP="00697BCD">
      <w:pPr>
        <w:pStyle w:val="ListBullet"/>
      </w:pPr>
      <w:r>
        <w:t>were on a payment plan in the previous 12 months</w:t>
      </w:r>
    </w:p>
    <w:p w:rsidR="00697BCD" w:rsidRDefault="00697BCD" w:rsidP="00697BCD">
      <w:pPr>
        <w:pStyle w:val="ListBullet"/>
      </w:pPr>
      <w:r>
        <w:t>had been disconnected more than once in the previous 24 months</w:t>
      </w:r>
    </w:p>
    <w:p w:rsidR="00697BCD" w:rsidRDefault="00697BCD" w:rsidP="00697BCD">
      <w:pPr>
        <w:pStyle w:val="ListBullet"/>
      </w:pPr>
      <w:r>
        <w:t>were on an energy concession</w:t>
      </w:r>
    </w:p>
    <w:p w:rsidR="00697BCD" w:rsidRDefault="00697BCD" w:rsidP="00697BCD">
      <w:pPr>
        <w:pStyle w:val="ListBullet"/>
      </w:pPr>
      <w:proofErr w:type="gramStart"/>
      <w:r>
        <w:t>were</w:t>
      </w:r>
      <w:proofErr w:type="gramEnd"/>
      <w:r>
        <w:t xml:space="preserve"> on a hardship program.</w:t>
      </w:r>
    </w:p>
    <w:p w:rsidR="00697BCD" w:rsidRDefault="00697BCD" w:rsidP="00697BCD">
      <w:proofErr w:type="gramStart"/>
      <w:r>
        <w:t>The proportion of people disconnected while on a hardship program remained very low (less than 1 per cent of disconnections), although there were increases in other categories, such as multiple disconnections.</w:t>
      </w:r>
      <w:proofErr w:type="gramEnd"/>
    </w:p>
    <w:p w:rsidR="00697BCD" w:rsidRDefault="00697BCD" w:rsidP="00697BCD">
      <w:r>
        <w:lastRenderedPageBreak/>
        <w:t>The proportion of disconnected electricity customers who had been on a payment plan in the previous 12 months increased to 33 per cent of disconnections (up from 25 per cent in 2014–15) and to 24 per cent for gas (up from 19 per cent).</w:t>
      </w:r>
    </w:p>
    <w:p w:rsidR="00697BCD" w:rsidRDefault="00697BCD" w:rsidP="00697BCD">
      <w:r>
        <w:t>Disconnections of customers who had been disconnected more than once in the previous 24 months also increased. For electricity, 18 per cent of disconnected customers have previously been disconnected (up from 10 per cent). For gas, disconnections of customers in this category more than doubled, increasing from 6 per cent to 13 per cent of disconnections.</w:t>
      </w:r>
    </w:p>
    <w:p w:rsidR="00697BCD" w:rsidRDefault="00697BCD" w:rsidP="00697BCD">
      <w:r>
        <w:t>These increases are concerning as they suggest more customers may be experiencing long-term and/or severe financial difficulties</w:t>
      </w:r>
      <w:r w:rsidRPr="009D1DEC">
        <w:rPr>
          <w:rStyle w:val="Superscript"/>
        </w:rPr>
        <w:footnoteReference w:id="26"/>
      </w:r>
      <w:r>
        <w:t xml:space="preserve">, and that they may not be receiving extra support under retailers’ hardship programs to help them avoid disconnection. </w:t>
      </w:r>
    </w:p>
    <w:p w:rsidR="00697BCD" w:rsidRDefault="00697BCD" w:rsidP="00697BCD">
      <w:r>
        <w:t xml:space="preserve">In many cases, disconnection occurs because customers are unwilling to engage with retailers about their financial difficulties. This reluctance can be caused by a range of factors, including shame and distrust. </w:t>
      </w:r>
    </w:p>
    <w:p w:rsidR="00697BCD" w:rsidRDefault="00697BCD" w:rsidP="00697BCD">
      <w:r>
        <w:t xml:space="preserve">However, the low disconnection </w:t>
      </w:r>
      <w:proofErr w:type="gramStart"/>
      <w:r>
        <w:t>rates for hardship customers clearly highlights</w:t>
      </w:r>
      <w:proofErr w:type="gramEnd"/>
      <w:r>
        <w:t xml:space="preserve"> the benefit of customers proactively discussing their payment difficulties with their retailer and negotiating a sustainable approach to repaying debt.</w:t>
      </w:r>
    </w:p>
    <w:p w:rsidR="00697BCD" w:rsidRDefault="00697BCD" w:rsidP="00697BCD">
      <w:r>
        <w:t>Our Sustainable Payment Plans Framework, which commenced in November 2016, sets out good practice principles for retailers to enhance the quality of retailers’ engagement with customers by encouraging open, clear and ongoing engagement based on trust, respect and empathy, and that increase the likelihood of constructive and long-term relationships.</w:t>
      </w:r>
    </w:p>
    <w:p w:rsidR="00697BCD" w:rsidRDefault="00697BCD" w:rsidP="00697BCD">
      <w:r>
        <w:t>We are hopeful that over the coming year, adoption by retailers of the Framework will see future positive impacts for customers.</w:t>
      </w:r>
    </w:p>
    <w:p w:rsidR="00697BCD" w:rsidRDefault="00697BCD" w:rsidP="00697BCD">
      <w:pPr>
        <w:pStyle w:val="Tabletitle"/>
      </w:pPr>
      <w:r>
        <w:t>Table 2.14:</w:t>
      </w:r>
      <w:r>
        <w:tab/>
        <w:t xml:space="preserve">Residential customer disconnections, 2015–16 </w:t>
      </w:r>
    </w:p>
    <w:tbl>
      <w:tblPr>
        <w:tblW w:w="5000" w:type="pct"/>
        <w:tblBorders>
          <w:top w:val="single" w:sz="4" w:space="0" w:color="BFBFBF"/>
          <w:bottom w:val="single" w:sz="4" w:space="0" w:color="BFBFBF"/>
        </w:tblBorders>
        <w:tblLook w:val="0000" w:firstRow="0" w:lastRow="0" w:firstColumn="0" w:lastColumn="0" w:noHBand="0" w:noVBand="0"/>
      </w:tblPr>
      <w:tblGrid>
        <w:gridCol w:w="3558"/>
        <w:gridCol w:w="2931"/>
        <w:gridCol w:w="3139"/>
      </w:tblGrid>
      <w:tr w:rsidR="00697BCD" w:rsidRPr="00391B03" w:rsidTr="00391B03">
        <w:trPr>
          <w:trHeight w:val="255"/>
        </w:trPr>
        <w:tc>
          <w:tcPr>
            <w:tcW w:w="1848" w:type="pct"/>
            <w:shd w:val="clear" w:color="auto" w:fill="auto"/>
          </w:tcPr>
          <w:p w:rsidR="00697BCD" w:rsidRPr="00391B03" w:rsidRDefault="00697BCD" w:rsidP="006B1E9F">
            <w:pPr>
              <w:pStyle w:val="TableHeading"/>
            </w:pPr>
            <w:r w:rsidRPr="00391B03">
              <w:t>Type of customer disconnected</w:t>
            </w:r>
          </w:p>
        </w:tc>
        <w:tc>
          <w:tcPr>
            <w:tcW w:w="1522" w:type="pct"/>
            <w:shd w:val="clear" w:color="auto" w:fill="auto"/>
          </w:tcPr>
          <w:p w:rsidR="00697BCD" w:rsidRPr="00391B03" w:rsidRDefault="00697BCD" w:rsidP="006B1E9F">
            <w:pPr>
              <w:pStyle w:val="TableHeading"/>
            </w:pPr>
            <w:r w:rsidRPr="00391B03">
              <w:t>Electricity (% of disconnections)</w:t>
            </w:r>
          </w:p>
        </w:tc>
        <w:tc>
          <w:tcPr>
            <w:tcW w:w="1630" w:type="pct"/>
            <w:shd w:val="clear" w:color="auto" w:fill="auto"/>
          </w:tcPr>
          <w:p w:rsidR="00697BCD" w:rsidRPr="00391B03" w:rsidRDefault="00697BCD" w:rsidP="006B1E9F">
            <w:pPr>
              <w:pStyle w:val="TableHeading"/>
            </w:pPr>
            <w:r w:rsidRPr="00391B03">
              <w:t>Gas (% of disconnections)</w:t>
            </w:r>
          </w:p>
        </w:tc>
      </w:tr>
      <w:tr w:rsidR="00697BCD" w:rsidRPr="00391B03" w:rsidTr="00391B03">
        <w:trPr>
          <w:trHeight w:val="255"/>
        </w:trPr>
        <w:tc>
          <w:tcPr>
            <w:tcW w:w="1848" w:type="pct"/>
            <w:shd w:val="clear" w:color="auto" w:fill="auto"/>
          </w:tcPr>
          <w:p w:rsidR="00697BCD" w:rsidRPr="00391B03" w:rsidRDefault="00697BCD" w:rsidP="00624E11">
            <w:pPr>
              <w:pStyle w:val="Tabletext"/>
            </w:pPr>
            <w:r w:rsidRPr="00391B03">
              <w:t>Customer had been on a payment plan in previous 12 months</w:t>
            </w:r>
          </w:p>
        </w:tc>
        <w:tc>
          <w:tcPr>
            <w:tcW w:w="1522" w:type="pct"/>
            <w:shd w:val="clear" w:color="auto" w:fill="auto"/>
          </w:tcPr>
          <w:p w:rsidR="00697BCD" w:rsidRPr="00391B03" w:rsidRDefault="00697BCD" w:rsidP="00624E11">
            <w:pPr>
              <w:pStyle w:val="Tabletext"/>
            </w:pPr>
            <w:r w:rsidRPr="00391B03">
              <w:t xml:space="preserve">33%  </w:t>
            </w:r>
            <w:r w:rsidRPr="00391B03">
              <w:rPr>
                <w:rFonts w:ascii="ArialMT" w:hAnsi="ArialMT" w:cs="ArialMT"/>
              </w:rPr>
              <w:t>▲</w:t>
            </w:r>
            <w:r w:rsidRPr="00391B03">
              <w:t>8</w:t>
            </w:r>
          </w:p>
        </w:tc>
        <w:tc>
          <w:tcPr>
            <w:tcW w:w="1630" w:type="pct"/>
            <w:shd w:val="clear" w:color="auto" w:fill="auto"/>
          </w:tcPr>
          <w:p w:rsidR="00697BCD" w:rsidRPr="00391B03" w:rsidRDefault="00697BCD" w:rsidP="00624E11">
            <w:pPr>
              <w:pStyle w:val="Tabletext"/>
            </w:pPr>
            <w:r w:rsidRPr="00391B03">
              <w:t xml:space="preserve">24%  </w:t>
            </w:r>
            <w:r w:rsidRPr="00391B03">
              <w:rPr>
                <w:rFonts w:ascii="ArialMT" w:hAnsi="ArialMT" w:cs="ArialMT"/>
              </w:rPr>
              <w:t>▲</w:t>
            </w:r>
            <w:r w:rsidRPr="00391B03">
              <w:t>5</w:t>
            </w:r>
          </w:p>
        </w:tc>
      </w:tr>
      <w:tr w:rsidR="00697BCD" w:rsidRPr="00391B03" w:rsidTr="00391B03">
        <w:trPr>
          <w:trHeight w:val="255"/>
        </w:trPr>
        <w:tc>
          <w:tcPr>
            <w:tcW w:w="1848" w:type="pct"/>
            <w:shd w:val="clear" w:color="auto" w:fill="auto"/>
          </w:tcPr>
          <w:p w:rsidR="00697BCD" w:rsidRPr="00391B03" w:rsidRDefault="00697BCD" w:rsidP="00624E11">
            <w:pPr>
              <w:pStyle w:val="Tabletext"/>
            </w:pPr>
            <w:r w:rsidRPr="00391B03">
              <w:t>Customer had been disconnected on more than one occasion in the previous 24 months</w:t>
            </w:r>
          </w:p>
        </w:tc>
        <w:tc>
          <w:tcPr>
            <w:tcW w:w="1522" w:type="pct"/>
            <w:shd w:val="clear" w:color="auto" w:fill="auto"/>
          </w:tcPr>
          <w:p w:rsidR="00697BCD" w:rsidRPr="00391B03" w:rsidRDefault="00697BCD" w:rsidP="00624E11">
            <w:pPr>
              <w:pStyle w:val="Tabletext"/>
            </w:pPr>
            <w:r w:rsidRPr="00391B03">
              <w:t xml:space="preserve">18%  </w:t>
            </w:r>
            <w:r w:rsidRPr="00391B03">
              <w:rPr>
                <w:rFonts w:ascii="ArialMT" w:hAnsi="ArialMT" w:cs="ArialMT"/>
              </w:rPr>
              <w:t>▲</w:t>
            </w:r>
            <w:r w:rsidRPr="00391B03">
              <w:t>8</w:t>
            </w:r>
          </w:p>
        </w:tc>
        <w:tc>
          <w:tcPr>
            <w:tcW w:w="1630" w:type="pct"/>
            <w:shd w:val="clear" w:color="auto" w:fill="auto"/>
          </w:tcPr>
          <w:p w:rsidR="00697BCD" w:rsidRPr="00391B03" w:rsidRDefault="00697BCD" w:rsidP="00624E11">
            <w:pPr>
              <w:pStyle w:val="Tabletext"/>
            </w:pPr>
            <w:r w:rsidRPr="00391B03">
              <w:t xml:space="preserve">13%  </w:t>
            </w:r>
            <w:r w:rsidRPr="00391B03">
              <w:rPr>
                <w:rFonts w:ascii="ArialMT" w:hAnsi="ArialMT" w:cs="ArialMT"/>
              </w:rPr>
              <w:t>▲</w:t>
            </w:r>
            <w:r w:rsidRPr="00391B03">
              <w:t>7</w:t>
            </w:r>
          </w:p>
        </w:tc>
      </w:tr>
      <w:tr w:rsidR="00697BCD" w:rsidRPr="00391B03" w:rsidTr="00391B03">
        <w:trPr>
          <w:trHeight w:val="255"/>
        </w:trPr>
        <w:tc>
          <w:tcPr>
            <w:tcW w:w="1848" w:type="pct"/>
            <w:shd w:val="clear" w:color="auto" w:fill="auto"/>
          </w:tcPr>
          <w:p w:rsidR="00697BCD" w:rsidRPr="00391B03" w:rsidRDefault="00697BCD" w:rsidP="00624E11">
            <w:pPr>
              <w:pStyle w:val="Tabletext"/>
            </w:pPr>
            <w:r w:rsidRPr="00391B03">
              <w:t>Customer was receiving an energy concession</w:t>
            </w:r>
          </w:p>
        </w:tc>
        <w:tc>
          <w:tcPr>
            <w:tcW w:w="1522" w:type="pct"/>
            <w:shd w:val="clear" w:color="auto" w:fill="auto"/>
          </w:tcPr>
          <w:p w:rsidR="00697BCD" w:rsidRPr="00391B03" w:rsidRDefault="00697BCD" w:rsidP="00624E11">
            <w:pPr>
              <w:pStyle w:val="Tabletext"/>
            </w:pPr>
            <w:r w:rsidRPr="00391B03">
              <w:t xml:space="preserve">24%  </w:t>
            </w:r>
            <w:r w:rsidRPr="00391B03">
              <w:rPr>
                <w:rFonts w:ascii="ArialMT" w:hAnsi="ArialMT" w:cs="ArialMT"/>
              </w:rPr>
              <w:t>▼</w:t>
            </w:r>
            <w:r w:rsidRPr="00391B03">
              <w:t>2</w:t>
            </w:r>
          </w:p>
        </w:tc>
        <w:tc>
          <w:tcPr>
            <w:tcW w:w="1630" w:type="pct"/>
            <w:shd w:val="clear" w:color="auto" w:fill="auto"/>
          </w:tcPr>
          <w:p w:rsidR="00697BCD" w:rsidRPr="00391B03" w:rsidRDefault="00697BCD" w:rsidP="00624E11">
            <w:pPr>
              <w:pStyle w:val="Tabletext"/>
            </w:pPr>
            <w:r w:rsidRPr="00391B03">
              <w:t>N/A</w:t>
            </w:r>
          </w:p>
        </w:tc>
      </w:tr>
      <w:tr w:rsidR="00697BCD" w:rsidRPr="00391B03" w:rsidTr="00391B03">
        <w:trPr>
          <w:trHeight w:val="255"/>
        </w:trPr>
        <w:tc>
          <w:tcPr>
            <w:tcW w:w="1848" w:type="pct"/>
            <w:shd w:val="clear" w:color="auto" w:fill="auto"/>
          </w:tcPr>
          <w:p w:rsidR="00697BCD" w:rsidRPr="00391B03" w:rsidRDefault="00697BCD" w:rsidP="00624E11">
            <w:pPr>
              <w:pStyle w:val="Tabletext"/>
            </w:pPr>
            <w:r w:rsidRPr="00391B03">
              <w:t>Customer was on a hardship program</w:t>
            </w:r>
          </w:p>
        </w:tc>
        <w:tc>
          <w:tcPr>
            <w:tcW w:w="1522" w:type="pct"/>
            <w:shd w:val="clear" w:color="auto" w:fill="auto"/>
          </w:tcPr>
          <w:p w:rsidR="00697BCD" w:rsidRPr="00391B03" w:rsidRDefault="00697BCD" w:rsidP="00624E11">
            <w:pPr>
              <w:pStyle w:val="Tabletext"/>
            </w:pPr>
            <w:r w:rsidRPr="00391B03">
              <w:t xml:space="preserve">&lt;1%  </w:t>
            </w:r>
            <w:r w:rsidRPr="00391B03">
              <w:rPr>
                <w:rFonts w:ascii="ArialMT" w:hAnsi="ArialMT" w:cs="ArialMT"/>
              </w:rPr>
              <w:t>●</w:t>
            </w:r>
          </w:p>
        </w:tc>
        <w:tc>
          <w:tcPr>
            <w:tcW w:w="1630" w:type="pct"/>
            <w:shd w:val="clear" w:color="auto" w:fill="auto"/>
          </w:tcPr>
          <w:p w:rsidR="00697BCD" w:rsidRPr="00391B03" w:rsidRDefault="00697BCD" w:rsidP="00624E11">
            <w:pPr>
              <w:pStyle w:val="Tabletext"/>
            </w:pPr>
            <w:r w:rsidRPr="00391B03">
              <w:t xml:space="preserve">&lt;1%  </w:t>
            </w:r>
            <w:r w:rsidRPr="00391B03">
              <w:rPr>
                <w:rFonts w:ascii="ArialMT" w:hAnsi="ArialMT" w:cs="ArialMT"/>
              </w:rPr>
              <w:t>●</w:t>
            </w:r>
          </w:p>
        </w:tc>
      </w:tr>
    </w:tbl>
    <w:p w:rsidR="00697BCD" w:rsidRDefault="00697BCD"/>
    <w:p w:rsidR="00697BCD" w:rsidRDefault="00697BCD" w:rsidP="00697BCD">
      <w:r>
        <w:t>As discussed earlier in this report, a small number of residential customers in Tasmania use prepayment meters (PAYG) to manage their electricity account. Around half of the customers who use PAYG also receive energy concessions. Table 2.15 shows the number of customers using PAYG (as at the end of June each year), as well as the number and length of self-disconnections</w:t>
      </w:r>
      <w:r w:rsidRPr="009D1DEC">
        <w:rPr>
          <w:rStyle w:val="Superscript"/>
        </w:rPr>
        <w:footnoteReference w:id="27"/>
      </w:r>
      <w:r>
        <w:t xml:space="preserve"> that occurred in each of the last four years. </w:t>
      </w:r>
    </w:p>
    <w:p w:rsidR="00697BCD" w:rsidRDefault="00697BCD" w:rsidP="00697BCD">
      <w:pPr>
        <w:pStyle w:val="Tabletitle"/>
      </w:pPr>
      <w:r>
        <w:lastRenderedPageBreak/>
        <w:t>Table 2.15:</w:t>
      </w:r>
      <w:r>
        <w:tab/>
        <w:t>Disconnection of customers using prepayment meters in Tasmania</w:t>
      </w:r>
    </w:p>
    <w:tbl>
      <w:tblPr>
        <w:tblW w:w="5000" w:type="pct"/>
        <w:tblBorders>
          <w:top w:val="single" w:sz="4" w:space="0" w:color="BFBFBF"/>
          <w:bottom w:val="single" w:sz="4" w:space="0" w:color="BFBFBF"/>
        </w:tblBorders>
        <w:tblLook w:val="0000" w:firstRow="0" w:lastRow="0" w:firstColumn="0" w:lastColumn="0" w:noHBand="0" w:noVBand="0"/>
      </w:tblPr>
      <w:tblGrid>
        <w:gridCol w:w="1205"/>
        <w:gridCol w:w="2088"/>
        <w:gridCol w:w="2087"/>
        <w:gridCol w:w="2087"/>
        <w:gridCol w:w="2161"/>
      </w:tblGrid>
      <w:tr w:rsidR="00697BCD" w:rsidRPr="00391B03" w:rsidTr="00391B03">
        <w:trPr>
          <w:trHeight w:val="255"/>
        </w:trPr>
        <w:tc>
          <w:tcPr>
            <w:tcW w:w="625" w:type="pct"/>
            <w:shd w:val="clear" w:color="auto" w:fill="auto"/>
          </w:tcPr>
          <w:p w:rsidR="00697BCD" w:rsidRPr="00391B03" w:rsidRDefault="00697BCD" w:rsidP="006B1E9F">
            <w:pPr>
              <w:pStyle w:val="TableHeading"/>
            </w:pPr>
            <w:r w:rsidRPr="00391B03">
              <w:t xml:space="preserve"> </w:t>
            </w:r>
          </w:p>
        </w:tc>
        <w:tc>
          <w:tcPr>
            <w:tcW w:w="1084" w:type="pct"/>
            <w:shd w:val="clear" w:color="auto" w:fill="auto"/>
          </w:tcPr>
          <w:p w:rsidR="00697BCD" w:rsidRDefault="00697BCD" w:rsidP="006B1E9F">
            <w:pPr>
              <w:pStyle w:val="TableHeading-right"/>
            </w:pPr>
            <w:r>
              <w:t>Customers with PAYG</w:t>
            </w:r>
          </w:p>
        </w:tc>
        <w:tc>
          <w:tcPr>
            <w:tcW w:w="1084" w:type="pct"/>
            <w:shd w:val="clear" w:color="auto" w:fill="auto"/>
          </w:tcPr>
          <w:p w:rsidR="00697BCD" w:rsidRDefault="00697BCD" w:rsidP="006B1E9F">
            <w:pPr>
              <w:pStyle w:val="TableHeading-right"/>
            </w:pPr>
            <w:r>
              <w:t>PAYG systems capable of detecting and reporting self-disconnections</w:t>
            </w:r>
          </w:p>
        </w:tc>
        <w:tc>
          <w:tcPr>
            <w:tcW w:w="1084" w:type="pct"/>
            <w:shd w:val="clear" w:color="auto" w:fill="auto"/>
          </w:tcPr>
          <w:p w:rsidR="00697BCD" w:rsidRDefault="00697BCD" w:rsidP="006B1E9F">
            <w:pPr>
              <w:pStyle w:val="TableHeading-right"/>
            </w:pPr>
            <w:r>
              <w:t>Self-disconnection events</w:t>
            </w:r>
          </w:p>
        </w:tc>
        <w:tc>
          <w:tcPr>
            <w:tcW w:w="1122" w:type="pct"/>
            <w:shd w:val="clear" w:color="auto" w:fill="auto"/>
          </w:tcPr>
          <w:p w:rsidR="00697BCD" w:rsidRDefault="00697BCD" w:rsidP="006B1E9F">
            <w:pPr>
              <w:pStyle w:val="TableHeading-right"/>
            </w:pPr>
            <w:r>
              <w:t>Average duration of self-disconnections (mins)</w:t>
            </w:r>
          </w:p>
        </w:tc>
      </w:tr>
      <w:tr w:rsidR="00697BCD" w:rsidRPr="00391B03" w:rsidTr="00391B03">
        <w:trPr>
          <w:trHeight w:val="255"/>
        </w:trPr>
        <w:tc>
          <w:tcPr>
            <w:tcW w:w="625" w:type="pct"/>
            <w:shd w:val="clear" w:color="auto" w:fill="auto"/>
          </w:tcPr>
          <w:p w:rsidR="00697BCD" w:rsidRPr="00391B03" w:rsidRDefault="00697BCD" w:rsidP="00624E11">
            <w:pPr>
              <w:pStyle w:val="Tabletext"/>
            </w:pPr>
            <w:r w:rsidRPr="00391B03">
              <w:t>2012–13</w:t>
            </w:r>
          </w:p>
        </w:tc>
        <w:tc>
          <w:tcPr>
            <w:tcW w:w="1084" w:type="pct"/>
            <w:shd w:val="clear" w:color="auto" w:fill="auto"/>
          </w:tcPr>
          <w:p w:rsidR="00697BCD" w:rsidRDefault="00697BCD" w:rsidP="00624E11">
            <w:pPr>
              <w:pStyle w:val="Tabletext-right"/>
            </w:pPr>
            <w:r>
              <w:t>33 158</w:t>
            </w:r>
          </w:p>
        </w:tc>
        <w:tc>
          <w:tcPr>
            <w:tcW w:w="1084" w:type="pct"/>
            <w:shd w:val="clear" w:color="auto" w:fill="auto"/>
          </w:tcPr>
          <w:p w:rsidR="00697BCD" w:rsidRDefault="00697BCD" w:rsidP="00624E11">
            <w:pPr>
              <w:pStyle w:val="Tabletext-right"/>
            </w:pPr>
            <w:r>
              <w:t>4 662</w:t>
            </w:r>
          </w:p>
        </w:tc>
        <w:tc>
          <w:tcPr>
            <w:tcW w:w="1084" w:type="pct"/>
            <w:shd w:val="clear" w:color="auto" w:fill="auto"/>
          </w:tcPr>
          <w:p w:rsidR="00697BCD" w:rsidRDefault="00697BCD" w:rsidP="00624E11">
            <w:pPr>
              <w:pStyle w:val="Tabletext-right"/>
            </w:pPr>
            <w:r>
              <w:t>1 068</w:t>
            </w:r>
          </w:p>
        </w:tc>
        <w:tc>
          <w:tcPr>
            <w:tcW w:w="1122" w:type="pct"/>
            <w:shd w:val="clear" w:color="auto" w:fill="auto"/>
          </w:tcPr>
          <w:p w:rsidR="00697BCD" w:rsidRDefault="00697BCD" w:rsidP="00624E11">
            <w:pPr>
              <w:pStyle w:val="Tabletext-right"/>
            </w:pPr>
            <w:r>
              <w:t>225</w:t>
            </w:r>
          </w:p>
        </w:tc>
      </w:tr>
      <w:tr w:rsidR="00697BCD" w:rsidRPr="00391B03" w:rsidTr="00391B03">
        <w:trPr>
          <w:trHeight w:val="255"/>
        </w:trPr>
        <w:tc>
          <w:tcPr>
            <w:tcW w:w="625" w:type="pct"/>
            <w:shd w:val="clear" w:color="auto" w:fill="auto"/>
          </w:tcPr>
          <w:p w:rsidR="00697BCD" w:rsidRPr="00391B03" w:rsidRDefault="00697BCD" w:rsidP="00624E11">
            <w:pPr>
              <w:pStyle w:val="Tabletext"/>
            </w:pPr>
            <w:r w:rsidRPr="00391B03">
              <w:t>2013–14</w:t>
            </w:r>
          </w:p>
        </w:tc>
        <w:tc>
          <w:tcPr>
            <w:tcW w:w="1084" w:type="pct"/>
            <w:shd w:val="clear" w:color="auto" w:fill="auto"/>
          </w:tcPr>
          <w:p w:rsidR="00697BCD" w:rsidRDefault="00697BCD" w:rsidP="00624E11">
            <w:pPr>
              <w:pStyle w:val="Tabletext-right"/>
            </w:pPr>
            <w:r>
              <w:t>30 640</w:t>
            </w:r>
          </w:p>
        </w:tc>
        <w:tc>
          <w:tcPr>
            <w:tcW w:w="1084" w:type="pct"/>
            <w:shd w:val="clear" w:color="auto" w:fill="auto"/>
          </w:tcPr>
          <w:p w:rsidR="00697BCD" w:rsidRDefault="00697BCD" w:rsidP="00624E11">
            <w:pPr>
              <w:pStyle w:val="Tabletext-right"/>
            </w:pPr>
            <w:r>
              <w:t>7 194</w:t>
            </w:r>
          </w:p>
        </w:tc>
        <w:tc>
          <w:tcPr>
            <w:tcW w:w="1084" w:type="pct"/>
            <w:shd w:val="clear" w:color="auto" w:fill="auto"/>
          </w:tcPr>
          <w:p w:rsidR="00697BCD" w:rsidRDefault="00697BCD" w:rsidP="00624E11">
            <w:pPr>
              <w:pStyle w:val="Tabletext-right"/>
            </w:pPr>
            <w:r>
              <w:t>2 069</w:t>
            </w:r>
          </w:p>
        </w:tc>
        <w:tc>
          <w:tcPr>
            <w:tcW w:w="1122" w:type="pct"/>
            <w:shd w:val="clear" w:color="auto" w:fill="auto"/>
          </w:tcPr>
          <w:p w:rsidR="00697BCD" w:rsidRDefault="00697BCD" w:rsidP="00624E11">
            <w:pPr>
              <w:pStyle w:val="Tabletext-right"/>
            </w:pPr>
            <w:r>
              <w:t>287</w:t>
            </w:r>
          </w:p>
        </w:tc>
      </w:tr>
      <w:tr w:rsidR="00697BCD" w:rsidRPr="00391B03" w:rsidTr="00391B03">
        <w:trPr>
          <w:trHeight w:val="255"/>
        </w:trPr>
        <w:tc>
          <w:tcPr>
            <w:tcW w:w="625" w:type="pct"/>
            <w:shd w:val="clear" w:color="auto" w:fill="auto"/>
          </w:tcPr>
          <w:p w:rsidR="00697BCD" w:rsidRPr="00391B03" w:rsidRDefault="00697BCD" w:rsidP="00624E11">
            <w:pPr>
              <w:pStyle w:val="Tabletext"/>
            </w:pPr>
            <w:r w:rsidRPr="00391B03">
              <w:t>2014–15</w:t>
            </w:r>
          </w:p>
        </w:tc>
        <w:tc>
          <w:tcPr>
            <w:tcW w:w="1084" w:type="pct"/>
            <w:shd w:val="clear" w:color="auto" w:fill="auto"/>
          </w:tcPr>
          <w:p w:rsidR="00697BCD" w:rsidRDefault="00697BCD" w:rsidP="00624E11">
            <w:pPr>
              <w:pStyle w:val="Tabletext-right"/>
            </w:pPr>
            <w:r>
              <w:t>29 612</w:t>
            </w:r>
          </w:p>
        </w:tc>
        <w:tc>
          <w:tcPr>
            <w:tcW w:w="1084" w:type="pct"/>
            <w:shd w:val="clear" w:color="auto" w:fill="auto"/>
          </w:tcPr>
          <w:p w:rsidR="00697BCD" w:rsidRDefault="00697BCD" w:rsidP="00624E11">
            <w:pPr>
              <w:pStyle w:val="Tabletext-right"/>
            </w:pPr>
            <w:r>
              <w:t>8 902</w:t>
            </w:r>
          </w:p>
        </w:tc>
        <w:tc>
          <w:tcPr>
            <w:tcW w:w="1084" w:type="pct"/>
            <w:shd w:val="clear" w:color="auto" w:fill="auto"/>
          </w:tcPr>
          <w:p w:rsidR="00697BCD" w:rsidRDefault="00697BCD" w:rsidP="00624E11">
            <w:pPr>
              <w:pStyle w:val="Tabletext-right"/>
            </w:pPr>
            <w:r>
              <w:t>2 632</w:t>
            </w:r>
          </w:p>
        </w:tc>
        <w:tc>
          <w:tcPr>
            <w:tcW w:w="1122" w:type="pct"/>
            <w:shd w:val="clear" w:color="auto" w:fill="auto"/>
          </w:tcPr>
          <w:p w:rsidR="00697BCD" w:rsidRDefault="00697BCD" w:rsidP="00624E11">
            <w:pPr>
              <w:pStyle w:val="Tabletext-right"/>
            </w:pPr>
            <w:r>
              <w:t>325</w:t>
            </w:r>
          </w:p>
        </w:tc>
      </w:tr>
      <w:tr w:rsidR="00697BCD" w:rsidRPr="00391B03" w:rsidTr="00391B03">
        <w:trPr>
          <w:trHeight w:val="255"/>
        </w:trPr>
        <w:tc>
          <w:tcPr>
            <w:tcW w:w="625" w:type="pct"/>
            <w:shd w:val="clear" w:color="auto" w:fill="auto"/>
          </w:tcPr>
          <w:p w:rsidR="00697BCD" w:rsidRPr="00391B03" w:rsidRDefault="00697BCD" w:rsidP="00624E11">
            <w:pPr>
              <w:pStyle w:val="Tabletext"/>
            </w:pPr>
            <w:r w:rsidRPr="00391B03">
              <w:t>2015–16</w:t>
            </w:r>
          </w:p>
        </w:tc>
        <w:tc>
          <w:tcPr>
            <w:tcW w:w="1084" w:type="pct"/>
            <w:shd w:val="clear" w:color="auto" w:fill="auto"/>
          </w:tcPr>
          <w:p w:rsidR="00697BCD" w:rsidRDefault="00697BCD" w:rsidP="00624E11">
            <w:pPr>
              <w:pStyle w:val="Tabletext-right"/>
            </w:pPr>
            <w:r>
              <w:t>26 670</w:t>
            </w:r>
          </w:p>
        </w:tc>
        <w:tc>
          <w:tcPr>
            <w:tcW w:w="1084" w:type="pct"/>
            <w:shd w:val="clear" w:color="auto" w:fill="auto"/>
          </w:tcPr>
          <w:p w:rsidR="00697BCD" w:rsidRDefault="00697BCD" w:rsidP="00624E11">
            <w:pPr>
              <w:pStyle w:val="Tabletext-right"/>
            </w:pPr>
            <w:r>
              <w:t>10 854</w:t>
            </w:r>
          </w:p>
        </w:tc>
        <w:tc>
          <w:tcPr>
            <w:tcW w:w="1084" w:type="pct"/>
            <w:shd w:val="clear" w:color="auto" w:fill="auto"/>
          </w:tcPr>
          <w:p w:rsidR="00697BCD" w:rsidRDefault="00697BCD" w:rsidP="00624E11">
            <w:pPr>
              <w:pStyle w:val="Tabletext-right"/>
            </w:pPr>
            <w:r>
              <w:t>3 098</w:t>
            </w:r>
          </w:p>
        </w:tc>
        <w:tc>
          <w:tcPr>
            <w:tcW w:w="1122" w:type="pct"/>
            <w:shd w:val="clear" w:color="auto" w:fill="auto"/>
          </w:tcPr>
          <w:p w:rsidR="00697BCD" w:rsidRDefault="00697BCD" w:rsidP="00624E11">
            <w:pPr>
              <w:pStyle w:val="Tabletext-right"/>
            </w:pPr>
            <w:r>
              <w:t>246</w:t>
            </w:r>
          </w:p>
        </w:tc>
      </w:tr>
    </w:tbl>
    <w:p w:rsidR="00697BCD" w:rsidRDefault="00697BCD"/>
    <w:p w:rsidR="00697BCD" w:rsidRDefault="00697BCD" w:rsidP="000F3A56">
      <w:pPr>
        <w:pStyle w:val="Numbered11"/>
      </w:pPr>
      <w:bookmarkStart w:id="31" w:name="_Toc467665315"/>
      <w:r>
        <w:t>Energy concessions</w:t>
      </w:r>
      <w:bookmarkEnd w:id="31"/>
    </w:p>
    <w:p w:rsidR="00697BCD" w:rsidRDefault="00697BCD" w:rsidP="00697BCD">
      <w:r>
        <w:t xml:space="preserve">A concession is a reduction, discount, subsidy, rebate, waiver or exemption provided by the government on the value of goods and services. It may be offered to a household, family or individual, and is generally provided on the basis of low income, special needs of disadvantage or some other category such as age or war service. Energy concessions are provided by state and territory governments. </w:t>
      </w:r>
    </w:p>
    <w:p w:rsidR="00697BCD" w:rsidRDefault="00697BCD" w:rsidP="00697BCD">
      <w:r>
        <w:t>We use the following indicators to report on energy concessions:</w:t>
      </w:r>
    </w:p>
    <w:p w:rsidR="00697BCD" w:rsidRDefault="00697BCD" w:rsidP="00697BCD">
      <w:pPr>
        <w:pStyle w:val="ListBullet"/>
      </w:pPr>
      <w:r>
        <w:t>number of customers in receipt of energy concessions (table 2.16)</w:t>
      </w:r>
    </w:p>
    <w:p w:rsidR="00697BCD" w:rsidRDefault="00697BCD" w:rsidP="00697BCD">
      <w:pPr>
        <w:pStyle w:val="ListBullet"/>
      </w:pPr>
      <w:r>
        <w:t>number of customers in receipt of energy concessions who were disconnected for non-payment (table 2.14)</w:t>
      </w:r>
    </w:p>
    <w:p w:rsidR="00697BCD" w:rsidRDefault="00697BCD" w:rsidP="00697BCD">
      <w:pPr>
        <w:pStyle w:val="ListBullet"/>
      </w:pPr>
      <w:proofErr w:type="gramStart"/>
      <w:r>
        <w:t>number</w:t>
      </w:r>
      <w:proofErr w:type="gramEnd"/>
      <w:r>
        <w:t xml:space="preserve"> of customers in receipt of energy concessions who were on a hardship program (table 2.7).</w:t>
      </w:r>
    </w:p>
    <w:p w:rsidR="00697BCD" w:rsidRDefault="00697BCD" w:rsidP="00697BCD">
      <w:pPr>
        <w:pStyle w:val="Tabletitle"/>
      </w:pPr>
      <w:r>
        <w:t>Table 2.16:</w:t>
      </w:r>
      <w:r>
        <w:tab/>
        <w:t>Customers receiving energy concessions</w:t>
      </w:r>
    </w:p>
    <w:tbl>
      <w:tblPr>
        <w:tblW w:w="5000" w:type="pct"/>
        <w:tblBorders>
          <w:top w:val="single" w:sz="4" w:space="0" w:color="BFBFBF"/>
          <w:bottom w:val="single" w:sz="4" w:space="0" w:color="BFBFBF"/>
        </w:tblBorders>
        <w:tblLook w:val="0000" w:firstRow="0" w:lastRow="0" w:firstColumn="0" w:lastColumn="0" w:noHBand="0" w:noVBand="0"/>
      </w:tblPr>
      <w:tblGrid>
        <w:gridCol w:w="1872"/>
        <w:gridCol w:w="1908"/>
        <w:gridCol w:w="1908"/>
        <w:gridCol w:w="1908"/>
        <w:gridCol w:w="2032"/>
      </w:tblGrid>
      <w:tr w:rsidR="00697BCD" w:rsidRPr="00391B03" w:rsidTr="00391B03">
        <w:trPr>
          <w:trHeight w:val="255"/>
        </w:trPr>
        <w:tc>
          <w:tcPr>
            <w:tcW w:w="97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981" w:type="pct"/>
            <w:gridSpan w:val="2"/>
            <w:shd w:val="clear" w:color="auto" w:fill="auto"/>
          </w:tcPr>
          <w:p w:rsidR="00697BCD" w:rsidRDefault="00697BCD" w:rsidP="006B1E9F">
            <w:pPr>
              <w:pStyle w:val="TableHeading-right"/>
            </w:pPr>
            <w:r>
              <w:t>Electricity</w:t>
            </w:r>
          </w:p>
        </w:tc>
        <w:tc>
          <w:tcPr>
            <w:tcW w:w="2047" w:type="pct"/>
            <w:gridSpan w:val="2"/>
            <w:shd w:val="clear" w:color="auto" w:fill="auto"/>
          </w:tcPr>
          <w:p w:rsidR="00697BCD" w:rsidRDefault="00697BCD" w:rsidP="006B1E9F">
            <w:pPr>
              <w:pStyle w:val="TableHeading-right"/>
            </w:pPr>
            <w:r>
              <w:t>Gas</w:t>
            </w:r>
          </w:p>
        </w:tc>
      </w:tr>
      <w:tr w:rsidR="00697BCD" w:rsidRPr="00391B03" w:rsidTr="00391B03">
        <w:trPr>
          <w:trHeight w:val="255"/>
        </w:trPr>
        <w:tc>
          <w:tcPr>
            <w:tcW w:w="972" w:type="pct"/>
            <w:shd w:val="clear" w:color="auto" w:fill="auto"/>
          </w:tcPr>
          <w:p w:rsidR="00697BCD" w:rsidRPr="00391B03" w:rsidRDefault="00697BCD" w:rsidP="00624E11">
            <w:pPr>
              <w:pStyle w:val="Tabletext"/>
            </w:pPr>
            <w:r w:rsidRPr="00391B03">
              <w:t>Queensland</w:t>
            </w:r>
          </w:p>
        </w:tc>
        <w:tc>
          <w:tcPr>
            <w:tcW w:w="991" w:type="pct"/>
            <w:shd w:val="clear" w:color="auto" w:fill="auto"/>
          </w:tcPr>
          <w:p w:rsidR="00697BCD" w:rsidRDefault="00697BCD" w:rsidP="00624E11">
            <w:pPr>
              <w:pStyle w:val="Tabletext-right"/>
            </w:pPr>
            <w:r>
              <w:t>26%</w:t>
            </w:r>
          </w:p>
        </w:tc>
        <w:tc>
          <w:tcPr>
            <w:tcW w:w="991" w:type="pct"/>
            <w:shd w:val="clear" w:color="auto" w:fill="auto"/>
          </w:tcPr>
          <w:p w:rsidR="00697BCD" w:rsidRDefault="00697BCD" w:rsidP="00624E11">
            <w:pPr>
              <w:pStyle w:val="Tabletext-right"/>
            </w:pPr>
            <w:r>
              <w:t xml:space="preserve"> –</w:t>
            </w:r>
          </w:p>
        </w:tc>
        <w:tc>
          <w:tcPr>
            <w:tcW w:w="991" w:type="pct"/>
            <w:shd w:val="clear" w:color="auto" w:fill="auto"/>
          </w:tcPr>
          <w:p w:rsidR="00697BCD" w:rsidRDefault="00697BCD" w:rsidP="00624E11">
            <w:pPr>
              <w:pStyle w:val="Tabletext-right"/>
            </w:pPr>
            <w:r>
              <w:t>20%</w:t>
            </w:r>
          </w:p>
        </w:tc>
        <w:tc>
          <w:tcPr>
            <w:tcW w:w="1056"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972" w:type="pct"/>
            <w:shd w:val="clear" w:color="auto" w:fill="auto"/>
          </w:tcPr>
          <w:p w:rsidR="00697BCD" w:rsidRPr="00391B03" w:rsidRDefault="00697BCD" w:rsidP="00624E11">
            <w:pPr>
              <w:pStyle w:val="Tabletext"/>
            </w:pPr>
            <w:r w:rsidRPr="00391B03">
              <w:t>New South Wales</w:t>
            </w:r>
          </w:p>
        </w:tc>
        <w:tc>
          <w:tcPr>
            <w:tcW w:w="991" w:type="pct"/>
            <w:shd w:val="clear" w:color="auto" w:fill="auto"/>
          </w:tcPr>
          <w:p w:rsidR="00697BCD" w:rsidRDefault="00697BCD" w:rsidP="00624E11">
            <w:pPr>
              <w:pStyle w:val="Tabletext-right"/>
            </w:pPr>
            <w:r>
              <w:t>27%</w:t>
            </w:r>
          </w:p>
        </w:tc>
        <w:tc>
          <w:tcPr>
            <w:tcW w:w="991" w:type="pct"/>
            <w:shd w:val="clear" w:color="auto" w:fill="auto"/>
          </w:tcPr>
          <w:p w:rsidR="00697BCD" w:rsidRDefault="00697BCD" w:rsidP="00624E11">
            <w:pPr>
              <w:pStyle w:val="Tabletext-right"/>
            </w:pPr>
            <w:r w:rsidRPr="00391B03">
              <w:rPr>
                <w:rFonts w:ascii="ArialMT" w:hAnsi="ArialMT" w:cs="ArialMT"/>
              </w:rPr>
              <w:t>▼</w:t>
            </w:r>
            <w:r>
              <w:t>2%</w:t>
            </w:r>
          </w:p>
        </w:tc>
        <w:tc>
          <w:tcPr>
            <w:tcW w:w="991" w:type="pct"/>
            <w:shd w:val="clear" w:color="auto" w:fill="auto"/>
          </w:tcPr>
          <w:p w:rsidR="00697BCD" w:rsidRDefault="00697BCD" w:rsidP="00624E11">
            <w:pPr>
              <w:pStyle w:val="Tabletext-right"/>
            </w:pPr>
            <w:r>
              <w:t>18%</w:t>
            </w:r>
          </w:p>
        </w:tc>
        <w:tc>
          <w:tcPr>
            <w:tcW w:w="1056" w:type="pct"/>
            <w:shd w:val="clear" w:color="auto" w:fill="auto"/>
          </w:tcPr>
          <w:p w:rsidR="00697BCD" w:rsidRDefault="00697BCD" w:rsidP="00624E11">
            <w:pPr>
              <w:pStyle w:val="Tabletext-right"/>
            </w:pPr>
            <w:r>
              <w:t>18%</w:t>
            </w:r>
          </w:p>
        </w:tc>
      </w:tr>
      <w:tr w:rsidR="00697BCD" w:rsidRPr="00391B03" w:rsidTr="00391B03">
        <w:trPr>
          <w:trHeight w:val="255"/>
        </w:trPr>
        <w:tc>
          <w:tcPr>
            <w:tcW w:w="972" w:type="pct"/>
            <w:shd w:val="clear" w:color="auto" w:fill="auto"/>
          </w:tcPr>
          <w:p w:rsidR="00697BCD" w:rsidRPr="00391B03" w:rsidRDefault="00697BCD" w:rsidP="00624E11">
            <w:pPr>
              <w:pStyle w:val="Tabletext"/>
            </w:pPr>
            <w:r w:rsidRPr="00391B03">
              <w:t>South Australia</w:t>
            </w:r>
          </w:p>
        </w:tc>
        <w:tc>
          <w:tcPr>
            <w:tcW w:w="991" w:type="pct"/>
            <w:shd w:val="clear" w:color="auto" w:fill="auto"/>
          </w:tcPr>
          <w:p w:rsidR="00697BCD" w:rsidRDefault="00697BCD" w:rsidP="00624E11">
            <w:pPr>
              <w:pStyle w:val="Tabletext-right"/>
            </w:pPr>
            <w:r>
              <w:t>27%</w:t>
            </w:r>
          </w:p>
        </w:tc>
        <w:tc>
          <w:tcPr>
            <w:tcW w:w="991" w:type="pct"/>
            <w:shd w:val="clear" w:color="auto" w:fill="auto"/>
          </w:tcPr>
          <w:p w:rsidR="00697BCD" w:rsidRDefault="00697BCD" w:rsidP="00624E11">
            <w:pPr>
              <w:pStyle w:val="Tabletext-right"/>
            </w:pPr>
            <w:r w:rsidRPr="00391B03">
              <w:rPr>
                <w:rFonts w:ascii="ArialMT" w:hAnsi="ArialMT" w:cs="ArialMT"/>
              </w:rPr>
              <w:t>▼</w:t>
            </w:r>
            <w:r>
              <w:t>2%</w:t>
            </w:r>
          </w:p>
        </w:tc>
        <w:tc>
          <w:tcPr>
            <w:tcW w:w="991" w:type="pct"/>
            <w:shd w:val="clear" w:color="auto" w:fill="auto"/>
          </w:tcPr>
          <w:p w:rsidR="00697BCD" w:rsidRDefault="00697BCD" w:rsidP="00624E11">
            <w:pPr>
              <w:pStyle w:val="Tabletext-right"/>
            </w:pPr>
            <w:r>
              <w:t>8%</w:t>
            </w:r>
          </w:p>
        </w:tc>
        <w:tc>
          <w:tcPr>
            <w:tcW w:w="1056" w:type="pct"/>
            <w:shd w:val="clear" w:color="auto" w:fill="auto"/>
          </w:tcPr>
          <w:p w:rsidR="00697BCD" w:rsidRDefault="00697BCD" w:rsidP="00624E11">
            <w:pPr>
              <w:pStyle w:val="Tabletext-right"/>
            </w:pPr>
            <w:r w:rsidRPr="00391B03">
              <w:rPr>
                <w:rFonts w:ascii="ArialMT" w:hAnsi="ArialMT" w:cs="ArialMT"/>
              </w:rPr>
              <w:t>▼</w:t>
            </w:r>
            <w:r>
              <w:t>18%</w:t>
            </w:r>
          </w:p>
        </w:tc>
      </w:tr>
      <w:tr w:rsidR="00697BCD" w:rsidRPr="00391B03" w:rsidTr="00391B03">
        <w:trPr>
          <w:trHeight w:val="255"/>
        </w:trPr>
        <w:tc>
          <w:tcPr>
            <w:tcW w:w="972" w:type="pct"/>
            <w:shd w:val="clear" w:color="auto" w:fill="auto"/>
          </w:tcPr>
          <w:p w:rsidR="00697BCD" w:rsidRPr="00391B03" w:rsidRDefault="00697BCD" w:rsidP="00624E11">
            <w:pPr>
              <w:pStyle w:val="Tabletext"/>
            </w:pPr>
            <w:r w:rsidRPr="00391B03">
              <w:t>Tasmania</w:t>
            </w:r>
          </w:p>
        </w:tc>
        <w:tc>
          <w:tcPr>
            <w:tcW w:w="991" w:type="pct"/>
            <w:shd w:val="clear" w:color="auto" w:fill="auto"/>
          </w:tcPr>
          <w:p w:rsidR="00697BCD" w:rsidRDefault="00697BCD" w:rsidP="00624E11">
            <w:pPr>
              <w:pStyle w:val="Tabletext-right"/>
            </w:pPr>
            <w:r>
              <w:t>34%</w:t>
            </w:r>
          </w:p>
        </w:tc>
        <w:tc>
          <w:tcPr>
            <w:tcW w:w="991" w:type="pct"/>
            <w:shd w:val="clear" w:color="auto" w:fill="auto"/>
          </w:tcPr>
          <w:p w:rsidR="00697BCD" w:rsidRDefault="00697BCD" w:rsidP="00624E11">
            <w:pPr>
              <w:pStyle w:val="Tabletext-right"/>
            </w:pPr>
            <w:r w:rsidRPr="00391B03">
              <w:rPr>
                <w:rFonts w:ascii="ArialMT" w:hAnsi="ArialMT" w:cs="ArialMT"/>
              </w:rPr>
              <w:t>▼</w:t>
            </w:r>
            <w:r>
              <w:t>4%</w:t>
            </w:r>
          </w:p>
        </w:tc>
        <w:tc>
          <w:tcPr>
            <w:tcW w:w="991" w:type="pct"/>
            <w:shd w:val="clear" w:color="auto" w:fill="auto"/>
          </w:tcPr>
          <w:p w:rsidR="00697BCD" w:rsidRDefault="00697BCD" w:rsidP="00624E11">
            <w:pPr>
              <w:pStyle w:val="Tabletext-right"/>
            </w:pPr>
            <w:r>
              <w:t>–</w:t>
            </w:r>
          </w:p>
        </w:tc>
        <w:tc>
          <w:tcPr>
            <w:tcW w:w="1056" w:type="pct"/>
            <w:shd w:val="clear" w:color="auto" w:fill="auto"/>
          </w:tcPr>
          <w:p w:rsidR="00697BCD" w:rsidRDefault="00697BCD" w:rsidP="00624E11">
            <w:pPr>
              <w:pStyle w:val="Tabletext-right"/>
            </w:pPr>
            <w:r>
              <w:t xml:space="preserve"> –</w:t>
            </w:r>
          </w:p>
        </w:tc>
      </w:tr>
      <w:tr w:rsidR="00697BCD" w:rsidRPr="00391B03" w:rsidTr="00391B03">
        <w:trPr>
          <w:trHeight w:val="255"/>
        </w:trPr>
        <w:tc>
          <w:tcPr>
            <w:tcW w:w="972" w:type="pct"/>
            <w:shd w:val="clear" w:color="auto" w:fill="auto"/>
          </w:tcPr>
          <w:p w:rsidR="00697BCD" w:rsidRPr="00391B03" w:rsidRDefault="00697BCD" w:rsidP="00624E11">
            <w:pPr>
              <w:pStyle w:val="Tabletext"/>
            </w:pPr>
            <w:r w:rsidRPr="00391B03">
              <w:t>ACT</w:t>
            </w:r>
          </w:p>
        </w:tc>
        <w:tc>
          <w:tcPr>
            <w:tcW w:w="991" w:type="pct"/>
            <w:shd w:val="clear" w:color="auto" w:fill="auto"/>
          </w:tcPr>
          <w:p w:rsidR="00697BCD" w:rsidRDefault="00697BCD" w:rsidP="00624E11">
            <w:pPr>
              <w:pStyle w:val="Tabletext-right"/>
            </w:pPr>
            <w:r>
              <w:t>16%</w:t>
            </w:r>
          </w:p>
        </w:tc>
        <w:tc>
          <w:tcPr>
            <w:tcW w:w="991" w:type="pct"/>
            <w:shd w:val="clear" w:color="auto" w:fill="auto"/>
          </w:tcPr>
          <w:p w:rsidR="00697BCD" w:rsidRDefault="00697BCD" w:rsidP="00624E11">
            <w:pPr>
              <w:pStyle w:val="Tabletext-right"/>
            </w:pPr>
            <w:r w:rsidRPr="00391B03">
              <w:rPr>
                <w:rFonts w:ascii="ArialMT" w:hAnsi="ArialMT" w:cs="ArialMT"/>
              </w:rPr>
              <w:t>▼</w:t>
            </w:r>
            <w:r>
              <w:t>1%</w:t>
            </w:r>
          </w:p>
        </w:tc>
        <w:tc>
          <w:tcPr>
            <w:tcW w:w="991" w:type="pct"/>
            <w:shd w:val="clear" w:color="auto" w:fill="auto"/>
          </w:tcPr>
          <w:p w:rsidR="00697BCD" w:rsidRDefault="00697BCD" w:rsidP="00624E11">
            <w:pPr>
              <w:pStyle w:val="Tabletext-right"/>
            </w:pPr>
            <w:r>
              <w:t>4%</w:t>
            </w:r>
          </w:p>
        </w:tc>
        <w:tc>
          <w:tcPr>
            <w:tcW w:w="1056" w:type="pct"/>
            <w:shd w:val="clear" w:color="auto" w:fill="auto"/>
          </w:tcPr>
          <w:p w:rsidR="00697BCD" w:rsidRDefault="00697BCD" w:rsidP="00624E11">
            <w:pPr>
              <w:pStyle w:val="Tabletext-right"/>
            </w:pPr>
            <w:r w:rsidRPr="00391B03">
              <w:rPr>
                <w:rFonts w:ascii="ArialMT" w:hAnsi="ArialMT" w:cs="ArialMT"/>
              </w:rPr>
              <w:t>▲</w:t>
            </w:r>
            <w:r>
              <w:t>13%</w:t>
            </w:r>
          </w:p>
        </w:tc>
      </w:tr>
    </w:tbl>
    <w:p w:rsidR="00697BCD" w:rsidRDefault="00697BCD"/>
    <w:p w:rsidR="00697BCD" w:rsidRDefault="00697BCD">
      <w:pPr>
        <w:rPr>
          <w:rStyle w:val="Subscript"/>
        </w:rPr>
      </w:pPr>
      <w:r>
        <w:t>Note: The proportion of gas customers receiving concessions in South Australia and the ACT is estimated, as not all retailers distinguish whether the total energy concession is applied to gas bills.</w:t>
      </w:r>
    </w:p>
    <w:p w:rsidR="00697BCD" w:rsidRDefault="00697BCD" w:rsidP="00697BCD">
      <w:r>
        <w:t>Chapter 3 of this report examines energy concessions in greater detail, including typical savings that customers make with concessions in each jurisdiction.</w:t>
      </w:r>
    </w:p>
    <w:p w:rsidR="00697BCD" w:rsidRDefault="00697BCD" w:rsidP="000F3A56">
      <w:pPr>
        <w:pStyle w:val="Numbered11"/>
      </w:pPr>
      <w:bookmarkStart w:id="32" w:name="_Toc467665316"/>
      <w:r>
        <w:t>Security deposits</w:t>
      </w:r>
      <w:bookmarkEnd w:id="32"/>
    </w:p>
    <w:p w:rsidR="00697BCD" w:rsidRDefault="00697BCD" w:rsidP="00697BCD">
      <w:r>
        <w:t xml:space="preserve">Retailers can only require small customers to provide security deposits in specific circumstances, for example if the customer owes the retailer money for another account or if the </w:t>
      </w:r>
      <w:r>
        <w:lastRenderedPageBreak/>
        <w:t>customer has fraudulently acquired energy in the previous two years.</w:t>
      </w:r>
      <w:r w:rsidRPr="009D1DEC">
        <w:rPr>
          <w:rStyle w:val="Superscript"/>
        </w:rPr>
        <w:footnoteReference w:id="28"/>
      </w:r>
      <w:r>
        <w:t xml:space="preserve"> Very few retailers hold security deposits—only Aurora Energy, Origin Energy and Ergon Energy in 2015–16. </w:t>
      </w:r>
    </w:p>
    <w:p w:rsidR="00697BCD" w:rsidRDefault="00697BCD" w:rsidP="00697BCD">
      <w:r>
        <w:t>Ergon holds deposits from more than 40 000 customers, which total $14.2 million. Ergon stopped requesting security deposits from new residential customers from 1 July 2015 (the date the Retail Law commenced in Queensland) and has advised</w:t>
      </w:r>
      <w:r w:rsidRPr="009D1DEC">
        <w:rPr>
          <w:rStyle w:val="Superscript"/>
        </w:rPr>
        <w:footnoteReference w:id="29"/>
      </w:r>
      <w:r>
        <w:t xml:space="preserve"> that it will return deposits, with interest, after completing one year of paying bills by the due date. Accordingly, we would expect to see the number of customers with deposits decrease (and the amount held) by time of the next annual performance report.</w:t>
      </w:r>
    </w:p>
    <w:p w:rsidR="00697BCD" w:rsidRDefault="00697BCD" w:rsidP="00697BCD">
      <w:pPr>
        <w:pStyle w:val="Tabletitle"/>
      </w:pPr>
      <w:r>
        <w:t>Table 2.17:</w:t>
      </w:r>
      <w:r>
        <w:tab/>
        <w:t>Security deposits held by retailers as at 30 June 2016</w:t>
      </w:r>
    </w:p>
    <w:tbl>
      <w:tblPr>
        <w:tblW w:w="5000" w:type="pct"/>
        <w:tblBorders>
          <w:top w:val="single" w:sz="4" w:space="0" w:color="BFBFBF"/>
          <w:bottom w:val="single" w:sz="4" w:space="0" w:color="BFBFBF"/>
        </w:tblBorders>
        <w:tblLook w:val="0000" w:firstRow="0" w:lastRow="0" w:firstColumn="0" w:lastColumn="0" w:noHBand="0" w:noVBand="0"/>
      </w:tblPr>
      <w:tblGrid>
        <w:gridCol w:w="2278"/>
        <w:gridCol w:w="3674"/>
        <w:gridCol w:w="3676"/>
      </w:tblGrid>
      <w:tr w:rsidR="00697BCD" w:rsidRPr="00391B03" w:rsidTr="00391B03">
        <w:trPr>
          <w:trHeight w:val="255"/>
        </w:trPr>
        <w:tc>
          <w:tcPr>
            <w:tcW w:w="1183" w:type="pct"/>
            <w:shd w:val="clear" w:color="auto" w:fill="auto"/>
          </w:tcPr>
          <w:p w:rsidR="00697BCD" w:rsidRPr="00391B03" w:rsidRDefault="00697BCD" w:rsidP="006B1E9F">
            <w:pPr>
              <w:pStyle w:val="TableHeading"/>
            </w:pPr>
            <w:r w:rsidRPr="00391B03">
              <w:t>Retailer</w:t>
            </w:r>
          </w:p>
        </w:tc>
        <w:tc>
          <w:tcPr>
            <w:tcW w:w="1908" w:type="pct"/>
            <w:shd w:val="clear" w:color="auto" w:fill="auto"/>
          </w:tcPr>
          <w:p w:rsidR="00697BCD" w:rsidRPr="00391B03" w:rsidRDefault="00697BCD" w:rsidP="006B1E9F">
            <w:pPr>
              <w:pStyle w:val="TableHeading"/>
            </w:pPr>
            <w:r w:rsidRPr="00391B03">
              <w:t xml:space="preserve">Customers with security deposits </w:t>
            </w:r>
          </w:p>
        </w:tc>
        <w:tc>
          <w:tcPr>
            <w:tcW w:w="1909" w:type="pct"/>
            <w:shd w:val="clear" w:color="auto" w:fill="auto"/>
          </w:tcPr>
          <w:p w:rsidR="00697BCD" w:rsidRDefault="00697BCD" w:rsidP="006B1E9F">
            <w:pPr>
              <w:pStyle w:val="TableHeading-right"/>
            </w:pPr>
            <w:r>
              <w:t>Total value of security deposits</w:t>
            </w:r>
          </w:p>
        </w:tc>
      </w:tr>
      <w:tr w:rsidR="00697BCD" w:rsidRPr="00391B03" w:rsidTr="00391B03">
        <w:trPr>
          <w:trHeight w:val="255"/>
        </w:trPr>
        <w:tc>
          <w:tcPr>
            <w:tcW w:w="1183" w:type="pct"/>
            <w:shd w:val="clear" w:color="auto" w:fill="auto"/>
          </w:tcPr>
          <w:p w:rsidR="00697BCD" w:rsidRPr="00391B03" w:rsidRDefault="00697BCD" w:rsidP="00624E11">
            <w:pPr>
              <w:pStyle w:val="Tabletext"/>
            </w:pPr>
            <w:r w:rsidRPr="00391B03">
              <w:t>Aurora Energy</w:t>
            </w:r>
          </w:p>
        </w:tc>
        <w:tc>
          <w:tcPr>
            <w:tcW w:w="1908" w:type="pct"/>
            <w:shd w:val="clear" w:color="auto" w:fill="auto"/>
          </w:tcPr>
          <w:p w:rsidR="00697BCD" w:rsidRPr="00391B03" w:rsidRDefault="00697BCD" w:rsidP="00624E11">
            <w:pPr>
              <w:pStyle w:val="Tabletext"/>
            </w:pPr>
            <w:r w:rsidRPr="00391B03">
              <w:t>24 (small business)</w:t>
            </w:r>
          </w:p>
        </w:tc>
        <w:tc>
          <w:tcPr>
            <w:tcW w:w="1909" w:type="pct"/>
            <w:shd w:val="clear" w:color="auto" w:fill="auto"/>
          </w:tcPr>
          <w:p w:rsidR="00697BCD" w:rsidRDefault="00697BCD" w:rsidP="00624E11">
            <w:pPr>
              <w:pStyle w:val="Tabletext-right"/>
            </w:pPr>
            <w:r>
              <w:t>$11 7350</w:t>
            </w:r>
          </w:p>
        </w:tc>
      </w:tr>
      <w:tr w:rsidR="00697BCD" w:rsidRPr="00391B03" w:rsidTr="00391B03">
        <w:trPr>
          <w:trHeight w:val="255"/>
        </w:trPr>
        <w:tc>
          <w:tcPr>
            <w:tcW w:w="1183" w:type="pct"/>
            <w:shd w:val="clear" w:color="auto" w:fill="auto"/>
          </w:tcPr>
          <w:p w:rsidR="00697BCD" w:rsidRPr="00391B03" w:rsidRDefault="00697BCD" w:rsidP="00624E11">
            <w:pPr>
              <w:pStyle w:val="Tabletext"/>
            </w:pPr>
            <w:r w:rsidRPr="00391B03">
              <w:t>Ergon Energy</w:t>
            </w:r>
          </w:p>
        </w:tc>
        <w:tc>
          <w:tcPr>
            <w:tcW w:w="1908" w:type="pct"/>
            <w:shd w:val="clear" w:color="auto" w:fill="auto"/>
          </w:tcPr>
          <w:p w:rsidR="00697BCD" w:rsidRPr="00391B03" w:rsidRDefault="00697BCD" w:rsidP="00624E11">
            <w:pPr>
              <w:pStyle w:val="Tabletext"/>
            </w:pPr>
            <w:r w:rsidRPr="00391B03">
              <w:t xml:space="preserve">33 494 (residential) </w:t>
            </w:r>
          </w:p>
          <w:p w:rsidR="00697BCD" w:rsidRPr="00391B03" w:rsidRDefault="00697BCD" w:rsidP="00624E11">
            <w:pPr>
              <w:pStyle w:val="Tabletext"/>
            </w:pPr>
            <w:r w:rsidRPr="00391B03">
              <w:t>7 616 (small business)</w:t>
            </w:r>
          </w:p>
        </w:tc>
        <w:tc>
          <w:tcPr>
            <w:tcW w:w="1909" w:type="pct"/>
            <w:shd w:val="clear" w:color="auto" w:fill="auto"/>
          </w:tcPr>
          <w:p w:rsidR="00697BCD" w:rsidRDefault="00697BCD" w:rsidP="00624E11">
            <w:pPr>
              <w:pStyle w:val="Tabletext-right"/>
            </w:pPr>
            <w:r>
              <w:t>$1 422 5047</w:t>
            </w:r>
          </w:p>
        </w:tc>
      </w:tr>
      <w:tr w:rsidR="00697BCD" w:rsidRPr="00391B03" w:rsidTr="00391B03">
        <w:trPr>
          <w:trHeight w:val="288"/>
        </w:trPr>
        <w:tc>
          <w:tcPr>
            <w:tcW w:w="1183" w:type="pct"/>
            <w:shd w:val="clear" w:color="auto" w:fill="auto"/>
          </w:tcPr>
          <w:p w:rsidR="00697BCD" w:rsidRPr="00391B03" w:rsidRDefault="00697BCD" w:rsidP="00624E11">
            <w:pPr>
              <w:pStyle w:val="Tabletext"/>
            </w:pPr>
            <w:r w:rsidRPr="00391B03">
              <w:t>Origin Energy</w:t>
            </w:r>
          </w:p>
        </w:tc>
        <w:tc>
          <w:tcPr>
            <w:tcW w:w="1908" w:type="pct"/>
            <w:shd w:val="clear" w:color="auto" w:fill="auto"/>
          </w:tcPr>
          <w:p w:rsidR="00697BCD" w:rsidRPr="00391B03" w:rsidRDefault="00697BCD" w:rsidP="00624E11">
            <w:pPr>
              <w:pStyle w:val="Tabletext"/>
            </w:pPr>
            <w:r w:rsidRPr="00391B03">
              <w:t>7 (residential)</w:t>
            </w:r>
          </w:p>
        </w:tc>
        <w:tc>
          <w:tcPr>
            <w:tcW w:w="1909" w:type="pct"/>
            <w:shd w:val="clear" w:color="auto" w:fill="auto"/>
          </w:tcPr>
          <w:p w:rsidR="00697BCD" w:rsidRDefault="00697BCD" w:rsidP="00624E11">
            <w:pPr>
              <w:pStyle w:val="Tabletext-right"/>
            </w:pPr>
            <w:r>
              <w:t xml:space="preserve">$1 240 </w:t>
            </w:r>
          </w:p>
        </w:tc>
      </w:tr>
    </w:tbl>
    <w:p w:rsidR="00697BCD" w:rsidRDefault="00697BCD"/>
    <w:tbl>
      <w:tblPr>
        <w:tblW w:w="0" w:type="auto"/>
        <w:tblInd w:w="170" w:type="dxa"/>
        <w:tblLayout w:type="fixed"/>
        <w:tblCellMar>
          <w:left w:w="0" w:type="dxa"/>
          <w:right w:w="0" w:type="dxa"/>
        </w:tblCellMar>
        <w:tblLook w:val="0000" w:firstRow="0" w:lastRow="0" w:firstColumn="0" w:lastColumn="0" w:noHBand="0" w:noVBand="0"/>
      </w:tblPr>
      <w:tblGrid>
        <w:gridCol w:w="9356"/>
      </w:tblGrid>
      <w:tr w:rsidR="00697BCD" w:rsidRPr="00391B03" w:rsidTr="002A30C9">
        <w:trPr>
          <w:trHeight w:val="60"/>
        </w:trPr>
        <w:tc>
          <w:tcPr>
            <w:tcW w:w="9356" w:type="dxa"/>
            <w:tcBorders>
              <w:top w:val="single" w:sz="6" w:space="0" w:color="auto"/>
              <w:left w:val="single" w:sz="6" w:space="0" w:color="auto"/>
              <w:bottom w:val="single" w:sz="6" w:space="0" w:color="auto"/>
              <w:right w:val="single" w:sz="6" w:space="0" w:color="auto"/>
            </w:tcBorders>
            <w:shd w:val="solid" w:color="BEB3A9" w:fill="auto"/>
            <w:tcMar>
              <w:top w:w="170" w:type="dxa"/>
              <w:left w:w="170" w:type="dxa"/>
              <w:bottom w:w="170" w:type="dxa"/>
              <w:right w:w="170" w:type="dxa"/>
            </w:tcMar>
          </w:tcPr>
          <w:p w:rsidR="00697BCD" w:rsidRPr="00391B03" w:rsidRDefault="00697BCD" w:rsidP="000F3A56">
            <w:pPr>
              <w:pStyle w:val="Heading3"/>
            </w:pPr>
            <w:bookmarkStart w:id="33" w:name="_Toc467665317"/>
            <w:proofErr w:type="spellStart"/>
            <w:r w:rsidRPr="00391B03">
              <w:t>GoEnergy</w:t>
            </w:r>
            <w:proofErr w:type="spellEnd"/>
            <w:r w:rsidRPr="00391B03">
              <w:t xml:space="preserve"> </w:t>
            </w:r>
            <w:proofErr w:type="spellStart"/>
            <w:r w:rsidRPr="00391B03">
              <w:t>RoLR</w:t>
            </w:r>
            <w:proofErr w:type="spellEnd"/>
            <w:r w:rsidRPr="00391B03">
              <w:t xml:space="preserve"> event</w:t>
            </w:r>
            <w:bookmarkEnd w:id="33"/>
          </w:p>
          <w:p w:rsidR="00697BCD" w:rsidRPr="00391B03" w:rsidRDefault="00697BCD" w:rsidP="00697BCD">
            <w:r w:rsidRPr="00391B03">
              <w:t>In April 2016 we oversaw the first transfer of customers of a failed energy retailer in our role overseeing the national Retailer of Last Resort (</w:t>
            </w:r>
            <w:proofErr w:type="spellStart"/>
            <w:r w:rsidRPr="00391B03">
              <w:t>RoLR</w:t>
            </w:r>
            <w:proofErr w:type="spellEnd"/>
            <w:r w:rsidRPr="00391B03">
              <w:t xml:space="preserve">) scheme. </w:t>
            </w:r>
          </w:p>
          <w:p w:rsidR="00697BCD" w:rsidRPr="00391B03" w:rsidRDefault="00697BCD" w:rsidP="00697BCD">
            <w:r w:rsidRPr="00391B03">
              <w:t xml:space="preserve">The transfer followed the Australian Energy Market Operator suspending electricity and gas retailer </w:t>
            </w:r>
            <w:proofErr w:type="spellStart"/>
            <w:r w:rsidRPr="00391B03">
              <w:t>GoEnergy</w:t>
            </w:r>
            <w:proofErr w:type="spellEnd"/>
            <w:r w:rsidRPr="00391B03">
              <w:t xml:space="preserve"> for failing to comply with market requirements.</w:t>
            </w:r>
          </w:p>
          <w:p w:rsidR="00697BCD" w:rsidRPr="00391B03" w:rsidRDefault="00697BCD" w:rsidP="00697BCD">
            <w:proofErr w:type="spellStart"/>
            <w:r w:rsidRPr="00391B03">
              <w:t>GoEnergy’s</w:t>
            </w:r>
            <w:proofErr w:type="spellEnd"/>
            <w:r w:rsidRPr="00391B03">
              <w:t xml:space="preserve"> customers were transferred to other energy retailers under the provisions of the </w:t>
            </w:r>
            <w:proofErr w:type="spellStart"/>
            <w:r w:rsidRPr="00391B03">
              <w:t>RoLR</w:t>
            </w:r>
            <w:proofErr w:type="spellEnd"/>
            <w:r w:rsidRPr="00391B03">
              <w:t xml:space="preserve"> scheme to ensure the continued supply of essential energy services without interruption.</w:t>
            </w:r>
          </w:p>
          <w:p w:rsidR="00697BCD" w:rsidRPr="00391B03" w:rsidRDefault="00697BCD" w:rsidP="00697BCD">
            <w:r w:rsidRPr="00391B03">
              <w:t xml:space="preserve">The </w:t>
            </w:r>
            <w:proofErr w:type="spellStart"/>
            <w:r w:rsidRPr="00391B03">
              <w:t>RoLR</w:t>
            </w:r>
            <w:proofErr w:type="spellEnd"/>
            <w:r w:rsidRPr="00391B03">
              <w:t xml:space="preserve"> scheme is principally designed to ensure that in the event of retailer failure, arrangements are in place to ensure that customers continue to receive electricity and/or gas supply. If an energy retailer fails, we have the power to transfer customers to a new retailer.</w:t>
            </w:r>
          </w:p>
          <w:p w:rsidR="00697BCD" w:rsidRPr="00391B03" w:rsidRDefault="00697BCD" w:rsidP="00697BCD">
            <w:r w:rsidRPr="00391B03">
              <w:t xml:space="preserve">Approximately 2200 electricity customers in the ACT, South Australia, Queensland, and New South Wales were affected by Go Energy’s failure. </w:t>
            </w:r>
          </w:p>
          <w:p w:rsidR="00697BCD" w:rsidRPr="00391B03" w:rsidRDefault="00697BCD" w:rsidP="00697BCD">
            <w:r w:rsidRPr="00391B03">
              <w:t>The failure of Go Energy’s gas retail operations only affected small number of large commercial customers in New South Wales and Queensland, with no residential or small business customers affected.</w:t>
            </w:r>
          </w:p>
          <w:p w:rsidR="00697BCD" w:rsidRPr="00391B03" w:rsidRDefault="00697BCD" w:rsidP="00697BCD">
            <w:r w:rsidRPr="00391B03">
              <w:t xml:space="preserve">The former customers of Go Energy in these jurisdictions were transferred to </w:t>
            </w:r>
            <w:proofErr w:type="spellStart"/>
            <w:r w:rsidRPr="00391B03">
              <w:t>ActewAGL</w:t>
            </w:r>
            <w:proofErr w:type="spellEnd"/>
            <w:r w:rsidRPr="00391B03">
              <w:t xml:space="preserve"> Retail, AGL, Origin Energy, and </w:t>
            </w:r>
            <w:proofErr w:type="spellStart"/>
            <w:r w:rsidRPr="00391B03">
              <w:t>EnergyAustralia</w:t>
            </w:r>
            <w:proofErr w:type="spellEnd"/>
            <w:r w:rsidRPr="00391B03">
              <w:t>.</w:t>
            </w:r>
          </w:p>
        </w:tc>
      </w:tr>
    </w:tbl>
    <w:p w:rsidR="00697BCD" w:rsidRDefault="00697BCD" w:rsidP="009E6D87"/>
    <w:p w:rsidR="00697BCD" w:rsidRDefault="00697BCD" w:rsidP="000F3A56">
      <w:pPr>
        <w:pStyle w:val="Numbered1"/>
      </w:pPr>
      <w:bookmarkStart w:id="34" w:name="_Toc467665318"/>
      <w:r>
        <w:lastRenderedPageBreak/>
        <w:t>Energy affordability</w:t>
      </w:r>
      <w:bookmarkEnd w:id="34"/>
    </w:p>
    <w:p w:rsidR="00697BCD" w:rsidRDefault="00697BCD" w:rsidP="000F3A56">
      <w:pPr>
        <w:pStyle w:val="Numbered11"/>
      </w:pPr>
      <w:bookmarkStart w:id="35" w:name="_Toc467665319"/>
      <w:r>
        <w:t>How we report on energy affordability</w:t>
      </w:r>
      <w:bookmarkEnd w:id="35"/>
      <w:r>
        <w:t xml:space="preserve"> </w:t>
      </w:r>
    </w:p>
    <w:p w:rsidR="00697BCD" w:rsidRDefault="00697BCD" w:rsidP="00697BCD">
      <w:r>
        <w:t>This chapter provides an overview of the annual cost of electricity and gas around the country</w:t>
      </w:r>
      <w:r w:rsidRPr="009D1DEC">
        <w:rPr>
          <w:rStyle w:val="Superscript"/>
        </w:rPr>
        <w:footnoteReference w:id="30"/>
      </w:r>
      <w:r>
        <w:t xml:space="preserve"> for a ‘benchmark household’</w:t>
      </w:r>
      <w:r w:rsidRPr="009D1DEC">
        <w:rPr>
          <w:rStyle w:val="Superscript"/>
        </w:rPr>
        <w:footnoteReference w:id="31"/>
      </w:r>
      <w:r>
        <w:t xml:space="preserve"> as at June 2016.</w:t>
      </w:r>
    </w:p>
    <w:p w:rsidR="00697BCD" w:rsidRDefault="00697BCD" w:rsidP="00697BCD">
      <w:r>
        <w:t>Our state-by-state analysis shows:</w:t>
      </w:r>
    </w:p>
    <w:p w:rsidR="00697BCD" w:rsidRDefault="00697BCD" w:rsidP="00697BCD">
      <w:pPr>
        <w:pStyle w:val="ListBullet"/>
      </w:pPr>
      <w:r>
        <w:t>the range in prices of electricity and gas offers generally available to residential customers in each distribution zone,</w:t>
      </w:r>
    </w:p>
    <w:p w:rsidR="00697BCD" w:rsidRDefault="00697BCD" w:rsidP="00697BCD">
      <w:pPr>
        <w:pStyle w:val="ListBullet"/>
      </w:pPr>
      <w:r>
        <w:t xml:space="preserve">estimates of annual electricity and gas bills (based on the median standing and market offers for benchmark consumption levels in each jurisdiction), and </w:t>
      </w:r>
    </w:p>
    <w:p w:rsidR="00697BCD" w:rsidRDefault="00697BCD" w:rsidP="00697BCD">
      <w:pPr>
        <w:pStyle w:val="ListBullet"/>
      </w:pPr>
      <w:proofErr w:type="gramStart"/>
      <w:r>
        <w:t>annual</w:t>
      </w:r>
      <w:proofErr w:type="gramEnd"/>
      <w:r>
        <w:t xml:space="preserve"> expenditure on electricity and gas bills as a share of disposable income for benchmark low, middle and high income households. For low income households, we also consider the impact of energy concessions. </w:t>
      </w:r>
    </w:p>
    <w:p w:rsidR="00697BCD" w:rsidRDefault="00697BCD" w:rsidP="00697BCD">
      <w:r>
        <w:t>Unless we state otherwise, any reference to ‘market offer’ and ‘standing offer’ refers to the median market and standing offer respectively. Similarly, any reference to an annual bill or charges refers to an estimated annual bill based on a benchmark household’s consumption level. In our analysis of electricity bills we use two benchmark consumption levels for each jurisdiction: one for low income households (which, on average, have 1–2 people) and one for middle and high income (typical) households (which, on average, have 2–3 people). Our analysis of gas bills uses only typical consumption levels. ‘Income’ refers to annual disposable income.</w:t>
      </w:r>
      <w:r w:rsidRPr="009D1DEC">
        <w:rPr>
          <w:rStyle w:val="Superscript"/>
        </w:rPr>
        <w:footnoteReference w:id="32"/>
      </w:r>
      <w:r>
        <w:t xml:space="preserve"> </w:t>
      </w:r>
    </w:p>
    <w:p w:rsidR="00697BCD" w:rsidRDefault="00697BCD" w:rsidP="00697BCD">
      <w:r>
        <w:t>Our methodology and approach is consistent with previous years. It is further explained in appendix 7.</w:t>
      </w:r>
    </w:p>
    <w:p w:rsidR="00697BCD" w:rsidRDefault="00697BCD" w:rsidP="000F3A56">
      <w:pPr>
        <w:pStyle w:val="Numbered11"/>
      </w:pPr>
      <w:bookmarkStart w:id="36" w:name="_Toc467665320"/>
      <w:r>
        <w:t>National overview</w:t>
      </w:r>
      <w:bookmarkEnd w:id="36"/>
    </w:p>
    <w:p w:rsidR="00697BCD" w:rsidRDefault="00697BCD" w:rsidP="00697BCD">
      <w:r>
        <w:t xml:space="preserve">Energy bills reflect the price customers pay and how much they use. </w:t>
      </w:r>
    </w:p>
    <w:p w:rsidR="00697BCD" w:rsidRDefault="00697BCD" w:rsidP="00697BCD">
      <w:r>
        <w:t>Energy customers pay different prices depending on where they live, how much network infrastructure is required to supply energy to them, how much competition there is between retailers in their area, what offer they are on, and whether they are eligible for a concession or rebate to offset the cost.</w:t>
      </w:r>
    </w:p>
    <w:p w:rsidR="00697BCD" w:rsidRDefault="00697BCD" w:rsidP="00697BCD">
      <w:r>
        <w:t xml:space="preserve">Customers use different amounts of energy depending on how many people they live with; how the local climate impacts their heating and cooling needs; their lifestyle and whether they have access to gas or just electricity. </w:t>
      </w:r>
    </w:p>
    <w:p w:rsidR="00697BCD" w:rsidRDefault="00697BCD" w:rsidP="00697BCD">
      <w:r>
        <w:t xml:space="preserve">How ‘affordable’ energy is to each customer also varies, and is largely dependent on household income, as well as the other essential costs of living. </w:t>
      </w:r>
    </w:p>
    <w:p w:rsidR="00697BCD" w:rsidRDefault="00697BCD" w:rsidP="00697BCD">
      <w:r>
        <w:t>Our affordability report considers, but simplifies, these variables to present an overview of how electricity and gas bills are trending around the country, with a particular focus on low income households.</w:t>
      </w:r>
    </w:p>
    <w:p w:rsidR="00697BCD" w:rsidRDefault="00697BCD" w:rsidP="00697BCD">
      <w:r>
        <w:lastRenderedPageBreak/>
        <w:t xml:space="preserve">In this national overview section, we present the analysis in two ways. Figure 3.1 shows the estimated annual electricity and gas bill (respectively) for a low income household on a median market offer in each jurisdiction, and also the percentage of a low-income household’s disposable income that this bill would represent. These bills are calculated using energy usage amounts specific to each jurisdiction. To represent relative prices between jurisdictions, figure 3.2 calculates bills using the same usage level across all jurisdictions. </w:t>
      </w:r>
    </w:p>
    <w:p w:rsidR="00697BCD" w:rsidRDefault="00697BCD" w:rsidP="00697BCD">
      <w:r>
        <w:t>In 2015–16, our analysis shows that electricity bills for a low income household on a market offer fell modestly in most jurisdictions (ranging from a fall of 3 per cent in South Australia to an increase of 2 per cent in Tasmania) over the year to June 2016. Gas bills for low-income households fluctuated more markedly around the country (ranging from a fall of 8.5 per cent in New South Wales to an increase of 9.2 per cent in Victoria).</w:t>
      </w:r>
    </w:p>
    <w:p w:rsidR="00697BCD" w:rsidRDefault="00697BCD" w:rsidP="00697BCD">
      <w:r>
        <w:t xml:space="preserve">Electricity bills for a low-income household remained highest in Tasmania (at $1964 before any concessions) where electricity is the predominant source of fuel and cool climates generate high demand for electricity for heating. Although representing a significant 8.5 per cent of disposable income for a low income household, it is important to note that for most Tasmania households, this would be the only energy bill they receive, unlike in other jurisdictions where many households may also pay a gas bill. </w:t>
      </w:r>
    </w:p>
    <w:p w:rsidR="00697BCD" w:rsidRDefault="00697BCD" w:rsidP="00697BCD">
      <w:r>
        <w:t>Annual electricity bills to June 2016 for low income households in other jurisdictions on the median market offer ranged between $1200 and $1400 (before concessions). As a percentage of income, low-income households in ACT (where incomes are generally higher across all deciles) continued to fare slightly better, spending 3.6 per cent. This compares favourably to the relative spend by low income households in other jurisdictions of between 4.6–5.7 per cent (with Tasmania at 8.5 per cent).</w:t>
      </w:r>
    </w:p>
    <w:p w:rsidR="00697BCD" w:rsidRDefault="00697BCD" w:rsidP="00697BCD">
      <w:r>
        <w:t xml:space="preserve">While Tasmanian households are paying more for their electricity (when calculated using the same usage rate) than households in New South Wales, Victoria and the ACT (and a similar amount to Queensland), South Australian households are actually paying about 11 per cent more than Tasmanians and Queenslanders, even after two successive years of price falls of 3 and 4 per cent respectively. </w:t>
      </w:r>
    </w:p>
    <w:p w:rsidR="00697BCD" w:rsidRDefault="00697BCD" w:rsidP="00697BCD">
      <w:r>
        <w:t>Low income households in the ACT ($1533) and Victoria ($1316) continue to spend the most on their annual gas bills, where gas is both relatively prevalent and a popular fuel for heating during cool to cold winters. Unlike the ACT where bills are comparable to recent years, Victorian households spent 9.2 per cent more than the previous year. For a low-income household in Victoria, this would represent 5.2 per cent of income—higher than the relative spend on gas for a low income household in any other jurisdiction. Relative to the usage of a low-income household, New South Wales households enjoyed the largest fall in their annual gas bills (8.5 per cent), with an annual bill of around $845 (with only Queensland lower at $733 where heating demand is much lower).</w:t>
      </w:r>
    </w:p>
    <w:p w:rsidR="00697BCD" w:rsidRDefault="00697BCD" w:rsidP="00697BCD">
      <w:r>
        <w:t>Victorian households’ spending on gas is due to higher usage alone, rather than price. Even with a 7.5 per cent increase in Victoria to June 2016, gas bills calculated at the same usage rate across all jurisdictions show that charges in Victoria are around 20 per cent cheaper than in New South Wales (the next cheapest) and about 40 per cent cheaper than Queensland and South Australia, where prices are similarly the highest.</w:t>
      </w:r>
    </w:p>
    <w:p w:rsidR="00697BCD" w:rsidRDefault="00697BCD" w:rsidP="00697BCD">
      <w:r>
        <w:t xml:space="preserve">Each state and territory government offers an energy concession to eligible households. Concessions can significantly improve energy affordability. The potential savings vary in each jurisdiction and depend on how the concession is applied, but could be in the order of several hundred dollars a year for each fuel (for example a $484 concession for electricity for Tasmania households, a new $100 concession for gas in New South Wales to go with the existing $250 electricity concession and $215 across both fuels in South Australia). We look more closely at the value and impact of concessions in our state-by-state sections. </w:t>
      </w:r>
    </w:p>
    <w:p w:rsidR="00697BCD" w:rsidRDefault="00697BCD" w:rsidP="00697BCD">
      <w:r>
        <w:lastRenderedPageBreak/>
        <w:t>While concessions represent an important saving for eligible households, our affordability analysis shows that, for many households, there are significant savings to be achieved just by switching to a cheaper offer. We encourage customers to visit our Energy Made Easy website (</w:t>
      </w:r>
      <w:hyperlink r:id="rId26" w:history="1">
        <w:r>
          <w:t>www.energymadeeasy.gov.au</w:t>
        </w:r>
      </w:hyperlink>
      <w:r>
        <w:t>) to check the generally available offers in their area</w:t>
      </w:r>
      <w:r w:rsidRPr="009D1DEC">
        <w:rPr>
          <w:rStyle w:val="Superscript"/>
        </w:rPr>
        <w:footnoteReference w:id="33"/>
      </w:r>
      <w:r>
        <w:t xml:space="preserve">. Again, we look more closely at this in our state-by-state sections. </w:t>
      </w:r>
    </w:p>
    <w:p w:rsidR="00697BCD" w:rsidRDefault="00697BCD" w:rsidP="000F3A56">
      <w:pPr>
        <w:pStyle w:val="Charttitle"/>
      </w:pPr>
      <w:r>
        <w:t>Figure 3.1:</w:t>
      </w:r>
      <w:r>
        <w:tab/>
        <w:t>Annual electricity and gas bills, and as a share of benchmark low income household’s disposable income (without concession)—jurisdiction specific ‘low’ consumption levels, June, 2014, 2015 and 2016</w:t>
      </w:r>
    </w:p>
    <w:p w:rsidR="00697BCD" w:rsidRDefault="00EC4210" w:rsidP="002A30C9">
      <w:r>
        <w:pict>
          <v:shape id="_x0000_i1040" type="#_x0000_t75" alt="Low income households in Tasmania had the highest annual electricity bills, at $1964 without a concession (8.5 per cent of disposable income). Low income households in the ACT had the highest annual gas bills, at $1533. Gas bills of customers in Victoria were lower, but represented the greatest share of income (5.2 per cent). Annual electricity bills comprised the smallest share of disposable income for benchmark low income households in the ACT—3.6 per cent, without a concession applied. Annual gas bills comprised the smallest share of disposable income for benchmark low income households in Queensland—around 2.9 per cent, without a concession applied." style="width:468.45pt;height:172.05pt">
            <v:imagedata r:id="rId27" o:title=""/>
          </v:shape>
        </w:pict>
      </w:r>
    </w:p>
    <w:p w:rsidR="00697BCD" w:rsidRDefault="00697BCD" w:rsidP="000F3A56">
      <w:pPr>
        <w:pStyle w:val="Charttitle"/>
      </w:pPr>
      <w:r>
        <w:t>Figure 3.2:</w:t>
      </w:r>
      <w:r>
        <w:tab/>
        <w:t>Annual electricity and gas bills (6000 kWh 24000 MJ—all jurisdictions), June 2014, 2015 and 2016</w:t>
      </w:r>
    </w:p>
    <w:p w:rsidR="00697BCD" w:rsidRDefault="00EC4210" w:rsidP="002A30C9">
      <w:r>
        <w:pict>
          <v:shape id="_x0000_i1041" type="#_x0000_t75" alt="With equal consumption (of 6000 kWh), the annual electricity bill is highest in South Australia ($2067) followed by Tasmania ($1838). Electricity bills were $1833 in Queensland, $1634 in New South Wales $1632 in Victoria and $1258 in the ACT. There was less variation in gas prices across the jurisdictions. Gas charges were highest in Queensland and South Australia (annual bills of $1139 and $1102 respectively), followed by New South Wales and the ACT, and were cheapest in Victoria ($699)." style="width:468.45pt;height:172.05pt">
            <v:imagedata r:id="rId28" o:title=""/>
          </v:shape>
        </w:pict>
      </w:r>
    </w:p>
    <w:p w:rsidR="00697BCD" w:rsidRDefault="00697BCD" w:rsidP="000F3A56">
      <w:pPr>
        <w:pStyle w:val="Numbered11"/>
      </w:pPr>
      <w:bookmarkStart w:id="37" w:name="_Toc467665321"/>
      <w:r>
        <w:t>Queensland</w:t>
      </w:r>
      <w:bookmarkEnd w:id="37"/>
    </w:p>
    <w:p w:rsidR="00697BCD" w:rsidRDefault="00697BCD" w:rsidP="000F3A56">
      <w:pPr>
        <w:pStyle w:val="Numbered111"/>
      </w:pPr>
      <w:bookmarkStart w:id="38" w:name="_Toc467665322"/>
      <w:r>
        <w:t>Energy prices and bills</w:t>
      </w:r>
      <w:bookmarkEnd w:id="38"/>
      <w:r>
        <w:t xml:space="preserve"> </w:t>
      </w:r>
    </w:p>
    <w:p w:rsidR="00697BCD" w:rsidRDefault="00697BCD" w:rsidP="00697BCD">
      <w:r>
        <w:t xml:space="preserve">There are two electricity distribution zones in Queensland: </w:t>
      </w:r>
    </w:p>
    <w:p w:rsidR="00697BCD" w:rsidRDefault="00697BCD" w:rsidP="00697BCD">
      <w:pPr>
        <w:pStyle w:val="ListBullet"/>
      </w:pPr>
      <w:r>
        <w:t xml:space="preserve">Energex covers south east Queensland (including Brisbane, Sunshine Coast and Gold Coast) and </w:t>
      </w:r>
    </w:p>
    <w:p w:rsidR="00697BCD" w:rsidRDefault="00697BCD" w:rsidP="00697BCD">
      <w:pPr>
        <w:pStyle w:val="ListBullet"/>
      </w:pPr>
      <w:r>
        <w:t>Ergon Energy, the rest of the state (mostly rural and regional).</w:t>
      </w:r>
      <w:r w:rsidRPr="009D1DEC">
        <w:rPr>
          <w:rStyle w:val="Superscript"/>
        </w:rPr>
        <w:footnoteReference w:id="34"/>
      </w:r>
      <w:r>
        <w:t xml:space="preserve"> </w:t>
      </w:r>
    </w:p>
    <w:p w:rsidR="00697BCD" w:rsidRDefault="00697BCD" w:rsidP="00697BCD">
      <w:r>
        <w:lastRenderedPageBreak/>
        <w:t xml:space="preserve">Historically, and for the 12 months of this analysis, the Queensland Competition Authority (QCA) has reviewed the regulated tariffs in Queensland and made annual price determinations. </w:t>
      </w:r>
    </w:p>
    <w:p w:rsidR="00697BCD" w:rsidRDefault="00697BCD" w:rsidP="00697BCD">
      <w:r>
        <w:t xml:space="preserve">However with the commencement of retail electricity price deregulation in south east Queensland (the Energex zone) on 1 July 2016, the QCA will no longer regulate retail electricity prices for residential and small business customers in south east Queensland (but will continue to do so in regional Queensland). </w:t>
      </w:r>
    </w:p>
    <w:p w:rsidR="00697BCD" w:rsidRDefault="00697BCD" w:rsidP="00697BCD">
      <w:r>
        <w:t>The Queensland Government’s decision to commence price deregulation in south east Queensland follows recommendations made in the draft report of the Queensland Productivity Commission’s Electricity Pricing Inquiry. This is aimed at stimulating competition among retailers with respect to prices and products and services.</w:t>
      </w:r>
      <w:r w:rsidRPr="009D1DEC">
        <w:rPr>
          <w:rStyle w:val="Superscript"/>
        </w:rPr>
        <w:footnoteReference w:id="35"/>
      </w:r>
      <w:r>
        <w:t xml:space="preserve"> </w:t>
      </w:r>
    </w:p>
    <w:p w:rsidR="00697BCD" w:rsidRDefault="00697BCD" w:rsidP="00697BCD">
      <w:r>
        <w:t xml:space="preserve">While the Queensland Government continues to consider how competition in regional areas of the state can be improved, for now Ergon Energy will continue to sell electricity at regulated prices, subsidised by the Queensland Government under its uniform tariff policy. </w:t>
      </w:r>
    </w:p>
    <w:p w:rsidR="00697BCD" w:rsidRDefault="00697BCD" w:rsidP="00697BCD">
      <w:r>
        <w:t xml:space="preserve">In 2015–16, the annual electricity bill for households using a typical 4100 kWh per year in Ergon Energy’s zone is $1470. Due to the uniform tariff policy, this is the same as the standing offer available to customers in the Energex zone. </w:t>
      </w:r>
    </w:p>
    <w:p w:rsidR="00697BCD" w:rsidRDefault="00697BCD" w:rsidP="00697BCD">
      <w:r>
        <w:t>Any early price effects of deregulation in the Energex zone may become apparent in next year’s 2016–17 affordability analysis. However even before price deregulation commenced, during 2015–16, households in the Energex zone were able to choose from a range of market and standing electricity offers from up to 15 retailers. Annual electricity bills for these offers ranged from $1340 to $1615, showing the potential savings to customers who shop around. The annual electricity bill for the median market offer was $1401, which was $69 less than the median standing offer (figure 3.3).</w:t>
      </w:r>
    </w:p>
    <w:p w:rsidR="00697BCD" w:rsidRDefault="00697BCD" w:rsidP="000F3A56">
      <w:pPr>
        <w:pStyle w:val="Charttitle"/>
      </w:pPr>
      <w:r>
        <w:lastRenderedPageBreak/>
        <w:t>Figure 3.3:</w:t>
      </w:r>
      <w:r>
        <w:tab/>
        <w:t>Range of generally available electricity offers by distribution zone (4100 kWh)—June 2016</w:t>
      </w:r>
    </w:p>
    <w:p w:rsidR="00697BCD" w:rsidRDefault="00EC4210" w:rsidP="000F3A56">
      <w:pPr>
        <w:pStyle w:val="Charttitle"/>
      </w:pPr>
      <w:r>
        <w:pict>
          <v:shape id="_x0000_i1042" type="#_x0000_t75" alt="For a low income household, annual electricity bills for offers in Energex ranged between $1340 for the cheapest market offer and $1615 for the most expensive. The estimated annual bill for the median market offer was $1401. The annual electricity bill for the median standing offer in Energex was $1470. The annual electricity bill for the median standing offer in Ergon was also $1470." style="width:468.45pt;height:284.25pt">
            <v:imagedata r:id="rId29" o:title=""/>
          </v:shape>
        </w:pict>
      </w:r>
    </w:p>
    <w:p w:rsidR="00697BCD" w:rsidRDefault="00697BCD" w:rsidP="00697BCD">
      <w:r>
        <w:t xml:space="preserve">Queensland has four gas distribution zones: </w:t>
      </w:r>
      <w:proofErr w:type="spellStart"/>
      <w:r>
        <w:t>Allgas</w:t>
      </w:r>
      <w:proofErr w:type="spellEnd"/>
      <w:r>
        <w:t xml:space="preserve"> Energy (south Brisbane and the Gold Coast), Australian Gas Networks (AGN) (Brisbane North and Ipswich), AGN (Northern) and AGN (Wide Bay). </w:t>
      </w:r>
    </w:p>
    <w:p w:rsidR="00697BCD" w:rsidRDefault="00697BCD" w:rsidP="00697BCD">
      <w:r>
        <w:t xml:space="preserve">While gas prices are not subject to price regulation in Queensland, in its 2016 Competition Review, the AEMC maintained that competition continues to be less effective in the south east Queensland retail gas market, due to the small size of the market and the tightening demand and supply conditions in the wholesale gas market. There are only a relatively small number of gas customers in regional Queensland with access to reticulated gas. </w:t>
      </w:r>
    </w:p>
    <w:p w:rsidR="00697BCD" w:rsidRDefault="00697BCD" w:rsidP="00697BCD">
      <w:r>
        <w:t xml:space="preserve">Figure 3.4 shows the range of annual gas bills across the distribution zones. The median market offer was lowest in AGN (Wide Bay) ($460) and highest in AGN (Northern) ($776) for a typical gas consumption level (of 10 000 MJ per year). </w:t>
      </w:r>
    </w:p>
    <w:p w:rsidR="00697BCD" w:rsidRDefault="00697BCD" w:rsidP="00697BCD">
      <w:r>
        <w:t xml:space="preserve">The range between the cheapest and most expensive market offer was most pronounced in the </w:t>
      </w:r>
      <w:proofErr w:type="spellStart"/>
      <w:r>
        <w:t>Allgas</w:t>
      </w:r>
      <w:proofErr w:type="spellEnd"/>
      <w:r>
        <w:t xml:space="preserve"> Energy zone (at $103), with the three AGN zones relatively narrow—as low as $22 for AGN (Wide Bay), where households have the lowest annual bills. </w:t>
      </w:r>
    </w:p>
    <w:p w:rsidR="00697BCD" w:rsidRDefault="00697BCD" w:rsidP="000F3A56">
      <w:pPr>
        <w:pStyle w:val="Charttitle"/>
      </w:pPr>
      <w:r>
        <w:lastRenderedPageBreak/>
        <w:t>Figure 3.4:</w:t>
      </w:r>
      <w:r>
        <w:tab/>
        <w:t xml:space="preserve">Range of generally available gas offers by distribution zone (10 000 MJ)—June 2016 </w:t>
      </w:r>
    </w:p>
    <w:p w:rsidR="00697BCD" w:rsidRDefault="00EC4210" w:rsidP="000F3A56">
      <w:pPr>
        <w:pStyle w:val="Charttitle"/>
      </w:pPr>
      <w:r>
        <w:pict>
          <v:shape id="_x0000_i1043" type="#_x0000_t75" alt="Based on the median market offer, annual gas bills were cheapest in Australian Gas Networks Wide Bay ($460) and most expensive in Australian Gas Networks Northern ($776). Australian Gas Networks Wide Bay and Australian Gas Networks Northern had a very narrow range between the cheapest and most expensive market offers, at $22 and $31 respectively." style="width:471.25pt;height:283.3pt">
            <v:imagedata r:id="rId30" o:title=""/>
          </v:shape>
        </w:pict>
      </w:r>
    </w:p>
    <w:p w:rsidR="00697BCD" w:rsidRDefault="00697BCD" w:rsidP="000F3A56">
      <w:pPr>
        <w:pStyle w:val="Numbered111"/>
      </w:pPr>
      <w:bookmarkStart w:id="39" w:name="_Toc467665323"/>
      <w:r>
        <w:t>Energy bills as a percentage of income</w:t>
      </w:r>
      <w:bookmarkEnd w:id="39"/>
      <w:r>
        <w:t xml:space="preserve"> </w:t>
      </w:r>
    </w:p>
    <w:p w:rsidR="00697BCD" w:rsidRDefault="00697BCD" w:rsidP="00697BCD">
      <w:r>
        <w:t>Two types of energy rebate are available to eligible customers in Queensland.</w:t>
      </w:r>
      <w:r w:rsidRPr="009D1DEC">
        <w:rPr>
          <w:rStyle w:val="Superscript"/>
        </w:rPr>
        <w:footnoteReference w:id="36"/>
      </w:r>
      <w:r>
        <w:t xml:space="preserve"> In 2015–16, the Electricity Rebate provided up to $330 per year towards electricity bills. The Reticulated Natural Gas Rebate provided around $70 per year. Figure 3.5 shows the impact of these rebates on bills for a benchmark low income household. </w:t>
      </w:r>
    </w:p>
    <w:p w:rsidR="00697BCD" w:rsidRDefault="00697BCD" w:rsidP="000F3A56">
      <w:pPr>
        <w:pStyle w:val="Charttitle"/>
      </w:pPr>
      <w:r>
        <w:lastRenderedPageBreak/>
        <w:t>Figure 3.5:</w:t>
      </w:r>
      <w:r>
        <w:tab/>
        <w:t>Annual electricity and gas bills, and as a share of disposable income for a benchmark low income household (4100 kWh and 10 000 MJ)</w:t>
      </w:r>
    </w:p>
    <w:p w:rsidR="00697BCD" w:rsidRDefault="00EC4210" w:rsidP="000F3A56">
      <w:pPr>
        <w:pStyle w:val="Charttitle"/>
      </w:pPr>
      <w:r>
        <w:pict>
          <v:shape id="_x0000_i1044" type="#_x0000_t75" alt="For a low income household, the annual electricity bill for the median market offer was $1401 ($1071 with a concession). This is 5.6 per cent of annual disposable income, or 4.3 per cent with a concession. The annual electricity bill for the median standing offer was higher than the median market offer, at $1470 ($1140 with a concession). This represents 5.9 per cent of a benchmark low income household’s annual disposable income, or 4.5 per cent with a concession.&#10;The annual gas bill for the median market offer was $733 ($664 with a concession). This is 2.9 per cent of annual disposable income (2.6 per cent with a concession). The annual gas bill for the median standing offer was 3 per cent greater than the median market offer, at $756 ($686 with a concession). This represents 3 per cent of a benchmark low income household’s annual disposable income (2.7 per cent with a concession).&#10;" style="width:470.35pt;height:185.15pt">
            <v:imagedata r:id="rId31" o:title=""/>
          </v:shape>
        </w:pict>
      </w:r>
    </w:p>
    <w:p w:rsidR="00697BCD" w:rsidRDefault="00697BCD" w:rsidP="00697BCD">
      <w:r>
        <w:t xml:space="preserve">For a low income household, the annual electricity bill for the median market offer was $1401 ($1071 with a concession). Consistent with last year, this is 5.6 per cent of annual disposable income, or 4.3 per cent with a concession. The annual electricity bill for the median standing offer was $1470, ($1140 with a concession). This represents 5.9 per cent of a benchmark low income household’s annual disposable income, or 4.5 per cent with a concession. The steadying of electricity prices this year in Queensland follows increases of around 3–4 per cent last year but over 20 per cent the year before (not shown). In part, this reflects 2015–20 network determinations for Energex and Ergon, which were expected to contribute to bill reductions in this and coming years. </w:t>
      </w:r>
    </w:p>
    <w:p w:rsidR="00697BCD" w:rsidRDefault="00697BCD" w:rsidP="00697BCD">
      <w:r>
        <w:t xml:space="preserve">The annual gas bill for a low income household increased by just over 3 per cent for customers on the median market offer, and just </w:t>
      </w:r>
      <w:proofErr w:type="gramStart"/>
      <w:r>
        <w:t>under</w:t>
      </w:r>
      <w:proofErr w:type="gramEnd"/>
      <w:r>
        <w:t xml:space="preserve"> 3 per cent for customers on the median standing offer. While still cheaper than median standing offers, median market offers are currently not significantly cheaper in Queensland. For example, a low income household on a median market offer would spend $733 (or $664 with a concession) compared to the standing offer of $756 (or $686 with a concession). Annual bills of this size are around 3 per cent of a low income household’s annual income (3.4 per cent for a market offer with a concession; 2.8 per cent for a standing offer with a concession). </w:t>
      </w:r>
    </w:p>
    <w:p w:rsidR="00697BCD" w:rsidRDefault="00697BCD" w:rsidP="00697BCD">
      <w:r>
        <w:t xml:space="preserve">For a household using a typical amount of electricity—5800 kWh in Queensland—annual bills represent 2.5 per cent of a middle income household’s annual disposable income and 0.9 per cent of a high income household’s annual disposable income. </w:t>
      </w:r>
    </w:p>
    <w:p w:rsidR="00697BCD" w:rsidRDefault="00697BCD" w:rsidP="00697BCD">
      <w:r>
        <w:t xml:space="preserve">For a household using a typical amount of gas, annual gas bills represent 1 per cent of a middle income household’s annual disposable income and 0.4 per cent of a high income household’s income (table 3.1). </w:t>
      </w:r>
    </w:p>
    <w:p w:rsidR="00697BCD" w:rsidRDefault="00697BCD" w:rsidP="00697BCD">
      <w:pPr>
        <w:pStyle w:val="Tabletitle"/>
      </w:pPr>
      <w:r>
        <w:t>Table 3.1:</w:t>
      </w:r>
      <w:r>
        <w:tab/>
        <w:t>Summary of annual electricity and gas bills (for the median market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95"/>
        <w:gridCol w:w="2145"/>
        <w:gridCol w:w="2143"/>
        <w:gridCol w:w="2145"/>
      </w:tblGrid>
      <w:tr w:rsidR="00697BCD" w:rsidRPr="00391B03" w:rsidTr="00391B03">
        <w:trPr>
          <w:trHeight w:val="60"/>
        </w:trPr>
        <w:tc>
          <w:tcPr>
            <w:tcW w:w="1659" w:type="pct"/>
            <w:shd w:val="clear" w:color="auto" w:fill="auto"/>
          </w:tcPr>
          <w:p w:rsidR="00697BCD" w:rsidRPr="00391B03" w:rsidRDefault="00697BCD" w:rsidP="006B1E9F">
            <w:pPr>
              <w:pStyle w:val="TableHeading"/>
            </w:pPr>
            <w:r w:rsidRPr="00391B03">
              <w:t>Income level</w:t>
            </w:r>
          </w:p>
        </w:tc>
        <w:tc>
          <w:tcPr>
            <w:tcW w:w="1114" w:type="pct"/>
            <w:shd w:val="clear" w:color="auto" w:fill="auto"/>
          </w:tcPr>
          <w:p w:rsidR="00697BCD" w:rsidRPr="00391B03" w:rsidRDefault="00697BCD" w:rsidP="006B1E9F">
            <w:pPr>
              <w:pStyle w:val="TableHeading"/>
            </w:pPr>
            <w:r w:rsidRPr="00391B03">
              <w:t>Annual consumption</w:t>
            </w:r>
          </w:p>
        </w:tc>
        <w:tc>
          <w:tcPr>
            <w:tcW w:w="1113" w:type="pct"/>
            <w:shd w:val="clear" w:color="auto" w:fill="auto"/>
          </w:tcPr>
          <w:p w:rsidR="00697BCD" w:rsidRDefault="00697BCD" w:rsidP="006B1E9F">
            <w:pPr>
              <w:pStyle w:val="TableHeading-right"/>
            </w:pPr>
            <w:r>
              <w:t xml:space="preserve">Annual bill ($) </w:t>
            </w:r>
          </w:p>
        </w:tc>
        <w:tc>
          <w:tcPr>
            <w:tcW w:w="1114" w:type="pct"/>
            <w:shd w:val="clear" w:color="auto" w:fill="auto"/>
          </w:tcPr>
          <w:p w:rsidR="00697BCD" w:rsidRDefault="00697BCD" w:rsidP="006B1E9F">
            <w:pPr>
              <w:pStyle w:val="TableHeading-right"/>
            </w:pPr>
            <w:r>
              <w:t>Proportion of annual income (%)</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Low income—with concession</w:t>
            </w:r>
          </w:p>
        </w:tc>
        <w:tc>
          <w:tcPr>
            <w:tcW w:w="1114" w:type="pct"/>
            <w:shd w:val="clear" w:color="auto" w:fill="auto"/>
          </w:tcPr>
          <w:p w:rsidR="00697BCD" w:rsidRPr="00391B03" w:rsidRDefault="00697BCD" w:rsidP="00624E11">
            <w:pPr>
              <w:pStyle w:val="Tabletext"/>
            </w:pPr>
            <w:r w:rsidRPr="00391B03">
              <w:t>Electricity 4100 kWh</w:t>
            </w:r>
          </w:p>
        </w:tc>
        <w:tc>
          <w:tcPr>
            <w:tcW w:w="1113" w:type="pct"/>
            <w:shd w:val="clear" w:color="auto" w:fill="auto"/>
          </w:tcPr>
          <w:p w:rsidR="00697BCD" w:rsidRDefault="00697BCD" w:rsidP="00624E11">
            <w:pPr>
              <w:pStyle w:val="Tabletext-right"/>
            </w:pPr>
            <w:r>
              <w:t xml:space="preserve"> 1071</w:t>
            </w:r>
          </w:p>
        </w:tc>
        <w:tc>
          <w:tcPr>
            <w:tcW w:w="1114" w:type="pct"/>
            <w:shd w:val="clear" w:color="auto" w:fill="auto"/>
          </w:tcPr>
          <w:p w:rsidR="00697BCD" w:rsidRDefault="00697BCD" w:rsidP="00624E11">
            <w:pPr>
              <w:pStyle w:val="Tabletext-right"/>
            </w:pPr>
            <w:r>
              <w:t>4.3</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Low income—without concession</w:t>
            </w:r>
          </w:p>
        </w:tc>
        <w:tc>
          <w:tcPr>
            <w:tcW w:w="1114" w:type="pct"/>
            <w:shd w:val="clear" w:color="auto" w:fill="auto"/>
          </w:tcPr>
          <w:p w:rsidR="00697BCD" w:rsidRPr="00391B03" w:rsidRDefault="00697BCD" w:rsidP="00624E11">
            <w:pPr>
              <w:pStyle w:val="Tabletext"/>
            </w:pPr>
            <w:r w:rsidRPr="00391B03">
              <w:t>Electricity 4100 kWh</w:t>
            </w:r>
          </w:p>
        </w:tc>
        <w:tc>
          <w:tcPr>
            <w:tcW w:w="1113" w:type="pct"/>
            <w:shd w:val="clear" w:color="auto" w:fill="auto"/>
          </w:tcPr>
          <w:p w:rsidR="00697BCD" w:rsidRDefault="00697BCD" w:rsidP="00624E11">
            <w:pPr>
              <w:pStyle w:val="Tabletext-right"/>
            </w:pPr>
            <w:r>
              <w:t>1401</w:t>
            </w:r>
          </w:p>
        </w:tc>
        <w:tc>
          <w:tcPr>
            <w:tcW w:w="1114" w:type="pct"/>
            <w:shd w:val="clear" w:color="auto" w:fill="auto"/>
          </w:tcPr>
          <w:p w:rsidR="00697BCD" w:rsidRDefault="00697BCD" w:rsidP="00624E11">
            <w:pPr>
              <w:pStyle w:val="Tabletext-right"/>
            </w:pPr>
            <w:r>
              <w:t>5.6</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Middle income</w:t>
            </w:r>
          </w:p>
        </w:tc>
        <w:tc>
          <w:tcPr>
            <w:tcW w:w="1114" w:type="pct"/>
            <w:shd w:val="clear" w:color="auto" w:fill="auto"/>
          </w:tcPr>
          <w:p w:rsidR="00697BCD" w:rsidRPr="00391B03" w:rsidRDefault="00697BCD" w:rsidP="00624E11">
            <w:pPr>
              <w:pStyle w:val="Tabletext"/>
            </w:pPr>
            <w:r w:rsidRPr="00391B03">
              <w:t>Electricity 5800 kWh</w:t>
            </w:r>
          </w:p>
        </w:tc>
        <w:tc>
          <w:tcPr>
            <w:tcW w:w="1113" w:type="pct"/>
            <w:shd w:val="clear" w:color="auto" w:fill="auto"/>
          </w:tcPr>
          <w:p w:rsidR="00697BCD" w:rsidRDefault="00697BCD" w:rsidP="00624E11">
            <w:pPr>
              <w:pStyle w:val="Tabletext-right"/>
            </w:pPr>
            <w:r>
              <w:t>1787</w:t>
            </w:r>
          </w:p>
        </w:tc>
        <w:tc>
          <w:tcPr>
            <w:tcW w:w="1114" w:type="pct"/>
            <w:shd w:val="clear" w:color="auto" w:fill="auto"/>
          </w:tcPr>
          <w:p w:rsidR="00697BCD" w:rsidRDefault="00697BCD" w:rsidP="00624E11">
            <w:pPr>
              <w:pStyle w:val="Tabletext-right"/>
            </w:pPr>
            <w:r>
              <w:t>2.5</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lastRenderedPageBreak/>
              <w:t>High income</w:t>
            </w:r>
          </w:p>
        </w:tc>
        <w:tc>
          <w:tcPr>
            <w:tcW w:w="1114" w:type="pct"/>
            <w:shd w:val="clear" w:color="auto" w:fill="auto"/>
          </w:tcPr>
          <w:p w:rsidR="00697BCD" w:rsidRPr="00391B03" w:rsidRDefault="00697BCD" w:rsidP="00624E11">
            <w:pPr>
              <w:pStyle w:val="Tabletext"/>
            </w:pPr>
            <w:r w:rsidRPr="00391B03">
              <w:t>Electricity 5800 kWh</w:t>
            </w:r>
          </w:p>
        </w:tc>
        <w:tc>
          <w:tcPr>
            <w:tcW w:w="1113" w:type="pct"/>
            <w:shd w:val="clear" w:color="auto" w:fill="auto"/>
          </w:tcPr>
          <w:p w:rsidR="00697BCD" w:rsidRDefault="00697BCD" w:rsidP="00624E11">
            <w:pPr>
              <w:pStyle w:val="Tabletext-right"/>
            </w:pPr>
            <w:r>
              <w:t>1787</w:t>
            </w:r>
          </w:p>
        </w:tc>
        <w:tc>
          <w:tcPr>
            <w:tcW w:w="1114" w:type="pct"/>
            <w:shd w:val="clear" w:color="auto" w:fill="auto"/>
          </w:tcPr>
          <w:p w:rsidR="00697BCD" w:rsidRDefault="00697BCD" w:rsidP="00624E11">
            <w:pPr>
              <w:pStyle w:val="Tabletext-right"/>
            </w:pPr>
            <w:r>
              <w:t>0.9</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Low income—with concession</w:t>
            </w:r>
          </w:p>
        </w:tc>
        <w:tc>
          <w:tcPr>
            <w:tcW w:w="1114" w:type="pct"/>
            <w:shd w:val="clear" w:color="auto" w:fill="auto"/>
          </w:tcPr>
          <w:p w:rsidR="00697BCD" w:rsidRPr="00391B03" w:rsidRDefault="00697BCD" w:rsidP="00624E11">
            <w:pPr>
              <w:pStyle w:val="Tabletext"/>
            </w:pPr>
            <w:r w:rsidRPr="00391B03">
              <w:t>Gas 10 000 MJ</w:t>
            </w:r>
          </w:p>
        </w:tc>
        <w:tc>
          <w:tcPr>
            <w:tcW w:w="1113" w:type="pct"/>
            <w:shd w:val="clear" w:color="auto" w:fill="auto"/>
          </w:tcPr>
          <w:p w:rsidR="00697BCD" w:rsidRDefault="00697BCD" w:rsidP="00624E11">
            <w:pPr>
              <w:pStyle w:val="Tabletext-right"/>
            </w:pPr>
            <w:r>
              <w:t>664</w:t>
            </w:r>
          </w:p>
        </w:tc>
        <w:tc>
          <w:tcPr>
            <w:tcW w:w="1114" w:type="pct"/>
            <w:shd w:val="clear" w:color="auto" w:fill="auto"/>
          </w:tcPr>
          <w:p w:rsidR="00697BCD" w:rsidRDefault="00697BCD" w:rsidP="00624E11">
            <w:pPr>
              <w:pStyle w:val="Tabletext-right"/>
            </w:pPr>
            <w:r>
              <w:t>2.6</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Low income—without concession</w:t>
            </w:r>
          </w:p>
        </w:tc>
        <w:tc>
          <w:tcPr>
            <w:tcW w:w="1114" w:type="pct"/>
            <w:shd w:val="clear" w:color="auto" w:fill="auto"/>
          </w:tcPr>
          <w:p w:rsidR="00697BCD" w:rsidRPr="00391B03" w:rsidRDefault="00697BCD" w:rsidP="00624E11">
            <w:pPr>
              <w:pStyle w:val="Tabletext"/>
            </w:pPr>
            <w:r w:rsidRPr="00391B03">
              <w:t>Gas 10 000 MJ</w:t>
            </w:r>
          </w:p>
        </w:tc>
        <w:tc>
          <w:tcPr>
            <w:tcW w:w="1113" w:type="pct"/>
            <w:shd w:val="clear" w:color="auto" w:fill="auto"/>
          </w:tcPr>
          <w:p w:rsidR="00697BCD" w:rsidRDefault="00697BCD" w:rsidP="00624E11">
            <w:pPr>
              <w:pStyle w:val="Tabletext-right"/>
            </w:pPr>
            <w:r>
              <w:t>733</w:t>
            </w:r>
          </w:p>
        </w:tc>
        <w:tc>
          <w:tcPr>
            <w:tcW w:w="1114" w:type="pct"/>
            <w:shd w:val="clear" w:color="auto" w:fill="auto"/>
          </w:tcPr>
          <w:p w:rsidR="00697BCD" w:rsidRDefault="00697BCD" w:rsidP="00624E11">
            <w:pPr>
              <w:pStyle w:val="Tabletext-right"/>
            </w:pPr>
            <w:r>
              <w:t>2.9</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Middle income</w:t>
            </w:r>
          </w:p>
        </w:tc>
        <w:tc>
          <w:tcPr>
            <w:tcW w:w="1114" w:type="pct"/>
            <w:shd w:val="clear" w:color="auto" w:fill="auto"/>
          </w:tcPr>
          <w:p w:rsidR="00697BCD" w:rsidRPr="00391B03" w:rsidRDefault="00697BCD" w:rsidP="00624E11">
            <w:pPr>
              <w:pStyle w:val="Tabletext"/>
            </w:pPr>
            <w:r w:rsidRPr="00391B03">
              <w:t>Gas 10 000 MJ</w:t>
            </w:r>
          </w:p>
        </w:tc>
        <w:tc>
          <w:tcPr>
            <w:tcW w:w="1113" w:type="pct"/>
            <w:shd w:val="clear" w:color="auto" w:fill="auto"/>
          </w:tcPr>
          <w:p w:rsidR="00697BCD" w:rsidRDefault="00697BCD" w:rsidP="00624E11">
            <w:pPr>
              <w:pStyle w:val="Tabletext-right"/>
            </w:pPr>
            <w:r>
              <w:t>733</w:t>
            </w:r>
          </w:p>
        </w:tc>
        <w:tc>
          <w:tcPr>
            <w:tcW w:w="1114" w:type="pct"/>
            <w:shd w:val="clear" w:color="auto" w:fill="auto"/>
          </w:tcPr>
          <w:p w:rsidR="00697BCD" w:rsidRDefault="00697BCD" w:rsidP="00624E11">
            <w:pPr>
              <w:pStyle w:val="Tabletext-right"/>
            </w:pPr>
            <w:r>
              <w:t>1.0</w:t>
            </w:r>
          </w:p>
        </w:tc>
      </w:tr>
      <w:tr w:rsidR="00697BCD" w:rsidRPr="00391B03" w:rsidTr="00391B03">
        <w:trPr>
          <w:trHeight w:val="60"/>
        </w:trPr>
        <w:tc>
          <w:tcPr>
            <w:tcW w:w="1659" w:type="pct"/>
            <w:shd w:val="clear" w:color="auto" w:fill="auto"/>
          </w:tcPr>
          <w:p w:rsidR="00697BCD" w:rsidRPr="00391B03" w:rsidRDefault="00697BCD" w:rsidP="00624E11">
            <w:pPr>
              <w:pStyle w:val="Tabletext"/>
            </w:pPr>
            <w:r w:rsidRPr="00391B03">
              <w:t>High income</w:t>
            </w:r>
          </w:p>
        </w:tc>
        <w:tc>
          <w:tcPr>
            <w:tcW w:w="1114" w:type="pct"/>
            <w:shd w:val="clear" w:color="auto" w:fill="auto"/>
          </w:tcPr>
          <w:p w:rsidR="00697BCD" w:rsidRPr="00391B03" w:rsidRDefault="00697BCD" w:rsidP="00624E11">
            <w:pPr>
              <w:pStyle w:val="Tabletext"/>
            </w:pPr>
            <w:r w:rsidRPr="00391B03">
              <w:t>Gas 10 000 MJ</w:t>
            </w:r>
          </w:p>
        </w:tc>
        <w:tc>
          <w:tcPr>
            <w:tcW w:w="1113" w:type="pct"/>
            <w:shd w:val="clear" w:color="auto" w:fill="auto"/>
          </w:tcPr>
          <w:p w:rsidR="00697BCD" w:rsidRDefault="00697BCD" w:rsidP="00624E11">
            <w:pPr>
              <w:pStyle w:val="Tabletext-right"/>
            </w:pPr>
            <w:r>
              <w:t>733</w:t>
            </w:r>
          </w:p>
        </w:tc>
        <w:tc>
          <w:tcPr>
            <w:tcW w:w="1114" w:type="pct"/>
            <w:shd w:val="clear" w:color="auto" w:fill="auto"/>
          </w:tcPr>
          <w:p w:rsidR="00697BCD" w:rsidRDefault="00697BCD" w:rsidP="00624E11">
            <w:pPr>
              <w:pStyle w:val="Tabletext-right"/>
            </w:pPr>
            <w:r>
              <w:t>0.4</w:t>
            </w:r>
          </w:p>
        </w:tc>
      </w:tr>
    </w:tbl>
    <w:p w:rsidR="00697BCD" w:rsidRDefault="00697BCD"/>
    <w:p w:rsidR="00697BCD" w:rsidRDefault="00697BCD" w:rsidP="000F3A56">
      <w:pPr>
        <w:pStyle w:val="Numbered111"/>
      </w:pPr>
      <w:bookmarkStart w:id="40" w:name="_Toc467665324"/>
      <w:r>
        <w:t>Composition of energy bills and impact of concessions</w:t>
      </w:r>
      <w:bookmarkEnd w:id="40"/>
    </w:p>
    <w:p w:rsidR="00697BCD" w:rsidRDefault="00697BCD" w:rsidP="00697BCD">
      <w:r>
        <w:t xml:space="preserve">Table 3.2 shows the portions of low income household energy bills attributed to daily supply charges and energy use charges, as well as the savings provided by energy concessions. </w:t>
      </w:r>
    </w:p>
    <w:p w:rsidR="00697BCD" w:rsidRDefault="00697BCD" w:rsidP="00697BCD">
      <w:r>
        <w:t xml:space="preserve">Daily supply charges for electricity increased to around $467 per annum in 2016, which represents 33.4 per cent of a low income household’s annual electricity bill, and 1.9 per cent of its disposable income. Daily supply charges are relatively high in Queensland (and have increased markedly in recent years); but as a proportion of a low income household’s electricity bill, supply charges are relatively similar to other jurisdictions. </w:t>
      </w:r>
    </w:p>
    <w:p w:rsidR="00697BCD" w:rsidRDefault="00697BCD" w:rsidP="00697BCD">
      <w:r>
        <w:t xml:space="preserve">Daily supply charges for gas also increased and are now around $311 per annum, which represents 42 per cent of a low income household’s annual gas bill, and around 1.2 per cent of its disposable income. Gas supply charges in Queensland as a proportion of a low income household’s bill are significantly higher than other jurisdictions (which are in the range of 18 to 26 per cent). </w:t>
      </w:r>
    </w:p>
    <w:p w:rsidR="00697BCD" w:rsidRDefault="00697BCD" w:rsidP="00697BCD">
      <w:r>
        <w:t xml:space="preserve">Energy concessions can help eligible customers save nearly 24 per cent on their electricity and 10 per cent on their gas bills. </w:t>
      </w:r>
    </w:p>
    <w:p w:rsidR="00697BCD" w:rsidRDefault="00697BCD" w:rsidP="00697BCD">
      <w:pPr>
        <w:pStyle w:val="Tabletitle"/>
      </w:pPr>
      <w:r>
        <w:t>Table 3.2:</w:t>
      </w:r>
      <w:r>
        <w:tab/>
        <w:t>Composition of low income household energy bills (median market offer)</w:t>
      </w:r>
    </w:p>
    <w:tbl>
      <w:tblPr>
        <w:tblW w:w="5000" w:type="pct"/>
        <w:tblBorders>
          <w:top w:val="single" w:sz="4" w:space="0" w:color="BFBFBF"/>
          <w:bottom w:val="single" w:sz="4" w:space="0" w:color="BFBFBF"/>
        </w:tblBorders>
        <w:tblLook w:val="0000" w:firstRow="0" w:lastRow="0" w:firstColumn="0" w:lastColumn="0" w:noHBand="0" w:noVBand="0"/>
      </w:tblPr>
      <w:tblGrid>
        <w:gridCol w:w="2514"/>
        <w:gridCol w:w="1739"/>
        <w:gridCol w:w="1739"/>
        <w:gridCol w:w="1739"/>
        <w:gridCol w:w="1897"/>
      </w:tblGrid>
      <w:tr w:rsidR="00697BCD" w:rsidRPr="00391B03" w:rsidTr="00391B03">
        <w:trPr>
          <w:trHeight w:val="60"/>
        </w:trPr>
        <w:tc>
          <w:tcPr>
            <w:tcW w:w="1306" w:type="pct"/>
            <w:shd w:val="clear" w:color="auto" w:fill="auto"/>
          </w:tcPr>
          <w:p w:rsidR="00697BCD" w:rsidRPr="00391B03" w:rsidRDefault="00697BCD" w:rsidP="006B1E9F">
            <w:pPr>
              <w:pStyle w:val="TableHeading"/>
            </w:pPr>
            <w:r w:rsidRPr="00391B03">
              <w:t>Fuel type—consumption</w:t>
            </w:r>
          </w:p>
        </w:tc>
        <w:tc>
          <w:tcPr>
            <w:tcW w:w="903" w:type="pct"/>
            <w:shd w:val="clear" w:color="auto" w:fill="auto"/>
          </w:tcPr>
          <w:p w:rsidR="00697BCD" w:rsidRDefault="00697BCD" w:rsidP="006B1E9F">
            <w:pPr>
              <w:pStyle w:val="TableHeading-right"/>
            </w:pPr>
            <w:r>
              <w:t>Year</w:t>
            </w:r>
          </w:p>
        </w:tc>
        <w:tc>
          <w:tcPr>
            <w:tcW w:w="903" w:type="pct"/>
            <w:shd w:val="clear" w:color="auto" w:fill="auto"/>
          </w:tcPr>
          <w:p w:rsidR="00697BCD" w:rsidRDefault="00697BCD" w:rsidP="006B1E9F">
            <w:pPr>
              <w:pStyle w:val="TableHeading-right"/>
            </w:pPr>
            <w:r>
              <w:t>Daily supply</w:t>
            </w:r>
            <w:r>
              <w:br/>
              <w:t>charges (%)</w:t>
            </w:r>
          </w:p>
        </w:tc>
        <w:tc>
          <w:tcPr>
            <w:tcW w:w="903" w:type="pct"/>
            <w:shd w:val="clear" w:color="auto" w:fill="auto"/>
          </w:tcPr>
          <w:p w:rsidR="00697BCD" w:rsidRDefault="00697BCD" w:rsidP="006B1E9F">
            <w:pPr>
              <w:pStyle w:val="TableHeading-right"/>
            </w:pPr>
            <w:r>
              <w:t xml:space="preserve">Energy use charges </w:t>
            </w:r>
            <w:r>
              <w:br/>
              <w:t>%)</w:t>
            </w:r>
          </w:p>
        </w:tc>
        <w:tc>
          <w:tcPr>
            <w:tcW w:w="986" w:type="pct"/>
            <w:shd w:val="clear" w:color="auto" w:fill="auto"/>
          </w:tcPr>
          <w:p w:rsidR="00697BCD" w:rsidRDefault="00697BCD" w:rsidP="006B1E9F">
            <w:pPr>
              <w:pStyle w:val="TableHeading-right"/>
            </w:pPr>
            <w:r>
              <w:t xml:space="preserve">Saving with </w:t>
            </w:r>
            <w:proofErr w:type="gramStart"/>
            <w:r>
              <w:t>concession</w:t>
            </w:r>
            <w:proofErr w:type="gramEnd"/>
            <w:r>
              <w:br/>
              <w:t>(%)</w:t>
            </w:r>
          </w:p>
        </w:tc>
      </w:tr>
      <w:tr w:rsidR="00697BCD" w:rsidRPr="00391B03" w:rsidTr="00391B03">
        <w:trPr>
          <w:trHeight w:val="60"/>
        </w:trPr>
        <w:tc>
          <w:tcPr>
            <w:tcW w:w="1306" w:type="pct"/>
            <w:vMerge w:val="restart"/>
            <w:shd w:val="clear" w:color="auto" w:fill="auto"/>
          </w:tcPr>
          <w:p w:rsidR="00697BCD" w:rsidRPr="00391B03" w:rsidRDefault="00697BCD" w:rsidP="00624E11">
            <w:pPr>
              <w:pStyle w:val="Tabletext"/>
            </w:pPr>
            <w:r w:rsidRPr="00391B03">
              <w:t>Electricity—4100 kWh</w:t>
            </w:r>
          </w:p>
        </w:tc>
        <w:tc>
          <w:tcPr>
            <w:tcW w:w="903"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9.7</w:t>
            </w:r>
          </w:p>
        </w:tc>
        <w:tc>
          <w:tcPr>
            <w:tcW w:w="903" w:type="pct"/>
            <w:shd w:val="clear" w:color="auto" w:fill="auto"/>
          </w:tcPr>
          <w:p w:rsidR="00697BCD" w:rsidRDefault="00697BCD" w:rsidP="00624E11">
            <w:pPr>
              <w:pStyle w:val="Tabletext-right"/>
            </w:pPr>
            <w:r>
              <w:t>90.3</w:t>
            </w:r>
          </w:p>
        </w:tc>
        <w:tc>
          <w:tcPr>
            <w:tcW w:w="986" w:type="pct"/>
            <w:shd w:val="clear" w:color="auto" w:fill="auto"/>
          </w:tcPr>
          <w:p w:rsidR="00697BCD" w:rsidRDefault="00697BCD" w:rsidP="00624E11">
            <w:pPr>
              <w:pStyle w:val="Tabletext-right"/>
            </w:pPr>
            <w:r>
              <w:t>21.2</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15.1</w:t>
            </w:r>
          </w:p>
        </w:tc>
        <w:tc>
          <w:tcPr>
            <w:tcW w:w="903" w:type="pct"/>
            <w:shd w:val="clear" w:color="auto" w:fill="auto"/>
          </w:tcPr>
          <w:p w:rsidR="00697BCD" w:rsidRDefault="00697BCD" w:rsidP="00624E11">
            <w:pPr>
              <w:pStyle w:val="Tabletext-right"/>
            </w:pPr>
            <w:r>
              <w:t>84.9</w:t>
            </w:r>
          </w:p>
        </w:tc>
        <w:tc>
          <w:tcPr>
            <w:tcW w:w="986" w:type="pct"/>
            <w:shd w:val="clear" w:color="auto" w:fill="auto"/>
          </w:tcPr>
          <w:p w:rsidR="00697BCD" w:rsidRDefault="00697BCD" w:rsidP="00624E11">
            <w:pPr>
              <w:pStyle w:val="Tabletext-right"/>
            </w:pPr>
            <w:r>
              <w:t>21.2</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24.1</w:t>
            </w:r>
          </w:p>
        </w:tc>
        <w:tc>
          <w:tcPr>
            <w:tcW w:w="903" w:type="pct"/>
            <w:shd w:val="clear" w:color="auto" w:fill="auto"/>
          </w:tcPr>
          <w:p w:rsidR="00697BCD" w:rsidRDefault="00697BCD" w:rsidP="00624E11">
            <w:pPr>
              <w:pStyle w:val="Tabletext-right"/>
            </w:pPr>
            <w:r>
              <w:t>75.9</w:t>
            </w:r>
          </w:p>
        </w:tc>
        <w:tc>
          <w:tcPr>
            <w:tcW w:w="986" w:type="pct"/>
            <w:shd w:val="clear" w:color="auto" w:fill="auto"/>
          </w:tcPr>
          <w:p w:rsidR="00697BCD" w:rsidRDefault="00697BCD" w:rsidP="00624E11">
            <w:pPr>
              <w:pStyle w:val="Tabletext-right"/>
            </w:pPr>
            <w:r>
              <w:t>23.1</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33.4</w:t>
            </w:r>
          </w:p>
        </w:tc>
        <w:tc>
          <w:tcPr>
            <w:tcW w:w="903" w:type="pct"/>
            <w:shd w:val="clear" w:color="auto" w:fill="auto"/>
          </w:tcPr>
          <w:p w:rsidR="00697BCD" w:rsidRDefault="00697BCD" w:rsidP="00624E11">
            <w:pPr>
              <w:pStyle w:val="Tabletext-right"/>
            </w:pPr>
            <w:r>
              <w:t>66.7</w:t>
            </w:r>
          </w:p>
        </w:tc>
        <w:tc>
          <w:tcPr>
            <w:tcW w:w="986" w:type="pct"/>
            <w:shd w:val="clear" w:color="auto" w:fill="auto"/>
          </w:tcPr>
          <w:p w:rsidR="00697BCD" w:rsidRDefault="00697BCD" w:rsidP="00624E11">
            <w:pPr>
              <w:pStyle w:val="Tabletext-right"/>
            </w:pPr>
            <w:r>
              <w:t>23.5</w:t>
            </w:r>
          </w:p>
        </w:tc>
      </w:tr>
      <w:tr w:rsidR="00697BCD" w:rsidRPr="00391B03" w:rsidTr="00391B03">
        <w:trPr>
          <w:trHeight w:val="60"/>
        </w:trPr>
        <w:tc>
          <w:tcPr>
            <w:tcW w:w="1306" w:type="pct"/>
            <w:vMerge w:val="restart"/>
            <w:shd w:val="clear" w:color="auto" w:fill="auto"/>
          </w:tcPr>
          <w:p w:rsidR="00697BCD" w:rsidRPr="00391B03" w:rsidRDefault="00697BCD" w:rsidP="00624E11">
            <w:pPr>
              <w:pStyle w:val="Tabletext"/>
            </w:pPr>
            <w:r w:rsidRPr="00391B03">
              <w:t>Gas—10 000 MJ</w:t>
            </w:r>
          </w:p>
        </w:tc>
        <w:tc>
          <w:tcPr>
            <w:tcW w:w="903"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46.3</w:t>
            </w:r>
          </w:p>
        </w:tc>
        <w:tc>
          <w:tcPr>
            <w:tcW w:w="903" w:type="pct"/>
            <w:shd w:val="clear" w:color="auto" w:fill="auto"/>
          </w:tcPr>
          <w:p w:rsidR="00697BCD" w:rsidRDefault="00697BCD" w:rsidP="00624E11">
            <w:pPr>
              <w:pStyle w:val="Tabletext-right"/>
            </w:pPr>
            <w:r>
              <w:t>53.7</w:t>
            </w:r>
          </w:p>
        </w:tc>
        <w:tc>
          <w:tcPr>
            <w:tcW w:w="986" w:type="pct"/>
            <w:shd w:val="clear" w:color="auto" w:fill="auto"/>
          </w:tcPr>
          <w:p w:rsidR="00697BCD" w:rsidRDefault="00697BCD" w:rsidP="00624E11">
            <w:pPr>
              <w:pStyle w:val="Tabletext-right"/>
            </w:pPr>
            <w:r>
              <w:t>10.0</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42.4</w:t>
            </w:r>
          </w:p>
        </w:tc>
        <w:tc>
          <w:tcPr>
            <w:tcW w:w="903" w:type="pct"/>
            <w:shd w:val="clear" w:color="auto" w:fill="auto"/>
          </w:tcPr>
          <w:p w:rsidR="00697BCD" w:rsidRDefault="00697BCD" w:rsidP="00624E11">
            <w:pPr>
              <w:pStyle w:val="Tabletext-right"/>
            </w:pPr>
            <w:r>
              <w:t>57.6</w:t>
            </w:r>
          </w:p>
        </w:tc>
        <w:tc>
          <w:tcPr>
            <w:tcW w:w="986" w:type="pct"/>
            <w:shd w:val="clear" w:color="auto" w:fill="auto"/>
          </w:tcPr>
          <w:p w:rsidR="00697BCD" w:rsidRDefault="00697BCD" w:rsidP="00624E11">
            <w:pPr>
              <w:pStyle w:val="Tabletext-right"/>
            </w:pPr>
            <w:r>
              <w:t>9.3</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36.8</w:t>
            </w:r>
          </w:p>
        </w:tc>
        <w:tc>
          <w:tcPr>
            <w:tcW w:w="903" w:type="pct"/>
            <w:shd w:val="clear" w:color="auto" w:fill="auto"/>
          </w:tcPr>
          <w:p w:rsidR="00697BCD" w:rsidRDefault="00697BCD" w:rsidP="00624E11">
            <w:pPr>
              <w:pStyle w:val="Tabletext-right"/>
            </w:pPr>
            <w:r>
              <w:t>63.2</w:t>
            </w:r>
          </w:p>
        </w:tc>
        <w:tc>
          <w:tcPr>
            <w:tcW w:w="986" w:type="pct"/>
            <w:shd w:val="clear" w:color="auto" w:fill="auto"/>
          </w:tcPr>
          <w:p w:rsidR="00697BCD" w:rsidRDefault="00697BCD" w:rsidP="00624E11">
            <w:pPr>
              <w:pStyle w:val="Tabletext-right"/>
            </w:pPr>
            <w:r>
              <w:t>9.6</w:t>
            </w:r>
          </w:p>
        </w:tc>
      </w:tr>
      <w:tr w:rsidR="00697BCD" w:rsidRPr="00391B03" w:rsidTr="00391B03">
        <w:trPr>
          <w:trHeight w:val="60"/>
        </w:trPr>
        <w:tc>
          <w:tcPr>
            <w:tcW w:w="1306"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3"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42.4</w:t>
            </w:r>
          </w:p>
        </w:tc>
        <w:tc>
          <w:tcPr>
            <w:tcW w:w="903" w:type="pct"/>
            <w:shd w:val="clear" w:color="auto" w:fill="auto"/>
          </w:tcPr>
          <w:p w:rsidR="00697BCD" w:rsidRDefault="00697BCD" w:rsidP="00624E11">
            <w:pPr>
              <w:pStyle w:val="Tabletext-right"/>
            </w:pPr>
            <w:r>
              <w:t>57.6</w:t>
            </w:r>
          </w:p>
        </w:tc>
        <w:tc>
          <w:tcPr>
            <w:tcW w:w="986" w:type="pct"/>
            <w:shd w:val="clear" w:color="auto" w:fill="auto"/>
          </w:tcPr>
          <w:p w:rsidR="00697BCD" w:rsidRDefault="00697BCD" w:rsidP="00624E11">
            <w:pPr>
              <w:pStyle w:val="Tabletext-right"/>
            </w:pPr>
            <w:r>
              <w:t>9.5</w:t>
            </w:r>
          </w:p>
        </w:tc>
      </w:tr>
    </w:tbl>
    <w:p w:rsidR="00697BCD" w:rsidRDefault="00697BCD"/>
    <w:p w:rsidR="00697BCD" w:rsidRDefault="00697BCD" w:rsidP="000F3A56">
      <w:pPr>
        <w:pStyle w:val="Numbered11"/>
      </w:pPr>
      <w:bookmarkStart w:id="41" w:name="_Toc467665325"/>
      <w:r>
        <w:t>New South Wales</w:t>
      </w:r>
      <w:bookmarkEnd w:id="41"/>
    </w:p>
    <w:p w:rsidR="00697BCD" w:rsidRDefault="00697BCD" w:rsidP="000F3A56">
      <w:pPr>
        <w:pStyle w:val="Numbered111"/>
      </w:pPr>
      <w:bookmarkStart w:id="42" w:name="_Toc467665326"/>
      <w:r>
        <w:t>Energy prices and bills</w:t>
      </w:r>
      <w:bookmarkEnd w:id="42"/>
    </w:p>
    <w:p w:rsidR="00697BCD" w:rsidRDefault="00697BCD" w:rsidP="00697BCD">
      <w:r>
        <w:t xml:space="preserve">There are three electricity distribution zones in New South Wales: </w:t>
      </w:r>
      <w:proofErr w:type="spellStart"/>
      <w:r>
        <w:t>Ausgrid</w:t>
      </w:r>
      <w:proofErr w:type="spellEnd"/>
      <w:r>
        <w:t xml:space="preserve">, Endeavour Energy and Essential Energy. The New South Wales Government deregulated electricity prices on </w:t>
      </w:r>
      <w:proofErr w:type="gramStart"/>
      <w:r w:rsidRPr="00C35225">
        <w:t>1</w:t>
      </w:r>
      <w:r w:rsidR="00C35225">
        <w:t xml:space="preserve"> </w:t>
      </w:r>
      <w:r w:rsidR="00C35225">
        <w:lastRenderedPageBreak/>
        <w:t> </w:t>
      </w:r>
      <w:r w:rsidRPr="00C35225">
        <w:t>July</w:t>
      </w:r>
      <w:proofErr w:type="gramEnd"/>
      <w:r>
        <w:t xml:space="preserve"> 2014. Two years later, by June 2016, there were 23 retailers marketing generally available electricity contracts to residential customers in New South Wales.</w:t>
      </w:r>
    </w:p>
    <w:p w:rsidR="00697BCD" w:rsidRDefault="00697BCD" w:rsidP="00697BCD">
      <w:r>
        <w:t>The Essential Energy distribution zone had the highest electricity bills ($1603 for the median standing offer) and also the greatest range ($661) between the cheapest ($1109) and most expensive ($1770) market offers (figure 3.6). Essential Energy covers most of regional and rural New South Wales, so typically has fewer customers to pay for a larger area of network infrastructure. The greater network costs are reflected in the final bills to customers.</w:t>
      </w:r>
    </w:p>
    <w:p w:rsidR="00697BCD" w:rsidRDefault="00697BCD" w:rsidP="00697BCD">
      <w:r>
        <w:t xml:space="preserve">The </w:t>
      </w:r>
      <w:proofErr w:type="spellStart"/>
      <w:r>
        <w:t>Ausgrid</w:t>
      </w:r>
      <w:proofErr w:type="spellEnd"/>
      <w:r>
        <w:t xml:space="preserve"> and Endeavour Energy distribution zones had similar median standing offers ($1326 and $1347 respectively), and customers in both zones could potentially save several hundred dollars if they switched to one of the cheaper market offers in their area. </w:t>
      </w:r>
    </w:p>
    <w:p w:rsidR="00697BCD" w:rsidRDefault="00697BCD" w:rsidP="00697BCD">
      <w:r>
        <w:t xml:space="preserve">In the </w:t>
      </w:r>
      <w:proofErr w:type="spellStart"/>
      <w:r>
        <w:t>Ausgrid</w:t>
      </w:r>
      <w:proofErr w:type="spellEnd"/>
      <w:r>
        <w:t xml:space="preserve"> zone, an annual bill on the cheapest market offer was around $951 (over $400 cheaper than the most expensive market offer of $1383) and households in the Endeavour zone could potentially save even more, with the cheapest market offer at $920—almost $500 less than an annual bill for a household on the most expensive market offer in that zone. </w:t>
      </w:r>
    </w:p>
    <w:p w:rsidR="00697BCD" w:rsidRDefault="00697BCD" w:rsidP="00697BCD">
      <w:r>
        <w:t>While the median market offer is less than the median standing offer in each distribution zone as at 30 June 2016, 25 per cent of residential customers remained on standing offers, compared with 30 per cent for the same time last year.</w:t>
      </w:r>
    </w:p>
    <w:p w:rsidR="00697BCD" w:rsidRDefault="00697BCD" w:rsidP="000F3A56">
      <w:pPr>
        <w:pStyle w:val="Charttitle"/>
      </w:pPr>
      <w:r>
        <w:t>Figure 3.6:</w:t>
      </w:r>
      <w:r>
        <w:tab/>
        <w:t>Range of generally available electricity offers by distribution zone (4300 kWh)—June 2016</w:t>
      </w:r>
    </w:p>
    <w:p w:rsidR="00697BCD" w:rsidRDefault="00EC4210" w:rsidP="000F3A56">
      <w:pPr>
        <w:pStyle w:val="Charttitle"/>
      </w:pPr>
      <w:r>
        <w:pict>
          <v:shape id="_x0000_i1045" type="#_x0000_t75" alt="Essential Energy’s distribution zone had the highest annual electricity bills at $1439 for the median market offer, and the largest range between the cheapest and the most expensive offers of $662. The range of offers was narrowest in Ausgrid’s Energy’s distribution zone with annual bills ranging between $951 and $1383. In the Endeavour Energy zone annual bills ranged from $920 to $1418." style="width:469.4pt;height:283.3pt">
            <v:imagedata r:id="rId32" o:title=""/>
          </v:shape>
        </w:pict>
      </w:r>
    </w:p>
    <w:p w:rsidR="00697BCD" w:rsidRDefault="00697BCD" w:rsidP="00697BCD">
      <w:r>
        <w:t xml:space="preserve">There are four gas distribution zones in New South Wales: Jemena, AGN (Albury), AGN (Wagga Wagga) and </w:t>
      </w:r>
      <w:proofErr w:type="spellStart"/>
      <w:r>
        <w:t>ActewAGL</w:t>
      </w:r>
      <w:proofErr w:type="spellEnd"/>
      <w:r>
        <w:t xml:space="preserve"> Distribution. Seven retailers had offers generally available to gas customers in the Jemena distribution zone, but there were only two retailers for AGN (Albury) and </w:t>
      </w:r>
      <w:proofErr w:type="spellStart"/>
      <w:r>
        <w:t>ActewAGL</w:t>
      </w:r>
      <w:proofErr w:type="spellEnd"/>
      <w:r>
        <w:t xml:space="preserve">, and one retailer for AGN (Wagga Wagga). </w:t>
      </w:r>
    </w:p>
    <w:p w:rsidR="00697BCD" w:rsidRDefault="00697BCD" w:rsidP="00697BCD">
      <w:r>
        <w:t xml:space="preserve">Historically and currently, regulated gas prices are determined by the New South Wales Independent Pricing and Regulatory Tribunal (IPART) under voluntary pricing arrangements with </w:t>
      </w:r>
      <w:proofErr w:type="spellStart"/>
      <w:r>
        <w:t>ActewAGL</w:t>
      </w:r>
      <w:proofErr w:type="spellEnd"/>
      <w:r>
        <w:t xml:space="preserve">, AGL and Origin Energy. In October 2015, the New South Wales Government announced that it would remove retail gas price regulation from 1 July 2017, subject to an </w:t>
      </w:r>
      <w:r>
        <w:lastRenderedPageBreak/>
        <w:t>increase in retail gas market competition within regional areas.</w:t>
      </w:r>
      <w:r w:rsidRPr="009D1DEC">
        <w:rPr>
          <w:rStyle w:val="Superscript"/>
        </w:rPr>
        <w:footnoteReference w:id="37"/>
      </w:r>
      <w:r>
        <w:t xml:space="preserve"> In its </w:t>
      </w:r>
      <w:hyperlink r:id="rId33" w:history="1">
        <w:r>
          <w:t>2016 Retail Competition Review</w:t>
        </w:r>
      </w:hyperlink>
      <w:r>
        <w:t>, the AEMC found there is sufficient competition in the New South Wales retail gas market for customers to benefit from the removal of retail price regulation from 1 July 2017</w:t>
      </w:r>
      <w:r w:rsidRPr="009D1DEC">
        <w:rPr>
          <w:rStyle w:val="Superscript"/>
        </w:rPr>
        <w:footnoteReference w:id="38"/>
      </w:r>
      <w:r>
        <w:t xml:space="preserve">. </w:t>
      </w:r>
    </w:p>
    <w:p w:rsidR="00697BCD" w:rsidRDefault="00697BCD" w:rsidP="00697BCD">
      <w:r>
        <w:t xml:space="preserve">Figure 3.7 shows the range of annual gas bills across the distribution zones. </w:t>
      </w:r>
    </w:p>
    <w:p w:rsidR="00697BCD" w:rsidRDefault="00697BCD" w:rsidP="000F3A56">
      <w:pPr>
        <w:pStyle w:val="Charttitle"/>
      </w:pPr>
      <w:r>
        <w:t>Figure 3.7:</w:t>
      </w:r>
      <w:r>
        <w:tab/>
        <w:t>Range of generally available gas offers by distribution zone (24 000 MJ)—June 2016</w:t>
      </w:r>
    </w:p>
    <w:p w:rsidR="00697BCD" w:rsidRDefault="00EC4210" w:rsidP="000F3A56">
      <w:pPr>
        <w:pStyle w:val="Charttitle"/>
      </w:pPr>
      <w:r>
        <w:pict>
          <v:shape id="_x0000_i1046" type="#_x0000_t75" alt="Annual gas bills for the median market offer were highest in Jemena’s zone (at $845), and lowest in the AGN (Albury) zone (at $648). The Jemena zone had the largest range of $205 between the cheapest and most expensive offers." style="width:472.2pt;height:283.3pt">
            <v:imagedata r:id="rId34" o:title=""/>
          </v:shape>
        </w:pict>
      </w:r>
    </w:p>
    <w:p w:rsidR="00697BCD" w:rsidRDefault="00697BCD" w:rsidP="000F3A56">
      <w:pPr>
        <w:pStyle w:val="Numbered111"/>
      </w:pPr>
      <w:bookmarkStart w:id="43" w:name="_Toc467665327"/>
      <w:r>
        <w:t>Energy bills as a percentage of income</w:t>
      </w:r>
      <w:bookmarkEnd w:id="43"/>
    </w:p>
    <w:p w:rsidR="00697BCD" w:rsidRDefault="00697BCD" w:rsidP="00697BCD">
      <w:r>
        <w:t>The Low Income Household Rebate is the primary energy concession available to eligible customers</w:t>
      </w:r>
      <w:r w:rsidRPr="009D1DEC">
        <w:rPr>
          <w:rStyle w:val="Superscript"/>
        </w:rPr>
        <w:footnoteReference w:id="39"/>
      </w:r>
      <w:r>
        <w:t xml:space="preserve"> in New South Wales. It applies only to electricity bills and is capped at $235 (excluding GST) per year. Some customers are also eligible</w:t>
      </w:r>
      <w:r w:rsidRPr="009D1DEC">
        <w:rPr>
          <w:rStyle w:val="Superscript"/>
        </w:rPr>
        <w:footnoteReference w:id="40"/>
      </w:r>
      <w:r>
        <w:t xml:space="preserve"> for the Family Energy Rebate, which is capped at $150 per year. For households eligible for both the Low Income Household Rebate and the Family Energy Rebate, the Family Energy Rebate is capped at $15 per year, making the maximum annual electricity concession available $250. On 1 July 2015, the New South Wales Government introduced a Gas Rebate to help eligible householders pay their gas bills. The gas rebate is $90 per year. The analysis of annual electricity bills in figure 3.8 includes the maximum value of both concessions. </w:t>
      </w:r>
    </w:p>
    <w:p w:rsidR="00697BCD" w:rsidRDefault="00697BCD" w:rsidP="000F3A56">
      <w:pPr>
        <w:pStyle w:val="Charttitle"/>
      </w:pPr>
      <w:r>
        <w:lastRenderedPageBreak/>
        <w:t>Figure 3.8:</w:t>
      </w:r>
      <w:r>
        <w:tab/>
        <w:t>Annual electricity and gas bills, and as a share of disposable income for a benchmark low income household (4300 kWh and 24 000 MJ, June)</w:t>
      </w:r>
    </w:p>
    <w:p w:rsidR="00697BCD" w:rsidRDefault="00EC4210" w:rsidP="000F3A56">
      <w:pPr>
        <w:pStyle w:val="Charttitle"/>
      </w:pPr>
      <w:r>
        <w:pict>
          <v:shape id="_x0000_i1047" type="#_x0000_t75" alt="Across New South Wales, the annual bill for customers on the median market offer was $1283 (or $1008 with a concession). Annual bills for the median standing offer were greater, at $1360 (or $1085 with a concession). Low income households on a market offer and receiving an energy concession would spend 3.8 per cent of its income on electricity (or 4.8 per cent if it did not receive a concession). A low income household on the standing offer and receiving a concession would spend 4.1 per cent of its income, or 5.1 per cent without a concession.&#10;Annual gas bills were $845 for a household on the median market offer ($746 with a concession). The median regulated offer was $901 ($802). For a low income household, gas bills represent 2.8 per cent of income if on the market offer and 3.2 per cent on the regulated offer&#10;" style="width:470.35pt;height:185.15pt">
            <v:imagedata r:id="rId35" o:title=""/>
          </v:shape>
        </w:pict>
      </w:r>
    </w:p>
    <w:p w:rsidR="00697BCD" w:rsidRDefault="00697BCD" w:rsidP="00697BCD">
      <w:r>
        <w:t xml:space="preserve">Across New South Wales, annual electricity bills fell slightly, although not as significantly as the 10 per cent drop the previous year. For a low income household on the median market offer, bills fell by around 1.2 per cent to $1283 (or $1008 with a concession). While a low income household on the median standing offer (including regulated offers) faced higher bills than the market offer ($1360 or $1085 with a concession), the fall in the median standing offer was greater, at 4.8 per cent. For a low income household on a market offer and receiving a concession, this represents 3.8 per cent of its income (or 4.8 per cent if it did not receive a concession). A low income household on the median standing offer and receiving a </w:t>
      </w:r>
      <w:proofErr w:type="gramStart"/>
      <w:r>
        <w:t>concession,</w:t>
      </w:r>
      <w:proofErr w:type="gramEnd"/>
      <w:r>
        <w:t xml:space="preserve"> spent 4.1 per cent of its income on its annual electricity bill, or 5.1 per cent without a concession. </w:t>
      </w:r>
    </w:p>
    <w:p w:rsidR="00697BCD" w:rsidRDefault="00697BCD" w:rsidP="00697BCD">
      <w:r>
        <w:t xml:space="preserve">Annual gas bills for a household on the median market offer in New South Wales fell by 8.5 per cent to $845 (or around 20 per cent if the household was eligible for the new gas concession). The annual bill for the median regulated offer was slightly higher at $901 (without the new concession). </w:t>
      </w:r>
    </w:p>
    <w:p w:rsidR="00697BCD" w:rsidRDefault="00697BCD" w:rsidP="00697BCD">
      <w:r>
        <w:t xml:space="preserve">For a low income household, gas bills represent between 2.8 and 3.2 per cent of income, depending on whether they are on a market or standing offer and whether they receive a concession or not. </w:t>
      </w:r>
    </w:p>
    <w:p w:rsidR="00697BCD" w:rsidRDefault="00697BCD" w:rsidP="00697BCD">
      <w:r>
        <w:t xml:space="preserve">A middle income household using a typical amount of energy–5900 kWh in New South Wales–spent 2.1 per cent of its income on electricity (table 3.3). For a high income household, electricity accounted for 0.8 per cent of its income. Middle and high income households spent 1.2 per cent and 0.4 per cent on gas respectively. </w:t>
      </w:r>
    </w:p>
    <w:p w:rsidR="00697BCD" w:rsidRDefault="00697BCD" w:rsidP="00697BCD">
      <w:pPr>
        <w:pStyle w:val="Tabletitle"/>
      </w:pPr>
      <w:r>
        <w:t>Table 3.3:</w:t>
      </w:r>
      <w:r>
        <w:tab/>
        <w:t>Summary of annual electricity and gas bills (for the median market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79"/>
        <w:gridCol w:w="2151"/>
        <w:gridCol w:w="2149"/>
        <w:gridCol w:w="2149"/>
      </w:tblGrid>
      <w:tr w:rsidR="00697BCD" w:rsidRPr="00391B03" w:rsidTr="00391B03">
        <w:trPr>
          <w:trHeight w:val="60"/>
        </w:trPr>
        <w:tc>
          <w:tcPr>
            <w:tcW w:w="1651" w:type="pct"/>
            <w:shd w:val="clear" w:color="auto" w:fill="auto"/>
          </w:tcPr>
          <w:p w:rsidR="00697BCD" w:rsidRPr="00391B03" w:rsidRDefault="00697BCD" w:rsidP="006B1E9F">
            <w:pPr>
              <w:pStyle w:val="TableHeading"/>
            </w:pPr>
            <w:r w:rsidRPr="00391B03">
              <w:t>Income level</w:t>
            </w:r>
          </w:p>
        </w:tc>
        <w:tc>
          <w:tcPr>
            <w:tcW w:w="1117" w:type="pct"/>
            <w:shd w:val="clear" w:color="auto" w:fill="auto"/>
          </w:tcPr>
          <w:p w:rsidR="00697BCD" w:rsidRPr="00391B03" w:rsidRDefault="00697BCD" w:rsidP="006B1E9F">
            <w:pPr>
              <w:pStyle w:val="TableHeading"/>
            </w:pPr>
            <w:r w:rsidRPr="00391B03">
              <w:t>Annual consumption</w:t>
            </w:r>
          </w:p>
        </w:tc>
        <w:tc>
          <w:tcPr>
            <w:tcW w:w="1116" w:type="pct"/>
            <w:shd w:val="clear" w:color="auto" w:fill="auto"/>
          </w:tcPr>
          <w:p w:rsidR="00697BCD" w:rsidRDefault="00697BCD" w:rsidP="006B1E9F">
            <w:pPr>
              <w:pStyle w:val="TableHeading-right"/>
            </w:pPr>
            <w:r>
              <w:t>Annual bill</w:t>
            </w:r>
            <w:r>
              <w:br/>
              <w:t xml:space="preserve">($) </w:t>
            </w:r>
          </w:p>
        </w:tc>
        <w:tc>
          <w:tcPr>
            <w:tcW w:w="1117" w:type="pct"/>
            <w:shd w:val="clear" w:color="auto" w:fill="auto"/>
          </w:tcPr>
          <w:p w:rsidR="00697BCD" w:rsidRDefault="00697BCD" w:rsidP="006B1E9F">
            <w:pPr>
              <w:pStyle w:val="TableHeading-right"/>
            </w:pPr>
            <w:r>
              <w:t>Proportion of annual income (%)</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Electricity 4300 kWh</w:t>
            </w:r>
          </w:p>
        </w:tc>
        <w:tc>
          <w:tcPr>
            <w:tcW w:w="1116" w:type="pct"/>
            <w:shd w:val="clear" w:color="auto" w:fill="auto"/>
          </w:tcPr>
          <w:p w:rsidR="00697BCD" w:rsidRDefault="00697BCD" w:rsidP="00624E11">
            <w:pPr>
              <w:pStyle w:val="Tabletext-right"/>
            </w:pPr>
            <w:r>
              <w:t>1008</w:t>
            </w:r>
          </w:p>
        </w:tc>
        <w:tc>
          <w:tcPr>
            <w:tcW w:w="1117" w:type="pct"/>
            <w:shd w:val="clear" w:color="auto" w:fill="auto"/>
          </w:tcPr>
          <w:p w:rsidR="00697BCD" w:rsidRDefault="00697BCD" w:rsidP="00624E11">
            <w:pPr>
              <w:pStyle w:val="Tabletext-right"/>
            </w:pPr>
            <w:r>
              <w:t>3.8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Electricity 4300 kWh</w:t>
            </w:r>
          </w:p>
        </w:tc>
        <w:tc>
          <w:tcPr>
            <w:tcW w:w="1116" w:type="pct"/>
            <w:shd w:val="clear" w:color="auto" w:fill="auto"/>
          </w:tcPr>
          <w:p w:rsidR="00697BCD" w:rsidRDefault="00697BCD" w:rsidP="00624E11">
            <w:pPr>
              <w:pStyle w:val="Tabletext-right"/>
            </w:pPr>
            <w:r>
              <w:t>1283</w:t>
            </w:r>
          </w:p>
        </w:tc>
        <w:tc>
          <w:tcPr>
            <w:tcW w:w="1117" w:type="pct"/>
            <w:shd w:val="clear" w:color="auto" w:fill="auto"/>
          </w:tcPr>
          <w:p w:rsidR="00697BCD" w:rsidRDefault="00697BCD" w:rsidP="00624E11">
            <w:pPr>
              <w:pStyle w:val="Tabletext-right"/>
            </w:pPr>
            <w:r>
              <w:t>4.8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Electricity 5900 kWh</w:t>
            </w:r>
          </w:p>
        </w:tc>
        <w:tc>
          <w:tcPr>
            <w:tcW w:w="1116" w:type="pct"/>
            <w:shd w:val="clear" w:color="auto" w:fill="auto"/>
          </w:tcPr>
          <w:p w:rsidR="00697BCD" w:rsidRDefault="00697BCD" w:rsidP="00624E11">
            <w:pPr>
              <w:pStyle w:val="Tabletext-right"/>
            </w:pPr>
            <w:r>
              <w:t>1615</w:t>
            </w:r>
          </w:p>
        </w:tc>
        <w:tc>
          <w:tcPr>
            <w:tcW w:w="1117" w:type="pct"/>
            <w:shd w:val="clear" w:color="auto" w:fill="auto"/>
          </w:tcPr>
          <w:p w:rsidR="00697BCD" w:rsidRDefault="00697BCD" w:rsidP="00624E11">
            <w:pPr>
              <w:pStyle w:val="Tabletext-right"/>
            </w:pPr>
            <w:r>
              <w:t>2.1</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Electricity 5900 kWh</w:t>
            </w:r>
          </w:p>
        </w:tc>
        <w:tc>
          <w:tcPr>
            <w:tcW w:w="1116" w:type="pct"/>
            <w:shd w:val="clear" w:color="auto" w:fill="auto"/>
          </w:tcPr>
          <w:p w:rsidR="00697BCD" w:rsidRDefault="00697BCD" w:rsidP="00624E11">
            <w:pPr>
              <w:pStyle w:val="Tabletext-right"/>
            </w:pPr>
            <w:r>
              <w:t>1615</w:t>
            </w:r>
          </w:p>
        </w:tc>
        <w:tc>
          <w:tcPr>
            <w:tcW w:w="1117" w:type="pct"/>
            <w:shd w:val="clear" w:color="auto" w:fill="auto"/>
          </w:tcPr>
          <w:p w:rsidR="00697BCD" w:rsidRDefault="00697BCD" w:rsidP="00624E11">
            <w:pPr>
              <w:pStyle w:val="Tabletext-right"/>
            </w:pPr>
            <w:r>
              <w:t>0.8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Gas 24 000 MJ</w:t>
            </w:r>
          </w:p>
        </w:tc>
        <w:tc>
          <w:tcPr>
            <w:tcW w:w="1116" w:type="pct"/>
            <w:shd w:val="clear" w:color="auto" w:fill="auto"/>
          </w:tcPr>
          <w:p w:rsidR="00697BCD" w:rsidRDefault="00697BCD" w:rsidP="00624E11">
            <w:pPr>
              <w:pStyle w:val="Tabletext-right"/>
            </w:pPr>
            <w:r>
              <w:t>802</w:t>
            </w:r>
          </w:p>
        </w:tc>
        <w:tc>
          <w:tcPr>
            <w:tcW w:w="1117" w:type="pct"/>
            <w:shd w:val="clear" w:color="auto" w:fill="auto"/>
          </w:tcPr>
          <w:p w:rsidR="00697BCD" w:rsidRDefault="00697BCD" w:rsidP="00624E11">
            <w:pPr>
              <w:pStyle w:val="Tabletext-right"/>
            </w:pPr>
            <w:r>
              <w:t>3.0</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lastRenderedPageBreak/>
              <w:t>Low income—without concession</w:t>
            </w:r>
          </w:p>
        </w:tc>
        <w:tc>
          <w:tcPr>
            <w:tcW w:w="1117" w:type="pct"/>
            <w:shd w:val="clear" w:color="auto" w:fill="auto"/>
          </w:tcPr>
          <w:p w:rsidR="00697BCD" w:rsidRPr="00391B03" w:rsidRDefault="00697BCD" w:rsidP="00624E11">
            <w:pPr>
              <w:pStyle w:val="Tabletext"/>
            </w:pPr>
            <w:r w:rsidRPr="00391B03">
              <w:t>Gas 24 000 MJ</w:t>
            </w:r>
          </w:p>
        </w:tc>
        <w:tc>
          <w:tcPr>
            <w:tcW w:w="1116" w:type="pct"/>
            <w:shd w:val="clear" w:color="auto" w:fill="auto"/>
          </w:tcPr>
          <w:p w:rsidR="00697BCD" w:rsidRDefault="00697BCD" w:rsidP="00624E11">
            <w:pPr>
              <w:pStyle w:val="Tabletext-right"/>
            </w:pPr>
            <w:r>
              <w:t>901</w:t>
            </w:r>
          </w:p>
        </w:tc>
        <w:tc>
          <w:tcPr>
            <w:tcW w:w="1117" w:type="pct"/>
            <w:shd w:val="clear" w:color="auto" w:fill="auto"/>
          </w:tcPr>
          <w:p w:rsidR="00697BCD" w:rsidRDefault="00697BCD" w:rsidP="00624E11">
            <w:pPr>
              <w:pStyle w:val="Tabletext-right"/>
            </w:pPr>
            <w:r>
              <w:t>3.4</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Gas 24 000 MJ</w:t>
            </w:r>
          </w:p>
        </w:tc>
        <w:tc>
          <w:tcPr>
            <w:tcW w:w="1116" w:type="pct"/>
            <w:shd w:val="clear" w:color="auto" w:fill="auto"/>
          </w:tcPr>
          <w:p w:rsidR="00697BCD" w:rsidRDefault="00697BCD" w:rsidP="00624E11">
            <w:pPr>
              <w:pStyle w:val="Tabletext-right"/>
            </w:pPr>
            <w:r>
              <w:t>901</w:t>
            </w:r>
          </w:p>
        </w:tc>
        <w:tc>
          <w:tcPr>
            <w:tcW w:w="1117" w:type="pct"/>
            <w:shd w:val="clear" w:color="auto" w:fill="auto"/>
          </w:tcPr>
          <w:p w:rsidR="00697BCD" w:rsidRDefault="00697BCD" w:rsidP="00624E11">
            <w:pPr>
              <w:pStyle w:val="Tabletext-right"/>
            </w:pPr>
            <w:r>
              <w:t>1.2</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Gas 24 000 MJ</w:t>
            </w:r>
          </w:p>
        </w:tc>
        <w:tc>
          <w:tcPr>
            <w:tcW w:w="1116" w:type="pct"/>
            <w:shd w:val="clear" w:color="auto" w:fill="auto"/>
          </w:tcPr>
          <w:p w:rsidR="00697BCD" w:rsidRDefault="00697BCD" w:rsidP="00624E11">
            <w:pPr>
              <w:pStyle w:val="Tabletext-right"/>
            </w:pPr>
            <w:r>
              <w:t>901</w:t>
            </w:r>
          </w:p>
        </w:tc>
        <w:tc>
          <w:tcPr>
            <w:tcW w:w="1117" w:type="pct"/>
            <w:shd w:val="clear" w:color="auto" w:fill="auto"/>
          </w:tcPr>
          <w:p w:rsidR="00697BCD" w:rsidRDefault="00697BCD" w:rsidP="00624E11">
            <w:pPr>
              <w:pStyle w:val="Tabletext-right"/>
            </w:pPr>
            <w:r>
              <w:t>0.4</w:t>
            </w:r>
          </w:p>
        </w:tc>
      </w:tr>
    </w:tbl>
    <w:p w:rsidR="00697BCD" w:rsidRDefault="00697BCD"/>
    <w:p w:rsidR="00697BCD" w:rsidRDefault="00697BCD" w:rsidP="000F3A56">
      <w:pPr>
        <w:pStyle w:val="Numbered111"/>
      </w:pPr>
      <w:bookmarkStart w:id="44" w:name="_Toc467665328"/>
      <w:r>
        <w:t>Composition of energy bills and impact of concessions</w:t>
      </w:r>
      <w:bookmarkEnd w:id="44"/>
    </w:p>
    <w:p w:rsidR="00697BCD" w:rsidRDefault="00697BCD" w:rsidP="00697BCD">
      <w:r>
        <w:t xml:space="preserve">Table 3.4 shows the portions of low income household energy bills attributed to daily supply charges and energy use charges, as well as the savings provided by energy concessions. </w:t>
      </w:r>
    </w:p>
    <w:p w:rsidR="00697BCD" w:rsidRDefault="00697BCD" w:rsidP="00697BCD">
      <w:r>
        <w:t xml:space="preserve">Daily supply charges for a median market electricity offer were $364 per annum in 2016, which represents 29 per cent of a low income household’s annual electricity bill and 1.4 per cent of its disposable income. </w:t>
      </w:r>
    </w:p>
    <w:p w:rsidR="00697BCD" w:rsidRDefault="00697BCD" w:rsidP="00697BCD">
      <w:r>
        <w:t xml:space="preserve">Daily supply charges for a median market gas offer were $217 per annum, which represents 26 per cent of a low income household’s annual gas bill and 0.8 per cent of its disposable income. </w:t>
      </w:r>
    </w:p>
    <w:p w:rsidR="00697BCD" w:rsidRDefault="00697BCD" w:rsidP="00697BCD">
      <w:r>
        <w:t xml:space="preserve">The electricity concession helps eligible customers save over 21 per cent on electricity; and the new gas concession an additional 11 per cent for eligible customers. </w:t>
      </w:r>
    </w:p>
    <w:p w:rsidR="00697BCD" w:rsidRDefault="00697BCD" w:rsidP="00697BCD">
      <w:pPr>
        <w:pStyle w:val="Tabletitle"/>
      </w:pPr>
      <w:r>
        <w:t>Table 3.4:</w:t>
      </w:r>
      <w:r>
        <w:tab/>
        <w:t>Composition of low income household energy bills (median market offer)</w:t>
      </w:r>
    </w:p>
    <w:tbl>
      <w:tblPr>
        <w:tblW w:w="5000" w:type="pct"/>
        <w:tblBorders>
          <w:top w:val="single" w:sz="4" w:space="0" w:color="BFBFBF"/>
          <w:bottom w:val="single" w:sz="4" w:space="0" w:color="BFBFBF"/>
        </w:tblBorders>
        <w:tblLook w:val="0000" w:firstRow="0" w:lastRow="0" w:firstColumn="0" w:lastColumn="0" w:noHBand="0" w:noVBand="0"/>
      </w:tblPr>
      <w:tblGrid>
        <w:gridCol w:w="2676"/>
        <w:gridCol w:w="1737"/>
        <w:gridCol w:w="1739"/>
        <w:gridCol w:w="1737"/>
        <w:gridCol w:w="1739"/>
      </w:tblGrid>
      <w:tr w:rsidR="00697BCD" w:rsidRPr="00391B03" w:rsidTr="00391B03">
        <w:trPr>
          <w:trHeight w:val="60"/>
        </w:trPr>
        <w:tc>
          <w:tcPr>
            <w:tcW w:w="1389" w:type="pct"/>
            <w:shd w:val="clear" w:color="auto" w:fill="auto"/>
          </w:tcPr>
          <w:p w:rsidR="00697BCD" w:rsidRPr="00391B03" w:rsidRDefault="00697BCD" w:rsidP="006B1E9F">
            <w:pPr>
              <w:pStyle w:val="TableHeading"/>
            </w:pPr>
            <w:r w:rsidRPr="00391B03">
              <w:t>Fuel type—consumption</w:t>
            </w:r>
          </w:p>
        </w:tc>
        <w:tc>
          <w:tcPr>
            <w:tcW w:w="902" w:type="pct"/>
            <w:shd w:val="clear" w:color="auto" w:fill="auto"/>
          </w:tcPr>
          <w:p w:rsidR="00697BCD" w:rsidRDefault="00697BCD" w:rsidP="006B1E9F">
            <w:pPr>
              <w:pStyle w:val="TableHeading-right"/>
            </w:pPr>
            <w:r>
              <w:t>Year</w:t>
            </w:r>
          </w:p>
        </w:tc>
        <w:tc>
          <w:tcPr>
            <w:tcW w:w="903" w:type="pct"/>
            <w:shd w:val="clear" w:color="auto" w:fill="auto"/>
          </w:tcPr>
          <w:p w:rsidR="00697BCD" w:rsidRDefault="00697BCD" w:rsidP="006B1E9F">
            <w:pPr>
              <w:pStyle w:val="TableHeading-right"/>
            </w:pPr>
            <w:r>
              <w:t>Daily supply</w:t>
            </w:r>
            <w:r>
              <w:br/>
              <w:t>charges (%)</w:t>
            </w:r>
          </w:p>
        </w:tc>
        <w:tc>
          <w:tcPr>
            <w:tcW w:w="902" w:type="pct"/>
            <w:shd w:val="clear" w:color="auto" w:fill="auto"/>
          </w:tcPr>
          <w:p w:rsidR="00697BCD" w:rsidRDefault="00697BCD" w:rsidP="006B1E9F">
            <w:pPr>
              <w:pStyle w:val="TableHeading-right"/>
            </w:pPr>
            <w:r>
              <w:t>Energy use</w:t>
            </w:r>
            <w:r>
              <w:br/>
              <w:t>charges (%)</w:t>
            </w:r>
          </w:p>
        </w:tc>
        <w:tc>
          <w:tcPr>
            <w:tcW w:w="903" w:type="pct"/>
            <w:shd w:val="clear" w:color="auto" w:fill="auto"/>
          </w:tcPr>
          <w:p w:rsidR="00697BCD" w:rsidRDefault="00697BCD" w:rsidP="006B1E9F">
            <w:pPr>
              <w:pStyle w:val="TableHeading-right"/>
            </w:pPr>
            <w:r>
              <w:t>Saving with concession (%)</w:t>
            </w:r>
          </w:p>
        </w:tc>
      </w:tr>
      <w:tr w:rsidR="00697BCD" w:rsidRPr="00391B03" w:rsidTr="00391B03">
        <w:trPr>
          <w:trHeight w:val="60"/>
        </w:trPr>
        <w:tc>
          <w:tcPr>
            <w:tcW w:w="1389" w:type="pct"/>
            <w:vMerge w:val="restart"/>
            <w:shd w:val="clear" w:color="auto" w:fill="auto"/>
          </w:tcPr>
          <w:p w:rsidR="00697BCD" w:rsidRPr="00391B03" w:rsidRDefault="00697BCD" w:rsidP="00624E11">
            <w:pPr>
              <w:pStyle w:val="Tabletext"/>
            </w:pPr>
            <w:r w:rsidRPr="00391B03">
              <w:t>Electricity—4300 kWh</w:t>
            </w:r>
          </w:p>
        </w:tc>
        <w:tc>
          <w:tcPr>
            <w:tcW w:w="902"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18.3</w:t>
            </w:r>
          </w:p>
        </w:tc>
        <w:tc>
          <w:tcPr>
            <w:tcW w:w="902" w:type="pct"/>
            <w:shd w:val="clear" w:color="auto" w:fill="auto"/>
          </w:tcPr>
          <w:p w:rsidR="00697BCD" w:rsidRDefault="00697BCD" w:rsidP="00624E11">
            <w:pPr>
              <w:pStyle w:val="Tabletext-right"/>
            </w:pPr>
            <w:r>
              <w:t>81.7</w:t>
            </w:r>
          </w:p>
        </w:tc>
        <w:tc>
          <w:tcPr>
            <w:tcW w:w="903" w:type="pct"/>
            <w:shd w:val="clear" w:color="auto" w:fill="auto"/>
          </w:tcPr>
          <w:p w:rsidR="00697BCD" w:rsidRDefault="00697BCD" w:rsidP="00624E11">
            <w:pPr>
              <w:pStyle w:val="Tabletext-right"/>
            </w:pPr>
            <w:r>
              <w:t>18.1</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24.6</w:t>
            </w:r>
          </w:p>
        </w:tc>
        <w:tc>
          <w:tcPr>
            <w:tcW w:w="902" w:type="pct"/>
            <w:shd w:val="clear" w:color="auto" w:fill="auto"/>
          </w:tcPr>
          <w:p w:rsidR="00697BCD" w:rsidRDefault="00697BCD" w:rsidP="00624E11">
            <w:pPr>
              <w:pStyle w:val="Tabletext-right"/>
            </w:pPr>
            <w:r>
              <w:t>75.4</w:t>
            </w:r>
          </w:p>
        </w:tc>
        <w:tc>
          <w:tcPr>
            <w:tcW w:w="903" w:type="pct"/>
            <w:shd w:val="clear" w:color="auto" w:fill="auto"/>
          </w:tcPr>
          <w:p w:rsidR="00697BCD" w:rsidRDefault="00697BCD" w:rsidP="00624E11">
            <w:pPr>
              <w:pStyle w:val="Tabletext-right"/>
            </w:pPr>
            <w:r>
              <w:t>19.1</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26.4</w:t>
            </w:r>
          </w:p>
        </w:tc>
        <w:tc>
          <w:tcPr>
            <w:tcW w:w="902" w:type="pct"/>
            <w:shd w:val="clear" w:color="auto" w:fill="auto"/>
          </w:tcPr>
          <w:p w:rsidR="00697BCD" w:rsidRDefault="00697BCD" w:rsidP="00624E11">
            <w:pPr>
              <w:pStyle w:val="Tabletext-right"/>
            </w:pPr>
            <w:r>
              <w:t>73.6</w:t>
            </w:r>
          </w:p>
        </w:tc>
        <w:tc>
          <w:tcPr>
            <w:tcW w:w="903" w:type="pct"/>
            <w:shd w:val="clear" w:color="auto" w:fill="auto"/>
          </w:tcPr>
          <w:p w:rsidR="00697BCD" w:rsidRDefault="00697BCD" w:rsidP="00624E11">
            <w:pPr>
              <w:pStyle w:val="Tabletext-right"/>
            </w:pPr>
            <w:r>
              <w:t>21.2</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28.4</w:t>
            </w:r>
          </w:p>
        </w:tc>
        <w:tc>
          <w:tcPr>
            <w:tcW w:w="902" w:type="pct"/>
            <w:shd w:val="clear" w:color="auto" w:fill="auto"/>
          </w:tcPr>
          <w:p w:rsidR="00697BCD" w:rsidRDefault="00697BCD" w:rsidP="00624E11">
            <w:pPr>
              <w:pStyle w:val="Tabletext-right"/>
            </w:pPr>
            <w:r>
              <w:t>71.6</w:t>
            </w:r>
          </w:p>
        </w:tc>
        <w:tc>
          <w:tcPr>
            <w:tcW w:w="903" w:type="pct"/>
            <w:shd w:val="clear" w:color="auto" w:fill="auto"/>
          </w:tcPr>
          <w:p w:rsidR="00697BCD" w:rsidRDefault="00697BCD" w:rsidP="00624E11">
            <w:pPr>
              <w:pStyle w:val="Tabletext-right"/>
            </w:pPr>
            <w:r>
              <w:t>21.4</w:t>
            </w:r>
          </w:p>
        </w:tc>
      </w:tr>
      <w:tr w:rsidR="00697BCD" w:rsidRPr="00391B03" w:rsidTr="00391B03">
        <w:trPr>
          <w:trHeight w:val="60"/>
        </w:trPr>
        <w:tc>
          <w:tcPr>
            <w:tcW w:w="1389" w:type="pct"/>
            <w:vMerge w:val="restart"/>
            <w:shd w:val="clear" w:color="auto" w:fill="auto"/>
          </w:tcPr>
          <w:p w:rsidR="00697BCD" w:rsidRPr="00391B03" w:rsidRDefault="00697BCD" w:rsidP="00624E11">
            <w:pPr>
              <w:pStyle w:val="Tabletext"/>
            </w:pPr>
            <w:r w:rsidRPr="00391B03">
              <w:t>Gas—24 000 MJ</w:t>
            </w:r>
          </w:p>
        </w:tc>
        <w:tc>
          <w:tcPr>
            <w:tcW w:w="902"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19.6</w:t>
            </w:r>
          </w:p>
        </w:tc>
        <w:tc>
          <w:tcPr>
            <w:tcW w:w="902" w:type="pct"/>
            <w:shd w:val="clear" w:color="auto" w:fill="auto"/>
          </w:tcPr>
          <w:p w:rsidR="00697BCD" w:rsidRDefault="00697BCD" w:rsidP="00624E11">
            <w:pPr>
              <w:pStyle w:val="Tabletext-right"/>
            </w:pPr>
            <w:r>
              <w:t>80.44</w:t>
            </w:r>
          </w:p>
        </w:tc>
        <w:tc>
          <w:tcPr>
            <w:tcW w:w="903" w:type="pct"/>
            <w:shd w:val="clear" w:color="auto" w:fill="auto"/>
          </w:tcPr>
          <w:p w:rsidR="00697BCD" w:rsidRDefault="00697BCD" w:rsidP="00624E11">
            <w:pPr>
              <w:pStyle w:val="Tabletext-right"/>
            </w:pPr>
            <w:r>
              <w:t>N/A</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24.9</w:t>
            </w:r>
          </w:p>
        </w:tc>
        <w:tc>
          <w:tcPr>
            <w:tcW w:w="902" w:type="pct"/>
            <w:shd w:val="clear" w:color="auto" w:fill="auto"/>
          </w:tcPr>
          <w:p w:rsidR="00697BCD" w:rsidRDefault="00697BCD" w:rsidP="00624E11">
            <w:pPr>
              <w:pStyle w:val="Tabletext-right"/>
            </w:pPr>
            <w:r>
              <w:t>75.09</w:t>
            </w:r>
          </w:p>
        </w:tc>
        <w:tc>
          <w:tcPr>
            <w:tcW w:w="903" w:type="pct"/>
            <w:shd w:val="clear" w:color="auto" w:fill="auto"/>
          </w:tcPr>
          <w:p w:rsidR="00697BCD" w:rsidRDefault="00697BCD" w:rsidP="00624E11">
            <w:pPr>
              <w:pStyle w:val="Tabletext-right"/>
            </w:pPr>
            <w:r>
              <w:t>N/A</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20.5</w:t>
            </w:r>
          </w:p>
        </w:tc>
        <w:tc>
          <w:tcPr>
            <w:tcW w:w="902" w:type="pct"/>
            <w:shd w:val="clear" w:color="auto" w:fill="auto"/>
          </w:tcPr>
          <w:p w:rsidR="00697BCD" w:rsidRDefault="00697BCD" w:rsidP="00624E11">
            <w:pPr>
              <w:pStyle w:val="Tabletext-right"/>
            </w:pPr>
            <w:r>
              <w:t>79.52</w:t>
            </w:r>
          </w:p>
        </w:tc>
        <w:tc>
          <w:tcPr>
            <w:tcW w:w="903" w:type="pct"/>
            <w:shd w:val="clear" w:color="auto" w:fill="auto"/>
          </w:tcPr>
          <w:p w:rsidR="00697BCD" w:rsidRDefault="00697BCD" w:rsidP="00624E11">
            <w:pPr>
              <w:pStyle w:val="Tabletext-right"/>
            </w:pPr>
            <w:r>
              <w:t>N/A</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25.7</w:t>
            </w:r>
          </w:p>
        </w:tc>
        <w:tc>
          <w:tcPr>
            <w:tcW w:w="902" w:type="pct"/>
            <w:shd w:val="clear" w:color="auto" w:fill="auto"/>
          </w:tcPr>
          <w:p w:rsidR="00697BCD" w:rsidRDefault="00697BCD" w:rsidP="00624E11">
            <w:pPr>
              <w:pStyle w:val="Tabletext-right"/>
            </w:pPr>
            <w:r>
              <w:t>74.33</w:t>
            </w:r>
          </w:p>
        </w:tc>
        <w:tc>
          <w:tcPr>
            <w:tcW w:w="903" w:type="pct"/>
            <w:shd w:val="clear" w:color="auto" w:fill="auto"/>
          </w:tcPr>
          <w:p w:rsidR="00697BCD" w:rsidRDefault="00697BCD" w:rsidP="00624E11">
            <w:pPr>
              <w:pStyle w:val="Tabletext-right"/>
            </w:pPr>
            <w:r>
              <w:t>11.0</w:t>
            </w:r>
          </w:p>
        </w:tc>
      </w:tr>
    </w:tbl>
    <w:p w:rsidR="00697BCD" w:rsidRDefault="00697BCD"/>
    <w:p w:rsidR="00697BCD" w:rsidRDefault="00697BCD" w:rsidP="000F3A56">
      <w:pPr>
        <w:pStyle w:val="Numbered11"/>
      </w:pPr>
      <w:bookmarkStart w:id="45" w:name="_Toc467665329"/>
      <w:r>
        <w:t>Victoria</w:t>
      </w:r>
      <w:bookmarkEnd w:id="45"/>
    </w:p>
    <w:p w:rsidR="00697BCD" w:rsidRDefault="00697BCD" w:rsidP="000F3A56">
      <w:pPr>
        <w:pStyle w:val="Numbered111"/>
      </w:pPr>
      <w:bookmarkStart w:id="46" w:name="_Toc467665330"/>
      <w:r>
        <w:t>Energy prices and bills</w:t>
      </w:r>
      <w:bookmarkEnd w:id="46"/>
    </w:p>
    <w:p w:rsidR="00697BCD" w:rsidRDefault="00697BCD" w:rsidP="00697BCD">
      <w:r>
        <w:t>There are five electricity distribution zones in Victoria (</w:t>
      </w:r>
      <w:proofErr w:type="spellStart"/>
      <w:r>
        <w:t>Powercor</w:t>
      </w:r>
      <w:proofErr w:type="spellEnd"/>
      <w:r>
        <w:t xml:space="preserve">, United Energy, CitiPower, Jemena and AusNet Services). 25 retailers had offers generally available to electricity customers in Victoria. </w:t>
      </w:r>
    </w:p>
    <w:p w:rsidR="00697BCD" w:rsidRDefault="00697BCD" w:rsidP="00697BCD">
      <w:r>
        <w:t xml:space="preserve">As in previous years, customers in AusNet Services’ distribution zone—which covers most of the eastern part of Victoria, including some of the eastern suburbs of Melbourne—had the highest electricity bills for the median market ($1278) and median standing offer ($1563). It is reasonable to expect distributors servicing regional areas to have higher prices, given the large amount of network infrastructure required to service a relatively smaller number of customers. </w:t>
      </w:r>
    </w:p>
    <w:p w:rsidR="00697BCD" w:rsidRDefault="00697BCD" w:rsidP="00697BCD">
      <w:r>
        <w:lastRenderedPageBreak/>
        <w:t xml:space="preserve">In terms of the median market offer, the Jemena and </w:t>
      </w:r>
      <w:proofErr w:type="spellStart"/>
      <w:r>
        <w:t>Powercor</w:t>
      </w:r>
      <w:proofErr w:type="spellEnd"/>
      <w:r>
        <w:t xml:space="preserve"> distribution zones had very similar annual bills of around $1160, with United Energy and CitiPower slightly lower again. </w:t>
      </w:r>
    </w:p>
    <w:p w:rsidR="00697BCD" w:rsidRDefault="00697BCD" w:rsidP="00697BCD">
      <w:r>
        <w:t>What is most interesting to observe in Victoria, however, is the range between the cheapest and most expensive annual electricity bills (for a typical usage level) within each distribution zone. While the median market offer was consistently several hundred dollars cheaper than the median standing offer, the range between the cheapest and most expensive market offer was as high as $968 in the United Energy zone. The range was also significant in each of the other zones, between $523 (AusNet Services) and $785 (</w:t>
      </w:r>
      <w:proofErr w:type="spellStart"/>
      <w:r>
        <w:t>Powercor</w:t>
      </w:r>
      <w:proofErr w:type="spellEnd"/>
      <w:r>
        <w:t xml:space="preserve">), figures that should be providing strong incentive to households around Victoria to shop around for a better offer. </w:t>
      </w:r>
    </w:p>
    <w:p w:rsidR="00697BCD" w:rsidRDefault="00697BCD" w:rsidP="00697BCD">
      <w:r>
        <w:t>Customers in Victoria can compare energy offers using the Victoria Energy Compare website (</w:t>
      </w:r>
      <w:hyperlink r:id="rId36" w:history="1">
        <w:r>
          <w:t>https://compare.switchon.vic.gov.au</w:t>
        </w:r>
      </w:hyperlink>
      <w:r>
        <w:t xml:space="preserve">). </w:t>
      </w:r>
    </w:p>
    <w:p w:rsidR="00697BCD" w:rsidRDefault="00697BCD" w:rsidP="000F3A56">
      <w:pPr>
        <w:pStyle w:val="Charttitle"/>
      </w:pPr>
      <w:r>
        <w:t>Figure 3.9:</w:t>
      </w:r>
      <w:r>
        <w:tab/>
        <w:t>Range of generally available electricity offers by distribution zone (3700 kWh)—June 2016</w:t>
      </w:r>
    </w:p>
    <w:p w:rsidR="00697BCD" w:rsidRDefault="00EC4210" w:rsidP="000F3A56">
      <w:pPr>
        <w:pStyle w:val="Charttitle"/>
      </w:pPr>
      <w:r>
        <w:pict>
          <v:shape id="_x0000_i1048" type="#_x0000_t75" alt="Households of AusNet Services had the highest annual electricity bill for the median market offer at $1278 and the narrowest range between cheapest and highest market offers ($523). Annual bills were lower in the Citipower, United Energy, Jemena and Powercor distribution zones. United Energy had the largest range between the cheapest offer ($967) and the most expensive offer ($1839). The Citipower distribution zone had the cheapest annual electricity bills ($769). In all zones, the median market offer was cheaper than the median standing offer (by at least $252)." style="width:470.35pt;height:283.3pt">
            <v:imagedata r:id="rId37" o:title=""/>
          </v:shape>
        </w:pict>
      </w:r>
    </w:p>
    <w:p w:rsidR="00697BCD" w:rsidRDefault="00697BCD" w:rsidP="00697BCD">
      <w:r>
        <w:t xml:space="preserve">There are eight gas distribution zones in Victoria: </w:t>
      </w:r>
      <w:proofErr w:type="spellStart"/>
      <w:r>
        <w:t>Multinet</w:t>
      </w:r>
      <w:proofErr w:type="spellEnd"/>
      <w:r>
        <w:t xml:space="preserve"> Main 1, </w:t>
      </w:r>
      <w:proofErr w:type="spellStart"/>
      <w:r>
        <w:t>Multinet</w:t>
      </w:r>
      <w:proofErr w:type="spellEnd"/>
      <w:r>
        <w:t xml:space="preserve"> Main 2, AusNet Services Central 1, </w:t>
      </w:r>
      <w:proofErr w:type="spellStart"/>
      <w:r>
        <w:t>Ausnet</w:t>
      </w:r>
      <w:proofErr w:type="spellEnd"/>
      <w:r>
        <w:t xml:space="preserve"> Services Central 2, AusNet Services West, AGN Central 1, AGN Central 2 and AGN North. 9 retailers had offers generally available to gas customers in Victoria. </w:t>
      </w:r>
    </w:p>
    <w:p w:rsidR="00697BCD" w:rsidRDefault="00697BCD" w:rsidP="00697BCD">
      <w:r>
        <w:t xml:space="preserve">Annual gas bills in Victoria are relatively consistent, both across and within each distribution zone. For the median standing offer, annual gas bills were between about $1410 and $1510. The median market offer was consistently several hundred dollars cheaper, between $1220 and $1360 for a typical level of usage. However in each zone, the cheapest market offers were lower again, most noticeably in AGN where the cheapest market offer fell below $1000. </w:t>
      </w:r>
    </w:p>
    <w:p w:rsidR="00697BCD" w:rsidRDefault="00697BCD" w:rsidP="000F3A56">
      <w:pPr>
        <w:pStyle w:val="Charttitle"/>
      </w:pPr>
      <w:r>
        <w:lastRenderedPageBreak/>
        <w:t>Figure 3.10:</w:t>
      </w:r>
      <w:r>
        <w:tab/>
        <w:t>Range of generally available gas offers by distribution zone (63 000 MJ)—June 2016</w:t>
      </w:r>
    </w:p>
    <w:p w:rsidR="00697BCD" w:rsidRDefault="00EC4210" w:rsidP="000F3A56">
      <w:pPr>
        <w:pStyle w:val="Charttitle"/>
      </w:pPr>
      <w:r>
        <w:pict>
          <v:shape id="_x0000_i1049" type="#_x0000_t75" alt="The most expensive annual gas bill (for median market offers) was in the Australian Gas Networks North distribution zone ($1359). The cheapest offer was in the Australian Gas Networks Central 2 distribution zone ($966). The gas distribution zone with the broadest range was Australian Gas Services Central 2 ($586) and the narrowest was Multinet Main 2 ($275). The median market gas offer was cheaper than the median standing offer in all zones" style="width:471.25pt;height:283.3pt">
            <v:imagedata r:id="rId38" o:title=""/>
          </v:shape>
        </w:pict>
      </w:r>
    </w:p>
    <w:p w:rsidR="00697BCD" w:rsidRDefault="00697BCD" w:rsidP="000F3A56">
      <w:pPr>
        <w:pStyle w:val="Numbered111"/>
      </w:pPr>
      <w:bookmarkStart w:id="47" w:name="_Toc467665331"/>
      <w:r>
        <w:t>Energy bills as a percentage of income</w:t>
      </w:r>
      <w:bookmarkEnd w:id="47"/>
    </w:p>
    <w:p w:rsidR="00697BCD" w:rsidRDefault="00697BCD" w:rsidP="00697BCD">
      <w:r>
        <w:t>The Victorian Government offers electricity and gas concessions to eligible households.</w:t>
      </w:r>
      <w:r w:rsidRPr="009D1DEC">
        <w:rPr>
          <w:rStyle w:val="Superscript"/>
        </w:rPr>
        <w:footnoteReference w:id="41"/>
      </w:r>
      <w:r>
        <w:t xml:space="preserve"> The Annual Electricity Concession provides a 17.5 per cent discount off electricity bills. The discount does not apply to the first $171.60 or automatically to any value above $2882. Concession households with annual electricity bills of more than $2882 can apply for the Excess Electricity Concession to continue to receive the 17.5 per cent concession on electricity consumed above this amount.</w:t>
      </w:r>
    </w:p>
    <w:p w:rsidR="00697BCD" w:rsidRDefault="00697BCD" w:rsidP="00697BCD">
      <w:r>
        <w:t xml:space="preserve">The Winter Gas Concession also provides a 17.5 per cent discount off gas bills, but only applies to gas services in the six months between 1 May and 31 October each year. It does not apply to the first $62.40 or automatically to any value above $1439. Eligible households with gas bills of more than $1439 during the winter period can apply for the Excess Gas Concession to continue to receive the 17.5 per cent concession. Figure 3.11 shows the impact of these concessions on annual electricity and gas bills. </w:t>
      </w:r>
    </w:p>
    <w:p w:rsidR="00697BCD" w:rsidRDefault="00697BCD" w:rsidP="000F3A56">
      <w:pPr>
        <w:pStyle w:val="Charttitle"/>
      </w:pPr>
      <w:r>
        <w:lastRenderedPageBreak/>
        <w:t>Figure 3.11:</w:t>
      </w:r>
      <w:r>
        <w:tab/>
        <w:t>Annual electricity and gas bills, and as a share of disposable income for a benchmark low income household (3700 kWh and 63 000 MJ, June)</w:t>
      </w:r>
    </w:p>
    <w:p w:rsidR="00697BCD" w:rsidRDefault="00EC4210" w:rsidP="000F3A56">
      <w:pPr>
        <w:pStyle w:val="Charttitle"/>
      </w:pPr>
      <w:r>
        <w:pict>
          <v:shape id="_x0000_i1050" type="#_x0000_t75" alt="The electricity bill for a household on the median market offer was $1166 (or $992 with a concession). Electricity bills for the standing offer were higher, at $1445 (or $1222 with a concession). A low income household on the median market offer and receiving an energy concession would spend 3.9 per cent of its disposable income on electricity (or 4.6 per cent without a concession). For the median standing offer, the annual electricity bill would comprise 4.8 per cent of a low income household’s disposable income (receiving a concession), or 5.7 per cent without a concession.&#10;Annual gas bills for the median market offer were $1316 (or $1206 with a concession), and for the median standing offer were $1464 (or $1341 with a concession). A low income household on the median market offer and receiving an energy concession would spend 4.8 per cent of its disposable income on gas (or 5.2 per cent without a concession). For the median standing offer, the annual gas bill would comprise 5.3 per cent of a low income household’s disposable income (receiving a concession), or 5.8 per cent without a concession.&#10;" style="width:471.25pt;height:185.15pt">
            <v:imagedata r:id="rId39" o:title=""/>
          </v:shape>
        </w:pict>
      </w:r>
    </w:p>
    <w:p w:rsidR="00697BCD" w:rsidRDefault="00697BCD" w:rsidP="00697BCD">
      <w:r>
        <w:t>The electricity bill for a household on the median market offer was $1166 (or $992 with a concession). Electricity bills for the standing offer were higher, at $1445 (or $1222 with a concession). A low income household on the median market offer and receiving an energy concession would spend 3.9 per cent of its disposable income on electricity (or 4.6 per cent without a concession). For the median standing offer, the annual electricity bill would be 4.8 per cent of a low income household’s disposable income (receiving a concession), or 5.7 per cent without a concession.</w:t>
      </w:r>
    </w:p>
    <w:p w:rsidR="00697BCD" w:rsidRDefault="00697BCD" w:rsidP="00697BCD">
      <w:r>
        <w:t xml:space="preserve">Annual electricity bills for the median market offer continued to decline and were 1.8 per cent lower in 2016 when compared to 2015. Electricity bills for the standing offer are also trending down, falling by 2.2 per cent over the same period. </w:t>
      </w:r>
    </w:p>
    <w:p w:rsidR="00697BCD" w:rsidRDefault="00697BCD" w:rsidP="00697BCD">
      <w:r>
        <w:t xml:space="preserve">Unlike the fall in electricity bills, gas bills in Victoria increased over the year. The annual bill for median market offer was $1316 (or $1206 with a concession), or around 9.2 per cent higher than 2015. The median standing offer increased by around 7.0 per cent to $1464 (or $1341 with a concession). </w:t>
      </w:r>
    </w:p>
    <w:p w:rsidR="00697BCD" w:rsidRDefault="00697BCD" w:rsidP="00697BCD">
      <w:r>
        <w:t>A low income household on the median market gas offer and receiving a concession spent 4.8 per cent of its disposable income on gas (or 5.2 per cent without a concession). For the median standing offer, the annual gas bill would be 5.3 per cent of a low income household’s disposable income (receiving a concession), or 5.8 per cent without a concession.</w:t>
      </w:r>
    </w:p>
    <w:p w:rsidR="00697BCD" w:rsidRDefault="00697BCD" w:rsidP="00697BCD">
      <w:r>
        <w:t>A benchmark middle income household using a typical amount of electricity (4900 kWh in Victoria) and on the median market offer spent 2 per cent of its disposable income on electricity bills. A high income household using the same amount of electricity would spend 0.8 per cent of its income. Middle and high income households would spend 1.8 per cent and 0.7 per cent of their disposable income respectively on gas.</w:t>
      </w:r>
    </w:p>
    <w:p w:rsidR="00697BCD" w:rsidRDefault="00697BCD" w:rsidP="00697BCD">
      <w:pPr>
        <w:pStyle w:val="Tabletitle"/>
      </w:pPr>
      <w:r>
        <w:t>Table 3.5:</w:t>
      </w:r>
      <w:r>
        <w:tab/>
        <w:t>Summary of annual electricity and gas bills (for the median market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79"/>
        <w:gridCol w:w="2151"/>
        <w:gridCol w:w="2149"/>
        <w:gridCol w:w="2149"/>
      </w:tblGrid>
      <w:tr w:rsidR="00697BCD" w:rsidRPr="00391B03" w:rsidTr="00391B03">
        <w:trPr>
          <w:trHeight w:val="60"/>
        </w:trPr>
        <w:tc>
          <w:tcPr>
            <w:tcW w:w="1651" w:type="pct"/>
            <w:shd w:val="clear" w:color="auto" w:fill="auto"/>
          </w:tcPr>
          <w:p w:rsidR="00697BCD" w:rsidRPr="00391B03" w:rsidRDefault="00697BCD" w:rsidP="006B1E9F">
            <w:pPr>
              <w:pStyle w:val="TableHeading"/>
            </w:pPr>
            <w:r w:rsidRPr="00391B03">
              <w:t>Income level</w:t>
            </w:r>
          </w:p>
        </w:tc>
        <w:tc>
          <w:tcPr>
            <w:tcW w:w="1117" w:type="pct"/>
            <w:shd w:val="clear" w:color="auto" w:fill="auto"/>
          </w:tcPr>
          <w:p w:rsidR="00697BCD" w:rsidRPr="00391B03" w:rsidRDefault="00697BCD" w:rsidP="006B1E9F">
            <w:pPr>
              <w:pStyle w:val="TableHeading"/>
            </w:pPr>
            <w:r w:rsidRPr="00391B03">
              <w:t>Annual consumption</w:t>
            </w:r>
          </w:p>
        </w:tc>
        <w:tc>
          <w:tcPr>
            <w:tcW w:w="1116" w:type="pct"/>
            <w:shd w:val="clear" w:color="auto" w:fill="auto"/>
          </w:tcPr>
          <w:p w:rsidR="00697BCD" w:rsidRDefault="00697BCD" w:rsidP="006B1E9F">
            <w:pPr>
              <w:pStyle w:val="TableHeading-right"/>
            </w:pPr>
            <w:r>
              <w:t xml:space="preserve">Annual bill ($) </w:t>
            </w:r>
          </w:p>
        </w:tc>
        <w:tc>
          <w:tcPr>
            <w:tcW w:w="1117" w:type="pct"/>
            <w:shd w:val="clear" w:color="auto" w:fill="auto"/>
          </w:tcPr>
          <w:p w:rsidR="00697BCD" w:rsidRDefault="00697BCD" w:rsidP="006B1E9F">
            <w:pPr>
              <w:pStyle w:val="TableHeading-right"/>
            </w:pPr>
            <w:r>
              <w:t>Proportion of annual income (%)</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Electricity 3700 kWh</w:t>
            </w:r>
          </w:p>
        </w:tc>
        <w:tc>
          <w:tcPr>
            <w:tcW w:w="1116" w:type="pct"/>
            <w:shd w:val="clear" w:color="auto" w:fill="auto"/>
          </w:tcPr>
          <w:p w:rsidR="00697BCD" w:rsidRDefault="00697BCD" w:rsidP="00624E11">
            <w:pPr>
              <w:pStyle w:val="Tabletext-right"/>
            </w:pPr>
            <w:r>
              <w:t>992</w:t>
            </w:r>
          </w:p>
        </w:tc>
        <w:tc>
          <w:tcPr>
            <w:tcW w:w="1117" w:type="pct"/>
            <w:shd w:val="clear" w:color="auto" w:fill="auto"/>
          </w:tcPr>
          <w:p w:rsidR="00697BCD" w:rsidRDefault="00697BCD" w:rsidP="00624E11">
            <w:pPr>
              <w:pStyle w:val="Tabletext-right"/>
            </w:pPr>
            <w:r>
              <w:t>3.9</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Electricity 3700 kWh</w:t>
            </w:r>
          </w:p>
        </w:tc>
        <w:tc>
          <w:tcPr>
            <w:tcW w:w="1116" w:type="pct"/>
            <w:shd w:val="clear" w:color="auto" w:fill="auto"/>
          </w:tcPr>
          <w:p w:rsidR="00697BCD" w:rsidRDefault="00697BCD" w:rsidP="00624E11">
            <w:pPr>
              <w:pStyle w:val="Tabletext-right"/>
            </w:pPr>
            <w:r>
              <w:t>1166</w:t>
            </w:r>
          </w:p>
        </w:tc>
        <w:tc>
          <w:tcPr>
            <w:tcW w:w="1117" w:type="pct"/>
            <w:shd w:val="clear" w:color="auto" w:fill="auto"/>
          </w:tcPr>
          <w:p w:rsidR="00697BCD" w:rsidRDefault="00697BCD" w:rsidP="00624E11">
            <w:pPr>
              <w:pStyle w:val="Tabletext-right"/>
            </w:pPr>
            <w:r>
              <w:t>4.6</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Electricity 4900 kWh</w:t>
            </w:r>
          </w:p>
        </w:tc>
        <w:tc>
          <w:tcPr>
            <w:tcW w:w="1116" w:type="pct"/>
            <w:shd w:val="clear" w:color="auto" w:fill="auto"/>
          </w:tcPr>
          <w:p w:rsidR="00697BCD" w:rsidRDefault="00697BCD" w:rsidP="00624E11">
            <w:pPr>
              <w:pStyle w:val="Tabletext-right"/>
            </w:pPr>
            <w:r>
              <w:t>1436</w:t>
            </w:r>
          </w:p>
        </w:tc>
        <w:tc>
          <w:tcPr>
            <w:tcW w:w="1117" w:type="pct"/>
            <w:shd w:val="clear" w:color="auto" w:fill="auto"/>
          </w:tcPr>
          <w:p w:rsidR="00697BCD" w:rsidRDefault="00697BCD" w:rsidP="00624E11">
            <w:pPr>
              <w:pStyle w:val="Tabletext-right"/>
            </w:pPr>
            <w:r>
              <w:t>2.0</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lastRenderedPageBreak/>
              <w:t>High income</w:t>
            </w:r>
          </w:p>
        </w:tc>
        <w:tc>
          <w:tcPr>
            <w:tcW w:w="1117" w:type="pct"/>
            <w:shd w:val="clear" w:color="auto" w:fill="auto"/>
          </w:tcPr>
          <w:p w:rsidR="00697BCD" w:rsidRPr="00391B03" w:rsidRDefault="00697BCD" w:rsidP="00624E11">
            <w:pPr>
              <w:pStyle w:val="Tabletext"/>
            </w:pPr>
            <w:r w:rsidRPr="00391B03">
              <w:t>Electricity 4900 kWh</w:t>
            </w:r>
          </w:p>
        </w:tc>
        <w:tc>
          <w:tcPr>
            <w:tcW w:w="1116" w:type="pct"/>
            <w:shd w:val="clear" w:color="auto" w:fill="auto"/>
          </w:tcPr>
          <w:p w:rsidR="00697BCD" w:rsidRDefault="00697BCD" w:rsidP="00624E11">
            <w:pPr>
              <w:pStyle w:val="Tabletext-right"/>
            </w:pPr>
            <w:r>
              <w:t>1436</w:t>
            </w:r>
          </w:p>
        </w:tc>
        <w:tc>
          <w:tcPr>
            <w:tcW w:w="1117" w:type="pct"/>
            <w:shd w:val="clear" w:color="auto" w:fill="auto"/>
          </w:tcPr>
          <w:p w:rsidR="00697BCD" w:rsidRDefault="00697BCD" w:rsidP="00624E11">
            <w:pPr>
              <w:pStyle w:val="Tabletext-right"/>
            </w:pPr>
            <w:r>
              <w:t>0.8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Gas 63 000 MJ</w:t>
            </w:r>
          </w:p>
        </w:tc>
        <w:tc>
          <w:tcPr>
            <w:tcW w:w="1116" w:type="pct"/>
            <w:shd w:val="clear" w:color="auto" w:fill="auto"/>
          </w:tcPr>
          <w:p w:rsidR="00697BCD" w:rsidRDefault="00697BCD" w:rsidP="00624E11">
            <w:pPr>
              <w:pStyle w:val="Tabletext-right"/>
            </w:pPr>
            <w:r>
              <w:t>1206</w:t>
            </w:r>
          </w:p>
        </w:tc>
        <w:tc>
          <w:tcPr>
            <w:tcW w:w="1117" w:type="pct"/>
            <w:shd w:val="clear" w:color="auto" w:fill="auto"/>
          </w:tcPr>
          <w:p w:rsidR="00697BCD" w:rsidRDefault="00697BCD" w:rsidP="00624E11">
            <w:pPr>
              <w:pStyle w:val="Tabletext-right"/>
            </w:pPr>
            <w:r>
              <w:t>4.8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Gas 63 000 MJ</w:t>
            </w:r>
          </w:p>
        </w:tc>
        <w:tc>
          <w:tcPr>
            <w:tcW w:w="1116" w:type="pct"/>
            <w:shd w:val="clear" w:color="auto" w:fill="auto"/>
          </w:tcPr>
          <w:p w:rsidR="00697BCD" w:rsidRDefault="00697BCD" w:rsidP="00624E11">
            <w:pPr>
              <w:pStyle w:val="Tabletext-right"/>
            </w:pPr>
            <w:r>
              <w:t>1316</w:t>
            </w:r>
          </w:p>
        </w:tc>
        <w:tc>
          <w:tcPr>
            <w:tcW w:w="1117" w:type="pct"/>
            <w:shd w:val="clear" w:color="auto" w:fill="auto"/>
          </w:tcPr>
          <w:p w:rsidR="00697BCD" w:rsidRDefault="00697BCD" w:rsidP="00624E11">
            <w:pPr>
              <w:pStyle w:val="Tabletext-right"/>
            </w:pPr>
            <w:r>
              <w:t>5.2</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Gas 63 000 MJ</w:t>
            </w:r>
          </w:p>
        </w:tc>
        <w:tc>
          <w:tcPr>
            <w:tcW w:w="1116" w:type="pct"/>
            <w:shd w:val="clear" w:color="auto" w:fill="auto"/>
          </w:tcPr>
          <w:p w:rsidR="00697BCD" w:rsidRDefault="00697BCD" w:rsidP="00624E11">
            <w:pPr>
              <w:pStyle w:val="Tabletext-right"/>
            </w:pPr>
            <w:r>
              <w:t>1316</w:t>
            </w:r>
          </w:p>
        </w:tc>
        <w:tc>
          <w:tcPr>
            <w:tcW w:w="1117" w:type="pct"/>
            <w:shd w:val="clear" w:color="auto" w:fill="auto"/>
          </w:tcPr>
          <w:p w:rsidR="00697BCD" w:rsidRDefault="00697BCD" w:rsidP="00624E11">
            <w:pPr>
              <w:pStyle w:val="Tabletext-right"/>
            </w:pPr>
            <w:r>
              <w:t>1.8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Gas 63 000 MJ</w:t>
            </w:r>
          </w:p>
        </w:tc>
        <w:tc>
          <w:tcPr>
            <w:tcW w:w="1116" w:type="pct"/>
            <w:shd w:val="clear" w:color="auto" w:fill="auto"/>
          </w:tcPr>
          <w:p w:rsidR="00697BCD" w:rsidRDefault="00697BCD" w:rsidP="00624E11">
            <w:pPr>
              <w:pStyle w:val="Tabletext-right"/>
            </w:pPr>
            <w:r>
              <w:t>1316</w:t>
            </w:r>
          </w:p>
        </w:tc>
        <w:tc>
          <w:tcPr>
            <w:tcW w:w="1117" w:type="pct"/>
            <w:shd w:val="clear" w:color="auto" w:fill="auto"/>
          </w:tcPr>
          <w:p w:rsidR="00697BCD" w:rsidRDefault="00697BCD" w:rsidP="00624E11">
            <w:pPr>
              <w:pStyle w:val="Tabletext-right"/>
            </w:pPr>
            <w:r>
              <w:t>0.7</w:t>
            </w:r>
          </w:p>
        </w:tc>
      </w:tr>
    </w:tbl>
    <w:p w:rsidR="00697BCD" w:rsidRDefault="00697BCD"/>
    <w:p w:rsidR="00697BCD" w:rsidRDefault="00697BCD" w:rsidP="000F3A56">
      <w:pPr>
        <w:pStyle w:val="Numbered111"/>
      </w:pPr>
      <w:bookmarkStart w:id="48" w:name="_Toc467665332"/>
      <w:r>
        <w:t>Composition of energy bills and impact of concessions</w:t>
      </w:r>
      <w:bookmarkEnd w:id="48"/>
    </w:p>
    <w:p w:rsidR="00697BCD" w:rsidRDefault="00697BCD" w:rsidP="00697BCD">
      <w:r>
        <w:t xml:space="preserve">Table 3.6 shows the portions of low income household energy bills attributed to daily supply charges and energy use charges, as well as the savings provided by energy concessions. </w:t>
      </w:r>
    </w:p>
    <w:p w:rsidR="00697BCD" w:rsidRDefault="00697BCD" w:rsidP="00697BCD">
      <w:r>
        <w:t xml:space="preserve">Daily supply charges for electricity continued to gradually rise to $429 per annum in 2016. This represents 37 per cent of a low income household’s annual electricity bill, which is high relative to other states and territories. </w:t>
      </w:r>
    </w:p>
    <w:p w:rsidR="00697BCD" w:rsidRDefault="00697BCD" w:rsidP="00697BCD">
      <w:r>
        <w:t xml:space="preserve">Daily supply charges for gas were $257 per annum, which represents 19.6 per cent of a low income household’s annual gas bill, and 1 per cent of its disposable income. </w:t>
      </w:r>
    </w:p>
    <w:p w:rsidR="00697BCD" w:rsidRDefault="00697BCD" w:rsidP="00697BCD">
      <w:r>
        <w:t>Energy concessions help eligible customers save 15 per cent on electricity and at least 8 per cent on gas.</w:t>
      </w:r>
      <w:r w:rsidRPr="009D1DEC">
        <w:rPr>
          <w:rStyle w:val="Superscript"/>
        </w:rPr>
        <w:footnoteReference w:id="42"/>
      </w:r>
      <w:r>
        <w:t xml:space="preserve"> </w:t>
      </w:r>
    </w:p>
    <w:p w:rsidR="00697BCD" w:rsidRDefault="00697BCD" w:rsidP="00697BCD">
      <w:pPr>
        <w:pStyle w:val="Tabletitle"/>
      </w:pPr>
      <w:r>
        <w:t>Table 3.6:</w:t>
      </w:r>
      <w:r>
        <w:tab/>
        <w:t>Composition of low income household energy bills (median market offer)</w:t>
      </w:r>
    </w:p>
    <w:tbl>
      <w:tblPr>
        <w:tblW w:w="5000" w:type="pct"/>
        <w:tblBorders>
          <w:top w:val="single" w:sz="4" w:space="0" w:color="BFBFBF"/>
          <w:bottom w:val="single" w:sz="4" w:space="0" w:color="BFBFBF"/>
        </w:tblBorders>
        <w:tblLook w:val="0000" w:firstRow="0" w:lastRow="0" w:firstColumn="0" w:lastColumn="0" w:noHBand="0" w:noVBand="0"/>
      </w:tblPr>
      <w:tblGrid>
        <w:gridCol w:w="2676"/>
        <w:gridCol w:w="1737"/>
        <w:gridCol w:w="1739"/>
        <w:gridCol w:w="1737"/>
        <w:gridCol w:w="1739"/>
      </w:tblGrid>
      <w:tr w:rsidR="00697BCD" w:rsidRPr="00391B03" w:rsidTr="00391B03">
        <w:trPr>
          <w:trHeight w:val="60"/>
        </w:trPr>
        <w:tc>
          <w:tcPr>
            <w:tcW w:w="1389" w:type="pct"/>
            <w:shd w:val="clear" w:color="auto" w:fill="auto"/>
          </w:tcPr>
          <w:p w:rsidR="00697BCD" w:rsidRPr="00391B03" w:rsidRDefault="00697BCD" w:rsidP="006B1E9F">
            <w:pPr>
              <w:pStyle w:val="TableHeading"/>
            </w:pPr>
            <w:r w:rsidRPr="00391B03">
              <w:t>Fuel type—consumption</w:t>
            </w:r>
          </w:p>
        </w:tc>
        <w:tc>
          <w:tcPr>
            <w:tcW w:w="902" w:type="pct"/>
            <w:shd w:val="clear" w:color="auto" w:fill="auto"/>
          </w:tcPr>
          <w:p w:rsidR="00697BCD" w:rsidRDefault="00697BCD" w:rsidP="006B1E9F">
            <w:pPr>
              <w:pStyle w:val="TableHeading-right"/>
            </w:pPr>
            <w:r>
              <w:t>Year</w:t>
            </w:r>
          </w:p>
        </w:tc>
        <w:tc>
          <w:tcPr>
            <w:tcW w:w="903" w:type="pct"/>
            <w:shd w:val="clear" w:color="auto" w:fill="auto"/>
          </w:tcPr>
          <w:p w:rsidR="00697BCD" w:rsidRDefault="00697BCD" w:rsidP="006B1E9F">
            <w:pPr>
              <w:pStyle w:val="TableHeading-right"/>
            </w:pPr>
            <w:r>
              <w:t>Daily supply</w:t>
            </w:r>
            <w:r>
              <w:br/>
              <w:t>charges (%)</w:t>
            </w:r>
          </w:p>
        </w:tc>
        <w:tc>
          <w:tcPr>
            <w:tcW w:w="902" w:type="pct"/>
            <w:shd w:val="clear" w:color="auto" w:fill="auto"/>
          </w:tcPr>
          <w:p w:rsidR="00697BCD" w:rsidRDefault="00697BCD" w:rsidP="006B1E9F">
            <w:pPr>
              <w:pStyle w:val="TableHeading-right"/>
            </w:pPr>
            <w:r>
              <w:t>Energy use</w:t>
            </w:r>
            <w:r>
              <w:br/>
              <w:t>charges (%)</w:t>
            </w:r>
          </w:p>
        </w:tc>
        <w:tc>
          <w:tcPr>
            <w:tcW w:w="903" w:type="pct"/>
            <w:shd w:val="clear" w:color="auto" w:fill="auto"/>
          </w:tcPr>
          <w:p w:rsidR="00697BCD" w:rsidRDefault="00697BCD" w:rsidP="006B1E9F">
            <w:pPr>
              <w:pStyle w:val="TableHeading-right"/>
            </w:pPr>
            <w:r>
              <w:t>Saving with concession (%)</w:t>
            </w:r>
          </w:p>
        </w:tc>
      </w:tr>
      <w:tr w:rsidR="00697BCD" w:rsidRPr="00391B03" w:rsidTr="00391B03">
        <w:trPr>
          <w:trHeight w:val="60"/>
        </w:trPr>
        <w:tc>
          <w:tcPr>
            <w:tcW w:w="1389" w:type="pct"/>
            <w:shd w:val="clear" w:color="auto" w:fill="auto"/>
          </w:tcPr>
          <w:p w:rsidR="00697BCD" w:rsidRPr="00391B03" w:rsidRDefault="00697BCD" w:rsidP="00624E11">
            <w:pPr>
              <w:pStyle w:val="Tabletext"/>
            </w:pPr>
            <w:r w:rsidRPr="00391B03">
              <w:t>Electricity—3700 kWh</w:t>
            </w:r>
          </w:p>
        </w:tc>
        <w:tc>
          <w:tcPr>
            <w:tcW w:w="902"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26.6</w:t>
            </w:r>
          </w:p>
        </w:tc>
        <w:tc>
          <w:tcPr>
            <w:tcW w:w="902" w:type="pct"/>
            <w:shd w:val="clear" w:color="auto" w:fill="auto"/>
          </w:tcPr>
          <w:p w:rsidR="00697BCD" w:rsidRDefault="00697BCD" w:rsidP="00624E11">
            <w:pPr>
              <w:pStyle w:val="Tabletext-right"/>
            </w:pPr>
            <w:r>
              <w:t>73.4</w:t>
            </w:r>
          </w:p>
        </w:tc>
        <w:tc>
          <w:tcPr>
            <w:tcW w:w="903" w:type="pct"/>
            <w:shd w:val="clear" w:color="auto" w:fill="auto"/>
          </w:tcPr>
          <w:p w:rsidR="00697BCD" w:rsidRDefault="00697BCD" w:rsidP="00624E11">
            <w:pPr>
              <w:pStyle w:val="Tabletext-right"/>
            </w:pPr>
            <w:r>
              <w:t>15.1</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31.3</w:t>
            </w:r>
          </w:p>
        </w:tc>
        <w:tc>
          <w:tcPr>
            <w:tcW w:w="902" w:type="pct"/>
            <w:shd w:val="clear" w:color="auto" w:fill="auto"/>
          </w:tcPr>
          <w:p w:rsidR="00697BCD" w:rsidRDefault="00697BCD" w:rsidP="00624E11">
            <w:pPr>
              <w:pStyle w:val="Tabletext-right"/>
            </w:pPr>
            <w:r>
              <w:t>68.7</w:t>
            </w:r>
          </w:p>
        </w:tc>
        <w:tc>
          <w:tcPr>
            <w:tcW w:w="903" w:type="pct"/>
            <w:shd w:val="clear" w:color="auto" w:fill="auto"/>
          </w:tcPr>
          <w:p w:rsidR="00697BCD" w:rsidRDefault="00697BCD" w:rsidP="00624E11">
            <w:pPr>
              <w:pStyle w:val="Tabletext-right"/>
            </w:pPr>
            <w:r>
              <w:t>15.1</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33.7</w:t>
            </w:r>
          </w:p>
        </w:tc>
        <w:tc>
          <w:tcPr>
            <w:tcW w:w="902" w:type="pct"/>
            <w:shd w:val="clear" w:color="auto" w:fill="auto"/>
          </w:tcPr>
          <w:p w:rsidR="00697BCD" w:rsidRDefault="00697BCD" w:rsidP="00624E11">
            <w:pPr>
              <w:pStyle w:val="Tabletext-right"/>
            </w:pPr>
            <w:r>
              <w:t>66.3</w:t>
            </w:r>
          </w:p>
        </w:tc>
        <w:tc>
          <w:tcPr>
            <w:tcW w:w="903" w:type="pct"/>
            <w:shd w:val="clear" w:color="auto" w:fill="auto"/>
          </w:tcPr>
          <w:p w:rsidR="00697BCD" w:rsidRDefault="00697BCD" w:rsidP="00624E11">
            <w:pPr>
              <w:pStyle w:val="Tabletext-right"/>
            </w:pPr>
            <w:r>
              <w:t>15.0</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36.8</w:t>
            </w:r>
          </w:p>
        </w:tc>
        <w:tc>
          <w:tcPr>
            <w:tcW w:w="902" w:type="pct"/>
            <w:shd w:val="clear" w:color="auto" w:fill="auto"/>
          </w:tcPr>
          <w:p w:rsidR="00697BCD" w:rsidRDefault="00697BCD" w:rsidP="00624E11">
            <w:pPr>
              <w:pStyle w:val="Tabletext-right"/>
            </w:pPr>
            <w:r>
              <w:t>63.2</w:t>
            </w:r>
          </w:p>
        </w:tc>
        <w:tc>
          <w:tcPr>
            <w:tcW w:w="903" w:type="pct"/>
            <w:shd w:val="clear" w:color="auto" w:fill="auto"/>
          </w:tcPr>
          <w:p w:rsidR="00697BCD" w:rsidRDefault="00697BCD" w:rsidP="00624E11">
            <w:pPr>
              <w:pStyle w:val="Tabletext-right"/>
            </w:pPr>
            <w:r>
              <w:t>15.0</w:t>
            </w:r>
          </w:p>
        </w:tc>
      </w:tr>
      <w:tr w:rsidR="00697BCD" w:rsidRPr="00391B03" w:rsidTr="00391B03">
        <w:trPr>
          <w:trHeight w:val="60"/>
        </w:trPr>
        <w:tc>
          <w:tcPr>
            <w:tcW w:w="1389" w:type="pct"/>
            <w:vMerge w:val="restart"/>
            <w:shd w:val="clear" w:color="auto" w:fill="auto"/>
          </w:tcPr>
          <w:p w:rsidR="00697BCD" w:rsidRPr="00391B03" w:rsidRDefault="00697BCD" w:rsidP="00624E11">
            <w:pPr>
              <w:pStyle w:val="Tabletext"/>
            </w:pPr>
            <w:r w:rsidRPr="00391B03">
              <w:t>Gas—63 000 MJ</w:t>
            </w:r>
          </w:p>
        </w:tc>
        <w:tc>
          <w:tcPr>
            <w:tcW w:w="902" w:type="pct"/>
            <w:shd w:val="clear" w:color="auto" w:fill="auto"/>
          </w:tcPr>
          <w:p w:rsidR="00697BCD" w:rsidRDefault="00697BCD" w:rsidP="00624E11">
            <w:pPr>
              <w:pStyle w:val="Tabletext-right"/>
            </w:pPr>
            <w:r>
              <w:t>2013</w:t>
            </w:r>
          </w:p>
        </w:tc>
        <w:tc>
          <w:tcPr>
            <w:tcW w:w="903" w:type="pct"/>
            <w:shd w:val="clear" w:color="auto" w:fill="auto"/>
          </w:tcPr>
          <w:p w:rsidR="00697BCD" w:rsidRDefault="00697BCD" w:rsidP="00624E11">
            <w:pPr>
              <w:pStyle w:val="Tabletext-right"/>
            </w:pPr>
            <w:r>
              <w:t>17.9</w:t>
            </w:r>
          </w:p>
        </w:tc>
        <w:tc>
          <w:tcPr>
            <w:tcW w:w="902" w:type="pct"/>
            <w:shd w:val="clear" w:color="auto" w:fill="auto"/>
          </w:tcPr>
          <w:p w:rsidR="00697BCD" w:rsidRDefault="00697BCD" w:rsidP="00624E11">
            <w:pPr>
              <w:pStyle w:val="Tabletext-right"/>
            </w:pPr>
            <w:r>
              <w:t>82.1</w:t>
            </w:r>
          </w:p>
        </w:tc>
        <w:tc>
          <w:tcPr>
            <w:tcW w:w="903" w:type="pct"/>
            <w:shd w:val="clear" w:color="auto" w:fill="auto"/>
          </w:tcPr>
          <w:p w:rsidR="00697BCD" w:rsidRDefault="00697BCD" w:rsidP="00624E11">
            <w:pPr>
              <w:pStyle w:val="Tabletext-right"/>
            </w:pPr>
            <w:r>
              <w:t>8.3</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2014</w:t>
            </w:r>
          </w:p>
        </w:tc>
        <w:tc>
          <w:tcPr>
            <w:tcW w:w="903" w:type="pct"/>
            <w:shd w:val="clear" w:color="auto" w:fill="auto"/>
          </w:tcPr>
          <w:p w:rsidR="00697BCD" w:rsidRDefault="00697BCD" w:rsidP="00624E11">
            <w:pPr>
              <w:pStyle w:val="Tabletext-right"/>
            </w:pPr>
            <w:r>
              <w:t>18.2</w:t>
            </w:r>
          </w:p>
        </w:tc>
        <w:tc>
          <w:tcPr>
            <w:tcW w:w="902" w:type="pct"/>
            <w:shd w:val="clear" w:color="auto" w:fill="auto"/>
          </w:tcPr>
          <w:p w:rsidR="00697BCD" w:rsidRDefault="00697BCD" w:rsidP="00624E11">
            <w:pPr>
              <w:pStyle w:val="Tabletext-right"/>
            </w:pPr>
            <w:r>
              <w:t>81.8</w:t>
            </w:r>
          </w:p>
        </w:tc>
        <w:tc>
          <w:tcPr>
            <w:tcW w:w="903" w:type="pct"/>
            <w:shd w:val="clear" w:color="auto" w:fill="auto"/>
          </w:tcPr>
          <w:p w:rsidR="00697BCD" w:rsidRDefault="00697BCD" w:rsidP="00624E11">
            <w:pPr>
              <w:pStyle w:val="Tabletext-right"/>
            </w:pPr>
            <w:r>
              <w:t>8.3</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2015</w:t>
            </w:r>
          </w:p>
        </w:tc>
        <w:tc>
          <w:tcPr>
            <w:tcW w:w="903" w:type="pct"/>
            <w:shd w:val="clear" w:color="auto" w:fill="auto"/>
          </w:tcPr>
          <w:p w:rsidR="00697BCD" w:rsidRDefault="00697BCD" w:rsidP="00624E11">
            <w:pPr>
              <w:pStyle w:val="Tabletext-right"/>
            </w:pPr>
            <w:r>
              <w:t>20.6</w:t>
            </w:r>
          </w:p>
        </w:tc>
        <w:tc>
          <w:tcPr>
            <w:tcW w:w="902" w:type="pct"/>
            <w:shd w:val="clear" w:color="auto" w:fill="auto"/>
          </w:tcPr>
          <w:p w:rsidR="00697BCD" w:rsidRDefault="00697BCD" w:rsidP="00624E11">
            <w:pPr>
              <w:pStyle w:val="Tabletext-right"/>
            </w:pPr>
            <w:r>
              <w:t>79.4</w:t>
            </w:r>
          </w:p>
        </w:tc>
        <w:tc>
          <w:tcPr>
            <w:tcW w:w="903" w:type="pct"/>
            <w:shd w:val="clear" w:color="auto" w:fill="auto"/>
          </w:tcPr>
          <w:p w:rsidR="00697BCD" w:rsidRDefault="00697BCD" w:rsidP="00624E11">
            <w:pPr>
              <w:pStyle w:val="Tabletext-right"/>
            </w:pPr>
            <w:r>
              <w:t>8.3</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Default="00697BCD" w:rsidP="00624E11">
            <w:pPr>
              <w:pStyle w:val="Tabletext-right"/>
            </w:pPr>
            <w:r>
              <w:t>2016</w:t>
            </w:r>
          </w:p>
        </w:tc>
        <w:tc>
          <w:tcPr>
            <w:tcW w:w="903" w:type="pct"/>
            <w:shd w:val="clear" w:color="auto" w:fill="auto"/>
          </w:tcPr>
          <w:p w:rsidR="00697BCD" w:rsidRDefault="00697BCD" w:rsidP="00624E11">
            <w:pPr>
              <w:pStyle w:val="Tabletext-right"/>
            </w:pPr>
            <w:r>
              <w:t>19.6</w:t>
            </w:r>
          </w:p>
        </w:tc>
        <w:tc>
          <w:tcPr>
            <w:tcW w:w="902" w:type="pct"/>
            <w:shd w:val="clear" w:color="auto" w:fill="auto"/>
          </w:tcPr>
          <w:p w:rsidR="00697BCD" w:rsidRDefault="00697BCD" w:rsidP="00624E11">
            <w:pPr>
              <w:pStyle w:val="Tabletext-right"/>
            </w:pPr>
            <w:r>
              <w:t>82.4</w:t>
            </w:r>
          </w:p>
        </w:tc>
        <w:tc>
          <w:tcPr>
            <w:tcW w:w="903" w:type="pct"/>
            <w:shd w:val="clear" w:color="auto" w:fill="auto"/>
          </w:tcPr>
          <w:p w:rsidR="00697BCD" w:rsidRDefault="00697BCD" w:rsidP="00624E11">
            <w:pPr>
              <w:pStyle w:val="Tabletext-right"/>
            </w:pPr>
            <w:r>
              <w:t>8.4</w:t>
            </w:r>
          </w:p>
        </w:tc>
      </w:tr>
    </w:tbl>
    <w:p w:rsidR="00697BCD" w:rsidRDefault="00697BCD"/>
    <w:p w:rsidR="00697BCD" w:rsidRDefault="00697BCD" w:rsidP="000F3A56">
      <w:pPr>
        <w:pStyle w:val="Numbered11"/>
      </w:pPr>
      <w:bookmarkStart w:id="49" w:name="_Toc467665333"/>
      <w:r>
        <w:lastRenderedPageBreak/>
        <w:t>South Australia</w:t>
      </w:r>
      <w:bookmarkEnd w:id="49"/>
    </w:p>
    <w:p w:rsidR="00697BCD" w:rsidRDefault="00697BCD" w:rsidP="000F3A56">
      <w:pPr>
        <w:pStyle w:val="Numbered111"/>
      </w:pPr>
      <w:bookmarkStart w:id="50" w:name="_Toc467665334"/>
      <w:r>
        <w:t>Energy prices and bills</w:t>
      </w:r>
      <w:bookmarkEnd w:id="50"/>
    </w:p>
    <w:p w:rsidR="00697BCD" w:rsidRDefault="00697BCD" w:rsidP="00697BCD">
      <w:r>
        <w:t xml:space="preserve">South Australia has one electricity distribution zone (SA Power Networks). Seventeen retailers had offers generally available to residential electricity customers in South Australia. Figure 3.12 shows the range in generally available electricity offers. </w:t>
      </w:r>
    </w:p>
    <w:p w:rsidR="00697BCD" w:rsidRDefault="00697BCD" w:rsidP="00697BCD">
      <w:r>
        <w:t xml:space="preserve">At $1419, the annual bill on the median standing offer was around $100 more expensive than the median market offer. Households can potentially make significant savings by shopping around, with the cheapest market offer returning an annual bill of $1012. </w:t>
      </w:r>
    </w:p>
    <w:p w:rsidR="00697BCD" w:rsidRDefault="00697BCD" w:rsidP="000F3A56">
      <w:pPr>
        <w:pStyle w:val="Charttitle"/>
      </w:pPr>
      <w:r>
        <w:t>Figure 3.12:</w:t>
      </w:r>
      <w:r>
        <w:tab/>
        <w:t>Range of generally available electricity offers by distribution zone (3700 kWh)—June 2016</w:t>
      </w:r>
    </w:p>
    <w:p w:rsidR="00697BCD" w:rsidRDefault="00EC4210" w:rsidP="000F3A56">
      <w:pPr>
        <w:pStyle w:val="Charttitle"/>
      </w:pPr>
      <w:r>
        <w:pict>
          <v:shape id="_x0000_i1051" type="#_x0000_t75" alt="In the SA Power Networks distribution zone – the only zone – the range between the cheapest offer ($1012) and the most expensive offer ($1618) was $606. The median standing offer ($1419) was higher than the median market offer ($1324)." style="width:470.35pt;height:283.3pt">
            <v:imagedata r:id="rId40" o:title=""/>
          </v:shape>
        </w:pict>
      </w:r>
    </w:p>
    <w:p w:rsidR="00697BCD" w:rsidRDefault="00697BCD" w:rsidP="00697BCD">
      <w:r>
        <w:t xml:space="preserve">Australian Gas Networks (AGN) is the gas distributor in South Australia. It has five pricing zones: Metro Area, Mount Gambier, Port Pirie, Riverland and Whyalla. Five retailers had offers generally available to gas customers. </w:t>
      </w:r>
    </w:p>
    <w:p w:rsidR="00697BCD" w:rsidRDefault="00697BCD" w:rsidP="00697BCD">
      <w:r>
        <w:t xml:space="preserve">In the Mount Gambier, Port Pirie and Whyalla pricing zones, the median standing offer marked the top of the range at $1153. The median market offer was just over $100 cheaper at $1065. While the median standing offer in Metro was similar to the median standing offers in the other pricing zones, the range between the cheapest and most expensive market offers was more significant (range of over $200). </w:t>
      </w:r>
    </w:p>
    <w:p w:rsidR="00697BCD" w:rsidRDefault="00697BCD" w:rsidP="000F3A56">
      <w:pPr>
        <w:pStyle w:val="Charttitle"/>
      </w:pPr>
      <w:r>
        <w:lastRenderedPageBreak/>
        <w:t>Figure 3.13:</w:t>
      </w:r>
      <w:r>
        <w:tab/>
        <w:t>Range of generally available gas offers by distribution zone (21 000 MJ)—June 2016</w:t>
      </w:r>
    </w:p>
    <w:p w:rsidR="00697BCD" w:rsidRDefault="00EC4210" w:rsidP="000F3A56">
      <w:pPr>
        <w:pStyle w:val="Charttitle"/>
      </w:pPr>
      <w:r>
        <w:pict>
          <v:shape id="_x0000_i1052" type="#_x0000_t75" alt="There was little variation in prices both within and across the five gas pricing zones in South Australia. The most expensive was around $1220 and the cheapest offer was around $1000. The difference between median market offers and median standing offers was between $88 and $102 per year." style="width:471.25pt;height:283.3pt">
            <v:imagedata r:id="rId41" o:title=""/>
          </v:shape>
        </w:pict>
      </w:r>
    </w:p>
    <w:p w:rsidR="00697BCD" w:rsidRDefault="00697BCD" w:rsidP="000F3A56">
      <w:pPr>
        <w:pStyle w:val="Numbered111"/>
      </w:pPr>
      <w:bookmarkStart w:id="51" w:name="_Toc467665335"/>
      <w:r>
        <w:t>Energy bills as a percentage of income</w:t>
      </w:r>
      <w:bookmarkEnd w:id="51"/>
    </w:p>
    <w:p w:rsidR="00697BCD" w:rsidRDefault="00697BCD" w:rsidP="00697BCD">
      <w:r>
        <w:t>Eligible households in South Australia can receive a concession of up to $215 (in total) on their annual household energy (electricity and gas) bills.</w:t>
      </w:r>
      <w:r w:rsidRPr="009D1DEC">
        <w:rPr>
          <w:rStyle w:val="Superscript"/>
        </w:rPr>
        <w:footnoteReference w:id="43"/>
      </w:r>
      <w:r>
        <w:t xml:space="preserve"> In our analysis, we applied a concession of $107.50 each to the annual electricity and gas bills of low income households (figure 3.14).</w:t>
      </w:r>
    </w:p>
    <w:p w:rsidR="00697BCD" w:rsidRDefault="00697BCD" w:rsidP="000F3A56">
      <w:pPr>
        <w:pStyle w:val="Charttitle"/>
      </w:pPr>
      <w:r>
        <w:t>Figure 3.14:</w:t>
      </w:r>
      <w:r>
        <w:tab/>
        <w:t>Annual electricity and gas bills, and as a share of disposable income for a benchmark low income household (3700 kWh and 21 000 MJ, June)</w:t>
      </w:r>
    </w:p>
    <w:p w:rsidR="00697BCD" w:rsidRDefault="00EC4210" w:rsidP="000F3A56">
      <w:pPr>
        <w:pStyle w:val="Charttitle"/>
      </w:pPr>
      <w:r>
        <w:pict>
          <v:shape id="_x0000_i1053" type="#_x0000_t75" alt="The electricity bill for a household on the median market offer was $1324 (or $1216 with a concession). Electricity bills for the standing offer were higher, at $1419 (or $1311 with a concession). A low income household on the median market offer and receiving an energy concession would spend 5.2 per cent of its disposable income on electricity (or 5.7 per cent without a concession). For the median standing offer, the annual electricity bill would comprise 5.6 per cent of a low income household’s disposable income (receiving a concession), or 6.1 per cent without a concession.&#10;Annual gas bills for the median market offer were $1047 (or $940 with a concession), and for the median standing offer were $1153 (or $1045 with a concession). A low income household on the median market offer and receiving an energy concession would spend 4 per cent of its disposable income on gas (or 4.5 per cent without a concession). For the median standing offer, the annual gas bill would comprise 4.5 per cent of a low income household’s disposable income (receiving a concession), or 4.9 per cent without a concession.&#10;" style="width:470.35pt;height:185.15pt">
            <v:imagedata r:id="rId42" o:title=""/>
          </v:shape>
        </w:pict>
      </w:r>
    </w:p>
    <w:p w:rsidR="00697BCD" w:rsidRDefault="00697BCD" w:rsidP="00697BCD">
      <w:r>
        <w:t xml:space="preserve">The electricity bill for a household on the median market offer was $1324 (or $1216 with a concession). This is 3.4 per cent cheaper than 2015 (or 3.7 per cent with a concession). Electricity bills for the standing offer were higher, at $1419 (or $1311 with a concession). While </w:t>
      </w:r>
      <w:r>
        <w:lastRenderedPageBreak/>
        <w:t xml:space="preserve">still more expensive than market offers (by around $100), the median standing offer fell by 7.8 per cent in the year to June 2015 (8.4 per cent if the household received a concession). </w:t>
      </w:r>
    </w:p>
    <w:p w:rsidR="00697BCD" w:rsidRDefault="00697BCD" w:rsidP="00697BCD">
      <w:r>
        <w:t>At June 2016, a low income household on the median market offer and receiving an energy concession would spend 5.2 per cent of its disposable income on electricity (or 5.7 per cent without a concession). If the household was on the median standing offer, its electricity bill would comprise 6.6 per cent of a low income household’s disposable income (with a concession), or 6.1 per cent without a concession.</w:t>
      </w:r>
    </w:p>
    <w:p w:rsidR="00697BCD" w:rsidRDefault="00697BCD" w:rsidP="00697BCD">
      <w:r>
        <w:t xml:space="preserve">The analysis continues to indicate a gradual increase in gas bills in South Australia. For a low income household on the median market offer, the annual bill was $1047 (or $940 with a concession). This is 3.9 per cent higher than last year (without a concession). Households on a standing offer are paying more—$1153 in June 2016 (or $1045 with a concession). This represents a similar price rise to market offers, again 3.8 per cent (without a concession). </w:t>
      </w:r>
    </w:p>
    <w:p w:rsidR="00697BCD" w:rsidRDefault="00697BCD" w:rsidP="00697BCD">
      <w:r>
        <w:t>A low income household on the median gas market offer and with a concession would spend 4 per cent of its disposable income on gas or 4.5 per cent without a concession. For the median standing offer, the annual gas bill would comprise 4.5 per cent of a low income household’s disposable income (receiving a concession), or 4.9 per cent without a concession.</w:t>
      </w:r>
    </w:p>
    <w:p w:rsidR="00697BCD" w:rsidRDefault="00697BCD" w:rsidP="00697BCD">
      <w:r>
        <w:t>A benchmark middle income household using a typical amount of electricity—5100 kWh in South Australia—spent 2.8 per cent of its disposable income on electricity bills. A high income household using the same amount of electricity spend 1.1 per cent of its income. Middle and high income households spent 1.8 per cent and 0.7 per cent of their disposable income respectively on gas.</w:t>
      </w:r>
    </w:p>
    <w:p w:rsidR="00697BCD" w:rsidRDefault="00697BCD" w:rsidP="00697BCD">
      <w:pPr>
        <w:pStyle w:val="Tabletitle"/>
      </w:pPr>
      <w:r>
        <w:t>Table 3.7:</w:t>
      </w:r>
      <w:r>
        <w:tab/>
        <w:t>Summary of annual electricity and gas bills (for the median market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79"/>
        <w:gridCol w:w="2151"/>
        <w:gridCol w:w="2149"/>
        <w:gridCol w:w="2149"/>
      </w:tblGrid>
      <w:tr w:rsidR="00697BCD" w:rsidRPr="00391B03" w:rsidTr="00391B03">
        <w:trPr>
          <w:trHeight w:val="60"/>
        </w:trPr>
        <w:tc>
          <w:tcPr>
            <w:tcW w:w="1651" w:type="pct"/>
            <w:shd w:val="clear" w:color="auto" w:fill="auto"/>
          </w:tcPr>
          <w:p w:rsidR="00697BCD" w:rsidRPr="00391B03" w:rsidRDefault="00697BCD" w:rsidP="006B1E9F">
            <w:pPr>
              <w:pStyle w:val="TableHeading"/>
            </w:pPr>
            <w:r w:rsidRPr="00391B03">
              <w:t>Income level</w:t>
            </w:r>
          </w:p>
        </w:tc>
        <w:tc>
          <w:tcPr>
            <w:tcW w:w="1117" w:type="pct"/>
            <w:shd w:val="clear" w:color="auto" w:fill="auto"/>
          </w:tcPr>
          <w:p w:rsidR="00697BCD" w:rsidRPr="00391B03" w:rsidRDefault="00697BCD" w:rsidP="006B1E9F">
            <w:pPr>
              <w:pStyle w:val="TableHeading"/>
            </w:pPr>
            <w:r w:rsidRPr="00391B03">
              <w:t>Annual consumption</w:t>
            </w:r>
          </w:p>
        </w:tc>
        <w:tc>
          <w:tcPr>
            <w:tcW w:w="1116" w:type="pct"/>
            <w:shd w:val="clear" w:color="auto" w:fill="auto"/>
          </w:tcPr>
          <w:p w:rsidR="00697BCD" w:rsidRDefault="00697BCD" w:rsidP="006B1E9F">
            <w:pPr>
              <w:pStyle w:val="TableHeading-right"/>
            </w:pPr>
            <w:r>
              <w:t xml:space="preserve">Annual bill ($) </w:t>
            </w:r>
          </w:p>
        </w:tc>
        <w:tc>
          <w:tcPr>
            <w:tcW w:w="1117" w:type="pct"/>
            <w:shd w:val="clear" w:color="auto" w:fill="auto"/>
          </w:tcPr>
          <w:p w:rsidR="00697BCD" w:rsidRDefault="00697BCD" w:rsidP="006B1E9F">
            <w:pPr>
              <w:pStyle w:val="TableHeading-right"/>
            </w:pPr>
            <w:r>
              <w:t>Proportion of annual income (%)</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Electricity 3700 kWh</w:t>
            </w:r>
          </w:p>
        </w:tc>
        <w:tc>
          <w:tcPr>
            <w:tcW w:w="1116" w:type="pct"/>
            <w:shd w:val="clear" w:color="auto" w:fill="auto"/>
          </w:tcPr>
          <w:p w:rsidR="00697BCD" w:rsidRDefault="00697BCD" w:rsidP="00624E11">
            <w:pPr>
              <w:pStyle w:val="Tabletext-right"/>
            </w:pPr>
            <w:r>
              <w:t>1216</w:t>
            </w:r>
          </w:p>
        </w:tc>
        <w:tc>
          <w:tcPr>
            <w:tcW w:w="1117" w:type="pct"/>
            <w:shd w:val="clear" w:color="auto" w:fill="auto"/>
          </w:tcPr>
          <w:p w:rsidR="00697BCD" w:rsidRDefault="00697BCD" w:rsidP="00624E11">
            <w:pPr>
              <w:pStyle w:val="Tabletext-right"/>
            </w:pPr>
            <w:r>
              <w:t>5.2</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Electricity 3700 kWh</w:t>
            </w:r>
          </w:p>
        </w:tc>
        <w:tc>
          <w:tcPr>
            <w:tcW w:w="1116" w:type="pct"/>
            <w:shd w:val="clear" w:color="auto" w:fill="auto"/>
          </w:tcPr>
          <w:p w:rsidR="00697BCD" w:rsidRDefault="00697BCD" w:rsidP="00624E11">
            <w:pPr>
              <w:pStyle w:val="Tabletext-right"/>
            </w:pPr>
            <w:r>
              <w:t>1324</w:t>
            </w:r>
          </w:p>
        </w:tc>
        <w:tc>
          <w:tcPr>
            <w:tcW w:w="1117" w:type="pct"/>
            <w:shd w:val="clear" w:color="auto" w:fill="auto"/>
          </w:tcPr>
          <w:p w:rsidR="00697BCD" w:rsidRDefault="00697BCD" w:rsidP="00624E11">
            <w:pPr>
              <w:pStyle w:val="Tabletext-right"/>
            </w:pPr>
            <w:r>
              <w:t>5.7</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Electricity 5100 kWh</w:t>
            </w:r>
          </w:p>
        </w:tc>
        <w:tc>
          <w:tcPr>
            <w:tcW w:w="1116" w:type="pct"/>
            <w:shd w:val="clear" w:color="auto" w:fill="auto"/>
          </w:tcPr>
          <w:p w:rsidR="00697BCD" w:rsidRDefault="00697BCD" w:rsidP="00624E11">
            <w:pPr>
              <w:pStyle w:val="Tabletext-right"/>
            </w:pPr>
            <w:r>
              <w:t>1771</w:t>
            </w:r>
          </w:p>
        </w:tc>
        <w:tc>
          <w:tcPr>
            <w:tcW w:w="1117" w:type="pct"/>
            <w:shd w:val="clear" w:color="auto" w:fill="auto"/>
          </w:tcPr>
          <w:p w:rsidR="00697BCD" w:rsidRDefault="00697BCD" w:rsidP="00624E11">
            <w:pPr>
              <w:pStyle w:val="Tabletext-right"/>
            </w:pPr>
            <w:r>
              <w:t>2.8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Electricity 5100 kWh</w:t>
            </w:r>
          </w:p>
        </w:tc>
        <w:tc>
          <w:tcPr>
            <w:tcW w:w="1116" w:type="pct"/>
            <w:shd w:val="clear" w:color="auto" w:fill="auto"/>
          </w:tcPr>
          <w:p w:rsidR="00697BCD" w:rsidRDefault="00697BCD" w:rsidP="00624E11">
            <w:pPr>
              <w:pStyle w:val="Tabletext-right"/>
            </w:pPr>
            <w:r>
              <w:t>1771</w:t>
            </w:r>
          </w:p>
        </w:tc>
        <w:tc>
          <w:tcPr>
            <w:tcW w:w="1117" w:type="pct"/>
            <w:shd w:val="clear" w:color="auto" w:fill="auto"/>
          </w:tcPr>
          <w:p w:rsidR="00697BCD" w:rsidRDefault="00697BCD" w:rsidP="00624E11">
            <w:pPr>
              <w:pStyle w:val="Tabletext-right"/>
            </w:pPr>
            <w:r>
              <w:t>1.1</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Gas 21 000 MJ</w:t>
            </w:r>
          </w:p>
        </w:tc>
        <w:tc>
          <w:tcPr>
            <w:tcW w:w="1116" w:type="pct"/>
            <w:shd w:val="clear" w:color="auto" w:fill="auto"/>
          </w:tcPr>
          <w:p w:rsidR="00697BCD" w:rsidRDefault="00697BCD" w:rsidP="00624E11">
            <w:pPr>
              <w:pStyle w:val="Tabletext-right"/>
            </w:pPr>
            <w:r>
              <w:t>1045</w:t>
            </w:r>
          </w:p>
        </w:tc>
        <w:tc>
          <w:tcPr>
            <w:tcW w:w="1117" w:type="pct"/>
            <w:shd w:val="clear" w:color="auto" w:fill="auto"/>
          </w:tcPr>
          <w:p w:rsidR="00697BCD" w:rsidRDefault="00697BCD" w:rsidP="00624E11">
            <w:pPr>
              <w:pStyle w:val="Tabletext-right"/>
            </w:pPr>
            <w:r>
              <w:t>4.5</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Gas 21 000 MJ</w:t>
            </w:r>
          </w:p>
        </w:tc>
        <w:tc>
          <w:tcPr>
            <w:tcW w:w="1116" w:type="pct"/>
            <w:shd w:val="clear" w:color="auto" w:fill="auto"/>
          </w:tcPr>
          <w:p w:rsidR="00697BCD" w:rsidRDefault="00697BCD" w:rsidP="00624E11">
            <w:pPr>
              <w:pStyle w:val="Tabletext-right"/>
            </w:pPr>
            <w:r>
              <w:t>1153</w:t>
            </w:r>
          </w:p>
        </w:tc>
        <w:tc>
          <w:tcPr>
            <w:tcW w:w="1117" w:type="pct"/>
            <w:shd w:val="clear" w:color="auto" w:fill="auto"/>
          </w:tcPr>
          <w:p w:rsidR="00697BCD" w:rsidRDefault="00697BCD" w:rsidP="00624E11">
            <w:pPr>
              <w:pStyle w:val="Tabletext-right"/>
            </w:pPr>
            <w:r>
              <w:t>4.9</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Gas 21 000 MJ</w:t>
            </w:r>
          </w:p>
        </w:tc>
        <w:tc>
          <w:tcPr>
            <w:tcW w:w="1116" w:type="pct"/>
            <w:shd w:val="clear" w:color="auto" w:fill="auto"/>
          </w:tcPr>
          <w:p w:rsidR="00697BCD" w:rsidRDefault="00697BCD" w:rsidP="00624E11">
            <w:pPr>
              <w:pStyle w:val="Tabletext-right"/>
            </w:pPr>
            <w:r>
              <w:t>1153</w:t>
            </w:r>
          </w:p>
        </w:tc>
        <w:tc>
          <w:tcPr>
            <w:tcW w:w="1117" w:type="pct"/>
            <w:shd w:val="clear" w:color="auto" w:fill="auto"/>
          </w:tcPr>
          <w:p w:rsidR="00697BCD" w:rsidRDefault="00697BCD" w:rsidP="00624E11">
            <w:pPr>
              <w:pStyle w:val="Tabletext-right"/>
            </w:pPr>
            <w:r>
              <w:t>1.8</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Gas 21 000 MJ</w:t>
            </w:r>
          </w:p>
        </w:tc>
        <w:tc>
          <w:tcPr>
            <w:tcW w:w="1116" w:type="pct"/>
            <w:shd w:val="clear" w:color="auto" w:fill="auto"/>
          </w:tcPr>
          <w:p w:rsidR="00697BCD" w:rsidRDefault="00697BCD" w:rsidP="00624E11">
            <w:pPr>
              <w:pStyle w:val="Tabletext-right"/>
            </w:pPr>
            <w:r>
              <w:t>1153</w:t>
            </w:r>
          </w:p>
        </w:tc>
        <w:tc>
          <w:tcPr>
            <w:tcW w:w="1117" w:type="pct"/>
            <w:shd w:val="clear" w:color="auto" w:fill="auto"/>
          </w:tcPr>
          <w:p w:rsidR="00697BCD" w:rsidRDefault="00697BCD" w:rsidP="00624E11">
            <w:pPr>
              <w:pStyle w:val="Tabletext-right"/>
            </w:pPr>
            <w:r>
              <w:t>0.7</w:t>
            </w:r>
          </w:p>
        </w:tc>
      </w:tr>
    </w:tbl>
    <w:p w:rsidR="00697BCD" w:rsidRDefault="00697BCD"/>
    <w:p w:rsidR="00697BCD" w:rsidRDefault="00697BCD" w:rsidP="000F3A56">
      <w:pPr>
        <w:pStyle w:val="Numbered111"/>
      </w:pPr>
      <w:bookmarkStart w:id="52" w:name="_Toc467665336"/>
      <w:r>
        <w:t>Composition of energy bills and impact of concessions</w:t>
      </w:r>
      <w:bookmarkEnd w:id="52"/>
    </w:p>
    <w:p w:rsidR="00697BCD" w:rsidRDefault="00697BCD" w:rsidP="00697BCD">
      <w:r>
        <w:t xml:space="preserve">Table 3.8 shows the portions of low income household energy bills attributed to daily supply charges and energy use charges, as well as the savings provided by energy concessions. </w:t>
      </w:r>
    </w:p>
    <w:p w:rsidR="00697BCD" w:rsidRDefault="00697BCD" w:rsidP="00697BCD">
      <w:r>
        <w:t>Daily supply charges for electricity were around $282 per annum in 2016, which represents 21 per cent of a low income household’s annual electricity bill and 1.2 per cent of its disposable income. Electricity supply charges in South Australia are significantly cheaper than other states and territories (considered in this report)</w:t>
      </w:r>
      <w:proofErr w:type="gramStart"/>
      <w:r>
        <w:t>,</w:t>
      </w:r>
      <w:proofErr w:type="gramEnd"/>
      <w:r>
        <w:t xml:space="preserve"> with households on the median market offer in Queensland, New South Wales and the ACT all spending more than $350 per year. </w:t>
      </w:r>
    </w:p>
    <w:p w:rsidR="00697BCD" w:rsidRDefault="00697BCD" w:rsidP="00697BCD">
      <w:r>
        <w:lastRenderedPageBreak/>
        <w:t xml:space="preserve">Daily supply charges for gas were $275 per annum—about the middle of the range compared to other jurisdictions—which represents 26 per cent of a low income household’s annual gas bill and 1.2 per cent of its disposable income. </w:t>
      </w:r>
    </w:p>
    <w:p w:rsidR="00697BCD" w:rsidRDefault="00697BCD" w:rsidP="00697BCD">
      <w:r>
        <w:t>For eligible customers, concessions provide savings of around 8 per cent on electricity bills and 10 per cent on gas bills (assuming the energy concession is evenly allocated across both fuels).</w:t>
      </w:r>
    </w:p>
    <w:p w:rsidR="00697BCD" w:rsidRDefault="00697BCD" w:rsidP="00697BCD">
      <w:pPr>
        <w:pStyle w:val="Tabletitle"/>
      </w:pPr>
      <w:r>
        <w:t>Table 3.8:</w:t>
      </w:r>
      <w:r>
        <w:tab/>
        <w:t>Composition of low income household energy bills (median market offer)</w:t>
      </w:r>
    </w:p>
    <w:tbl>
      <w:tblPr>
        <w:tblW w:w="5000" w:type="pct"/>
        <w:tblBorders>
          <w:top w:val="single" w:sz="4" w:space="0" w:color="BFBFBF"/>
          <w:bottom w:val="single" w:sz="4" w:space="0" w:color="BFBFBF"/>
        </w:tblBorders>
        <w:tblLook w:val="0000" w:firstRow="0" w:lastRow="0" w:firstColumn="0" w:lastColumn="0" w:noHBand="0" w:noVBand="0"/>
      </w:tblPr>
      <w:tblGrid>
        <w:gridCol w:w="2675"/>
        <w:gridCol w:w="905"/>
        <w:gridCol w:w="2016"/>
        <w:gridCol w:w="2016"/>
        <w:gridCol w:w="2016"/>
      </w:tblGrid>
      <w:tr w:rsidR="00697BCD" w:rsidRPr="00391B03" w:rsidTr="00391B03">
        <w:trPr>
          <w:trHeight w:val="60"/>
        </w:trPr>
        <w:tc>
          <w:tcPr>
            <w:tcW w:w="1389" w:type="pct"/>
            <w:shd w:val="clear" w:color="auto" w:fill="auto"/>
          </w:tcPr>
          <w:p w:rsidR="00697BCD" w:rsidRPr="00391B03" w:rsidRDefault="00697BCD" w:rsidP="006B1E9F">
            <w:pPr>
              <w:pStyle w:val="TableHeading"/>
            </w:pPr>
            <w:r w:rsidRPr="00391B03">
              <w:t>Fuel type—consumption</w:t>
            </w:r>
          </w:p>
        </w:tc>
        <w:tc>
          <w:tcPr>
            <w:tcW w:w="470" w:type="pct"/>
            <w:shd w:val="clear" w:color="auto" w:fill="auto"/>
          </w:tcPr>
          <w:p w:rsidR="00697BCD" w:rsidRDefault="00697BCD" w:rsidP="006B1E9F">
            <w:pPr>
              <w:pStyle w:val="TableHeading-right"/>
            </w:pPr>
            <w:r>
              <w:t>Year</w:t>
            </w:r>
          </w:p>
        </w:tc>
        <w:tc>
          <w:tcPr>
            <w:tcW w:w="1047" w:type="pct"/>
            <w:shd w:val="clear" w:color="auto" w:fill="auto"/>
          </w:tcPr>
          <w:p w:rsidR="00697BCD" w:rsidRDefault="00697BCD" w:rsidP="006B1E9F">
            <w:pPr>
              <w:pStyle w:val="TableHeading-right"/>
            </w:pPr>
            <w:r>
              <w:t>Daily supply</w:t>
            </w:r>
            <w:r>
              <w:br/>
              <w:t>charges (%)</w:t>
            </w:r>
          </w:p>
        </w:tc>
        <w:tc>
          <w:tcPr>
            <w:tcW w:w="1047" w:type="pct"/>
            <w:shd w:val="clear" w:color="auto" w:fill="auto"/>
          </w:tcPr>
          <w:p w:rsidR="00697BCD" w:rsidRDefault="00697BCD" w:rsidP="006B1E9F">
            <w:pPr>
              <w:pStyle w:val="TableHeading-right"/>
            </w:pPr>
            <w:r>
              <w:t>Energy use</w:t>
            </w:r>
            <w:r>
              <w:br/>
              <w:t>charges (%)</w:t>
            </w:r>
          </w:p>
        </w:tc>
        <w:tc>
          <w:tcPr>
            <w:tcW w:w="1047" w:type="pct"/>
            <w:shd w:val="clear" w:color="auto" w:fill="auto"/>
          </w:tcPr>
          <w:p w:rsidR="00697BCD" w:rsidRDefault="00697BCD" w:rsidP="006B1E9F">
            <w:pPr>
              <w:pStyle w:val="TableHeading-right"/>
            </w:pPr>
            <w:r>
              <w:t>Saving with</w:t>
            </w:r>
            <w:r>
              <w:br/>
              <w:t>concession (%)</w:t>
            </w:r>
          </w:p>
        </w:tc>
      </w:tr>
      <w:tr w:rsidR="00697BCD" w:rsidRPr="00391B03" w:rsidTr="00391B03">
        <w:trPr>
          <w:trHeight w:val="60"/>
        </w:trPr>
        <w:tc>
          <w:tcPr>
            <w:tcW w:w="1389" w:type="pct"/>
            <w:shd w:val="clear" w:color="auto" w:fill="auto"/>
          </w:tcPr>
          <w:p w:rsidR="00697BCD" w:rsidRPr="00391B03" w:rsidRDefault="00697BCD" w:rsidP="00624E11">
            <w:pPr>
              <w:pStyle w:val="Tabletext"/>
            </w:pPr>
            <w:r w:rsidRPr="00391B03">
              <w:t>Electricity—3700 kWh</w:t>
            </w:r>
          </w:p>
        </w:tc>
        <w:tc>
          <w:tcPr>
            <w:tcW w:w="470" w:type="pct"/>
            <w:shd w:val="clear" w:color="auto" w:fill="auto"/>
          </w:tcPr>
          <w:p w:rsidR="00697BCD" w:rsidRDefault="00697BCD" w:rsidP="00624E11">
            <w:pPr>
              <w:pStyle w:val="Tabletext-right"/>
            </w:pPr>
            <w:r>
              <w:t>2013</w:t>
            </w:r>
          </w:p>
        </w:tc>
        <w:tc>
          <w:tcPr>
            <w:tcW w:w="1047" w:type="pct"/>
            <w:shd w:val="clear" w:color="auto" w:fill="auto"/>
          </w:tcPr>
          <w:p w:rsidR="00697BCD" w:rsidRDefault="00697BCD" w:rsidP="00624E11">
            <w:pPr>
              <w:pStyle w:val="Tabletext-right"/>
            </w:pPr>
            <w:r>
              <w:t>19.1</w:t>
            </w:r>
          </w:p>
        </w:tc>
        <w:tc>
          <w:tcPr>
            <w:tcW w:w="1047" w:type="pct"/>
            <w:shd w:val="clear" w:color="auto" w:fill="auto"/>
          </w:tcPr>
          <w:p w:rsidR="00697BCD" w:rsidRDefault="00697BCD" w:rsidP="00624E11">
            <w:pPr>
              <w:pStyle w:val="Tabletext-right"/>
            </w:pPr>
            <w:r>
              <w:t>80.9</w:t>
            </w:r>
          </w:p>
        </w:tc>
        <w:tc>
          <w:tcPr>
            <w:tcW w:w="1047" w:type="pct"/>
            <w:shd w:val="clear" w:color="auto" w:fill="auto"/>
          </w:tcPr>
          <w:p w:rsidR="00697BCD" w:rsidRDefault="00697BCD" w:rsidP="00624E11">
            <w:pPr>
              <w:pStyle w:val="Tabletext-right"/>
            </w:pPr>
            <w:r>
              <w:t>6.0</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2014</w:t>
            </w:r>
          </w:p>
        </w:tc>
        <w:tc>
          <w:tcPr>
            <w:tcW w:w="1047" w:type="pct"/>
            <w:shd w:val="clear" w:color="auto" w:fill="auto"/>
          </w:tcPr>
          <w:p w:rsidR="00697BCD" w:rsidRDefault="00697BCD" w:rsidP="00624E11">
            <w:pPr>
              <w:pStyle w:val="Tabletext-right"/>
            </w:pPr>
            <w:r>
              <w:t>18.9</w:t>
            </w:r>
          </w:p>
        </w:tc>
        <w:tc>
          <w:tcPr>
            <w:tcW w:w="1047" w:type="pct"/>
            <w:shd w:val="clear" w:color="auto" w:fill="auto"/>
          </w:tcPr>
          <w:p w:rsidR="00697BCD" w:rsidRDefault="00697BCD" w:rsidP="00624E11">
            <w:pPr>
              <w:pStyle w:val="Tabletext-right"/>
            </w:pPr>
            <w:r>
              <w:t>81.1</w:t>
            </w:r>
          </w:p>
        </w:tc>
        <w:tc>
          <w:tcPr>
            <w:tcW w:w="1047" w:type="pct"/>
            <w:shd w:val="clear" w:color="auto" w:fill="auto"/>
          </w:tcPr>
          <w:p w:rsidR="00697BCD" w:rsidRDefault="00697BCD" w:rsidP="00624E11">
            <w:pPr>
              <w:pStyle w:val="Tabletext-right"/>
            </w:pPr>
            <w:r>
              <w:t>5.8</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2015</w:t>
            </w:r>
          </w:p>
        </w:tc>
        <w:tc>
          <w:tcPr>
            <w:tcW w:w="1047" w:type="pct"/>
            <w:shd w:val="clear" w:color="auto" w:fill="auto"/>
          </w:tcPr>
          <w:p w:rsidR="00697BCD" w:rsidRDefault="00697BCD" w:rsidP="00624E11">
            <w:pPr>
              <w:pStyle w:val="Tabletext-right"/>
            </w:pPr>
            <w:r>
              <w:t>20.1</w:t>
            </w:r>
          </w:p>
        </w:tc>
        <w:tc>
          <w:tcPr>
            <w:tcW w:w="1047" w:type="pct"/>
            <w:shd w:val="clear" w:color="auto" w:fill="auto"/>
          </w:tcPr>
          <w:p w:rsidR="00697BCD" w:rsidRDefault="00697BCD" w:rsidP="00624E11">
            <w:pPr>
              <w:pStyle w:val="Tabletext-right"/>
            </w:pPr>
            <w:r>
              <w:t>79.9</w:t>
            </w:r>
          </w:p>
        </w:tc>
        <w:tc>
          <w:tcPr>
            <w:tcW w:w="1047" w:type="pct"/>
            <w:shd w:val="clear" w:color="auto" w:fill="auto"/>
          </w:tcPr>
          <w:p w:rsidR="00697BCD" w:rsidRDefault="00697BCD" w:rsidP="00624E11">
            <w:pPr>
              <w:pStyle w:val="Tabletext-right"/>
            </w:pPr>
            <w:r>
              <w:t>7.8</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2016</w:t>
            </w:r>
          </w:p>
        </w:tc>
        <w:tc>
          <w:tcPr>
            <w:tcW w:w="1047" w:type="pct"/>
            <w:shd w:val="clear" w:color="auto" w:fill="auto"/>
          </w:tcPr>
          <w:p w:rsidR="00697BCD" w:rsidRDefault="00697BCD" w:rsidP="00624E11">
            <w:pPr>
              <w:pStyle w:val="Tabletext-right"/>
            </w:pPr>
            <w:r>
              <w:t>21.2</w:t>
            </w:r>
          </w:p>
        </w:tc>
        <w:tc>
          <w:tcPr>
            <w:tcW w:w="1047" w:type="pct"/>
            <w:shd w:val="clear" w:color="auto" w:fill="auto"/>
          </w:tcPr>
          <w:p w:rsidR="00697BCD" w:rsidRDefault="00697BCD" w:rsidP="00624E11">
            <w:pPr>
              <w:pStyle w:val="Tabletext-right"/>
            </w:pPr>
            <w:r>
              <w:t>78.8</w:t>
            </w:r>
          </w:p>
        </w:tc>
        <w:tc>
          <w:tcPr>
            <w:tcW w:w="1047" w:type="pct"/>
            <w:shd w:val="clear" w:color="auto" w:fill="auto"/>
          </w:tcPr>
          <w:p w:rsidR="00697BCD" w:rsidRDefault="00697BCD" w:rsidP="00624E11">
            <w:pPr>
              <w:pStyle w:val="Tabletext-right"/>
            </w:pPr>
            <w:r>
              <w:t>8.1</w:t>
            </w:r>
          </w:p>
        </w:tc>
      </w:tr>
      <w:tr w:rsidR="00697BCD" w:rsidRPr="00391B03" w:rsidTr="00391B03">
        <w:trPr>
          <w:trHeight w:val="60"/>
        </w:trPr>
        <w:tc>
          <w:tcPr>
            <w:tcW w:w="1389" w:type="pct"/>
            <w:shd w:val="clear" w:color="auto" w:fill="auto"/>
          </w:tcPr>
          <w:p w:rsidR="00697BCD" w:rsidRPr="00391B03" w:rsidRDefault="00697BCD" w:rsidP="00624E11">
            <w:pPr>
              <w:pStyle w:val="Tabletext"/>
            </w:pPr>
            <w:r w:rsidRPr="00391B03">
              <w:t>Gas—24 000 MJ</w:t>
            </w:r>
          </w:p>
        </w:tc>
        <w:tc>
          <w:tcPr>
            <w:tcW w:w="470" w:type="pct"/>
            <w:shd w:val="clear" w:color="auto" w:fill="auto"/>
          </w:tcPr>
          <w:p w:rsidR="00697BCD" w:rsidRDefault="00697BCD" w:rsidP="00624E11">
            <w:pPr>
              <w:pStyle w:val="Tabletext-right"/>
            </w:pPr>
            <w:r>
              <w:t>2013</w:t>
            </w:r>
          </w:p>
        </w:tc>
        <w:tc>
          <w:tcPr>
            <w:tcW w:w="1047" w:type="pct"/>
            <w:shd w:val="clear" w:color="auto" w:fill="auto"/>
          </w:tcPr>
          <w:p w:rsidR="00697BCD" w:rsidRDefault="00697BCD" w:rsidP="00624E11">
            <w:pPr>
              <w:pStyle w:val="Tabletext-right"/>
            </w:pPr>
            <w:r>
              <w:t>28.8</w:t>
            </w:r>
          </w:p>
        </w:tc>
        <w:tc>
          <w:tcPr>
            <w:tcW w:w="1047" w:type="pct"/>
            <w:shd w:val="clear" w:color="auto" w:fill="auto"/>
          </w:tcPr>
          <w:p w:rsidR="00697BCD" w:rsidRDefault="00697BCD" w:rsidP="00624E11">
            <w:pPr>
              <w:pStyle w:val="Tabletext-right"/>
            </w:pPr>
            <w:r>
              <w:t>71.2</w:t>
            </w:r>
          </w:p>
        </w:tc>
        <w:tc>
          <w:tcPr>
            <w:tcW w:w="1047" w:type="pct"/>
            <w:shd w:val="clear" w:color="auto" w:fill="auto"/>
          </w:tcPr>
          <w:p w:rsidR="00697BCD" w:rsidRDefault="00697BCD" w:rsidP="00624E11">
            <w:pPr>
              <w:pStyle w:val="Tabletext-right"/>
            </w:pPr>
            <w:r>
              <w:t>9.2</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2014</w:t>
            </w:r>
          </w:p>
        </w:tc>
        <w:tc>
          <w:tcPr>
            <w:tcW w:w="1047" w:type="pct"/>
            <w:shd w:val="clear" w:color="auto" w:fill="auto"/>
          </w:tcPr>
          <w:p w:rsidR="00697BCD" w:rsidRDefault="00697BCD" w:rsidP="00624E11">
            <w:pPr>
              <w:pStyle w:val="Tabletext-right"/>
            </w:pPr>
            <w:r>
              <w:t>27.3</w:t>
            </w:r>
          </w:p>
        </w:tc>
        <w:tc>
          <w:tcPr>
            <w:tcW w:w="1047" w:type="pct"/>
            <w:shd w:val="clear" w:color="auto" w:fill="auto"/>
          </w:tcPr>
          <w:p w:rsidR="00697BCD" w:rsidRDefault="00697BCD" w:rsidP="00624E11">
            <w:pPr>
              <w:pStyle w:val="Tabletext-right"/>
            </w:pPr>
            <w:r>
              <w:t>72.7</w:t>
            </w:r>
          </w:p>
        </w:tc>
        <w:tc>
          <w:tcPr>
            <w:tcW w:w="1047" w:type="pct"/>
            <w:shd w:val="clear" w:color="auto" w:fill="auto"/>
          </w:tcPr>
          <w:p w:rsidR="00697BCD" w:rsidRDefault="00697BCD" w:rsidP="00624E11">
            <w:pPr>
              <w:pStyle w:val="Tabletext-right"/>
            </w:pPr>
            <w:r>
              <w:t>8.3</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2015</w:t>
            </w:r>
          </w:p>
        </w:tc>
        <w:tc>
          <w:tcPr>
            <w:tcW w:w="1047" w:type="pct"/>
            <w:shd w:val="clear" w:color="auto" w:fill="auto"/>
          </w:tcPr>
          <w:p w:rsidR="00697BCD" w:rsidRDefault="00697BCD" w:rsidP="00624E11">
            <w:pPr>
              <w:pStyle w:val="Tabletext-right"/>
            </w:pPr>
            <w:r>
              <w:t>25.8</w:t>
            </w:r>
          </w:p>
        </w:tc>
        <w:tc>
          <w:tcPr>
            <w:tcW w:w="1047" w:type="pct"/>
            <w:shd w:val="clear" w:color="auto" w:fill="auto"/>
          </w:tcPr>
          <w:p w:rsidR="00697BCD" w:rsidRDefault="00697BCD" w:rsidP="00624E11">
            <w:pPr>
              <w:pStyle w:val="Tabletext-right"/>
            </w:pPr>
            <w:r>
              <w:t>74.2</w:t>
            </w:r>
          </w:p>
        </w:tc>
        <w:tc>
          <w:tcPr>
            <w:tcW w:w="1047" w:type="pct"/>
            <w:shd w:val="clear" w:color="auto" w:fill="auto"/>
          </w:tcPr>
          <w:p w:rsidR="00697BCD" w:rsidRDefault="00697BCD" w:rsidP="00624E11">
            <w:pPr>
              <w:pStyle w:val="Tabletext-right"/>
            </w:pPr>
            <w:r>
              <w:t>10.7</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2016</w:t>
            </w:r>
          </w:p>
        </w:tc>
        <w:tc>
          <w:tcPr>
            <w:tcW w:w="1047" w:type="pct"/>
            <w:shd w:val="clear" w:color="auto" w:fill="auto"/>
          </w:tcPr>
          <w:p w:rsidR="00697BCD" w:rsidRDefault="00697BCD" w:rsidP="00624E11">
            <w:pPr>
              <w:pStyle w:val="Tabletext-right"/>
            </w:pPr>
            <w:r>
              <w:t>26.3</w:t>
            </w:r>
          </w:p>
        </w:tc>
        <w:tc>
          <w:tcPr>
            <w:tcW w:w="1047" w:type="pct"/>
            <w:shd w:val="clear" w:color="auto" w:fill="auto"/>
          </w:tcPr>
          <w:p w:rsidR="00697BCD" w:rsidRDefault="00697BCD" w:rsidP="00624E11">
            <w:pPr>
              <w:pStyle w:val="Tabletext-right"/>
            </w:pPr>
            <w:r>
              <w:t>73.7</w:t>
            </w:r>
          </w:p>
        </w:tc>
        <w:tc>
          <w:tcPr>
            <w:tcW w:w="1047" w:type="pct"/>
            <w:shd w:val="clear" w:color="auto" w:fill="auto"/>
          </w:tcPr>
          <w:p w:rsidR="00697BCD" w:rsidRDefault="00697BCD" w:rsidP="00624E11">
            <w:pPr>
              <w:pStyle w:val="Tabletext-right"/>
            </w:pPr>
            <w:r>
              <w:t>10.3</w:t>
            </w:r>
          </w:p>
        </w:tc>
      </w:tr>
    </w:tbl>
    <w:p w:rsidR="00697BCD" w:rsidRDefault="00697BCD"/>
    <w:p w:rsidR="00697BCD" w:rsidRDefault="00697BCD" w:rsidP="000F3A56">
      <w:pPr>
        <w:pStyle w:val="Numbered11"/>
      </w:pPr>
      <w:bookmarkStart w:id="53" w:name="_Toc467665337"/>
      <w:r>
        <w:t>Tasmania</w:t>
      </w:r>
      <w:bookmarkEnd w:id="53"/>
    </w:p>
    <w:p w:rsidR="00697BCD" w:rsidRDefault="00697BCD" w:rsidP="000F3A56">
      <w:pPr>
        <w:pStyle w:val="Numbered111"/>
      </w:pPr>
      <w:bookmarkStart w:id="54" w:name="_Toc467665338"/>
      <w:r>
        <w:t>Electricity bills as a percentage of income</w:t>
      </w:r>
      <w:bookmarkEnd w:id="54"/>
    </w:p>
    <w:p w:rsidR="00697BCD" w:rsidRDefault="00697BCD" w:rsidP="00697BCD">
      <w:proofErr w:type="spellStart"/>
      <w:r>
        <w:t>TasNetworks</w:t>
      </w:r>
      <w:proofErr w:type="spellEnd"/>
      <w:r>
        <w:t xml:space="preserve"> is the only electricity distributor in Tasmania, and Aurora Energy remains the only electricity retailer for residential customers. As fewer than around 5 per cent of Tasmanian households have gas, we do not undertake an analysis of gas prices in this report. </w:t>
      </w:r>
    </w:p>
    <w:p w:rsidR="00697BCD" w:rsidRDefault="00697BCD" w:rsidP="00697BCD">
      <w:r>
        <w:t>From 1 July 2014, electricity customers could choose to enter a market retail contract with Aurora Energy, or with a potential new entrant retailer. Customers could also choose to remain on the regulated standard retail contract. As at 30 June 2016, no new retailer had entered the Tasmanian electricity market, and with active competition yet to be fully realised in Tasmania, Aurora Energy’s customers remained on standard retail contracts under regulated prices.</w:t>
      </w:r>
      <w:r w:rsidRPr="009D1DEC">
        <w:rPr>
          <w:rStyle w:val="Superscript"/>
        </w:rPr>
        <w:footnoteReference w:id="44"/>
      </w:r>
      <w:r>
        <w:t xml:space="preserve"> </w:t>
      </w:r>
    </w:p>
    <w:p w:rsidR="00697BCD" w:rsidRDefault="00697BCD" w:rsidP="00697BCD">
      <w:pPr>
        <w:rPr>
          <w:rStyle w:val="Superscript"/>
        </w:rPr>
      </w:pPr>
      <w:r>
        <w:t>Eligible customers in Tasmania can receive a rebate of 132.56 cents per day (around $484 per year) towards their electricity bills.</w:t>
      </w:r>
      <w:r w:rsidRPr="009D1DEC">
        <w:rPr>
          <w:rStyle w:val="Superscript"/>
        </w:rPr>
        <w:footnoteReference w:id="45"/>
      </w:r>
    </w:p>
    <w:p w:rsidR="00697BCD" w:rsidRDefault="00697BCD" w:rsidP="00697BCD">
      <w:r>
        <w:t>Figure 3.15 shows the impact of this concession on the annual electricity bills of residential customers on the standing offer.</w:t>
      </w:r>
    </w:p>
    <w:p w:rsidR="00697BCD" w:rsidRDefault="00697BCD" w:rsidP="000F3A56">
      <w:pPr>
        <w:pStyle w:val="Charttitle"/>
      </w:pPr>
      <w:r>
        <w:lastRenderedPageBreak/>
        <w:t>Figure 3.15:</w:t>
      </w:r>
      <w:r>
        <w:tab/>
        <w:t>Annual electricity bills, and as a share of disposable income for a benchmark low income household (6500 kWh, June)</w:t>
      </w:r>
    </w:p>
    <w:p w:rsidR="00697BCD" w:rsidRDefault="00EC4210">
      <w:r>
        <w:pict>
          <v:shape id="_x0000_i1054" type="#_x0000_t75" alt="For a low income household receiving the energy concession, the annual electricity bill was $1480. Electricity bills represented a relatively high proportion of a low income household’s disposable income, at 6.4 per cent (or 8.5 per cent if it did not receive a concession)." style="width:471.25pt;height:167.4pt">
            <v:imagedata r:id="rId43" o:title=""/>
          </v:shape>
        </w:pict>
      </w:r>
    </w:p>
    <w:p w:rsidR="00697BCD" w:rsidRDefault="00697BCD" w:rsidP="00697BCD">
      <w:r>
        <w:t>The annual electricity bill for a low income household (on the standing offer) is $1964, (or $1480 with the concession). While this is an increase of 2 per cent from 2015 (or 1 per cent with a concession), it is still less than the amount similar sized households were paying in 2014. Electricity bills represented a relatively high proportion of a low income household’s disposable income, at a steady 6.4 per cent (or 8.5 per cent without a concession).</w:t>
      </w:r>
    </w:p>
    <w:p w:rsidR="00697BCD" w:rsidRDefault="00697BCD" w:rsidP="00697BCD">
      <w:r>
        <w:t>It is not surprising to see that Tasmanian households have higher electricity bills relative to other jurisdictions, as only a small proportion of households are connected to gas and the cooler climate typically demands greater electricity use for heating.</w:t>
      </w:r>
    </w:p>
    <w:p w:rsidR="00697BCD" w:rsidRDefault="00697BCD" w:rsidP="00697BCD">
      <w:r>
        <w:t xml:space="preserve">Consistent with last year’s findings, a middle income household using a typical 8800 kWh per annum in Tasmania spent 4.3 per cent of its disposable income on electricity bills. This same usage would account for 1.7 per cent of a high income household’s disposable income (table 3.9). </w:t>
      </w:r>
    </w:p>
    <w:p w:rsidR="00697BCD" w:rsidRDefault="00697BCD" w:rsidP="00697BCD">
      <w:pPr>
        <w:pStyle w:val="Tabletitle"/>
      </w:pPr>
      <w:r>
        <w:t>Table 3.9:</w:t>
      </w:r>
      <w:r>
        <w:tab/>
        <w:t>Summary of annual electricity bills (for the standing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79"/>
        <w:gridCol w:w="2151"/>
        <w:gridCol w:w="2149"/>
        <w:gridCol w:w="2149"/>
      </w:tblGrid>
      <w:tr w:rsidR="00697BCD" w:rsidRPr="00391B03" w:rsidTr="00391B03">
        <w:trPr>
          <w:trHeight w:val="60"/>
        </w:trPr>
        <w:tc>
          <w:tcPr>
            <w:tcW w:w="1651" w:type="pct"/>
            <w:shd w:val="clear" w:color="auto" w:fill="auto"/>
          </w:tcPr>
          <w:p w:rsidR="00697BCD" w:rsidRPr="00391B03" w:rsidRDefault="00697BCD" w:rsidP="006B1E9F">
            <w:pPr>
              <w:pStyle w:val="TableHeading"/>
            </w:pPr>
            <w:r w:rsidRPr="00391B03">
              <w:t>Income level</w:t>
            </w:r>
          </w:p>
        </w:tc>
        <w:tc>
          <w:tcPr>
            <w:tcW w:w="1117" w:type="pct"/>
            <w:shd w:val="clear" w:color="auto" w:fill="auto"/>
          </w:tcPr>
          <w:p w:rsidR="00697BCD" w:rsidRPr="00391B03" w:rsidRDefault="00697BCD" w:rsidP="006B1E9F">
            <w:pPr>
              <w:pStyle w:val="TableHeading"/>
            </w:pPr>
            <w:r w:rsidRPr="00391B03">
              <w:t>Annual consumption</w:t>
            </w:r>
          </w:p>
        </w:tc>
        <w:tc>
          <w:tcPr>
            <w:tcW w:w="1116" w:type="pct"/>
            <w:shd w:val="clear" w:color="auto" w:fill="auto"/>
          </w:tcPr>
          <w:p w:rsidR="00697BCD" w:rsidRDefault="00697BCD" w:rsidP="006B1E9F">
            <w:pPr>
              <w:pStyle w:val="TableHeading-right"/>
            </w:pPr>
            <w:r>
              <w:t xml:space="preserve">Annual bill ($) </w:t>
            </w:r>
          </w:p>
        </w:tc>
        <w:tc>
          <w:tcPr>
            <w:tcW w:w="1117" w:type="pct"/>
            <w:shd w:val="clear" w:color="auto" w:fill="auto"/>
          </w:tcPr>
          <w:p w:rsidR="00697BCD" w:rsidRDefault="00697BCD" w:rsidP="006B1E9F">
            <w:pPr>
              <w:pStyle w:val="TableHeading-right"/>
            </w:pPr>
            <w:r>
              <w:t>Proportion of annual income (%)</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Electricity 6500 kWh</w:t>
            </w:r>
          </w:p>
        </w:tc>
        <w:tc>
          <w:tcPr>
            <w:tcW w:w="1116" w:type="pct"/>
            <w:shd w:val="clear" w:color="auto" w:fill="auto"/>
          </w:tcPr>
          <w:p w:rsidR="00697BCD" w:rsidRDefault="00697BCD" w:rsidP="00624E11">
            <w:pPr>
              <w:pStyle w:val="Tabletext-right"/>
            </w:pPr>
            <w:r>
              <w:t>1 480</w:t>
            </w:r>
          </w:p>
        </w:tc>
        <w:tc>
          <w:tcPr>
            <w:tcW w:w="1117" w:type="pct"/>
            <w:shd w:val="clear" w:color="auto" w:fill="auto"/>
          </w:tcPr>
          <w:p w:rsidR="00697BCD" w:rsidRDefault="00697BCD" w:rsidP="00624E11">
            <w:pPr>
              <w:pStyle w:val="Tabletext-right"/>
            </w:pPr>
            <w:r>
              <w:t>6.4</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Electricity 6500 kWh</w:t>
            </w:r>
          </w:p>
        </w:tc>
        <w:tc>
          <w:tcPr>
            <w:tcW w:w="1116" w:type="pct"/>
            <w:shd w:val="clear" w:color="auto" w:fill="auto"/>
          </w:tcPr>
          <w:p w:rsidR="00697BCD" w:rsidRDefault="00697BCD" w:rsidP="00624E11">
            <w:pPr>
              <w:pStyle w:val="Tabletext-right"/>
            </w:pPr>
            <w:r>
              <w:t xml:space="preserve"> 1 964</w:t>
            </w:r>
          </w:p>
        </w:tc>
        <w:tc>
          <w:tcPr>
            <w:tcW w:w="1117" w:type="pct"/>
            <w:shd w:val="clear" w:color="auto" w:fill="auto"/>
          </w:tcPr>
          <w:p w:rsidR="00697BCD" w:rsidRDefault="00697BCD" w:rsidP="00624E11">
            <w:pPr>
              <w:pStyle w:val="Tabletext-right"/>
            </w:pPr>
            <w:r>
              <w:t>8.5</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Electricity 8800 kWh</w:t>
            </w:r>
          </w:p>
        </w:tc>
        <w:tc>
          <w:tcPr>
            <w:tcW w:w="1116" w:type="pct"/>
            <w:shd w:val="clear" w:color="auto" w:fill="auto"/>
          </w:tcPr>
          <w:p w:rsidR="00697BCD" w:rsidRDefault="00697BCD" w:rsidP="00624E11">
            <w:pPr>
              <w:pStyle w:val="Tabletext-right"/>
            </w:pPr>
            <w:r>
              <w:t>2 544</w:t>
            </w:r>
          </w:p>
        </w:tc>
        <w:tc>
          <w:tcPr>
            <w:tcW w:w="1117" w:type="pct"/>
            <w:shd w:val="clear" w:color="auto" w:fill="auto"/>
          </w:tcPr>
          <w:p w:rsidR="00697BCD" w:rsidRDefault="00697BCD" w:rsidP="00624E11">
            <w:pPr>
              <w:pStyle w:val="Tabletext-right"/>
            </w:pPr>
            <w:r>
              <w:t>4.3</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Electricity 8800 kWh</w:t>
            </w:r>
          </w:p>
        </w:tc>
        <w:tc>
          <w:tcPr>
            <w:tcW w:w="1116" w:type="pct"/>
            <w:shd w:val="clear" w:color="auto" w:fill="auto"/>
          </w:tcPr>
          <w:p w:rsidR="00697BCD" w:rsidRDefault="00697BCD" w:rsidP="00624E11">
            <w:pPr>
              <w:pStyle w:val="Tabletext-right"/>
            </w:pPr>
            <w:r>
              <w:t>2 544</w:t>
            </w:r>
          </w:p>
        </w:tc>
        <w:tc>
          <w:tcPr>
            <w:tcW w:w="1117" w:type="pct"/>
            <w:shd w:val="clear" w:color="auto" w:fill="auto"/>
          </w:tcPr>
          <w:p w:rsidR="00697BCD" w:rsidRDefault="00697BCD" w:rsidP="00624E11">
            <w:pPr>
              <w:pStyle w:val="Tabletext-right"/>
            </w:pPr>
            <w:r>
              <w:t>1.7</w:t>
            </w:r>
          </w:p>
        </w:tc>
      </w:tr>
    </w:tbl>
    <w:p w:rsidR="00697BCD" w:rsidRDefault="00697BCD"/>
    <w:p w:rsidR="00697BCD" w:rsidRDefault="00697BCD" w:rsidP="000F3A56">
      <w:pPr>
        <w:pStyle w:val="Numbered111"/>
      </w:pPr>
      <w:bookmarkStart w:id="55" w:name="_Toc467665339"/>
      <w:r>
        <w:t>Composition of energy bills and impact of concessions</w:t>
      </w:r>
      <w:bookmarkEnd w:id="55"/>
    </w:p>
    <w:p w:rsidR="00697BCD" w:rsidRDefault="00697BCD" w:rsidP="00697BCD">
      <w:r>
        <w:t xml:space="preserve">Table 3.10 shows the portions of low income household electricity bills attributed to daily supply charges and energy use charges, as well as the savings provided by energy concessions. </w:t>
      </w:r>
    </w:p>
    <w:p w:rsidR="00697BCD" w:rsidRDefault="00697BCD" w:rsidP="00697BCD">
      <w:r>
        <w:t xml:space="preserve">Daily supply charges for electricity were $326 per annum in 2016, which represents 17 per cent of a low income household’s annual electricity bill and 1.4 per cent of its disposable income, which is consistent with 2015. </w:t>
      </w:r>
    </w:p>
    <w:p w:rsidR="00697BCD" w:rsidRDefault="00697BCD" w:rsidP="00697BCD">
      <w:r>
        <w:t xml:space="preserve">Energy concessions help eligible customers save around 25 per cent ($484) on electricity. </w:t>
      </w:r>
    </w:p>
    <w:p w:rsidR="00697BCD" w:rsidRDefault="00697BCD" w:rsidP="00697BCD">
      <w:pPr>
        <w:pStyle w:val="Tabletitle"/>
      </w:pPr>
      <w:r>
        <w:lastRenderedPageBreak/>
        <w:t>Table 3.10:</w:t>
      </w:r>
      <w:r>
        <w:tab/>
        <w:t>Composition of low income household energy bills (regulated offer)</w:t>
      </w:r>
    </w:p>
    <w:tbl>
      <w:tblPr>
        <w:tblW w:w="5000" w:type="pct"/>
        <w:tblBorders>
          <w:top w:val="single" w:sz="4" w:space="0" w:color="BFBFBF"/>
          <w:bottom w:val="single" w:sz="4" w:space="0" w:color="BFBFBF"/>
        </w:tblBorders>
        <w:tblLook w:val="0000" w:firstRow="0" w:lastRow="0" w:firstColumn="0" w:lastColumn="0" w:noHBand="0" w:noVBand="0"/>
      </w:tblPr>
      <w:tblGrid>
        <w:gridCol w:w="2676"/>
        <w:gridCol w:w="1737"/>
        <w:gridCol w:w="1739"/>
        <w:gridCol w:w="1737"/>
        <w:gridCol w:w="1739"/>
      </w:tblGrid>
      <w:tr w:rsidR="00697BCD" w:rsidRPr="00391B03" w:rsidTr="00391B03">
        <w:trPr>
          <w:trHeight w:val="60"/>
        </w:trPr>
        <w:tc>
          <w:tcPr>
            <w:tcW w:w="1389" w:type="pct"/>
            <w:shd w:val="clear" w:color="auto" w:fill="auto"/>
          </w:tcPr>
          <w:p w:rsidR="00697BCD" w:rsidRPr="00391B03" w:rsidRDefault="00697BCD" w:rsidP="006B1E9F">
            <w:pPr>
              <w:pStyle w:val="TableHeading"/>
            </w:pPr>
            <w:r w:rsidRPr="00391B03">
              <w:t>Fuel type—consumption</w:t>
            </w:r>
          </w:p>
        </w:tc>
        <w:tc>
          <w:tcPr>
            <w:tcW w:w="902" w:type="pct"/>
            <w:shd w:val="clear" w:color="auto" w:fill="auto"/>
          </w:tcPr>
          <w:p w:rsidR="00697BCD" w:rsidRPr="00391B03" w:rsidRDefault="00697BCD" w:rsidP="006B1E9F">
            <w:pPr>
              <w:pStyle w:val="TableHeading"/>
            </w:pPr>
            <w:r w:rsidRPr="00391B03">
              <w:t>Year</w:t>
            </w:r>
          </w:p>
        </w:tc>
        <w:tc>
          <w:tcPr>
            <w:tcW w:w="903" w:type="pct"/>
            <w:shd w:val="clear" w:color="auto" w:fill="auto"/>
          </w:tcPr>
          <w:p w:rsidR="00697BCD" w:rsidRPr="00391B03" w:rsidRDefault="00697BCD" w:rsidP="006B1E9F">
            <w:pPr>
              <w:pStyle w:val="TableHeading"/>
            </w:pPr>
            <w:r w:rsidRPr="00391B03">
              <w:t>Daily supply</w:t>
            </w:r>
            <w:r w:rsidRPr="00391B03">
              <w:br/>
              <w:t>charges (%)</w:t>
            </w:r>
          </w:p>
        </w:tc>
        <w:tc>
          <w:tcPr>
            <w:tcW w:w="902" w:type="pct"/>
            <w:shd w:val="clear" w:color="auto" w:fill="auto"/>
          </w:tcPr>
          <w:p w:rsidR="00697BCD" w:rsidRPr="00391B03" w:rsidRDefault="00697BCD" w:rsidP="006B1E9F">
            <w:pPr>
              <w:pStyle w:val="TableHeading"/>
            </w:pPr>
            <w:r w:rsidRPr="00391B03">
              <w:t>Energy use</w:t>
            </w:r>
            <w:r w:rsidRPr="00391B03">
              <w:br/>
              <w:t>charges (%)</w:t>
            </w:r>
          </w:p>
        </w:tc>
        <w:tc>
          <w:tcPr>
            <w:tcW w:w="903" w:type="pct"/>
            <w:shd w:val="clear" w:color="auto" w:fill="auto"/>
          </w:tcPr>
          <w:p w:rsidR="00697BCD" w:rsidRPr="00391B03" w:rsidRDefault="00697BCD" w:rsidP="006B1E9F">
            <w:pPr>
              <w:pStyle w:val="TableHeading"/>
            </w:pPr>
            <w:r w:rsidRPr="00391B03">
              <w:t>Saving with concession (%)</w:t>
            </w:r>
          </w:p>
        </w:tc>
      </w:tr>
      <w:tr w:rsidR="00697BCD" w:rsidRPr="00391B03" w:rsidTr="00391B03">
        <w:trPr>
          <w:trHeight w:val="60"/>
        </w:trPr>
        <w:tc>
          <w:tcPr>
            <w:tcW w:w="1389" w:type="pct"/>
            <w:shd w:val="clear" w:color="auto" w:fill="auto"/>
          </w:tcPr>
          <w:p w:rsidR="00697BCD" w:rsidRPr="00391B03" w:rsidRDefault="00697BCD" w:rsidP="00624E11">
            <w:pPr>
              <w:pStyle w:val="Tabletext"/>
            </w:pPr>
            <w:r w:rsidRPr="00391B03">
              <w:t>Electricity—6500 kWh</w:t>
            </w:r>
          </w:p>
        </w:tc>
        <w:tc>
          <w:tcPr>
            <w:tcW w:w="902" w:type="pct"/>
            <w:shd w:val="clear" w:color="auto" w:fill="auto"/>
          </w:tcPr>
          <w:p w:rsidR="00697BCD" w:rsidRPr="00391B03" w:rsidRDefault="00697BCD" w:rsidP="00624E11">
            <w:pPr>
              <w:pStyle w:val="Tabletext"/>
            </w:pPr>
            <w:r w:rsidRPr="00391B03">
              <w:t>2013</w:t>
            </w:r>
          </w:p>
        </w:tc>
        <w:tc>
          <w:tcPr>
            <w:tcW w:w="903" w:type="pct"/>
            <w:shd w:val="clear" w:color="auto" w:fill="auto"/>
          </w:tcPr>
          <w:p w:rsidR="00697BCD" w:rsidRPr="00391B03" w:rsidRDefault="00697BCD" w:rsidP="00624E11">
            <w:pPr>
              <w:pStyle w:val="Tabletext"/>
            </w:pPr>
            <w:r w:rsidRPr="00391B03">
              <w:t>16.6</w:t>
            </w:r>
          </w:p>
        </w:tc>
        <w:tc>
          <w:tcPr>
            <w:tcW w:w="902" w:type="pct"/>
            <w:shd w:val="clear" w:color="auto" w:fill="auto"/>
          </w:tcPr>
          <w:p w:rsidR="00697BCD" w:rsidRPr="00391B03" w:rsidRDefault="00697BCD" w:rsidP="00624E11">
            <w:pPr>
              <w:pStyle w:val="Tabletext"/>
            </w:pPr>
            <w:r w:rsidRPr="00391B03">
              <w:t>83.4</w:t>
            </w:r>
          </w:p>
        </w:tc>
        <w:tc>
          <w:tcPr>
            <w:tcW w:w="903" w:type="pct"/>
            <w:shd w:val="clear" w:color="auto" w:fill="auto"/>
          </w:tcPr>
          <w:p w:rsidR="00697BCD" w:rsidRPr="00391B03" w:rsidRDefault="00697BCD" w:rsidP="00624E11">
            <w:pPr>
              <w:pStyle w:val="Tabletext"/>
            </w:pPr>
            <w:r w:rsidRPr="00391B03">
              <w:t>20.8</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Pr="00391B03" w:rsidRDefault="00697BCD" w:rsidP="00624E11">
            <w:pPr>
              <w:pStyle w:val="Tabletext"/>
            </w:pPr>
            <w:r w:rsidRPr="00391B03">
              <w:t>2014</w:t>
            </w:r>
          </w:p>
        </w:tc>
        <w:tc>
          <w:tcPr>
            <w:tcW w:w="903" w:type="pct"/>
            <w:shd w:val="clear" w:color="auto" w:fill="auto"/>
          </w:tcPr>
          <w:p w:rsidR="00697BCD" w:rsidRPr="00391B03" w:rsidRDefault="00697BCD" w:rsidP="00624E11">
            <w:pPr>
              <w:pStyle w:val="Tabletext"/>
            </w:pPr>
            <w:r w:rsidRPr="00391B03">
              <w:t>16.6</w:t>
            </w:r>
          </w:p>
        </w:tc>
        <w:tc>
          <w:tcPr>
            <w:tcW w:w="902" w:type="pct"/>
            <w:shd w:val="clear" w:color="auto" w:fill="auto"/>
          </w:tcPr>
          <w:p w:rsidR="00697BCD" w:rsidRPr="00391B03" w:rsidRDefault="00697BCD" w:rsidP="00624E11">
            <w:pPr>
              <w:pStyle w:val="Tabletext"/>
            </w:pPr>
            <w:r w:rsidRPr="00391B03">
              <w:t>83.4</w:t>
            </w:r>
          </w:p>
        </w:tc>
        <w:tc>
          <w:tcPr>
            <w:tcW w:w="903" w:type="pct"/>
            <w:shd w:val="clear" w:color="auto" w:fill="auto"/>
          </w:tcPr>
          <w:p w:rsidR="00697BCD" w:rsidRPr="00391B03" w:rsidRDefault="00697BCD" w:rsidP="00624E11">
            <w:pPr>
              <w:pStyle w:val="Tabletext"/>
            </w:pPr>
            <w:r w:rsidRPr="00391B03">
              <w:t>22.0</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Pr="00391B03" w:rsidRDefault="00697BCD" w:rsidP="00624E11">
            <w:pPr>
              <w:pStyle w:val="Tabletext"/>
            </w:pPr>
            <w:r w:rsidRPr="00391B03">
              <w:t>2015</w:t>
            </w:r>
          </w:p>
        </w:tc>
        <w:tc>
          <w:tcPr>
            <w:tcW w:w="903" w:type="pct"/>
            <w:shd w:val="clear" w:color="auto" w:fill="auto"/>
          </w:tcPr>
          <w:p w:rsidR="00697BCD" w:rsidRPr="00391B03" w:rsidRDefault="00697BCD" w:rsidP="00624E11">
            <w:pPr>
              <w:pStyle w:val="Tabletext"/>
            </w:pPr>
            <w:r w:rsidRPr="00391B03">
              <w:t>16.6</w:t>
            </w:r>
          </w:p>
        </w:tc>
        <w:tc>
          <w:tcPr>
            <w:tcW w:w="902" w:type="pct"/>
            <w:shd w:val="clear" w:color="auto" w:fill="auto"/>
          </w:tcPr>
          <w:p w:rsidR="00697BCD" w:rsidRPr="00391B03" w:rsidRDefault="00697BCD" w:rsidP="00624E11">
            <w:pPr>
              <w:pStyle w:val="Tabletext"/>
            </w:pPr>
            <w:r w:rsidRPr="00391B03">
              <w:t>83.4</w:t>
            </w:r>
          </w:p>
        </w:tc>
        <w:tc>
          <w:tcPr>
            <w:tcW w:w="903" w:type="pct"/>
            <w:shd w:val="clear" w:color="auto" w:fill="auto"/>
          </w:tcPr>
          <w:p w:rsidR="00697BCD" w:rsidRPr="00391B03" w:rsidRDefault="00697BCD" w:rsidP="00624E11">
            <w:pPr>
              <w:pStyle w:val="Tabletext"/>
            </w:pPr>
            <w:r w:rsidRPr="00391B03">
              <w:t>23.8</w:t>
            </w:r>
          </w:p>
        </w:tc>
      </w:tr>
      <w:tr w:rsidR="00697BCD" w:rsidRPr="00391B03" w:rsidTr="00391B03">
        <w:trPr>
          <w:trHeight w:val="60"/>
        </w:trPr>
        <w:tc>
          <w:tcPr>
            <w:tcW w:w="138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902" w:type="pct"/>
            <w:shd w:val="clear" w:color="auto" w:fill="auto"/>
          </w:tcPr>
          <w:p w:rsidR="00697BCD" w:rsidRPr="00391B03" w:rsidRDefault="00697BCD" w:rsidP="00624E11">
            <w:pPr>
              <w:pStyle w:val="Tabletext"/>
            </w:pPr>
            <w:r w:rsidRPr="00391B03">
              <w:t>2016</w:t>
            </w:r>
          </w:p>
        </w:tc>
        <w:tc>
          <w:tcPr>
            <w:tcW w:w="903" w:type="pct"/>
            <w:shd w:val="clear" w:color="auto" w:fill="auto"/>
          </w:tcPr>
          <w:p w:rsidR="00697BCD" w:rsidRPr="00391B03" w:rsidRDefault="00697BCD" w:rsidP="00624E11">
            <w:pPr>
              <w:pStyle w:val="Tabletext"/>
            </w:pPr>
            <w:r w:rsidRPr="00391B03">
              <w:t>16.6</w:t>
            </w:r>
          </w:p>
        </w:tc>
        <w:tc>
          <w:tcPr>
            <w:tcW w:w="902" w:type="pct"/>
            <w:shd w:val="clear" w:color="auto" w:fill="auto"/>
          </w:tcPr>
          <w:p w:rsidR="00697BCD" w:rsidRPr="00391B03" w:rsidRDefault="00697BCD" w:rsidP="00624E11">
            <w:pPr>
              <w:pStyle w:val="Tabletext"/>
            </w:pPr>
            <w:r w:rsidRPr="00391B03">
              <w:t>83.4</w:t>
            </w:r>
          </w:p>
        </w:tc>
        <w:tc>
          <w:tcPr>
            <w:tcW w:w="903" w:type="pct"/>
            <w:shd w:val="clear" w:color="auto" w:fill="auto"/>
          </w:tcPr>
          <w:p w:rsidR="00697BCD" w:rsidRPr="00391B03" w:rsidRDefault="00697BCD" w:rsidP="00624E11">
            <w:pPr>
              <w:pStyle w:val="Tabletext"/>
            </w:pPr>
            <w:r w:rsidRPr="00391B03">
              <w:t>24.6</w:t>
            </w:r>
          </w:p>
        </w:tc>
      </w:tr>
    </w:tbl>
    <w:p w:rsidR="00697BCD" w:rsidRDefault="00697BCD"/>
    <w:p w:rsidR="00697BCD" w:rsidRDefault="00697BCD" w:rsidP="000F3A56">
      <w:pPr>
        <w:pStyle w:val="Numbered11"/>
      </w:pPr>
      <w:bookmarkStart w:id="56" w:name="_Toc467665340"/>
      <w:r>
        <w:t>ACT</w:t>
      </w:r>
      <w:bookmarkEnd w:id="56"/>
    </w:p>
    <w:p w:rsidR="00697BCD" w:rsidRDefault="00697BCD" w:rsidP="000F3A56">
      <w:pPr>
        <w:pStyle w:val="Numbered111"/>
      </w:pPr>
      <w:bookmarkStart w:id="57" w:name="_Toc467665341"/>
      <w:r>
        <w:t>Energy prices and bills</w:t>
      </w:r>
      <w:bookmarkEnd w:id="57"/>
    </w:p>
    <w:p w:rsidR="00697BCD" w:rsidRDefault="00697BCD" w:rsidP="00697BCD">
      <w:r>
        <w:t xml:space="preserve">The ACT has </w:t>
      </w:r>
      <w:proofErr w:type="gramStart"/>
      <w:r>
        <w:t>one electricity</w:t>
      </w:r>
      <w:proofErr w:type="gramEnd"/>
      <w:r>
        <w:t xml:space="preserve"> and one gas distribution zone (both </w:t>
      </w:r>
      <w:proofErr w:type="spellStart"/>
      <w:r>
        <w:t>ActewAGL</w:t>
      </w:r>
      <w:proofErr w:type="spellEnd"/>
      <w:r>
        <w:t xml:space="preserve"> distribution). </w:t>
      </w:r>
      <w:proofErr w:type="spellStart"/>
      <w:r>
        <w:t>ActewAGL</w:t>
      </w:r>
      <w:proofErr w:type="spellEnd"/>
      <w:r>
        <w:t xml:space="preserve"> Retail is the incumbent retailer for energy, water and telecommunications, and supplies around 93 per cent of residential electricity and gas customers. However with a further three retailers offering energy contracts to households in the ACT, customers are beginning to have a great range of offers to choose from. </w:t>
      </w:r>
    </w:p>
    <w:p w:rsidR="00697BCD" w:rsidRDefault="00697BCD" w:rsidP="00697BCD">
      <w:r>
        <w:t>Figure 3.16 shows the range in generally available electricity and gas offers in the ACT. The range for electricity offers was narrower than last year, with the cheapest market offer electricity ($1128) only $180 cheaper than the most expensive market offer ($1302), with the median market offer ($1203) and median standing offer ($1204) in between. Figure 3.16 also shows a range of $207 between the cheapest ($1481) and most expensive ($1688) gas bills.</w:t>
      </w:r>
    </w:p>
    <w:p w:rsidR="00697BCD" w:rsidRDefault="00697BCD" w:rsidP="000F3A56">
      <w:pPr>
        <w:pStyle w:val="Charttitle"/>
      </w:pPr>
      <w:r>
        <w:t>Figure 3.16:</w:t>
      </w:r>
      <w:r>
        <w:tab/>
        <w:t>Range of generally available electricity and gas offers by distribution zone (5600 kWh and 48 000 MJ)—June 2016</w:t>
      </w:r>
    </w:p>
    <w:p w:rsidR="00697BCD" w:rsidRDefault="00EC4210" w:rsidP="00B5719C">
      <w:r>
        <w:pict>
          <v:shape id="_x0000_i1055" type="#_x0000_t75" alt="For electricity, the annual bill for the median standing offer was $1244, whilst the median market offer was $1203 ($41 cheaper). The median standing gas offer was $155 more expensive than the median market offer." style="width:469.4pt;height:284.25pt">
            <v:imagedata r:id="rId44" o:title=""/>
          </v:shape>
        </w:pict>
      </w:r>
    </w:p>
    <w:p w:rsidR="00697BCD" w:rsidRDefault="00697BCD" w:rsidP="000F3A56">
      <w:pPr>
        <w:pStyle w:val="Numbered111"/>
      </w:pPr>
      <w:bookmarkStart w:id="58" w:name="_Toc467665342"/>
      <w:r>
        <w:lastRenderedPageBreak/>
        <w:t>Electricity and gas bills as a percentage of income</w:t>
      </w:r>
      <w:bookmarkEnd w:id="58"/>
    </w:p>
    <w:p w:rsidR="00697BCD" w:rsidRDefault="00697BCD" w:rsidP="00697BCD">
      <w:r>
        <w:t>The main energy concession available in the ACT is for both electricity and gas and is calculated daily, with rates depending on the season.</w:t>
      </w:r>
      <w:r w:rsidRPr="009D1DEC">
        <w:rPr>
          <w:rStyle w:val="Superscript"/>
        </w:rPr>
        <w:footnoteReference w:id="46"/>
      </w:r>
      <w:r>
        <w:t xml:space="preserve"> The annual rebate amount in 2015–16 was $338.21. There is also the Utility Concession which can be used towards electricity, gas and water bills, and provided a maximum rebate of $88.25 in 2015–16. </w:t>
      </w:r>
    </w:p>
    <w:p w:rsidR="00697BCD" w:rsidRDefault="00697BCD" w:rsidP="00697BCD">
      <w:r>
        <w:t xml:space="preserve">Consistent with our approach in previous years, we have assumed that eligible customers applied half the energy concession toward their electricity bill and half towards their gas bill ($169.11 each). We assumed that the utility concession was equally divided into thirds across a customer’s electricity, gas and water bills ($29.41 each). We therefore used $198.52 to represent the value of an annual concession for each of electricity and gas bills (figure 3.17). </w:t>
      </w:r>
    </w:p>
    <w:p w:rsidR="00697BCD" w:rsidRDefault="00697BCD" w:rsidP="000F3A56">
      <w:pPr>
        <w:pStyle w:val="Charttitle"/>
      </w:pPr>
      <w:r>
        <w:t>Figure 3.17:</w:t>
      </w:r>
      <w:r>
        <w:tab/>
        <w:t>Annual electricity and gas bills, and as a share of disposable income for a benchmark low income household (5600 kWh and 48 000 MJ, June)</w:t>
      </w:r>
    </w:p>
    <w:p w:rsidR="00697BCD" w:rsidRDefault="00EC4210" w:rsidP="000F3A56">
      <w:pPr>
        <w:pStyle w:val="Charttitle"/>
      </w:pPr>
      <w:r>
        <w:pict>
          <v:shape id="_x0000_i1056" type="#_x0000_t75" alt="The annual electricity bill was $1203 for a low income household on the median market offer (or $1004 with a concession). The annual bill for the median standing offer was greater, at $1244 (or $1045 with a concession). A low income household on the median market offer and receiving an energy concession would spend 3 per cent of its disposable income on electricity (or 3.6 per cent without a concession). For the median standing offer, the annual electricity bill would comprise 3.1 per cent of a low income household’s disposable income (receiving a concession), or 3.7 per cent without a concession.&#10;The annual gas bill was $1533 for a low income household on the median market offer (or $1334 with a concession). This represents 4.6 per cent of disposable income (4 per cent with a concession).&#10;" style="width:469.4pt;height:184.2pt">
            <v:imagedata r:id="rId45" o:title=""/>
          </v:shape>
        </w:pict>
      </w:r>
    </w:p>
    <w:p w:rsidR="00697BCD" w:rsidRDefault="00697BCD" w:rsidP="00697BCD">
      <w:r>
        <w:t>In 2015, fresh competition helped drive a marked fall in electricity bills in the ACT, particularly for households on market offers. While 2016 bills remain comparable to the previous year for households on the median market offer (0.25 per cent increase having fallen nearly 18 per cent the previous year), the annual bill on a standing offer decreased over 8 per cent (although still about $200 more than expensive than the median market offer). Going back to 2014 (and earlier) before more active competition, standing offers were, unusually, cheaper than market offers in the ACT.</w:t>
      </w:r>
    </w:p>
    <w:p w:rsidR="00697BCD" w:rsidRDefault="00697BCD" w:rsidP="00697BCD">
      <w:r>
        <w:t>For a low income household on the median market, the annual bill in 2016 would be $1203 (3.6 per cent of income) without a concession, or $1004 (or 3 per cent) with a concession. Low income households on the standing offer would be paying about $200 more.</w:t>
      </w:r>
    </w:p>
    <w:p w:rsidR="00697BCD" w:rsidRDefault="00697BCD" w:rsidP="00697BCD">
      <w:r>
        <w:t xml:space="preserve">Like electricity bills, gas bills have fluctuated in the ACT in recent years, with standing offers and market offers not necessarily trending together. In 2016, the annual gas bill was $1533 for a low income household on the median market offer (or $1334 with a concession)—less than 0.1 per cent different to last year. This represents 4.6 per cent of disposable income (4 per cent with a concession). </w:t>
      </w:r>
    </w:p>
    <w:p w:rsidR="00697BCD" w:rsidRDefault="00697BCD" w:rsidP="00697BCD">
      <w:r>
        <w:t xml:space="preserve">A middle income household using 7500 kWh per annum in the ACT spent 1.5 per cent of its disposable income on electricity. For a high income household, that usage would account for 0.7 per cent of a high income household’s disposable income (table 3.11). </w:t>
      </w:r>
    </w:p>
    <w:p w:rsidR="00697BCD" w:rsidRDefault="00697BCD" w:rsidP="00697BCD">
      <w:pPr>
        <w:pStyle w:val="Tabletitle"/>
      </w:pPr>
      <w:r>
        <w:lastRenderedPageBreak/>
        <w:t>Table 3.11:</w:t>
      </w:r>
      <w:r>
        <w:tab/>
        <w:t>Summary of annual electricity and gas bills (for the median market offer) and as a share of disposable income—June 2016</w:t>
      </w:r>
    </w:p>
    <w:tbl>
      <w:tblPr>
        <w:tblW w:w="5000" w:type="pct"/>
        <w:tblBorders>
          <w:top w:val="single" w:sz="4" w:space="0" w:color="BFBFBF"/>
          <w:bottom w:val="single" w:sz="4" w:space="0" w:color="BFBFBF"/>
        </w:tblBorders>
        <w:tblLook w:val="0000" w:firstRow="0" w:lastRow="0" w:firstColumn="0" w:lastColumn="0" w:noHBand="0" w:noVBand="0"/>
      </w:tblPr>
      <w:tblGrid>
        <w:gridCol w:w="3179"/>
        <w:gridCol w:w="2151"/>
        <w:gridCol w:w="2149"/>
        <w:gridCol w:w="2149"/>
      </w:tblGrid>
      <w:tr w:rsidR="00697BCD" w:rsidRPr="00391B03" w:rsidTr="00391B03">
        <w:trPr>
          <w:trHeight w:val="60"/>
        </w:trPr>
        <w:tc>
          <w:tcPr>
            <w:tcW w:w="1651" w:type="pct"/>
            <w:shd w:val="clear" w:color="auto" w:fill="auto"/>
          </w:tcPr>
          <w:p w:rsidR="00697BCD" w:rsidRPr="00391B03" w:rsidRDefault="00697BCD" w:rsidP="006B1E9F">
            <w:pPr>
              <w:pStyle w:val="TableHeading"/>
            </w:pPr>
            <w:r w:rsidRPr="00391B03">
              <w:t>Income level</w:t>
            </w:r>
          </w:p>
        </w:tc>
        <w:tc>
          <w:tcPr>
            <w:tcW w:w="1117" w:type="pct"/>
            <w:shd w:val="clear" w:color="auto" w:fill="auto"/>
          </w:tcPr>
          <w:p w:rsidR="00697BCD" w:rsidRPr="00391B03" w:rsidRDefault="00697BCD" w:rsidP="00B5719C">
            <w:pPr>
              <w:pStyle w:val="TableHeading"/>
            </w:pPr>
            <w:r w:rsidRPr="00391B03">
              <w:t>Annual consumption</w:t>
            </w:r>
          </w:p>
        </w:tc>
        <w:tc>
          <w:tcPr>
            <w:tcW w:w="1116" w:type="pct"/>
            <w:shd w:val="clear" w:color="auto" w:fill="auto"/>
          </w:tcPr>
          <w:p w:rsidR="00697BCD" w:rsidRDefault="00697BCD" w:rsidP="00B5719C">
            <w:pPr>
              <w:pStyle w:val="TableHeading-right"/>
            </w:pPr>
            <w:r>
              <w:t xml:space="preserve">Annual bill ($) </w:t>
            </w:r>
          </w:p>
        </w:tc>
        <w:tc>
          <w:tcPr>
            <w:tcW w:w="1117" w:type="pct"/>
            <w:shd w:val="clear" w:color="auto" w:fill="auto"/>
          </w:tcPr>
          <w:p w:rsidR="00697BCD" w:rsidRDefault="00697BCD" w:rsidP="00B5719C">
            <w:pPr>
              <w:pStyle w:val="TableHeading-right"/>
            </w:pPr>
            <w:r>
              <w:t>Proportion of annual income (%)</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Electricity 5600 kWh</w:t>
            </w:r>
          </w:p>
        </w:tc>
        <w:tc>
          <w:tcPr>
            <w:tcW w:w="1116" w:type="pct"/>
            <w:shd w:val="clear" w:color="auto" w:fill="auto"/>
          </w:tcPr>
          <w:p w:rsidR="00697BCD" w:rsidRDefault="00697BCD" w:rsidP="00624E11">
            <w:pPr>
              <w:pStyle w:val="Tabletext-right"/>
            </w:pPr>
            <w:r>
              <w:t>1004</w:t>
            </w:r>
          </w:p>
        </w:tc>
        <w:tc>
          <w:tcPr>
            <w:tcW w:w="1117" w:type="pct"/>
            <w:shd w:val="clear" w:color="auto" w:fill="auto"/>
          </w:tcPr>
          <w:p w:rsidR="00697BCD" w:rsidRDefault="00697BCD" w:rsidP="00624E11">
            <w:pPr>
              <w:pStyle w:val="Tabletext-right"/>
            </w:pPr>
            <w:r>
              <w:t>3.0</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Electricity 5600 kWh</w:t>
            </w:r>
          </w:p>
        </w:tc>
        <w:tc>
          <w:tcPr>
            <w:tcW w:w="1116" w:type="pct"/>
            <w:shd w:val="clear" w:color="auto" w:fill="auto"/>
          </w:tcPr>
          <w:p w:rsidR="00697BCD" w:rsidRDefault="00697BCD" w:rsidP="00624E11">
            <w:pPr>
              <w:pStyle w:val="Tabletext-right"/>
            </w:pPr>
            <w:r>
              <w:t>1203</w:t>
            </w:r>
          </w:p>
        </w:tc>
        <w:tc>
          <w:tcPr>
            <w:tcW w:w="1117" w:type="pct"/>
            <w:shd w:val="clear" w:color="auto" w:fill="auto"/>
          </w:tcPr>
          <w:p w:rsidR="00697BCD" w:rsidRDefault="00697BCD" w:rsidP="00624E11">
            <w:pPr>
              <w:pStyle w:val="Tabletext-right"/>
            </w:pPr>
            <w:r>
              <w:t>3.6</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Electricity 7500 kWh</w:t>
            </w:r>
          </w:p>
        </w:tc>
        <w:tc>
          <w:tcPr>
            <w:tcW w:w="1116" w:type="pct"/>
            <w:shd w:val="clear" w:color="auto" w:fill="auto"/>
          </w:tcPr>
          <w:p w:rsidR="00697BCD" w:rsidRDefault="00697BCD" w:rsidP="00624E11">
            <w:pPr>
              <w:pStyle w:val="Tabletext-right"/>
            </w:pPr>
            <w:r>
              <w:t>1457</w:t>
            </w:r>
          </w:p>
        </w:tc>
        <w:tc>
          <w:tcPr>
            <w:tcW w:w="1117" w:type="pct"/>
            <w:shd w:val="clear" w:color="auto" w:fill="auto"/>
          </w:tcPr>
          <w:p w:rsidR="00697BCD" w:rsidRDefault="00697BCD" w:rsidP="00624E11">
            <w:pPr>
              <w:pStyle w:val="Tabletext-right"/>
            </w:pPr>
            <w:r>
              <w:t>1.5</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Electricity 7500 kWh</w:t>
            </w:r>
          </w:p>
        </w:tc>
        <w:tc>
          <w:tcPr>
            <w:tcW w:w="1116" w:type="pct"/>
            <w:shd w:val="clear" w:color="auto" w:fill="auto"/>
          </w:tcPr>
          <w:p w:rsidR="00697BCD" w:rsidRDefault="00697BCD" w:rsidP="00624E11">
            <w:pPr>
              <w:pStyle w:val="Tabletext-right"/>
            </w:pPr>
            <w:r>
              <w:t>1457</w:t>
            </w:r>
          </w:p>
        </w:tc>
        <w:tc>
          <w:tcPr>
            <w:tcW w:w="1117" w:type="pct"/>
            <w:shd w:val="clear" w:color="auto" w:fill="auto"/>
          </w:tcPr>
          <w:p w:rsidR="00697BCD" w:rsidRDefault="00697BCD" w:rsidP="00624E11">
            <w:pPr>
              <w:pStyle w:val="Tabletext-right"/>
            </w:pPr>
            <w:r>
              <w:t>0.7</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 concession</w:t>
            </w:r>
          </w:p>
        </w:tc>
        <w:tc>
          <w:tcPr>
            <w:tcW w:w="1117" w:type="pct"/>
            <w:shd w:val="clear" w:color="auto" w:fill="auto"/>
          </w:tcPr>
          <w:p w:rsidR="00697BCD" w:rsidRPr="00391B03" w:rsidRDefault="00697BCD" w:rsidP="00624E11">
            <w:pPr>
              <w:pStyle w:val="Tabletext"/>
            </w:pPr>
            <w:r w:rsidRPr="00391B03">
              <w:t>Gas 48 000 MJ</w:t>
            </w:r>
          </w:p>
        </w:tc>
        <w:tc>
          <w:tcPr>
            <w:tcW w:w="1116" w:type="pct"/>
            <w:shd w:val="clear" w:color="auto" w:fill="auto"/>
          </w:tcPr>
          <w:p w:rsidR="00697BCD" w:rsidRDefault="00697BCD" w:rsidP="00624E11">
            <w:pPr>
              <w:pStyle w:val="Tabletext-right"/>
            </w:pPr>
            <w:r>
              <w:t>1334</w:t>
            </w:r>
          </w:p>
        </w:tc>
        <w:tc>
          <w:tcPr>
            <w:tcW w:w="1117" w:type="pct"/>
            <w:shd w:val="clear" w:color="auto" w:fill="auto"/>
          </w:tcPr>
          <w:p w:rsidR="00697BCD" w:rsidRDefault="00697BCD" w:rsidP="00624E11">
            <w:pPr>
              <w:pStyle w:val="Tabletext-right"/>
            </w:pPr>
            <w:r>
              <w:t>4.5</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Low income—without concession</w:t>
            </w:r>
          </w:p>
        </w:tc>
        <w:tc>
          <w:tcPr>
            <w:tcW w:w="1117" w:type="pct"/>
            <w:shd w:val="clear" w:color="auto" w:fill="auto"/>
          </w:tcPr>
          <w:p w:rsidR="00697BCD" w:rsidRPr="00391B03" w:rsidRDefault="00697BCD" w:rsidP="00624E11">
            <w:pPr>
              <w:pStyle w:val="Tabletext"/>
            </w:pPr>
            <w:r w:rsidRPr="00391B03">
              <w:t>Gas 48 000 MJ</w:t>
            </w:r>
          </w:p>
        </w:tc>
        <w:tc>
          <w:tcPr>
            <w:tcW w:w="1116" w:type="pct"/>
            <w:shd w:val="clear" w:color="auto" w:fill="auto"/>
          </w:tcPr>
          <w:p w:rsidR="00697BCD" w:rsidRDefault="00697BCD" w:rsidP="00624E11">
            <w:pPr>
              <w:pStyle w:val="Tabletext-right"/>
            </w:pPr>
            <w:r>
              <w:t>1533</w:t>
            </w:r>
          </w:p>
        </w:tc>
        <w:tc>
          <w:tcPr>
            <w:tcW w:w="1117" w:type="pct"/>
            <w:shd w:val="clear" w:color="auto" w:fill="auto"/>
          </w:tcPr>
          <w:p w:rsidR="00697BCD" w:rsidRDefault="00697BCD" w:rsidP="00624E11">
            <w:pPr>
              <w:pStyle w:val="Tabletext-right"/>
            </w:pPr>
            <w:r>
              <w:t>4.9</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Middle income</w:t>
            </w:r>
          </w:p>
        </w:tc>
        <w:tc>
          <w:tcPr>
            <w:tcW w:w="1117" w:type="pct"/>
            <w:shd w:val="clear" w:color="auto" w:fill="auto"/>
          </w:tcPr>
          <w:p w:rsidR="00697BCD" w:rsidRPr="00391B03" w:rsidRDefault="00697BCD" w:rsidP="00624E11">
            <w:pPr>
              <w:pStyle w:val="Tabletext"/>
            </w:pPr>
            <w:r w:rsidRPr="00391B03">
              <w:t>Gas 48 000 MJ</w:t>
            </w:r>
          </w:p>
        </w:tc>
        <w:tc>
          <w:tcPr>
            <w:tcW w:w="1116" w:type="pct"/>
            <w:shd w:val="clear" w:color="auto" w:fill="auto"/>
          </w:tcPr>
          <w:p w:rsidR="00697BCD" w:rsidRDefault="00697BCD" w:rsidP="00624E11">
            <w:pPr>
              <w:pStyle w:val="Tabletext-right"/>
            </w:pPr>
            <w:r>
              <w:t>1533</w:t>
            </w:r>
          </w:p>
        </w:tc>
        <w:tc>
          <w:tcPr>
            <w:tcW w:w="1117" w:type="pct"/>
            <w:shd w:val="clear" w:color="auto" w:fill="auto"/>
          </w:tcPr>
          <w:p w:rsidR="00697BCD" w:rsidRDefault="00697BCD" w:rsidP="00624E11">
            <w:pPr>
              <w:pStyle w:val="Tabletext-right"/>
            </w:pPr>
            <w:r>
              <w:t>1.5</w:t>
            </w:r>
          </w:p>
        </w:tc>
      </w:tr>
      <w:tr w:rsidR="00697BCD" w:rsidRPr="00391B03" w:rsidTr="00391B03">
        <w:trPr>
          <w:trHeight w:val="60"/>
        </w:trPr>
        <w:tc>
          <w:tcPr>
            <w:tcW w:w="1651" w:type="pct"/>
            <w:shd w:val="clear" w:color="auto" w:fill="auto"/>
          </w:tcPr>
          <w:p w:rsidR="00697BCD" w:rsidRPr="00391B03" w:rsidRDefault="00697BCD" w:rsidP="00624E11">
            <w:pPr>
              <w:pStyle w:val="Tabletext"/>
            </w:pPr>
            <w:r w:rsidRPr="00391B03">
              <w:t>High income</w:t>
            </w:r>
          </w:p>
        </w:tc>
        <w:tc>
          <w:tcPr>
            <w:tcW w:w="1117" w:type="pct"/>
            <w:shd w:val="clear" w:color="auto" w:fill="auto"/>
          </w:tcPr>
          <w:p w:rsidR="00697BCD" w:rsidRPr="00391B03" w:rsidRDefault="00697BCD" w:rsidP="00624E11">
            <w:pPr>
              <w:pStyle w:val="Tabletext"/>
            </w:pPr>
            <w:r w:rsidRPr="00391B03">
              <w:t>Gas 48 000 MJ</w:t>
            </w:r>
          </w:p>
        </w:tc>
        <w:tc>
          <w:tcPr>
            <w:tcW w:w="1116" w:type="pct"/>
            <w:shd w:val="clear" w:color="auto" w:fill="auto"/>
          </w:tcPr>
          <w:p w:rsidR="00697BCD" w:rsidRDefault="00697BCD" w:rsidP="00624E11">
            <w:pPr>
              <w:pStyle w:val="Tabletext-right"/>
            </w:pPr>
            <w:r>
              <w:t>1533</w:t>
            </w:r>
          </w:p>
        </w:tc>
        <w:tc>
          <w:tcPr>
            <w:tcW w:w="1117" w:type="pct"/>
            <w:shd w:val="clear" w:color="auto" w:fill="auto"/>
          </w:tcPr>
          <w:p w:rsidR="00697BCD" w:rsidRDefault="00697BCD" w:rsidP="00624E11">
            <w:pPr>
              <w:pStyle w:val="Tabletext-right"/>
            </w:pPr>
            <w:r>
              <w:t>0.7</w:t>
            </w:r>
          </w:p>
        </w:tc>
      </w:tr>
    </w:tbl>
    <w:p w:rsidR="00697BCD" w:rsidRDefault="00697BCD"/>
    <w:p w:rsidR="00697BCD" w:rsidRDefault="00697BCD" w:rsidP="000F3A56">
      <w:pPr>
        <w:pStyle w:val="Numbered111"/>
      </w:pPr>
      <w:bookmarkStart w:id="59" w:name="_Toc467665343"/>
      <w:r>
        <w:t>Composition of energy bills and impact of concessions</w:t>
      </w:r>
      <w:bookmarkEnd w:id="59"/>
    </w:p>
    <w:p w:rsidR="00697BCD" w:rsidRDefault="00697BCD" w:rsidP="00697BCD">
      <w:r>
        <w:t xml:space="preserve">Table 3.12 shows the portions of low income household energy bills attributed to daily supply charges and energy use charges, as well as the savings provided by energy concessions. </w:t>
      </w:r>
    </w:p>
    <w:p w:rsidR="00697BCD" w:rsidRDefault="00697BCD" w:rsidP="00697BCD">
      <w:r>
        <w:t xml:space="preserve">Daily supply charges for the median market electricity offer increased to $361 (from $319 the previous year) which represents 30 per cent of a low income household’s annual electricity bill and around 1 per cent of its disposable income. </w:t>
      </w:r>
    </w:p>
    <w:p w:rsidR="00697BCD" w:rsidRDefault="00697BCD" w:rsidP="00697BCD">
      <w:r>
        <w:t xml:space="preserve">Daily supply charges for gas were $280 per annum, which represents 18 per cent of a low income household’s annual gas bill and around 0.8 per cent of its disposable income. </w:t>
      </w:r>
    </w:p>
    <w:p w:rsidR="00697BCD" w:rsidRDefault="00697BCD" w:rsidP="00697BCD">
      <w:r>
        <w:t>Energy concessions help eligible customers save 17 per cent on electricity and 13 per cent on gas.</w:t>
      </w:r>
    </w:p>
    <w:p w:rsidR="00697BCD" w:rsidRDefault="00697BCD" w:rsidP="00697BCD">
      <w:pPr>
        <w:pStyle w:val="Tabletitle"/>
      </w:pPr>
      <w:r>
        <w:t>Table 3.12:</w:t>
      </w:r>
      <w:r>
        <w:tab/>
        <w:t>Composition of low income household energy bills (median market offer)</w:t>
      </w:r>
    </w:p>
    <w:tbl>
      <w:tblPr>
        <w:tblW w:w="5000" w:type="pct"/>
        <w:tblBorders>
          <w:top w:val="single" w:sz="4" w:space="0" w:color="BFBFBF"/>
          <w:bottom w:val="single" w:sz="4" w:space="0" w:color="BFBFBF"/>
        </w:tblBorders>
        <w:tblLook w:val="0000" w:firstRow="0" w:lastRow="0" w:firstColumn="0" w:lastColumn="0" w:noHBand="0" w:noVBand="0"/>
      </w:tblPr>
      <w:tblGrid>
        <w:gridCol w:w="2675"/>
        <w:gridCol w:w="905"/>
        <w:gridCol w:w="2016"/>
        <w:gridCol w:w="2016"/>
        <w:gridCol w:w="2016"/>
      </w:tblGrid>
      <w:tr w:rsidR="00697BCD" w:rsidRPr="00391B03" w:rsidTr="00391B03">
        <w:trPr>
          <w:trHeight w:val="60"/>
        </w:trPr>
        <w:tc>
          <w:tcPr>
            <w:tcW w:w="1389" w:type="pct"/>
            <w:shd w:val="clear" w:color="auto" w:fill="auto"/>
          </w:tcPr>
          <w:p w:rsidR="00697BCD" w:rsidRPr="00391B03" w:rsidRDefault="00697BCD" w:rsidP="006B1E9F">
            <w:pPr>
              <w:pStyle w:val="TableHeading"/>
            </w:pPr>
            <w:r w:rsidRPr="00391B03">
              <w:t>Fuel type—consumption</w:t>
            </w:r>
          </w:p>
        </w:tc>
        <w:tc>
          <w:tcPr>
            <w:tcW w:w="470" w:type="pct"/>
            <w:shd w:val="clear" w:color="auto" w:fill="auto"/>
          </w:tcPr>
          <w:p w:rsidR="00697BCD" w:rsidRDefault="00697BCD" w:rsidP="006B1E9F">
            <w:pPr>
              <w:pStyle w:val="TableHeading-right"/>
            </w:pPr>
            <w:r>
              <w:t>Year</w:t>
            </w:r>
          </w:p>
        </w:tc>
        <w:tc>
          <w:tcPr>
            <w:tcW w:w="1047" w:type="pct"/>
            <w:shd w:val="clear" w:color="auto" w:fill="auto"/>
          </w:tcPr>
          <w:p w:rsidR="00697BCD" w:rsidRDefault="00697BCD" w:rsidP="006B1E9F">
            <w:pPr>
              <w:pStyle w:val="TableHeading-right"/>
            </w:pPr>
            <w:r>
              <w:t>Daily supply</w:t>
            </w:r>
            <w:r>
              <w:br/>
              <w:t>charges (%)</w:t>
            </w:r>
          </w:p>
        </w:tc>
        <w:tc>
          <w:tcPr>
            <w:tcW w:w="1047" w:type="pct"/>
            <w:shd w:val="clear" w:color="auto" w:fill="auto"/>
          </w:tcPr>
          <w:p w:rsidR="00697BCD" w:rsidRDefault="00697BCD" w:rsidP="006B1E9F">
            <w:pPr>
              <w:pStyle w:val="TableHeading-right"/>
            </w:pPr>
            <w:r>
              <w:t>Energy use</w:t>
            </w:r>
            <w:r>
              <w:br/>
              <w:t>charges (%)</w:t>
            </w:r>
          </w:p>
        </w:tc>
        <w:tc>
          <w:tcPr>
            <w:tcW w:w="1047" w:type="pct"/>
            <w:shd w:val="clear" w:color="auto" w:fill="auto"/>
          </w:tcPr>
          <w:p w:rsidR="00697BCD" w:rsidRDefault="00697BCD" w:rsidP="006B1E9F">
            <w:pPr>
              <w:pStyle w:val="TableHeading-right"/>
            </w:pPr>
            <w:r>
              <w:t>Saving with</w:t>
            </w:r>
            <w:r>
              <w:br/>
              <w:t>concession (%)</w:t>
            </w:r>
          </w:p>
        </w:tc>
      </w:tr>
      <w:tr w:rsidR="00697BCD" w:rsidRPr="00391B03" w:rsidTr="00391B03">
        <w:trPr>
          <w:trHeight w:val="60"/>
        </w:trPr>
        <w:tc>
          <w:tcPr>
            <w:tcW w:w="1389" w:type="pct"/>
            <w:vMerge w:val="restart"/>
            <w:shd w:val="clear" w:color="auto" w:fill="auto"/>
          </w:tcPr>
          <w:p w:rsidR="00697BCD" w:rsidRPr="00391B03" w:rsidRDefault="00697BCD" w:rsidP="00624E11">
            <w:pPr>
              <w:pStyle w:val="Tabletext"/>
            </w:pPr>
            <w:r w:rsidRPr="00391B03">
              <w:t>Electricity—5600 kWh</w:t>
            </w:r>
          </w:p>
        </w:tc>
        <w:tc>
          <w:tcPr>
            <w:tcW w:w="470" w:type="pct"/>
            <w:shd w:val="clear" w:color="auto" w:fill="auto"/>
          </w:tcPr>
          <w:p w:rsidR="00697BCD" w:rsidRDefault="00697BCD" w:rsidP="00624E11">
            <w:pPr>
              <w:pStyle w:val="Tabletext-right"/>
            </w:pPr>
            <w:r>
              <w:t>2013</w:t>
            </w:r>
          </w:p>
        </w:tc>
        <w:tc>
          <w:tcPr>
            <w:tcW w:w="1047" w:type="pct"/>
            <w:shd w:val="clear" w:color="auto" w:fill="auto"/>
          </w:tcPr>
          <w:p w:rsidR="00697BCD" w:rsidRDefault="00697BCD" w:rsidP="00624E11">
            <w:pPr>
              <w:pStyle w:val="Tabletext-right"/>
            </w:pPr>
            <w:r>
              <w:t>29.0</w:t>
            </w:r>
          </w:p>
        </w:tc>
        <w:tc>
          <w:tcPr>
            <w:tcW w:w="1047" w:type="pct"/>
            <w:shd w:val="clear" w:color="auto" w:fill="auto"/>
          </w:tcPr>
          <w:p w:rsidR="00697BCD" w:rsidRDefault="00697BCD" w:rsidP="00624E11">
            <w:pPr>
              <w:pStyle w:val="Tabletext-right"/>
            </w:pPr>
            <w:r>
              <w:t>71.0</w:t>
            </w:r>
          </w:p>
        </w:tc>
        <w:tc>
          <w:tcPr>
            <w:tcW w:w="1047" w:type="pct"/>
            <w:shd w:val="clear" w:color="auto" w:fill="auto"/>
          </w:tcPr>
          <w:p w:rsidR="00697BCD" w:rsidRDefault="00697BCD" w:rsidP="00624E11">
            <w:pPr>
              <w:pStyle w:val="Tabletext-right"/>
            </w:pPr>
            <w:r>
              <w:t>12.8</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2014</w:t>
            </w:r>
          </w:p>
        </w:tc>
        <w:tc>
          <w:tcPr>
            <w:tcW w:w="1047" w:type="pct"/>
            <w:shd w:val="clear" w:color="auto" w:fill="auto"/>
          </w:tcPr>
          <w:p w:rsidR="00697BCD" w:rsidRDefault="00697BCD" w:rsidP="00624E11">
            <w:pPr>
              <w:pStyle w:val="Tabletext-right"/>
            </w:pPr>
            <w:r>
              <w:t>19.9</w:t>
            </w:r>
          </w:p>
        </w:tc>
        <w:tc>
          <w:tcPr>
            <w:tcW w:w="1047" w:type="pct"/>
            <w:shd w:val="clear" w:color="auto" w:fill="auto"/>
          </w:tcPr>
          <w:p w:rsidR="00697BCD" w:rsidRDefault="00697BCD" w:rsidP="00624E11">
            <w:pPr>
              <w:pStyle w:val="Tabletext-right"/>
            </w:pPr>
            <w:r>
              <w:t>80.1</w:t>
            </w:r>
          </w:p>
        </w:tc>
        <w:tc>
          <w:tcPr>
            <w:tcW w:w="1047" w:type="pct"/>
            <w:shd w:val="clear" w:color="auto" w:fill="auto"/>
          </w:tcPr>
          <w:p w:rsidR="00697BCD" w:rsidRDefault="00697BCD" w:rsidP="00624E11">
            <w:pPr>
              <w:pStyle w:val="Tabletext-right"/>
            </w:pPr>
            <w:r>
              <w:t>13.4</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2015</w:t>
            </w:r>
          </w:p>
        </w:tc>
        <w:tc>
          <w:tcPr>
            <w:tcW w:w="1047" w:type="pct"/>
            <w:shd w:val="clear" w:color="auto" w:fill="auto"/>
          </w:tcPr>
          <w:p w:rsidR="00697BCD" w:rsidRDefault="00697BCD" w:rsidP="00624E11">
            <w:pPr>
              <w:pStyle w:val="Tabletext-right"/>
            </w:pPr>
            <w:r>
              <w:t>26.6</w:t>
            </w:r>
          </w:p>
        </w:tc>
        <w:tc>
          <w:tcPr>
            <w:tcW w:w="1047" w:type="pct"/>
            <w:shd w:val="clear" w:color="auto" w:fill="auto"/>
          </w:tcPr>
          <w:p w:rsidR="00697BCD" w:rsidRDefault="00697BCD" w:rsidP="00624E11">
            <w:pPr>
              <w:pStyle w:val="Tabletext-right"/>
            </w:pPr>
            <w:r>
              <w:t>73.4</w:t>
            </w:r>
          </w:p>
        </w:tc>
        <w:tc>
          <w:tcPr>
            <w:tcW w:w="1047" w:type="pct"/>
            <w:shd w:val="clear" w:color="auto" w:fill="auto"/>
          </w:tcPr>
          <w:p w:rsidR="00697BCD" w:rsidRDefault="00697BCD" w:rsidP="00624E11">
            <w:pPr>
              <w:pStyle w:val="Tabletext-right"/>
            </w:pPr>
            <w:r>
              <w:t>16.5</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2016</w:t>
            </w:r>
          </w:p>
        </w:tc>
        <w:tc>
          <w:tcPr>
            <w:tcW w:w="1047" w:type="pct"/>
            <w:shd w:val="clear" w:color="auto" w:fill="auto"/>
          </w:tcPr>
          <w:p w:rsidR="00697BCD" w:rsidRDefault="00697BCD" w:rsidP="00624E11">
            <w:pPr>
              <w:pStyle w:val="Tabletext-right"/>
            </w:pPr>
            <w:r>
              <w:t>30.1</w:t>
            </w:r>
          </w:p>
        </w:tc>
        <w:tc>
          <w:tcPr>
            <w:tcW w:w="1047" w:type="pct"/>
            <w:shd w:val="clear" w:color="auto" w:fill="auto"/>
          </w:tcPr>
          <w:p w:rsidR="00697BCD" w:rsidRDefault="00697BCD" w:rsidP="00624E11">
            <w:pPr>
              <w:pStyle w:val="Tabletext-right"/>
            </w:pPr>
            <w:r>
              <w:t>69.9</w:t>
            </w:r>
          </w:p>
        </w:tc>
        <w:tc>
          <w:tcPr>
            <w:tcW w:w="1047" w:type="pct"/>
            <w:shd w:val="clear" w:color="auto" w:fill="auto"/>
          </w:tcPr>
          <w:p w:rsidR="00697BCD" w:rsidRDefault="00697BCD" w:rsidP="00624E11">
            <w:pPr>
              <w:pStyle w:val="Tabletext-right"/>
            </w:pPr>
            <w:r>
              <w:t>16.5</w:t>
            </w:r>
          </w:p>
        </w:tc>
      </w:tr>
      <w:tr w:rsidR="00697BCD" w:rsidRPr="00391B03" w:rsidTr="00391B03">
        <w:trPr>
          <w:trHeight w:val="60"/>
        </w:trPr>
        <w:tc>
          <w:tcPr>
            <w:tcW w:w="1389" w:type="pct"/>
            <w:vMerge w:val="restart"/>
            <w:shd w:val="clear" w:color="auto" w:fill="auto"/>
          </w:tcPr>
          <w:p w:rsidR="00697BCD" w:rsidRPr="00391B03" w:rsidRDefault="00697BCD" w:rsidP="00624E11">
            <w:pPr>
              <w:pStyle w:val="Tabletext"/>
            </w:pPr>
            <w:r w:rsidRPr="00391B03">
              <w:t>Gas—24 000 MJ</w:t>
            </w:r>
          </w:p>
        </w:tc>
        <w:tc>
          <w:tcPr>
            <w:tcW w:w="470" w:type="pct"/>
            <w:shd w:val="clear" w:color="auto" w:fill="auto"/>
          </w:tcPr>
          <w:p w:rsidR="00697BCD" w:rsidRDefault="00697BCD" w:rsidP="00624E11">
            <w:pPr>
              <w:pStyle w:val="Tabletext-right"/>
            </w:pPr>
            <w:r>
              <w:t>2013</w:t>
            </w:r>
          </w:p>
        </w:tc>
        <w:tc>
          <w:tcPr>
            <w:tcW w:w="1047" w:type="pct"/>
            <w:shd w:val="clear" w:color="auto" w:fill="auto"/>
          </w:tcPr>
          <w:p w:rsidR="00697BCD" w:rsidRDefault="00697BCD" w:rsidP="00624E11">
            <w:pPr>
              <w:pStyle w:val="Tabletext-right"/>
            </w:pPr>
            <w:r>
              <w:t>17.8</w:t>
            </w:r>
          </w:p>
        </w:tc>
        <w:tc>
          <w:tcPr>
            <w:tcW w:w="1047" w:type="pct"/>
            <w:shd w:val="clear" w:color="auto" w:fill="auto"/>
          </w:tcPr>
          <w:p w:rsidR="00697BCD" w:rsidRDefault="00697BCD" w:rsidP="00624E11">
            <w:pPr>
              <w:pStyle w:val="Tabletext-right"/>
            </w:pPr>
            <w:r>
              <w:t>82.2</w:t>
            </w:r>
          </w:p>
        </w:tc>
        <w:tc>
          <w:tcPr>
            <w:tcW w:w="1047" w:type="pct"/>
            <w:shd w:val="clear" w:color="auto" w:fill="auto"/>
          </w:tcPr>
          <w:p w:rsidR="00697BCD" w:rsidRDefault="00697BCD" w:rsidP="00624E11">
            <w:pPr>
              <w:pStyle w:val="Tabletext-right"/>
            </w:pPr>
            <w:r>
              <w:t>12.1</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2014</w:t>
            </w:r>
          </w:p>
        </w:tc>
        <w:tc>
          <w:tcPr>
            <w:tcW w:w="1047" w:type="pct"/>
            <w:shd w:val="clear" w:color="auto" w:fill="auto"/>
          </w:tcPr>
          <w:p w:rsidR="00697BCD" w:rsidRDefault="00697BCD" w:rsidP="00624E11">
            <w:pPr>
              <w:pStyle w:val="Tabletext-right"/>
            </w:pPr>
            <w:r>
              <w:t>17.4</w:t>
            </w:r>
          </w:p>
        </w:tc>
        <w:tc>
          <w:tcPr>
            <w:tcW w:w="1047" w:type="pct"/>
            <w:shd w:val="clear" w:color="auto" w:fill="auto"/>
          </w:tcPr>
          <w:p w:rsidR="00697BCD" w:rsidRDefault="00697BCD" w:rsidP="00624E11">
            <w:pPr>
              <w:pStyle w:val="Tabletext-right"/>
            </w:pPr>
            <w:r>
              <w:t>82.6</w:t>
            </w:r>
          </w:p>
        </w:tc>
        <w:tc>
          <w:tcPr>
            <w:tcW w:w="1047" w:type="pct"/>
            <w:shd w:val="clear" w:color="auto" w:fill="auto"/>
          </w:tcPr>
          <w:p w:rsidR="00697BCD" w:rsidRDefault="00697BCD" w:rsidP="00624E11">
            <w:pPr>
              <w:pStyle w:val="Tabletext-right"/>
            </w:pPr>
            <w:r>
              <w:t>11.7</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2015</w:t>
            </w:r>
          </w:p>
        </w:tc>
        <w:tc>
          <w:tcPr>
            <w:tcW w:w="1047" w:type="pct"/>
            <w:shd w:val="clear" w:color="auto" w:fill="auto"/>
          </w:tcPr>
          <w:p w:rsidR="00697BCD" w:rsidRDefault="00697BCD" w:rsidP="00624E11">
            <w:pPr>
              <w:pStyle w:val="Tabletext-right"/>
            </w:pPr>
            <w:r>
              <w:t>17.5</w:t>
            </w:r>
          </w:p>
        </w:tc>
        <w:tc>
          <w:tcPr>
            <w:tcW w:w="1047" w:type="pct"/>
            <w:shd w:val="clear" w:color="auto" w:fill="auto"/>
          </w:tcPr>
          <w:p w:rsidR="00697BCD" w:rsidRDefault="00697BCD" w:rsidP="00624E11">
            <w:pPr>
              <w:pStyle w:val="Tabletext-right"/>
            </w:pPr>
            <w:r>
              <w:t>82.5</w:t>
            </w:r>
          </w:p>
        </w:tc>
        <w:tc>
          <w:tcPr>
            <w:tcW w:w="1047" w:type="pct"/>
            <w:shd w:val="clear" w:color="auto" w:fill="auto"/>
          </w:tcPr>
          <w:p w:rsidR="00697BCD" w:rsidRDefault="00697BCD" w:rsidP="00624E11">
            <w:pPr>
              <w:pStyle w:val="Tabletext-right"/>
            </w:pPr>
            <w:r>
              <w:t>13.0</w:t>
            </w:r>
          </w:p>
        </w:tc>
      </w:tr>
      <w:tr w:rsidR="00697BCD" w:rsidRPr="00391B03" w:rsidTr="00391B03">
        <w:trPr>
          <w:trHeight w:val="60"/>
        </w:trPr>
        <w:tc>
          <w:tcPr>
            <w:tcW w:w="1389" w:type="pct"/>
            <w:vMerge/>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470" w:type="pct"/>
            <w:shd w:val="clear" w:color="auto" w:fill="auto"/>
          </w:tcPr>
          <w:p w:rsidR="00697BCD" w:rsidRDefault="00697BCD" w:rsidP="00624E11">
            <w:pPr>
              <w:pStyle w:val="Tabletext-right"/>
            </w:pPr>
            <w:r>
              <w:t>2016</w:t>
            </w:r>
          </w:p>
        </w:tc>
        <w:tc>
          <w:tcPr>
            <w:tcW w:w="1047" w:type="pct"/>
            <w:shd w:val="clear" w:color="auto" w:fill="auto"/>
          </w:tcPr>
          <w:p w:rsidR="00697BCD" w:rsidRDefault="00697BCD" w:rsidP="00624E11">
            <w:pPr>
              <w:pStyle w:val="Tabletext-right"/>
            </w:pPr>
            <w:r>
              <w:t>18.3</w:t>
            </w:r>
          </w:p>
        </w:tc>
        <w:tc>
          <w:tcPr>
            <w:tcW w:w="1047" w:type="pct"/>
            <w:shd w:val="clear" w:color="auto" w:fill="auto"/>
          </w:tcPr>
          <w:p w:rsidR="00697BCD" w:rsidRDefault="00697BCD" w:rsidP="00624E11">
            <w:pPr>
              <w:pStyle w:val="Tabletext-right"/>
            </w:pPr>
            <w:r>
              <w:t>81.7</w:t>
            </w:r>
          </w:p>
        </w:tc>
        <w:tc>
          <w:tcPr>
            <w:tcW w:w="1047" w:type="pct"/>
            <w:shd w:val="clear" w:color="auto" w:fill="auto"/>
          </w:tcPr>
          <w:p w:rsidR="00697BCD" w:rsidRDefault="00697BCD" w:rsidP="00624E11">
            <w:pPr>
              <w:pStyle w:val="Tabletext-right"/>
            </w:pPr>
            <w:r>
              <w:t>12.9</w:t>
            </w:r>
          </w:p>
        </w:tc>
      </w:tr>
    </w:tbl>
    <w:p w:rsidR="00697BCD" w:rsidRDefault="00697BCD"/>
    <w:p w:rsidR="00697BCD" w:rsidRDefault="00697BCD" w:rsidP="000F3A56">
      <w:pPr>
        <w:pStyle w:val="Numbered1"/>
      </w:pPr>
      <w:bookmarkStart w:id="60" w:name="_Toc467665344"/>
      <w:r>
        <w:lastRenderedPageBreak/>
        <w:t>Appendices</w:t>
      </w:r>
      <w:bookmarkEnd w:id="60"/>
    </w:p>
    <w:p w:rsidR="00697BCD" w:rsidRDefault="00697BCD" w:rsidP="00697BCD">
      <w:pPr>
        <w:pStyle w:val="Heading2"/>
      </w:pPr>
      <w:bookmarkStart w:id="61" w:name="_Toc467665345"/>
      <w:r>
        <w:t>Appendix 1: Customer profile of energy retailers</w:t>
      </w:r>
      <w:bookmarkEnd w:id="61"/>
    </w:p>
    <w:tbl>
      <w:tblPr>
        <w:tblW w:w="5000" w:type="pct"/>
        <w:tblBorders>
          <w:top w:val="single" w:sz="4" w:space="0" w:color="BFBFBF"/>
          <w:bottom w:val="single" w:sz="4" w:space="0" w:color="BFBFBF"/>
        </w:tblBorders>
        <w:tblLook w:val="0000" w:firstRow="0" w:lastRow="0" w:firstColumn="0" w:lastColumn="0" w:noHBand="0" w:noVBand="0"/>
      </w:tblPr>
      <w:tblGrid>
        <w:gridCol w:w="3216"/>
        <w:gridCol w:w="1604"/>
        <w:gridCol w:w="1602"/>
        <w:gridCol w:w="1604"/>
        <w:gridCol w:w="1602"/>
      </w:tblGrid>
      <w:tr w:rsidR="00697BCD" w:rsidRPr="00391B03" w:rsidTr="00391B03">
        <w:trPr>
          <w:trHeight w:val="60"/>
        </w:trPr>
        <w:tc>
          <w:tcPr>
            <w:tcW w:w="16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1665" w:type="pct"/>
            <w:gridSpan w:val="2"/>
            <w:shd w:val="clear" w:color="auto" w:fill="auto"/>
          </w:tcPr>
          <w:p w:rsidR="00697BCD" w:rsidRPr="00391B03" w:rsidRDefault="00697BCD" w:rsidP="006B1E9F">
            <w:pPr>
              <w:pStyle w:val="TableHeading"/>
            </w:pPr>
            <w:r w:rsidRPr="00391B03">
              <w:t>Electricity</w:t>
            </w:r>
          </w:p>
        </w:tc>
        <w:tc>
          <w:tcPr>
            <w:tcW w:w="1665" w:type="pct"/>
            <w:gridSpan w:val="2"/>
            <w:shd w:val="clear" w:color="auto" w:fill="auto"/>
          </w:tcPr>
          <w:p w:rsidR="00697BCD" w:rsidRPr="00391B03" w:rsidRDefault="00697BCD" w:rsidP="006B1E9F">
            <w:pPr>
              <w:pStyle w:val="TableHeading"/>
            </w:pPr>
            <w:r w:rsidRPr="00391B03">
              <w:t>Gas</w:t>
            </w:r>
          </w:p>
        </w:tc>
      </w:tr>
      <w:tr w:rsidR="00697BCD" w:rsidRPr="00391B03" w:rsidTr="00391B03">
        <w:trPr>
          <w:trHeight w:val="60"/>
        </w:trPr>
        <w:tc>
          <w:tcPr>
            <w:tcW w:w="1670" w:type="pct"/>
            <w:shd w:val="clear" w:color="auto" w:fill="auto"/>
          </w:tcPr>
          <w:p w:rsidR="00697BCD" w:rsidRPr="00391B03" w:rsidRDefault="00697BCD" w:rsidP="006B1E9F">
            <w:pPr>
              <w:pStyle w:val="TableHeading"/>
            </w:pPr>
            <w:r w:rsidRPr="00391B03">
              <w:t>Retailer</w:t>
            </w:r>
          </w:p>
        </w:tc>
        <w:tc>
          <w:tcPr>
            <w:tcW w:w="833" w:type="pct"/>
            <w:shd w:val="clear" w:color="auto" w:fill="auto"/>
          </w:tcPr>
          <w:p w:rsidR="00697BCD" w:rsidRPr="00391B03" w:rsidRDefault="00697BCD" w:rsidP="006B1E9F">
            <w:pPr>
              <w:pStyle w:val="TableHeading"/>
            </w:pPr>
            <w:r w:rsidRPr="00391B03">
              <w:t>Small customers</w:t>
            </w:r>
          </w:p>
        </w:tc>
        <w:tc>
          <w:tcPr>
            <w:tcW w:w="832" w:type="pct"/>
            <w:shd w:val="clear" w:color="auto" w:fill="auto"/>
          </w:tcPr>
          <w:p w:rsidR="00697BCD" w:rsidRPr="00391B03" w:rsidRDefault="00697BCD" w:rsidP="006B1E9F">
            <w:pPr>
              <w:pStyle w:val="TableHeading"/>
            </w:pPr>
            <w:r w:rsidRPr="00391B03">
              <w:t>Large customers</w:t>
            </w:r>
          </w:p>
        </w:tc>
        <w:tc>
          <w:tcPr>
            <w:tcW w:w="833" w:type="pct"/>
            <w:shd w:val="clear" w:color="auto" w:fill="auto"/>
          </w:tcPr>
          <w:p w:rsidR="00697BCD" w:rsidRPr="00391B03" w:rsidRDefault="00697BCD" w:rsidP="006B1E9F">
            <w:pPr>
              <w:pStyle w:val="TableHeading"/>
            </w:pPr>
            <w:r w:rsidRPr="00391B03">
              <w:t>Small customers</w:t>
            </w:r>
          </w:p>
        </w:tc>
        <w:tc>
          <w:tcPr>
            <w:tcW w:w="833" w:type="pct"/>
            <w:shd w:val="clear" w:color="auto" w:fill="auto"/>
          </w:tcPr>
          <w:p w:rsidR="00697BCD" w:rsidRPr="00391B03" w:rsidRDefault="00697BCD" w:rsidP="006B1E9F">
            <w:pPr>
              <w:pStyle w:val="TableHeading"/>
            </w:pPr>
            <w:r w:rsidRPr="00391B03">
              <w:t>Large customers</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Queensland</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AGL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Click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COzero</w:t>
            </w:r>
            <w:proofErr w:type="spellEnd"/>
            <w:r w:rsidRPr="00391B03">
              <w:t xml:space="preserve"> Energy Retail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CS Energy</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Diamond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Yallourn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Ergon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ERM Power Retail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Locality Planning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Lumo</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M2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Macquarie</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Metered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Momentum</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Next Business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Origin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OzGen</w:t>
            </w:r>
            <w:proofErr w:type="spellEnd"/>
            <w:r w:rsidRPr="00391B03">
              <w:t xml:space="preserve"> Retail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Powerdirect</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Progressive Green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QEnergy</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Red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Sanctuary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Simply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Stanwell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Urth</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Winconnect</w:t>
            </w:r>
            <w:proofErr w:type="spellEnd"/>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New South Wales</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lastRenderedPageBreak/>
              <w:t>1st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ActewAGL</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AGL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Blue NRG</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Click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CovaU</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COzero</w:t>
            </w:r>
            <w:proofErr w:type="spellEnd"/>
            <w:r w:rsidRPr="00391B03">
              <w:t xml:space="preserve"> Energy Retail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Diamond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Yallourn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Enova Energy</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ERM Power Retail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Infigen Energy Markets</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M2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Macquarie Bank</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Mojo Power</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Momentum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Next Business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Origin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Pooled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Powerdirect</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Powershop</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Progressive Green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QEnergy</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Red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Sanctuary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Simply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Stanwell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Urth</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WINenergy</w:t>
            </w:r>
            <w:proofErr w:type="spellEnd"/>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South Australia</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AGL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lastRenderedPageBreak/>
              <w:t>Blue NRG</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COzero</w:t>
            </w:r>
            <w:proofErr w:type="spellEnd"/>
            <w:r w:rsidRPr="00391B03">
              <w:t xml:space="preserve"> Energy Retail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Diamond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Yallourn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ERM Power Retail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M2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Macquarie Bank</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Momentum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Next Business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Origin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283"/>
        </w:trPr>
        <w:tc>
          <w:tcPr>
            <w:tcW w:w="1670" w:type="pct"/>
            <w:shd w:val="clear" w:color="auto" w:fill="auto"/>
          </w:tcPr>
          <w:p w:rsidR="00697BCD" w:rsidRPr="00391B03" w:rsidRDefault="00697BCD" w:rsidP="00624E11">
            <w:pPr>
              <w:pStyle w:val="Tabletext"/>
            </w:pPr>
            <w:r w:rsidRPr="00391B03">
              <w:t>Pacific Hydro</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3"/>
        </w:trPr>
        <w:tc>
          <w:tcPr>
            <w:tcW w:w="1670" w:type="pct"/>
            <w:shd w:val="clear" w:color="auto" w:fill="auto"/>
          </w:tcPr>
          <w:p w:rsidR="00697BCD" w:rsidRPr="00391B03" w:rsidRDefault="00697BCD" w:rsidP="00624E11">
            <w:pPr>
              <w:pStyle w:val="Tabletext"/>
            </w:pPr>
            <w:proofErr w:type="spellStart"/>
            <w:r w:rsidRPr="00391B03">
              <w:t>Powerdirect</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Progressive Green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QEnergy</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Red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Sanctuary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Savant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Simply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Urth</w:t>
            </w:r>
            <w:proofErr w:type="spellEnd"/>
            <w:r w:rsidRPr="00391B03">
              <w:t xml:space="preserve">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WINenergy</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ACT</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ActewAGL</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AGL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EnergyAustralia</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Yallourn</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ERM Power Retail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Macquarie Bank</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Momentum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Next Business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Origin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624E11">
            <w:pPr>
              <w:pStyle w:val="Tabletext"/>
            </w:pPr>
            <w:r w:rsidRPr="00391B03">
              <w:t>X</w:t>
            </w:r>
          </w:p>
        </w:tc>
      </w:tr>
      <w:tr w:rsidR="00697BCD" w:rsidRPr="00391B03" w:rsidTr="00391B03">
        <w:trPr>
          <w:trHeight w:val="309"/>
        </w:trPr>
        <w:tc>
          <w:tcPr>
            <w:tcW w:w="1670" w:type="pct"/>
            <w:shd w:val="clear" w:color="auto" w:fill="auto"/>
          </w:tcPr>
          <w:p w:rsidR="00697BCD" w:rsidRPr="00391B03" w:rsidRDefault="00697BCD" w:rsidP="00624E11">
            <w:pPr>
              <w:pStyle w:val="Tabletext"/>
            </w:pPr>
            <w:proofErr w:type="spellStart"/>
            <w:r w:rsidRPr="00391B03">
              <w:t>Powerdirect</w:t>
            </w:r>
            <w:proofErr w:type="spellEnd"/>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Red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lastRenderedPageBreak/>
              <w:t>Simply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Stanwell</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Tasmania</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Aurora Energy</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ERM Power Retail</w:t>
            </w:r>
          </w:p>
        </w:tc>
        <w:tc>
          <w:tcPr>
            <w:tcW w:w="833" w:type="pct"/>
            <w:shd w:val="clear" w:color="auto" w:fill="auto"/>
          </w:tcPr>
          <w:p w:rsidR="00697BCD" w:rsidRPr="00391B03" w:rsidRDefault="00697BCD" w:rsidP="00624E11">
            <w:pPr>
              <w:pStyle w:val="Tabletext"/>
            </w:pPr>
            <w:r w:rsidRPr="00391B03">
              <w:t>X</w:t>
            </w: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309"/>
        </w:trPr>
        <w:tc>
          <w:tcPr>
            <w:tcW w:w="1670" w:type="pct"/>
            <w:shd w:val="clear" w:color="auto" w:fill="auto"/>
          </w:tcPr>
          <w:p w:rsidR="00697BCD" w:rsidRPr="00391B03" w:rsidRDefault="00697BCD" w:rsidP="00624E11">
            <w:pPr>
              <w:pStyle w:val="Tabletext"/>
            </w:pPr>
            <w:r w:rsidRPr="00391B03">
              <w:t>Macquarie Bank</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2" w:type="pct"/>
            <w:shd w:val="clear" w:color="auto" w:fill="auto"/>
          </w:tcPr>
          <w:p w:rsidR="00697BCD" w:rsidRPr="00391B03" w:rsidRDefault="00697BCD" w:rsidP="00624E11">
            <w:pPr>
              <w:pStyle w:val="Tabletext"/>
            </w:pPr>
            <w:r w:rsidRPr="00391B03">
              <w:t>X</w:t>
            </w: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3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bl>
    <w:p w:rsidR="00697BCD" w:rsidRDefault="00697BCD" w:rsidP="00697BCD"/>
    <w:p w:rsidR="00697BCD" w:rsidRDefault="00EC4210" w:rsidP="00697BCD">
      <w:pPr>
        <w:pStyle w:val="Heading2"/>
      </w:pPr>
      <w:bookmarkStart w:id="62" w:name="_Toc467665346"/>
      <w:r>
        <w:br w:type="page"/>
      </w:r>
      <w:r w:rsidR="00697BCD">
        <w:t xml:space="preserve">Appendix 2: </w:t>
      </w:r>
      <w:r w:rsidR="00697BCD">
        <w:tab/>
        <w:t>South Australian service standards</w:t>
      </w:r>
      <w:bookmarkEnd w:id="62"/>
    </w:p>
    <w:p w:rsidR="00697BCD" w:rsidRDefault="00697BCD" w:rsidP="00697BCD">
      <w:r>
        <w:t xml:space="preserve">Clause 7 of the National Energy Retail (Local Provisions) Regulations imposes minimum service standards on retailers selling energy to small customers in South Australia. The service standards require retailers to use best endeavours to respond to 95 per cent of written enquiries within five business days, and to answer 85 per cent of telephone calls within 30 seconds between 8 am and 6 pm from Monday to Friday. </w:t>
      </w:r>
    </w:p>
    <w:p w:rsidR="00697BCD" w:rsidRDefault="00697BCD" w:rsidP="00697BCD">
      <w:r>
        <w:t xml:space="preserve">Retailers must report to the AER on their compliance with these standards and give reasons for any non-compliance as well as information on strategies to improve compliance in the future. </w:t>
      </w:r>
    </w:p>
    <w:p w:rsidR="004E72E5" w:rsidRDefault="004E72E5" w:rsidP="00697BCD"/>
    <w:tbl>
      <w:tblPr>
        <w:tblW w:w="5000" w:type="pct"/>
        <w:tblBorders>
          <w:top w:val="single" w:sz="4" w:space="0" w:color="BFBFBF"/>
          <w:bottom w:val="single" w:sz="4" w:space="0" w:color="BFBFBF"/>
        </w:tblBorders>
        <w:tblLook w:val="0000" w:firstRow="0" w:lastRow="0" w:firstColumn="0" w:lastColumn="0" w:noHBand="0" w:noVBand="0"/>
      </w:tblPr>
      <w:tblGrid>
        <w:gridCol w:w="2138"/>
        <w:gridCol w:w="1248"/>
        <w:gridCol w:w="1248"/>
        <w:gridCol w:w="1248"/>
        <w:gridCol w:w="1248"/>
        <w:gridCol w:w="1248"/>
        <w:gridCol w:w="1250"/>
      </w:tblGrid>
      <w:tr w:rsidR="00697BCD" w:rsidRPr="00391B03" w:rsidTr="00391B03">
        <w:trPr>
          <w:trHeight w:val="60"/>
        </w:trPr>
        <w:tc>
          <w:tcPr>
            <w:tcW w:w="1111" w:type="pct"/>
            <w:shd w:val="clear" w:color="auto" w:fill="auto"/>
          </w:tcPr>
          <w:p w:rsidR="00697BCD" w:rsidRPr="00391B03" w:rsidRDefault="00697BCD" w:rsidP="006B1E9F">
            <w:pPr>
              <w:pStyle w:val="TableHeading"/>
            </w:pPr>
            <w:r w:rsidRPr="00391B03">
              <w:t>Retailer</w:t>
            </w:r>
          </w:p>
        </w:tc>
        <w:tc>
          <w:tcPr>
            <w:tcW w:w="1944" w:type="pct"/>
            <w:gridSpan w:val="3"/>
            <w:shd w:val="clear" w:color="auto" w:fill="auto"/>
          </w:tcPr>
          <w:p w:rsidR="00697BCD" w:rsidRDefault="00697BCD" w:rsidP="006B1E9F">
            <w:pPr>
              <w:pStyle w:val="TableHeading-right"/>
            </w:pPr>
            <w:r>
              <w:t>Percentage of written enquiries responded to within five business days</w:t>
            </w:r>
          </w:p>
        </w:tc>
        <w:tc>
          <w:tcPr>
            <w:tcW w:w="1945" w:type="pct"/>
            <w:gridSpan w:val="3"/>
            <w:shd w:val="clear" w:color="auto" w:fill="auto"/>
          </w:tcPr>
          <w:p w:rsidR="00697BCD" w:rsidRDefault="00697BCD" w:rsidP="006B1E9F">
            <w:pPr>
              <w:pStyle w:val="TableHeading-right"/>
            </w:pPr>
            <w:r>
              <w:t>Percentage of telephone calls answered within 30 seconds</w:t>
            </w:r>
          </w:p>
        </w:tc>
      </w:tr>
      <w:tr w:rsidR="00697BCD" w:rsidRPr="00391B03" w:rsidTr="00391B03">
        <w:trPr>
          <w:trHeight w:val="340"/>
        </w:trPr>
        <w:tc>
          <w:tcPr>
            <w:tcW w:w="1111"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48" w:type="pct"/>
            <w:shd w:val="clear" w:color="auto" w:fill="auto"/>
          </w:tcPr>
          <w:p w:rsidR="00697BCD" w:rsidRDefault="00697BCD" w:rsidP="00624E11">
            <w:pPr>
              <w:pStyle w:val="Tabletext-right"/>
            </w:pPr>
            <w:r>
              <w:t>2013–14</w:t>
            </w:r>
          </w:p>
        </w:tc>
        <w:tc>
          <w:tcPr>
            <w:tcW w:w="648" w:type="pct"/>
            <w:shd w:val="clear" w:color="auto" w:fill="auto"/>
          </w:tcPr>
          <w:p w:rsidR="00697BCD" w:rsidRDefault="00697BCD" w:rsidP="00624E11">
            <w:pPr>
              <w:pStyle w:val="Tabletext-right"/>
            </w:pPr>
            <w:r>
              <w:t>2014–15</w:t>
            </w:r>
          </w:p>
        </w:tc>
        <w:tc>
          <w:tcPr>
            <w:tcW w:w="648" w:type="pct"/>
            <w:shd w:val="clear" w:color="auto" w:fill="auto"/>
          </w:tcPr>
          <w:p w:rsidR="00697BCD" w:rsidRDefault="00697BCD" w:rsidP="00624E11">
            <w:pPr>
              <w:pStyle w:val="Tabletext-right"/>
            </w:pPr>
            <w:r>
              <w:t>2015–16</w:t>
            </w:r>
          </w:p>
        </w:tc>
        <w:tc>
          <w:tcPr>
            <w:tcW w:w="648" w:type="pct"/>
            <w:shd w:val="clear" w:color="auto" w:fill="auto"/>
          </w:tcPr>
          <w:p w:rsidR="00697BCD" w:rsidRDefault="00697BCD" w:rsidP="00624E11">
            <w:pPr>
              <w:pStyle w:val="Tabletext-right"/>
            </w:pPr>
            <w:r>
              <w:t>2013–14</w:t>
            </w:r>
          </w:p>
        </w:tc>
        <w:tc>
          <w:tcPr>
            <w:tcW w:w="648" w:type="pct"/>
            <w:shd w:val="clear" w:color="auto" w:fill="auto"/>
          </w:tcPr>
          <w:p w:rsidR="00697BCD" w:rsidRDefault="00697BCD" w:rsidP="00624E11">
            <w:pPr>
              <w:pStyle w:val="Tabletext-right"/>
            </w:pPr>
            <w:r>
              <w:t>2014–15</w:t>
            </w:r>
          </w:p>
        </w:tc>
        <w:tc>
          <w:tcPr>
            <w:tcW w:w="648" w:type="pct"/>
            <w:shd w:val="clear" w:color="auto" w:fill="auto"/>
          </w:tcPr>
          <w:p w:rsidR="00697BCD" w:rsidRDefault="00697BCD" w:rsidP="00624E11">
            <w:pPr>
              <w:pStyle w:val="Tabletext-right"/>
            </w:pPr>
            <w:r>
              <w:t>2015–16</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AGL</w:t>
            </w:r>
          </w:p>
        </w:tc>
        <w:tc>
          <w:tcPr>
            <w:tcW w:w="648" w:type="pct"/>
            <w:shd w:val="clear" w:color="auto" w:fill="auto"/>
          </w:tcPr>
          <w:p w:rsidR="00697BCD" w:rsidRDefault="00697BCD" w:rsidP="00624E11">
            <w:pPr>
              <w:pStyle w:val="Tabletext-right"/>
            </w:pPr>
            <w:r>
              <w:t>97%</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91%</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85%</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98%</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77%</w:t>
            </w:r>
          </w:p>
        </w:tc>
        <w:tc>
          <w:tcPr>
            <w:tcW w:w="648" w:type="pct"/>
            <w:shd w:val="clear" w:color="auto" w:fill="auto"/>
          </w:tcPr>
          <w:p w:rsidR="00697BCD" w:rsidRDefault="00697BCD" w:rsidP="00624E11">
            <w:pPr>
              <w:pStyle w:val="Tabletext-right"/>
            </w:pPr>
            <w:r>
              <w:t>77%</w:t>
            </w:r>
          </w:p>
        </w:tc>
        <w:tc>
          <w:tcPr>
            <w:tcW w:w="648" w:type="pct"/>
            <w:shd w:val="clear" w:color="auto" w:fill="auto"/>
          </w:tcPr>
          <w:p w:rsidR="00697BCD" w:rsidRDefault="00697BCD" w:rsidP="00624E11">
            <w:pPr>
              <w:pStyle w:val="Tabletext-right"/>
            </w:pPr>
            <w:r>
              <w:t>77%</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Blue NRG</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4E72E5">
            <w:pPr>
              <w:pStyle w:val="Tabletext-right"/>
            </w:pPr>
            <w:r>
              <w:t>N/A</w:t>
            </w:r>
            <w:r w:rsidR="004E72E5" w:rsidRPr="004E72E5">
              <w:rPr>
                <w:rStyle w:val="Superscript"/>
              </w:rPr>
              <w:footnoteReference w:id="47"/>
            </w:r>
            <w:r w:rsidR="004E72E5" w:rsidRPr="004E72E5">
              <w:rPr>
                <w:rStyle w:val="Superscript"/>
              </w:rPr>
              <w:t xml:space="preserve"> </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Click Energy</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97%</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77%</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Diamond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 xml:space="preserve">95% </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EnergyAustralia</w:t>
            </w:r>
            <w:proofErr w:type="spellEnd"/>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99.9%</w:t>
            </w:r>
          </w:p>
        </w:tc>
        <w:tc>
          <w:tcPr>
            <w:tcW w:w="648" w:type="pct"/>
            <w:shd w:val="clear" w:color="auto" w:fill="auto"/>
          </w:tcPr>
          <w:p w:rsidR="00697BCD" w:rsidRDefault="00697BCD" w:rsidP="00624E11">
            <w:pPr>
              <w:pStyle w:val="Tabletext-right"/>
            </w:pPr>
            <w:r>
              <w:t>71%</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84%</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 xml:space="preserve">ERM Power Retail </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 xml:space="preserve">N/A </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97%</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48" w:type="pct"/>
            <w:shd w:val="clear" w:color="auto" w:fill="auto"/>
          </w:tcPr>
          <w:p w:rsidR="00697BCD" w:rsidRDefault="00697BCD" w:rsidP="00624E11">
            <w:pPr>
              <w:pStyle w:val="Tabletext-right"/>
            </w:pPr>
            <w:r>
              <w:t>92%</w:t>
            </w:r>
          </w:p>
        </w:tc>
        <w:tc>
          <w:tcPr>
            <w:tcW w:w="648" w:type="pct"/>
            <w:shd w:val="clear" w:color="auto" w:fill="auto"/>
          </w:tcPr>
          <w:p w:rsidR="00697BCD" w:rsidRDefault="00697BCD" w:rsidP="00624E11">
            <w:pPr>
              <w:pStyle w:val="Tabletext-right"/>
            </w:pPr>
            <w:r>
              <w:t>99%</w:t>
            </w:r>
          </w:p>
        </w:tc>
        <w:tc>
          <w:tcPr>
            <w:tcW w:w="648" w:type="pct"/>
            <w:shd w:val="clear" w:color="auto" w:fill="auto"/>
          </w:tcPr>
          <w:p w:rsidR="00697BCD" w:rsidRDefault="00697BCD" w:rsidP="00624E11">
            <w:pPr>
              <w:pStyle w:val="Tabletext-right"/>
            </w:pPr>
            <w:r>
              <w:t>92%</w:t>
            </w:r>
          </w:p>
        </w:tc>
        <w:tc>
          <w:tcPr>
            <w:tcW w:w="648" w:type="pct"/>
            <w:shd w:val="clear" w:color="auto" w:fill="auto"/>
          </w:tcPr>
          <w:p w:rsidR="00697BCD" w:rsidRDefault="00697BCD" w:rsidP="00624E11">
            <w:pPr>
              <w:pStyle w:val="Tabletext-right"/>
            </w:pPr>
            <w:r>
              <w:t>88%</w:t>
            </w:r>
          </w:p>
        </w:tc>
        <w:tc>
          <w:tcPr>
            <w:tcW w:w="648" w:type="pct"/>
            <w:shd w:val="clear" w:color="auto" w:fill="auto"/>
          </w:tcPr>
          <w:p w:rsidR="00697BCD" w:rsidRDefault="00697BCD" w:rsidP="00624E11">
            <w:pPr>
              <w:pStyle w:val="Tabletext-right"/>
            </w:pPr>
            <w:r>
              <w:t>92%</w:t>
            </w:r>
          </w:p>
        </w:tc>
        <w:tc>
          <w:tcPr>
            <w:tcW w:w="648" w:type="pct"/>
            <w:shd w:val="clear" w:color="auto" w:fill="auto"/>
          </w:tcPr>
          <w:p w:rsidR="00697BCD" w:rsidRDefault="00697BCD" w:rsidP="00624E11">
            <w:pPr>
              <w:pStyle w:val="Tabletext-right"/>
            </w:pPr>
            <w:r>
              <w:t>93%</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M2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88%</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70%</w:t>
            </w:r>
          </w:p>
        </w:tc>
        <w:tc>
          <w:tcPr>
            <w:tcW w:w="648" w:type="pct"/>
            <w:shd w:val="clear" w:color="auto" w:fill="auto"/>
          </w:tcPr>
          <w:p w:rsidR="00697BCD" w:rsidRDefault="00697BCD" w:rsidP="00624E11">
            <w:pPr>
              <w:pStyle w:val="Tabletext-right"/>
            </w:pPr>
            <w:r>
              <w:t>79%</w:t>
            </w:r>
          </w:p>
        </w:tc>
        <w:tc>
          <w:tcPr>
            <w:tcW w:w="648" w:type="pct"/>
            <w:shd w:val="clear" w:color="auto" w:fill="auto"/>
          </w:tcPr>
          <w:p w:rsidR="00697BCD" w:rsidRDefault="00697BCD" w:rsidP="00624E11">
            <w:pPr>
              <w:pStyle w:val="Tabletext-right"/>
            </w:pPr>
            <w:r>
              <w:t>88%</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Momentum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72%</w:t>
            </w:r>
          </w:p>
        </w:tc>
        <w:tc>
          <w:tcPr>
            <w:tcW w:w="648" w:type="pct"/>
            <w:shd w:val="clear" w:color="auto" w:fill="auto"/>
          </w:tcPr>
          <w:p w:rsidR="00697BCD" w:rsidRDefault="00697BCD" w:rsidP="00624E11">
            <w:pPr>
              <w:pStyle w:val="Tabletext-right"/>
            </w:pPr>
            <w:r>
              <w:t>83%</w:t>
            </w:r>
          </w:p>
        </w:tc>
        <w:tc>
          <w:tcPr>
            <w:tcW w:w="648" w:type="pct"/>
            <w:shd w:val="clear" w:color="auto" w:fill="auto"/>
          </w:tcPr>
          <w:p w:rsidR="00697BCD" w:rsidRDefault="00697BCD" w:rsidP="00624E11">
            <w:pPr>
              <w:pStyle w:val="Tabletext-right"/>
            </w:pPr>
            <w:r>
              <w:t>90%</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Next Business Energy</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92%</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Origin Energy</w:t>
            </w:r>
          </w:p>
        </w:tc>
        <w:tc>
          <w:tcPr>
            <w:tcW w:w="648" w:type="pct"/>
            <w:shd w:val="clear" w:color="auto" w:fill="auto"/>
          </w:tcPr>
          <w:p w:rsidR="00697BCD" w:rsidRDefault="00697BCD" w:rsidP="00624E11">
            <w:pPr>
              <w:pStyle w:val="Tabletext-right"/>
            </w:pPr>
            <w:r>
              <w:t>97%</w:t>
            </w:r>
          </w:p>
        </w:tc>
        <w:tc>
          <w:tcPr>
            <w:tcW w:w="648" w:type="pct"/>
            <w:shd w:val="clear" w:color="auto" w:fill="auto"/>
          </w:tcPr>
          <w:p w:rsidR="00697BCD" w:rsidRDefault="00697BCD" w:rsidP="00624E11">
            <w:pPr>
              <w:pStyle w:val="Tabletext-right"/>
            </w:pPr>
            <w:r>
              <w:t>99%</w:t>
            </w:r>
          </w:p>
        </w:tc>
        <w:tc>
          <w:tcPr>
            <w:tcW w:w="648" w:type="pct"/>
            <w:shd w:val="clear" w:color="auto" w:fill="auto"/>
          </w:tcPr>
          <w:p w:rsidR="00697BCD" w:rsidRDefault="00697BCD" w:rsidP="00624E11">
            <w:pPr>
              <w:pStyle w:val="Tabletext-right"/>
            </w:pPr>
            <w:r>
              <w:t>99.7%</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94%</w:t>
            </w:r>
          </w:p>
        </w:tc>
        <w:tc>
          <w:tcPr>
            <w:tcW w:w="648" w:type="pct"/>
            <w:shd w:val="clear" w:color="auto" w:fill="auto"/>
          </w:tcPr>
          <w:p w:rsidR="00697BCD" w:rsidRDefault="00697BCD" w:rsidP="00624E11">
            <w:pPr>
              <w:pStyle w:val="Tabletext-right"/>
            </w:pPr>
            <w:r>
              <w:t>87%</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Pacific Hydro</w:t>
            </w:r>
          </w:p>
        </w:tc>
        <w:tc>
          <w:tcPr>
            <w:tcW w:w="648" w:type="pct"/>
            <w:shd w:val="clear" w:color="auto" w:fill="auto"/>
          </w:tcPr>
          <w:p w:rsidR="00697BCD" w:rsidRDefault="00697BCD" w:rsidP="00624E11">
            <w:pPr>
              <w:pStyle w:val="Tabletext-right"/>
            </w:pPr>
            <w:r>
              <w:t>N/A</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97%</w:t>
            </w:r>
          </w:p>
        </w:tc>
        <w:tc>
          <w:tcPr>
            <w:tcW w:w="648" w:type="pct"/>
            <w:shd w:val="clear" w:color="auto" w:fill="auto"/>
          </w:tcPr>
          <w:p w:rsidR="00697BCD" w:rsidRDefault="00697BCD" w:rsidP="00624E11">
            <w:pPr>
              <w:pStyle w:val="Tabletext-right"/>
            </w:pPr>
            <w:r>
              <w:t>100%</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Powerdirect</w:t>
            </w:r>
            <w:proofErr w:type="spellEnd"/>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95%</w:t>
            </w:r>
          </w:p>
        </w:tc>
        <w:tc>
          <w:tcPr>
            <w:tcW w:w="648" w:type="pct"/>
            <w:shd w:val="clear" w:color="auto" w:fill="auto"/>
          </w:tcPr>
          <w:p w:rsidR="00697BCD" w:rsidRDefault="00697BCD" w:rsidP="00624E11">
            <w:pPr>
              <w:pStyle w:val="Tabletext-right"/>
            </w:pPr>
            <w:r>
              <w:t>65%</w:t>
            </w:r>
          </w:p>
        </w:tc>
        <w:tc>
          <w:tcPr>
            <w:tcW w:w="648" w:type="pct"/>
            <w:shd w:val="clear" w:color="auto" w:fill="auto"/>
          </w:tcPr>
          <w:p w:rsidR="00697BCD" w:rsidRDefault="00697BCD" w:rsidP="00624E11">
            <w:pPr>
              <w:pStyle w:val="Tabletext-right"/>
            </w:pPr>
            <w:r>
              <w:t>85%</w:t>
            </w:r>
          </w:p>
        </w:tc>
        <w:tc>
          <w:tcPr>
            <w:tcW w:w="648" w:type="pct"/>
            <w:shd w:val="clear" w:color="auto" w:fill="auto"/>
          </w:tcPr>
          <w:p w:rsidR="00697BCD" w:rsidRDefault="00697BCD" w:rsidP="00624E11">
            <w:pPr>
              <w:pStyle w:val="Tabletext-right"/>
            </w:pPr>
            <w:r>
              <w:t>89%</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QEnergy</w:t>
            </w:r>
            <w:proofErr w:type="spellEnd"/>
          </w:p>
        </w:tc>
        <w:tc>
          <w:tcPr>
            <w:tcW w:w="648" w:type="pct"/>
            <w:shd w:val="clear" w:color="auto" w:fill="auto"/>
          </w:tcPr>
          <w:p w:rsidR="00697BCD" w:rsidRDefault="00697BCD" w:rsidP="00624E11">
            <w:pPr>
              <w:pStyle w:val="Tabletext-right"/>
            </w:pPr>
            <w:r>
              <w:t>97%</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98%</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Red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96%</w:t>
            </w:r>
          </w:p>
        </w:tc>
        <w:tc>
          <w:tcPr>
            <w:tcW w:w="648" w:type="pct"/>
            <w:shd w:val="clear" w:color="auto" w:fill="auto"/>
          </w:tcPr>
          <w:p w:rsidR="00697BCD" w:rsidRDefault="00697BCD" w:rsidP="00624E11">
            <w:pPr>
              <w:pStyle w:val="Tabletext-right"/>
            </w:pPr>
            <w:r>
              <w:t>94%</w:t>
            </w:r>
          </w:p>
        </w:tc>
        <w:tc>
          <w:tcPr>
            <w:tcW w:w="648" w:type="pct"/>
            <w:shd w:val="clear" w:color="auto" w:fill="auto"/>
          </w:tcPr>
          <w:p w:rsidR="00697BCD" w:rsidRDefault="00697BCD" w:rsidP="00624E11">
            <w:pPr>
              <w:pStyle w:val="Tabletext-right"/>
            </w:pPr>
            <w:r>
              <w:t>96%</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Sanctuary Energy</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88%</w:t>
            </w:r>
          </w:p>
        </w:tc>
        <w:tc>
          <w:tcPr>
            <w:tcW w:w="648" w:type="pct"/>
            <w:shd w:val="clear" w:color="auto" w:fill="auto"/>
          </w:tcPr>
          <w:p w:rsidR="00697BCD" w:rsidRDefault="00697BCD" w:rsidP="00624E11">
            <w:pPr>
              <w:pStyle w:val="Tabletext-right"/>
            </w:pPr>
            <w:r>
              <w:t>87%</w:t>
            </w:r>
          </w:p>
        </w:tc>
        <w:tc>
          <w:tcPr>
            <w:tcW w:w="648" w:type="pct"/>
            <w:shd w:val="clear" w:color="auto" w:fill="auto"/>
          </w:tcPr>
          <w:p w:rsidR="00697BCD" w:rsidRDefault="00697BCD" w:rsidP="00624E11">
            <w:pPr>
              <w:pStyle w:val="Tabletext-right"/>
            </w:pPr>
            <w:r>
              <w:t>77%</w:t>
            </w:r>
          </w:p>
        </w:tc>
        <w:tc>
          <w:tcPr>
            <w:tcW w:w="648" w:type="pct"/>
            <w:shd w:val="clear" w:color="auto" w:fill="auto"/>
          </w:tcPr>
          <w:p w:rsidR="00697BCD" w:rsidRDefault="00697BCD" w:rsidP="00624E11">
            <w:pPr>
              <w:pStyle w:val="Tabletext-right"/>
            </w:pPr>
            <w:r>
              <w:t>80%</w:t>
            </w:r>
          </w:p>
        </w:tc>
        <w:tc>
          <w:tcPr>
            <w:tcW w:w="648" w:type="pct"/>
            <w:shd w:val="clear" w:color="auto" w:fill="auto"/>
          </w:tcPr>
          <w:p w:rsidR="00697BCD" w:rsidRDefault="00697BCD" w:rsidP="00624E11">
            <w:pPr>
              <w:pStyle w:val="Tabletext-right"/>
            </w:pPr>
            <w:r>
              <w:t>90%</w:t>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Savant Energy</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N/A</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4E72E5">
            <w:pPr>
              <w:pStyle w:val="Tabletext-right"/>
            </w:pPr>
            <w:r>
              <w:t>100%</w:t>
            </w:r>
            <w:r w:rsidR="004E72E5" w:rsidRPr="004E72E5">
              <w:rPr>
                <w:rStyle w:val="Superscript"/>
              </w:rPr>
              <w:footnoteReference w:id="48"/>
            </w:r>
          </w:p>
        </w:tc>
      </w:tr>
      <w:tr w:rsidR="00697BCD" w:rsidRPr="00391B03" w:rsidTr="00391B03">
        <w:trPr>
          <w:trHeight w:val="340"/>
        </w:trPr>
        <w:tc>
          <w:tcPr>
            <w:tcW w:w="1111" w:type="pct"/>
            <w:shd w:val="clear" w:color="auto" w:fill="auto"/>
          </w:tcPr>
          <w:p w:rsidR="00697BCD" w:rsidRPr="00391B03" w:rsidRDefault="00697BCD" w:rsidP="00624E11">
            <w:pPr>
              <w:pStyle w:val="Tabletext"/>
            </w:pPr>
            <w:r w:rsidRPr="00391B03">
              <w:t>Simply Energy</w:t>
            </w:r>
          </w:p>
        </w:tc>
        <w:tc>
          <w:tcPr>
            <w:tcW w:w="648" w:type="pct"/>
            <w:shd w:val="clear" w:color="auto" w:fill="auto"/>
          </w:tcPr>
          <w:p w:rsidR="00697BCD" w:rsidRDefault="00697BCD" w:rsidP="00624E11">
            <w:pPr>
              <w:pStyle w:val="Tabletext-right"/>
            </w:pPr>
            <w:r>
              <w:t>78%</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97.83%</w:t>
            </w:r>
          </w:p>
        </w:tc>
        <w:tc>
          <w:tcPr>
            <w:tcW w:w="648" w:type="pct"/>
            <w:shd w:val="clear" w:color="auto" w:fill="auto"/>
          </w:tcPr>
          <w:p w:rsidR="00697BCD" w:rsidRDefault="00697BCD" w:rsidP="00624E11">
            <w:pPr>
              <w:pStyle w:val="Tabletext-right"/>
            </w:pPr>
            <w:r>
              <w:t>93%</w:t>
            </w:r>
          </w:p>
        </w:tc>
        <w:tc>
          <w:tcPr>
            <w:tcW w:w="648" w:type="pct"/>
            <w:shd w:val="clear" w:color="auto" w:fill="auto"/>
          </w:tcPr>
          <w:p w:rsidR="00697BCD" w:rsidRDefault="00697BCD" w:rsidP="00624E11">
            <w:pPr>
              <w:pStyle w:val="Tabletext-right"/>
            </w:pPr>
            <w:r>
              <w:t>91%</w:t>
            </w:r>
          </w:p>
        </w:tc>
        <w:tc>
          <w:tcPr>
            <w:tcW w:w="648" w:type="pct"/>
            <w:shd w:val="clear" w:color="auto" w:fill="auto"/>
          </w:tcPr>
          <w:p w:rsidR="00697BCD" w:rsidRDefault="00697BCD" w:rsidP="00624E11">
            <w:pPr>
              <w:pStyle w:val="Tabletext-right"/>
            </w:pPr>
            <w:r>
              <w:t>89%</w:t>
            </w:r>
          </w:p>
        </w:tc>
      </w:tr>
      <w:tr w:rsidR="00697BCD" w:rsidRPr="00391B03" w:rsidTr="00391B03">
        <w:trPr>
          <w:trHeight w:val="340"/>
        </w:trPr>
        <w:tc>
          <w:tcPr>
            <w:tcW w:w="1111" w:type="pct"/>
            <w:shd w:val="clear" w:color="auto" w:fill="auto"/>
          </w:tcPr>
          <w:p w:rsidR="00697BCD" w:rsidRPr="00391B03" w:rsidRDefault="00697BCD" w:rsidP="00624E11">
            <w:pPr>
              <w:pStyle w:val="Tabletext"/>
            </w:pPr>
            <w:proofErr w:type="spellStart"/>
            <w:r w:rsidRPr="00391B03">
              <w:t>Urth</w:t>
            </w:r>
            <w:proofErr w:type="spellEnd"/>
            <w:r w:rsidRPr="00391B03">
              <w:t xml:space="preserve"> Energy</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100%</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 xml:space="preserve"> –</w:t>
            </w:r>
          </w:p>
        </w:tc>
        <w:tc>
          <w:tcPr>
            <w:tcW w:w="648" w:type="pct"/>
            <w:shd w:val="clear" w:color="auto" w:fill="auto"/>
          </w:tcPr>
          <w:p w:rsidR="00697BCD" w:rsidRDefault="00697BCD" w:rsidP="00624E11">
            <w:pPr>
              <w:pStyle w:val="Tabletext-right"/>
            </w:pPr>
            <w:r>
              <w:t>91%</w:t>
            </w:r>
          </w:p>
        </w:tc>
      </w:tr>
    </w:tbl>
    <w:p w:rsidR="00697BCD" w:rsidRDefault="00697BCD">
      <w:pPr>
        <w:spacing w:before="113"/>
      </w:pPr>
    </w:p>
    <w:p w:rsidR="00697BCD" w:rsidRDefault="00697BCD" w:rsidP="00697BCD">
      <w:proofErr w:type="spellStart"/>
      <w:r>
        <w:t>Alinta</w:t>
      </w:r>
      <w:proofErr w:type="spellEnd"/>
      <w:r>
        <w:t xml:space="preserve"> Energy has failed to meet the telephone responsiveness service standard for the last four years (</w:t>
      </w:r>
      <w:proofErr w:type="spellStart"/>
      <w:r>
        <w:t>Alinta</w:t>
      </w:r>
      <w:proofErr w:type="spellEnd"/>
      <w:r>
        <w:t xml:space="preserve"> Energy reported 76 per cent of telephone calls answered within 30 seconds for 2012–13).</w:t>
      </w:r>
    </w:p>
    <w:p w:rsidR="004E72E5" w:rsidRPr="00391B03" w:rsidRDefault="004E72E5">
      <w:pPr>
        <w:rPr>
          <w:rFonts w:eastAsia="Times New Roman"/>
          <w:b/>
          <w:bCs/>
          <w:color w:val="51626F"/>
          <w:sz w:val="28"/>
          <w:szCs w:val="26"/>
        </w:rPr>
      </w:pPr>
    </w:p>
    <w:p w:rsidR="00697BCD" w:rsidRDefault="00EC4210" w:rsidP="00697BCD">
      <w:pPr>
        <w:pStyle w:val="Heading2"/>
      </w:pPr>
      <w:bookmarkStart w:id="63" w:name="_Toc467665347"/>
      <w:r>
        <w:br w:type="page"/>
      </w:r>
      <w:r w:rsidR="00697BCD">
        <w:t xml:space="preserve">Appendix 3: </w:t>
      </w:r>
      <w:r w:rsidR="00697BCD">
        <w:tab/>
        <w:t>Distribution service standards, associated GSL schemes and small claims compensation regimes</w:t>
      </w:r>
      <w:bookmarkEnd w:id="63"/>
    </w:p>
    <w:p w:rsidR="00697BCD" w:rsidRDefault="00697BCD" w:rsidP="00697BCD">
      <w:pPr>
        <w:rPr>
          <w:rStyle w:val="FootnoteReference1"/>
        </w:rPr>
      </w:pPr>
      <w:r>
        <w:t>Section 285 of the Retail Law specifies that a retail market performance report must include, amongst other things, a report on the performance of distributors by reference to distributor service standards and associated Guaranteed Service Level (GSL) schemes.</w:t>
      </w:r>
      <w:r w:rsidRPr="009D1DEC">
        <w:rPr>
          <w:rStyle w:val="Superscript"/>
        </w:rPr>
        <w:footnoteReference w:id="49"/>
      </w:r>
      <w:r>
        <w:t xml:space="preserve"> The Retail Law defines distributor service standards as service standards imposed on distributors by or under energy laws</w:t>
      </w:r>
      <w:r w:rsidRPr="009D1DEC">
        <w:rPr>
          <w:rStyle w:val="Superscript"/>
        </w:rPr>
        <w:footnoteReference w:id="50"/>
      </w:r>
      <w:r>
        <w:t>, including, for example, service standards relating to the following:</w:t>
      </w:r>
      <w:r w:rsidRPr="009D1DEC">
        <w:rPr>
          <w:rStyle w:val="Superscript"/>
        </w:rPr>
        <w:footnoteReference w:id="51"/>
      </w:r>
    </w:p>
    <w:p w:rsidR="00697BCD" w:rsidRDefault="00697BCD" w:rsidP="00697BCD">
      <w:pPr>
        <w:pStyle w:val="ListBullet"/>
      </w:pPr>
      <w:r>
        <w:t>the frequency and duration of supply interruptions</w:t>
      </w:r>
    </w:p>
    <w:p w:rsidR="00697BCD" w:rsidRDefault="00697BCD" w:rsidP="00697BCD">
      <w:pPr>
        <w:pStyle w:val="ListBullet"/>
      </w:pPr>
      <w:r>
        <w:t>the timely notice of planned interruptions</w:t>
      </w:r>
    </w:p>
    <w:p w:rsidR="00697BCD" w:rsidRDefault="00697BCD" w:rsidP="00697BCD">
      <w:pPr>
        <w:pStyle w:val="ListBullet"/>
      </w:pPr>
      <w:r>
        <w:t>the quality of supply (excluding frequency) for electricity (including voltage variations)</w:t>
      </w:r>
    </w:p>
    <w:p w:rsidR="00697BCD" w:rsidRDefault="00697BCD" w:rsidP="00697BCD">
      <w:pPr>
        <w:pStyle w:val="ListBullet"/>
      </w:pPr>
      <w:r>
        <w:t>wrongful de-energisation (disconnection)</w:t>
      </w:r>
    </w:p>
    <w:p w:rsidR="00697BCD" w:rsidRDefault="00697BCD" w:rsidP="00697BCD">
      <w:pPr>
        <w:pStyle w:val="ListBullet"/>
      </w:pPr>
      <w:r>
        <w:t>timeframes for de-energisation and re-energisation (reconnection)</w:t>
      </w:r>
    </w:p>
    <w:p w:rsidR="00697BCD" w:rsidRDefault="00697BCD" w:rsidP="00697BCD">
      <w:pPr>
        <w:pStyle w:val="ListBullet"/>
      </w:pPr>
      <w:r>
        <w:t>being on time for appointments</w:t>
      </w:r>
    </w:p>
    <w:p w:rsidR="00697BCD" w:rsidRDefault="00697BCD" w:rsidP="00697BCD">
      <w:pPr>
        <w:pStyle w:val="ListBullet"/>
      </w:pPr>
      <w:r>
        <w:t>response time for fault calls</w:t>
      </w:r>
    </w:p>
    <w:p w:rsidR="00697BCD" w:rsidRDefault="00697BCD" w:rsidP="00697BCD">
      <w:pPr>
        <w:pStyle w:val="ListBullet"/>
      </w:pPr>
      <w:proofErr w:type="gramStart"/>
      <w:r>
        <w:t>the</w:t>
      </w:r>
      <w:proofErr w:type="gramEnd"/>
      <w:r>
        <w:t xml:space="preserve"> provision of fault information.</w:t>
      </w:r>
    </w:p>
    <w:p w:rsidR="00697BCD" w:rsidRDefault="00697BCD" w:rsidP="00697BCD">
      <w:r>
        <w:t>A number of service standards are set by the individual jurisdictions and therefore differ between individual states and territories. The following tables summarise distributors’ performance against their respective jurisdictional service standards and GSL schemes.</w:t>
      </w:r>
    </w:p>
    <w:p w:rsidR="00697BCD" w:rsidRDefault="00697BCD" w:rsidP="004E72E5">
      <w:pPr>
        <w:pStyle w:val="Heading3"/>
      </w:pPr>
      <w:bookmarkStart w:id="64" w:name="_Toc467665348"/>
      <w:r>
        <w:t>Summary of distributor performance</w:t>
      </w:r>
      <w:bookmarkEnd w:id="64"/>
    </w:p>
    <w:p w:rsidR="00697BCD" w:rsidRDefault="00697BCD" w:rsidP="004E72E5">
      <w:pPr>
        <w:pStyle w:val="Heading4"/>
      </w:pPr>
      <w:r>
        <w:t>Queensland</w:t>
      </w:r>
    </w:p>
    <w:p w:rsidR="00697BCD" w:rsidRDefault="00697BCD" w:rsidP="00697BCD">
      <w:pPr>
        <w:pStyle w:val="ListBullet"/>
      </w:pPr>
      <w:r>
        <w:t>Energex and Ergon paid a total of $795 585 and $877 674 in GSL compensation payments.</w:t>
      </w:r>
    </w:p>
    <w:p w:rsidR="00697BCD" w:rsidRDefault="00697BCD" w:rsidP="00697BCD">
      <w:pPr>
        <w:pStyle w:val="ListBullet"/>
      </w:pPr>
      <w:r>
        <w:t xml:space="preserve">Ergon had roughly twice as many connections not provided by the agreed date as </w:t>
      </w:r>
      <w:proofErr w:type="gramStart"/>
      <w:r>
        <w:t>Energex,</w:t>
      </w:r>
      <w:proofErr w:type="gramEnd"/>
      <w:r>
        <w:t xml:space="preserve"> however Energex had roughly four times as many instances of reconnections not being provided within the required time as Ergon. </w:t>
      </w:r>
    </w:p>
    <w:p w:rsidR="00697BCD" w:rsidRDefault="00697BCD" w:rsidP="004E72E5">
      <w:pPr>
        <w:pStyle w:val="Heading4"/>
      </w:pPr>
      <w:r>
        <w:t>New South Wales</w:t>
      </w:r>
    </w:p>
    <w:p w:rsidR="00697BCD" w:rsidRDefault="00697BCD" w:rsidP="00697BCD">
      <w:pPr>
        <w:pStyle w:val="ListBullet"/>
      </w:pPr>
      <w:r>
        <w:t>On a pro rata basis, the number of customer complaints received by Endeavour Energy was the lowest in the state.</w:t>
      </w:r>
    </w:p>
    <w:p w:rsidR="00697BCD" w:rsidRDefault="00697BCD" w:rsidP="00697BCD">
      <w:pPr>
        <w:pStyle w:val="ListBullet"/>
      </w:pPr>
      <w:r>
        <w:t xml:space="preserve">Endeavour Energy had a slightly higher rate of telephone calls compared to the other New South Wales distributors. Essential Energy had the highest rate of abandoned phone calls. </w:t>
      </w:r>
    </w:p>
    <w:p w:rsidR="00697BCD" w:rsidRDefault="00697BCD" w:rsidP="00697BCD">
      <w:pPr>
        <w:pStyle w:val="ListBullet"/>
      </w:pPr>
      <w:proofErr w:type="spellStart"/>
      <w:r>
        <w:t>Ausgrid</w:t>
      </w:r>
      <w:proofErr w:type="spellEnd"/>
      <w:r>
        <w:t xml:space="preserve"> reported a low percentage of calls answered within 30 seconds (32 per cent), however this increased from 23 per cent in 2014–15.</w:t>
      </w:r>
    </w:p>
    <w:p w:rsidR="00697BCD" w:rsidRDefault="00697BCD" w:rsidP="00697BCD">
      <w:pPr>
        <w:pStyle w:val="ListBullet"/>
      </w:pPr>
      <w:r>
        <w:t>Faulty street light repairs were actioned within the 12 business day window in the majority of cases.</w:t>
      </w:r>
    </w:p>
    <w:p w:rsidR="00697BCD" w:rsidRDefault="00697BCD" w:rsidP="00697BCD">
      <w:pPr>
        <w:pStyle w:val="ListBullet"/>
      </w:pPr>
      <w:proofErr w:type="spellStart"/>
      <w:r>
        <w:t>Ausgrid</w:t>
      </w:r>
      <w:proofErr w:type="spellEnd"/>
      <w:r>
        <w:t xml:space="preserve"> and Essential Energy reported no instances of connections not being made on time, and Endeavour Energy reported seven instances. </w:t>
      </w:r>
    </w:p>
    <w:p w:rsidR="00697BCD" w:rsidRPr="00F049B4" w:rsidRDefault="00697BCD" w:rsidP="004E72E5">
      <w:pPr>
        <w:pStyle w:val="Heading4"/>
        <w:rPr>
          <w:rStyle w:val="Strong"/>
        </w:rPr>
      </w:pPr>
      <w:r>
        <w:lastRenderedPageBreak/>
        <w:t>South Australia</w:t>
      </w:r>
    </w:p>
    <w:p w:rsidR="00697BCD" w:rsidRDefault="00697BCD" w:rsidP="00697BCD">
      <w:pPr>
        <w:pStyle w:val="ListBullet"/>
      </w:pPr>
      <w:r>
        <w:t>Overall SAPN reliability levels are relatively good compared to the national averages (taking into account the mix of urban and rural service areas).</w:t>
      </w:r>
    </w:p>
    <w:p w:rsidR="00697BCD" w:rsidRDefault="00697BCD" w:rsidP="00697BCD">
      <w:pPr>
        <w:pStyle w:val="ListBullet"/>
      </w:pPr>
      <w:r>
        <w:t>Compensation paid to customers where the duration of supply interruptions exceeded the threshold amount was $1 905 605, down from $2 371 405 in 2014–15.</w:t>
      </w:r>
    </w:p>
    <w:p w:rsidR="00697BCD" w:rsidRDefault="00697BCD" w:rsidP="00697BCD">
      <w:pPr>
        <w:pStyle w:val="ListBullet"/>
      </w:pPr>
      <w:r>
        <w:t>SAPN reported a high proportion of calls answered within 30 seconds.</w:t>
      </w:r>
    </w:p>
    <w:p w:rsidR="00697BCD" w:rsidRDefault="00697BCD" w:rsidP="00697BCD">
      <w:pPr>
        <w:pStyle w:val="ListBullet"/>
      </w:pPr>
      <w:r>
        <w:t>Street light repairs were typically undertaken within the performance targets—96% in CBD, metropolitan and major regional areas and almost 100 per cent in country areas.</w:t>
      </w:r>
    </w:p>
    <w:p w:rsidR="00697BCD" w:rsidRDefault="00697BCD" w:rsidP="00697BCD">
      <w:pPr>
        <w:pStyle w:val="ListBullet"/>
      </w:pPr>
      <w:r>
        <w:t xml:space="preserve">SAPN reported two instances of appointments with customers where a SAPN representative was more than 15 minutes late out of a total of 30 214 appointments. </w:t>
      </w:r>
    </w:p>
    <w:p w:rsidR="00697BCD" w:rsidRPr="00F049B4" w:rsidRDefault="00697BCD" w:rsidP="004E72E5">
      <w:pPr>
        <w:pStyle w:val="Heading4"/>
        <w:rPr>
          <w:rStyle w:val="Strong"/>
        </w:rPr>
      </w:pPr>
      <w:r>
        <w:t>ACT</w:t>
      </w:r>
    </w:p>
    <w:p w:rsidR="00697BCD" w:rsidRDefault="00697BCD" w:rsidP="00697BCD">
      <w:pPr>
        <w:pStyle w:val="ListBullet"/>
      </w:pPr>
      <w:r>
        <w:t xml:space="preserve">Overall </w:t>
      </w:r>
      <w:proofErr w:type="spellStart"/>
      <w:r>
        <w:t>ActewAGL</w:t>
      </w:r>
      <w:proofErr w:type="spellEnd"/>
      <w:r>
        <w:t xml:space="preserve"> reliability levels are relatively good compared to the national averages (taking into account the mix of urban and rural service areas).</w:t>
      </w:r>
    </w:p>
    <w:p w:rsidR="00697BCD" w:rsidRDefault="00697BCD" w:rsidP="00697BCD">
      <w:pPr>
        <w:pStyle w:val="ListBullet"/>
      </w:pPr>
      <w:r>
        <w:t xml:space="preserve">There were 54 instances where </w:t>
      </w:r>
      <w:proofErr w:type="spellStart"/>
      <w:r>
        <w:t>ActewAGL</w:t>
      </w:r>
      <w:proofErr w:type="spellEnd"/>
      <w:r>
        <w:t xml:space="preserve"> did not provide at least 4 business days’ notice of a planned interruption, down from 298 in 2015–16.</w:t>
      </w:r>
    </w:p>
    <w:p w:rsidR="00697BCD" w:rsidRPr="00F049B4" w:rsidRDefault="00697BCD" w:rsidP="004E72E5">
      <w:pPr>
        <w:pStyle w:val="Heading4"/>
        <w:rPr>
          <w:rStyle w:val="Strong"/>
        </w:rPr>
      </w:pPr>
      <w:r>
        <w:t>Tasmania</w:t>
      </w:r>
    </w:p>
    <w:p w:rsidR="00697BCD" w:rsidRDefault="00697BCD" w:rsidP="00697BCD">
      <w:pPr>
        <w:pStyle w:val="ListBullet"/>
      </w:pPr>
      <w:proofErr w:type="spellStart"/>
      <w:r>
        <w:t>TasNetworks</w:t>
      </w:r>
      <w:proofErr w:type="spellEnd"/>
      <w:r>
        <w:t xml:space="preserve"> reported receiving 479 customer complaints in the period—a relatively low number compared to other distributors. </w:t>
      </w:r>
    </w:p>
    <w:p w:rsidR="00697BCD" w:rsidRDefault="00697BCD" w:rsidP="00697BCD">
      <w:pPr>
        <w:pStyle w:val="ListBullet"/>
      </w:pPr>
      <w:r>
        <w:t xml:space="preserve">The number of instances where </w:t>
      </w:r>
      <w:proofErr w:type="spellStart"/>
      <w:r>
        <w:t>TasNetworks</w:t>
      </w:r>
      <w:proofErr w:type="spellEnd"/>
      <w:r>
        <w:t xml:space="preserve"> did not provide sufficient notice of a planned interruption was relatively low at 56 customers for the period.</w:t>
      </w:r>
    </w:p>
    <w:p w:rsidR="00697BCD" w:rsidRDefault="00697BCD" w:rsidP="00697BCD">
      <w:pPr>
        <w:pStyle w:val="ListBullet"/>
      </w:pPr>
      <w:proofErr w:type="spellStart"/>
      <w:r>
        <w:t>TasNetworks</w:t>
      </w:r>
      <w:proofErr w:type="spellEnd"/>
      <w:r>
        <w:t xml:space="preserve"> reported a total of $1 222 240 in payments for exceeding minimum restorations times, which is around $2 million less than 2014–15. </w:t>
      </w:r>
    </w:p>
    <w:p w:rsidR="00697BCD" w:rsidRDefault="00697BCD" w:rsidP="00697BCD">
      <w:pPr>
        <w:pStyle w:val="Tabletitle"/>
      </w:pPr>
      <w:r>
        <w:t>Table A.1:</w:t>
      </w:r>
      <w:r>
        <w:tab/>
        <w:t>Queensland electricity distributor performance, 2015–16</w:t>
      </w:r>
    </w:p>
    <w:tbl>
      <w:tblPr>
        <w:tblW w:w="5000" w:type="pct"/>
        <w:tblBorders>
          <w:top w:val="single" w:sz="4" w:space="0" w:color="BFBFBF"/>
          <w:bottom w:val="single" w:sz="4" w:space="0" w:color="BFBFBF"/>
        </w:tblBorders>
        <w:tblLook w:val="0000" w:firstRow="0" w:lastRow="0" w:firstColumn="0" w:lastColumn="0" w:noHBand="0" w:noVBand="0"/>
      </w:tblPr>
      <w:tblGrid>
        <w:gridCol w:w="6536"/>
        <w:gridCol w:w="1546"/>
        <w:gridCol w:w="1546"/>
      </w:tblGrid>
      <w:tr w:rsidR="00697BCD" w:rsidRPr="00391B03" w:rsidTr="00391B03">
        <w:trPr>
          <w:trHeight w:val="60"/>
        </w:trPr>
        <w:tc>
          <w:tcPr>
            <w:tcW w:w="339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03" w:type="pct"/>
            <w:shd w:val="clear" w:color="auto" w:fill="auto"/>
          </w:tcPr>
          <w:p w:rsidR="00697BCD" w:rsidRDefault="00697BCD" w:rsidP="006B1E9F">
            <w:pPr>
              <w:pStyle w:val="TableHeading-right"/>
            </w:pPr>
            <w:r>
              <w:t>Energex</w:t>
            </w:r>
          </w:p>
        </w:tc>
        <w:tc>
          <w:tcPr>
            <w:tcW w:w="803" w:type="pct"/>
            <w:shd w:val="clear" w:color="auto" w:fill="auto"/>
          </w:tcPr>
          <w:p w:rsidR="00697BCD" w:rsidRDefault="00697BCD" w:rsidP="006B1E9F">
            <w:pPr>
              <w:pStyle w:val="TableHeading-right"/>
            </w:pPr>
            <w:r>
              <w:t>Ergon</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GSL</w:t>
            </w: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Wrongful disconnections</w:t>
            </w:r>
          </w:p>
        </w:tc>
        <w:tc>
          <w:tcPr>
            <w:tcW w:w="803" w:type="pct"/>
            <w:shd w:val="clear" w:color="auto" w:fill="auto"/>
          </w:tcPr>
          <w:p w:rsidR="00697BCD" w:rsidRDefault="00697BCD" w:rsidP="00624E11">
            <w:pPr>
              <w:pStyle w:val="Tabletext-right"/>
            </w:pPr>
            <w:r>
              <w:t>109</w:t>
            </w:r>
          </w:p>
        </w:tc>
        <w:tc>
          <w:tcPr>
            <w:tcW w:w="803" w:type="pct"/>
            <w:shd w:val="clear" w:color="auto" w:fill="auto"/>
          </w:tcPr>
          <w:p w:rsidR="00697BCD" w:rsidRDefault="00697BCD" w:rsidP="00624E11">
            <w:pPr>
              <w:pStyle w:val="Tabletext-right"/>
            </w:pPr>
            <w:r>
              <w:t>125</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$15 274</w:t>
            </w:r>
          </w:p>
        </w:tc>
        <w:tc>
          <w:tcPr>
            <w:tcW w:w="803" w:type="pct"/>
            <w:shd w:val="clear" w:color="auto" w:fill="auto"/>
          </w:tcPr>
          <w:p w:rsidR="00697BCD" w:rsidRDefault="00697BCD" w:rsidP="00624E11">
            <w:pPr>
              <w:pStyle w:val="Tabletext-right"/>
            </w:pPr>
            <w:r>
              <w:t>$17 666</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Connection not provided by the agreed date</w:t>
            </w:r>
          </w:p>
        </w:tc>
        <w:tc>
          <w:tcPr>
            <w:tcW w:w="803" w:type="pct"/>
            <w:shd w:val="clear" w:color="auto" w:fill="auto"/>
          </w:tcPr>
          <w:p w:rsidR="00697BCD" w:rsidRDefault="00697BCD" w:rsidP="00624E11">
            <w:pPr>
              <w:pStyle w:val="Tabletext-right"/>
            </w:pPr>
            <w:r>
              <w:t>36</w:t>
            </w:r>
          </w:p>
        </w:tc>
        <w:tc>
          <w:tcPr>
            <w:tcW w:w="803" w:type="pct"/>
            <w:shd w:val="clear" w:color="auto" w:fill="auto"/>
          </w:tcPr>
          <w:p w:rsidR="00697BCD" w:rsidRDefault="00697BCD" w:rsidP="00624E11">
            <w:pPr>
              <w:pStyle w:val="Tabletext-right"/>
            </w:pPr>
            <w:r>
              <w:t>70</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$4 322</w:t>
            </w:r>
          </w:p>
        </w:tc>
        <w:tc>
          <w:tcPr>
            <w:tcW w:w="803" w:type="pct"/>
            <w:shd w:val="clear" w:color="auto" w:fill="auto"/>
          </w:tcPr>
          <w:p w:rsidR="00697BCD" w:rsidRDefault="00697BCD" w:rsidP="00624E11">
            <w:pPr>
              <w:pStyle w:val="Tabletext-right"/>
            </w:pPr>
            <w:r>
              <w:t>$8 874</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Reconnection not provided within the required time</w:t>
            </w:r>
          </w:p>
        </w:tc>
        <w:tc>
          <w:tcPr>
            <w:tcW w:w="803" w:type="pct"/>
            <w:shd w:val="clear" w:color="auto" w:fill="auto"/>
          </w:tcPr>
          <w:p w:rsidR="00697BCD" w:rsidRDefault="00697BCD" w:rsidP="00624E11">
            <w:pPr>
              <w:pStyle w:val="Tabletext-right"/>
            </w:pPr>
            <w:r>
              <w:t>138</w:t>
            </w:r>
          </w:p>
        </w:tc>
        <w:tc>
          <w:tcPr>
            <w:tcW w:w="803" w:type="pct"/>
            <w:shd w:val="clear" w:color="auto" w:fill="auto"/>
          </w:tcPr>
          <w:p w:rsidR="00697BCD" w:rsidRDefault="00697BCD" w:rsidP="00624E11">
            <w:pPr>
              <w:pStyle w:val="Tabletext-right"/>
            </w:pPr>
            <w:r>
              <w:t>32</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$14 534</w:t>
            </w:r>
          </w:p>
        </w:tc>
        <w:tc>
          <w:tcPr>
            <w:tcW w:w="803" w:type="pct"/>
            <w:shd w:val="clear" w:color="auto" w:fill="auto"/>
          </w:tcPr>
          <w:p w:rsidR="00697BCD" w:rsidRDefault="00697BCD" w:rsidP="00624E11">
            <w:pPr>
              <w:pStyle w:val="Tabletext-right"/>
            </w:pPr>
            <w:r>
              <w:t>$4 985</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Failure to attend to customer’s premises within the time required concerning loss of hot water supply</w:t>
            </w:r>
          </w:p>
        </w:tc>
        <w:tc>
          <w:tcPr>
            <w:tcW w:w="803" w:type="pct"/>
            <w:shd w:val="clear" w:color="auto" w:fill="auto"/>
          </w:tcPr>
          <w:p w:rsidR="00697BCD" w:rsidRDefault="00697BCD" w:rsidP="00624E11">
            <w:pPr>
              <w:pStyle w:val="Tabletext-right"/>
            </w:pPr>
            <w:r>
              <w:t>1</w:t>
            </w:r>
          </w:p>
        </w:tc>
        <w:tc>
          <w:tcPr>
            <w:tcW w:w="803" w:type="pct"/>
            <w:shd w:val="clear" w:color="auto" w:fill="auto"/>
          </w:tcPr>
          <w:p w:rsidR="00697BCD" w:rsidRDefault="00697BCD" w:rsidP="00624E11">
            <w:pPr>
              <w:pStyle w:val="Tabletext-right"/>
            </w:pPr>
            <w:r>
              <w:t>1</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$171</w:t>
            </w:r>
          </w:p>
        </w:tc>
        <w:tc>
          <w:tcPr>
            <w:tcW w:w="803" w:type="pct"/>
            <w:shd w:val="clear" w:color="auto" w:fill="auto"/>
          </w:tcPr>
          <w:p w:rsidR="00697BCD" w:rsidRDefault="00697BCD" w:rsidP="00624E11">
            <w:pPr>
              <w:pStyle w:val="Tabletext-right"/>
            </w:pPr>
            <w:r>
              <w:t>$57</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Failure to attend appointments on time</w:t>
            </w:r>
          </w:p>
        </w:tc>
        <w:tc>
          <w:tcPr>
            <w:tcW w:w="803" w:type="pct"/>
            <w:shd w:val="clear" w:color="auto" w:fill="auto"/>
          </w:tcPr>
          <w:p w:rsidR="00697BCD" w:rsidRDefault="00697BCD" w:rsidP="00624E11">
            <w:pPr>
              <w:pStyle w:val="Tabletext-right"/>
            </w:pPr>
            <w:r>
              <w:t>252</w:t>
            </w:r>
          </w:p>
        </w:tc>
        <w:tc>
          <w:tcPr>
            <w:tcW w:w="803" w:type="pct"/>
            <w:shd w:val="clear" w:color="auto" w:fill="auto"/>
          </w:tcPr>
          <w:p w:rsidR="00697BCD" w:rsidRDefault="00697BCD" w:rsidP="00624E11">
            <w:pPr>
              <w:pStyle w:val="Tabletext-right"/>
            </w:pPr>
            <w:r>
              <w:t>891</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$14 254</w:t>
            </w:r>
          </w:p>
        </w:tc>
        <w:tc>
          <w:tcPr>
            <w:tcW w:w="803" w:type="pct"/>
            <w:shd w:val="clear" w:color="auto" w:fill="auto"/>
          </w:tcPr>
          <w:p w:rsidR="00697BCD" w:rsidRDefault="00697BCD" w:rsidP="00624E11">
            <w:pPr>
              <w:pStyle w:val="Tabletext-right"/>
            </w:pPr>
            <w:r>
              <w:t>$50 803</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Notice of planned interruption to supply not given—small residential customers</w:t>
            </w:r>
          </w:p>
        </w:tc>
        <w:tc>
          <w:tcPr>
            <w:tcW w:w="803" w:type="pct"/>
            <w:shd w:val="clear" w:color="auto" w:fill="auto"/>
          </w:tcPr>
          <w:p w:rsidR="00697BCD" w:rsidRDefault="00697BCD" w:rsidP="00624E11">
            <w:pPr>
              <w:pStyle w:val="Tabletext-right"/>
            </w:pPr>
            <w:r>
              <w:t>1 448</w:t>
            </w:r>
          </w:p>
        </w:tc>
        <w:tc>
          <w:tcPr>
            <w:tcW w:w="803" w:type="pct"/>
            <w:shd w:val="clear" w:color="auto" w:fill="auto"/>
          </w:tcPr>
          <w:p w:rsidR="00697BCD" w:rsidRDefault="00697BCD" w:rsidP="00624E11">
            <w:pPr>
              <w:pStyle w:val="Tabletext-right"/>
            </w:pPr>
            <w:r>
              <w:t>1 743</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$40 354</w:t>
            </w:r>
          </w:p>
        </w:tc>
        <w:tc>
          <w:tcPr>
            <w:tcW w:w="803" w:type="pct"/>
            <w:shd w:val="clear" w:color="auto" w:fill="auto"/>
          </w:tcPr>
          <w:p w:rsidR="00697BCD" w:rsidRDefault="00697BCD" w:rsidP="00624E11">
            <w:pPr>
              <w:pStyle w:val="Tabletext-right"/>
            </w:pPr>
            <w:r>
              <w:t>$48 933</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lastRenderedPageBreak/>
              <w:t>Notice of planned interruption to supply not given—small business customers</w:t>
            </w:r>
          </w:p>
        </w:tc>
        <w:tc>
          <w:tcPr>
            <w:tcW w:w="803" w:type="pct"/>
            <w:shd w:val="clear" w:color="auto" w:fill="auto"/>
          </w:tcPr>
          <w:p w:rsidR="00697BCD" w:rsidRDefault="00697BCD" w:rsidP="00624E11">
            <w:pPr>
              <w:pStyle w:val="Tabletext-right"/>
            </w:pPr>
            <w:r>
              <w:t>144</w:t>
            </w:r>
          </w:p>
        </w:tc>
        <w:tc>
          <w:tcPr>
            <w:tcW w:w="803" w:type="pct"/>
            <w:shd w:val="clear" w:color="auto" w:fill="auto"/>
          </w:tcPr>
          <w:p w:rsidR="00697BCD" w:rsidRDefault="00697BCD" w:rsidP="00624E11">
            <w:pPr>
              <w:pStyle w:val="Tabletext-right"/>
            </w:pPr>
            <w:r>
              <w:t>236</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$10 176</w:t>
            </w:r>
          </w:p>
        </w:tc>
        <w:tc>
          <w:tcPr>
            <w:tcW w:w="803" w:type="pct"/>
            <w:shd w:val="clear" w:color="auto" w:fill="auto"/>
          </w:tcPr>
          <w:p w:rsidR="00697BCD" w:rsidRDefault="00697BCD" w:rsidP="00624E11">
            <w:pPr>
              <w:pStyle w:val="Tabletext-right"/>
            </w:pPr>
            <w:r>
              <w:t>$16 756</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Interruption duration GSL</w:t>
            </w:r>
          </w:p>
        </w:tc>
        <w:tc>
          <w:tcPr>
            <w:tcW w:w="803" w:type="pct"/>
            <w:shd w:val="clear" w:color="auto" w:fill="auto"/>
          </w:tcPr>
          <w:p w:rsidR="00697BCD" w:rsidRDefault="00697BCD" w:rsidP="00624E11">
            <w:pPr>
              <w:pStyle w:val="Tabletext-right"/>
            </w:pPr>
            <w:r>
              <w:t>6 110</w:t>
            </w:r>
          </w:p>
        </w:tc>
        <w:tc>
          <w:tcPr>
            <w:tcW w:w="803" w:type="pct"/>
            <w:shd w:val="clear" w:color="auto" w:fill="auto"/>
          </w:tcPr>
          <w:p w:rsidR="00697BCD" w:rsidRDefault="00697BCD" w:rsidP="00624E11">
            <w:pPr>
              <w:pStyle w:val="Tabletext-right"/>
            </w:pPr>
            <w:r>
              <w:t>6 342</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$696 500</w:t>
            </w:r>
          </w:p>
        </w:tc>
        <w:tc>
          <w:tcPr>
            <w:tcW w:w="803" w:type="pct"/>
            <w:shd w:val="clear" w:color="auto" w:fill="auto"/>
          </w:tcPr>
          <w:p w:rsidR="00697BCD" w:rsidRDefault="00697BCD" w:rsidP="00624E11">
            <w:pPr>
              <w:pStyle w:val="Tabletext-right"/>
            </w:pPr>
            <w:r>
              <w:t>$722 988</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Interruption frequency GSL</w:t>
            </w:r>
          </w:p>
        </w:tc>
        <w:tc>
          <w:tcPr>
            <w:tcW w:w="803" w:type="pct"/>
            <w:shd w:val="clear" w:color="auto" w:fill="auto"/>
          </w:tcPr>
          <w:p w:rsidR="00697BCD" w:rsidRDefault="00697BCD" w:rsidP="00624E11">
            <w:pPr>
              <w:pStyle w:val="Tabletext-right"/>
            </w:pPr>
            <w:r>
              <w:t>0</w:t>
            </w:r>
          </w:p>
        </w:tc>
        <w:tc>
          <w:tcPr>
            <w:tcW w:w="803" w:type="pct"/>
            <w:shd w:val="clear" w:color="auto" w:fill="auto"/>
          </w:tcPr>
          <w:p w:rsidR="00697BCD" w:rsidRDefault="00697BCD" w:rsidP="00624E11">
            <w:pPr>
              <w:pStyle w:val="Tabletext-right"/>
            </w:pPr>
            <w:r>
              <w:t>58</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Compensation paid</w:t>
            </w:r>
          </w:p>
        </w:tc>
        <w:tc>
          <w:tcPr>
            <w:tcW w:w="803" w:type="pct"/>
            <w:shd w:val="clear" w:color="auto" w:fill="auto"/>
          </w:tcPr>
          <w:p w:rsidR="00697BCD" w:rsidRDefault="00697BCD" w:rsidP="00624E11">
            <w:pPr>
              <w:pStyle w:val="Tabletext-right"/>
            </w:pPr>
            <w:r>
              <w:t>$0</w:t>
            </w:r>
          </w:p>
        </w:tc>
        <w:tc>
          <w:tcPr>
            <w:tcW w:w="803" w:type="pct"/>
            <w:shd w:val="clear" w:color="auto" w:fill="auto"/>
          </w:tcPr>
          <w:p w:rsidR="00697BCD" w:rsidRDefault="00697BCD" w:rsidP="00624E11">
            <w:pPr>
              <w:pStyle w:val="Tabletext-right"/>
            </w:pPr>
            <w:r>
              <w:t>$6 612</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Total GSL payments given</w:t>
            </w:r>
          </w:p>
        </w:tc>
        <w:tc>
          <w:tcPr>
            <w:tcW w:w="803" w:type="pct"/>
            <w:shd w:val="clear" w:color="auto" w:fill="auto"/>
          </w:tcPr>
          <w:p w:rsidR="00697BCD" w:rsidRDefault="00697BCD" w:rsidP="00624E11">
            <w:pPr>
              <w:pStyle w:val="Tabletext-right"/>
            </w:pPr>
            <w:r>
              <w:t>8 238</w:t>
            </w:r>
          </w:p>
        </w:tc>
        <w:tc>
          <w:tcPr>
            <w:tcW w:w="803" w:type="pct"/>
            <w:shd w:val="clear" w:color="auto" w:fill="auto"/>
          </w:tcPr>
          <w:p w:rsidR="00697BCD" w:rsidRDefault="00697BCD" w:rsidP="00624E11">
            <w:pPr>
              <w:pStyle w:val="Tabletext-right"/>
            </w:pPr>
            <w:r>
              <w:t>9 498</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Total Compensation paid</w:t>
            </w:r>
          </w:p>
        </w:tc>
        <w:tc>
          <w:tcPr>
            <w:tcW w:w="803" w:type="pct"/>
            <w:shd w:val="clear" w:color="auto" w:fill="auto"/>
          </w:tcPr>
          <w:p w:rsidR="00697BCD" w:rsidRDefault="00697BCD" w:rsidP="00624E11">
            <w:pPr>
              <w:pStyle w:val="Tabletext-right"/>
            </w:pPr>
            <w:r>
              <w:t>$795 585</w:t>
            </w:r>
          </w:p>
        </w:tc>
        <w:tc>
          <w:tcPr>
            <w:tcW w:w="803" w:type="pct"/>
            <w:shd w:val="clear" w:color="auto" w:fill="auto"/>
          </w:tcPr>
          <w:p w:rsidR="00697BCD" w:rsidRDefault="00697BCD" w:rsidP="00624E11">
            <w:pPr>
              <w:pStyle w:val="Tabletext-right"/>
            </w:pPr>
            <w:r>
              <w:t>$877 674</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Total System Average Interruption Duration Index (SAIDI)—(minutes)</w:t>
            </w: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Central Business District</w:t>
            </w:r>
          </w:p>
        </w:tc>
        <w:tc>
          <w:tcPr>
            <w:tcW w:w="803" w:type="pct"/>
            <w:shd w:val="clear" w:color="auto" w:fill="auto"/>
          </w:tcPr>
          <w:p w:rsidR="00697BCD" w:rsidRDefault="00697BCD" w:rsidP="00624E11">
            <w:pPr>
              <w:pStyle w:val="Tabletext-right"/>
            </w:pPr>
            <w:r>
              <w:t>28</w:t>
            </w:r>
          </w:p>
        </w:tc>
        <w:tc>
          <w:tcPr>
            <w:tcW w:w="803" w:type="pct"/>
            <w:shd w:val="clear" w:color="auto" w:fill="auto"/>
          </w:tcPr>
          <w:p w:rsidR="00697BCD" w:rsidRDefault="00697BCD" w:rsidP="00624E11">
            <w:pPr>
              <w:pStyle w:val="Tabletext-right"/>
            </w:pPr>
            <w:r>
              <w:t>–</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Urban</w:t>
            </w:r>
          </w:p>
        </w:tc>
        <w:tc>
          <w:tcPr>
            <w:tcW w:w="803" w:type="pct"/>
            <w:shd w:val="clear" w:color="auto" w:fill="auto"/>
          </w:tcPr>
          <w:p w:rsidR="00697BCD" w:rsidRDefault="00697BCD" w:rsidP="00624E11">
            <w:pPr>
              <w:pStyle w:val="Tabletext-right"/>
            </w:pPr>
            <w:r>
              <w:t>86</w:t>
            </w:r>
          </w:p>
        </w:tc>
        <w:tc>
          <w:tcPr>
            <w:tcW w:w="803" w:type="pct"/>
            <w:shd w:val="clear" w:color="auto" w:fill="auto"/>
          </w:tcPr>
          <w:p w:rsidR="00697BCD" w:rsidRDefault="00697BCD" w:rsidP="00624E11">
            <w:pPr>
              <w:pStyle w:val="Tabletext-right"/>
            </w:pPr>
            <w:r>
              <w:t>145</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Short rural</w:t>
            </w:r>
          </w:p>
        </w:tc>
        <w:tc>
          <w:tcPr>
            <w:tcW w:w="803" w:type="pct"/>
            <w:shd w:val="clear" w:color="auto" w:fill="auto"/>
          </w:tcPr>
          <w:p w:rsidR="00697BCD" w:rsidRDefault="00697BCD" w:rsidP="00624E11">
            <w:pPr>
              <w:pStyle w:val="Tabletext-right"/>
            </w:pPr>
            <w:r>
              <w:t>258</w:t>
            </w:r>
          </w:p>
        </w:tc>
        <w:tc>
          <w:tcPr>
            <w:tcW w:w="803" w:type="pct"/>
            <w:shd w:val="clear" w:color="auto" w:fill="auto"/>
          </w:tcPr>
          <w:p w:rsidR="00697BCD" w:rsidRDefault="00697BCD" w:rsidP="00624E11">
            <w:pPr>
              <w:pStyle w:val="Tabletext-right"/>
            </w:pPr>
            <w:r>
              <w:t>397</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Long rural</w:t>
            </w:r>
          </w:p>
        </w:tc>
        <w:tc>
          <w:tcPr>
            <w:tcW w:w="803" w:type="pct"/>
            <w:shd w:val="clear" w:color="auto" w:fill="auto"/>
          </w:tcPr>
          <w:p w:rsidR="00697BCD" w:rsidRDefault="00697BCD" w:rsidP="00624E11">
            <w:pPr>
              <w:pStyle w:val="Tabletext-right"/>
            </w:pPr>
            <w:r>
              <w:t>–</w:t>
            </w:r>
          </w:p>
        </w:tc>
        <w:tc>
          <w:tcPr>
            <w:tcW w:w="803" w:type="pct"/>
            <w:shd w:val="clear" w:color="auto" w:fill="auto"/>
          </w:tcPr>
          <w:p w:rsidR="00697BCD" w:rsidRDefault="00697BCD" w:rsidP="00624E11">
            <w:pPr>
              <w:pStyle w:val="Tabletext-right"/>
            </w:pPr>
            <w:r>
              <w:t>1040</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Total System Average Interruption Frequency Index (SAIFI)—(number)</w:t>
            </w: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0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Central Business District</w:t>
            </w:r>
          </w:p>
        </w:tc>
        <w:tc>
          <w:tcPr>
            <w:tcW w:w="803" w:type="pct"/>
            <w:shd w:val="clear" w:color="auto" w:fill="auto"/>
          </w:tcPr>
          <w:p w:rsidR="00697BCD" w:rsidRDefault="00697BCD" w:rsidP="00624E11">
            <w:pPr>
              <w:pStyle w:val="Tabletext-right"/>
            </w:pPr>
            <w:r>
              <w:t>0.13</w:t>
            </w:r>
          </w:p>
        </w:tc>
        <w:tc>
          <w:tcPr>
            <w:tcW w:w="803" w:type="pct"/>
            <w:shd w:val="clear" w:color="auto" w:fill="auto"/>
          </w:tcPr>
          <w:p w:rsidR="00697BCD" w:rsidRDefault="00697BCD" w:rsidP="00624E11">
            <w:pPr>
              <w:pStyle w:val="Tabletext-right"/>
            </w:pPr>
            <w:r>
              <w:t>–</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Urban</w:t>
            </w:r>
          </w:p>
        </w:tc>
        <w:tc>
          <w:tcPr>
            <w:tcW w:w="803" w:type="pct"/>
            <w:shd w:val="clear" w:color="auto" w:fill="auto"/>
          </w:tcPr>
          <w:p w:rsidR="00697BCD" w:rsidRDefault="00697BCD" w:rsidP="00624E11">
            <w:pPr>
              <w:pStyle w:val="Tabletext-right"/>
            </w:pPr>
            <w:r>
              <w:t>0.79</w:t>
            </w:r>
          </w:p>
        </w:tc>
        <w:tc>
          <w:tcPr>
            <w:tcW w:w="803" w:type="pct"/>
            <w:shd w:val="clear" w:color="auto" w:fill="auto"/>
          </w:tcPr>
          <w:p w:rsidR="00697BCD" w:rsidRDefault="00697BCD" w:rsidP="00624E11">
            <w:pPr>
              <w:pStyle w:val="Tabletext-right"/>
            </w:pPr>
            <w:r>
              <w:t>1.40</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Short rural</w:t>
            </w:r>
          </w:p>
        </w:tc>
        <w:tc>
          <w:tcPr>
            <w:tcW w:w="803" w:type="pct"/>
            <w:shd w:val="clear" w:color="auto" w:fill="auto"/>
          </w:tcPr>
          <w:p w:rsidR="00697BCD" w:rsidRDefault="00697BCD" w:rsidP="00624E11">
            <w:pPr>
              <w:pStyle w:val="Tabletext-right"/>
            </w:pPr>
            <w:r>
              <w:t>1.76</w:t>
            </w:r>
          </w:p>
        </w:tc>
        <w:tc>
          <w:tcPr>
            <w:tcW w:w="803" w:type="pct"/>
            <w:shd w:val="clear" w:color="auto" w:fill="auto"/>
          </w:tcPr>
          <w:p w:rsidR="00697BCD" w:rsidRDefault="00697BCD" w:rsidP="00624E11">
            <w:pPr>
              <w:pStyle w:val="Tabletext-right"/>
            </w:pPr>
            <w:r>
              <w:t>3.20</w:t>
            </w:r>
          </w:p>
        </w:tc>
      </w:tr>
      <w:tr w:rsidR="00697BCD" w:rsidRPr="00391B03" w:rsidTr="00391B03">
        <w:trPr>
          <w:trHeight w:val="60"/>
        </w:trPr>
        <w:tc>
          <w:tcPr>
            <w:tcW w:w="3394" w:type="pct"/>
            <w:shd w:val="clear" w:color="auto" w:fill="auto"/>
          </w:tcPr>
          <w:p w:rsidR="00697BCD" w:rsidRPr="00391B03" w:rsidRDefault="00697BCD" w:rsidP="00624E11">
            <w:pPr>
              <w:pStyle w:val="Tabletext"/>
            </w:pPr>
            <w:r w:rsidRPr="00391B03">
              <w:t>Long rural</w:t>
            </w:r>
          </w:p>
        </w:tc>
        <w:tc>
          <w:tcPr>
            <w:tcW w:w="803" w:type="pct"/>
            <w:shd w:val="clear" w:color="auto" w:fill="auto"/>
          </w:tcPr>
          <w:p w:rsidR="00697BCD" w:rsidRDefault="00697BCD" w:rsidP="00624E11">
            <w:pPr>
              <w:pStyle w:val="Tabletext-right"/>
            </w:pPr>
            <w:r>
              <w:t>–</w:t>
            </w:r>
          </w:p>
        </w:tc>
        <w:tc>
          <w:tcPr>
            <w:tcW w:w="803" w:type="pct"/>
            <w:shd w:val="clear" w:color="auto" w:fill="auto"/>
          </w:tcPr>
          <w:p w:rsidR="00697BCD" w:rsidRDefault="00697BCD" w:rsidP="00624E11">
            <w:pPr>
              <w:pStyle w:val="Tabletext-right"/>
            </w:pPr>
            <w:r>
              <w:t>7.18</w:t>
            </w:r>
          </w:p>
        </w:tc>
      </w:tr>
    </w:tbl>
    <w:p w:rsidR="00697BCD" w:rsidRDefault="00697BCD"/>
    <w:p w:rsidR="00697BCD" w:rsidRDefault="00697BCD" w:rsidP="00697BCD">
      <w:pPr>
        <w:pStyle w:val="Tabletitle"/>
        <w:rPr>
          <w:rStyle w:val="hiddenfootnoteref"/>
        </w:rPr>
      </w:pPr>
      <w:r>
        <w:t>Table A.2:</w:t>
      </w:r>
      <w:r>
        <w:tab/>
        <w:t>NSW electricity distributor performance, 2015–16</w:t>
      </w:r>
      <w:r>
        <w:rPr>
          <w:rStyle w:val="hiddenfootnoteref"/>
          <w:vertAlign w:val="superscript"/>
        </w:rPr>
        <w:footnoteReference w:id="52"/>
      </w:r>
      <w:r>
        <w:rPr>
          <w:rStyle w:val="hiddenfootnoteref"/>
        </w:rPr>
        <w:t xml:space="preserve"> </w:t>
      </w:r>
      <w:r>
        <w:rPr>
          <w:rStyle w:val="hiddenfootnoteref"/>
          <w:vertAlign w:val="superscript"/>
        </w:rPr>
        <w:footnoteReference w:id="53"/>
      </w:r>
    </w:p>
    <w:tbl>
      <w:tblPr>
        <w:tblW w:w="5000" w:type="pct"/>
        <w:tblBorders>
          <w:top w:val="single" w:sz="4" w:space="0" w:color="BFBFBF"/>
          <w:bottom w:val="single" w:sz="4" w:space="0" w:color="BFBFBF"/>
        </w:tblBorders>
        <w:tblLook w:val="0000" w:firstRow="0" w:lastRow="0" w:firstColumn="0" w:lastColumn="0" w:noHBand="0" w:noVBand="0"/>
      </w:tblPr>
      <w:tblGrid>
        <w:gridCol w:w="4694"/>
        <w:gridCol w:w="1645"/>
        <w:gridCol w:w="1645"/>
        <w:gridCol w:w="1644"/>
      </w:tblGrid>
      <w:tr w:rsidR="00697BCD" w:rsidRPr="00391B03" w:rsidTr="00391B03">
        <w:trPr>
          <w:trHeight w:val="398"/>
        </w:trPr>
        <w:tc>
          <w:tcPr>
            <w:tcW w:w="243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Default="00697BCD" w:rsidP="006B1E9F">
            <w:pPr>
              <w:pStyle w:val="TableHeading-right"/>
            </w:pPr>
            <w:proofErr w:type="spellStart"/>
            <w:r>
              <w:t>Ausgrid</w:t>
            </w:r>
            <w:proofErr w:type="spellEnd"/>
          </w:p>
        </w:tc>
        <w:tc>
          <w:tcPr>
            <w:tcW w:w="854" w:type="pct"/>
            <w:shd w:val="clear" w:color="auto" w:fill="auto"/>
          </w:tcPr>
          <w:p w:rsidR="00697BCD" w:rsidRDefault="00697BCD" w:rsidP="006B1E9F">
            <w:pPr>
              <w:pStyle w:val="TableHeading-right"/>
            </w:pPr>
            <w:r>
              <w:t>Endeavour Energy</w:t>
            </w:r>
          </w:p>
        </w:tc>
        <w:tc>
          <w:tcPr>
            <w:tcW w:w="854" w:type="pct"/>
            <w:shd w:val="clear" w:color="auto" w:fill="auto"/>
          </w:tcPr>
          <w:p w:rsidR="00697BCD" w:rsidRDefault="00697BCD" w:rsidP="006B1E9F">
            <w:pPr>
              <w:pStyle w:val="TableHeading-right"/>
            </w:pPr>
            <w:r>
              <w:t>Essential Energy</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Customers</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Total number of customers</w:t>
            </w:r>
          </w:p>
        </w:tc>
        <w:tc>
          <w:tcPr>
            <w:tcW w:w="854" w:type="pct"/>
            <w:shd w:val="clear" w:color="auto" w:fill="auto"/>
          </w:tcPr>
          <w:p w:rsidR="00697BCD" w:rsidRDefault="00697BCD" w:rsidP="00624E11">
            <w:pPr>
              <w:pStyle w:val="Tabletext-right"/>
            </w:pPr>
            <w:r>
              <w:t>1 697 604</w:t>
            </w:r>
          </w:p>
        </w:tc>
        <w:tc>
          <w:tcPr>
            <w:tcW w:w="854" w:type="pct"/>
            <w:shd w:val="clear" w:color="auto" w:fill="auto"/>
          </w:tcPr>
          <w:p w:rsidR="00697BCD" w:rsidRDefault="00697BCD" w:rsidP="00624E11">
            <w:pPr>
              <w:pStyle w:val="Tabletext-right"/>
            </w:pPr>
            <w:r>
              <w:t>951 801</w:t>
            </w:r>
          </w:p>
        </w:tc>
        <w:tc>
          <w:tcPr>
            <w:tcW w:w="854" w:type="pct"/>
            <w:shd w:val="clear" w:color="auto" w:fill="auto"/>
          </w:tcPr>
          <w:p w:rsidR="00697BCD" w:rsidRDefault="00697BCD" w:rsidP="00624E11">
            <w:pPr>
              <w:pStyle w:val="Tabletext-right"/>
            </w:pPr>
            <w:r>
              <w:t>834 594</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Residential customers</w:t>
            </w:r>
          </w:p>
        </w:tc>
        <w:tc>
          <w:tcPr>
            <w:tcW w:w="854" w:type="pct"/>
            <w:shd w:val="clear" w:color="auto" w:fill="auto"/>
          </w:tcPr>
          <w:p w:rsidR="00697BCD" w:rsidRDefault="00697BCD" w:rsidP="00624E11">
            <w:pPr>
              <w:pStyle w:val="Tabletext-right"/>
            </w:pPr>
            <w:r>
              <w:t>1 515 068</w:t>
            </w:r>
          </w:p>
        </w:tc>
        <w:tc>
          <w:tcPr>
            <w:tcW w:w="854" w:type="pct"/>
            <w:shd w:val="clear" w:color="auto" w:fill="auto"/>
          </w:tcPr>
          <w:p w:rsidR="00697BCD" w:rsidRDefault="00697BCD" w:rsidP="00624E11">
            <w:pPr>
              <w:pStyle w:val="Tabletext-right"/>
            </w:pPr>
            <w:r>
              <w:t>868 750</w:t>
            </w:r>
          </w:p>
        </w:tc>
        <w:tc>
          <w:tcPr>
            <w:tcW w:w="854" w:type="pct"/>
            <w:shd w:val="clear" w:color="auto" w:fill="auto"/>
          </w:tcPr>
          <w:p w:rsidR="00697BCD" w:rsidRDefault="00697BCD" w:rsidP="00624E11">
            <w:pPr>
              <w:pStyle w:val="Tabletext-right"/>
            </w:pPr>
            <w:r>
              <w:t>737 191</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Small non-residential customers</w:t>
            </w:r>
          </w:p>
        </w:tc>
        <w:tc>
          <w:tcPr>
            <w:tcW w:w="854" w:type="pct"/>
            <w:shd w:val="clear" w:color="auto" w:fill="auto"/>
          </w:tcPr>
          <w:p w:rsidR="00697BCD" w:rsidRDefault="00697BCD" w:rsidP="00624E11">
            <w:pPr>
              <w:pStyle w:val="Tabletext-right"/>
            </w:pPr>
            <w:r>
              <w:t>169 715</w:t>
            </w:r>
          </w:p>
        </w:tc>
        <w:tc>
          <w:tcPr>
            <w:tcW w:w="854" w:type="pct"/>
            <w:shd w:val="clear" w:color="auto" w:fill="auto"/>
          </w:tcPr>
          <w:p w:rsidR="00697BCD" w:rsidRDefault="00697BCD" w:rsidP="00624E11">
            <w:pPr>
              <w:pStyle w:val="Tabletext-right"/>
            </w:pPr>
            <w:r>
              <w:t>77 867</w:t>
            </w:r>
          </w:p>
        </w:tc>
        <w:tc>
          <w:tcPr>
            <w:tcW w:w="854" w:type="pct"/>
            <w:shd w:val="clear" w:color="auto" w:fill="auto"/>
          </w:tcPr>
          <w:p w:rsidR="00697BCD" w:rsidRDefault="00697BCD" w:rsidP="00624E11">
            <w:pPr>
              <w:pStyle w:val="Tabletext-right"/>
            </w:pPr>
            <w:r>
              <w:t>92 976</w:t>
            </w:r>
          </w:p>
        </w:tc>
      </w:tr>
      <w:tr w:rsidR="00697BCD" w:rsidRPr="00391B03" w:rsidTr="00391B03">
        <w:trPr>
          <w:trHeight w:val="60"/>
        </w:trPr>
        <w:tc>
          <w:tcPr>
            <w:tcW w:w="2437" w:type="pct"/>
            <w:shd w:val="clear" w:color="auto" w:fill="auto"/>
          </w:tcPr>
          <w:p w:rsidR="00697BCD" w:rsidRPr="00391B03" w:rsidRDefault="00697BCD" w:rsidP="00624E11">
            <w:pPr>
              <w:pStyle w:val="Tabletext"/>
              <w:rPr>
                <w:rStyle w:val="Strong"/>
              </w:rPr>
            </w:pPr>
            <w:r w:rsidRPr="00391B03">
              <w:rPr>
                <w:rStyle w:val="Strong"/>
              </w:rPr>
              <w:t>Complaints</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Total complaints received</w:t>
            </w:r>
          </w:p>
        </w:tc>
        <w:tc>
          <w:tcPr>
            <w:tcW w:w="854" w:type="pct"/>
            <w:shd w:val="clear" w:color="auto" w:fill="auto"/>
          </w:tcPr>
          <w:p w:rsidR="00697BCD" w:rsidRDefault="00697BCD" w:rsidP="00624E11">
            <w:pPr>
              <w:pStyle w:val="Tabletext-right"/>
            </w:pPr>
            <w:r>
              <w:t>7 281</w:t>
            </w:r>
            <w:r w:rsidRPr="009D1DEC">
              <w:rPr>
                <w:rStyle w:val="Superscript"/>
              </w:rPr>
              <w:t>52</w:t>
            </w:r>
          </w:p>
        </w:tc>
        <w:tc>
          <w:tcPr>
            <w:tcW w:w="854" w:type="pct"/>
            <w:shd w:val="clear" w:color="auto" w:fill="auto"/>
          </w:tcPr>
          <w:p w:rsidR="00697BCD" w:rsidRDefault="00697BCD" w:rsidP="00624E11">
            <w:pPr>
              <w:pStyle w:val="Tabletext-right"/>
            </w:pPr>
            <w:r>
              <w:t>2 179</w:t>
            </w:r>
          </w:p>
        </w:tc>
        <w:tc>
          <w:tcPr>
            <w:tcW w:w="854" w:type="pct"/>
            <w:shd w:val="clear" w:color="auto" w:fill="auto"/>
          </w:tcPr>
          <w:p w:rsidR="00697BCD" w:rsidRDefault="00697BCD" w:rsidP="00624E11">
            <w:pPr>
              <w:pStyle w:val="Tabletext-right"/>
            </w:pPr>
            <w:r>
              <w:t>3 845</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Residential (%)</w:t>
            </w:r>
          </w:p>
        </w:tc>
        <w:tc>
          <w:tcPr>
            <w:tcW w:w="854" w:type="pct"/>
            <w:shd w:val="clear" w:color="auto" w:fill="auto"/>
          </w:tcPr>
          <w:p w:rsidR="00697BCD" w:rsidRDefault="00697BCD" w:rsidP="00624E11">
            <w:pPr>
              <w:pStyle w:val="Tabletext-right"/>
            </w:pPr>
            <w:r>
              <w:t>N/A</w:t>
            </w:r>
          </w:p>
        </w:tc>
        <w:tc>
          <w:tcPr>
            <w:tcW w:w="854" w:type="pct"/>
            <w:shd w:val="clear" w:color="auto" w:fill="auto"/>
          </w:tcPr>
          <w:p w:rsidR="00697BCD" w:rsidRDefault="00697BCD" w:rsidP="00624E11">
            <w:pPr>
              <w:pStyle w:val="Tabletext-right"/>
            </w:pPr>
            <w:r>
              <w:t>93%</w:t>
            </w:r>
          </w:p>
        </w:tc>
        <w:tc>
          <w:tcPr>
            <w:tcW w:w="854" w:type="pct"/>
            <w:shd w:val="clear" w:color="auto" w:fill="auto"/>
          </w:tcPr>
          <w:p w:rsidR="00697BCD" w:rsidRDefault="00697BCD" w:rsidP="00624E11">
            <w:pPr>
              <w:pStyle w:val="Tabletext-right"/>
            </w:pPr>
            <w:r>
              <w:t>88%</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Small non-residential (%)</w:t>
            </w:r>
          </w:p>
        </w:tc>
        <w:tc>
          <w:tcPr>
            <w:tcW w:w="854" w:type="pct"/>
            <w:shd w:val="clear" w:color="auto" w:fill="auto"/>
          </w:tcPr>
          <w:p w:rsidR="00697BCD" w:rsidRDefault="00697BCD" w:rsidP="00624E11">
            <w:pPr>
              <w:pStyle w:val="Tabletext-right"/>
            </w:pPr>
            <w:r>
              <w:t>N/A</w:t>
            </w:r>
          </w:p>
        </w:tc>
        <w:tc>
          <w:tcPr>
            <w:tcW w:w="854" w:type="pct"/>
            <w:shd w:val="clear" w:color="auto" w:fill="auto"/>
          </w:tcPr>
          <w:p w:rsidR="00697BCD" w:rsidRDefault="00697BCD" w:rsidP="00624E11">
            <w:pPr>
              <w:pStyle w:val="Tabletext-right"/>
            </w:pPr>
            <w:r>
              <w:t>7%</w:t>
            </w:r>
          </w:p>
        </w:tc>
        <w:tc>
          <w:tcPr>
            <w:tcW w:w="854" w:type="pct"/>
            <w:shd w:val="clear" w:color="auto" w:fill="auto"/>
          </w:tcPr>
          <w:p w:rsidR="00697BCD" w:rsidRDefault="00697BCD" w:rsidP="00624E11">
            <w:pPr>
              <w:pStyle w:val="Tabletext-right"/>
            </w:pPr>
            <w:r>
              <w:t>12%</w:t>
            </w:r>
          </w:p>
        </w:tc>
      </w:tr>
      <w:tr w:rsidR="00697BCD" w:rsidRPr="00391B03" w:rsidTr="00391B03">
        <w:trPr>
          <w:trHeight w:val="288"/>
        </w:trPr>
        <w:tc>
          <w:tcPr>
            <w:tcW w:w="2437" w:type="pct"/>
            <w:shd w:val="clear" w:color="auto" w:fill="auto"/>
          </w:tcPr>
          <w:p w:rsidR="00697BCD" w:rsidRPr="00391B03" w:rsidRDefault="00697BCD" w:rsidP="00624E11">
            <w:pPr>
              <w:pStyle w:val="Tabletext"/>
            </w:pPr>
            <w:r w:rsidRPr="00391B03">
              <w:t>Telephone services</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lastRenderedPageBreak/>
              <w:t>Total calls received</w:t>
            </w:r>
          </w:p>
        </w:tc>
        <w:tc>
          <w:tcPr>
            <w:tcW w:w="854" w:type="pct"/>
            <w:shd w:val="clear" w:color="auto" w:fill="auto"/>
          </w:tcPr>
          <w:p w:rsidR="00697BCD" w:rsidRDefault="00697BCD" w:rsidP="00624E11">
            <w:pPr>
              <w:pStyle w:val="Tabletext-right"/>
            </w:pPr>
            <w:r>
              <w:t>534 840</w:t>
            </w:r>
          </w:p>
        </w:tc>
        <w:tc>
          <w:tcPr>
            <w:tcW w:w="854" w:type="pct"/>
            <w:shd w:val="clear" w:color="auto" w:fill="auto"/>
          </w:tcPr>
          <w:p w:rsidR="00697BCD" w:rsidRDefault="00697BCD" w:rsidP="00624E11">
            <w:pPr>
              <w:pStyle w:val="Tabletext-right"/>
            </w:pPr>
            <w:r>
              <w:t>338 004</w:t>
            </w:r>
          </w:p>
        </w:tc>
        <w:tc>
          <w:tcPr>
            <w:tcW w:w="854" w:type="pct"/>
            <w:shd w:val="clear" w:color="auto" w:fill="auto"/>
          </w:tcPr>
          <w:p w:rsidR="00697BCD" w:rsidRDefault="00697BCD" w:rsidP="00624E11">
            <w:pPr>
              <w:pStyle w:val="Tabletext-right"/>
            </w:pPr>
            <w:r>
              <w:t>256 213</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Calls answered within 30 seconds (%)</w:t>
            </w:r>
          </w:p>
        </w:tc>
        <w:tc>
          <w:tcPr>
            <w:tcW w:w="854" w:type="pct"/>
            <w:shd w:val="clear" w:color="auto" w:fill="auto"/>
          </w:tcPr>
          <w:p w:rsidR="00697BCD" w:rsidRDefault="00697BCD" w:rsidP="00624E11">
            <w:pPr>
              <w:pStyle w:val="Tabletext-right"/>
            </w:pPr>
            <w:r>
              <w:t>32%</w:t>
            </w:r>
          </w:p>
        </w:tc>
        <w:tc>
          <w:tcPr>
            <w:tcW w:w="854" w:type="pct"/>
            <w:shd w:val="clear" w:color="auto" w:fill="auto"/>
          </w:tcPr>
          <w:p w:rsidR="00697BCD" w:rsidRDefault="00697BCD" w:rsidP="00624E11">
            <w:pPr>
              <w:pStyle w:val="Tabletext-right"/>
            </w:pPr>
            <w:r>
              <w:t>90%</w:t>
            </w:r>
          </w:p>
        </w:tc>
        <w:tc>
          <w:tcPr>
            <w:tcW w:w="854" w:type="pct"/>
            <w:shd w:val="clear" w:color="auto" w:fill="auto"/>
          </w:tcPr>
          <w:p w:rsidR="00697BCD" w:rsidRDefault="00697BCD" w:rsidP="00624E11">
            <w:pPr>
              <w:pStyle w:val="Tabletext-right"/>
            </w:pPr>
            <w:r>
              <w:t>71%</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Calls abandoned (%)</w:t>
            </w:r>
          </w:p>
        </w:tc>
        <w:tc>
          <w:tcPr>
            <w:tcW w:w="854" w:type="pct"/>
            <w:shd w:val="clear" w:color="auto" w:fill="auto"/>
          </w:tcPr>
          <w:p w:rsidR="00697BCD" w:rsidRDefault="00697BCD" w:rsidP="00624E11">
            <w:pPr>
              <w:pStyle w:val="Tabletext-right"/>
            </w:pPr>
            <w:r>
              <w:t>4%</w:t>
            </w:r>
          </w:p>
        </w:tc>
        <w:tc>
          <w:tcPr>
            <w:tcW w:w="854" w:type="pct"/>
            <w:shd w:val="clear" w:color="auto" w:fill="auto"/>
          </w:tcPr>
          <w:p w:rsidR="00697BCD" w:rsidRDefault="00697BCD" w:rsidP="00624E11">
            <w:pPr>
              <w:pStyle w:val="Tabletext-right"/>
            </w:pPr>
            <w:r>
              <w:t>4%</w:t>
            </w:r>
          </w:p>
        </w:tc>
        <w:tc>
          <w:tcPr>
            <w:tcW w:w="854" w:type="pct"/>
            <w:shd w:val="clear" w:color="auto" w:fill="auto"/>
          </w:tcPr>
          <w:p w:rsidR="00697BCD" w:rsidRDefault="00697BCD" w:rsidP="00624E11">
            <w:pPr>
              <w:pStyle w:val="Tabletext-right"/>
            </w:pPr>
            <w:r>
              <w:t>10%</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Promptness of connection</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Connections provided for new and existing premises</w:t>
            </w:r>
          </w:p>
        </w:tc>
        <w:tc>
          <w:tcPr>
            <w:tcW w:w="854" w:type="pct"/>
            <w:shd w:val="clear" w:color="auto" w:fill="auto"/>
          </w:tcPr>
          <w:p w:rsidR="00697BCD" w:rsidRDefault="00697BCD" w:rsidP="00624E11">
            <w:pPr>
              <w:pStyle w:val="Tabletext-right"/>
            </w:pPr>
            <w:r>
              <w:t>281</w:t>
            </w:r>
          </w:p>
        </w:tc>
        <w:tc>
          <w:tcPr>
            <w:tcW w:w="854" w:type="pct"/>
            <w:shd w:val="clear" w:color="auto" w:fill="auto"/>
          </w:tcPr>
          <w:p w:rsidR="00697BCD" w:rsidRDefault="00697BCD" w:rsidP="00624E11">
            <w:pPr>
              <w:pStyle w:val="Tabletext-right"/>
            </w:pPr>
            <w:r>
              <w:t>137 217</w:t>
            </w:r>
          </w:p>
        </w:tc>
        <w:tc>
          <w:tcPr>
            <w:tcW w:w="854" w:type="pct"/>
            <w:shd w:val="clear" w:color="auto" w:fill="auto"/>
          </w:tcPr>
          <w:p w:rsidR="00697BCD" w:rsidRDefault="00697BCD" w:rsidP="00624E11">
            <w:pPr>
              <w:pStyle w:val="Tabletext-right"/>
            </w:pPr>
            <w:r>
              <w:t>209 627</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Connections not provided on or before agreed time</w:t>
            </w:r>
          </w:p>
        </w:tc>
        <w:tc>
          <w:tcPr>
            <w:tcW w:w="854" w:type="pct"/>
            <w:shd w:val="clear" w:color="auto" w:fill="auto"/>
          </w:tcPr>
          <w:p w:rsidR="00697BCD" w:rsidRDefault="00697BCD" w:rsidP="00624E11">
            <w:pPr>
              <w:pStyle w:val="Tabletext-right"/>
            </w:pPr>
            <w:r>
              <w:t>0</w:t>
            </w:r>
          </w:p>
        </w:tc>
        <w:tc>
          <w:tcPr>
            <w:tcW w:w="854" w:type="pct"/>
            <w:shd w:val="clear" w:color="auto" w:fill="auto"/>
          </w:tcPr>
          <w:p w:rsidR="00697BCD" w:rsidRDefault="00697BCD" w:rsidP="00624E11">
            <w:pPr>
              <w:pStyle w:val="Tabletext-right"/>
            </w:pPr>
            <w:r>
              <w:t>7</w:t>
            </w:r>
          </w:p>
        </w:tc>
        <w:tc>
          <w:tcPr>
            <w:tcW w:w="854" w:type="pct"/>
            <w:shd w:val="clear" w:color="auto" w:fill="auto"/>
          </w:tcPr>
          <w:p w:rsidR="00697BCD" w:rsidRDefault="00697BCD" w:rsidP="00624E11">
            <w:pPr>
              <w:pStyle w:val="Tabletext-right"/>
            </w:pPr>
            <w:r>
              <w:t>0</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Compensation paid for failing to provide connections on time</w:t>
            </w:r>
          </w:p>
        </w:tc>
        <w:tc>
          <w:tcPr>
            <w:tcW w:w="854" w:type="pct"/>
            <w:shd w:val="clear" w:color="auto" w:fill="auto"/>
          </w:tcPr>
          <w:p w:rsidR="00697BCD" w:rsidRDefault="00697BCD" w:rsidP="00624E11">
            <w:pPr>
              <w:pStyle w:val="Tabletext-right"/>
            </w:pPr>
            <w:r>
              <w:t>$0</w:t>
            </w:r>
          </w:p>
        </w:tc>
        <w:tc>
          <w:tcPr>
            <w:tcW w:w="854" w:type="pct"/>
            <w:shd w:val="clear" w:color="auto" w:fill="auto"/>
          </w:tcPr>
          <w:p w:rsidR="00697BCD" w:rsidRDefault="00697BCD" w:rsidP="00624E11">
            <w:pPr>
              <w:pStyle w:val="Tabletext-right"/>
            </w:pPr>
            <w:r>
              <w:t>$960</w:t>
            </w:r>
          </w:p>
        </w:tc>
        <w:tc>
          <w:tcPr>
            <w:tcW w:w="854" w:type="pct"/>
            <w:shd w:val="clear" w:color="auto" w:fill="auto"/>
          </w:tcPr>
          <w:p w:rsidR="00697BCD" w:rsidRDefault="00697BCD" w:rsidP="00624E11">
            <w:pPr>
              <w:pStyle w:val="Tabletext-right"/>
            </w:pPr>
            <w:r>
              <w:t>$0</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Faulty street lights</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Number of reported street light faults</w:t>
            </w:r>
          </w:p>
        </w:tc>
        <w:tc>
          <w:tcPr>
            <w:tcW w:w="854" w:type="pct"/>
            <w:shd w:val="clear" w:color="auto" w:fill="auto"/>
          </w:tcPr>
          <w:p w:rsidR="00697BCD" w:rsidRDefault="00697BCD" w:rsidP="00624E11">
            <w:pPr>
              <w:pStyle w:val="Tabletext-right"/>
            </w:pPr>
            <w:r>
              <w:t>21 781</w:t>
            </w:r>
          </w:p>
        </w:tc>
        <w:tc>
          <w:tcPr>
            <w:tcW w:w="854" w:type="pct"/>
            <w:shd w:val="clear" w:color="auto" w:fill="auto"/>
          </w:tcPr>
          <w:p w:rsidR="00697BCD" w:rsidRDefault="00697BCD" w:rsidP="00624E11">
            <w:pPr>
              <w:pStyle w:val="Tabletext-right"/>
            </w:pPr>
            <w:r>
              <w:t>19 726</w:t>
            </w:r>
          </w:p>
        </w:tc>
        <w:tc>
          <w:tcPr>
            <w:tcW w:w="854" w:type="pct"/>
            <w:shd w:val="clear" w:color="auto" w:fill="auto"/>
          </w:tcPr>
          <w:p w:rsidR="00697BCD" w:rsidRDefault="00697BCD" w:rsidP="00624E11">
            <w:pPr>
              <w:pStyle w:val="Tabletext-right"/>
            </w:pPr>
            <w:r>
              <w:t>7 155</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Occasions where repairs not completed on or before agreed date</w:t>
            </w:r>
          </w:p>
        </w:tc>
        <w:tc>
          <w:tcPr>
            <w:tcW w:w="854" w:type="pct"/>
            <w:shd w:val="clear" w:color="auto" w:fill="auto"/>
          </w:tcPr>
          <w:p w:rsidR="00697BCD" w:rsidRDefault="00697BCD" w:rsidP="00624E11">
            <w:pPr>
              <w:pStyle w:val="Tabletext-right"/>
            </w:pPr>
            <w:r>
              <w:t>338</w:t>
            </w:r>
          </w:p>
        </w:tc>
        <w:tc>
          <w:tcPr>
            <w:tcW w:w="854" w:type="pct"/>
            <w:shd w:val="clear" w:color="auto" w:fill="auto"/>
          </w:tcPr>
          <w:p w:rsidR="00697BCD" w:rsidRDefault="00697BCD" w:rsidP="00624E11">
            <w:pPr>
              <w:pStyle w:val="Tabletext-right"/>
            </w:pPr>
            <w:r>
              <w:t>1 370</w:t>
            </w:r>
          </w:p>
        </w:tc>
        <w:tc>
          <w:tcPr>
            <w:tcW w:w="854" w:type="pct"/>
            <w:shd w:val="clear" w:color="auto" w:fill="auto"/>
          </w:tcPr>
          <w:p w:rsidR="00697BCD" w:rsidRDefault="00697BCD" w:rsidP="00624E11">
            <w:pPr>
              <w:pStyle w:val="Tabletext-right"/>
            </w:pPr>
            <w:r>
              <w:t>38</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Compensation paid to customers</w:t>
            </w:r>
          </w:p>
        </w:tc>
        <w:tc>
          <w:tcPr>
            <w:tcW w:w="854" w:type="pct"/>
            <w:shd w:val="clear" w:color="auto" w:fill="auto"/>
          </w:tcPr>
          <w:p w:rsidR="00697BCD" w:rsidRDefault="00697BCD" w:rsidP="00624E11">
            <w:pPr>
              <w:pStyle w:val="Tabletext-right"/>
            </w:pPr>
            <w:r>
              <w:t>$5 070</w:t>
            </w:r>
          </w:p>
        </w:tc>
        <w:tc>
          <w:tcPr>
            <w:tcW w:w="854" w:type="pct"/>
            <w:shd w:val="clear" w:color="auto" w:fill="auto"/>
          </w:tcPr>
          <w:p w:rsidR="00697BCD" w:rsidRDefault="00697BCD" w:rsidP="00624E11">
            <w:pPr>
              <w:pStyle w:val="Tabletext-right"/>
            </w:pPr>
            <w:r>
              <w:t>$3 990</w:t>
            </w:r>
          </w:p>
        </w:tc>
        <w:tc>
          <w:tcPr>
            <w:tcW w:w="854" w:type="pct"/>
            <w:shd w:val="clear" w:color="auto" w:fill="auto"/>
          </w:tcPr>
          <w:p w:rsidR="00697BCD" w:rsidRDefault="00697BCD" w:rsidP="00624E11">
            <w:pPr>
              <w:pStyle w:val="Tabletext-right"/>
            </w:pPr>
            <w:r>
              <w:t>$570</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Planned interruptions</w:t>
            </w: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85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Number of planned interruptions</w:t>
            </w:r>
          </w:p>
        </w:tc>
        <w:tc>
          <w:tcPr>
            <w:tcW w:w="854" w:type="pct"/>
            <w:shd w:val="clear" w:color="auto" w:fill="auto"/>
          </w:tcPr>
          <w:p w:rsidR="00697BCD" w:rsidRDefault="00697BCD" w:rsidP="00624E11">
            <w:pPr>
              <w:pStyle w:val="Tabletext-right"/>
            </w:pPr>
            <w:r>
              <w:t>3 688</w:t>
            </w:r>
          </w:p>
        </w:tc>
        <w:tc>
          <w:tcPr>
            <w:tcW w:w="854" w:type="pct"/>
            <w:shd w:val="clear" w:color="auto" w:fill="auto"/>
          </w:tcPr>
          <w:p w:rsidR="00697BCD" w:rsidRDefault="00697BCD" w:rsidP="00624E11">
            <w:pPr>
              <w:pStyle w:val="Tabletext-right"/>
            </w:pPr>
            <w:r>
              <w:t>7 964</w:t>
            </w:r>
          </w:p>
        </w:tc>
        <w:tc>
          <w:tcPr>
            <w:tcW w:w="854" w:type="pct"/>
            <w:shd w:val="clear" w:color="auto" w:fill="auto"/>
          </w:tcPr>
          <w:p w:rsidR="00697BCD" w:rsidRDefault="00697BCD" w:rsidP="00624E11">
            <w:pPr>
              <w:pStyle w:val="Tabletext-right"/>
            </w:pPr>
            <w:r>
              <w:t>15 861</w:t>
            </w:r>
          </w:p>
        </w:tc>
      </w:tr>
      <w:tr w:rsidR="00697BCD" w:rsidRPr="00391B03" w:rsidTr="00391B03">
        <w:trPr>
          <w:trHeight w:val="288"/>
        </w:trPr>
        <w:tc>
          <w:tcPr>
            <w:tcW w:w="2437" w:type="pct"/>
            <w:shd w:val="clear" w:color="auto" w:fill="auto"/>
          </w:tcPr>
          <w:p w:rsidR="00697BCD" w:rsidRPr="00391B03" w:rsidRDefault="00697BCD" w:rsidP="00624E11">
            <w:pPr>
              <w:pStyle w:val="Tabletext"/>
            </w:pPr>
            <w:r w:rsidRPr="00391B03">
              <w:t>Occasions where there was insufficient notice of the interruption</w:t>
            </w:r>
          </w:p>
        </w:tc>
        <w:tc>
          <w:tcPr>
            <w:tcW w:w="854" w:type="pct"/>
            <w:shd w:val="clear" w:color="auto" w:fill="auto"/>
          </w:tcPr>
          <w:p w:rsidR="00697BCD" w:rsidRDefault="00697BCD" w:rsidP="00624E11">
            <w:pPr>
              <w:pStyle w:val="Tabletext-right"/>
            </w:pPr>
            <w:r>
              <w:t>64</w:t>
            </w:r>
          </w:p>
        </w:tc>
        <w:tc>
          <w:tcPr>
            <w:tcW w:w="854" w:type="pct"/>
            <w:shd w:val="clear" w:color="auto" w:fill="auto"/>
          </w:tcPr>
          <w:p w:rsidR="00697BCD" w:rsidRDefault="00697BCD" w:rsidP="00624E11">
            <w:pPr>
              <w:pStyle w:val="Tabletext-right"/>
            </w:pPr>
            <w:r>
              <w:t>41</w:t>
            </w:r>
          </w:p>
        </w:tc>
        <w:tc>
          <w:tcPr>
            <w:tcW w:w="854" w:type="pct"/>
            <w:shd w:val="clear" w:color="auto" w:fill="auto"/>
          </w:tcPr>
          <w:p w:rsidR="00697BCD" w:rsidRDefault="00697BCD" w:rsidP="00624E11">
            <w:pPr>
              <w:pStyle w:val="Tabletext-right"/>
            </w:pPr>
            <w:r>
              <w:t>159</w:t>
            </w:r>
          </w:p>
        </w:tc>
      </w:tr>
      <w:tr w:rsidR="00697BCD" w:rsidRPr="00391B03" w:rsidTr="00391B03">
        <w:trPr>
          <w:trHeight w:val="60"/>
        </w:trPr>
        <w:tc>
          <w:tcPr>
            <w:tcW w:w="2437" w:type="pct"/>
            <w:shd w:val="clear" w:color="auto" w:fill="auto"/>
          </w:tcPr>
          <w:p w:rsidR="00697BCD" w:rsidRPr="00391B03" w:rsidRDefault="00697BCD" w:rsidP="00624E11">
            <w:pPr>
              <w:pStyle w:val="Tabletext"/>
            </w:pPr>
            <w:r w:rsidRPr="00391B03">
              <w:t>Occasions where the planned interruption was for longer than the time indicated on the notice</w:t>
            </w:r>
          </w:p>
        </w:tc>
        <w:tc>
          <w:tcPr>
            <w:tcW w:w="854" w:type="pct"/>
            <w:shd w:val="clear" w:color="auto" w:fill="auto"/>
          </w:tcPr>
          <w:p w:rsidR="00697BCD" w:rsidRDefault="00697BCD" w:rsidP="00624E11">
            <w:pPr>
              <w:pStyle w:val="Tabletext-right"/>
            </w:pPr>
            <w:r>
              <w:t>0</w:t>
            </w:r>
            <w:r w:rsidRPr="009D1DEC">
              <w:rPr>
                <w:rStyle w:val="Superscript"/>
              </w:rPr>
              <w:t>53</w:t>
            </w:r>
          </w:p>
        </w:tc>
        <w:tc>
          <w:tcPr>
            <w:tcW w:w="854" w:type="pct"/>
            <w:shd w:val="clear" w:color="auto" w:fill="auto"/>
          </w:tcPr>
          <w:p w:rsidR="00697BCD" w:rsidRDefault="00697BCD" w:rsidP="00624E11">
            <w:pPr>
              <w:pStyle w:val="Tabletext-right"/>
            </w:pPr>
            <w:r>
              <w:t>356</w:t>
            </w:r>
          </w:p>
        </w:tc>
        <w:tc>
          <w:tcPr>
            <w:tcW w:w="854" w:type="pct"/>
            <w:shd w:val="clear" w:color="auto" w:fill="auto"/>
          </w:tcPr>
          <w:p w:rsidR="00697BCD" w:rsidRDefault="00697BCD" w:rsidP="00624E11">
            <w:pPr>
              <w:pStyle w:val="Tabletext-right"/>
            </w:pPr>
            <w:r>
              <w:t>1 260</w:t>
            </w:r>
          </w:p>
        </w:tc>
      </w:tr>
    </w:tbl>
    <w:p w:rsidR="00697BCD" w:rsidRDefault="00697BCD"/>
    <w:p w:rsidR="00697BCD" w:rsidRDefault="00697BCD" w:rsidP="00697BCD">
      <w:pPr>
        <w:pStyle w:val="Tabletitle"/>
      </w:pPr>
      <w:r>
        <w:t>Table A.3:</w:t>
      </w:r>
      <w:r>
        <w:tab/>
        <w:t>SA electricity distributor performance, 2015–16 (SA Power Networks)</w:t>
      </w:r>
    </w:p>
    <w:tbl>
      <w:tblPr>
        <w:tblW w:w="5000" w:type="pct"/>
        <w:tblBorders>
          <w:top w:val="single" w:sz="4" w:space="0" w:color="BFBFBF"/>
          <w:bottom w:val="single" w:sz="4" w:space="0" w:color="BFBFBF"/>
        </w:tblBorders>
        <w:tblLook w:val="0000" w:firstRow="0" w:lastRow="0" w:firstColumn="0" w:lastColumn="0" w:noHBand="0" w:noVBand="0"/>
      </w:tblPr>
      <w:tblGrid>
        <w:gridCol w:w="8136"/>
        <w:gridCol w:w="1492"/>
      </w:tblGrid>
      <w:tr w:rsidR="00697BCD" w:rsidRPr="00391B03" w:rsidTr="00391B03">
        <w:trPr>
          <w:trHeight w:val="60"/>
        </w:trPr>
        <w:tc>
          <w:tcPr>
            <w:tcW w:w="4225" w:type="pct"/>
            <w:shd w:val="clear" w:color="auto" w:fill="auto"/>
          </w:tcPr>
          <w:p w:rsidR="00697BCD" w:rsidRPr="00391B03" w:rsidRDefault="00697BCD" w:rsidP="006B1E9F">
            <w:pPr>
              <w:pStyle w:val="TableHeading"/>
            </w:pPr>
            <w:r w:rsidRPr="00391B03">
              <w:t>Customers</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Total number of customers</w:t>
            </w:r>
          </w:p>
        </w:tc>
        <w:tc>
          <w:tcPr>
            <w:tcW w:w="775" w:type="pct"/>
            <w:shd w:val="clear" w:color="auto" w:fill="auto"/>
          </w:tcPr>
          <w:p w:rsidR="00697BCD" w:rsidRDefault="00697BCD" w:rsidP="00624E11">
            <w:pPr>
              <w:pStyle w:val="Tabletext-right"/>
            </w:pPr>
            <w:r>
              <w:t>854 721</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Residential customers</w:t>
            </w:r>
          </w:p>
        </w:tc>
        <w:tc>
          <w:tcPr>
            <w:tcW w:w="775" w:type="pct"/>
            <w:shd w:val="clear" w:color="auto" w:fill="auto"/>
          </w:tcPr>
          <w:p w:rsidR="00697BCD" w:rsidRDefault="00697BCD" w:rsidP="00624E11">
            <w:pPr>
              <w:pStyle w:val="Tabletext-right"/>
            </w:pPr>
            <w:r>
              <w:t>756 227</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Small non-residential customers</w:t>
            </w:r>
          </w:p>
        </w:tc>
        <w:tc>
          <w:tcPr>
            <w:tcW w:w="775" w:type="pct"/>
            <w:shd w:val="clear" w:color="auto" w:fill="auto"/>
          </w:tcPr>
          <w:p w:rsidR="00697BCD" w:rsidRDefault="00697BCD" w:rsidP="00624E11">
            <w:pPr>
              <w:pStyle w:val="Tabletext-right"/>
            </w:pPr>
            <w:r>
              <w:t>98 494</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Customer service</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Total calls received</w:t>
            </w:r>
          </w:p>
        </w:tc>
        <w:tc>
          <w:tcPr>
            <w:tcW w:w="775" w:type="pct"/>
            <w:shd w:val="clear" w:color="auto" w:fill="auto"/>
          </w:tcPr>
          <w:p w:rsidR="00697BCD" w:rsidRDefault="00697BCD" w:rsidP="00624E11">
            <w:pPr>
              <w:pStyle w:val="Tabletext-right"/>
            </w:pPr>
            <w:r>
              <w:t>432 151</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Calls answered within 30 seconds (%)</w:t>
            </w:r>
          </w:p>
        </w:tc>
        <w:tc>
          <w:tcPr>
            <w:tcW w:w="775" w:type="pct"/>
            <w:shd w:val="clear" w:color="auto" w:fill="auto"/>
          </w:tcPr>
          <w:p w:rsidR="00697BCD" w:rsidRDefault="00697BCD" w:rsidP="00624E11">
            <w:pPr>
              <w:pStyle w:val="Tabletext-right"/>
            </w:pPr>
            <w:r>
              <w:t>87%</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Calls abandoned (%)</w:t>
            </w:r>
          </w:p>
        </w:tc>
        <w:tc>
          <w:tcPr>
            <w:tcW w:w="775" w:type="pct"/>
            <w:shd w:val="clear" w:color="auto" w:fill="auto"/>
          </w:tcPr>
          <w:p w:rsidR="00697BCD" w:rsidRDefault="00697BCD" w:rsidP="00624E11">
            <w:pPr>
              <w:pStyle w:val="Tabletext-right"/>
            </w:pPr>
            <w:r>
              <w:t>4%</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Promptness of connection</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 xml:space="preserve">New supply addresses connected </w:t>
            </w:r>
          </w:p>
        </w:tc>
        <w:tc>
          <w:tcPr>
            <w:tcW w:w="775" w:type="pct"/>
            <w:shd w:val="clear" w:color="auto" w:fill="auto"/>
          </w:tcPr>
          <w:p w:rsidR="00697BCD" w:rsidRDefault="00697BCD" w:rsidP="00624E11">
            <w:pPr>
              <w:pStyle w:val="Tabletext-right"/>
            </w:pPr>
            <w:r>
              <w:t>11 620</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Connections not provided on or before agreed time</w:t>
            </w:r>
          </w:p>
        </w:tc>
        <w:tc>
          <w:tcPr>
            <w:tcW w:w="775" w:type="pct"/>
            <w:shd w:val="clear" w:color="auto" w:fill="auto"/>
          </w:tcPr>
          <w:p w:rsidR="00697BCD" w:rsidRDefault="00697BCD" w:rsidP="00624E11">
            <w:pPr>
              <w:pStyle w:val="Tabletext-right"/>
            </w:pPr>
            <w:r>
              <w:t>192</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Compensation paid for failing to provide connections on time</w:t>
            </w:r>
          </w:p>
        </w:tc>
        <w:tc>
          <w:tcPr>
            <w:tcW w:w="775" w:type="pct"/>
            <w:shd w:val="clear" w:color="auto" w:fill="auto"/>
          </w:tcPr>
          <w:p w:rsidR="00697BCD" w:rsidRDefault="00697BCD" w:rsidP="00624E11">
            <w:pPr>
              <w:pStyle w:val="Tabletext-right"/>
            </w:pPr>
            <w:r>
              <w:t>$52 620</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Faulty street lights—Adelaide Business Area, Adelaide Metropolitan Area and Major Regional Areas</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lastRenderedPageBreak/>
              <w:t>Number of reported street light faults</w:t>
            </w:r>
          </w:p>
        </w:tc>
        <w:tc>
          <w:tcPr>
            <w:tcW w:w="775" w:type="pct"/>
            <w:shd w:val="clear" w:color="auto" w:fill="auto"/>
          </w:tcPr>
          <w:p w:rsidR="00697BCD" w:rsidRDefault="00697BCD" w:rsidP="00624E11">
            <w:pPr>
              <w:pStyle w:val="Tabletext-right"/>
            </w:pPr>
            <w:r>
              <w:t>27 486</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Occasions where repairs not completed on or before agreed date (within five days)</w:t>
            </w:r>
          </w:p>
        </w:tc>
        <w:tc>
          <w:tcPr>
            <w:tcW w:w="775" w:type="pct"/>
            <w:shd w:val="clear" w:color="auto" w:fill="auto"/>
          </w:tcPr>
          <w:p w:rsidR="00697BCD" w:rsidRDefault="00697BCD" w:rsidP="00624E11">
            <w:pPr>
              <w:pStyle w:val="Tabletext-right"/>
            </w:pPr>
            <w:r>
              <w:t>1 126</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Compensation paid to customers</w:t>
            </w:r>
          </w:p>
        </w:tc>
        <w:tc>
          <w:tcPr>
            <w:tcW w:w="775" w:type="pct"/>
            <w:shd w:val="clear" w:color="auto" w:fill="auto"/>
          </w:tcPr>
          <w:p w:rsidR="00697BCD" w:rsidRDefault="00697BCD" w:rsidP="00624E11">
            <w:pPr>
              <w:pStyle w:val="Tabletext-right"/>
            </w:pPr>
            <w:r>
              <w:t>$190 650</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Faulty street lights—Country Areas</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Number of reported street light faults</w:t>
            </w:r>
          </w:p>
        </w:tc>
        <w:tc>
          <w:tcPr>
            <w:tcW w:w="775" w:type="pct"/>
            <w:shd w:val="clear" w:color="auto" w:fill="auto"/>
          </w:tcPr>
          <w:p w:rsidR="00697BCD" w:rsidRDefault="00697BCD" w:rsidP="00624E11">
            <w:pPr>
              <w:pStyle w:val="Tabletext-right"/>
            </w:pPr>
            <w:r>
              <w:t>4 149</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Occasions where repairs not completed on or before agreed date (within 10 days)</w:t>
            </w:r>
          </w:p>
        </w:tc>
        <w:tc>
          <w:tcPr>
            <w:tcW w:w="775" w:type="pct"/>
            <w:shd w:val="clear" w:color="auto" w:fill="auto"/>
          </w:tcPr>
          <w:p w:rsidR="00697BCD" w:rsidRDefault="00697BCD" w:rsidP="00624E11">
            <w:pPr>
              <w:pStyle w:val="Tabletext-right"/>
            </w:pPr>
            <w:r>
              <w:t>12</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Compensation paid to customers</w:t>
            </w:r>
          </w:p>
        </w:tc>
        <w:tc>
          <w:tcPr>
            <w:tcW w:w="775" w:type="pct"/>
            <w:shd w:val="clear" w:color="auto" w:fill="auto"/>
          </w:tcPr>
          <w:p w:rsidR="00697BCD" w:rsidRDefault="00697BCD" w:rsidP="00624E11">
            <w:pPr>
              <w:pStyle w:val="Tabletext-right"/>
            </w:pPr>
            <w:r>
              <w:t>$425</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Timeliness of appointments</w:t>
            </w:r>
          </w:p>
        </w:tc>
        <w:tc>
          <w:tcPr>
            <w:tcW w:w="775"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288"/>
        </w:trPr>
        <w:tc>
          <w:tcPr>
            <w:tcW w:w="4225" w:type="pct"/>
            <w:shd w:val="clear" w:color="auto" w:fill="auto"/>
          </w:tcPr>
          <w:p w:rsidR="00697BCD" w:rsidRPr="00391B03" w:rsidRDefault="00697BCD" w:rsidP="00624E11">
            <w:pPr>
              <w:pStyle w:val="Tabletext"/>
            </w:pPr>
            <w:r w:rsidRPr="00391B03">
              <w:t>Total number of appointments</w:t>
            </w:r>
          </w:p>
        </w:tc>
        <w:tc>
          <w:tcPr>
            <w:tcW w:w="775" w:type="pct"/>
            <w:shd w:val="clear" w:color="auto" w:fill="auto"/>
          </w:tcPr>
          <w:p w:rsidR="00697BCD" w:rsidRDefault="00697BCD" w:rsidP="00624E11">
            <w:pPr>
              <w:pStyle w:val="Tabletext-right"/>
            </w:pPr>
            <w:r>
              <w:t>30 214</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Total number of appointments with customers where a representative of SAPN is more than 15 minutes late</w:t>
            </w:r>
          </w:p>
        </w:tc>
        <w:tc>
          <w:tcPr>
            <w:tcW w:w="775" w:type="pct"/>
            <w:shd w:val="clear" w:color="auto" w:fill="auto"/>
          </w:tcPr>
          <w:p w:rsidR="00697BCD" w:rsidRDefault="00697BCD" w:rsidP="00624E11">
            <w:pPr>
              <w:pStyle w:val="Tabletext-right"/>
            </w:pPr>
            <w:r>
              <w:t>2</w:t>
            </w:r>
          </w:p>
        </w:tc>
      </w:tr>
      <w:tr w:rsidR="00697BCD" w:rsidRPr="00391B03" w:rsidTr="00391B03">
        <w:trPr>
          <w:trHeight w:val="60"/>
        </w:trPr>
        <w:tc>
          <w:tcPr>
            <w:tcW w:w="4225" w:type="pct"/>
            <w:shd w:val="clear" w:color="auto" w:fill="auto"/>
          </w:tcPr>
          <w:p w:rsidR="00697BCD" w:rsidRPr="00391B03" w:rsidRDefault="00697BCD" w:rsidP="00624E11">
            <w:pPr>
              <w:pStyle w:val="Tabletext"/>
            </w:pPr>
            <w:r w:rsidRPr="00391B03">
              <w:t>Compensation paid to customers</w:t>
            </w:r>
          </w:p>
        </w:tc>
        <w:tc>
          <w:tcPr>
            <w:tcW w:w="775" w:type="pct"/>
            <w:shd w:val="clear" w:color="auto" w:fill="auto"/>
          </w:tcPr>
          <w:p w:rsidR="00697BCD" w:rsidRDefault="00697BCD" w:rsidP="00624E11">
            <w:pPr>
              <w:pStyle w:val="Tabletext-right"/>
            </w:pPr>
            <w:r>
              <w:t>$50</w:t>
            </w:r>
          </w:p>
        </w:tc>
      </w:tr>
    </w:tbl>
    <w:p w:rsidR="00697BCD" w:rsidRDefault="00697BCD"/>
    <w:p w:rsidR="00697BCD" w:rsidRDefault="00697BCD" w:rsidP="00697BCD">
      <w:pPr>
        <w:pStyle w:val="Tabletitle"/>
      </w:pPr>
      <w:r>
        <w:t>Table A.4:</w:t>
      </w:r>
      <w:r>
        <w:tab/>
        <w:t>Duration of supply interruptions, 2015–16 (SA Power Networks)</w:t>
      </w:r>
    </w:p>
    <w:tbl>
      <w:tblPr>
        <w:tblW w:w="5000" w:type="pct"/>
        <w:tblBorders>
          <w:top w:val="single" w:sz="4" w:space="0" w:color="BFBFBF"/>
          <w:bottom w:val="single" w:sz="4" w:space="0" w:color="BFBFBF"/>
        </w:tblBorders>
        <w:tblLook w:val="0000" w:firstRow="0" w:lastRow="0" w:firstColumn="0" w:lastColumn="0" w:noHBand="0" w:noVBand="0"/>
      </w:tblPr>
      <w:tblGrid>
        <w:gridCol w:w="8411"/>
        <w:gridCol w:w="1217"/>
      </w:tblGrid>
      <w:tr w:rsidR="00697BCD" w:rsidRPr="00391B03" w:rsidTr="00391B03">
        <w:trPr>
          <w:trHeight w:val="60"/>
        </w:trPr>
        <w:tc>
          <w:tcPr>
            <w:tcW w:w="4416" w:type="pct"/>
            <w:shd w:val="clear" w:color="auto" w:fill="auto"/>
          </w:tcPr>
          <w:p w:rsidR="00697BCD" w:rsidRPr="00391B03" w:rsidRDefault="00697BCD" w:rsidP="006B1E9F">
            <w:pPr>
              <w:pStyle w:val="TableHeading"/>
            </w:pPr>
            <w:r w:rsidRPr="00391B03">
              <w:t>System Average Interruption Duration Index (SAIDI)</w:t>
            </w:r>
          </w:p>
        </w:tc>
        <w:tc>
          <w:tcPr>
            <w:tcW w:w="584"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CBD Feeder</w:t>
            </w:r>
          </w:p>
        </w:tc>
        <w:tc>
          <w:tcPr>
            <w:tcW w:w="584" w:type="pct"/>
            <w:shd w:val="clear" w:color="auto" w:fill="auto"/>
          </w:tcPr>
          <w:p w:rsidR="00697BCD" w:rsidRDefault="00697BCD" w:rsidP="00624E11">
            <w:pPr>
              <w:pStyle w:val="Tabletext-right"/>
            </w:pPr>
            <w:r>
              <w:t>2.3</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Urban Feeder</w:t>
            </w:r>
          </w:p>
        </w:tc>
        <w:tc>
          <w:tcPr>
            <w:tcW w:w="584" w:type="pct"/>
            <w:shd w:val="clear" w:color="auto" w:fill="auto"/>
          </w:tcPr>
          <w:p w:rsidR="00697BCD" w:rsidRDefault="00697BCD" w:rsidP="00624E11">
            <w:pPr>
              <w:pStyle w:val="Tabletext-right"/>
            </w:pPr>
            <w:r>
              <w:t>97.9</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Short Rural Feeder</w:t>
            </w:r>
          </w:p>
        </w:tc>
        <w:tc>
          <w:tcPr>
            <w:tcW w:w="584" w:type="pct"/>
            <w:shd w:val="clear" w:color="auto" w:fill="auto"/>
          </w:tcPr>
          <w:p w:rsidR="00697BCD" w:rsidRDefault="00697BCD" w:rsidP="00624E11">
            <w:pPr>
              <w:pStyle w:val="Tabletext-right"/>
            </w:pPr>
            <w:r>
              <w:t>174.8</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Long Rural Feeder</w:t>
            </w:r>
          </w:p>
        </w:tc>
        <w:tc>
          <w:tcPr>
            <w:tcW w:w="584" w:type="pct"/>
            <w:shd w:val="clear" w:color="auto" w:fill="auto"/>
          </w:tcPr>
          <w:p w:rsidR="00697BCD" w:rsidRDefault="00697BCD" w:rsidP="00624E11">
            <w:pPr>
              <w:pStyle w:val="Tabletext-right"/>
            </w:pPr>
            <w:r>
              <w:t>289.4</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SAIDI TOTAL</w:t>
            </w:r>
          </w:p>
        </w:tc>
        <w:tc>
          <w:tcPr>
            <w:tcW w:w="584" w:type="pct"/>
            <w:shd w:val="clear" w:color="auto" w:fill="auto"/>
          </w:tcPr>
          <w:p w:rsidR="00697BCD" w:rsidRDefault="00697BCD" w:rsidP="00624E11">
            <w:pPr>
              <w:pStyle w:val="Tabletext-right"/>
            </w:pPr>
            <w:r>
              <w:t>139.0</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Percentage contribution of planned interruptions to state-wide SAIDI</w:t>
            </w:r>
          </w:p>
        </w:tc>
        <w:tc>
          <w:tcPr>
            <w:tcW w:w="584" w:type="pct"/>
            <w:shd w:val="clear" w:color="auto" w:fill="auto"/>
          </w:tcPr>
          <w:p w:rsidR="00697BCD" w:rsidRDefault="00697BCD" w:rsidP="00624E11">
            <w:pPr>
              <w:pStyle w:val="Tabletext-right"/>
            </w:pPr>
            <w:r>
              <w:t>36%</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Number of customers who experienced a supply interruption greater than 12 hours but less than or equal to 15 hours</w:t>
            </w:r>
          </w:p>
        </w:tc>
        <w:tc>
          <w:tcPr>
            <w:tcW w:w="584" w:type="pct"/>
            <w:shd w:val="clear" w:color="auto" w:fill="auto"/>
          </w:tcPr>
          <w:p w:rsidR="00697BCD" w:rsidRDefault="00697BCD" w:rsidP="00624E11">
            <w:pPr>
              <w:pStyle w:val="Tabletext-right"/>
            </w:pPr>
            <w:r>
              <w:t>2 964</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Compensation paid to customers who experienced a supply interruption greater than 12 hours but less than or equal to 15 hours</w:t>
            </w:r>
          </w:p>
        </w:tc>
        <w:tc>
          <w:tcPr>
            <w:tcW w:w="584" w:type="pct"/>
            <w:shd w:val="clear" w:color="auto" w:fill="auto"/>
          </w:tcPr>
          <w:p w:rsidR="00697BCD" w:rsidRDefault="00697BCD" w:rsidP="00624E11">
            <w:pPr>
              <w:pStyle w:val="Tabletext-right"/>
            </w:pPr>
            <w:r>
              <w:t>$294 600</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Number of customers who experienced a supply interruption greater than 15 hours but less than or equal to 18 hours</w:t>
            </w:r>
          </w:p>
        </w:tc>
        <w:tc>
          <w:tcPr>
            <w:tcW w:w="584" w:type="pct"/>
            <w:shd w:val="clear" w:color="auto" w:fill="auto"/>
          </w:tcPr>
          <w:p w:rsidR="00697BCD" w:rsidRDefault="00697BCD" w:rsidP="00624E11">
            <w:pPr>
              <w:pStyle w:val="Tabletext-right"/>
            </w:pPr>
            <w:r>
              <w:t>3630</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Compensation paid to customers who experienced a supply interruption greater than 15 hours but less than or equal to 18 hours</w:t>
            </w:r>
          </w:p>
        </w:tc>
        <w:tc>
          <w:tcPr>
            <w:tcW w:w="584" w:type="pct"/>
            <w:shd w:val="clear" w:color="auto" w:fill="auto"/>
          </w:tcPr>
          <w:p w:rsidR="00697BCD" w:rsidRDefault="00697BCD" w:rsidP="00624E11">
            <w:pPr>
              <w:pStyle w:val="Tabletext-right"/>
            </w:pPr>
            <w:r>
              <w:t>$544 500</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Number of customers who experienced a supply interruption greater than 18 hours but less than or equal to 24 hours</w:t>
            </w:r>
          </w:p>
        </w:tc>
        <w:tc>
          <w:tcPr>
            <w:tcW w:w="584" w:type="pct"/>
            <w:shd w:val="clear" w:color="auto" w:fill="auto"/>
          </w:tcPr>
          <w:p w:rsidR="00697BCD" w:rsidRDefault="00697BCD" w:rsidP="00624E11">
            <w:pPr>
              <w:pStyle w:val="Tabletext-right"/>
            </w:pPr>
            <w:r>
              <w:t>3051</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Compensation paid to customers who experienced a supply interruption greater than 18 hours but less than or equal to 24 hours</w:t>
            </w:r>
          </w:p>
        </w:tc>
        <w:tc>
          <w:tcPr>
            <w:tcW w:w="584" w:type="pct"/>
            <w:shd w:val="clear" w:color="auto" w:fill="auto"/>
          </w:tcPr>
          <w:p w:rsidR="00697BCD" w:rsidRDefault="00697BCD" w:rsidP="00624E11">
            <w:pPr>
              <w:pStyle w:val="Tabletext-right"/>
            </w:pPr>
            <w:r>
              <w:t>$610 200</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Number of customers who experienced a supply interruption greater than 24 hours</w:t>
            </w:r>
          </w:p>
        </w:tc>
        <w:tc>
          <w:tcPr>
            <w:tcW w:w="584" w:type="pct"/>
            <w:shd w:val="clear" w:color="auto" w:fill="auto"/>
          </w:tcPr>
          <w:p w:rsidR="00697BCD" w:rsidRDefault="00697BCD" w:rsidP="00624E11">
            <w:pPr>
              <w:pStyle w:val="Tabletext-right"/>
            </w:pPr>
            <w:r>
              <w:t>1 049</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Compensation paid to customers who experienced a supply interruption greater than 24 hours</w:t>
            </w:r>
          </w:p>
        </w:tc>
        <w:tc>
          <w:tcPr>
            <w:tcW w:w="584" w:type="pct"/>
            <w:shd w:val="clear" w:color="auto" w:fill="auto"/>
          </w:tcPr>
          <w:p w:rsidR="00697BCD" w:rsidRDefault="00697BCD" w:rsidP="00624E11">
            <w:pPr>
              <w:pStyle w:val="Tabletext-right"/>
            </w:pPr>
            <w:r>
              <w:t>$424 845</w:t>
            </w:r>
          </w:p>
        </w:tc>
      </w:tr>
      <w:tr w:rsidR="00697BCD" w:rsidRPr="00391B03" w:rsidTr="00391B03">
        <w:trPr>
          <w:trHeight w:val="60"/>
        </w:trPr>
        <w:tc>
          <w:tcPr>
            <w:tcW w:w="4416" w:type="pct"/>
            <w:shd w:val="clear" w:color="auto" w:fill="auto"/>
          </w:tcPr>
          <w:p w:rsidR="00697BCD" w:rsidRPr="00391B03" w:rsidRDefault="00697BCD" w:rsidP="00624E11">
            <w:pPr>
              <w:pStyle w:val="Tabletext"/>
            </w:pPr>
            <w:r w:rsidRPr="00391B03">
              <w:t>Total amounts paid to customers for duration of supply interruptions exceeding the threshold amount</w:t>
            </w:r>
          </w:p>
        </w:tc>
        <w:tc>
          <w:tcPr>
            <w:tcW w:w="584" w:type="pct"/>
            <w:shd w:val="clear" w:color="auto" w:fill="auto"/>
          </w:tcPr>
          <w:p w:rsidR="00697BCD" w:rsidRDefault="00697BCD" w:rsidP="00624E11">
            <w:pPr>
              <w:pStyle w:val="Tabletext-right"/>
            </w:pPr>
            <w:r>
              <w:t>$1 905 605</w:t>
            </w:r>
          </w:p>
        </w:tc>
      </w:tr>
    </w:tbl>
    <w:p w:rsidR="00697BCD" w:rsidRDefault="00697BCD"/>
    <w:p w:rsidR="00697BCD" w:rsidRDefault="00697BCD" w:rsidP="00697BCD">
      <w:pPr>
        <w:pStyle w:val="Tabletitle"/>
      </w:pPr>
      <w:r>
        <w:t>Table A.5:</w:t>
      </w:r>
      <w:r>
        <w:tab/>
        <w:t>Frequency of supply interruptions, 2015–16 (SA Power Networks)</w:t>
      </w:r>
    </w:p>
    <w:tbl>
      <w:tblPr>
        <w:tblW w:w="5000" w:type="pct"/>
        <w:tblBorders>
          <w:top w:val="single" w:sz="4" w:space="0" w:color="BFBFBF"/>
          <w:bottom w:val="single" w:sz="4" w:space="0" w:color="BFBFBF"/>
        </w:tblBorders>
        <w:tblLook w:val="0000" w:firstRow="0" w:lastRow="0" w:firstColumn="0" w:lastColumn="0" w:noHBand="0" w:noVBand="0"/>
      </w:tblPr>
      <w:tblGrid>
        <w:gridCol w:w="8511"/>
        <w:gridCol w:w="1117"/>
      </w:tblGrid>
      <w:tr w:rsidR="00697BCD" w:rsidRPr="00391B03" w:rsidTr="00391B03">
        <w:trPr>
          <w:trHeight w:val="60"/>
        </w:trPr>
        <w:tc>
          <w:tcPr>
            <w:tcW w:w="4420" w:type="pct"/>
            <w:shd w:val="clear" w:color="auto" w:fill="auto"/>
          </w:tcPr>
          <w:p w:rsidR="00697BCD" w:rsidRPr="00391B03" w:rsidRDefault="00697BCD" w:rsidP="006B1E9F">
            <w:pPr>
              <w:pStyle w:val="TableHeading"/>
            </w:pPr>
            <w:r w:rsidRPr="00391B03">
              <w:t>System Average Interruption Frequency Index (SAIFI)</w:t>
            </w:r>
          </w:p>
        </w:tc>
        <w:tc>
          <w:tcPr>
            <w:tcW w:w="58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CBD Feeder</w:t>
            </w:r>
          </w:p>
        </w:tc>
        <w:tc>
          <w:tcPr>
            <w:tcW w:w="580" w:type="pct"/>
            <w:shd w:val="clear" w:color="auto" w:fill="auto"/>
          </w:tcPr>
          <w:p w:rsidR="00697BCD" w:rsidRDefault="00697BCD" w:rsidP="00624E11">
            <w:pPr>
              <w:pStyle w:val="Tabletext-right"/>
            </w:pPr>
            <w:r>
              <w:t>0.024</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Urban Feeder</w:t>
            </w:r>
          </w:p>
        </w:tc>
        <w:tc>
          <w:tcPr>
            <w:tcW w:w="580" w:type="pct"/>
            <w:shd w:val="clear" w:color="auto" w:fill="auto"/>
          </w:tcPr>
          <w:p w:rsidR="00697BCD" w:rsidRDefault="00697BCD" w:rsidP="00624E11">
            <w:pPr>
              <w:pStyle w:val="Tabletext-right"/>
            </w:pPr>
            <w:r>
              <w:t>1.038</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Short Rural Feeder</w:t>
            </w:r>
          </w:p>
        </w:tc>
        <w:tc>
          <w:tcPr>
            <w:tcW w:w="580" w:type="pct"/>
            <w:shd w:val="clear" w:color="auto" w:fill="auto"/>
          </w:tcPr>
          <w:p w:rsidR="00697BCD" w:rsidRDefault="00697BCD" w:rsidP="00624E11">
            <w:pPr>
              <w:pStyle w:val="Tabletext-right"/>
            </w:pPr>
            <w:r>
              <w:t>1.482</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Long Rural Feeder</w:t>
            </w:r>
          </w:p>
        </w:tc>
        <w:tc>
          <w:tcPr>
            <w:tcW w:w="580" w:type="pct"/>
            <w:shd w:val="clear" w:color="auto" w:fill="auto"/>
          </w:tcPr>
          <w:p w:rsidR="00697BCD" w:rsidRDefault="00697BCD" w:rsidP="00624E11">
            <w:pPr>
              <w:pStyle w:val="Tabletext-right"/>
            </w:pPr>
            <w:r>
              <w:t>1.700</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SAIFI TOTAL</w:t>
            </w:r>
          </w:p>
        </w:tc>
        <w:tc>
          <w:tcPr>
            <w:tcW w:w="580" w:type="pct"/>
            <w:shd w:val="clear" w:color="auto" w:fill="auto"/>
          </w:tcPr>
          <w:p w:rsidR="00697BCD" w:rsidRDefault="00697BCD" w:rsidP="00624E11">
            <w:pPr>
              <w:pStyle w:val="Tabletext-right"/>
            </w:pPr>
            <w:r>
              <w:t>1.201</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Number of customers with greater than nine but less than or equal to 12 interruptions</w:t>
            </w:r>
          </w:p>
        </w:tc>
        <w:tc>
          <w:tcPr>
            <w:tcW w:w="580" w:type="pct"/>
            <w:shd w:val="clear" w:color="auto" w:fill="auto"/>
          </w:tcPr>
          <w:p w:rsidR="00697BCD" w:rsidRDefault="00697BCD" w:rsidP="00624E11">
            <w:pPr>
              <w:pStyle w:val="Tabletext-right"/>
            </w:pPr>
            <w:r>
              <w:t>395</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Compensation paid to customers with greater than nine9 but less than or equal to 12 interruptions</w:t>
            </w:r>
          </w:p>
        </w:tc>
        <w:tc>
          <w:tcPr>
            <w:tcW w:w="580" w:type="pct"/>
            <w:shd w:val="clear" w:color="auto" w:fill="auto"/>
          </w:tcPr>
          <w:p w:rsidR="00697BCD" w:rsidRDefault="00697BCD" w:rsidP="00624E11">
            <w:pPr>
              <w:pStyle w:val="Tabletext-right"/>
            </w:pPr>
            <w:r>
              <w:t>$39 500</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Number of customers with greater than 12 but less than or equal to 15 interruptions</w:t>
            </w:r>
          </w:p>
        </w:tc>
        <w:tc>
          <w:tcPr>
            <w:tcW w:w="580" w:type="pct"/>
            <w:shd w:val="clear" w:color="auto" w:fill="auto"/>
          </w:tcPr>
          <w:p w:rsidR="00697BCD" w:rsidRDefault="00697BCD" w:rsidP="00624E11">
            <w:pPr>
              <w:pStyle w:val="Tabletext-right"/>
            </w:pPr>
            <w:r>
              <w:t>74</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Compensation paid to customers with greater than 12 but less than or equal to 15 interruptions</w:t>
            </w:r>
          </w:p>
        </w:tc>
        <w:tc>
          <w:tcPr>
            <w:tcW w:w="580" w:type="pct"/>
            <w:shd w:val="clear" w:color="auto" w:fill="auto"/>
          </w:tcPr>
          <w:p w:rsidR="00697BCD" w:rsidRDefault="00697BCD" w:rsidP="00624E11">
            <w:pPr>
              <w:pStyle w:val="Tabletext-right"/>
            </w:pPr>
            <w:r>
              <w:t>$11 100</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Number of customers with greater than 15 interruptions</w:t>
            </w:r>
          </w:p>
        </w:tc>
        <w:tc>
          <w:tcPr>
            <w:tcW w:w="580" w:type="pct"/>
            <w:shd w:val="clear" w:color="auto" w:fill="auto"/>
          </w:tcPr>
          <w:p w:rsidR="00697BCD" w:rsidRDefault="00697BCD" w:rsidP="00624E11">
            <w:pPr>
              <w:pStyle w:val="Tabletext-right"/>
            </w:pPr>
            <w:r>
              <w:t>0</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Compensation paid to customers with greater than 15 interruptions</w:t>
            </w:r>
          </w:p>
        </w:tc>
        <w:tc>
          <w:tcPr>
            <w:tcW w:w="580" w:type="pct"/>
            <w:shd w:val="clear" w:color="auto" w:fill="auto"/>
          </w:tcPr>
          <w:p w:rsidR="00697BCD" w:rsidRDefault="00697BCD" w:rsidP="00624E11">
            <w:pPr>
              <w:pStyle w:val="Tabletext-right"/>
            </w:pPr>
            <w:r>
              <w:t>$0</w:t>
            </w:r>
          </w:p>
        </w:tc>
      </w:tr>
      <w:tr w:rsidR="00697BCD" w:rsidRPr="00391B03" w:rsidTr="00391B03">
        <w:trPr>
          <w:trHeight w:val="60"/>
        </w:trPr>
        <w:tc>
          <w:tcPr>
            <w:tcW w:w="4420" w:type="pct"/>
            <w:shd w:val="clear" w:color="auto" w:fill="auto"/>
          </w:tcPr>
          <w:p w:rsidR="00697BCD" w:rsidRPr="00391B03" w:rsidRDefault="00697BCD" w:rsidP="00624E11">
            <w:pPr>
              <w:pStyle w:val="Tabletext"/>
            </w:pPr>
            <w:r w:rsidRPr="00391B03">
              <w:t>Total amounts paid to customers for frequency of supply interruptions exceeding the threshold amount</w:t>
            </w:r>
          </w:p>
        </w:tc>
        <w:tc>
          <w:tcPr>
            <w:tcW w:w="580" w:type="pct"/>
            <w:shd w:val="clear" w:color="auto" w:fill="auto"/>
          </w:tcPr>
          <w:p w:rsidR="00697BCD" w:rsidRDefault="00697BCD" w:rsidP="00624E11">
            <w:pPr>
              <w:pStyle w:val="Tabletext-right"/>
            </w:pPr>
            <w:r>
              <w:t>$50 600</w:t>
            </w:r>
          </w:p>
        </w:tc>
      </w:tr>
    </w:tbl>
    <w:p w:rsidR="00697BCD" w:rsidRDefault="00697BCD"/>
    <w:p w:rsidR="00697BCD" w:rsidRDefault="00697BCD" w:rsidP="00697BCD">
      <w:pPr>
        <w:pStyle w:val="Tabletitle"/>
      </w:pPr>
      <w:r>
        <w:t>Table A.6:</w:t>
      </w:r>
      <w:r>
        <w:tab/>
        <w:t>ACT electricity distributor performance, 2015–16 (</w:t>
      </w:r>
      <w:proofErr w:type="spellStart"/>
      <w:r>
        <w:t>ActewAGL</w:t>
      </w:r>
      <w:proofErr w:type="spellEnd"/>
      <w:r>
        <w:t>)</w:t>
      </w:r>
    </w:p>
    <w:tbl>
      <w:tblPr>
        <w:tblW w:w="5000" w:type="pct"/>
        <w:tblBorders>
          <w:top w:val="single" w:sz="4" w:space="0" w:color="BFBFBF"/>
          <w:bottom w:val="single" w:sz="4" w:space="0" w:color="BFBFBF"/>
        </w:tblBorders>
        <w:tblLook w:val="0000" w:firstRow="0" w:lastRow="0" w:firstColumn="0" w:lastColumn="0" w:noHBand="0" w:noVBand="0"/>
      </w:tblPr>
      <w:tblGrid>
        <w:gridCol w:w="7606"/>
        <w:gridCol w:w="2022"/>
      </w:tblGrid>
      <w:tr w:rsidR="00697BCD" w:rsidRPr="00391B03" w:rsidTr="00391B03">
        <w:trPr>
          <w:trHeight w:val="60"/>
        </w:trPr>
        <w:tc>
          <w:tcPr>
            <w:tcW w:w="3950" w:type="pct"/>
            <w:shd w:val="clear" w:color="auto" w:fill="auto"/>
          </w:tcPr>
          <w:p w:rsidR="00697BCD" w:rsidRPr="00391B03" w:rsidRDefault="00697BCD" w:rsidP="006B1E9F">
            <w:pPr>
              <w:pStyle w:val="TableHeading"/>
            </w:pPr>
            <w:r w:rsidRPr="00391B03">
              <w:t>Complaints</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Total complaints received</w:t>
            </w:r>
          </w:p>
        </w:tc>
        <w:tc>
          <w:tcPr>
            <w:tcW w:w="1050" w:type="pct"/>
            <w:shd w:val="clear" w:color="auto" w:fill="auto"/>
          </w:tcPr>
          <w:p w:rsidR="00697BCD" w:rsidRDefault="00697BCD" w:rsidP="00624E11">
            <w:pPr>
              <w:pStyle w:val="Tabletext-right"/>
            </w:pPr>
            <w:r>
              <w:t>796</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Complaints responded to within 20 business days</w:t>
            </w:r>
          </w:p>
        </w:tc>
        <w:tc>
          <w:tcPr>
            <w:tcW w:w="1050" w:type="pct"/>
            <w:shd w:val="clear" w:color="auto" w:fill="auto"/>
          </w:tcPr>
          <w:p w:rsidR="00697BCD" w:rsidRDefault="00697BCD" w:rsidP="00624E11">
            <w:pPr>
              <w:pStyle w:val="Tabletext-right"/>
            </w:pPr>
            <w:r>
              <w:t>N/A</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Planned interruptions</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Number of planned interruptions</w:t>
            </w:r>
          </w:p>
        </w:tc>
        <w:tc>
          <w:tcPr>
            <w:tcW w:w="1050" w:type="pct"/>
            <w:shd w:val="clear" w:color="auto" w:fill="auto"/>
          </w:tcPr>
          <w:p w:rsidR="00697BCD" w:rsidRDefault="00697BCD" w:rsidP="00624E11">
            <w:pPr>
              <w:pStyle w:val="Tabletext-right"/>
            </w:pPr>
            <w:r>
              <w:t>1105</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Instances where notice of at least 4 business days was not provided to customers</w:t>
            </w:r>
          </w:p>
        </w:tc>
        <w:tc>
          <w:tcPr>
            <w:tcW w:w="1050" w:type="pct"/>
            <w:shd w:val="clear" w:color="auto" w:fill="auto"/>
          </w:tcPr>
          <w:p w:rsidR="00697BCD" w:rsidRDefault="00697BCD" w:rsidP="00624E11">
            <w:pPr>
              <w:pStyle w:val="Tabletext-right"/>
            </w:pPr>
            <w:r>
              <w:t>54</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Instances where supply was not restored within 12 hours of the initial interruption</w:t>
            </w:r>
          </w:p>
        </w:tc>
        <w:tc>
          <w:tcPr>
            <w:tcW w:w="1050" w:type="pct"/>
            <w:shd w:val="clear" w:color="auto" w:fill="auto"/>
          </w:tcPr>
          <w:p w:rsidR="00697BCD" w:rsidRDefault="00697BCD" w:rsidP="00624E11">
            <w:pPr>
              <w:pStyle w:val="Tabletext-right"/>
            </w:pPr>
            <w:r>
              <w:t>6</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Number of customers that received compensation </w:t>
            </w:r>
          </w:p>
        </w:tc>
        <w:tc>
          <w:tcPr>
            <w:tcW w:w="1050" w:type="pct"/>
            <w:shd w:val="clear" w:color="auto" w:fill="auto"/>
          </w:tcPr>
          <w:p w:rsidR="00697BCD" w:rsidRDefault="00697BCD" w:rsidP="00624E11">
            <w:pPr>
              <w:pStyle w:val="Tabletext-right"/>
            </w:pPr>
            <w:r>
              <w:t>65</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Compensation paid</w:t>
            </w:r>
          </w:p>
        </w:tc>
        <w:tc>
          <w:tcPr>
            <w:tcW w:w="1050" w:type="pct"/>
            <w:shd w:val="clear" w:color="auto" w:fill="auto"/>
          </w:tcPr>
          <w:p w:rsidR="00697BCD" w:rsidRDefault="00697BCD" w:rsidP="00624E11">
            <w:pPr>
              <w:pStyle w:val="Tabletext-right"/>
            </w:pPr>
            <w:r>
              <w:t>$3 250</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Unplanned interruptions</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Number of unplanned interruptions</w:t>
            </w:r>
          </w:p>
        </w:tc>
        <w:tc>
          <w:tcPr>
            <w:tcW w:w="1050" w:type="pct"/>
            <w:shd w:val="clear" w:color="auto" w:fill="auto"/>
          </w:tcPr>
          <w:p w:rsidR="00697BCD" w:rsidRDefault="00697BCD" w:rsidP="00624E11">
            <w:pPr>
              <w:pStyle w:val="Tabletext-right"/>
            </w:pPr>
            <w:r>
              <w:t>1839</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Instances where supply was not restored within 12 hours of the initial interruption</w:t>
            </w:r>
          </w:p>
        </w:tc>
        <w:tc>
          <w:tcPr>
            <w:tcW w:w="1050" w:type="pct"/>
            <w:shd w:val="clear" w:color="auto" w:fill="auto"/>
          </w:tcPr>
          <w:p w:rsidR="00697BCD" w:rsidRDefault="00697BCD" w:rsidP="00624E11">
            <w:pPr>
              <w:pStyle w:val="Tabletext-right"/>
            </w:pPr>
            <w:r>
              <w:t>48</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Compensation paid to customers</w:t>
            </w:r>
          </w:p>
        </w:tc>
        <w:tc>
          <w:tcPr>
            <w:tcW w:w="1050" w:type="pct"/>
            <w:shd w:val="clear" w:color="auto" w:fill="auto"/>
          </w:tcPr>
          <w:p w:rsidR="00697BCD" w:rsidRDefault="00697BCD" w:rsidP="00624E11">
            <w:pPr>
              <w:pStyle w:val="Tabletext-right"/>
            </w:pPr>
            <w:r>
              <w:t>$0</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System Average Interruption Duration Index (SAIDI)</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Overall</w:t>
            </w:r>
          </w:p>
        </w:tc>
        <w:tc>
          <w:tcPr>
            <w:tcW w:w="1050" w:type="pct"/>
            <w:shd w:val="clear" w:color="auto" w:fill="auto"/>
          </w:tcPr>
          <w:p w:rsidR="00697BCD" w:rsidRDefault="00697BCD" w:rsidP="00624E11">
            <w:pPr>
              <w:pStyle w:val="Tabletext-right"/>
            </w:pPr>
            <w:r>
              <w:t>79.04</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lastRenderedPageBreak/>
              <w:t xml:space="preserve">Distribution network—planned </w:t>
            </w:r>
          </w:p>
        </w:tc>
        <w:tc>
          <w:tcPr>
            <w:tcW w:w="1050" w:type="pct"/>
            <w:shd w:val="clear" w:color="auto" w:fill="auto"/>
          </w:tcPr>
          <w:p w:rsidR="00697BCD" w:rsidRDefault="00697BCD" w:rsidP="00624E11">
            <w:pPr>
              <w:pStyle w:val="Tabletext-right"/>
            </w:pPr>
            <w:r>
              <w:t>38.86</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Distribution network—unplanned </w:t>
            </w:r>
          </w:p>
        </w:tc>
        <w:tc>
          <w:tcPr>
            <w:tcW w:w="1050" w:type="pct"/>
            <w:shd w:val="clear" w:color="auto" w:fill="auto"/>
          </w:tcPr>
          <w:p w:rsidR="00697BCD" w:rsidRDefault="00697BCD" w:rsidP="00624E11">
            <w:pPr>
              <w:pStyle w:val="Tabletext-right"/>
            </w:pPr>
            <w:r>
              <w:t>40.19</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Normalised distribution network—unplanned </w:t>
            </w:r>
          </w:p>
        </w:tc>
        <w:tc>
          <w:tcPr>
            <w:tcW w:w="1050" w:type="pct"/>
            <w:shd w:val="clear" w:color="auto" w:fill="auto"/>
          </w:tcPr>
          <w:p w:rsidR="00697BCD" w:rsidRDefault="00697BCD" w:rsidP="00624E11">
            <w:pPr>
              <w:pStyle w:val="Tabletext-right"/>
            </w:pPr>
            <w:r>
              <w:t>35.10</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System Average Interruption Frequency Index (SAIFI) </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Overall</w:t>
            </w:r>
          </w:p>
        </w:tc>
        <w:tc>
          <w:tcPr>
            <w:tcW w:w="1050" w:type="pct"/>
            <w:shd w:val="clear" w:color="auto" w:fill="auto"/>
          </w:tcPr>
          <w:p w:rsidR="00697BCD" w:rsidRDefault="00697BCD" w:rsidP="00624E11">
            <w:pPr>
              <w:pStyle w:val="Tabletext-right"/>
            </w:pPr>
            <w:r>
              <w:t>0.92</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Distribution network—planned</w:t>
            </w:r>
          </w:p>
        </w:tc>
        <w:tc>
          <w:tcPr>
            <w:tcW w:w="1050" w:type="pct"/>
            <w:shd w:val="clear" w:color="auto" w:fill="auto"/>
          </w:tcPr>
          <w:p w:rsidR="00697BCD" w:rsidRDefault="00697BCD" w:rsidP="00624E11">
            <w:pPr>
              <w:pStyle w:val="Tabletext-right"/>
            </w:pPr>
            <w:r>
              <w:t>0.18</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Distribution network—unplanned </w:t>
            </w:r>
          </w:p>
        </w:tc>
        <w:tc>
          <w:tcPr>
            <w:tcW w:w="1050" w:type="pct"/>
            <w:shd w:val="clear" w:color="auto" w:fill="auto"/>
          </w:tcPr>
          <w:p w:rsidR="00697BCD" w:rsidRDefault="00697BCD" w:rsidP="00624E11">
            <w:pPr>
              <w:pStyle w:val="Tabletext-right"/>
            </w:pPr>
            <w:r>
              <w:t>0.74</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Normalised distribution network—unplanned </w:t>
            </w:r>
          </w:p>
        </w:tc>
        <w:tc>
          <w:tcPr>
            <w:tcW w:w="1050" w:type="pct"/>
            <w:shd w:val="clear" w:color="auto" w:fill="auto"/>
          </w:tcPr>
          <w:p w:rsidR="00697BCD" w:rsidRDefault="00697BCD" w:rsidP="00624E11">
            <w:pPr>
              <w:pStyle w:val="Tabletext-right"/>
            </w:pPr>
            <w:r>
              <w:t>0.68</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Customer Average Interruption Duration Index (CAIDI)</w:t>
            </w:r>
          </w:p>
        </w:tc>
        <w:tc>
          <w:tcPr>
            <w:tcW w:w="105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Overall</w:t>
            </w:r>
          </w:p>
        </w:tc>
        <w:tc>
          <w:tcPr>
            <w:tcW w:w="1050" w:type="pct"/>
            <w:shd w:val="clear" w:color="auto" w:fill="auto"/>
          </w:tcPr>
          <w:p w:rsidR="00697BCD" w:rsidRDefault="00697BCD" w:rsidP="00624E11">
            <w:pPr>
              <w:pStyle w:val="Tabletext-right"/>
            </w:pPr>
            <w:r>
              <w:t>85.71</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Distribution network—planned </w:t>
            </w:r>
          </w:p>
        </w:tc>
        <w:tc>
          <w:tcPr>
            <w:tcW w:w="1050" w:type="pct"/>
            <w:shd w:val="clear" w:color="auto" w:fill="auto"/>
          </w:tcPr>
          <w:p w:rsidR="00697BCD" w:rsidRDefault="00697BCD" w:rsidP="00624E11">
            <w:pPr>
              <w:pStyle w:val="Tabletext-right"/>
            </w:pPr>
            <w:r>
              <w:t>210.76</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Distribution network—unplanned </w:t>
            </w:r>
          </w:p>
        </w:tc>
        <w:tc>
          <w:tcPr>
            <w:tcW w:w="1050" w:type="pct"/>
            <w:shd w:val="clear" w:color="auto" w:fill="auto"/>
          </w:tcPr>
          <w:p w:rsidR="00697BCD" w:rsidRDefault="00697BCD" w:rsidP="00624E11">
            <w:pPr>
              <w:pStyle w:val="Tabletext-right"/>
            </w:pPr>
            <w:r>
              <w:t>54.47</w:t>
            </w:r>
          </w:p>
        </w:tc>
      </w:tr>
      <w:tr w:rsidR="00697BCD" w:rsidRPr="00391B03" w:rsidTr="00391B03">
        <w:trPr>
          <w:trHeight w:val="60"/>
        </w:trPr>
        <w:tc>
          <w:tcPr>
            <w:tcW w:w="3950" w:type="pct"/>
            <w:shd w:val="clear" w:color="auto" w:fill="auto"/>
          </w:tcPr>
          <w:p w:rsidR="00697BCD" w:rsidRPr="00391B03" w:rsidRDefault="00697BCD" w:rsidP="00624E11">
            <w:pPr>
              <w:pStyle w:val="Tabletext"/>
            </w:pPr>
            <w:r w:rsidRPr="00391B03">
              <w:t xml:space="preserve">Normalised distribution network—unplanned </w:t>
            </w:r>
          </w:p>
        </w:tc>
        <w:tc>
          <w:tcPr>
            <w:tcW w:w="1050" w:type="pct"/>
            <w:shd w:val="clear" w:color="auto" w:fill="auto"/>
          </w:tcPr>
          <w:p w:rsidR="00697BCD" w:rsidRDefault="00697BCD" w:rsidP="00624E11">
            <w:pPr>
              <w:pStyle w:val="Tabletext-right"/>
            </w:pPr>
            <w:r>
              <w:t>52.03</w:t>
            </w:r>
          </w:p>
        </w:tc>
      </w:tr>
    </w:tbl>
    <w:p w:rsidR="00697BCD" w:rsidRDefault="00697BCD"/>
    <w:p w:rsidR="00697BCD" w:rsidRDefault="00697BCD" w:rsidP="00697BCD">
      <w:pPr>
        <w:pStyle w:val="Tabletitle"/>
      </w:pPr>
      <w:r>
        <w:t>Table A.7:</w:t>
      </w:r>
      <w:r>
        <w:tab/>
        <w:t>Tasmania electricity distributor performance, 2015–16 (</w:t>
      </w:r>
      <w:proofErr w:type="spellStart"/>
      <w:r>
        <w:t>TasNetworks</w:t>
      </w:r>
      <w:proofErr w:type="spellEnd"/>
      <w:r>
        <w:t>)</w:t>
      </w:r>
    </w:p>
    <w:tbl>
      <w:tblPr>
        <w:tblW w:w="5000" w:type="pct"/>
        <w:tblBorders>
          <w:top w:val="single" w:sz="4" w:space="0" w:color="BFBFBF"/>
          <w:bottom w:val="single" w:sz="4" w:space="0" w:color="BFBFBF"/>
        </w:tblBorders>
        <w:tblLook w:val="0000" w:firstRow="0" w:lastRow="0" w:firstColumn="0" w:lastColumn="0" w:noHBand="0" w:noVBand="0"/>
      </w:tblPr>
      <w:tblGrid>
        <w:gridCol w:w="7641"/>
        <w:gridCol w:w="1987"/>
      </w:tblGrid>
      <w:tr w:rsidR="00697BCD" w:rsidRPr="00391B03" w:rsidTr="00391B03">
        <w:trPr>
          <w:trHeight w:val="60"/>
        </w:trPr>
        <w:tc>
          <w:tcPr>
            <w:tcW w:w="3968" w:type="pct"/>
            <w:shd w:val="clear" w:color="auto" w:fill="auto"/>
          </w:tcPr>
          <w:p w:rsidR="00697BCD" w:rsidRPr="00391B03" w:rsidRDefault="00697BCD" w:rsidP="004E72E5">
            <w:pPr>
              <w:pStyle w:val="TableHeading"/>
            </w:pPr>
            <w:r w:rsidRPr="00391B03">
              <w:t>Complaints</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Total complaints received</w:t>
            </w:r>
          </w:p>
        </w:tc>
        <w:tc>
          <w:tcPr>
            <w:tcW w:w="1032" w:type="pct"/>
            <w:shd w:val="clear" w:color="auto" w:fill="auto"/>
          </w:tcPr>
          <w:p w:rsidR="00697BCD" w:rsidRDefault="00697BCD" w:rsidP="00624E11">
            <w:pPr>
              <w:pStyle w:val="Tabletext-right"/>
            </w:pPr>
            <w:r>
              <w:t>479</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Planned interruptions</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Number of planned interruptions</w:t>
            </w:r>
          </w:p>
        </w:tc>
        <w:tc>
          <w:tcPr>
            <w:tcW w:w="1032" w:type="pct"/>
            <w:shd w:val="clear" w:color="auto" w:fill="auto"/>
          </w:tcPr>
          <w:p w:rsidR="00697BCD" w:rsidRDefault="00697BCD" w:rsidP="00624E11">
            <w:pPr>
              <w:pStyle w:val="Tabletext-right"/>
            </w:pPr>
            <w:r>
              <w:t>8929</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Number of customers not notified of planned interruptions</w:t>
            </w:r>
          </w:p>
        </w:tc>
        <w:tc>
          <w:tcPr>
            <w:tcW w:w="1032" w:type="pct"/>
            <w:shd w:val="clear" w:color="auto" w:fill="auto"/>
          </w:tcPr>
          <w:p w:rsidR="00697BCD" w:rsidRDefault="00697BCD" w:rsidP="00624E11">
            <w:pPr>
              <w:pStyle w:val="Tabletext-right"/>
            </w:pPr>
            <w:r>
              <w:t>56</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Compensation paid to customer not notified of planned interruptions</w:t>
            </w:r>
          </w:p>
        </w:tc>
        <w:tc>
          <w:tcPr>
            <w:tcW w:w="1032" w:type="pct"/>
            <w:shd w:val="clear" w:color="auto" w:fill="auto"/>
          </w:tcPr>
          <w:p w:rsidR="00697BCD" w:rsidRDefault="00697BCD" w:rsidP="00624E11">
            <w:pPr>
              <w:pStyle w:val="Tabletext-right"/>
            </w:pPr>
            <w:r>
              <w:t>$1 860</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Faulty street lights</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Number of reported street light faults</w:t>
            </w:r>
          </w:p>
        </w:tc>
        <w:tc>
          <w:tcPr>
            <w:tcW w:w="1032" w:type="pct"/>
            <w:shd w:val="clear" w:color="auto" w:fill="auto"/>
          </w:tcPr>
          <w:p w:rsidR="00697BCD" w:rsidRDefault="00697BCD" w:rsidP="00624E11">
            <w:pPr>
              <w:pStyle w:val="Tabletext-right"/>
            </w:pPr>
            <w:r>
              <w:t>2 441</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Occasions where repairs not completed within 7 days</w:t>
            </w:r>
          </w:p>
        </w:tc>
        <w:tc>
          <w:tcPr>
            <w:tcW w:w="1032" w:type="pct"/>
            <w:shd w:val="clear" w:color="auto" w:fill="auto"/>
          </w:tcPr>
          <w:p w:rsidR="00697BCD" w:rsidRDefault="00697BCD" w:rsidP="00624E11">
            <w:pPr>
              <w:pStyle w:val="Tabletext-right"/>
            </w:pPr>
            <w:r>
              <w:t>1 129</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Compensation paid to customers for repairs not completed within 7 days</w:t>
            </w:r>
          </w:p>
        </w:tc>
        <w:tc>
          <w:tcPr>
            <w:tcW w:w="1032" w:type="pct"/>
            <w:shd w:val="clear" w:color="auto" w:fill="auto"/>
          </w:tcPr>
          <w:p w:rsidR="00697BCD" w:rsidRDefault="00697BCD" w:rsidP="00624E11">
            <w:pPr>
              <w:pStyle w:val="Tabletext-right"/>
            </w:pPr>
            <w:r>
              <w:t>$330</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New connections and reconnections</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New connections</w:t>
            </w:r>
          </w:p>
        </w:tc>
        <w:tc>
          <w:tcPr>
            <w:tcW w:w="1032" w:type="pct"/>
            <w:shd w:val="clear" w:color="auto" w:fill="auto"/>
          </w:tcPr>
          <w:p w:rsidR="00697BCD" w:rsidRDefault="00697BCD" w:rsidP="00624E11">
            <w:pPr>
              <w:pStyle w:val="Tabletext-right"/>
            </w:pPr>
            <w:r>
              <w:t>3 018</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New connections completed by scheduled date</w:t>
            </w:r>
          </w:p>
        </w:tc>
        <w:tc>
          <w:tcPr>
            <w:tcW w:w="1032" w:type="pct"/>
            <w:shd w:val="clear" w:color="auto" w:fill="auto"/>
          </w:tcPr>
          <w:p w:rsidR="00697BCD" w:rsidRDefault="00697BCD" w:rsidP="00624E11">
            <w:pPr>
              <w:pStyle w:val="Tabletext-right"/>
            </w:pPr>
            <w:r>
              <w:t>2 251</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Compensation paid to customers for late connections</w:t>
            </w:r>
          </w:p>
        </w:tc>
        <w:tc>
          <w:tcPr>
            <w:tcW w:w="1032" w:type="pct"/>
            <w:shd w:val="clear" w:color="auto" w:fill="auto"/>
          </w:tcPr>
          <w:p w:rsidR="00697BCD" w:rsidRDefault="00697BCD" w:rsidP="00624E11">
            <w:pPr>
              <w:pStyle w:val="Tabletext-right"/>
            </w:pPr>
            <w:r>
              <w:t>$41 670</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Reconnections</w:t>
            </w:r>
          </w:p>
        </w:tc>
        <w:tc>
          <w:tcPr>
            <w:tcW w:w="1032" w:type="pct"/>
            <w:shd w:val="clear" w:color="auto" w:fill="auto"/>
          </w:tcPr>
          <w:p w:rsidR="00697BCD" w:rsidRDefault="00697BCD" w:rsidP="00624E11">
            <w:pPr>
              <w:pStyle w:val="Tabletext-right"/>
            </w:pPr>
            <w:r>
              <w:t>29 913</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Reconnections completed by scheduled date</w:t>
            </w:r>
          </w:p>
        </w:tc>
        <w:tc>
          <w:tcPr>
            <w:tcW w:w="1032" w:type="pct"/>
            <w:shd w:val="clear" w:color="auto" w:fill="auto"/>
          </w:tcPr>
          <w:p w:rsidR="00697BCD" w:rsidRDefault="00697BCD" w:rsidP="00624E11">
            <w:pPr>
              <w:pStyle w:val="Tabletext-right"/>
            </w:pPr>
            <w:r>
              <w:t>29 851</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Compensation paid to customers for late reconnections</w:t>
            </w:r>
          </w:p>
        </w:tc>
        <w:tc>
          <w:tcPr>
            <w:tcW w:w="1032" w:type="pct"/>
            <w:shd w:val="clear" w:color="auto" w:fill="auto"/>
          </w:tcPr>
          <w:p w:rsidR="00697BCD" w:rsidRDefault="00697BCD" w:rsidP="00624E11">
            <w:pPr>
              <w:pStyle w:val="Tabletext-right"/>
            </w:pPr>
            <w:r>
              <w:t>$0</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System Average Interruption Duration Index (SAIDI)</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Average duration of interruptions</w:t>
            </w:r>
          </w:p>
        </w:tc>
        <w:tc>
          <w:tcPr>
            <w:tcW w:w="1032" w:type="pct"/>
            <w:shd w:val="clear" w:color="auto" w:fill="auto"/>
          </w:tcPr>
          <w:p w:rsidR="00697BCD" w:rsidRDefault="00697BCD" w:rsidP="00624E11">
            <w:pPr>
              <w:pStyle w:val="Tabletext-right"/>
            </w:pPr>
            <w:r>
              <w:t>358</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lastRenderedPageBreak/>
              <w:t>Normalised average duration of interruptions</w:t>
            </w:r>
          </w:p>
        </w:tc>
        <w:tc>
          <w:tcPr>
            <w:tcW w:w="1032" w:type="pct"/>
            <w:shd w:val="clear" w:color="auto" w:fill="auto"/>
          </w:tcPr>
          <w:p w:rsidR="00697BCD" w:rsidRDefault="00697BCD" w:rsidP="00624E11">
            <w:pPr>
              <w:pStyle w:val="Tabletext-right"/>
            </w:pPr>
            <w:r>
              <w:t>221</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Number of timely restoration payments made</w:t>
            </w:r>
          </w:p>
        </w:tc>
        <w:tc>
          <w:tcPr>
            <w:tcW w:w="1032" w:type="pct"/>
            <w:shd w:val="clear" w:color="auto" w:fill="auto"/>
          </w:tcPr>
          <w:p w:rsidR="00697BCD" w:rsidRDefault="00697BCD" w:rsidP="00624E11">
            <w:pPr>
              <w:pStyle w:val="Tabletext-right"/>
            </w:pPr>
            <w:r>
              <w:t>11 647</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Value of restoration payments made</w:t>
            </w:r>
          </w:p>
        </w:tc>
        <w:tc>
          <w:tcPr>
            <w:tcW w:w="1032" w:type="pct"/>
            <w:shd w:val="clear" w:color="auto" w:fill="auto"/>
          </w:tcPr>
          <w:p w:rsidR="00697BCD" w:rsidRDefault="00697BCD" w:rsidP="00624E11">
            <w:pPr>
              <w:pStyle w:val="Tabletext-right"/>
            </w:pPr>
            <w:r>
              <w:t>$1 222 240</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System Average Interruption Frequency Index (SAIFI)</w:t>
            </w:r>
          </w:p>
        </w:tc>
        <w:tc>
          <w:tcPr>
            <w:tcW w:w="103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Average frequency of interruptions</w:t>
            </w:r>
          </w:p>
        </w:tc>
        <w:tc>
          <w:tcPr>
            <w:tcW w:w="1032" w:type="pct"/>
            <w:shd w:val="clear" w:color="auto" w:fill="auto"/>
          </w:tcPr>
          <w:p w:rsidR="00697BCD" w:rsidRDefault="00697BCD" w:rsidP="00624E11">
            <w:pPr>
              <w:pStyle w:val="Tabletext-right"/>
            </w:pPr>
            <w:r>
              <w:t>2.22</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 xml:space="preserve">Normalised average frequency of interruptions </w:t>
            </w:r>
          </w:p>
        </w:tc>
        <w:tc>
          <w:tcPr>
            <w:tcW w:w="1032" w:type="pct"/>
            <w:shd w:val="clear" w:color="auto" w:fill="auto"/>
          </w:tcPr>
          <w:p w:rsidR="00697BCD" w:rsidRDefault="00697BCD" w:rsidP="00624E11">
            <w:pPr>
              <w:pStyle w:val="Tabletext-right"/>
            </w:pPr>
            <w:r>
              <w:t>1.86</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Number of reliable supply payments made</w:t>
            </w:r>
          </w:p>
        </w:tc>
        <w:tc>
          <w:tcPr>
            <w:tcW w:w="1032" w:type="pct"/>
            <w:shd w:val="clear" w:color="auto" w:fill="auto"/>
          </w:tcPr>
          <w:p w:rsidR="00697BCD" w:rsidRDefault="00697BCD" w:rsidP="00624E11">
            <w:pPr>
              <w:pStyle w:val="Tabletext-right"/>
            </w:pPr>
            <w:r>
              <w:t>2 067</w:t>
            </w:r>
          </w:p>
        </w:tc>
      </w:tr>
      <w:tr w:rsidR="00697BCD" w:rsidRPr="00391B03" w:rsidTr="00391B03">
        <w:trPr>
          <w:trHeight w:val="60"/>
        </w:trPr>
        <w:tc>
          <w:tcPr>
            <w:tcW w:w="3968" w:type="pct"/>
            <w:shd w:val="clear" w:color="auto" w:fill="auto"/>
          </w:tcPr>
          <w:p w:rsidR="00697BCD" w:rsidRPr="00391B03" w:rsidRDefault="00697BCD" w:rsidP="00624E11">
            <w:pPr>
              <w:pStyle w:val="Tabletext"/>
            </w:pPr>
            <w:r w:rsidRPr="00391B03">
              <w:t>Value of reliable supply payments made</w:t>
            </w:r>
          </w:p>
        </w:tc>
        <w:tc>
          <w:tcPr>
            <w:tcW w:w="1032" w:type="pct"/>
            <w:shd w:val="clear" w:color="auto" w:fill="auto"/>
          </w:tcPr>
          <w:p w:rsidR="00697BCD" w:rsidRDefault="00697BCD" w:rsidP="00624E11">
            <w:pPr>
              <w:pStyle w:val="Tabletext-right"/>
            </w:pPr>
            <w:r>
              <w:t>$165 360</w:t>
            </w:r>
          </w:p>
        </w:tc>
      </w:tr>
    </w:tbl>
    <w:p w:rsidR="00697BCD" w:rsidRDefault="00697BCD"/>
    <w:p w:rsidR="00697BCD" w:rsidRDefault="00EC4210" w:rsidP="00697BCD">
      <w:pPr>
        <w:pStyle w:val="Heading2"/>
      </w:pPr>
      <w:bookmarkStart w:id="65" w:name="_Toc467665349"/>
      <w:r>
        <w:br w:type="page"/>
      </w:r>
      <w:r w:rsidR="00697BCD">
        <w:t>Appendix 4: Supplementary tables</w:t>
      </w:r>
      <w:bookmarkEnd w:id="65"/>
      <w:r w:rsidR="00697BCD">
        <w:t xml:space="preserve"> </w:t>
      </w:r>
    </w:p>
    <w:p w:rsidR="00697BCD" w:rsidRDefault="00697BCD" w:rsidP="00697BCD">
      <w:pPr>
        <w:pStyle w:val="Tabletitle"/>
      </w:pPr>
      <w:r>
        <w:t>Table A.8:</w:t>
      </w:r>
      <w:r>
        <w:tab/>
        <w:t>Electricity customers—payment plans, hardship programs and disconnections for non-payment</w:t>
      </w:r>
    </w:p>
    <w:tbl>
      <w:tblPr>
        <w:tblW w:w="5000" w:type="pct"/>
        <w:tblBorders>
          <w:top w:val="single" w:sz="4" w:space="0" w:color="BFBFBF"/>
          <w:bottom w:val="single" w:sz="4" w:space="0" w:color="BFBFBF"/>
        </w:tblBorders>
        <w:tblLook w:val="0000" w:firstRow="0" w:lastRow="0" w:firstColumn="0" w:lastColumn="0" w:noHBand="0" w:noVBand="0"/>
      </w:tblPr>
      <w:tblGrid>
        <w:gridCol w:w="1978"/>
        <w:gridCol w:w="1275"/>
        <w:gridCol w:w="1275"/>
        <w:gridCol w:w="1275"/>
        <w:gridCol w:w="1275"/>
        <w:gridCol w:w="1275"/>
        <w:gridCol w:w="1275"/>
      </w:tblGrid>
      <w:tr w:rsidR="00697BCD" w:rsidRPr="00391B03" w:rsidTr="00391B03">
        <w:trPr>
          <w:trHeight w:val="60"/>
        </w:trPr>
        <w:tc>
          <w:tcPr>
            <w:tcW w:w="1027" w:type="pct"/>
            <w:shd w:val="clear" w:color="auto" w:fill="auto"/>
          </w:tcPr>
          <w:p w:rsidR="00697BCD" w:rsidRPr="00391B03" w:rsidRDefault="00697BCD" w:rsidP="006B1E9F">
            <w:pPr>
              <w:pStyle w:val="TableHeading"/>
            </w:pPr>
            <w:r w:rsidRPr="00391B03">
              <w:t>Retailer</w:t>
            </w:r>
          </w:p>
        </w:tc>
        <w:tc>
          <w:tcPr>
            <w:tcW w:w="1324" w:type="pct"/>
            <w:gridSpan w:val="2"/>
            <w:shd w:val="clear" w:color="auto" w:fill="auto"/>
          </w:tcPr>
          <w:p w:rsidR="00697BCD" w:rsidRPr="00391B03" w:rsidRDefault="00697BCD" w:rsidP="006B1E9F">
            <w:pPr>
              <w:pStyle w:val="TableHeading"/>
            </w:pPr>
            <w:r w:rsidRPr="00391B03">
              <w:t>Customers on payment plans</w:t>
            </w:r>
          </w:p>
        </w:tc>
        <w:tc>
          <w:tcPr>
            <w:tcW w:w="1324" w:type="pct"/>
            <w:gridSpan w:val="2"/>
            <w:shd w:val="clear" w:color="auto" w:fill="auto"/>
          </w:tcPr>
          <w:p w:rsidR="00697BCD" w:rsidRPr="00391B03" w:rsidRDefault="00697BCD" w:rsidP="006B1E9F">
            <w:pPr>
              <w:pStyle w:val="TableHeading"/>
            </w:pPr>
            <w:r w:rsidRPr="00391B03">
              <w:t>Customers on hardship programs</w:t>
            </w:r>
          </w:p>
        </w:tc>
        <w:tc>
          <w:tcPr>
            <w:tcW w:w="1324" w:type="pct"/>
            <w:gridSpan w:val="2"/>
            <w:shd w:val="clear" w:color="auto" w:fill="auto"/>
          </w:tcPr>
          <w:p w:rsidR="00697BCD" w:rsidRPr="00391B03" w:rsidRDefault="00697BCD" w:rsidP="006B1E9F">
            <w:pPr>
              <w:pStyle w:val="TableHeading"/>
            </w:pPr>
            <w:r w:rsidRPr="00391B03">
              <w:t>Customers disconnected for non-payment</w:t>
            </w:r>
          </w:p>
        </w:tc>
      </w:tr>
      <w:tr w:rsidR="00697BCD" w:rsidRPr="00391B03" w:rsidTr="00391B03">
        <w:trPr>
          <w:trHeight w:val="60"/>
        </w:trPr>
        <w:tc>
          <w:tcPr>
            <w:tcW w:w="102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B1E9F">
            <w:pPr>
              <w:pStyle w:val="TableHeading-right"/>
            </w:pPr>
            <w:r>
              <w:t>June 2015</w:t>
            </w:r>
          </w:p>
        </w:tc>
        <w:tc>
          <w:tcPr>
            <w:tcW w:w="662" w:type="pct"/>
            <w:shd w:val="clear" w:color="auto" w:fill="auto"/>
          </w:tcPr>
          <w:p w:rsidR="00697BCD" w:rsidRDefault="00697BCD" w:rsidP="006B1E9F">
            <w:pPr>
              <w:pStyle w:val="TableHeading-right"/>
            </w:pPr>
            <w:r>
              <w:t>June 2016</w:t>
            </w:r>
          </w:p>
        </w:tc>
        <w:tc>
          <w:tcPr>
            <w:tcW w:w="662" w:type="pct"/>
            <w:shd w:val="clear" w:color="auto" w:fill="auto"/>
          </w:tcPr>
          <w:p w:rsidR="00697BCD" w:rsidRDefault="00697BCD" w:rsidP="006B1E9F">
            <w:pPr>
              <w:pStyle w:val="TableHeading-right"/>
            </w:pPr>
            <w:r>
              <w:t>June 2015</w:t>
            </w:r>
          </w:p>
        </w:tc>
        <w:tc>
          <w:tcPr>
            <w:tcW w:w="662" w:type="pct"/>
            <w:shd w:val="clear" w:color="auto" w:fill="auto"/>
          </w:tcPr>
          <w:p w:rsidR="00697BCD" w:rsidRDefault="00697BCD" w:rsidP="006B1E9F">
            <w:pPr>
              <w:pStyle w:val="TableHeading-right"/>
            </w:pPr>
            <w:r>
              <w:t>June 2016</w:t>
            </w:r>
          </w:p>
        </w:tc>
        <w:tc>
          <w:tcPr>
            <w:tcW w:w="662" w:type="pct"/>
            <w:shd w:val="clear" w:color="auto" w:fill="auto"/>
          </w:tcPr>
          <w:p w:rsidR="00697BCD" w:rsidRDefault="00697BCD" w:rsidP="006B1E9F">
            <w:pPr>
              <w:pStyle w:val="TableHeading-right"/>
            </w:pPr>
            <w:r>
              <w:t>2014–15</w:t>
            </w:r>
          </w:p>
        </w:tc>
        <w:tc>
          <w:tcPr>
            <w:tcW w:w="662" w:type="pct"/>
            <w:shd w:val="clear" w:color="auto" w:fill="auto"/>
          </w:tcPr>
          <w:p w:rsidR="00697BCD" w:rsidRDefault="00697BCD" w:rsidP="006B1E9F">
            <w:pPr>
              <w:pStyle w:val="TableHeading-right"/>
            </w:pPr>
            <w:r>
              <w:t>2015–16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Queensland</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3 637</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4 966</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4037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Click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744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434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350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Diamond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99</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15</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11 189</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1 093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1 820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Ergon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15 483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6 321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8 381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Locality Planning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8</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6</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Lumo</w:t>
            </w:r>
            <w:proofErr w:type="spellEnd"/>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2 534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391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1 088</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M2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264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73</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Metered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111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184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4 532</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4 729</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 xml:space="preserve"> 5 632</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Powerdirect</w:t>
            </w:r>
            <w:proofErr w:type="spellEnd"/>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334</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143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312</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QEnergy</w:t>
            </w:r>
            <w:proofErr w:type="spellEnd"/>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110</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40</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25</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Sanctuary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35</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Simply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10</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South Australia</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Default="00697BCD" w:rsidP="00624E11">
            <w:pPr>
              <w:pStyle w:val="Tabletext-right"/>
            </w:pPr>
            <w:r>
              <w:t>2 231</w:t>
            </w:r>
          </w:p>
        </w:tc>
        <w:tc>
          <w:tcPr>
            <w:tcW w:w="662" w:type="pct"/>
            <w:shd w:val="clear" w:color="auto" w:fill="auto"/>
          </w:tcPr>
          <w:p w:rsidR="00697BCD" w:rsidRDefault="00697BCD" w:rsidP="00624E11">
            <w:pPr>
              <w:pStyle w:val="Tabletext-right"/>
            </w:pPr>
            <w:r>
              <w:t>2 865</w:t>
            </w:r>
          </w:p>
        </w:tc>
        <w:tc>
          <w:tcPr>
            <w:tcW w:w="662" w:type="pct"/>
            <w:shd w:val="clear" w:color="auto" w:fill="auto"/>
          </w:tcPr>
          <w:p w:rsidR="00697BCD" w:rsidRDefault="00697BCD" w:rsidP="00624E11">
            <w:pPr>
              <w:pStyle w:val="Tabletext-right"/>
            </w:pPr>
            <w:r>
              <w:t>4 711</w:t>
            </w:r>
          </w:p>
        </w:tc>
        <w:tc>
          <w:tcPr>
            <w:tcW w:w="662" w:type="pct"/>
            <w:shd w:val="clear" w:color="auto" w:fill="auto"/>
          </w:tcPr>
          <w:p w:rsidR="00697BCD" w:rsidRDefault="00697BCD" w:rsidP="00624E11">
            <w:pPr>
              <w:pStyle w:val="Tabletext-right"/>
            </w:pPr>
            <w:r>
              <w:t>7 440</w:t>
            </w:r>
          </w:p>
        </w:tc>
        <w:tc>
          <w:tcPr>
            <w:tcW w:w="662" w:type="pct"/>
            <w:shd w:val="clear" w:color="auto" w:fill="auto"/>
          </w:tcPr>
          <w:p w:rsidR="00697BCD" w:rsidRDefault="00697BCD" w:rsidP="00624E11">
            <w:pPr>
              <w:pStyle w:val="Tabletext-right"/>
            </w:pPr>
            <w:r>
              <w:t>4 274</w:t>
            </w:r>
          </w:p>
        </w:tc>
        <w:tc>
          <w:tcPr>
            <w:tcW w:w="662" w:type="pct"/>
            <w:shd w:val="clear" w:color="auto" w:fill="auto"/>
          </w:tcPr>
          <w:p w:rsidR="00697BCD" w:rsidRDefault="00697BCD" w:rsidP="00624E11">
            <w:pPr>
              <w:pStyle w:val="Tabletext-right"/>
            </w:pPr>
            <w:r>
              <w:t>3 145</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662" w:type="pct"/>
            <w:shd w:val="clear" w:color="auto" w:fill="auto"/>
          </w:tcPr>
          <w:p w:rsidR="00697BCD" w:rsidRDefault="00697BCD" w:rsidP="00624E11">
            <w:pPr>
              <w:pStyle w:val="Tabletext-right"/>
            </w:pPr>
            <w:r>
              <w:t>1 450</w:t>
            </w:r>
          </w:p>
        </w:tc>
        <w:tc>
          <w:tcPr>
            <w:tcW w:w="662" w:type="pct"/>
            <w:shd w:val="clear" w:color="auto" w:fill="auto"/>
          </w:tcPr>
          <w:p w:rsidR="00697BCD" w:rsidRDefault="00697BCD" w:rsidP="00624E11">
            <w:pPr>
              <w:pStyle w:val="Tabletext-right"/>
            </w:pPr>
            <w:r>
              <w:t>1 071</w:t>
            </w:r>
          </w:p>
        </w:tc>
        <w:tc>
          <w:tcPr>
            <w:tcW w:w="662" w:type="pct"/>
            <w:shd w:val="clear" w:color="auto" w:fill="auto"/>
          </w:tcPr>
          <w:p w:rsidR="00697BCD" w:rsidRDefault="00697BCD" w:rsidP="00624E11">
            <w:pPr>
              <w:pStyle w:val="Tabletext-right"/>
            </w:pPr>
            <w:r>
              <w:t>490</w:t>
            </w:r>
          </w:p>
        </w:tc>
        <w:tc>
          <w:tcPr>
            <w:tcW w:w="662" w:type="pct"/>
            <w:shd w:val="clear" w:color="auto" w:fill="auto"/>
          </w:tcPr>
          <w:p w:rsidR="00697BCD" w:rsidRDefault="00697BCD" w:rsidP="00624E11">
            <w:pPr>
              <w:pStyle w:val="Tabletext-right"/>
            </w:pPr>
            <w:r>
              <w:t>383</w:t>
            </w:r>
          </w:p>
        </w:tc>
        <w:tc>
          <w:tcPr>
            <w:tcW w:w="662" w:type="pct"/>
            <w:shd w:val="clear" w:color="auto" w:fill="auto"/>
          </w:tcPr>
          <w:p w:rsidR="00697BCD" w:rsidRDefault="00697BCD" w:rsidP="00624E11">
            <w:pPr>
              <w:pStyle w:val="Tabletext-right"/>
            </w:pPr>
            <w:r>
              <w:t>575</w:t>
            </w:r>
          </w:p>
        </w:tc>
        <w:tc>
          <w:tcPr>
            <w:tcW w:w="662" w:type="pct"/>
            <w:shd w:val="clear" w:color="auto" w:fill="auto"/>
          </w:tcPr>
          <w:p w:rsidR="00697BCD" w:rsidRDefault="00697BCD" w:rsidP="00624E11">
            <w:pPr>
              <w:pStyle w:val="Tabletext-right"/>
            </w:pPr>
            <w:r>
              <w:t>1 369</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lastRenderedPageBreak/>
              <w:t>Click Energy</w:t>
            </w:r>
          </w:p>
        </w:tc>
        <w:tc>
          <w:tcPr>
            <w:tcW w:w="662" w:type="pct"/>
            <w:shd w:val="clear" w:color="auto" w:fill="auto"/>
          </w:tcPr>
          <w:p w:rsidR="00697BCD" w:rsidRDefault="00697BCD" w:rsidP="00624E11">
            <w:pPr>
              <w:pStyle w:val="Tabletext-right"/>
            </w:pPr>
            <w:r>
              <w:t xml:space="preserve"> –</w:t>
            </w: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Diamond Energy</w:t>
            </w:r>
          </w:p>
        </w:tc>
        <w:tc>
          <w:tcPr>
            <w:tcW w:w="662" w:type="pct"/>
            <w:shd w:val="clear" w:color="auto" w:fill="auto"/>
          </w:tcPr>
          <w:p w:rsidR="00697BCD" w:rsidRDefault="00697BCD" w:rsidP="00624E11">
            <w:pPr>
              <w:pStyle w:val="Tabletext-right"/>
            </w:pPr>
            <w:r>
              <w:t>17</w:t>
            </w:r>
          </w:p>
        </w:tc>
        <w:tc>
          <w:tcPr>
            <w:tcW w:w="662" w:type="pct"/>
            <w:shd w:val="clear" w:color="auto" w:fill="auto"/>
          </w:tcPr>
          <w:p w:rsidR="00697BCD" w:rsidRDefault="00697BCD" w:rsidP="00624E11">
            <w:pPr>
              <w:pStyle w:val="Tabletext-right"/>
            </w:pPr>
            <w:r>
              <w:t>35</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3</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2</w:t>
            </w:r>
          </w:p>
        </w:tc>
      </w:tr>
      <w:tr w:rsidR="00697BCD" w:rsidRPr="00391B03" w:rsidTr="00391B03">
        <w:trPr>
          <w:trHeight w:val="375"/>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Default="00697BCD" w:rsidP="00624E11">
            <w:pPr>
              <w:pStyle w:val="Tabletext-right"/>
            </w:pPr>
            <w:r>
              <w:t>8 122</w:t>
            </w:r>
          </w:p>
        </w:tc>
        <w:tc>
          <w:tcPr>
            <w:tcW w:w="662" w:type="pct"/>
            <w:shd w:val="clear" w:color="auto" w:fill="auto"/>
          </w:tcPr>
          <w:p w:rsidR="00697BCD" w:rsidRDefault="00697BCD" w:rsidP="00624E11">
            <w:pPr>
              <w:pStyle w:val="Tabletext-right"/>
            </w:pPr>
            <w:r>
              <w:t xml:space="preserve"> 8 628</w:t>
            </w:r>
          </w:p>
        </w:tc>
        <w:tc>
          <w:tcPr>
            <w:tcW w:w="662" w:type="pct"/>
            <w:shd w:val="clear" w:color="auto" w:fill="auto"/>
          </w:tcPr>
          <w:p w:rsidR="00697BCD" w:rsidRDefault="00697BCD" w:rsidP="00624E11">
            <w:pPr>
              <w:pStyle w:val="Tabletext-right"/>
            </w:pPr>
            <w:r>
              <w:t>2 017</w:t>
            </w:r>
          </w:p>
        </w:tc>
        <w:tc>
          <w:tcPr>
            <w:tcW w:w="662" w:type="pct"/>
            <w:shd w:val="clear" w:color="auto" w:fill="auto"/>
          </w:tcPr>
          <w:p w:rsidR="00697BCD" w:rsidRDefault="00697BCD" w:rsidP="00624E11">
            <w:pPr>
              <w:pStyle w:val="Tabletext-right"/>
            </w:pPr>
            <w:r>
              <w:t>1 471</w:t>
            </w:r>
          </w:p>
        </w:tc>
        <w:tc>
          <w:tcPr>
            <w:tcW w:w="662" w:type="pct"/>
            <w:shd w:val="clear" w:color="auto" w:fill="auto"/>
          </w:tcPr>
          <w:p w:rsidR="00697BCD" w:rsidRDefault="00697BCD" w:rsidP="00624E11">
            <w:pPr>
              <w:pStyle w:val="Tabletext-right"/>
            </w:pPr>
            <w:r>
              <w:t>437</w:t>
            </w:r>
          </w:p>
        </w:tc>
        <w:tc>
          <w:tcPr>
            <w:tcW w:w="662" w:type="pct"/>
            <w:shd w:val="clear" w:color="auto" w:fill="auto"/>
          </w:tcPr>
          <w:p w:rsidR="00697BCD" w:rsidRDefault="00697BCD" w:rsidP="00624E11">
            <w:pPr>
              <w:pStyle w:val="Tabletext-right"/>
            </w:pPr>
            <w:r>
              <w:t>1 597</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2" w:type="pct"/>
            <w:shd w:val="clear" w:color="auto" w:fill="auto"/>
          </w:tcPr>
          <w:p w:rsidR="00697BCD" w:rsidRDefault="00697BCD" w:rsidP="00624E11">
            <w:pPr>
              <w:pStyle w:val="Tabletext-right"/>
            </w:pPr>
            <w:r>
              <w:t>1 470</w:t>
            </w:r>
          </w:p>
        </w:tc>
        <w:tc>
          <w:tcPr>
            <w:tcW w:w="662" w:type="pct"/>
            <w:shd w:val="clear" w:color="auto" w:fill="auto"/>
          </w:tcPr>
          <w:p w:rsidR="00697BCD" w:rsidRDefault="00697BCD" w:rsidP="00624E11">
            <w:pPr>
              <w:pStyle w:val="Tabletext-right"/>
            </w:pPr>
            <w:r>
              <w:t>1 273</w:t>
            </w:r>
          </w:p>
        </w:tc>
        <w:tc>
          <w:tcPr>
            <w:tcW w:w="662" w:type="pct"/>
            <w:shd w:val="clear" w:color="auto" w:fill="auto"/>
          </w:tcPr>
          <w:p w:rsidR="00697BCD" w:rsidRDefault="00697BCD" w:rsidP="00624E11">
            <w:pPr>
              <w:pStyle w:val="Tabletext-right"/>
            </w:pPr>
            <w:r>
              <w:t>226</w:t>
            </w:r>
          </w:p>
        </w:tc>
        <w:tc>
          <w:tcPr>
            <w:tcW w:w="662" w:type="pct"/>
            <w:shd w:val="clear" w:color="auto" w:fill="auto"/>
          </w:tcPr>
          <w:p w:rsidR="00697BCD" w:rsidRDefault="00697BCD" w:rsidP="00624E11">
            <w:pPr>
              <w:pStyle w:val="Tabletext-right"/>
            </w:pPr>
            <w:r>
              <w:t>242</w:t>
            </w:r>
          </w:p>
        </w:tc>
        <w:tc>
          <w:tcPr>
            <w:tcW w:w="662" w:type="pct"/>
            <w:shd w:val="clear" w:color="auto" w:fill="auto"/>
          </w:tcPr>
          <w:p w:rsidR="00697BCD" w:rsidRDefault="00697BCD" w:rsidP="00624E11">
            <w:pPr>
              <w:pStyle w:val="Tabletext-right"/>
            </w:pPr>
            <w:r>
              <w:t>371</w:t>
            </w:r>
          </w:p>
        </w:tc>
        <w:tc>
          <w:tcPr>
            <w:tcW w:w="662" w:type="pct"/>
            <w:shd w:val="clear" w:color="auto" w:fill="auto"/>
          </w:tcPr>
          <w:p w:rsidR="00697BCD" w:rsidRDefault="00697BCD" w:rsidP="00624E11">
            <w:pPr>
              <w:pStyle w:val="Tabletext-right"/>
            </w:pPr>
            <w:r>
              <w:t>777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M2 Energy</w:t>
            </w:r>
          </w:p>
        </w:tc>
        <w:tc>
          <w:tcPr>
            <w:tcW w:w="662" w:type="pct"/>
            <w:shd w:val="clear" w:color="auto" w:fill="auto"/>
          </w:tcPr>
          <w:p w:rsidR="00697BCD" w:rsidRDefault="00697BCD" w:rsidP="00624E11">
            <w:pPr>
              <w:pStyle w:val="Tabletext-right"/>
            </w:pPr>
            <w:r>
              <w:t>6</w:t>
            </w:r>
          </w:p>
        </w:tc>
        <w:tc>
          <w:tcPr>
            <w:tcW w:w="662" w:type="pct"/>
            <w:shd w:val="clear" w:color="auto" w:fill="auto"/>
          </w:tcPr>
          <w:p w:rsidR="00697BCD" w:rsidRDefault="00697BCD" w:rsidP="00624E11">
            <w:pPr>
              <w:pStyle w:val="Tabletext-right"/>
            </w:pPr>
            <w:r>
              <w:t>7</w:t>
            </w: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Default="00697BCD" w:rsidP="00624E11">
            <w:pPr>
              <w:pStyle w:val="Tabletext-right"/>
            </w:pPr>
            <w:r>
              <w:t>68</w:t>
            </w:r>
          </w:p>
        </w:tc>
        <w:tc>
          <w:tcPr>
            <w:tcW w:w="662" w:type="pct"/>
            <w:shd w:val="clear" w:color="auto" w:fill="auto"/>
          </w:tcPr>
          <w:p w:rsidR="00697BCD" w:rsidRDefault="00697BCD" w:rsidP="00624E11">
            <w:pPr>
              <w:pStyle w:val="Tabletext-right"/>
            </w:pPr>
            <w:r>
              <w:t>3</w:t>
            </w:r>
          </w:p>
        </w:tc>
        <w:tc>
          <w:tcPr>
            <w:tcW w:w="662" w:type="pct"/>
            <w:shd w:val="clear" w:color="auto" w:fill="auto"/>
          </w:tcPr>
          <w:p w:rsidR="00697BCD" w:rsidRDefault="00697BCD" w:rsidP="00624E11">
            <w:pPr>
              <w:pStyle w:val="Tabletext-right"/>
            </w:pPr>
            <w:r>
              <w:t>15</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Momentum Energy</w:t>
            </w:r>
          </w:p>
        </w:tc>
        <w:tc>
          <w:tcPr>
            <w:tcW w:w="662" w:type="pct"/>
            <w:shd w:val="clear" w:color="auto" w:fill="auto"/>
          </w:tcPr>
          <w:p w:rsidR="00697BCD" w:rsidRDefault="00697BCD" w:rsidP="00624E11">
            <w:pPr>
              <w:pStyle w:val="Tabletext-right"/>
            </w:pPr>
            <w:r>
              <w:t>159</w:t>
            </w:r>
          </w:p>
        </w:tc>
        <w:tc>
          <w:tcPr>
            <w:tcW w:w="662" w:type="pct"/>
            <w:shd w:val="clear" w:color="auto" w:fill="auto"/>
          </w:tcPr>
          <w:p w:rsidR="00697BCD" w:rsidRDefault="00697BCD" w:rsidP="00624E11">
            <w:pPr>
              <w:pStyle w:val="Tabletext-right"/>
            </w:pPr>
            <w:r>
              <w:t>58</w:t>
            </w:r>
          </w:p>
        </w:tc>
        <w:tc>
          <w:tcPr>
            <w:tcW w:w="662" w:type="pct"/>
            <w:shd w:val="clear" w:color="auto" w:fill="auto"/>
          </w:tcPr>
          <w:p w:rsidR="00697BCD" w:rsidRDefault="00697BCD" w:rsidP="00624E11">
            <w:pPr>
              <w:pStyle w:val="Tabletext-right"/>
            </w:pPr>
            <w:r>
              <w:t>108</w:t>
            </w:r>
          </w:p>
        </w:tc>
        <w:tc>
          <w:tcPr>
            <w:tcW w:w="662" w:type="pct"/>
            <w:shd w:val="clear" w:color="auto" w:fill="auto"/>
          </w:tcPr>
          <w:p w:rsidR="00697BCD" w:rsidRDefault="00697BCD" w:rsidP="00624E11">
            <w:pPr>
              <w:pStyle w:val="Tabletext-right"/>
            </w:pPr>
            <w:r>
              <w:t>83</w:t>
            </w:r>
          </w:p>
        </w:tc>
        <w:tc>
          <w:tcPr>
            <w:tcW w:w="662" w:type="pct"/>
            <w:shd w:val="clear" w:color="auto" w:fill="auto"/>
          </w:tcPr>
          <w:p w:rsidR="00697BCD" w:rsidRDefault="00697BCD" w:rsidP="00624E11">
            <w:pPr>
              <w:pStyle w:val="Tabletext-right"/>
            </w:pPr>
            <w:r>
              <w:t>63</w:t>
            </w:r>
          </w:p>
        </w:tc>
        <w:tc>
          <w:tcPr>
            <w:tcW w:w="662" w:type="pct"/>
            <w:shd w:val="clear" w:color="auto" w:fill="auto"/>
          </w:tcPr>
          <w:p w:rsidR="00697BCD" w:rsidRDefault="00697BCD" w:rsidP="00624E11">
            <w:pPr>
              <w:pStyle w:val="Tabletext-right"/>
            </w:pPr>
            <w:r>
              <w:t>84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1 909</w:t>
            </w:r>
          </w:p>
        </w:tc>
        <w:tc>
          <w:tcPr>
            <w:tcW w:w="662" w:type="pct"/>
            <w:shd w:val="clear" w:color="auto" w:fill="auto"/>
          </w:tcPr>
          <w:p w:rsidR="00697BCD" w:rsidRDefault="00697BCD" w:rsidP="00624E11">
            <w:pPr>
              <w:pStyle w:val="Tabletext-right"/>
            </w:pPr>
            <w:r>
              <w:t>1 461</w:t>
            </w:r>
          </w:p>
        </w:tc>
        <w:tc>
          <w:tcPr>
            <w:tcW w:w="662" w:type="pct"/>
            <w:shd w:val="clear" w:color="auto" w:fill="auto"/>
          </w:tcPr>
          <w:p w:rsidR="00697BCD" w:rsidRDefault="00697BCD" w:rsidP="00624E11">
            <w:pPr>
              <w:pStyle w:val="Tabletext-right"/>
            </w:pPr>
            <w:r>
              <w:t>2 192</w:t>
            </w:r>
          </w:p>
        </w:tc>
        <w:tc>
          <w:tcPr>
            <w:tcW w:w="662" w:type="pct"/>
            <w:shd w:val="clear" w:color="auto" w:fill="auto"/>
          </w:tcPr>
          <w:p w:rsidR="00697BCD" w:rsidRDefault="00697BCD" w:rsidP="00624E11">
            <w:pPr>
              <w:pStyle w:val="Tabletext-right"/>
            </w:pPr>
            <w:r>
              <w:t>2 295</w:t>
            </w:r>
          </w:p>
        </w:tc>
        <w:tc>
          <w:tcPr>
            <w:tcW w:w="662" w:type="pct"/>
            <w:shd w:val="clear" w:color="auto" w:fill="auto"/>
          </w:tcPr>
          <w:p w:rsidR="00697BCD" w:rsidRDefault="00697BCD" w:rsidP="00624E11">
            <w:pPr>
              <w:pStyle w:val="Tabletext-right"/>
            </w:pPr>
            <w:r>
              <w:t>2 587</w:t>
            </w:r>
          </w:p>
        </w:tc>
        <w:tc>
          <w:tcPr>
            <w:tcW w:w="662" w:type="pct"/>
            <w:shd w:val="clear" w:color="auto" w:fill="auto"/>
          </w:tcPr>
          <w:p w:rsidR="00697BCD" w:rsidRDefault="00697BCD" w:rsidP="00624E11">
            <w:pPr>
              <w:pStyle w:val="Tabletext-right"/>
            </w:pPr>
            <w:r>
              <w:t>2151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Pacific Hydro</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0</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Powerdirect</w:t>
            </w:r>
            <w:proofErr w:type="spellEnd"/>
          </w:p>
        </w:tc>
        <w:tc>
          <w:tcPr>
            <w:tcW w:w="662" w:type="pct"/>
            <w:shd w:val="clear" w:color="auto" w:fill="auto"/>
          </w:tcPr>
          <w:p w:rsidR="00697BCD" w:rsidRDefault="00697BCD" w:rsidP="00624E11">
            <w:pPr>
              <w:pStyle w:val="Tabletext-right"/>
            </w:pPr>
            <w:r>
              <w:t>208</w:t>
            </w:r>
          </w:p>
        </w:tc>
        <w:tc>
          <w:tcPr>
            <w:tcW w:w="662" w:type="pct"/>
            <w:shd w:val="clear" w:color="auto" w:fill="auto"/>
          </w:tcPr>
          <w:p w:rsidR="00697BCD" w:rsidRDefault="00697BCD" w:rsidP="00624E11">
            <w:pPr>
              <w:pStyle w:val="Tabletext-right"/>
            </w:pPr>
            <w:r>
              <w:t>250</w:t>
            </w:r>
          </w:p>
        </w:tc>
        <w:tc>
          <w:tcPr>
            <w:tcW w:w="662" w:type="pct"/>
            <w:shd w:val="clear" w:color="auto" w:fill="auto"/>
          </w:tcPr>
          <w:p w:rsidR="00697BCD" w:rsidRDefault="00697BCD" w:rsidP="00624E11">
            <w:pPr>
              <w:pStyle w:val="Tabletext-right"/>
            </w:pPr>
            <w:r>
              <w:t>120</w:t>
            </w:r>
          </w:p>
        </w:tc>
        <w:tc>
          <w:tcPr>
            <w:tcW w:w="662" w:type="pct"/>
            <w:shd w:val="clear" w:color="auto" w:fill="auto"/>
          </w:tcPr>
          <w:p w:rsidR="00697BCD" w:rsidRDefault="00697BCD" w:rsidP="00624E11">
            <w:pPr>
              <w:pStyle w:val="Tabletext-right"/>
            </w:pPr>
            <w:r>
              <w:t>188</w:t>
            </w:r>
          </w:p>
        </w:tc>
        <w:tc>
          <w:tcPr>
            <w:tcW w:w="662" w:type="pct"/>
            <w:shd w:val="clear" w:color="auto" w:fill="auto"/>
          </w:tcPr>
          <w:p w:rsidR="00697BCD" w:rsidRDefault="00697BCD" w:rsidP="00624E11">
            <w:pPr>
              <w:pStyle w:val="Tabletext-right"/>
            </w:pPr>
            <w:r>
              <w:t>147</w:t>
            </w:r>
          </w:p>
        </w:tc>
        <w:tc>
          <w:tcPr>
            <w:tcW w:w="662" w:type="pct"/>
            <w:shd w:val="clear" w:color="auto" w:fill="auto"/>
          </w:tcPr>
          <w:p w:rsidR="00697BCD" w:rsidRDefault="00697BCD" w:rsidP="00624E11">
            <w:pPr>
              <w:pStyle w:val="Tabletext-right"/>
            </w:pPr>
            <w:r>
              <w:t>210</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QEnergy</w:t>
            </w:r>
            <w:proofErr w:type="spellEnd"/>
            <w:r w:rsidRPr="00391B03">
              <w:t xml:space="preserve"> </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125</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Default="00697BCD" w:rsidP="00624E11">
            <w:pPr>
              <w:pStyle w:val="Tabletext-right"/>
            </w:pPr>
            <w:r>
              <w:t>9</w:t>
            </w:r>
          </w:p>
        </w:tc>
        <w:tc>
          <w:tcPr>
            <w:tcW w:w="662" w:type="pct"/>
            <w:shd w:val="clear" w:color="auto" w:fill="auto"/>
          </w:tcPr>
          <w:p w:rsidR="00697BCD" w:rsidRDefault="00697BCD" w:rsidP="00624E11">
            <w:pPr>
              <w:pStyle w:val="Tabletext-right"/>
            </w:pPr>
            <w:r>
              <w:t>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Red Energy</w:t>
            </w:r>
          </w:p>
        </w:tc>
        <w:tc>
          <w:tcPr>
            <w:tcW w:w="662" w:type="pct"/>
            <w:shd w:val="clear" w:color="auto" w:fill="auto"/>
          </w:tcPr>
          <w:p w:rsidR="00697BCD" w:rsidRDefault="00697BCD" w:rsidP="00624E11">
            <w:pPr>
              <w:pStyle w:val="Tabletext-right"/>
            </w:pPr>
            <w:r>
              <w:t>140</w:t>
            </w:r>
          </w:p>
        </w:tc>
        <w:tc>
          <w:tcPr>
            <w:tcW w:w="662" w:type="pct"/>
            <w:shd w:val="clear" w:color="auto" w:fill="auto"/>
          </w:tcPr>
          <w:p w:rsidR="00697BCD" w:rsidRDefault="00697BCD" w:rsidP="00624E11">
            <w:pPr>
              <w:pStyle w:val="Tabletext-right"/>
            </w:pPr>
            <w:r>
              <w:t>10</w:t>
            </w:r>
          </w:p>
        </w:tc>
        <w:tc>
          <w:tcPr>
            <w:tcW w:w="662" w:type="pct"/>
            <w:shd w:val="clear" w:color="auto" w:fill="auto"/>
          </w:tcPr>
          <w:p w:rsidR="00697BCD" w:rsidRDefault="00697BCD" w:rsidP="00624E11">
            <w:pPr>
              <w:pStyle w:val="Tabletext-right"/>
            </w:pPr>
            <w:r>
              <w:t>22</w:t>
            </w:r>
          </w:p>
        </w:tc>
        <w:tc>
          <w:tcPr>
            <w:tcW w:w="662" w:type="pct"/>
            <w:shd w:val="clear" w:color="auto" w:fill="auto"/>
          </w:tcPr>
          <w:p w:rsidR="00697BCD" w:rsidRDefault="00697BCD" w:rsidP="00624E11">
            <w:pPr>
              <w:pStyle w:val="Tabletext-right"/>
            </w:pPr>
            <w:r>
              <w:t>25</w:t>
            </w: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Default="00697BCD" w:rsidP="00624E11">
            <w:pPr>
              <w:pStyle w:val="Tabletext-right"/>
            </w:pPr>
            <w:r>
              <w:t>44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Sanctuary Energy</w:t>
            </w:r>
          </w:p>
        </w:tc>
        <w:tc>
          <w:tcPr>
            <w:tcW w:w="662" w:type="pct"/>
            <w:shd w:val="clear" w:color="auto" w:fill="auto"/>
          </w:tcPr>
          <w:p w:rsidR="00697BCD" w:rsidRDefault="00697BCD" w:rsidP="00624E11">
            <w:pPr>
              <w:pStyle w:val="Tabletext-right"/>
            </w:pPr>
            <w:r>
              <w:t>5</w:t>
            </w:r>
          </w:p>
        </w:tc>
        <w:tc>
          <w:tcPr>
            <w:tcW w:w="662" w:type="pct"/>
            <w:shd w:val="clear" w:color="auto" w:fill="auto"/>
          </w:tcPr>
          <w:p w:rsidR="00697BCD" w:rsidRDefault="00697BCD" w:rsidP="00624E11">
            <w:pPr>
              <w:pStyle w:val="Tabletext-right"/>
            </w:pPr>
            <w:r>
              <w:t>11</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Default="00697BCD" w:rsidP="00624E11">
            <w:pPr>
              <w:pStyle w:val="Tabletext-right"/>
            </w:pPr>
            <w:r>
              <w:t>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Simply Energy</w:t>
            </w:r>
          </w:p>
        </w:tc>
        <w:tc>
          <w:tcPr>
            <w:tcW w:w="662" w:type="pct"/>
            <w:shd w:val="clear" w:color="auto" w:fill="auto"/>
          </w:tcPr>
          <w:p w:rsidR="00697BCD" w:rsidRDefault="00697BCD" w:rsidP="00624E11">
            <w:pPr>
              <w:pStyle w:val="Tabletext-right"/>
            </w:pPr>
            <w:r>
              <w:t>2 176</w:t>
            </w:r>
          </w:p>
        </w:tc>
        <w:tc>
          <w:tcPr>
            <w:tcW w:w="662" w:type="pct"/>
            <w:shd w:val="clear" w:color="auto" w:fill="auto"/>
          </w:tcPr>
          <w:p w:rsidR="00697BCD" w:rsidRDefault="00697BCD" w:rsidP="00624E11">
            <w:pPr>
              <w:pStyle w:val="Tabletext-right"/>
            </w:pPr>
            <w:r>
              <w:t>1 511</w:t>
            </w:r>
          </w:p>
        </w:tc>
        <w:tc>
          <w:tcPr>
            <w:tcW w:w="662" w:type="pct"/>
            <w:shd w:val="clear" w:color="auto" w:fill="auto"/>
          </w:tcPr>
          <w:p w:rsidR="00697BCD" w:rsidRDefault="00697BCD" w:rsidP="00624E11">
            <w:pPr>
              <w:pStyle w:val="Tabletext-right"/>
            </w:pPr>
            <w:r>
              <w:t>1 371</w:t>
            </w:r>
          </w:p>
        </w:tc>
        <w:tc>
          <w:tcPr>
            <w:tcW w:w="662" w:type="pct"/>
            <w:shd w:val="clear" w:color="auto" w:fill="auto"/>
          </w:tcPr>
          <w:p w:rsidR="00697BCD" w:rsidRDefault="00697BCD" w:rsidP="00624E11">
            <w:pPr>
              <w:pStyle w:val="Tabletext-right"/>
            </w:pPr>
            <w:r>
              <w:t>1 445</w:t>
            </w:r>
          </w:p>
        </w:tc>
        <w:tc>
          <w:tcPr>
            <w:tcW w:w="662" w:type="pct"/>
            <w:shd w:val="clear" w:color="auto" w:fill="auto"/>
          </w:tcPr>
          <w:p w:rsidR="00697BCD" w:rsidRDefault="00697BCD" w:rsidP="00624E11">
            <w:pPr>
              <w:pStyle w:val="Tabletext-right"/>
            </w:pPr>
            <w:r>
              <w:t>1 679</w:t>
            </w:r>
          </w:p>
        </w:tc>
        <w:tc>
          <w:tcPr>
            <w:tcW w:w="662" w:type="pct"/>
            <w:shd w:val="clear" w:color="auto" w:fill="auto"/>
          </w:tcPr>
          <w:p w:rsidR="00697BCD" w:rsidRDefault="00697BCD" w:rsidP="00624E11">
            <w:pPr>
              <w:pStyle w:val="Tabletext-right"/>
            </w:pPr>
            <w:r>
              <w:t>1 151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ACT</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ActewAGL</w:t>
            </w:r>
            <w:proofErr w:type="spellEnd"/>
          </w:p>
        </w:tc>
        <w:tc>
          <w:tcPr>
            <w:tcW w:w="662" w:type="pct"/>
            <w:shd w:val="clear" w:color="auto" w:fill="auto"/>
          </w:tcPr>
          <w:p w:rsidR="00697BCD" w:rsidRDefault="00697BCD" w:rsidP="00624E11">
            <w:pPr>
              <w:pStyle w:val="Tabletext-right"/>
            </w:pPr>
            <w:r>
              <w:t>258</w:t>
            </w:r>
          </w:p>
        </w:tc>
        <w:tc>
          <w:tcPr>
            <w:tcW w:w="662" w:type="pct"/>
            <w:shd w:val="clear" w:color="auto" w:fill="auto"/>
          </w:tcPr>
          <w:p w:rsidR="00697BCD" w:rsidRDefault="00697BCD" w:rsidP="00624E11">
            <w:pPr>
              <w:pStyle w:val="Tabletext-right"/>
            </w:pPr>
            <w:r>
              <w:t>277</w:t>
            </w:r>
          </w:p>
        </w:tc>
        <w:tc>
          <w:tcPr>
            <w:tcW w:w="662" w:type="pct"/>
            <w:shd w:val="clear" w:color="auto" w:fill="auto"/>
          </w:tcPr>
          <w:p w:rsidR="00697BCD" w:rsidRDefault="00697BCD" w:rsidP="00624E11">
            <w:pPr>
              <w:pStyle w:val="Tabletext-right"/>
            </w:pPr>
            <w:r>
              <w:t>580</w:t>
            </w:r>
          </w:p>
        </w:tc>
        <w:tc>
          <w:tcPr>
            <w:tcW w:w="662" w:type="pct"/>
            <w:shd w:val="clear" w:color="auto" w:fill="auto"/>
          </w:tcPr>
          <w:p w:rsidR="00697BCD" w:rsidRDefault="00697BCD" w:rsidP="00624E11">
            <w:pPr>
              <w:pStyle w:val="Tabletext-right"/>
            </w:pPr>
            <w:r>
              <w:t>544</w:t>
            </w:r>
          </w:p>
        </w:tc>
        <w:tc>
          <w:tcPr>
            <w:tcW w:w="662" w:type="pct"/>
            <w:shd w:val="clear" w:color="auto" w:fill="auto"/>
          </w:tcPr>
          <w:p w:rsidR="00697BCD" w:rsidRDefault="00697BCD" w:rsidP="00624E11">
            <w:pPr>
              <w:pStyle w:val="Tabletext-right"/>
            </w:pPr>
            <w:r>
              <w:t>339</w:t>
            </w:r>
          </w:p>
        </w:tc>
        <w:tc>
          <w:tcPr>
            <w:tcW w:w="662" w:type="pct"/>
            <w:shd w:val="clear" w:color="auto" w:fill="auto"/>
          </w:tcPr>
          <w:p w:rsidR="00697BCD" w:rsidRDefault="00697BCD" w:rsidP="00624E11">
            <w:pPr>
              <w:pStyle w:val="Tabletext-right"/>
            </w:pPr>
            <w:r>
              <w:t>287</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Default="00697BCD" w:rsidP="00624E11">
            <w:pPr>
              <w:pStyle w:val="Tabletext-right"/>
            </w:pPr>
            <w:r>
              <w:t>739</w:t>
            </w:r>
          </w:p>
        </w:tc>
        <w:tc>
          <w:tcPr>
            <w:tcW w:w="662" w:type="pct"/>
            <w:shd w:val="clear" w:color="auto" w:fill="auto"/>
          </w:tcPr>
          <w:p w:rsidR="00697BCD" w:rsidRDefault="00697BCD" w:rsidP="00624E11">
            <w:pPr>
              <w:pStyle w:val="Tabletext-right"/>
            </w:pPr>
            <w:r>
              <w:t>775</w:t>
            </w:r>
          </w:p>
        </w:tc>
        <w:tc>
          <w:tcPr>
            <w:tcW w:w="662" w:type="pct"/>
            <w:shd w:val="clear" w:color="auto" w:fill="auto"/>
          </w:tcPr>
          <w:p w:rsidR="00697BCD" w:rsidRDefault="00697BCD" w:rsidP="00624E11">
            <w:pPr>
              <w:pStyle w:val="Tabletext-right"/>
            </w:pPr>
            <w:r>
              <w:t>98</w:t>
            </w:r>
          </w:p>
        </w:tc>
        <w:tc>
          <w:tcPr>
            <w:tcW w:w="662" w:type="pct"/>
            <w:shd w:val="clear" w:color="auto" w:fill="auto"/>
          </w:tcPr>
          <w:p w:rsidR="00697BCD" w:rsidRDefault="00697BCD" w:rsidP="00624E11">
            <w:pPr>
              <w:pStyle w:val="Tabletext-right"/>
            </w:pPr>
            <w:r>
              <w:t>46</w:t>
            </w:r>
          </w:p>
        </w:tc>
        <w:tc>
          <w:tcPr>
            <w:tcW w:w="662" w:type="pct"/>
            <w:shd w:val="clear" w:color="auto" w:fill="auto"/>
          </w:tcPr>
          <w:p w:rsidR="00697BCD" w:rsidRDefault="00697BCD" w:rsidP="00624E11">
            <w:pPr>
              <w:pStyle w:val="Tabletext-right"/>
            </w:pPr>
            <w:r>
              <w:t>6</w:t>
            </w:r>
          </w:p>
        </w:tc>
        <w:tc>
          <w:tcPr>
            <w:tcW w:w="662" w:type="pct"/>
            <w:shd w:val="clear" w:color="auto" w:fill="auto"/>
          </w:tcPr>
          <w:p w:rsidR="00697BCD" w:rsidRDefault="00697BCD" w:rsidP="00624E11">
            <w:pPr>
              <w:pStyle w:val="Tabletext-right"/>
            </w:pPr>
            <w:r>
              <w:t>65</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11</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36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Tasmania</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Aurora Energy</w:t>
            </w:r>
          </w:p>
        </w:tc>
        <w:tc>
          <w:tcPr>
            <w:tcW w:w="662" w:type="pct"/>
            <w:shd w:val="clear" w:color="auto" w:fill="auto"/>
          </w:tcPr>
          <w:p w:rsidR="00697BCD" w:rsidRDefault="00697BCD" w:rsidP="00624E11">
            <w:pPr>
              <w:pStyle w:val="Tabletext-right"/>
            </w:pPr>
            <w:r>
              <w:t>2 376</w:t>
            </w:r>
          </w:p>
        </w:tc>
        <w:tc>
          <w:tcPr>
            <w:tcW w:w="662" w:type="pct"/>
            <w:shd w:val="clear" w:color="auto" w:fill="auto"/>
          </w:tcPr>
          <w:p w:rsidR="00697BCD" w:rsidRDefault="00697BCD" w:rsidP="00624E11">
            <w:pPr>
              <w:pStyle w:val="Tabletext-right"/>
            </w:pPr>
            <w:r>
              <w:t>2 085</w:t>
            </w:r>
          </w:p>
        </w:tc>
        <w:tc>
          <w:tcPr>
            <w:tcW w:w="662" w:type="pct"/>
            <w:shd w:val="clear" w:color="auto" w:fill="auto"/>
          </w:tcPr>
          <w:p w:rsidR="00697BCD" w:rsidRDefault="00697BCD" w:rsidP="00624E11">
            <w:pPr>
              <w:pStyle w:val="Tabletext-right"/>
            </w:pPr>
            <w:r>
              <w:t>1 663</w:t>
            </w:r>
          </w:p>
        </w:tc>
        <w:tc>
          <w:tcPr>
            <w:tcW w:w="662" w:type="pct"/>
            <w:shd w:val="clear" w:color="auto" w:fill="auto"/>
          </w:tcPr>
          <w:p w:rsidR="00697BCD" w:rsidRDefault="00697BCD" w:rsidP="00624E11">
            <w:pPr>
              <w:pStyle w:val="Tabletext-right"/>
            </w:pPr>
            <w:r>
              <w:t>2 065</w:t>
            </w:r>
          </w:p>
        </w:tc>
        <w:tc>
          <w:tcPr>
            <w:tcW w:w="662" w:type="pct"/>
            <w:shd w:val="clear" w:color="auto" w:fill="auto"/>
          </w:tcPr>
          <w:p w:rsidR="00697BCD" w:rsidRDefault="00697BCD" w:rsidP="00624E11">
            <w:pPr>
              <w:pStyle w:val="Tabletext-right"/>
            </w:pPr>
            <w:r>
              <w:t>1 046</w:t>
            </w:r>
          </w:p>
        </w:tc>
        <w:tc>
          <w:tcPr>
            <w:tcW w:w="662" w:type="pct"/>
            <w:shd w:val="clear" w:color="auto" w:fill="auto"/>
          </w:tcPr>
          <w:p w:rsidR="00697BCD" w:rsidRDefault="00697BCD" w:rsidP="00624E11">
            <w:pPr>
              <w:pStyle w:val="Tabletext-right"/>
            </w:pPr>
            <w:r>
              <w:t>1 172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New South Wales</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1st Energy</w:t>
            </w:r>
          </w:p>
        </w:tc>
        <w:tc>
          <w:tcPr>
            <w:tcW w:w="662" w:type="pct"/>
            <w:shd w:val="clear" w:color="auto" w:fill="auto"/>
          </w:tcPr>
          <w:p w:rsidR="00697BCD" w:rsidRDefault="00697BCD" w:rsidP="00624E11">
            <w:pPr>
              <w:pStyle w:val="Tabletext-right"/>
            </w:pPr>
            <w:r>
              <w:t xml:space="preserve"> –</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 xml:space="preserve"> –</w:t>
            </w:r>
          </w:p>
        </w:tc>
        <w:tc>
          <w:tcPr>
            <w:tcW w:w="662" w:type="pct"/>
            <w:shd w:val="clear" w:color="auto" w:fill="auto"/>
          </w:tcPr>
          <w:p w:rsidR="00697BCD" w:rsidRDefault="00697BCD" w:rsidP="00624E11">
            <w:pPr>
              <w:pStyle w:val="Tabletext-right"/>
            </w:pPr>
            <w:r>
              <w:t>3</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ActewAGL</w:t>
            </w:r>
            <w:proofErr w:type="spellEnd"/>
          </w:p>
        </w:tc>
        <w:tc>
          <w:tcPr>
            <w:tcW w:w="662" w:type="pct"/>
            <w:shd w:val="clear" w:color="auto" w:fill="auto"/>
          </w:tcPr>
          <w:p w:rsidR="00697BCD" w:rsidRDefault="00697BCD" w:rsidP="00624E11">
            <w:pPr>
              <w:pStyle w:val="Tabletext-right"/>
            </w:pPr>
            <w:r>
              <w:t>153</w:t>
            </w:r>
          </w:p>
        </w:tc>
        <w:tc>
          <w:tcPr>
            <w:tcW w:w="662" w:type="pct"/>
            <w:shd w:val="clear" w:color="auto" w:fill="auto"/>
          </w:tcPr>
          <w:p w:rsidR="00697BCD" w:rsidRDefault="00697BCD" w:rsidP="00624E11">
            <w:pPr>
              <w:pStyle w:val="Tabletext-right"/>
            </w:pPr>
            <w:r>
              <w:t>145</w:t>
            </w:r>
          </w:p>
        </w:tc>
        <w:tc>
          <w:tcPr>
            <w:tcW w:w="662" w:type="pct"/>
            <w:shd w:val="clear" w:color="auto" w:fill="auto"/>
          </w:tcPr>
          <w:p w:rsidR="00697BCD" w:rsidRDefault="00697BCD" w:rsidP="00624E11">
            <w:pPr>
              <w:pStyle w:val="Tabletext-right"/>
            </w:pPr>
            <w:r>
              <w:t>420</w:t>
            </w:r>
          </w:p>
        </w:tc>
        <w:tc>
          <w:tcPr>
            <w:tcW w:w="662" w:type="pct"/>
            <w:shd w:val="clear" w:color="auto" w:fill="auto"/>
          </w:tcPr>
          <w:p w:rsidR="00697BCD" w:rsidRDefault="00697BCD" w:rsidP="00624E11">
            <w:pPr>
              <w:pStyle w:val="Tabletext-right"/>
            </w:pPr>
            <w:r>
              <w:t>376</w:t>
            </w:r>
          </w:p>
        </w:tc>
        <w:tc>
          <w:tcPr>
            <w:tcW w:w="662" w:type="pct"/>
            <w:shd w:val="clear" w:color="auto" w:fill="auto"/>
          </w:tcPr>
          <w:p w:rsidR="00697BCD" w:rsidRDefault="00697BCD" w:rsidP="00624E11">
            <w:pPr>
              <w:pStyle w:val="Tabletext-right"/>
            </w:pPr>
            <w:r>
              <w:t>154</w:t>
            </w:r>
          </w:p>
        </w:tc>
        <w:tc>
          <w:tcPr>
            <w:tcW w:w="662" w:type="pct"/>
            <w:shd w:val="clear" w:color="auto" w:fill="auto"/>
          </w:tcPr>
          <w:p w:rsidR="00697BCD" w:rsidRDefault="00697BCD" w:rsidP="00624E11">
            <w:pPr>
              <w:pStyle w:val="Tabletext-right"/>
            </w:pPr>
            <w:r>
              <w:t>152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Default="00697BCD" w:rsidP="00624E11">
            <w:pPr>
              <w:pStyle w:val="Tabletext-right"/>
            </w:pPr>
            <w:r>
              <w:t>2 993</w:t>
            </w:r>
          </w:p>
        </w:tc>
        <w:tc>
          <w:tcPr>
            <w:tcW w:w="662" w:type="pct"/>
            <w:shd w:val="clear" w:color="auto" w:fill="auto"/>
          </w:tcPr>
          <w:p w:rsidR="00697BCD" w:rsidRDefault="00697BCD" w:rsidP="00624E11">
            <w:pPr>
              <w:pStyle w:val="Tabletext-right"/>
            </w:pPr>
            <w:r>
              <w:t>4 991</w:t>
            </w:r>
          </w:p>
        </w:tc>
        <w:tc>
          <w:tcPr>
            <w:tcW w:w="662" w:type="pct"/>
            <w:shd w:val="clear" w:color="auto" w:fill="auto"/>
          </w:tcPr>
          <w:p w:rsidR="00697BCD" w:rsidRDefault="00697BCD" w:rsidP="00624E11">
            <w:pPr>
              <w:pStyle w:val="Tabletext-right"/>
            </w:pPr>
            <w:r>
              <w:t>6 293</w:t>
            </w:r>
          </w:p>
        </w:tc>
        <w:tc>
          <w:tcPr>
            <w:tcW w:w="662" w:type="pct"/>
            <w:shd w:val="clear" w:color="auto" w:fill="auto"/>
          </w:tcPr>
          <w:p w:rsidR="00697BCD" w:rsidRDefault="00697BCD" w:rsidP="00624E11">
            <w:pPr>
              <w:pStyle w:val="Tabletext-right"/>
            </w:pPr>
            <w:r>
              <w:t>10 994</w:t>
            </w:r>
          </w:p>
        </w:tc>
        <w:tc>
          <w:tcPr>
            <w:tcW w:w="662" w:type="pct"/>
            <w:shd w:val="clear" w:color="auto" w:fill="auto"/>
          </w:tcPr>
          <w:p w:rsidR="00697BCD" w:rsidRDefault="00697BCD" w:rsidP="00624E11">
            <w:pPr>
              <w:pStyle w:val="Tabletext-right"/>
            </w:pPr>
            <w:r>
              <w:t>12 844</w:t>
            </w:r>
          </w:p>
        </w:tc>
        <w:tc>
          <w:tcPr>
            <w:tcW w:w="662" w:type="pct"/>
            <w:shd w:val="clear" w:color="auto" w:fill="auto"/>
          </w:tcPr>
          <w:p w:rsidR="00697BCD" w:rsidRDefault="00697BCD" w:rsidP="00624E11">
            <w:pPr>
              <w:pStyle w:val="Tabletext-right"/>
            </w:pPr>
            <w:r>
              <w:t>9 781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Click Energy</w:t>
            </w:r>
          </w:p>
        </w:tc>
        <w:tc>
          <w:tcPr>
            <w:tcW w:w="662" w:type="pct"/>
            <w:shd w:val="clear" w:color="auto" w:fill="auto"/>
          </w:tcPr>
          <w:p w:rsidR="00697BCD" w:rsidRDefault="00697BCD" w:rsidP="00624E11">
            <w:pPr>
              <w:pStyle w:val="Tabletext-right"/>
            </w:pPr>
            <w:r>
              <w:t>78</w:t>
            </w:r>
          </w:p>
        </w:tc>
        <w:tc>
          <w:tcPr>
            <w:tcW w:w="662" w:type="pct"/>
            <w:shd w:val="clear" w:color="auto" w:fill="auto"/>
          </w:tcPr>
          <w:p w:rsidR="00697BCD" w:rsidRDefault="00697BCD" w:rsidP="00624E11">
            <w:pPr>
              <w:pStyle w:val="Tabletext-right"/>
            </w:pPr>
            <w:r>
              <w:t>112</w:t>
            </w:r>
          </w:p>
        </w:tc>
        <w:tc>
          <w:tcPr>
            <w:tcW w:w="662" w:type="pct"/>
            <w:shd w:val="clear" w:color="auto" w:fill="auto"/>
          </w:tcPr>
          <w:p w:rsidR="00697BCD" w:rsidRDefault="00697BCD" w:rsidP="00624E11">
            <w:pPr>
              <w:pStyle w:val="Tabletext-right"/>
            </w:pPr>
            <w:r>
              <w:t>27</w:t>
            </w:r>
          </w:p>
        </w:tc>
        <w:tc>
          <w:tcPr>
            <w:tcW w:w="662" w:type="pct"/>
            <w:shd w:val="clear" w:color="auto" w:fill="auto"/>
          </w:tcPr>
          <w:p w:rsidR="00697BCD" w:rsidRDefault="00697BCD" w:rsidP="00624E11">
            <w:pPr>
              <w:pStyle w:val="Tabletext-right"/>
            </w:pPr>
            <w:r>
              <w:t>74</w:t>
            </w:r>
          </w:p>
        </w:tc>
        <w:tc>
          <w:tcPr>
            <w:tcW w:w="662" w:type="pct"/>
            <w:shd w:val="clear" w:color="auto" w:fill="auto"/>
          </w:tcPr>
          <w:p w:rsidR="00697BCD" w:rsidRDefault="00697BCD" w:rsidP="00624E11">
            <w:pPr>
              <w:pStyle w:val="Tabletext-right"/>
            </w:pPr>
            <w:r>
              <w:t>168</w:t>
            </w:r>
          </w:p>
        </w:tc>
        <w:tc>
          <w:tcPr>
            <w:tcW w:w="662" w:type="pct"/>
            <w:shd w:val="clear" w:color="auto" w:fill="auto"/>
          </w:tcPr>
          <w:p w:rsidR="00697BCD" w:rsidRDefault="00697BCD" w:rsidP="00624E11">
            <w:pPr>
              <w:pStyle w:val="Tabletext-right"/>
            </w:pPr>
            <w:r>
              <w:t>58</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CovaU</w:t>
            </w:r>
            <w:proofErr w:type="spellEnd"/>
          </w:p>
        </w:tc>
        <w:tc>
          <w:tcPr>
            <w:tcW w:w="662" w:type="pct"/>
            <w:shd w:val="clear" w:color="auto" w:fill="auto"/>
          </w:tcPr>
          <w:p w:rsidR="00697BCD" w:rsidRDefault="00697BCD" w:rsidP="00624E11">
            <w:pPr>
              <w:pStyle w:val="Tabletext-right"/>
            </w:pPr>
            <w:r>
              <w:t>33</w:t>
            </w:r>
          </w:p>
        </w:tc>
        <w:tc>
          <w:tcPr>
            <w:tcW w:w="662" w:type="pct"/>
            <w:shd w:val="clear" w:color="auto" w:fill="auto"/>
          </w:tcPr>
          <w:p w:rsidR="00697BCD" w:rsidRDefault="00697BCD" w:rsidP="00624E11">
            <w:pPr>
              <w:pStyle w:val="Tabletext-right"/>
            </w:pPr>
            <w:r>
              <w:t>62</w:t>
            </w: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Default="00697BCD" w:rsidP="00624E11">
            <w:pPr>
              <w:pStyle w:val="Tabletext-right"/>
            </w:pPr>
            <w:r>
              <w:t>9</w:t>
            </w: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Default="00697BCD" w:rsidP="00624E11">
            <w:pPr>
              <w:pStyle w:val="Tabletext-right"/>
            </w:pPr>
            <w:r>
              <w:t>57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Diamond Energy</w:t>
            </w:r>
          </w:p>
        </w:tc>
        <w:tc>
          <w:tcPr>
            <w:tcW w:w="662" w:type="pct"/>
            <w:shd w:val="clear" w:color="auto" w:fill="auto"/>
          </w:tcPr>
          <w:p w:rsidR="00697BCD" w:rsidRDefault="00697BCD" w:rsidP="00624E11">
            <w:pPr>
              <w:pStyle w:val="Tabletext-right"/>
            </w:pPr>
            <w:r>
              <w:t>58</w:t>
            </w:r>
          </w:p>
        </w:tc>
        <w:tc>
          <w:tcPr>
            <w:tcW w:w="662" w:type="pct"/>
            <w:shd w:val="clear" w:color="auto" w:fill="auto"/>
          </w:tcPr>
          <w:p w:rsidR="00697BCD" w:rsidRDefault="00697BCD" w:rsidP="00624E11">
            <w:pPr>
              <w:pStyle w:val="Tabletext-right"/>
            </w:pPr>
            <w:r>
              <w:t>79</w:t>
            </w: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Default="00697BCD" w:rsidP="00624E11">
            <w:pPr>
              <w:pStyle w:val="Tabletext-right"/>
            </w:pPr>
            <w:r>
              <w:t>5</w:t>
            </w:r>
          </w:p>
        </w:tc>
        <w:tc>
          <w:tcPr>
            <w:tcW w:w="662" w:type="pct"/>
            <w:shd w:val="clear" w:color="auto" w:fill="auto"/>
          </w:tcPr>
          <w:p w:rsidR="00697BCD" w:rsidRDefault="00697BCD" w:rsidP="00624E11">
            <w:pPr>
              <w:pStyle w:val="Tabletext-right"/>
            </w:pPr>
            <w:r>
              <w:t>4</w:t>
            </w:r>
          </w:p>
        </w:tc>
        <w:tc>
          <w:tcPr>
            <w:tcW w:w="662" w:type="pct"/>
            <w:shd w:val="clear" w:color="auto" w:fill="auto"/>
          </w:tcPr>
          <w:p w:rsidR="00697BCD" w:rsidRDefault="00697BCD" w:rsidP="00624E11">
            <w:pPr>
              <w:pStyle w:val="Tabletext-right"/>
            </w:pPr>
            <w:r>
              <w:t>26</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r w:rsidRPr="00391B03">
              <w:t xml:space="preserve"> </w:t>
            </w:r>
          </w:p>
        </w:tc>
        <w:tc>
          <w:tcPr>
            <w:tcW w:w="662" w:type="pct"/>
            <w:shd w:val="clear" w:color="auto" w:fill="auto"/>
          </w:tcPr>
          <w:p w:rsidR="00697BCD" w:rsidRDefault="00697BCD" w:rsidP="00624E11">
            <w:pPr>
              <w:pStyle w:val="Tabletext-right"/>
            </w:pPr>
            <w:r>
              <w:t>60 034</w:t>
            </w:r>
          </w:p>
        </w:tc>
        <w:tc>
          <w:tcPr>
            <w:tcW w:w="662" w:type="pct"/>
            <w:shd w:val="clear" w:color="auto" w:fill="auto"/>
          </w:tcPr>
          <w:p w:rsidR="00697BCD" w:rsidRDefault="00697BCD" w:rsidP="00624E11">
            <w:pPr>
              <w:pStyle w:val="Tabletext-right"/>
            </w:pPr>
            <w:r>
              <w:t>58 617</w:t>
            </w:r>
          </w:p>
        </w:tc>
        <w:tc>
          <w:tcPr>
            <w:tcW w:w="662" w:type="pct"/>
            <w:shd w:val="clear" w:color="auto" w:fill="auto"/>
          </w:tcPr>
          <w:p w:rsidR="00697BCD" w:rsidRDefault="00697BCD" w:rsidP="00624E11">
            <w:pPr>
              <w:pStyle w:val="Tabletext-right"/>
            </w:pPr>
            <w:r>
              <w:t>5 157</w:t>
            </w:r>
          </w:p>
        </w:tc>
        <w:tc>
          <w:tcPr>
            <w:tcW w:w="662" w:type="pct"/>
            <w:shd w:val="clear" w:color="auto" w:fill="auto"/>
          </w:tcPr>
          <w:p w:rsidR="00697BCD" w:rsidRDefault="00697BCD" w:rsidP="00624E11">
            <w:pPr>
              <w:pStyle w:val="Tabletext-right"/>
            </w:pPr>
            <w:r>
              <w:t>3 360</w:t>
            </w:r>
          </w:p>
        </w:tc>
        <w:tc>
          <w:tcPr>
            <w:tcW w:w="662" w:type="pct"/>
            <w:shd w:val="clear" w:color="auto" w:fill="auto"/>
          </w:tcPr>
          <w:p w:rsidR="00697BCD" w:rsidRDefault="00697BCD" w:rsidP="00624E11">
            <w:pPr>
              <w:pStyle w:val="Tabletext-right"/>
            </w:pPr>
            <w:r>
              <w:t>2 478</w:t>
            </w:r>
          </w:p>
        </w:tc>
        <w:tc>
          <w:tcPr>
            <w:tcW w:w="662" w:type="pct"/>
            <w:shd w:val="clear" w:color="auto" w:fill="auto"/>
          </w:tcPr>
          <w:p w:rsidR="00697BCD" w:rsidRDefault="00697BCD" w:rsidP="00624E11">
            <w:pPr>
              <w:pStyle w:val="Tabletext-right"/>
            </w:pPr>
            <w:r>
              <w:t>6 659</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2" w:type="pct"/>
            <w:shd w:val="clear" w:color="auto" w:fill="auto"/>
          </w:tcPr>
          <w:p w:rsidR="00697BCD" w:rsidRDefault="00697BCD" w:rsidP="00624E11">
            <w:pPr>
              <w:pStyle w:val="Tabletext-right"/>
            </w:pPr>
            <w:r>
              <w:t>1 810</w:t>
            </w:r>
          </w:p>
        </w:tc>
        <w:tc>
          <w:tcPr>
            <w:tcW w:w="662" w:type="pct"/>
            <w:shd w:val="clear" w:color="auto" w:fill="auto"/>
          </w:tcPr>
          <w:p w:rsidR="00697BCD" w:rsidRDefault="00697BCD" w:rsidP="00624E11">
            <w:pPr>
              <w:pStyle w:val="Tabletext-right"/>
            </w:pPr>
            <w:r>
              <w:t>1 136</w:t>
            </w:r>
          </w:p>
        </w:tc>
        <w:tc>
          <w:tcPr>
            <w:tcW w:w="662" w:type="pct"/>
            <w:shd w:val="clear" w:color="auto" w:fill="auto"/>
          </w:tcPr>
          <w:p w:rsidR="00697BCD" w:rsidRDefault="00697BCD" w:rsidP="00624E11">
            <w:pPr>
              <w:pStyle w:val="Tabletext-right"/>
            </w:pPr>
            <w:r>
              <w:t>183</w:t>
            </w:r>
          </w:p>
        </w:tc>
        <w:tc>
          <w:tcPr>
            <w:tcW w:w="662" w:type="pct"/>
            <w:shd w:val="clear" w:color="auto" w:fill="auto"/>
          </w:tcPr>
          <w:p w:rsidR="00697BCD" w:rsidRDefault="00697BCD" w:rsidP="00624E11">
            <w:pPr>
              <w:pStyle w:val="Tabletext-right"/>
            </w:pPr>
            <w:r>
              <w:t>122</w:t>
            </w:r>
          </w:p>
        </w:tc>
        <w:tc>
          <w:tcPr>
            <w:tcW w:w="662" w:type="pct"/>
            <w:shd w:val="clear" w:color="auto" w:fill="auto"/>
          </w:tcPr>
          <w:p w:rsidR="00697BCD" w:rsidRDefault="00697BCD" w:rsidP="00624E11">
            <w:pPr>
              <w:pStyle w:val="Tabletext-right"/>
            </w:pPr>
            <w:r>
              <w:t>597</w:t>
            </w:r>
          </w:p>
        </w:tc>
        <w:tc>
          <w:tcPr>
            <w:tcW w:w="662" w:type="pct"/>
            <w:shd w:val="clear" w:color="auto" w:fill="auto"/>
          </w:tcPr>
          <w:p w:rsidR="00697BCD" w:rsidRDefault="00697BCD" w:rsidP="00624E11">
            <w:pPr>
              <w:pStyle w:val="Tabletext-right"/>
            </w:pPr>
            <w:r>
              <w:t>837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M2 Energy</w:t>
            </w:r>
          </w:p>
        </w:tc>
        <w:tc>
          <w:tcPr>
            <w:tcW w:w="662" w:type="pct"/>
            <w:shd w:val="clear" w:color="auto" w:fill="auto"/>
          </w:tcPr>
          <w:p w:rsidR="00697BCD" w:rsidRDefault="00697BCD" w:rsidP="00624E11">
            <w:pPr>
              <w:pStyle w:val="Tabletext-right"/>
            </w:pPr>
            <w:r>
              <w:t>36</w:t>
            </w:r>
          </w:p>
        </w:tc>
        <w:tc>
          <w:tcPr>
            <w:tcW w:w="662" w:type="pct"/>
            <w:shd w:val="clear" w:color="auto" w:fill="auto"/>
          </w:tcPr>
          <w:p w:rsidR="00697BCD" w:rsidRDefault="00697BCD" w:rsidP="00624E11">
            <w:pPr>
              <w:pStyle w:val="Tabletext-right"/>
            </w:pPr>
            <w:r>
              <w:t>22</w:t>
            </w:r>
          </w:p>
        </w:tc>
        <w:tc>
          <w:tcPr>
            <w:tcW w:w="662" w:type="pct"/>
            <w:shd w:val="clear" w:color="auto" w:fill="auto"/>
          </w:tcPr>
          <w:p w:rsidR="00697BCD" w:rsidRDefault="00697BCD" w:rsidP="00624E11">
            <w:pPr>
              <w:pStyle w:val="Tabletext-right"/>
            </w:pPr>
            <w:r>
              <w:t>282</w:t>
            </w:r>
          </w:p>
        </w:tc>
        <w:tc>
          <w:tcPr>
            <w:tcW w:w="662" w:type="pct"/>
            <w:shd w:val="clear" w:color="auto" w:fill="auto"/>
          </w:tcPr>
          <w:p w:rsidR="00697BCD" w:rsidRDefault="00697BCD" w:rsidP="00624E11">
            <w:pPr>
              <w:pStyle w:val="Tabletext-right"/>
            </w:pPr>
            <w:r>
              <w:t>230</w:t>
            </w:r>
          </w:p>
        </w:tc>
        <w:tc>
          <w:tcPr>
            <w:tcW w:w="662" w:type="pct"/>
            <w:shd w:val="clear" w:color="auto" w:fill="auto"/>
          </w:tcPr>
          <w:p w:rsidR="00697BCD" w:rsidRDefault="00697BCD" w:rsidP="00624E11">
            <w:pPr>
              <w:pStyle w:val="Tabletext-right"/>
            </w:pPr>
            <w:r>
              <w:t>139</w:t>
            </w:r>
          </w:p>
        </w:tc>
        <w:tc>
          <w:tcPr>
            <w:tcW w:w="662" w:type="pct"/>
            <w:shd w:val="clear" w:color="auto" w:fill="auto"/>
          </w:tcPr>
          <w:p w:rsidR="00697BCD" w:rsidRDefault="00697BCD" w:rsidP="00624E11">
            <w:pPr>
              <w:pStyle w:val="Tabletext-right"/>
            </w:pPr>
            <w:r>
              <w:t>147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Momentum Energy</w:t>
            </w:r>
          </w:p>
        </w:tc>
        <w:tc>
          <w:tcPr>
            <w:tcW w:w="662" w:type="pct"/>
            <w:shd w:val="clear" w:color="auto" w:fill="auto"/>
          </w:tcPr>
          <w:p w:rsidR="00697BCD" w:rsidRDefault="00697BCD" w:rsidP="00624E11">
            <w:pPr>
              <w:pStyle w:val="Tabletext-right"/>
            </w:pPr>
            <w:r>
              <w:t>68</w:t>
            </w:r>
          </w:p>
        </w:tc>
        <w:tc>
          <w:tcPr>
            <w:tcW w:w="662" w:type="pct"/>
            <w:shd w:val="clear" w:color="auto" w:fill="auto"/>
          </w:tcPr>
          <w:p w:rsidR="00697BCD" w:rsidRDefault="00697BCD" w:rsidP="00624E11">
            <w:pPr>
              <w:pStyle w:val="Tabletext-right"/>
            </w:pPr>
            <w:r>
              <w:t>103</w:t>
            </w:r>
          </w:p>
        </w:tc>
        <w:tc>
          <w:tcPr>
            <w:tcW w:w="662" w:type="pct"/>
            <w:shd w:val="clear" w:color="auto" w:fill="auto"/>
          </w:tcPr>
          <w:p w:rsidR="00697BCD" w:rsidRDefault="00697BCD" w:rsidP="00624E11">
            <w:pPr>
              <w:pStyle w:val="Tabletext-right"/>
            </w:pPr>
            <w:r>
              <w:t>169</w:t>
            </w:r>
          </w:p>
        </w:tc>
        <w:tc>
          <w:tcPr>
            <w:tcW w:w="662" w:type="pct"/>
            <w:shd w:val="clear" w:color="auto" w:fill="auto"/>
          </w:tcPr>
          <w:p w:rsidR="00697BCD" w:rsidRDefault="00697BCD" w:rsidP="00624E11">
            <w:pPr>
              <w:pStyle w:val="Tabletext-right"/>
            </w:pPr>
            <w:r>
              <w:t>141</w:t>
            </w:r>
          </w:p>
        </w:tc>
        <w:tc>
          <w:tcPr>
            <w:tcW w:w="662" w:type="pct"/>
            <w:shd w:val="clear" w:color="auto" w:fill="auto"/>
          </w:tcPr>
          <w:p w:rsidR="00697BCD" w:rsidRDefault="00697BCD" w:rsidP="00624E11">
            <w:pPr>
              <w:pStyle w:val="Tabletext-right"/>
            </w:pPr>
            <w:r>
              <w:t>93</w:t>
            </w:r>
          </w:p>
        </w:tc>
        <w:tc>
          <w:tcPr>
            <w:tcW w:w="662" w:type="pct"/>
            <w:shd w:val="clear" w:color="auto" w:fill="auto"/>
          </w:tcPr>
          <w:p w:rsidR="00697BCD" w:rsidRDefault="00697BCD" w:rsidP="00624E11">
            <w:pPr>
              <w:pStyle w:val="Tabletext-right"/>
            </w:pPr>
            <w:r>
              <w:t>196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Next Business Energy</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9 244</w:t>
            </w:r>
          </w:p>
        </w:tc>
        <w:tc>
          <w:tcPr>
            <w:tcW w:w="662" w:type="pct"/>
            <w:shd w:val="clear" w:color="auto" w:fill="auto"/>
          </w:tcPr>
          <w:p w:rsidR="00697BCD" w:rsidRDefault="00697BCD" w:rsidP="00624E11">
            <w:pPr>
              <w:pStyle w:val="Tabletext-right"/>
            </w:pPr>
            <w:r>
              <w:t>6 243</w:t>
            </w:r>
          </w:p>
        </w:tc>
        <w:tc>
          <w:tcPr>
            <w:tcW w:w="662" w:type="pct"/>
            <w:shd w:val="clear" w:color="auto" w:fill="auto"/>
          </w:tcPr>
          <w:p w:rsidR="00697BCD" w:rsidRDefault="00697BCD" w:rsidP="00624E11">
            <w:pPr>
              <w:pStyle w:val="Tabletext-right"/>
            </w:pPr>
            <w:r>
              <w:t>8 621</w:t>
            </w:r>
          </w:p>
        </w:tc>
        <w:tc>
          <w:tcPr>
            <w:tcW w:w="662" w:type="pct"/>
            <w:shd w:val="clear" w:color="auto" w:fill="auto"/>
          </w:tcPr>
          <w:p w:rsidR="00697BCD" w:rsidRDefault="00697BCD" w:rsidP="00624E11">
            <w:pPr>
              <w:pStyle w:val="Tabletext-right"/>
            </w:pPr>
            <w:r>
              <w:t>7 320</w:t>
            </w:r>
          </w:p>
        </w:tc>
        <w:tc>
          <w:tcPr>
            <w:tcW w:w="662" w:type="pct"/>
            <w:shd w:val="clear" w:color="auto" w:fill="auto"/>
          </w:tcPr>
          <w:p w:rsidR="00697BCD" w:rsidRDefault="00697BCD" w:rsidP="00624E11">
            <w:pPr>
              <w:pStyle w:val="Tabletext-right"/>
            </w:pPr>
            <w:r>
              <w:t>13 400</w:t>
            </w:r>
          </w:p>
        </w:tc>
        <w:tc>
          <w:tcPr>
            <w:tcW w:w="662" w:type="pct"/>
            <w:shd w:val="clear" w:color="auto" w:fill="auto"/>
          </w:tcPr>
          <w:p w:rsidR="00697BCD" w:rsidRDefault="00697BCD" w:rsidP="00624E11">
            <w:pPr>
              <w:pStyle w:val="Tabletext-right"/>
            </w:pPr>
            <w:r>
              <w:t>9 669</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Powerdirect</w:t>
            </w:r>
            <w:proofErr w:type="spellEnd"/>
          </w:p>
        </w:tc>
        <w:tc>
          <w:tcPr>
            <w:tcW w:w="662" w:type="pct"/>
            <w:shd w:val="clear" w:color="auto" w:fill="auto"/>
          </w:tcPr>
          <w:p w:rsidR="00697BCD" w:rsidRDefault="00697BCD" w:rsidP="00624E11">
            <w:pPr>
              <w:pStyle w:val="Tabletext-right"/>
            </w:pPr>
            <w:r>
              <w:t>195</w:t>
            </w:r>
          </w:p>
        </w:tc>
        <w:tc>
          <w:tcPr>
            <w:tcW w:w="662" w:type="pct"/>
            <w:shd w:val="clear" w:color="auto" w:fill="auto"/>
          </w:tcPr>
          <w:p w:rsidR="00697BCD" w:rsidRDefault="00697BCD" w:rsidP="00624E11">
            <w:pPr>
              <w:pStyle w:val="Tabletext-right"/>
            </w:pPr>
            <w:r>
              <w:t>205</w:t>
            </w:r>
          </w:p>
        </w:tc>
        <w:tc>
          <w:tcPr>
            <w:tcW w:w="662" w:type="pct"/>
            <w:shd w:val="clear" w:color="auto" w:fill="auto"/>
          </w:tcPr>
          <w:p w:rsidR="00697BCD" w:rsidRDefault="00697BCD" w:rsidP="00624E11">
            <w:pPr>
              <w:pStyle w:val="Tabletext-right"/>
            </w:pPr>
            <w:r>
              <w:t>75</w:t>
            </w:r>
          </w:p>
        </w:tc>
        <w:tc>
          <w:tcPr>
            <w:tcW w:w="662" w:type="pct"/>
            <w:shd w:val="clear" w:color="auto" w:fill="auto"/>
          </w:tcPr>
          <w:p w:rsidR="00697BCD" w:rsidRDefault="00697BCD" w:rsidP="00624E11">
            <w:pPr>
              <w:pStyle w:val="Tabletext-right"/>
            </w:pPr>
            <w:r>
              <w:t>104</w:t>
            </w:r>
          </w:p>
        </w:tc>
        <w:tc>
          <w:tcPr>
            <w:tcW w:w="662" w:type="pct"/>
            <w:shd w:val="clear" w:color="auto" w:fill="auto"/>
          </w:tcPr>
          <w:p w:rsidR="00697BCD" w:rsidRDefault="00697BCD" w:rsidP="00624E11">
            <w:pPr>
              <w:pStyle w:val="Tabletext-right"/>
            </w:pPr>
            <w:r>
              <w:t>148</w:t>
            </w:r>
          </w:p>
        </w:tc>
        <w:tc>
          <w:tcPr>
            <w:tcW w:w="662" w:type="pct"/>
            <w:shd w:val="clear" w:color="auto" w:fill="auto"/>
          </w:tcPr>
          <w:p w:rsidR="00697BCD" w:rsidRDefault="00697BCD" w:rsidP="00624E11">
            <w:pPr>
              <w:pStyle w:val="Tabletext-right"/>
            </w:pPr>
            <w:r>
              <w:t>322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Powershop</w:t>
            </w:r>
          </w:p>
        </w:tc>
        <w:tc>
          <w:tcPr>
            <w:tcW w:w="662" w:type="pct"/>
            <w:shd w:val="clear" w:color="auto" w:fill="auto"/>
          </w:tcPr>
          <w:p w:rsidR="00697BCD" w:rsidRDefault="00697BCD" w:rsidP="00624E11">
            <w:pPr>
              <w:pStyle w:val="Tabletext-right"/>
            </w:pPr>
            <w:r>
              <w:t xml:space="preserve"> –</w:t>
            </w:r>
          </w:p>
        </w:tc>
        <w:tc>
          <w:tcPr>
            <w:tcW w:w="662" w:type="pct"/>
            <w:shd w:val="clear" w:color="auto" w:fill="auto"/>
          </w:tcPr>
          <w:p w:rsidR="00697BCD" w:rsidRDefault="00697BCD" w:rsidP="00624E11">
            <w:pPr>
              <w:pStyle w:val="Tabletext-right"/>
            </w:pPr>
            <w:r>
              <w:t>69</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31</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18</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lastRenderedPageBreak/>
              <w:t>QEnergy</w:t>
            </w:r>
            <w:proofErr w:type="spellEnd"/>
            <w:r w:rsidRPr="00391B03">
              <w:t xml:space="preserve"> </w:t>
            </w:r>
          </w:p>
        </w:tc>
        <w:tc>
          <w:tcPr>
            <w:tcW w:w="662" w:type="pct"/>
            <w:shd w:val="clear" w:color="auto" w:fill="auto"/>
          </w:tcPr>
          <w:p w:rsidR="00697BCD" w:rsidRDefault="00697BCD" w:rsidP="00624E11">
            <w:pPr>
              <w:pStyle w:val="Tabletext-right"/>
            </w:pPr>
            <w:r>
              <w:t>23</w:t>
            </w:r>
          </w:p>
        </w:tc>
        <w:tc>
          <w:tcPr>
            <w:tcW w:w="662" w:type="pct"/>
            <w:shd w:val="clear" w:color="auto" w:fill="auto"/>
          </w:tcPr>
          <w:p w:rsidR="00697BCD" w:rsidRDefault="00697BCD" w:rsidP="00624E11">
            <w:pPr>
              <w:pStyle w:val="Tabletext-right"/>
            </w:pPr>
            <w:r>
              <w:t>29</w:t>
            </w:r>
          </w:p>
        </w:tc>
        <w:tc>
          <w:tcPr>
            <w:tcW w:w="662" w:type="pct"/>
            <w:shd w:val="clear" w:color="auto" w:fill="auto"/>
          </w:tcPr>
          <w:p w:rsidR="00697BCD" w:rsidRDefault="00697BCD" w:rsidP="00624E11">
            <w:pPr>
              <w:pStyle w:val="Tabletext-right"/>
            </w:pPr>
            <w:r>
              <w:t>17</w:t>
            </w:r>
          </w:p>
        </w:tc>
        <w:tc>
          <w:tcPr>
            <w:tcW w:w="662" w:type="pct"/>
            <w:shd w:val="clear" w:color="auto" w:fill="auto"/>
          </w:tcPr>
          <w:p w:rsidR="00697BCD" w:rsidRDefault="00697BCD" w:rsidP="00624E11">
            <w:pPr>
              <w:pStyle w:val="Tabletext-right"/>
            </w:pPr>
            <w:r>
              <w:t>29</w:t>
            </w:r>
          </w:p>
        </w:tc>
        <w:tc>
          <w:tcPr>
            <w:tcW w:w="662" w:type="pct"/>
            <w:shd w:val="clear" w:color="auto" w:fill="auto"/>
          </w:tcPr>
          <w:p w:rsidR="00697BCD" w:rsidRDefault="00697BCD" w:rsidP="00624E11">
            <w:pPr>
              <w:pStyle w:val="Tabletext-right"/>
            </w:pPr>
            <w:r>
              <w:t>40</w:t>
            </w:r>
          </w:p>
        </w:tc>
        <w:tc>
          <w:tcPr>
            <w:tcW w:w="662" w:type="pct"/>
            <w:shd w:val="clear" w:color="auto" w:fill="auto"/>
          </w:tcPr>
          <w:p w:rsidR="00697BCD" w:rsidRDefault="00697BCD" w:rsidP="00624E11">
            <w:pPr>
              <w:pStyle w:val="Tabletext-right"/>
            </w:pPr>
            <w:r>
              <w:t>24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 xml:space="preserve">Red Energy </w:t>
            </w:r>
          </w:p>
        </w:tc>
        <w:tc>
          <w:tcPr>
            <w:tcW w:w="662" w:type="pct"/>
            <w:shd w:val="clear" w:color="auto" w:fill="auto"/>
          </w:tcPr>
          <w:p w:rsidR="00697BCD" w:rsidRDefault="00697BCD" w:rsidP="00624E11">
            <w:pPr>
              <w:pStyle w:val="Tabletext-right"/>
            </w:pPr>
            <w:r>
              <w:t>1 945</w:t>
            </w:r>
          </w:p>
        </w:tc>
        <w:tc>
          <w:tcPr>
            <w:tcW w:w="662" w:type="pct"/>
            <w:shd w:val="clear" w:color="auto" w:fill="auto"/>
          </w:tcPr>
          <w:p w:rsidR="00697BCD" w:rsidRDefault="00697BCD" w:rsidP="00624E11">
            <w:pPr>
              <w:pStyle w:val="Tabletext-right"/>
            </w:pPr>
            <w:r>
              <w:t xml:space="preserve"> 942</w:t>
            </w:r>
          </w:p>
        </w:tc>
        <w:tc>
          <w:tcPr>
            <w:tcW w:w="662" w:type="pct"/>
            <w:shd w:val="clear" w:color="auto" w:fill="auto"/>
          </w:tcPr>
          <w:p w:rsidR="00697BCD" w:rsidRDefault="00697BCD" w:rsidP="00624E11">
            <w:pPr>
              <w:pStyle w:val="Tabletext-right"/>
            </w:pPr>
            <w:r>
              <w:t>301</w:t>
            </w:r>
          </w:p>
        </w:tc>
        <w:tc>
          <w:tcPr>
            <w:tcW w:w="662" w:type="pct"/>
            <w:shd w:val="clear" w:color="auto" w:fill="auto"/>
          </w:tcPr>
          <w:p w:rsidR="00697BCD" w:rsidRDefault="00697BCD" w:rsidP="00624E11">
            <w:pPr>
              <w:pStyle w:val="Tabletext-right"/>
            </w:pPr>
            <w:r>
              <w:t>503</w:t>
            </w:r>
          </w:p>
        </w:tc>
        <w:tc>
          <w:tcPr>
            <w:tcW w:w="662" w:type="pct"/>
            <w:shd w:val="clear" w:color="auto" w:fill="auto"/>
          </w:tcPr>
          <w:p w:rsidR="00697BCD" w:rsidRDefault="00697BCD" w:rsidP="00624E11">
            <w:pPr>
              <w:pStyle w:val="Tabletext-right"/>
            </w:pPr>
            <w:r>
              <w:t>437</w:t>
            </w:r>
          </w:p>
        </w:tc>
        <w:tc>
          <w:tcPr>
            <w:tcW w:w="662" w:type="pct"/>
            <w:shd w:val="clear" w:color="auto" w:fill="auto"/>
          </w:tcPr>
          <w:p w:rsidR="00697BCD" w:rsidRDefault="00697BCD" w:rsidP="00624E11">
            <w:pPr>
              <w:pStyle w:val="Tabletext-right"/>
            </w:pPr>
            <w:r>
              <w:t>771</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Sanctuary Energy</w:t>
            </w:r>
          </w:p>
        </w:tc>
        <w:tc>
          <w:tcPr>
            <w:tcW w:w="662" w:type="pct"/>
            <w:shd w:val="clear" w:color="auto" w:fill="auto"/>
          </w:tcPr>
          <w:p w:rsidR="00697BCD" w:rsidRDefault="00697BCD" w:rsidP="00624E11">
            <w:pPr>
              <w:pStyle w:val="Tabletext-right"/>
            </w:pPr>
            <w:r>
              <w:t>29</w:t>
            </w:r>
          </w:p>
        </w:tc>
        <w:tc>
          <w:tcPr>
            <w:tcW w:w="662" w:type="pct"/>
            <w:shd w:val="clear" w:color="auto" w:fill="auto"/>
          </w:tcPr>
          <w:p w:rsidR="00697BCD" w:rsidRDefault="00697BCD" w:rsidP="00624E11">
            <w:pPr>
              <w:pStyle w:val="Tabletext-right"/>
            </w:pPr>
            <w:r>
              <w:t>66</w:t>
            </w:r>
          </w:p>
        </w:tc>
        <w:tc>
          <w:tcPr>
            <w:tcW w:w="662" w:type="pct"/>
            <w:shd w:val="clear" w:color="auto" w:fill="auto"/>
          </w:tcPr>
          <w:p w:rsidR="00697BCD" w:rsidRDefault="00697BCD" w:rsidP="00624E11">
            <w:pPr>
              <w:pStyle w:val="Tabletext-right"/>
            </w:pPr>
            <w:r>
              <w:t>12</w:t>
            </w:r>
          </w:p>
        </w:tc>
        <w:tc>
          <w:tcPr>
            <w:tcW w:w="662" w:type="pct"/>
            <w:shd w:val="clear" w:color="auto" w:fill="auto"/>
          </w:tcPr>
          <w:p w:rsidR="00697BCD" w:rsidRDefault="00697BCD" w:rsidP="00624E11">
            <w:pPr>
              <w:pStyle w:val="Tabletext-right"/>
            </w:pPr>
            <w:r>
              <w:t>8</w:t>
            </w:r>
          </w:p>
        </w:tc>
        <w:tc>
          <w:tcPr>
            <w:tcW w:w="662" w:type="pct"/>
            <w:shd w:val="clear" w:color="auto" w:fill="auto"/>
          </w:tcPr>
          <w:p w:rsidR="00697BCD" w:rsidRDefault="00697BCD" w:rsidP="00624E11">
            <w:pPr>
              <w:pStyle w:val="Tabletext-right"/>
            </w:pPr>
            <w:r>
              <w:t>14</w:t>
            </w:r>
          </w:p>
        </w:tc>
        <w:tc>
          <w:tcPr>
            <w:tcW w:w="662" w:type="pct"/>
            <w:shd w:val="clear" w:color="auto" w:fill="auto"/>
          </w:tcPr>
          <w:p w:rsidR="00697BCD" w:rsidRDefault="00697BCD" w:rsidP="00624E11">
            <w:pPr>
              <w:pStyle w:val="Tabletext-right"/>
            </w:pPr>
            <w:r>
              <w:t>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Simply Energy</w:t>
            </w:r>
          </w:p>
        </w:tc>
        <w:tc>
          <w:tcPr>
            <w:tcW w:w="662" w:type="pct"/>
            <w:shd w:val="clear" w:color="auto" w:fill="auto"/>
          </w:tcPr>
          <w:p w:rsidR="00697BCD" w:rsidRDefault="00697BCD" w:rsidP="00624E11">
            <w:pPr>
              <w:pStyle w:val="Tabletext-right"/>
            </w:pPr>
            <w:r>
              <w:t>1 139</w:t>
            </w:r>
          </w:p>
        </w:tc>
        <w:tc>
          <w:tcPr>
            <w:tcW w:w="662" w:type="pct"/>
            <w:shd w:val="clear" w:color="auto" w:fill="auto"/>
          </w:tcPr>
          <w:p w:rsidR="00697BCD" w:rsidRDefault="00697BCD" w:rsidP="00624E11">
            <w:pPr>
              <w:pStyle w:val="Tabletext-right"/>
            </w:pPr>
            <w:r>
              <w:t>957</w:t>
            </w:r>
          </w:p>
        </w:tc>
        <w:tc>
          <w:tcPr>
            <w:tcW w:w="662" w:type="pct"/>
            <w:shd w:val="clear" w:color="auto" w:fill="auto"/>
          </w:tcPr>
          <w:p w:rsidR="00697BCD" w:rsidRDefault="00697BCD" w:rsidP="00624E11">
            <w:pPr>
              <w:pStyle w:val="Tabletext-right"/>
            </w:pPr>
            <w:r>
              <w:t>676</w:t>
            </w:r>
          </w:p>
        </w:tc>
        <w:tc>
          <w:tcPr>
            <w:tcW w:w="662" w:type="pct"/>
            <w:shd w:val="clear" w:color="auto" w:fill="auto"/>
          </w:tcPr>
          <w:p w:rsidR="00697BCD" w:rsidRDefault="00697BCD" w:rsidP="00624E11">
            <w:pPr>
              <w:pStyle w:val="Tabletext-right"/>
            </w:pPr>
            <w:r>
              <w:t>645</w:t>
            </w:r>
          </w:p>
        </w:tc>
        <w:tc>
          <w:tcPr>
            <w:tcW w:w="662" w:type="pct"/>
            <w:shd w:val="clear" w:color="auto" w:fill="auto"/>
          </w:tcPr>
          <w:p w:rsidR="00697BCD" w:rsidRDefault="00697BCD" w:rsidP="00624E11">
            <w:pPr>
              <w:pStyle w:val="Tabletext-right"/>
            </w:pPr>
            <w:r>
              <w:t>1 461</w:t>
            </w:r>
          </w:p>
        </w:tc>
        <w:tc>
          <w:tcPr>
            <w:tcW w:w="662" w:type="pct"/>
            <w:shd w:val="clear" w:color="auto" w:fill="auto"/>
          </w:tcPr>
          <w:p w:rsidR="00697BCD" w:rsidRDefault="00697BCD" w:rsidP="00624E11">
            <w:pPr>
              <w:pStyle w:val="Tabletext-right"/>
            </w:pPr>
            <w:r>
              <w:t>1 313</w:t>
            </w:r>
          </w:p>
        </w:tc>
      </w:tr>
    </w:tbl>
    <w:p w:rsidR="00697BCD" w:rsidRDefault="00697BCD"/>
    <w:p w:rsidR="00697BCD" w:rsidRDefault="00697BCD" w:rsidP="00697BCD">
      <w:pPr>
        <w:pStyle w:val="Tabletitle"/>
      </w:pPr>
      <w:r>
        <w:t>Table A.9:</w:t>
      </w:r>
      <w:r>
        <w:tab/>
        <w:t>Gas customers—payment plans, hardship programs and disconnections for non-payment</w:t>
      </w:r>
    </w:p>
    <w:tbl>
      <w:tblPr>
        <w:tblW w:w="5000" w:type="pct"/>
        <w:tblBorders>
          <w:top w:val="single" w:sz="4" w:space="0" w:color="BFBFBF"/>
          <w:bottom w:val="single" w:sz="4" w:space="0" w:color="BFBFBF"/>
        </w:tblBorders>
        <w:tblLook w:val="0000" w:firstRow="0" w:lastRow="0" w:firstColumn="0" w:lastColumn="0" w:noHBand="0" w:noVBand="0"/>
      </w:tblPr>
      <w:tblGrid>
        <w:gridCol w:w="1978"/>
        <w:gridCol w:w="1275"/>
        <w:gridCol w:w="1275"/>
        <w:gridCol w:w="1275"/>
        <w:gridCol w:w="1275"/>
        <w:gridCol w:w="1275"/>
        <w:gridCol w:w="1275"/>
      </w:tblGrid>
      <w:tr w:rsidR="00697BCD" w:rsidRPr="00391B03" w:rsidTr="00391B03">
        <w:trPr>
          <w:trHeight w:val="60"/>
        </w:trPr>
        <w:tc>
          <w:tcPr>
            <w:tcW w:w="1027" w:type="pct"/>
            <w:shd w:val="clear" w:color="auto" w:fill="auto"/>
          </w:tcPr>
          <w:p w:rsidR="00697BCD" w:rsidRPr="00391B03" w:rsidRDefault="00697BCD" w:rsidP="006B1E9F">
            <w:pPr>
              <w:pStyle w:val="TableHeading"/>
            </w:pPr>
            <w:r w:rsidRPr="00391B03">
              <w:t>Retailer</w:t>
            </w:r>
          </w:p>
        </w:tc>
        <w:tc>
          <w:tcPr>
            <w:tcW w:w="1324" w:type="pct"/>
            <w:gridSpan w:val="2"/>
            <w:shd w:val="clear" w:color="auto" w:fill="auto"/>
          </w:tcPr>
          <w:p w:rsidR="00697BCD" w:rsidRDefault="00697BCD" w:rsidP="006B1E9F">
            <w:pPr>
              <w:pStyle w:val="TableHeading-right"/>
            </w:pPr>
            <w:r>
              <w:t>Customers on payment plans</w:t>
            </w:r>
          </w:p>
        </w:tc>
        <w:tc>
          <w:tcPr>
            <w:tcW w:w="1324" w:type="pct"/>
            <w:gridSpan w:val="2"/>
            <w:shd w:val="clear" w:color="auto" w:fill="auto"/>
          </w:tcPr>
          <w:p w:rsidR="00697BCD" w:rsidRDefault="00697BCD" w:rsidP="006B1E9F">
            <w:pPr>
              <w:pStyle w:val="TableHeading-right"/>
            </w:pPr>
            <w:r>
              <w:t>Customers on hardship programs</w:t>
            </w:r>
          </w:p>
        </w:tc>
        <w:tc>
          <w:tcPr>
            <w:tcW w:w="1324" w:type="pct"/>
            <w:gridSpan w:val="2"/>
            <w:shd w:val="clear" w:color="auto" w:fill="auto"/>
          </w:tcPr>
          <w:p w:rsidR="00697BCD" w:rsidRDefault="00697BCD" w:rsidP="006B1E9F">
            <w:pPr>
              <w:pStyle w:val="TableHeading-right"/>
            </w:pPr>
            <w:r>
              <w:t>Customers disconnected for non-payment</w:t>
            </w:r>
          </w:p>
        </w:tc>
      </w:tr>
      <w:tr w:rsidR="00697BCD" w:rsidRPr="00391B03" w:rsidTr="00391B03">
        <w:trPr>
          <w:trHeight w:val="60"/>
        </w:trPr>
        <w:tc>
          <w:tcPr>
            <w:tcW w:w="1027"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B1E9F">
            <w:pPr>
              <w:pStyle w:val="TableHeading-right"/>
            </w:pPr>
            <w:r>
              <w:t>June 2015</w:t>
            </w:r>
          </w:p>
        </w:tc>
        <w:tc>
          <w:tcPr>
            <w:tcW w:w="662" w:type="pct"/>
            <w:shd w:val="clear" w:color="auto" w:fill="auto"/>
          </w:tcPr>
          <w:p w:rsidR="00697BCD" w:rsidRDefault="00697BCD" w:rsidP="006B1E9F">
            <w:pPr>
              <w:pStyle w:val="TableHeading-right"/>
            </w:pPr>
            <w:r>
              <w:t>June 2016</w:t>
            </w:r>
          </w:p>
        </w:tc>
        <w:tc>
          <w:tcPr>
            <w:tcW w:w="662" w:type="pct"/>
            <w:shd w:val="clear" w:color="auto" w:fill="auto"/>
          </w:tcPr>
          <w:p w:rsidR="00697BCD" w:rsidRDefault="00697BCD" w:rsidP="006B1E9F">
            <w:pPr>
              <w:pStyle w:val="TableHeading-right"/>
            </w:pPr>
            <w:r>
              <w:t>June 2015</w:t>
            </w:r>
          </w:p>
        </w:tc>
        <w:tc>
          <w:tcPr>
            <w:tcW w:w="662" w:type="pct"/>
            <w:shd w:val="clear" w:color="auto" w:fill="auto"/>
          </w:tcPr>
          <w:p w:rsidR="00697BCD" w:rsidRDefault="00697BCD" w:rsidP="006B1E9F">
            <w:pPr>
              <w:pStyle w:val="TableHeading-right"/>
            </w:pPr>
            <w:r>
              <w:t>June 2016</w:t>
            </w:r>
          </w:p>
        </w:tc>
        <w:tc>
          <w:tcPr>
            <w:tcW w:w="662" w:type="pct"/>
            <w:shd w:val="clear" w:color="auto" w:fill="auto"/>
          </w:tcPr>
          <w:p w:rsidR="00697BCD" w:rsidRDefault="00697BCD" w:rsidP="006B1E9F">
            <w:pPr>
              <w:pStyle w:val="TableHeading-right"/>
            </w:pPr>
            <w:r>
              <w:t>2014–15</w:t>
            </w:r>
          </w:p>
        </w:tc>
        <w:tc>
          <w:tcPr>
            <w:tcW w:w="662" w:type="pct"/>
            <w:shd w:val="clear" w:color="auto" w:fill="auto"/>
          </w:tcPr>
          <w:p w:rsidR="00697BCD" w:rsidRDefault="00697BCD" w:rsidP="006B1E9F">
            <w:pPr>
              <w:pStyle w:val="TableHeading-right"/>
            </w:pPr>
            <w:r>
              <w:t>2015–16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Queensland</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275</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776</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916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Metered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8</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396</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282</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Default="00697BCD" w:rsidP="00624E11">
            <w:pPr>
              <w:pStyle w:val="Tabletext-right"/>
            </w:pPr>
            <w:r>
              <w:t>486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South Australia</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Default="00697BCD" w:rsidP="00624E11">
            <w:pPr>
              <w:pStyle w:val="Tabletext-right"/>
            </w:pPr>
            <w:r>
              <w:t>376</w:t>
            </w:r>
          </w:p>
        </w:tc>
        <w:tc>
          <w:tcPr>
            <w:tcW w:w="662" w:type="pct"/>
            <w:shd w:val="clear" w:color="auto" w:fill="auto"/>
          </w:tcPr>
          <w:p w:rsidR="00697BCD" w:rsidRDefault="00697BCD" w:rsidP="00624E11">
            <w:pPr>
              <w:pStyle w:val="Tabletext-right"/>
            </w:pPr>
            <w:r>
              <w:t>591</w:t>
            </w:r>
          </w:p>
        </w:tc>
        <w:tc>
          <w:tcPr>
            <w:tcW w:w="662" w:type="pct"/>
            <w:shd w:val="clear" w:color="auto" w:fill="auto"/>
          </w:tcPr>
          <w:p w:rsidR="00697BCD" w:rsidRDefault="00697BCD" w:rsidP="00624E11">
            <w:pPr>
              <w:pStyle w:val="Tabletext-right"/>
            </w:pPr>
            <w:r>
              <w:t>1 723</w:t>
            </w:r>
          </w:p>
        </w:tc>
        <w:tc>
          <w:tcPr>
            <w:tcW w:w="662" w:type="pct"/>
            <w:shd w:val="clear" w:color="auto" w:fill="auto"/>
          </w:tcPr>
          <w:p w:rsidR="00697BCD" w:rsidRDefault="00697BCD" w:rsidP="00624E11">
            <w:pPr>
              <w:pStyle w:val="Tabletext-right"/>
            </w:pPr>
            <w:r>
              <w:t>3 159</w:t>
            </w:r>
          </w:p>
        </w:tc>
        <w:tc>
          <w:tcPr>
            <w:tcW w:w="662" w:type="pct"/>
            <w:shd w:val="clear" w:color="auto" w:fill="auto"/>
          </w:tcPr>
          <w:p w:rsidR="00697BCD" w:rsidRDefault="00697BCD" w:rsidP="00624E11">
            <w:pPr>
              <w:pStyle w:val="Tabletext-right"/>
            </w:pPr>
            <w:r>
              <w:t>1 623</w:t>
            </w:r>
          </w:p>
        </w:tc>
        <w:tc>
          <w:tcPr>
            <w:tcW w:w="662" w:type="pct"/>
            <w:shd w:val="clear" w:color="auto" w:fill="auto"/>
          </w:tcPr>
          <w:p w:rsidR="00697BCD" w:rsidRDefault="00697BCD" w:rsidP="00624E11">
            <w:pPr>
              <w:pStyle w:val="Tabletext-right"/>
            </w:pPr>
            <w:r>
              <w:t>1 260</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Alinta</w:t>
            </w:r>
            <w:proofErr w:type="spellEnd"/>
            <w:r w:rsidRPr="00391B03">
              <w:t xml:space="preserve"> Energy</w:t>
            </w:r>
          </w:p>
        </w:tc>
        <w:tc>
          <w:tcPr>
            <w:tcW w:w="662" w:type="pct"/>
            <w:shd w:val="clear" w:color="auto" w:fill="auto"/>
          </w:tcPr>
          <w:p w:rsidR="00697BCD" w:rsidRDefault="00697BCD" w:rsidP="00624E11">
            <w:pPr>
              <w:pStyle w:val="Tabletext-right"/>
            </w:pPr>
            <w:r>
              <w:t>345</w:t>
            </w:r>
          </w:p>
        </w:tc>
        <w:tc>
          <w:tcPr>
            <w:tcW w:w="662" w:type="pct"/>
            <w:shd w:val="clear" w:color="auto" w:fill="auto"/>
          </w:tcPr>
          <w:p w:rsidR="00697BCD" w:rsidRDefault="00697BCD" w:rsidP="00624E11">
            <w:pPr>
              <w:pStyle w:val="Tabletext-right"/>
            </w:pPr>
            <w:r>
              <w:t>230</w:t>
            </w:r>
          </w:p>
        </w:tc>
        <w:tc>
          <w:tcPr>
            <w:tcW w:w="662" w:type="pct"/>
            <w:shd w:val="clear" w:color="auto" w:fill="auto"/>
          </w:tcPr>
          <w:p w:rsidR="00697BCD" w:rsidRDefault="00697BCD" w:rsidP="00624E11">
            <w:pPr>
              <w:pStyle w:val="Tabletext-right"/>
            </w:pPr>
            <w:r>
              <w:t>153</w:t>
            </w:r>
          </w:p>
        </w:tc>
        <w:tc>
          <w:tcPr>
            <w:tcW w:w="662" w:type="pct"/>
            <w:shd w:val="clear" w:color="auto" w:fill="auto"/>
          </w:tcPr>
          <w:p w:rsidR="00697BCD" w:rsidRDefault="00697BCD" w:rsidP="00624E11">
            <w:pPr>
              <w:pStyle w:val="Tabletext-right"/>
            </w:pPr>
            <w:r>
              <w:t>106</w:t>
            </w:r>
          </w:p>
        </w:tc>
        <w:tc>
          <w:tcPr>
            <w:tcW w:w="662" w:type="pct"/>
            <w:shd w:val="clear" w:color="auto" w:fill="auto"/>
          </w:tcPr>
          <w:p w:rsidR="00697BCD" w:rsidRDefault="00697BCD" w:rsidP="00624E11">
            <w:pPr>
              <w:pStyle w:val="Tabletext-right"/>
            </w:pPr>
            <w:r>
              <w:t>244</w:t>
            </w:r>
          </w:p>
        </w:tc>
        <w:tc>
          <w:tcPr>
            <w:tcW w:w="662" w:type="pct"/>
            <w:shd w:val="clear" w:color="auto" w:fill="auto"/>
          </w:tcPr>
          <w:p w:rsidR="00697BCD" w:rsidRDefault="00697BCD" w:rsidP="00624E11">
            <w:pPr>
              <w:pStyle w:val="Tabletext-right"/>
            </w:pPr>
            <w:r>
              <w:t>1 081</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Default="00697BCD" w:rsidP="00624E11">
            <w:pPr>
              <w:pStyle w:val="Tabletext-right"/>
            </w:pPr>
            <w:r>
              <w:t>4 357</w:t>
            </w:r>
          </w:p>
        </w:tc>
        <w:tc>
          <w:tcPr>
            <w:tcW w:w="662" w:type="pct"/>
            <w:shd w:val="clear" w:color="auto" w:fill="auto"/>
          </w:tcPr>
          <w:p w:rsidR="00697BCD" w:rsidRDefault="00697BCD" w:rsidP="00624E11">
            <w:pPr>
              <w:pStyle w:val="Tabletext-right"/>
            </w:pPr>
            <w:r>
              <w:t>4 645</w:t>
            </w:r>
          </w:p>
        </w:tc>
        <w:tc>
          <w:tcPr>
            <w:tcW w:w="662" w:type="pct"/>
            <w:shd w:val="clear" w:color="auto" w:fill="auto"/>
          </w:tcPr>
          <w:p w:rsidR="00697BCD" w:rsidRDefault="00697BCD" w:rsidP="00624E11">
            <w:pPr>
              <w:pStyle w:val="Tabletext-right"/>
            </w:pPr>
            <w:r>
              <w:t>609</w:t>
            </w:r>
          </w:p>
        </w:tc>
        <w:tc>
          <w:tcPr>
            <w:tcW w:w="662" w:type="pct"/>
            <w:shd w:val="clear" w:color="auto" w:fill="auto"/>
          </w:tcPr>
          <w:p w:rsidR="00697BCD" w:rsidRDefault="00697BCD" w:rsidP="00624E11">
            <w:pPr>
              <w:pStyle w:val="Tabletext-right"/>
            </w:pPr>
            <w:r>
              <w:t>478</w:t>
            </w:r>
          </w:p>
        </w:tc>
        <w:tc>
          <w:tcPr>
            <w:tcW w:w="662" w:type="pct"/>
            <w:shd w:val="clear" w:color="auto" w:fill="auto"/>
          </w:tcPr>
          <w:p w:rsidR="00697BCD" w:rsidRDefault="00697BCD" w:rsidP="00624E11">
            <w:pPr>
              <w:pStyle w:val="Tabletext-right"/>
            </w:pPr>
            <w:r>
              <w:t>228</w:t>
            </w:r>
          </w:p>
        </w:tc>
        <w:tc>
          <w:tcPr>
            <w:tcW w:w="662" w:type="pct"/>
            <w:shd w:val="clear" w:color="auto" w:fill="auto"/>
          </w:tcPr>
          <w:p w:rsidR="00697BCD" w:rsidRDefault="00697BCD" w:rsidP="00624E11">
            <w:pPr>
              <w:pStyle w:val="Tabletext-right"/>
            </w:pPr>
            <w:r>
              <w:t>744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1 075</w:t>
            </w:r>
          </w:p>
        </w:tc>
        <w:tc>
          <w:tcPr>
            <w:tcW w:w="662" w:type="pct"/>
            <w:shd w:val="clear" w:color="auto" w:fill="auto"/>
          </w:tcPr>
          <w:p w:rsidR="00697BCD" w:rsidRDefault="00697BCD" w:rsidP="00624E11">
            <w:pPr>
              <w:pStyle w:val="Tabletext-right"/>
            </w:pPr>
            <w:r>
              <w:t>834</w:t>
            </w:r>
          </w:p>
        </w:tc>
        <w:tc>
          <w:tcPr>
            <w:tcW w:w="662" w:type="pct"/>
            <w:shd w:val="clear" w:color="auto" w:fill="auto"/>
          </w:tcPr>
          <w:p w:rsidR="00697BCD" w:rsidRDefault="00697BCD" w:rsidP="00624E11">
            <w:pPr>
              <w:pStyle w:val="Tabletext-right"/>
            </w:pPr>
            <w:r>
              <w:t>931</w:t>
            </w:r>
          </w:p>
        </w:tc>
        <w:tc>
          <w:tcPr>
            <w:tcW w:w="662" w:type="pct"/>
            <w:shd w:val="clear" w:color="auto" w:fill="auto"/>
          </w:tcPr>
          <w:p w:rsidR="00697BCD" w:rsidRDefault="00697BCD" w:rsidP="00624E11">
            <w:pPr>
              <w:pStyle w:val="Tabletext-right"/>
            </w:pPr>
            <w:r>
              <w:t>1143</w:t>
            </w:r>
          </w:p>
        </w:tc>
        <w:tc>
          <w:tcPr>
            <w:tcW w:w="662" w:type="pct"/>
            <w:shd w:val="clear" w:color="auto" w:fill="auto"/>
          </w:tcPr>
          <w:p w:rsidR="00697BCD" w:rsidRDefault="00697BCD" w:rsidP="00624E11">
            <w:pPr>
              <w:pStyle w:val="Tabletext-right"/>
            </w:pPr>
            <w:r>
              <w:t>1597</w:t>
            </w:r>
          </w:p>
        </w:tc>
        <w:tc>
          <w:tcPr>
            <w:tcW w:w="662" w:type="pct"/>
            <w:shd w:val="clear" w:color="auto" w:fill="auto"/>
          </w:tcPr>
          <w:p w:rsidR="00697BCD" w:rsidRDefault="00697BCD" w:rsidP="00624E11">
            <w:pPr>
              <w:pStyle w:val="Tabletext-right"/>
            </w:pPr>
            <w:r>
              <w:t>1426</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Simply Energy</w:t>
            </w:r>
          </w:p>
        </w:tc>
        <w:tc>
          <w:tcPr>
            <w:tcW w:w="662" w:type="pct"/>
            <w:shd w:val="clear" w:color="auto" w:fill="auto"/>
          </w:tcPr>
          <w:p w:rsidR="00697BCD" w:rsidRDefault="00697BCD" w:rsidP="00624E11">
            <w:pPr>
              <w:pStyle w:val="Tabletext-right"/>
            </w:pPr>
            <w:r>
              <w:t>737</w:t>
            </w:r>
          </w:p>
        </w:tc>
        <w:tc>
          <w:tcPr>
            <w:tcW w:w="662" w:type="pct"/>
            <w:shd w:val="clear" w:color="auto" w:fill="auto"/>
          </w:tcPr>
          <w:p w:rsidR="00697BCD" w:rsidRDefault="00697BCD" w:rsidP="00624E11">
            <w:pPr>
              <w:pStyle w:val="Tabletext-right"/>
            </w:pPr>
            <w:r>
              <w:t>541</w:t>
            </w:r>
          </w:p>
        </w:tc>
        <w:tc>
          <w:tcPr>
            <w:tcW w:w="662" w:type="pct"/>
            <w:shd w:val="clear" w:color="auto" w:fill="auto"/>
          </w:tcPr>
          <w:p w:rsidR="00697BCD" w:rsidRDefault="00697BCD" w:rsidP="00624E11">
            <w:pPr>
              <w:pStyle w:val="Tabletext-right"/>
            </w:pPr>
            <w:r>
              <w:t>675</w:t>
            </w:r>
          </w:p>
        </w:tc>
        <w:tc>
          <w:tcPr>
            <w:tcW w:w="662" w:type="pct"/>
            <w:shd w:val="clear" w:color="auto" w:fill="auto"/>
          </w:tcPr>
          <w:p w:rsidR="00697BCD" w:rsidRDefault="00697BCD" w:rsidP="00624E11">
            <w:pPr>
              <w:pStyle w:val="Tabletext-right"/>
            </w:pPr>
            <w:r>
              <w:t>744</w:t>
            </w:r>
          </w:p>
        </w:tc>
        <w:tc>
          <w:tcPr>
            <w:tcW w:w="662" w:type="pct"/>
            <w:shd w:val="clear" w:color="auto" w:fill="auto"/>
          </w:tcPr>
          <w:p w:rsidR="00697BCD" w:rsidRDefault="00697BCD" w:rsidP="00624E11">
            <w:pPr>
              <w:pStyle w:val="Tabletext-right"/>
            </w:pPr>
            <w:r>
              <w:t>883</w:t>
            </w:r>
          </w:p>
        </w:tc>
        <w:tc>
          <w:tcPr>
            <w:tcW w:w="662" w:type="pct"/>
            <w:shd w:val="clear" w:color="auto" w:fill="auto"/>
          </w:tcPr>
          <w:p w:rsidR="00697BCD" w:rsidRDefault="00697BCD" w:rsidP="00624E11">
            <w:pPr>
              <w:pStyle w:val="Tabletext-right"/>
            </w:pPr>
            <w:r>
              <w:t>570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ACT</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ActewAGL</w:t>
            </w:r>
            <w:proofErr w:type="spellEnd"/>
          </w:p>
        </w:tc>
        <w:tc>
          <w:tcPr>
            <w:tcW w:w="662" w:type="pct"/>
            <w:shd w:val="clear" w:color="auto" w:fill="auto"/>
          </w:tcPr>
          <w:p w:rsidR="00697BCD" w:rsidRDefault="00697BCD" w:rsidP="00624E11">
            <w:pPr>
              <w:pStyle w:val="Tabletext-right"/>
            </w:pPr>
            <w:r>
              <w:t>174</w:t>
            </w:r>
          </w:p>
        </w:tc>
        <w:tc>
          <w:tcPr>
            <w:tcW w:w="662" w:type="pct"/>
            <w:shd w:val="clear" w:color="auto" w:fill="auto"/>
          </w:tcPr>
          <w:p w:rsidR="00697BCD" w:rsidRDefault="00697BCD" w:rsidP="00624E11">
            <w:pPr>
              <w:pStyle w:val="Tabletext-right"/>
            </w:pPr>
            <w:r>
              <w:t>94</w:t>
            </w:r>
          </w:p>
        </w:tc>
        <w:tc>
          <w:tcPr>
            <w:tcW w:w="662" w:type="pct"/>
            <w:shd w:val="clear" w:color="auto" w:fill="auto"/>
          </w:tcPr>
          <w:p w:rsidR="00697BCD" w:rsidRDefault="00697BCD" w:rsidP="00624E11">
            <w:pPr>
              <w:pStyle w:val="Tabletext-right"/>
            </w:pPr>
            <w:r>
              <w:t>542</w:t>
            </w:r>
          </w:p>
        </w:tc>
        <w:tc>
          <w:tcPr>
            <w:tcW w:w="662" w:type="pct"/>
            <w:shd w:val="clear" w:color="auto" w:fill="auto"/>
          </w:tcPr>
          <w:p w:rsidR="00697BCD" w:rsidRDefault="00697BCD" w:rsidP="00624E11">
            <w:pPr>
              <w:pStyle w:val="Tabletext-right"/>
            </w:pPr>
            <w:r>
              <w:t>762</w:t>
            </w:r>
          </w:p>
        </w:tc>
        <w:tc>
          <w:tcPr>
            <w:tcW w:w="662" w:type="pct"/>
            <w:shd w:val="clear" w:color="auto" w:fill="auto"/>
          </w:tcPr>
          <w:p w:rsidR="00697BCD" w:rsidRDefault="00697BCD" w:rsidP="00624E11">
            <w:pPr>
              <w:pStyle w:val="Tabletext-right"/>
            </w:pPr>
            <w:r>
              <w:t>1 375</w:t>
            </w:r>
          </w:p>
        </w:tc>
        <w:tc>
          <w:tcPr>
            <w:tcW w:w="662" w:type="pct"/>
            <w:shd w:val="clear" w:color="auto" w:fill="auto"/>
          </w:tcPr>
          <w:p w:rsidR="00697BCD" w:rsidRDefault="00697BCD" w:rsidP="00624E11">
            <w:pPr>
              <w:pStyle w:val="Tabletext-right"/>
            </w:pPr>
            <w:r>
              <w:t>1 317</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Default="00697BCD" w:rsidP="00624E11">
            <w:pPr>
              <w:pStyle w:val="Tabletext-right"/>
            </w:pPr>
            <w:r>
              <w:t>561</w:t>
            </w:r>
          </w:p>
        </w:tc>
        <w:tc>
          <w:tcPr>
            <w:tcW w:w="662" w:type="pct"/>
            <w:shd w:val="clear" w:color="auto" w:fill="auto"/>
          </w:tcPr>
          <w:p w:rsidR="00697BCD" w:rsidRDefault="00697BCD" w:rsidP="00624E11">
            <w:pPr>
              <w:pStyle w:val="Tabletext-right"/>
            </w:pPr>
            <w:r>
              <w:t>583</w:t>
            </w:r>
          </w:p>
        </w:tc>
        <w:tc>
          <w:tcPr>
            <w:tcW w:w="662" w:type="pct"/>
            <w:shd w:val="clear" w:color="auto" w:fill="auto"/>
          </w:tcPr>
          <w:p w:rsidR="00697BCD" w:rsidRDefault="00697BCD" w:rsidP="00624E11">
            <w:pPr>
              <w:pStyle w:val="Tabletext-right"/>
            </w:pPr>
            <w:r>
              <w:t>45</w:t>
            </w:r>
          </w:p>
        </w:tc>
        <w:tc>
          <w:tcPr>
            <w:tcW w:w="662" w:type="pct"/>
            <w:shd w:val="clear" w:color="auto" w:fill="auto"/>
          </w:tcPr>
          <w:p w:rsidR="00697BCD" w:rsidRDefault="00697BCD" w:rsidP="00624E11">
            <w:pPr>
              <w:pStyle w:val="Tabletext-right"/>
            </w:pPr>
            <w:r>
              <w:t>30</w:t>
            </w:r>
          </w:p>
        </w:tc>
        <w:tc>
          <w:tcPr>
            <w:tcW w:w="662" w:type="pct"/>
            <w:shd w:val="clear" w:color="auto" w:fill="auto"/>
          </w:tcPr>
          <w:p w:rsidR="00697BCD" w:rsidRDefault="00697BCD" w:rsidP="00624E11">
            <w:pPr>
              <w:pStyle w:val="Tabletext-right"/>
            </w:pPr>
            <w:r>
              <w:t>29</w:t>
            </w:r>
          </w:p>
        </w:tc>
        <w:tc>
          <w:tcPr>
            <w:tcW w:w="662" w:type="pct"/>
            <w:shd w:val="clear" w:color="auto" w:fill="auto"/>
          </w:tcPr>
          <w:p w:rsidR="00697BCD" w:rsidRDefault="00697BCD" w:rsidP="00624E11">
            <w:pPr>
              <w:pStyle w:val="Tabletext-right"/>
            </w:pPr>
            <w:r>
              <w:t>62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1</w:t>
            </w: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11</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24</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New South Wales</w:t>
            </w: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662"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ActewAGL</w:t>
            </w:r>
            <w:proofErr w:type="spellEnd"/>
          </w:p>
        </w:tc>
        <w:tc>
          <w:tcPr>
            <w:tcW w:w="662" w:type="pct"/>
            <w:shd w:val="clear" w:color="auto" w:fill="auto"/>
          </w:tcPr>
          <w:p w:rsidR="00697BCD" w:rsidRDefault="00697BCD" w:rsidP="00624E11">
            <w:pPr>
              <w:pStyle w:val="Tabletext-right"/>
            </w:pPr>
            <w:r>
              <w:t>46</w:t>
            </w:r>
          </w:p>
        </w:tc>
        <w:tc>
          <w:tcPr>
            <w:tcW w:w="662" w:type="pct"/>
            <w:shd w:val="clear" w:color="auto" w:fill="auto"/>
          </w:tcPr>
          <w:p w:rsidR="00697BCD" w:rsidRDefault="00697BCD" w:rsidP="00624E11">
            <w:pPr>
              <w:pStyle w:val="Tabletext-right"/>
            </w:pPr>
            <w:r>
              <w:t>32</w:t>
            </w:r>
          </w:p>
        </w:tc>
        <w:tc>
          <w:tcPr>
            <w:tcW w:w="662" w:type="pct"/>
            <w:shd w:val="clear" w:color="auto" w:fill="auto"/>
          </w:tcPr>
          <w:p w:rsidR="00697BCD" w:rsidRDefault="00697BCD" w:rsidP="00624E11">
            <w:pPr>
              <w:pStyle w:val="Tabletext-right"/>
            </w:pPr>
            <w:r>
              <w:t>172</w:t>
            </w:r>
          </w:p>
        </w:tc>
        <w:tc>
          <w:tcPr>
            <w:tcW w:w="662" w:type="pct"/>
            <w:shd w:val="clear" w:color="auto" w:fill="auto"/>
          </w:tcPr>
          <w:p w:rsidR="00697BCD" w:rsidRDefault="00697BCD" w:rsidP="00624E11">
            <w:pPr>
              <w:pStyle w:val="Tabletext-right"/>
            </w:pPr>
            <w:r>
              <w:t>217</w:t>
            </w:r>
          </w:p>
        </w:tc>
        <w:tc>
          <w:tcPr>
            <w:tcW w:w="662" w:type="pct"/>
            <w:shd w:val="clear" w:color="auto" w:fill="auto"/>
          </w:tcPr>
          <w:p w:rsidR="00697BCD" w:rsidRDefault="00697BCD" w:rsidP="00624E11">
            <w:pPr>
              <w:pStyle w:val="Tabletext-right"/>
            </w:pPr>
            <w:r>
              <w:t>544</w:t>
            </w:r>
          </w:p>
        </w:tc>
        <w:tc>
          <w:tcPr>
            <w:tcW w:w="662" w:type="pct"/>
            <w:shd w:val="clear" w:color="auto" w:fill="auto"/>
          </w:tcPr>
          <w:p w:rsidR="00697BCD" w:rsidRDefault="00697BCD" w:rsidP="00624E11">
            <w:pPr>
              <w:pStyle w:val="Tabletext-right"/>
            </w:pPr>
            <w:r>
              <w:t>457</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AGL</w:t>
            </w:r>
          </w:p>
        </w:tc>
        <w:tc>
          <w:tcPr>
            <w:tcW w:w="662" w:type="pct"/>
            <w:shd w:val="clear" w:color="auto" w:fill="auto"/>
          </w:tcPr>
          <w:p w:rsidR="00697BCD" w:rsidRDefault="00697BCD" w:rsidP="00624E11">
            <w:pPr>
              <w:pStyle w:val="Tabletext-right"/>
            </w:pPr>
            <w:r>
              <w:t>905</w:t>
            </w:r>
          </w:p>
        </w:tc>
        <w:tc>
          <w:tcPr>
            <w:tcW w:w="662" w:type="pct"/>
            <w:shd w:val="clear" w:color="auto" w:fill="auto"/>
          </w:tcPr>
          <w:p w:rsidR="00697BCD" w:rsidRDefault="00697BCD" w:rsidP="00624E11">
            <w:pPr>
              <w:pStyle w:val="Tabletext-right"/>
            </w:pPr>
            <w:r>
              <w:t>1 315</w:t>
            </w:r>
          </w:p>
        </w:tc>
        <w:tc>
          <w:tcPr>
            <w:tcW w:w="662" w:type="pct"/>
            <w:shd w:val="clear" w:color="auto" w:fill="auto"/>
          </w:tcPr>
          <w:p w:rsidR="00697BCD" w:rsidRDefault="00697BCD" w:rsidP="00624E11">
            <w:pPr>
              <w:pStyle w:val="Tabletext-right"/>
            </w:pPr>
            <w:r>
              <w:t>2 858</w:t>
            </w:r>
          </w:p>
        </w:tc>
        <w:tc>
          <w:tcPr>
            <w:tcW w:w="662" w:type="pct"/>
            <w:shd w:val="clear" w:color="auto" w:fill="auto"/>
          </w:tcPr>
          <w:p w:rsidR="00697BCD" w:rsidRDefault="00697BCD" w:rsidP="00624E11">
            <w:pPr>
              <w:pStyle w:val="Tabletext-right"/>
            </w:pPr>
            <w:r>
              <w:t>5 167</w:t>
            </w:r>
          </w:p>
        </w:tc>
        <w:tc>
          <w:tcPr>
            <w:tcW w:w="662" w:type="pct"/>
            <w:shd w:val="clear" w:color="auto" w:fill="auto"/>
          </w:tcPr>
          <w:p w:rsidR="00697BCD" w:rsidRDefault="00697BCD" w:rsidP="00624E11">
            <w:pPr>
              <w:pStyle w:val="Tabletext-right"/>
            </w:pPr>
            <w:r>
              <w:t>4 771</w:t>
            </w:r>
          </w:p>
        </w:tc>
        <w:tc>
          <w:tcPr>
            <w:tcW w:w="662" w:type="pct"/>
            <w:shd w:val="clear" w:color="auto" w:fill="auto"/>
          </w:tcPr>
          <w:p w:rsidR="00697BCD" w:rsidRDefault="00697BCD" w:rsidP="00624E11">
            <w:pPr>
              <w:pStyle w:val="Tabletext-right"/>
            </w:pPr>
            <w:r>
              <w:t>2 789</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CovaU</w:t>
            </w:r>
            <w:proofErr w:type="spellEnd"/>
          </w:p>
        </w:tc>
        <w:tc>
          <w:tcPr>
            <w:tcW w:w="662" w:type="pct"/>
            <w:shd w:val="clear" w:color="auto" w:fill="auto"/>
          </w:tcPr>
          <w:p w:rsidR="00697BCD" w:rsidRDefault="00697BCD" w:rsidP="00624E11">
            <w:pPr>
              <w:pStyle w:val="Tabletext-right"/>
            </w:pPr>
            <w:r>
              <w:t>5</w:t>
            </w:r>
          </w:p>
        </w:tc>
        <w:tc>
          <w:tcPr>
            <w:tcW w:w="662" w:type="pct"/>
            <w:shd w:val="clear" w:color="auto" w:fill="auto"/>
          </w:tcPr>
          <w:p w:rsidR="00697BCD" w:rsidRDefault="00697BCD" w:rsidP="00624E11">
            <w:pPr>
              <w:pStyle w:val="Tabletext-right"/>
            </w:pPr>
            <w:r>
              <w:t>14</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2</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15</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EnergyAustralia</w:t>
            </w:r>
            <w:proofErr w:type="spellEnd"/>
          </w:p>
        </w:tc>
        <w:tc>
          <w:tcPr>
            <w:tcW w:w="662" w:type="pct"/>
            <w:shd w:val="clear" w:color="auto" w:fill="auto"/>
          </w:tcPr>
          <w:p w:rsidR="00697BCD" w:rsidRDefault="00697BCD" w:rsidP="00624E11">
            <w:pPr>
              <w:pStyle w:val="Tabletext-right"/>
            </w:pPr>
            <w:r>
              <w:t>14 022</w:t>
            </w:r>
          </w:p>
        </w:tc>
        <w:tc>
          <w:tcPr>
            <w:tcW w:w="662" w:type="pct"/>
            <w:shd w:val="clear" w:color="auto" w:fill="auto"/>
          </w:tcPr>
          <w:p w:rsidR="00697BCD" w:rsidRDefault="00697BCD" w:rsidP="00624E11">
            <w:pPr>
              <w:pStyle w:val="Tabletext-right"/>
            </w:pPr>
            <w:r>
              <w:t>15 063</w:t>
            </w:r>
          </w:p>
        </w:tc>
        <w:tc>
          <w:tcPr>
            <w:tcW w:w="662" w:type="pct"/>
            <w:shd w:val="clear" w:color="auto" w:fill="auto"/>
          </w:tcPr>
          <w:p w:rsidR="00697BCD" w:rsidRDefault="00697BCD" w:rsidP="00624E11">
            <w:pPr>
              <w:pStyle w:val="Tabletext-right"/>
            </w:pPr>
            <w:r>
              <w:t>443</w:t>
            </w:r>
          </w:p>
        </w:tc>
        <w:tc>
          <w:tcPr>
            <w:tcW w:w="662" w:type="pct"/>
            <w:shd w:val="clear" w:color="auto" w:fill="auto"/>
          </w:tcPr>
          <w:p w:rsidR="00697BCD" w:rsidRDefault="00697BCD" w:rsidP="00624E11">
            <w:pPr>
              <w:pStyle w:val="Tabletext-right"/>
            </w:pPr>
            <w:r>
              <w:t>487</w:t>
            </w:r>
          </w:p>
        </w:tc>
        <w:tc>
          <w:tcPr>
            <w:tcW w:w="662" w:type="pct"/>
            <w:shd w:val="clear" w:color="auto" w:fill="auto"/>
          </w:tcPr>
          <w:p w:rsidR="00697BCD" w:rsidRDefault="00697BCD" w:rsidP="00624E11">
            <w:pPr>
              <w:pStyle w:val="Tabletext-right"/>
            </w:pPr>
            <w:r>
              <w:t>395</w:t>
            </w:r>
          </w:p>
        </w:tc>
        <w:tc>
          <w:tcPr>
            <w:tcW w:w="662" w:type="pct"/>
            <w:shd w:val="clear" w:color="auto" w:fill="auto"/>
          </w:tcPr>
          <w:p w:rsidR="00697BCD" w:rsidRDefault="00697BCD" w:rsidP="00624E11">
            <w:pPr>
              <w:pStyle w:val="Tabletext-right"/>
            </w:pPr>
            <w:r>
              <w:t>1 708</w:t>
            </w:r>
          </w:p>
        </w:tc>
      </w:tr>
      <w:tr w:rsidR="00697BCD" w:rsidRPr="00391B03" w:rsidTr="00391B03">
        <w:trPr>
          <w:trHeight w:val="60"/>
        </w:trPr>
        <w:tc>
          <w:tcPr>
            <w:tcW w:w="1027" w:type="pct"/>
            <w:shd w:val="clear" w:color="auto" w:fill="auto"/>
          </w:tcPr>
          <w:p w:rsidR="00697BCD" w:rsidRPr="00391B03" w:rsidRDefault="00697BCD" w:rsidP="00624E11">
            <w:pPr>
              <w:pStyle w:val="Tabletext"/>
            </w:pPr>
            <w:proofErr w:type="spellStart"/>
            <w:r w:rsidRPr="00391B03">
              <w:t>Lumo</w:t>
            </w:r>
            <w:proofErr w:type="spellEnd"/>
            <w:r w:rsidRPr="00391B03">
              <w:t xml:space="preserve"> Energy</w:t>
            </w:r>
          </w:p>
        </w:tc>
        <w:tc>
          <w:tcPr>
            <w:tcW w:w="662" w:type="pct"/>
            <w:shd w:val="clear" w:color="auto" w:fill="auto"/>
          </w:tcPr>
          <w:p w:rsidR="00697BCD" w:rsidRDefault="00697BCD" w:rsidP="00624E11">
            <w:pPr>
              <w:pStyle w:val="Tabletext-right"/>
            </w:pPr>
            <w:r>
              <w:t>530</w:t>
            </w:r>
          </w:p>
        </w:tc>
        <w:tc>
          <w:tcPr>
            <w:tcW w:w="662" w:type="pct"/>
            <w:shd w:val="clear" w:color="auto" w:fill="auto"/>
          </w:tcPr>
          <w:p w:rsidR="00697BCD" w:rsidRDefault="00697BCD" w:rsidP="00624E11">
            <w:pPr>
              <w:pStyle w:val="Tabletext-right"/>
            </w:pPr>
            <w:r>
              <w:t>462</w:t>
            </w:r>
          </w:p>
        </w:tc>
        <w:tc>
          <w:tcPr>
            <w:tcW w:w="662" w:type="pct"/>
            <w:shd w:val="clear" w:color="auto" w:fill="auto"/>
          </w:tcPr>
          <w:p w:rsidR="00697BCD" w:rsidRDefault="00697BCD" w:rsidP="00624E11">
            <w:pPr>
              <w:pStyle w:val="Tabletext-right"/>
            </w:pPr>
            <w:r>
              <w:t>48</w:t>
            </w:r>
          </w:p>
        </w:tc>
        <w:tc>
          <w:tcPr>
            <w:tcW w:w="662" w:type="pct"/>
            <w:shd w:val="clear" w:color="auto" w:fill="auto"/>
          </w:tcPr>
          <w:p w:rsidR="00697BCD" w:rsidRDefault="00697BCD" w:rsidP="00624E11">
            <w:pPr>
              <w:pStyle w:val="Tabletext-right"/>
            </w:pPr>
            <w:r>
              <w:t>39</w:t>
            </w:r>
          </w:p>
        </w:tc>
        <w:tc>
          <w:tcPr>
            <w:tcW w:w="662" w:type="pct"/>
            <w:shd w:val="clear" w:color="auto" w:fill="auto"/>
          </w:tcPr>
          <w:p w:rsidR="00697BCD" w:rsidRDefault="00697BCD" w:rsidP="00624E11">
            <w:pPr>
              <w:pStyle w:val="Tabletext-right"/>
            </w:pPr>
            <w:r>
              <w:t>17</w:t>
            </w:r>
          </w:p>
        </w:tc>
        <w:tc>
          <w:tcPr>
            <w:tcW w:w="662" w:type="pct"/>
            <w:shd w:val="clear" w:color="auto" w:fill="auto"/>
          </w:tcPr>
          <w:p w:rsidR="00697BCD" w:rsidRDefault="00697BCD" w:rsidP="00624E11">
            <w:pPr>
              <w:pStyle w:val="Tabletext-right"/>
            </w:pPr>
            <w:r>
              <w:t>182</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M2 Energy</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3</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Origin Energy</w:t>
            </w:r>
          </w:p>
        </w:tc>
        <w:tc>
          <w:tcPr>
            <w:tcW w:w="662" w:type="pct"/>
            <w:shd w:val="clear" w:color="auto" w:fill="auto"/>
          </w:tcPr>
          <w:p w:rsidR="00697BCD" w:rsidRDefault="00697BCD" w:rsidP="00624E11">
            <w:pPr>
              <w:pStyle w:val="Tabletext-right"/>
            </w:pPr>
            <w:r>
              <w:t>2 377</w:t>
            </w:r>
          </w:p>
        </w:tc>
        <w:tc>
          <w:tcPr>
            <w:tcW w:w="662" w:type="pct"/>
            <w:shd w:val="clear" w:color="auto" w:fill="auto"/>
          </w:tcPr>
          <w:p w:rsidR="00697BCD" w:rsidRDefault="00697BCD" w:rsidP="00624E11">
            <w:pPr>
              <w:pStyle w:val="Tabletext-right"/>
            </w:pPr>
            <w:r>
              <w:t>2 983</w:t>
            </w:r>
          </w:p>
        </w:tc>
        <w:tc>
          <w:tcPr>
            <w:tcW w:w="662" w:type="pct"/>
            <w:shd w:val="clear" w:color="auto" w:fill="auto"/>
          </w:tcPr>
          <w:p w:rsidR="00697BCD" w:rsidRDefault="00697BCD" w:rsidP="00624E11">
            <w:pPr>
              <w:pStyle w:val="Tabletext-right"/>
            </w:pPr>
            <w:r>
              <w:t>854</w:t>
            </w:r>
          </w:p>
        </w:tc>
        <w:tc>
          <w:tcPr>
            <w:tcW w:w="662" w:type="pct"/>
            <w:shd w:val="clear" w:color="auto" w:fill="auto"/>
          </w:tcPr>
          <w:p w:rsidR="00697BCD" w:rsidRDefault="00697BCD" w:rsidP="00624E11">
            <w:pPr>
              <w:pStyle w:val="Tabletext-right"/>
            </w:pPr>
            <w:r>
              <w:t>1 138</w:t>
            </w:r>
          </w:p>
        </w:tc>
        <w:tc>
          <w:tcPr>
            <w:tcW w:w="662" w:type="pct"/>
            <w:shd w:val="clear" w:color="auto" w:fill="auto"/>
          </w:tcPr>
          <w:p w:rsidR="00697BCD" w:rsidRDefault="00697BCD" w:rsidP="00624E11">
            <w:pPr>
              <w:pStyle w:val="Tabletext-right"/>
            </w:pPr>
            <w:r>
              <w:t>1 828</w:t>
            </w:r>
          </w:p>
        </w:tc>
        <w:tc>
          <w:tcPr>
            <w:tcW w:w="662" w:type="pct"/>
            <w:shd w:val="clear" w:color="auto" w:fill="auto"/>
          </w:tcPr>
          <w:p w:rsidR="00697BCD" w:rsidRDefault="00697BCD" w:rsidP="00624E11">
            <w:pPr>
              <w:pStyle w:val="Tabletext-right"/>
            </w:pPr>
            <w:r>
              <w:t>1 238</w:t>
            </w:r>
          </w:p>
        </w:tc>
      </w:tr>
      <w:tr w:rsidR="00697BCD" w:rsidRPr="00391B03" w:rsidTr="00391B03">
        <w:trPr>
          <w:trHeight w:val="60"/>
        </w:trPr>
        <w:tc>
          <w:tcPr>
            <w:tcW w:w="1027" w:type="pct"/>
            <w:shd w:val="clear" w:color="auto" w:fill="auto"/>
          </w:tcPr>
          <w:p w:rsidR="00697BCD" w:rsidRPr="00391B03" w:rsidRDefault="00697BCD" w:rsidP="00624E11">
            <w:pPr>
              <w:pStyle w:val="Tabletext"/>
            </w:pPr>
            <w:r w:rsidRPr="00391B03">
              <w:t>Red Energy</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52</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12</w:t>
            </w:r>
          </w:p>
        </w:tc>
        <w:tc>
          <w:tcPr>
            <w:tcW w:w="662" w:type="pct"/>
            <w:shd w:val="clear" w:color="auto" w:fill="auto"/>
          </w:tcPr>
          <w:p w:rsidR="00697BCD" w:rsidRDefault="00697BCD" w:rsidP="00624E11">
            <w:pPr>
              <w:pStyle w:val="Tabletext-right"/>
            </w:pPr>
            <w:r>
              <w:t>0</w:t>
            </w:r>
          </w:p>
        </w:tc>
        <w:tc>
          <w:tcPr>
            <w:tcW w:w="662" w:type="pct"/>
            <w:shd w:val="clear" w:color="auto" w:fill="auto"/>
          </w:tcPr>
          <w:p w:rsidR="00697BCD" w:rsidRDefault="00697BCD" w:rsidP="00624E11">
            <w:pPr>
              <w:pStyle w:val="Tabletext-right"/>
            </w:pPr>
            <w:r>
              <w:t>0</w:t>
            </w:r>
          </w:p>
        </w:tc>
      </w:tr>
    </w:tbl>
    <w:p w:rsidR="00697BCD" w:rsidRDefault="00697BCD"/>
    <w:p w:rsidR="00697BCD" w:rsidRDefault="00EC4210" w:rsidP="00697BCD">
      <w:pPr>
        <w:pStyle w:val="Heading2"/>
      </w:pPr>
      <w:bookmarkStart w:id="66" w:name="_Toc467665350"/>
      <w:r>
        <w:lastRenderedPageBreak/>
        <w:br w:type="page"/>
      </w:r>
      <w:r w:rsidR="00697BCD">
        <w:t>Appendix 5: Benchmark low income household, annual electricity and gas bills and proportion</w:t>
      </w:r>
      <w:bookmarkEnd w:id="66"/>
    </w:p>
    <w:tbl>
      <w:tblPr>
        <w:tblW w:w="5000" w:type="pct"/>
        <w:tblBorders>
          <w:top w:val="single" w:sz="4" w:space="0" w:color="BFBFBF"/>
          <w:bottom w:val="single" w:sz="4" w:space="0" w:color="BFBFBF"/>
        </w:tblBorders>
        <w:tblLook w:val="0000" w:firstRow="0" w:lastRow="0" w:firstColumn="0" w:lastColumn="0" w:noHBand="0" w:noVBand="0"/>
      </w:tblPr>
      <w:tblGrid>
        <w:gridCol w:w="696"/>
        <w:gridCol w:w="1934"/>
        <w:gridCol w:w="1268"/>
        <w:gridCol w:w="1268"/>
        <w:gridCol w:w="1268"/>
        <w:gridCol w:w="1066"/>
        <w:gridCol w:w="1067"/>
        <w:gridCol w:w="1061"/>
      </w:tblGrid>
      <w:tr w:rsidR="00697BCD" w:rsidRPr="00391B03" w:rsidTr="00391B03">
        <w:trPr>
          <w:trHeight w:val="60"/>
        </w:trPr>
        <w:tc>
          <w:tcPr>
            <w:tcW w:w="1445" w:type="pct"/>
            <w:gridSpan w:val="2"/>
            <w:shd w:val="clear" w:color="auto" w:fill="auto"/>
          </w:tcPr>
          <w:p w:rsidR="00697BCD" w:rsidRPr="00391B03" w:rsidRDefault="00697BCD" w:rsidP="006B1E9F">
            <w:pPr>
              <w:pStyle w:val="TableHeading"/>
            </w:pPr>
            <w:r w:rsidRPr="00391B03">
              <w:t>Jurisdiction</w:t>
            </w:r>
          </w:p>
        </w:tc>
        <w:tc>
          <w:tcPr>
            <w:tcW w:w="593" w:type="pct"/>
            <w:shd w:val="clear" w:color="auto" w:fill="auto"/>
          </w:tcPr>
          <w:p w:rsidR="00697BCD" w:rsidRDefault="00697BCD" w:rsidP="006B1E9F">
            <w:pPr>
              <w:pStyle w:val="TableHeading-right"/>
            </w:pPr>
            <w:r>
              <w:t>Electricity</w:t>
            </w:r>
          </w:p>
          <w:p w:rsidR="00697BCD" w:rsidRDefault="00697BCD" w:rsidP="006B1E9F">
            <w:pPr>
              <w:pStyle w:val="TableHeading-right"/>
            </w:pPr>
            <w:r>
              <w:t>2015</w:t>
            </w:r>
          </w:p>
        </w:tc>
        <w:tc>
          <w:tcPr>
            <w:tcW w:w="593" w:type="pct"/>
            <w:shd w:val="clear" w:color="auto" w:fill="auto"/>
          </w:tcPr>
          <w:p w:rsidR="00697BCD" w:rsidRDefault="00697BCD" w:rsidP="006B1E9F">
            <w:pPr>
              <w:pStyle w:val="TableHeading-right"/>
            </w:pPr>
            <w:r>
              <w:t>Electricity</w:t>
            </w:r>
          </w:p>
          <w:p w:rsidR="00697BCD" w:rsidRDefault="00697BCD" w:rsidP="006B1E9F">
            <w:pPr>
              <w:pStyle w:val="TableHeading-right"/>
            </w:pPr>
            <w:r>
              <w:t>2016</w:t>
            </w:r>
          </w:p>
        </w:tc>
        <w:tc>
          <w:tcPr>
            <w:tcW w:w="593" w:type="pct"/>
            <w:shd w:val="clear" w:color="auto" w:fill="auto"/>
          </w:tcPr>
          <w:p w:rsidR="00697BCD" w:rsidRDefault="00697BCD" w:rsidP="006B1E9F">
            <w:pPr>
              <w:pStyle w:val="TableHeading-right"/>
            </w:pPr>
            <w:r>
              <w:t>Electricity</w:t>
            </w:r>
          </w:p>
          <w:p w:rsidR="00697BCD" w:rsidRDefault="00697BCD" w:rsidP="006B1E9F">
            <w:pPr>
              <w:pStyle w:val="TableHeading-right"/>
            </w:pPr>
            <w:r>
              <w:t>% change</w:t>
            </w:r>
          </w:p>
        </w:tc>
        <w:tc>
          <w:tcPr>
            <w:tcW w:w="593" w:type="pct"/>
            <w:shd w:val="clear" w:color="auto" w:fill="auto"/>
          </w:tcPr>
          <w:p w:rsidR="00697BCD" w:rsidRDefault="00697BCD" w:rsidP="006B1E9F">
            <w:pPr>
              <w:pStyle w:val="TableHeading-right"/>
            </w:pPr>
            <w:r>
              <w:t xml:space="preserve">Gas </w:t>
            </w:r>
          </w:p>
          <w:p w:rsidR="00697BCD" w:rsidRDefault="00697BCD" w:rsidP="006B1E9F">
            <w:pPr>
              <w:pStyle w:val="TableHeading-right"/>
            </w:pPr>
            <w:r>
              <w:t>2014</w:t>
            </w:r>
          </w:p>
        </w:tc>
        <w:tc>
          <w:tcPr>
            <w:tcW w:w="593" w:type="pct"/>
            <w:shd w:val="clear" w:color="auto" w:fill="auto"/>
          </w:tcPr>
          <w:p w:rsidR="00697BCD" w:rsidRDefault="00697BCD" w:rsidP="006B1E9F">
            <w:pPr>
              <w:pStyle w:val="TableHeading-right"/>
            </w:pPr>
            <w:r>
              <w:t>Gas</w:t>
            </w:r>
          </w:p>
          <w:p w:rsidR="00697BCD" w:rsidRDefault="00697BCD" w:rsidP="006B1E9F">
            <w:pPr>
              <w:pStyle w:val="TableHeading-right"/>
            </w:pPr>
            <w:r>
              <w:t>2015</w:t>
            </w:r>
          </w:p>
        </w:tc>
        <w:tc>
          <w:tcPr>
            <w:tcW w:w="593" w:type="pct"/>
            <w:shd w:val="clear" w:color="auto" w:fill="auto"/>
          </w:tcPr>
          <w:p w:rsidR="00697BCD" w:rsidRDefault="00697BCD" w:rsidP="006B1E9F">
            <w:pPr>
              <w:pStyle w:val="TableHeading-right"/>
            </w:pPr>
            <w:r>
              <w:t>Gas</w:t>
            </w:r>
          </w:p>
          <w:p w:rsidR="00697BCD" w:rsidRDefault="00697BCD" w:rsidP="006B1E9F">
            <w:pPr>
              <w:pStyle w:val="TableHeading-right"/>
            </w:pPr>
            <w:r>
              <w:t>% change</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Qld</w:t>
            </w:r>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1387</w:t>
            </w:r>
          </w:p>
        </w:tc>
        <w:tc>
          <w:tcPr>
            <w:tcW w:w="593" w:type="pct"/>
            <w:shd w:val="clear" w:color="auto" w:fill="auto"/>
          </w:tcPr>
          <w:p w:rsidR="00697BCD" w:rsidRDefault="00697BCD" w:rsidP="00624E11">
            <w:pPr>
              <w:pStyle w:val="Tabletext-right"/>
            </w:pPr>
            <w:r>
              <w:t>1401</w:t>
            </w:r>
          </w:p>
        </w:tc>
        <w:tc>
          <w:tcPr>
            <w:tcW w:w="593" w:type="pct"/>
            <w:shd w:val="clear" w:color="auto" w:fill="auto"/>
          </w:tcPr>
          <w:p w:rsidR="00697BCD" w:rsidRDefault="00697BCD" w:rsidP="00624E11">
            <w:pPr>
              <w:pStyle w:val="Tabletext-right"/>
            </w:pPr>
            <w:r w:rsidRPr="00391B03">
              <w:rPr>
                <w:rFonts w:ascii="ArialMT" w:hAnsi="ArialMT" w:cs="ArialMT"/>
              </w:rPr>
              <w:t>▲</w:t>
            </w:r>
            <w:r>
              <w:t>1.0</w:t>
            </w:r>
          </w:p>
        </w:tc>
        <w:tc>
          <w:tcPr>
            <w:tcW w:w="593" w:type="pct"/>
            <w:shd w:val="clear" w:color="auto" w:fill="auto"/>
          </w:tcPr>
          <w:p w:rsidR="00697BCD" w:rsidRDefault="00697BCD" w:rsidP="00624E11">
            <w:pPr>
              <w:pStyle w:val="Tabletext-right"/>
            </w:pPr>
            <w:r>
              <w:t>709</w:t>
            </w:r>
          </w:p>
        </w:tc>
        <w:tc>
          <w:tcPr>
            <w:tcW w:w="593" w:type="pct"/>
            <w:shd w:val="clear" w:color="auto" w:fill="auto"/>
          </w:tcPr>
          <w:p w:rsidR="00697BCD" w:rsidRDefault="00697BCD" w:rsidP="00624E11">
            <w:pPr>
              <w:pStyle w:val="Tabletext-right"/>
            </w:pPr>
            <w:r>
              <w:t>733</w:t>
            </w:r>
          </w:p>
        </w:tc>
        <w:tc>
          <w:tcPr>
            <w:tcW w:w="593" w:type="pct"/>
            <w:shd w:val="clear" w:color="auto" w:fill="auto"/>
          </w:tcPr>
          <w:p w:rsidR="00697BCD" w:rsidRDefault="00697BCD" w:rsidP="00624E11">
            <w:pPr>
              <w:pStyle w:val="Tabletext-right"/>
            </w:pPr>
            <w:r w:rsidRPr="00391B03">
              <w:rPr>
                <w:rFonts w:ascii="ArialMT" w:hAnsi="ArialMT" w:cs="ArialMT"/>
              </w:rPr>
              <w:t>▲</w:t>
            </w:r>
            <w:r>
              <w:t>3.4</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Qld</w:t>
            </w:r>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5.6</w:t>
            </w:r>
          </w:p>
        </w:tc>
        <w:tc>
          <w:tcPr>
            <w:tcW w:w="593" w:type="pct"/>
            <w:shd w:val="clear" w:color="auto" w:fill="auto"/>
          </w:tcPr>
          <w:p w:rsidR="00697BCD" w:rsidRDefault="00697BCD" w:rsidP="00624E11">
            <w:pPr>
              <w:pStyle w:val="Tabletext-right"/>
            </w:pPr>
            <w:r>
              <w:t>5.6</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2.9</w:t>
            </w:r>
          </w:p>
        </w:tc>
        <w:tc>
          <w:tcPr>
            <w:tcW w:w="593" w:type="pct"/>
            <w:shd w:val="clear" w:color="auto" w:fill="auto"/>
          </w:tcPr>
          <w:p w:rsidR="00697BCD" w:rsidRDefault="00697BCD" w:rsidP="00624E11">
            <w:pPr>
              <w:pStyle w:val="Tabletext-right"/>
            </w:pPr>
            <w:r>
              <w:t>2.9</w:t>
            </w:r>
          </w:p>
        </w:tc>
        <w:tc>
          <w:tcPr>
            <w:tcW w:w="593" w:type="pct"/>
            <w:shd w:val="clear" w:color="auto" w:fill="auto"/>
          </w:tcPr>
          <w:p w:rsidR="00697BCD" w:rsidRDefault="00697BCD" w:rsidP="00624E11">
            <w:pPr>
              <w:pStyle w:val="Tabletext-right"/>
            </w:pPr>
            <w:r>
              <w:t>N/A</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NSW</w:t>
            </w:r>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1386</w:t>
            </w:r>
          </w:p>
        </w:tc>
        <w:tc>
          <w:tcPr>
            <w:tcW w:w="593" w:type="pct"/>
            <w:shd w:val="clear" w:color="auto" w:fill="auto"/>
          </w:tcPr>
          <w:p w:rsidR="00697BCD" w:rsidRDefault="00697BCD" w:rsidP="00624E11">
            <w:pPr>
              <w:pStyle w:val="Tabletext-right"/>
            </w:pPr>
            <w:r>
              <w:t>1283</w:t>
            </w:r>
          </w:p>
        </w:tc>
        <w:tc>
          <w:tcPr>
            <w:tcW w:w="593" w:type="pct"/>
            <w:shd w:val="clear" w:color="auto" w:fill="auto"/>
          </w:tcPr>
          <w:p w:rsidR="00697BCD" w:rsidRDefault="00697BCD" w:rsidP="00624E11">
            <w:pPr>
              <w:pStyle w:val="Tabletext-right"/>
            </w:pPr>
            <w:r w:rsidRPr="00391B03">
              <w:rPr>
                <w:rFonts w:ascii="ArialMT" w:hAnsi="ArialMT" w:cs="ArialMT"/>
              </w:rPr>
              <w:t>▼</w:t>
            </w:r>
            <w:r>
              <w:t>1.2</w:t>
            </w:r>
          </w:p>
        </w:tc>
        <w:tc>
          <w:tcPr>
            <w:tcW w:w="593" w:type="pct"/>
            <w:shd w:val="clear" w:color="auto" w:fill="auto"/>
          </w:tcPr>
          <w:p w:rsidR="00697BCD" w:rsidRDefault="00697BCD" w:rsidP="00624E11">
            <w:pPr>
              <w:pStyle w:val="Tabletext-right"/>
            </w:pPr>
            <w:r>
              <w:t>923</w:t>
            </w:r>
          </w:p>
        </w:tc>
        <w:tc>
          <w:tcPr>
            <w:tcW w:w="593" w:type="pct"/>
            <w:shd w:val="clear" w:color="auto" w:fill="auto"/>
          </w:tcPr>
          <w:p w:rsidR="00697BCD" w:rsidRDefault="00697BCD" w:rsidP="00624E11">
            <w:pPr>
              <w:pStyle w:val="Tabletext-right"/>
            </w:pPr>
            <w:r>
              <w:t>845</w:t>
            </w:r>
          </w:p>
        </w:tc>
        <w:tc>
          <w:tcPr>
            <w:tcW w:w="593" w:type="pct"/>
            <w:shd w:val="clear" w:color="auto" w:fill="auto"/>
          </w:tcPr>
          <w:p w:rsidR="00697BCD" w:rsidRDefault="00697BCD" w:rsidP="00624E11">
            <w:pPr>
              <w:pStyle w:val="Tabletext-right"/>
            </w:pPr>
            <w:r w:rsidRPr="00391B03">
              <w:rPr>
                <w:rFonts w:ascii="ArialMT" w:hAnsi="ArialMT" w:cs="ArialMT"/>
              </w:rPr>
              <w:t>▼</w:t>
            </w:r>
            <w:r>
              <w:t>8.5</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NSW</w:t>
            </w:r>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5.0</w:t>
            </w:r>
          </w:p>
        </w:tc>
        <w:tc>
          <w:tcPr>
            <w:tcW w:w="593" w:type="pct"/>
            <w:shd w:val="clear" w:color="auto" w:fill="auto"/>
          </w:tcPr>
          <w:p w:rsidR="00697BCD" w:rsidRDefault="00697BCD" w:rsidP="00624E11">
            <w:pPr>
              <w:pStyle w:val="Tabletext-right"/>
            </w:pPr>
            <w:r>
              <w:t>4.8</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3.5</w:t>
            </w:r>
          </w:p>
        </w:tc>
        <w:tc>
          <w:tcPr>
            <w:tcW w:w="593" w:type="pct"/>
            <w:shd w:val="clear" w:color="auto" w:fill="auto"/>
          </w:tcPr>
          <w:p w:rsidR="00697BCD" w:rsidRDefault="00697BCD" w:rsidP="00624E11">
            <w:pPr>
              <w:pStyle w:val="Tabletext-right"/>
            </w:pPr>
            <w:r>
              <w:t>3.2</w:t>
            </w:r>
          </w:p>
        </w:tc>
        <w:tc>
          <w:tcPr>
            <w:tcW w:w="593" w:type="pct"/>
            <w:shd w:val="clear" w:color="auto" w:fill="auto"/>
          </w:tcPr>
          <w:p w:rsidR="00697BCD" w:rsidRDefault="00697BCD" w:rsidP="00624E11">
            <w:pPr>
              <w:pStyle w:val="Tabletext-right"/>
            </w:pPr>
            <w:r>
              <w:t>N/A</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Vic</w:t>
            </w:r>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1188</w:t>
            </w:r>
          </w:p>
        </w:tc>
        <w:tc>
          <w:tcPr>
            <w:tcW w:w="593" w:type="pct"/>
            <w:shd w:val="clear" w:color="auto" w:fill="auto"/>
          </w:tcPr>
          <w:p w:rsidR="00697BCD" w:rsidRDefault="00697BCD" w:rsidP="00624E11">
            <w:pPr>
              <w:pStyle w:val="Tabletext-right"/>
            </w:pPr>
            <w:r>
              <w:t>1166</w:t>
            </w:r>
          </w:p>
        </w:tc>
        <w:tc>
          <w:tcPr>
            <w:tcW w:w="593" w:type="pct"/>
            <w:shd w:val="clear" w:color="auto" w:fill="auto"/>
          </w:tcPr>
          <w:p w:rsidR="00697BCD" w:rsidRDefault="00697BCD" w:rsidP="00624E11">
            <w:pPr>
              <w:pStyle w:val="Tabletext-right"/>
            </w:pPr>
            <w:r w:rsidRPr="00391B03">
              <w:rPr>
                <w:rFonts w:ascii="ArialMT" w:hAnsi="ArialMT" w:cs="ArialMT"/>
              </w:rPr>
              <w:t>▼</w:t>
            </w:r>
            <w:r>
              <w:t>1.9</w:t>
            </w:r>
          </w:p>
        </w:tc>
        <w:tc>
          <w:tcPr>
            <w:tcW w:w="593" w:type="pct"/>
            <w:shd w:val="clear" w:color="auto" w:fill="auto"/>
          </w:tcPr>
          <w:p w:rsidR="00697BCD" w:rsidRDefault="00697BCD" w:rsidP="00624E11">
            <w:pPr>
              <w:pStyle w:val="Tabletext-right"/>
            </w:pPr>
            <w:r>
              <w:t>1206</w:t>
            </w:r>
          </w:p>
        </w:tc>
        <w:tc>
          <w:tcPr>
            <w:tcW w:w="593" w:type="pct"/>
            <w:shd w:val="clear" w:color="auto" w:fill="auto"/>
          </w:tcPr>
          <w:p w:rsidR="00697BCD" w:rsidRDefault="00697BCD" w:rsidP="00624E11">
            <w:pPr>
              <w:pStyle w:val="Tabletext-right"/>
            </w:pPr>
            <w:r>
              <w:t>1316</w:t>
            </w:r>
          </w:p>
        </w:tc>
        <w:tc>
          <w:tcPr>
            <w:tcW w:w="593" w:type="pct"/>
            <w:shd w:val="clear" w:color="auto" w:fill="auto"/>
          </w:tcPr>
          <w:p w:rsidR="00697BCD" w:rsidRDefault="00697BCD" w:rsidP="00624E11">
            <w:pPr>
              <w:pStyle w:val="Tabletext-right"/>
            </w:pPr>
            <w:r w:rsidRPr="00391B03">
              <w:rPr>
                <w:rFonts w:ascii="ArialMT" w:hAnsi="ArialMT" w:cs="ArialMT"/>
              </w:rPr>
              <w:t>▲</w:t>
            </w:r>
            <w:r>
              <w:t>9.2</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Vic</w:t>
            </w:r>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4.8</w:t>
            </w:r>
          </w:p>
        </w:tc>
        <w:tc>
          <w:tcPr>
            <w:tcW w:w="593" w:type="pct"/>
            <w:shd w:val="clear" w:color="auto" w:fill="auto"/>
          </w:tcPr>
          <w:p w:rsidR="00697BCD" w:rsidRDefault="00697BCD" w:rsidP="00624E11">
            <w:pPr>
              <w:pStyle w:val="Tabletext-right"/>
            </w:pPr>
            <w:r>
              <w:t>4.6</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4.8</w:t>
            </w:r>
          </w:p>
        </w:tc>
        <w:tc>
          <w:tcPr>
            <w:tcW w:w="593" w:type="pct"/>
            <w:shd w:val="clear" w:color="auto" w:fill="auto"/>
          </w:tcPr>
          <w:p w:rsidR="00697BCD" w:rsidRDefault="00697BCD" w:rsidP="00624E11">
            <w:pPr>
              <w:pStyle w:val="Tabletext-right"/>
            </w:pPr>
            <w:r>
              <w:t>5.2</w:t>
            </w:r>
          </w:p>
        </w:tc>
        <w:tc>
          <w:tcPr>
            <w:tcW w:w="593" w:type="pct"/>
            <w:shd w:val="clear" w:color="auto" w:fill="auto"/>
          </w:tcPr>
          <w:p w:rsidR="00697BCD" w:rsidRDefault="00697BCD" w:rsidP="00624E11">
            <w:pPr>
              <w:pStyle w:val="Tabletext-right"/>
            </w:pPr>
            <w:r>
              <w:t>N/A</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SA</w:t>
            </w:r>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1370</w:t>
            </w:r>
          </w:p>
        </w:tc>
        <w:tc>
          <w:tcPr>
            <w:tcW w:w="593" w:type="pct"/>
            <w:shd w:val="clear" w:color="auto" w:fill="auto"/>
          </w:tcPr>
          <w:p w:rsidR="00697BCD" w:rsidRDefault="00697BCD" w:rsidP="00624E11">
            <w:pPr>
              <w:pStyle w:val="Tabletext-right"/>
            </w:pPr>
            <w:r>
              <w:t>1324</w:t>
            </w:r>
          </w:p>
        </w:tc>
        <w:tc>
          <w:tcPr>
            <w:tcW w:w="593" w:type="pct"/>
            <w:shd w:val="clear" w:color="auto" w:fill="auto"/>
          </w:tcPr>
          <w:p w:rsidR="00697BCD" w:rsidRDefault="00697BCD" w:rsidP="00624E11">
            <w:pPr>
              <w:pStyle w:val="Tabletext-right"/>
            </w:pPr>
            <w:r w:rsidRPr="00391B03">
              <w:rPr>
                <w:rFonts w:ascii="ArialMT" w:hAnsi="ArialMT" w:cs="ArialMT"/>
              </w:rPr>
              <w:t>▼</w:t>
            </w:r>
            <w:r>
              <w:t>3.4</w:t>
            </w:r>
          </w:p>
        </w:tc>
        <w:tc>
          <w:tcPr>
            <w:tcW w:w="593" w:type="pct"/>
            <w:shd w:val="clear" w:color="auto" w:fill="auto"/>
          </w:tcPr>
          <w:p w:rsidR="00697BCD" w:rsidRDefault="00697BCD" w:rsidP="00624E11">
            <w:pPr>
              <w:pStyle w:val="Tabletext-right"/>
            </w:pPr>
            <w:r>
              <w:t>1008</w:t>
            </w:r>
          </w:p>
        </w:tc>
        <w:tc>
          <w:tcPr>
            <w:tcW w:w="593" w:type="pct"/>
            <w:shd w:val="clear" w:color="auto" w:fill="auto"/>
          </w:tcPr>
          <w:p w:rsidR="00697BCD" w:rsidRDefault="00697BCD" w:rsidP="00624E11">
            <w:pPr>
              <w:pStyle w:val="Tabletext-right"/>
            </w:pPr>
            <w:r>
              <w:t>1047</w:t>
            </w:r>
          </w:p>
        </w:tc>
        <w:tc>
          <w:tcPr>
            <w:tcW w:w="593" w:type="pct"/>
            <w:shd w:val="clear" w:color="auto" w:fill="auto"/>
          </w:tcPr>
          <w:p w:rsidR="00697BCD" w:rsidRDefault="00697BCD" w:rsidP="00624E11">
            <w:pPr>
              <w:pStyle w:val="Tabletext-right"/>
            </w:pPr>
            <w:r w:rsidRPr="00391B03">
              <w:rPr>
                <w:rFonts w:ascii="ArialMT" w:hAnsi="ArialMT" w:cs="ArialMT"/>
              </w:rPr>
              <w:t>▲</w:t>
            </w:r>
            <w:r>
              <w:t>3.9</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SA</w:t>
            </w:r>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5.9</w:t>
            </w:r>
          </w:p>
        </w:tc>
        <w:tc>
          <w:tcPr>
            <w:tcW w:w="593" w:type="pct"/>
            <w:shd w:val="clear" w:color="auto" w:fill="auto"/>
          </w:tcPr>
          <w:p w:rsidR="00697BCD" w:rsidRDefault="00697BCD" w:rsidP="00624E11">
            <w:pPr>
              <w:pStyle w:val="Tabletext-right"/>
            </w:pPr>
            <w:r>
              <w:t>5.7</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4.3</w:t>
            </w:r>
          </w:p>
        </w:tc>
        <w:tc>
          <w:tcPr>
            <w:tcW w:w="593" w:type="pct"/>
            <w:shd w:val="clear" w:color="auto" w:fill="auto"/>
          </w:tcPr>
          <w:p w:rsidR="00697BCD" w:rsidRDefault="00697BCD" w:rsidP="00624E11">
            <w:pPr>
              <w:pStyle w:val="Tabletext-right"/>
            </w:pPr>
            <w:r>
              <w:t>4.5</w:t>
            </w:r>
          </w:p>
        </w:tc>
        <w:tc>
          <w:tcPr>
            <w:tcW w:w="593" w:type="pct"/>
            <w:shd w:val="clear" w:color="auto" w:fill="auto"/>
          </w:tcPr>
          <w:p w:rsidR="00697BCD" w:rsidRDefault="00697BCD" w:rsidP="00624E11">
            <w:pPr>
              <w:pStyle w:val="Tabletext-right"/>
            </w:pPr>
            <w:r>
              <w:t>N/A</w:t>
            </w:r>
          </w:p>
        </w:tc>
      </w:tr>
      <w:tr w:rsidR="00697BCD" w:rsidRPr="00391B03" w:rsidTr="00391B03">
        <w:trPr>
          <w:trHeight w:val="60"/>
        </w:trPr>
        <w:tc>
          <w:tcPr>
            <w:tcW w:w="401" w:type="pct"/>
            <w:shd w:val="clear" w:color="auto" w:fill="auto"/>
          </w:tcPr>
          <w:p w:rsidR="00697BCD" w:rsidRPr="00391B03" w:rsidRDefault="00697BCD" w:rsidP="00624E11">
            <w:pPr>
              <w:pStyle w:val="Tabletext"/>
            </w:pPr>
            <w:proofErr w:type="spellStart"/>
            <w:r w:rsidRPr="00391B03">
              <w:t>Tas</w:t>
            </w:r>
            <w:proofErr w:type="spellEnd"/>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1927</w:t>
            </w:r>
          </w:p>
        </w:tc>
        <w:tc>
          <w:tcPr>
            <w:tcW w:w="593" w:type="pct"/>
            <w:shd w:val="clear" w:color="auto" w:fill="auto"/>
          </w:tcPr>
          <w:p w:rsidR="00697BCD" w:rsidRDefault="00697BCD" w:rsidP="00624E11">
            <w:pPr>
              <w:pStyle w:val="Tabletext-right"/>
            </w:pPr>
            <w:r>
              <w:t>1964</w:t>
            </w:r>
          </w:p>
        </w:tc>
        <w:tc>
          <w:tcPr>
            <w:tcW w:w="593" w:type="pct"/>
            <w:shd w:val="clear" w:color="auto" w:fill="auto"/>
          </w:tcPr>
          <w:p w:rsidR="00697BCD" w:rsidRDefault="00697BCD" w:rsidP="00624E11">
            <w:pPr>
              <w:pStyle w:val="Tabletext-right"/>
            </w:pPr>
            <w:r w:rsidRPr="00391B03">
              <w:rPr>
                <w:rFonts w:ascii="ArialMT" w:hAnsi="ArialMT" w:cs="ArialMT"/>
              </w:rPr>
              <w:t>▲</w:t>
            </w:r>
            <w:r>
              <w:t>2.0</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9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01" w:type="pct"/>
            <w:shd w:val="clear" w:color="auto" w:fill="auto"/>
          </w:tcPr>
          <w:p w:rsidR="00697BCD" w:rsidRPr="00391B03" w:rsidRDefault="00697BCD" w:rsidP="00624E11">
            <w:pPr>
              <w:pStyle w:val="Tabletext"/>
            </w:pPr>
            <w:proofErr w:type="spellStart"/>
            <w:r w:rsidRPr="00391B03">
              <w:t>Tas</w:t>
            </w:r>
            <w:proofErr w:type="spellEnd"/>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8.4</w:t>
            </w:r>
          </w:p>
        </w:tc>
        <w:tc>
          <w:tcPr>
            <w:tcW w:w="593" w:type="pct"/>
            <w:shd w:val="clear" w:color="auto" w:fill="auto"/>
          </w:tcPr>
          <w:p w:rsidR="00697BCD" w:rsidRDefault="00697BCD" w:rsidP="00624E11">
            <w:pPr>
              <w:pStyle w:val="Tabletext-right"/>
            </w:pPr>
            <w:r>
              <w:t>8.5</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93"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ACT</w:t>
            </w:r>
          </w:p>
        </w:tc>
        <w:tc>
          <w:tcPr>
            <w:tcW w:w="1044" w:type="pct"/>
            <w:shd w:val="clear" w:color="auto" w:fill="auto"/>
          </w:tcPr>
          <w:p w:rsidR="00697BCD" w:rsidRPr="00391B03" w:rsidRDefault="00697BCD" w:rsidP="00624E11">
            <w:pPr>
              <w:pStyle w:val="Tabletext"/>
            </w:pPr>
            <w:r w:rsidRPr="00391B03">
              <w:t>Annual bill ($)</w:t>
            </w:r>
          </w:p>
        </w:tc>
        <w:tc>
          <w:tcPr>
            <w:tcW w:w="593" w:type="pct"/>
            <w:shd w:val="clear" w:color="auto" w:fill="auto"/>
          </w:tcPr>
          <w:p w:rsidR="00697BCD" w:rsidRDefault="00697BCD" w:rsidP="00624E11">
            <w:pPr>
              <w:pStyle w:val="Tabletext-right"/>
            </w:pPr>
            <w:r>
              <w:t>1200</w:t>
            </w:r>
          </w:p>
        </w:tc>
        <w:tc>
          <w:tcPr>
            <w:tcW w:w="593" w:type="pct"/>
            <w:shd w:val="clear" w:color="auto" w:fill="auto"/>
          </w:tcPr>
          <w:p w:rsidR="00697BCD" w:rsidRDefault="00697BCD" w:rsidP="00624E11">
            <w:pPr>
              <w:pStyle w:val="Tabletext-right"/>
            </w:pPr>
            <w:r>
              <w:t>1203</w:t>
            </w:r>
          </w:p>
        </w:tc>
        <w:tc>
          <w:tcPr>
            <w:tcW w:w="593" w:type="pct"/>
            <w:shd w:val="clear" w:color="auto" w:fill="auto"/>
          </w:tcPr>
          <w:p w:rsidR="00697BCD" w:rsidRDefault="00697BCD" w:rsidP="00624E11">
            <w:pPr>
              <w:pStyle w:val="Tabletext-right"/>
            </w:pPr>
            <w:r w:rsidRPr="00391B03">
              <w:rPr>
                <w:rFonts w:ascii="ArialMT" w:hAnsi="ArialMT" w:cs="ArialMT"/>
              </w:rPr>
              <w:t>▲</w:t>
            </w:r>
            <w:r>
              <w:t>0.2</w:t>
            </w:r>
          </w:p>
        </w:tc>
        <w:tc>
          <w:tcPr>
            <w:tcW w:w="593" w:type="pct"/>
            <w:shd w:val="clear" w:color="auto" w:fill="auto"/>
          </w:tcPr>
          <w:p w:rsidR="00697BCD" w:rsidRDefault="00697BCD" w:rsidP="00624E11">
            <w:pPr>
              <w:pStyle w:val="Tabletext-right"/>
            </w:pPr>
            <w:r>
              <w:t>1532</w:t>
            </w:r>
          </w:p>
        </w:tc>
        <w:tc>
          <w:tcPr>
            <w:tcW w:w="593" w:type="pct"/>
            <w:shd w:val="clear" w:color="auto" w:fill="auto"/>
          </w:tcPr>
          <w:p w:rsidR="00697BCD" w:rsidRDefault="00697BCD" w:rsidP="00624E11">
            <w:pPr>
              <w:pStyle w:val="Tabletext-right"/>
            </w:pPr>
            <w:r>
              <w:t>1533</w:t>
            </w:r>
          </w:p>
        </w:tc>
        <w:tc>
          <w:tcPr>
            <w:tcW w:w="593" w:type="pct"/>
            <w:shd w:val="clear" w:color="auto" w:fill="auto"/>
          </w:tcPr>
          <w:p w:rsidR="00697BCD" w:rsidRDefault="00697BCD" w:rsidP="00624E11">
            <w:pPr>
              <w:pStyle w:val="Tabletext-right"/>
            </w:pPr>
            <w:r w:rsidRPr="00391B03">
              <w:rPr>
                <w:rFonts w:ascii="ArialMT" w:hAnsi="ArialMT" w:cs="ArialMT"/>
              </w:rPr>
              <w:t>▲</w:t>
            </w:r>
            <w:r>
              <w:t>0.1</w:t>
            </w:r>
          </w:p>
        </w:tc>
      </w:tr>
      <w:tr w:rsidR="00697BCD" w:rsidRPr="00391B03" w:rsidTr="00391B03">
        <w:trPr>
          <w:trHeight w:val="60"/>
        </w:trPr>
        <w:tc>
          <w:tcPr>
            <w:tcW w:w="401" w:type="pct"/>
            <w:shd w:val="clear" w:color="auto" w:fill="auto"/>
          </w:tcPr>
          <w:p w:rsidR="00697BCD" w:rsidRPr="00391B03" w:rsidRDefault="00697BCD" w:rsidP="00624E11">
            <w:pPr>
              <w:pStyle w:val="Tabletext"/>
            </w:pPr>
            <w:r w:rsidRPr="00391B03">
              <w:t>ACT</w:t>
            </w:r>
          </w:p>
        </w:tc>
        <w:tc>
          <w:tcPr>
            <w:tcW w:w="1044" w:type="pct"/>
            <w:shd w:val="clear" w:color="auto" w:fill="auto"/>
          </w:tcPr>
          <w:p w:rsidR="00697BCD" w:rsidRPr="00391B03" w:rsidRDefault="00697BCD" w:rsidP="00624E11">
            <w:pPr>
              <w:pStyle w:val="Tabletext"/>
            </w:pPr>
            <w:r w:rsidRPr="00391B03">
              <w:t>Percentage of income (%)</w:t>
            </w:r>
          </w:p>
        </w:tc>
        <w:tc>
          <w:tcPr>
            <w:tcW w:w="593" w:type="pct"/>
            <w:shd w:val="clear" w:color="auto" w:fill="auto"/>
          </w:tcPr>
          <w:p w:rsidR="00697BCD" w:rsidRDefault="00697BCD" w:rsidP="00624E11">
            <w:pPr>
              <w:pStyle w:val="Tabletext-right"/>
            </w:pPr>
            <w:r>
              <w:t>3.6</w:t>
            </w:r>
          </w:p>
        </w:tc>
        <w:tc>
          <w:tcPr>
            <w:tcW w:w="593" w:type="pct"/>
            <w:shd w:val="clear" w:color="auto" w:fill="auto"/>
          </w:tcPr>
          <w:p w:rsidR="00697BCD" w:rsidRDefault="00697BCD" w:rsidP="00624E11">
            <w:pPr>
              <w:pStyle w:val="Tabletext-right"/>
            </w:pPr>
            <w:r>
              <w:t>3.6</w:t>
            </w:r>
          </w:p>
        </w:tc>
        <w:tc>
          <w:tcPr>
            <w:tcW w:w="593" w:type="pct"/>
            <w:shd w:val="clear" w:color="auto" w:fill="auto"/>
          </w:tcPr>
          <w:p w:rsidR="00697BCD" w:rsidRDefault="00697BCD" w:rsidP="00624E11">
            <w:pPr>
              <w:pStyle w:val="Tabletext-right"/>
            </w:pPr>
            <w:r>
              <w:t>N/A</w:t>
            </w:r>
          </w:p>
        </w:tc>
        <w:tc>
          <w:tcPr>
            <w:tcW w:w="593" w:type="pct"/>
            <w:shd w:val="clear" w:color="auto" w:fill="auto"/>
          </w:tcPr>
          <w:p w:rsidR="00697BCD" w:rsidRDefault="00697BCD" w:rsidP="00624E11">
            <w:pPr>
              <w:pStyle w:val="Tabletext-right"/>
            </w:pPr>
            <w:r>
              <w:t>4.6</w:t>
            </w:r>
          </w:p>
        </w:tc>
        <w:tc>
          <w:tcPr>
            <w:tcW w:w="593" w:type="pct"/>
            <w:shd w:val="clear" w:color="auto" w:fill="auto"/>
          </w:tcPr>
          <w:p w:rsidR="00697BCD" w:rsidRDefault="00697BCD" w:rsidP="00624E11">
            <w:pPr>
              <w:pStyle w:val="Tabletext-right"/>
            </w:pPr>
            <w:r>
              <w:t>4.6</w:t>
            </w:r>
          </w:p>
        </w:tc>
        <w:tc>
          <w:tcPr>
            <w:tcW w:w="593" w:type="pct"/>
            <w:shd w:val="clear" w:color="auto" w:fill="auto"/>
          </w:tcPr>
          <w:p w:rsidR="00697BCD" w:rsidRDefault="00697BCD" w:rsidP="00624E11">
            <w:pPr>
              <w:pStyle w:val="Tabletext-right"/>
            </w:pPr>
            <w:r>
              <w:t>N/A</w:t>
            </w:r>
          </w:p>
        </w:tc>
      </w:tr>
    </w:tbl>
    <w:p w:rsidR="00697BCD" w:rsidRDefault="00697BCD">
      <w:pPr>
        <w:rPr>
          <w:sz w:val="32"/>
          <w:szCs w:val="32"/>
        </w:rPr>
      </w:pPr>
    </w:p>
    <w:p w:rsidR="00697BCD" w:rsidRDefault="00697BCD" w:rsidP="00697BCD">
      <w:pPr>
        <w:pStyle w:val="Heading2"/>
      </w:pPr>
      <w:bookmarkStart w:id="67" w:name="_Toc467665351"/>
      <w:r>
        <w:t>Appendix 6: Benchmark medium and high income households, annual electricity and gas bills and proportion</w:t>
      </w:r>
      <w:bookmarkEnd w:id="67"/>
    </w:p>
    <w:tbl>
      <w:tblPr>
        <w:tblW w:w="5000" w:type="pct"/>
        <w:tblBorders>
          <w:top w:val="single" w:sz="4" w:space="0" w:color="BFBFBF"/>
          <w:bottom w:val="single" w:sz="4" w:space="0" w:color="BFBFBF"/>
        </w:tblBorders>
        <w:tblLook w:val="0000" w:firstRow="0" w:lastRow="0" w:firstColumn="0" w:lastColumn="0" w:noHBand="0" w:noVBand="0"/>
      </w:tblPr>
      <w:tblGrid>
        <w:gridCol w:w="683"/>
        <w:gridCol w:w="2155"/>
        <w:gridCol w:w="1268"/>
        <w:gridCol w:w="1268"/>
        <w:gridCol w:w="1268"/>
        <w:gridCol w:w="996"/>
        <w:gridCol w:w="994"/>
        <w:gridCol w:w="996"/>
      </w:tblGrid>
      <w:tr w:rsidR="00697BCD" w:rsidRPr="00391B03" w:rsidTr="00391B03">
        <w:trPr>
          <w:cantSplit/>
          <w:trHeight w:val="60"/>
        </w:trPr>
        <w:tc>
          <w:tcPr>
            <w:tcW w:w="1581" w:type="pct"/>
            <w:gridSpan w:val="2"/>
            <w:shd w:val="clear" w:color="auto" w:fill="auto"/>
          </w:tcPr>
          <w:p w:rsidR="00697BCD" w:rsidRPr="00391B03" w:rsidRDefault="00697BCD" w:rsidP="006B1E9F">
            <w:pPr>
              <w:pStyle w:val="TableHeading"/>
            </w:pPr>
            <w:r w:rsidRPr="00391B03">
              <w:t>Jurisdiction</w:t>
            </w:r>
          </w:p>
        </w:tc>
        <w:tc>
          <w:tcPr>
            <w:tcW w:w="570" w:type="pct"/>
            <w:shd w:val="clear" w:color="auto" w:fill="auto"/>
          </w:tcPr>
          <w:p w:rsidR="00697BCD" w:rsidRDefault="00697BCD" w:rsidP="006B1E9F">
            <w:pPr>
              <w:pStyle w:val="TableHeading-right"/>
            </w:pPr>
            <w:r>
              <w:t>Electricity</w:t>
            </w:r>
          </w:p>
          <w:p w:rsidR="00697BCD" w:rsidRDefault="00697BCD" w:rsidP="006B1E9F">
            <w:pPr>
              <w:pStyle w:val="TableHeading-right"/>
            </w:pPr>
            <w:r>
              <w:t>2015</w:t>
            </w:r>
          </w:p>
        </w:tc>
        <w:tc>
          <w:tcPr>
            <w:tcW w:w="570" w:type="pct"/>
            <w:shd w:val="clear" w:color="auto" w:fill="auto"/>
          </w:tcPr>
          <w:p w:rsidR="00697BCD" w:rsidRDefault="00697BCD" w:rsidP="006B1E9F">
            <w:pPr>
              <w:pStyle w:val="TableHeading-right"/>
            </w:pPr>
            <w:r>
              <w:t>Electricity</w:t>
            </w:r>
          </w:p>
          <w:p w:rsidR="00697BCD" w:rsidRDefault="00697BCD" w:rsidP="006B1E9F">
            <w:pPr>
              <w:pStyle w:val="TableHeading-right"/>
            </w:pPr>
            <w:r>
              <w:t>2016</w:t>
            </w:r>
          </w:p>
        </w:tc>
        <w:tc>
          <w:tcPr>
            <w:tcW w:w="569" w:type="pct"/>
            <w:shd w:val="clear" w:color="auto" w:fill="auto"/>
          </w:tcPr>
          <w:p w:rsidR="00697BCD" w:rsidRDefault="00697BCD" w:rsidP="006B1E9F">
            <w:pPr>
              <w:pStyle w:val="TableHeading-right"/>
            </w:pPr>
            <w:r>
              <w:t>Electricity</w:t>
            </w:r>
          </w:p>
          <w:p w:rsidR="00697BCD" w:rsidRDefault="00697BCD" w:rsidP="006B1E9F">
            <w:pPr>
              <w:pStyle w:val="TableHeading-right"/>
            </w:pPr>
            <w:r>
              <w:t>% change</w:t>
            </w:r>
          </w:p>
        </w:tc>
        <w:tc>
          <w:tcPr>
            <w:tcW w:w="570" w:type="pct"/>
            <w:shd w:val="clear" w:color="auto" w:fill="auto"/>
          </w:tcPr>
          <w:p w:rsidR="00697BCD" w:rsidRDefault="00697BCD" w:rsidP="006B1E9F">
            <w:pPr>
              <w:pStyle w:val="TableHeading-right"/>
            </w:pPr>
            <w:r>
              <w:t xml:space="preserve">Gas </w:t>
            </w:r>
          </w:p>
          <w:p w:rsidR="00697BCD" w:rsidRDefault="00697BCD" w:rsidP="006B1E9F">
            <w:pPr>
              <w:pStyle w:val="TableHeading-right"/>
            </w:pPr>
            <w:r>
              <w:t>2014</w:t>
            </w:r>
          </w:p>
        </w:tc>
        <w:tc>
          <w:tcPr>
            <w:tcW w:w="569" w:type="pct"/>
            <w:shd w:val="clear" w:color="auto" w:fill="auto"/>
          </w:tcPr>
          <w:p w:rsidR="00697BCD" w:rsidRDefault="00697BCD" w:rsidP="006B1E9F">
            <w:pPr>
              <w:pStyle w:val="TableHeading-right"/>
            </w:pPr>
            <w:r>
              <w:t>Gas</w:t>
            </w:r>
          </w:p>
          <w:p w:rsidR="00697BCD" w:rsidRDefault="00697BCD" w:rsidP="006B1E9F">
            <w:pPr>
              <w:pStyle w:val="TableHeading-right"/>
            </w:pPr>
            <w:r>
              <w:t>2015</w:t>
            </w:r>
          </w:p>
        </w:tc>
        <w:tc>
          <w:tcPr>
            <w:tcW w:w="570" w:type="pct"/>
            <w:shd w:val="clear" w:color="auto" w:fill="auto"/>
          </w:tcPr>
          <w:p w:rsidR="00697BCD" w:rsidRDefault="00697BCD" w:rsidP="006B1E9F">
            <w:pPr>
              <w:pStyle w:val="TableHeading-right"/>
            </w:pPr>
            <w:r>
              <w:t>Gas</w:t>
            </w:r>
          </w:p>
          <w:p w:rsidR="00697BCD" w:rsidRDefault="00697BCD" w:rsidP="006B1E9F">
            <w:pPr>
              <w:pStyle w:val="TableHeading-right"/>
            </w:pPr>
            <w:r>
              <w:t>% change</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Qld</w:t>
            </w:r>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1829</w:t>
            </w:r>
          </w:p>
        </w:tc>
        <w:tc>
          <w:tcPr>
            <w:tcW w:w="570" w:type="pct"/>
            <w:shd w:val="clear" w:color="auto" w:fill="auto"/>
          </w:tcPr>
          <w:p w:rsidR="00697BCD" w:rsidRDefault="00697BCD" w:rsidP="00624E11">
            <w:pPr>
              <w:pStyle w:val="Tabletext-right"/>
            </w:pPr>
            <w:r>
              <w:t>1787</w:t>
            </w:r>
          </w:p>
        </w:tc>
        <w:tc>
          <w:tcPr>
            <w:tcW w:w="569" w:type="pct"/>
            <w:shd w:val="clear" w:color="auto" w:fill="auto"/>
          </w:tcPr>
          <w:p w:rsidR="00697BCD" w:rsidRDefault="00697BCD" w:rsidP="00624E11">
            <w:pPr>
              <w:pStyle w:val="Tabletext-right"/>
            </w:pPr>
            <w:r w:rsidRPr="00391B03">
              <w:rPr>
                <w:rFonts w:ascii="ArialMT" w:hAnsi="ArialMT" w:cs="ArialMT"/>
              </w:rPr>
              <w:t>▼</w:t>
            </w:r>
            <w:r>
              <w:t>2.3</w:t>
            </w:r>
          </w:p>
        </w:tc>
        <w:tc>
          <w:tcPr>
            <w:tcW w:w="570" w:type="pct"/>
            <w:shd w:val="clear" w:color="auto" w:fill="auto"/>
          </w:tcPr>
          <w:p w:rsidR="00697BCD" w:rsidRDefault="00697BCD" w:rsidP="00624E11">
            <w:pPr>
              <w:pStyle w:val="Tabletext-right"/>
            </w:pPr>
            <w:r>
              <w:t>709</w:t>
            </w:r>
          </w:p>
        </w:tc>
        <w:tc>
          <w:tcPr>
            <w:tcW w:w="569" w:type="pct"/>
            <w:shd w:val="clear" w:color="auto" w:fill="auto"/>
          </w:tcPr>
          <w:p w:rsidR="00697BCD" w:rsidRDefault="00697BCD" w:rsidP="00624E11">
            <w:pPr>
              <w:pStyle w:val="Tabletext-right"/>
            </w:pPr>
            <w:r>
              <w:t>733</w:t>
            </w:r>
          </w:p>
        </w:tc>
        <w:tc>
          <w:tcPr>
            <w:tcW w:w="570" w:type="pct"/>
            <w:shd w:val="clear" w:color="auto" w:fill="auto"/>
          </w:tcPr>
          <w:p w:rsidR="00697BCD" w:rsidRDefault="00697BCD" w:rsidP="00624E11">
            <w:pPr>
              <w:pStyle w:val="Tabletext-right"/>
            </w:pPr>
            <w:r w:rsidRPr="00391B03">
              <w:rPr>
                <w:rFonts w:ascii="ArialMT" w:hAnsi="ArialMT" w:cs="ArialMT"/>
              </w:rPr>
              <w:t>▲</w:t>
            </w:r>
            <w:r>
              <w:t>3.4</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Qld</w:t>
            </w:r>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2.6</w:t>
            </w:r>
          </w:p>
        </w:tc>
        <w:tc>
          <w:tcPr>
            <w:tcW w:w="570" w:type="pct"/>
            <w:shd w:val="clear" w:color="auto" w:fill="auto"/>
          </w:tcPr>
          <w:p w:rsidR="00697BCD" w:rsidRDefault="00697BCD" w:rsidP="00624E11">
            <w:pPr>
              <w:pStyle w:val="Tabletext-right"/>
            </w:pPr>
            <w:r>
              <w:t>2.5</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1.0</w:t>
            </w:r>
          </w:p>
        </w:tc>
        <w:tc>
          <w:tcPr>
            <w:tcW w:w="569" w:type="pct"/>
            <w:shd w:val="clear" w:color="auto" w:fill="auto"/>
          </w:tcPr>
          <w:p w:rsidR="00697BCD" w:rsidRDefault="00697BCD" w:rsidP="00624E11">
            <w:pPr>
              <w:pStyle w:val="Tabletext-right"/>
            </w:pPr>
            <w:r>
              <w:t>1.0</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Qld</w:t>
            </w:r>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1.0</w:t>
            </w:r>
          </w:p>
        </w:tc>
        <w:tc>
          <w:tcPr>
            <w:tcW w:w="570" w:type="pct"/>
            <w:shd w:val="clear" w:color="auto" w:fill="auto"/>
          </w:tcPr>
          <w:p w:rsidR="00697BCD" w:rsidRDefault="00697BCD" w:rsidP="00624E11">
            <w:pPr>
              <w:pStyle w:val="Tabletext-right"/>
            </w:pPr>
            <w:r>
              <w:t>0.9</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0.4</w:t>
            </w:r>
          </w:p>
        </w:tc>
        <w:tc>
          <w:tcPr>
            <w:tcW w:w="569" w:type="pct"/>
            <w:shd w:val="clear" w:color="auto" w:fill="auto"/>
          </w:tcPr>
          <w:p w:rsidR="00697BCD" w:rsidRDefault="00697BCD" w:rsidP="00624E11">
            <w:pPr>
              <w:pStyle w:val="Tabletext-right"/>
            </w:pPr>
            <w:r>
              <w:t>0.4</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NSW</w:t>
            </w:r>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1670</w:t>
            </w:r>
          </w:p>
        </w:tc>
        <w:tc>
          <w:tcPr>
            <w:tcW w:w="570" w:type="pct"/>
            <w:shd w:val="clear" w:color="auto" w:fill="auto"/>
          </w:tcPr>
          <w:p w:rsidR="00697BCD" w:rsidRDefault="00697BCD" w:rsidP="00624E11">
            <w:pPr>
              <w:pStyle w:val="Tabletext-right"/>
            </w:pPr>
            <w:r>
              <w:t>1615</w:t>
            </w:r>
          </w:p>
        </w:tc>
        <w:tc>
          <w:tcPr>
            <w:tcW w:w="569" w:type="pct"/>
            <w:shd w:val="clear" w:color="auto" w:fill="auto"/>
          </w:tcPr>
          <w:p w:rsidR="00697BCD" w:rsidRDefault="00697BCD" w:rsidP="00624E11">
            <w:pPr>
              <w:pStyle w:val="Tabletext-right"/>
            </w:pPr>
            <w:r w:rsidRPr="00391B03">
              <w:rPr>
                <w:rFonts w:ascii="ArialMT" w:hAnsi="ArialMT" w:cs="ArialMT"/>
              </w:rPr>
              <w:t>▼</w:t>
            </w:r>
            <w:r>
              <w:t>3.3</w:t>
            </w:r>
          </w:p>
        </w:tc>
        <w:tc>
          <w:tcPr>
            <w:tcW w:w="570" w:type="pct"/>
            <w:shd w:val="clear" w:color="auto" w:fill="auto"/>
          </w:tcPr>
          <w:p w:rsidR="00697BCD" w:rsidRDefault="00697BCD" w:rsidP="00624E11">
            <w:pPr>
              <w:pStyle w:val="Tabletext-right"/>
            </w:pPr>
            <w:r>
              <w:t>923</w:t>
            </w:r>
          </w:p>
        </w:tc>
        <w:tc>
          <w:tcPr>
            <w:tcW w:w="569" w:type="pct"/>
            <w:shd w:val="clear" w:color="auto" w:fill="auto"/>
          </w:tcPr>
          <w:p w:rsidR="00697BCD" w:rsidRDefault="00697BCD" w:rsidP="00624E11">
            <w:pPr>
              <w:pStyle w:val="Tabletext-right"/>
            </w:pPr>
            <w:r>
              <w:t>845</w:t>
            </w:r>
          </w:p>
        </w:tc>
        <w:tc>
          <w:tcPr>
            <w:tcW w:w="570" w:type="pct"/>
            <w:shd w:val="clear" w:color="auto" w:fill="auto"/>
          </w:tcPr>
          <w:p w:rsidR="00697BCD" w:rsidRDefault="00697BCD" w:rsidP="00624E11">
            <w:pPr>
              <w:pStyle w:val="Tabletext-right"/>
            </w:pPr>
            <w:r w:rsidRPr="00391B03">
              <w:rPr>
                <w:rFonts w:ascii="ArialMT" w:hAnsi="ArialMT" w:cs="ArialMT"/>
              </w:rPr>
              <w:t>▼</w:t>
            </w:r>
            <w:r>
              <w:t>8.5</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NSW</w:t>
            </w:r>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2.3</w:t>
            </w:r>
          </w:p>
        </w:tc>
        <w:tc>
          <w:tcPr>
            <w:tcW w:w="570" w:type="pct"/>
            <w:shd w:val="clear" w:color="auto" w:fill="auto"/>
          </w:tcPr>
          <w:p w:rsidR="00697BCD" w:rsidRDefault="00697BCD" w:rsidP="00624E11">
            <w:pPr>
              <w:pStyle w:val="Tabletext-right"/>
            </w:pPr>
            <w:r>
              <w:t>2.1</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1.3</w:t>
            </w:r>
          </w:p>
        </w:tc>
        <w:tc>
          <w:tcPr>
            <w:tcW w:w="569" w:type="pct"/>
            <w:shd w:val="clear" w:color="auto" w:fill="auto"/>
          </w:tcPr>
          <w:p w:rsidR="00697BCD" w:rsidRDefault="00697BCD" w:rsidP="00624E11">
            <w:pPr>
              <w:pStyle w:val="Tabletext-right"/>
            </w:pPr>
            <w:r>
              <w:t>1.1</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NSW</w:t>
            </w:r>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0.9</w:t>
            </w:r>
          </w:p>
        </w:tc>
        <w:tc>
          <w:tcPr>
            <w:tcW w:w="570" w:type="pct"/>
            <w:shd w:val="clear" w:color="auto" w:fill="auto"/>
          </w:tcPr>
          <w:p w:rsidR="00697BCD" w:rsidRDefault="00697BCD" w:rsidP="00624E11">
            <w:pPr>
              <w:pStyle w:val="Tabletext-right"/>
            </w:pPr>
            <w:r>
              <w:t>0.8</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0.4</w:t>
            </w:r>
          </w:p>
        </w:tc>
        <w:tc>
          <w:tcPr>
            <w:tcW w:w="569" w:type="pct"/>
            <w:shd w:val="clear" w:color="auto" w:fill="auto"/>
          </w:tcPr>
          <w:p w:rsidR="00697BCD" w:rsidRDefault="00697BCD" w:rsidP="00624E11">
            <w:pPr>
              <w:pStyle w:val="Tabletext-right"/>
            </w:pPr>
            <w:r>
              <w:t>0.4</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Vic</w:t>
            </w:r>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1436</w:t>
            </w:r>
          </w:p>
        </w:tc>
        <w:tc>
          <w:tcPr>
            <w:tcW w:w="570" w:type="pct"/>
            <w:shd w:val="clear" w:color="auto" w:fill="auto"/>
          </w:tcPr>
          <w:p w:rsidR="00697BCD" w:rsidRDefault="00697BCD" w:rsidP="00624E11">
            <w:pPr>
              <w:pStyle w:val="Tabletext-right"/>
            </w:pPr>
            <w:r>
              <w:t>1411</w:t>
            </w:r>
          </w:p>
        </w:tc>
        <w:tc>
          <w:tcPr>
            <w:tcW w:w="569" w:type="pct"/>
            <w:shd w:val="clear" w:color="auto" w:fill="auto"/>
          </w:tcPr>
          <w:p w:rsidR="00697BCD" w:rsidRDefault="00697BCD" w:rsidP="00624E11">
            <w:pPr>
              <w:pStyle w:val="Tabletext-right"/>
            </w:pPr>
            <w:r w:rsidRPr="00391B03">
              <w:rPr>
                <w:rFonts w:ascii="ArialMT" w:hAnsi="ArialMT" w:cs="ArialMT"/>
              </w:rPr>
              <w:t>▼</w:t>
            </w:r>
            <w:r>
              <w:t>1.8</w:t>
            </w:r>
          </w:p>
        </w:tc>
        <w:tc>
          <w:tcPr>
            <w:tcW w:w="570" w:type="pct"/>
            <w:shd w:val="clear" w:color="auto" w:fill="auto"/>
          </w:tcPr>
          <w:p w:rsidR="00697BCD" w:rsidRDefault="00697BCD" w:rsidP="00624E11">
            <w:pPr>
              <w:pStyle w:val="Tabletext-right"/>
            </w:pPr>
            <w:r>
              <w:t>1206</w:t>
            </w:r>
          </w:p>
        </w:tc>
        <w:tc>
          <w:tcPr>
            <w:tcW w:w="569" w:type="pct"/>
            <w:shd w:val="clear" w:color="auto" w:fill="auto"/>
          </w:tcPr>
          <w:p w:rsidR="00697BCD" w:rsidRDefault="00697BCD" w:rsidP="00624E11">
            <w:pPr>
              <w:pStyle w:val="Tabletext-right"/>
            </w:pPr>
            <w:r>
              <w:t>1316</w:t>
            </w:r>
          </w:p>
        </w:tc>
        <w:tc>
          <w:tcPr>
            <w:tcW w:w="570" w:type="pct"/>
            <w:shd w:val="clear" w:color="auto" w:fill="auto"/>
          </w:tcPr>
          <w:p w:rsidR="00697BCD" w:rsidRDefault="00697BCD" w:rsidP="00624E11">
            <w:pPr>
              <w:pStyle w:val="Tabletext-right"/>
            </w:pPr>
            <w:r w:rsidRPr="00391B03">
              <w:rPr>
                <w:rFonts w:ascii="ArialMT" w:hAnsi="ArialMT" w:cs="ArialMT"/>
              </w:rPr>
              <w:t>▲</w:t>
            </w:r>
            <w:r>
              <w:t>9.2</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lastRenderedPageBreak/>
              <w:t>Vic</w:t>
            </w:r>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2.0</w:t>
            </w:r>
          </w:p>
        </w:tc>
        <w:tc>
          <w:tcPr>
            <w:tcW w:w="570" w:type="pct"/>
            <w:shd w:val="clear" w:color="auto" w:fill="auto"/>
          </w:tcPr>
          <w:p w:rsidR="00697BCD" w:rsidRDefault="00697BCD" w:rsidP="00624E11">
            <w:pPr>
              <w:pStyle w:val="Tabletext-right"/>
            </w:pPr>
            <w:r>
              <w:t>1.9</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1.7</w:t>
            </w:r>
          </w:p>
        </w:tc>
        <w:tc>
          <w:tcPr>
            <w:tcW w:w="569" w:type="pct"/>
            <w:shd w:val="clear" w:color="auto" w:fill="auto"/>
          </w:tcPr>
          <w:p w:rsidR="00697BCD" w:rsidRDefault="00697BCD" w:rsidP="00624E11">
            <w:pPr>
              <w:pStyle w:val="Tabletext-right"/>
            </w:pPr>
            <w:r>
              <w:t>1.8</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Vic</w:t>
            </w:r>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0.8</w:t>
            </w:r>
          </w:p>
        </w:tc>
        <w:tc>
          <w:tcPr>
            <w:tcW w:w="570" w:type="pct"/>
            <w:shd w:val="clear" w:color="auto" w:fill="auto"/>
          </w:tcPr>
          <w:p w:rsidR="00697BCD" w:rsidRDefault="00697BCD" w:rsidP="00624E11">
            <w:pPr>
              <w:pStyle w:val="Tabletext-right"/>
            </w:pPr>
            <w:r>
              <w:t>0.7</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0.6</w:t>
            </w:r>
          </w:p>
        </w:tc>
        <w:tc>
          <w:tcPr>
            <w:tcW w:w="569" w:type="pct"/>
            <w:shd w:val="clear" w:color="auto" w:fill="auto"/>
          </w:tcPr>
          <w:p w:rsidR="00697BCD" w:rsidRDefault="00697BCD" w:rsidP="00624E11">
            <w:pPr>
              <w:pStyle w:val="Tabletext-right"/>
            </w:pPr>
            <w:r>
              <w:t>0.7</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SA</w:t>
            </w:r>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1842</w:t>
            </w:r>
          </w:p>
        </w:tc>
        <w:tc>
          <w:tcPr>
            <w:tcW w:w="570" w:type="pct"/>
            <w:shd w:val="clear" w:color="auto" w:fill="auto"/>
          </w:tcPr>
          <w:p w:rsidR="00697BCD" w:rsidRDefault="00697BCD" w:rsidP="00624E11">
            <w:pPr>
              <w:pStyle w:val="Tabletext-right"/>
            </w:pPr>
            <w:r>
              <w:t>1771</w:t>
            </w:r>
          </w:p>
        </w:tc>
        <w:tc>
          <w:tcPr>
            <w:tcW w:w="569" w:type="pct"/>
            <w:shd w:val="clear" w:color="auto" w:fill="auto"/>
          </w:tcPr>
          <w:p w:rsidR="00697BCD" w:rsidRDefault="00697BCD" w:rsidP="00624E11">
            <w:pPr>
              <w:pStyle w:val="Tabletext-right"/>
            </w:pPr>
            <w:r w:rsidRPr="00391B03">
              <w:rPr>
                <w:rFonts w:ascii="ArialMT" w:hAnsi="ArialMT" w:cs="ArialMT"/>
              </w:rPr>
              <w:t>▼</w:t>
            </w:r>
            <w:r>
              <w:t>3.9</w:t>
            </w:r>
          </w:p>
        </w:tc>
        <w:tc>
          <w:tcPr>
            <w:tcW w:w="570" w:type="pct"/>
            <w:shd w:val="clear" w:color="auto" w:fill="auto"/>
          </w:tcPr>
          <w:p w:rsidR="00697BCD" w:rsidRDefault="00697BCD" w:rsidP="00624E11">
            <w:pPr>
              <w:pStyle w:val="Tabletext-right"/>
            </w:pPr>
            <w:r>
              <w:t>1008</w:t>
            </w:r>
          </w:p>
        </w:tc>
        <w:tc>
          <w:tcPr>
            <w:tcW w:w="569" w:type="pct"/>
            <w:shd w:val="clear" w:color="auto" w:fill="auto"/>
          </w:tcPr>
          <w:p w:rsidR="00697BCD" w:rsidRDefault="00697BCD" w:rsidP="00624E11">
            <w:pPr>
              <w:pStyle w:val="Tabletext-right"/>
            </w:pPr>
            <w:r>
              <w:t>1047</w:t>
            </w:r>
          </w:p>
        </w:tc>
        <w:tc>
          <w:tcPr>
            <w:tcW w:w="570" w:type="pct"/>
            <w:shd w:val="clear" w:color="auto" w:fill="auto"/>
          </w:tcPr>
          <w:p w:rsidR="00697BCD" w:rsidRDefault="00697BCD" w:rsidP="00624E11">
            <w:pPr>
              <w:pStyle w:val="Tabletext-right"/>
            </w:pPr>
            <w:r w:rsidRPr="00391B03">
              <w:rPr>
                <w:rFonts w:ascii="ArialMT" w:hAnsi="ArialMT" w:cs="ArialMT"/>
              </w:rPr>
              <w:t>▲</w:t>
            </w:r>
            <w:r>
              <w:t>3.9</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SA</w:t>
            </w:r>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3.0</w:t>
            </w:r>
          </w:p>
        </w:tc>
        <w:tc>
          <w:tcPr>
            <w:tcW w:w="570" w:type="pct"/>
            <w:shd w:val="clear" w:color="auto" w:fill="auto"/>
          </w:tcPr>
          <w:p w:rsidR="00697BCD" w:rsidRDefault="00697BCD" w:rsidP="00624E11">
            <w:pPr>
              <w:pStyle w:val="Tabletext-right"/>
            </w:pPr>
            <w:r>
              <w:t>2.8</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1.6</w:t>
            </w:r>
          </w:p>
        </w:tc>
        <w:tc>
          <w:tcPr>
            <w:tcW w:w="569" w:type="pct"/>
            <w:shd w:val="clear" w:color="auto" w:fill="auto"/>
          </w:tcPr>
          <w:p w:rsidR="00697BCD" w:rsidRDefault="00697BCD" w:rsidP="00624E11">
            <w:pPr>
              <w:pStyle w:val="Tabletext-right"/>
            </w:pPr>
            <w:r>
              <w:t>1.7</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SA</w:t>
            </w:r>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1.1</w:t>
            </w:r>
          </w:p>
        </w:tc>
        <w:tc>
          <w:tcPr>
            <w:tcW w:w="570" w:type="pct"/>
            <w:shd w:val="clear" w:color="auto" w:fill="auto"/>
          </w:tcPr>
          <w:p w:rsidR="00697BCD" w:rsidRDefault="00697BCD" w:rsidP="00624E11">
            <w:pPr>
              <w:pStyle w:val="Tabletext-right"/>
            </w:pPr>
            <w:r>
              <w:t>1.1</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0.6</w:t>
            </w:r>
          </w:p>
        </w:tc>
        <w:tc>
          <w:tcPr>
            <w:tcW w:w="569" w:type="pct"/>
            <w:shd w:val="clear" w:color="auto" w:fill="auto"/>
          </w:tcPr>
          <w:p w:rsidR="00697BCD" w:rsidRDefault="00697BCD" w:rsidP="00624E11">
            <w:pPr>
              <w:pStyle w:val="Tabletext-right"/>
            </w:pPr>
            <w:r>
              <w:t>0.6</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proofErr w:type="spellStart"/>
            <w:r w:rsidRPr="00391B03">
              <w:t>Tas</w:t>
            </w:r>
            <w:proofErr w:type="spellEnd"/>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2495</w:t>
            </w:r>
          </w:p>
        </w:tc>
        <w:tc>
          <w:tcPr>
            <w:tcW w:w="570" w:type="pct"/>
            <w:shd w:val="clear" w:color="auto" w:fill="auto"/>
          </w:tcPr>
          <w:p w:rsidR="00697BCD" w:rsidRDefault="00697BCD" w:rsidP="00624E11">
            <w:pPr>
              <w:pStyle w:val="Tabletext-right"/>
            </w:pPr>
            <w:r>
              <w:t>2544</w:t>
            </w:r>
          </w:p>
        </w:tc>
        <w:tc>
          <w:tcPr>
            <w:tcW w:w="569" w:type="pct"/>
            <w:shd w:val="clear" w:color="auto" w:fill="auto"/>
          </w:tcPr>
          <w:p w:rsidR="00697BCD" w:rsidRDefault="00697BCD" w:rsidP="00624E11">
            <w:pPr>
              <w:pStyle w:val="Tabletext-right"/>
            </w:pPr>
            <w:r w:rsidRPr="00391B03">
              <w:rPr>
                <w:rFonts w:ascii="ArialMT" w:hAnsi="ArialMT" w:cs="ArialMT"/>
              </w:rPr>
              <w:t>▲</w:t>
            </w:r>
            <w:r>
              <w:t>2.0</w:t>
            </w:r>
          </w:p>
        </w:tc>
        <w:tc>
          <w:tcPr>
            <w:tcW w:w="570" w:type="pct"/>
            <w:shd w:val="clear" w:color="auto" w:fill="auto"/>
          </w:tcPr>
          <w:p w:rsidR="00697BCD" w:rsidRDefault="00697BCD" w:rsidP="00624E11">
            <w:pPr>
              <w:pStyle w:val="Tabletext-right"/>
            </w:pPr>
            <w:r>
              <w:t>N/A</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proofErr w:type="spellStart"/>
            <w:r w:rsidRPr="00391B03">
              <w:t>Tas</w:t>
            </w:r>
            <w:proofErr w:type="spellEnd"/>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4.3</w:t>
            </w:r>
          </w:p>
        </w:tc>
        <w:tc>
          <w:tcPr>
            <w:tcW w:w="570" w:type="pct"/>
            <w:shd w:val="clear" w:color="auto" w:fill="auto"/>
          </w:tcPr>
          <w:p w:rsidR="00697BCD" w:rsidRDefault="00697BCD" w:rsidP="00624E11">
            <w:pPr>
              <w:pStyle w:val="Tabletext-right"/>
            </w:pPr>
            <w:r>
              <w:t>4.3</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N/A</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proofErr w:type="spellStart"/>
            <w:r w:rsidRPr="00391B03">
              <w:t>Tas</w:t>
            </w:r>
            <w:proofErr w:type="spellEnd"/>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1.7</w:t>
            </w:r>
          </w:p>
        </w:tc>
        <w:tc>
          <w:tcPr>
            <w:tcW w:w="570" w:type="pct"/>
            <w:shd w:val="clear" w:color="auto" w:fill="auto"/>
          </w:tcPr>
          <w:p w:rsidR="00697BCD" w:rsidRDefault="00697BCD" w:rsidP="00624E11">
            <w:pPr>
              <w:pStyle w:val="Tabletext-right"/>
            </w:pPr>
            <w:r>
              <w:t>1.7</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N/A</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ACT</w:t>
            </w:r>
          </w:p>
        </w:tc>
        <w:tc>
          <w:tcPr>
            <w:tcW w:w="1180" w:type="pct"/>
            <w:shd w:val="clear" w:color="auto" w:fill="auto"/>
          </w:tcPr>
          <w:p w:rsidR="00697BCD" w:rsidRPr="00391B03" w:rsidRDefault="00697BCD" w:rsidP="00624E11">
            <w:pPr>
              <w:pStyle w:val="Tabletext"/>
            </w:pPr>
            <w:r w:rsidRPr="00391B03">
              <w:t>Annual bill ($)</w:t>
            </w:r>
          </w:p>
        </w:tc>
        <w:tc>
          <w:tcPr>
            <w:tcW w:w="570" w:type="pct"/>
            <w:shd w:val="clear" w:color="auto" w:fill="auto"/>
          </w:tcPr>
          <w:p w:rsidR="00697BCD" w:rsidRDefault="00697BCD" w:rsidP="00624E11">
            <w:pPr>
              <w:pStyle w:val="Tabletext-right"/>
            </w:pPr>
            <w:r>
              <w:t>1481</w:t>
            </w:r>
          </w:p>
        </w:tc>
        <w:tc>
          <w:tcPr>
            <w:tcW w:w="570" w:type="pct"/>
            <w:shd w:val="clear" w:color="auto" w:fill="auto"/>
          </w:tcPr>
          <w:p w:rsidR="00697BCD" w:rsidRDefault="00697BCD" w:rsidP="00624E11">
            <w:pPr>
              <w:pStyle w:val="Tabletext-right"/>
            </w:pPr>
            <w:r>
              <w:t>1457</w:t>
            </w:r>
          </w:p>
        </w:tc>
        <w:tc>
          <w:tcPr>
            <w:tcW w:w="569" w:type="pct"/>
            <w:shd w:val="clear" w:color="auto" w:fill="auto"/>
          </w:tcPr>
          <w:p w:rsidR="00697BCD" w:rsidRDefault="00697BCD" w:rsidP="00624E11">
            <w:pPr>
              <w:pStyle w:val="Tabletext-right"/>
            </w:pPr>
            <w:r w:rsidRPr="00391B03">
              <w:rPr>
                <w:rFonts w:ascii="ArialMT" w:hAnsi="ArialMT" w:cs="ArialMT"/>
              </w:rPr>
              <w:t>▲</w:t>
            </w:r>
            <w:r>
              <w:t>1.6</w:t>
            </w:r>
          </w:p>
        </w:tc>
        <w:tc>
          <w:tcPr>
            <w:tcW w:w="570" w:type="pct"/>
            <w:shd w:val="clear" w:color="auto" w:fill="auto"/>
          </w:tcPr>
          <w:p w:rsidR="00697BCD" w:rsidRDefault="00697BCD" w:rsidP="00624E11">
            <w:pPr>
              <w:pStyle w:val="Tabletext-right"/>
            </w:pPr>
            <w:r>
              <w:t>1532</w:t>
            </w:r>
          </w:p>
        </w:tc>
        <w:tc>
          <w:tcPr>
            <w:tcW w:w="569" w:type="pct"/>
            <w:shd w:val="clear" w:color="auto" w:fill="auto"/>
          </w:tcPr>
          <w:p w:rsidR="00697BCD" w:rsidRDefault="00697BCD" w:rsidP="00624E11">
            <w:pPr>
              <w:pStyle w:val="Tabletext-right"/>
            </w:pPr>
            <w:r>
              <w:t>1533</w:t>
            </w:r>
          </w:p>
        </w:tc>
        <w:tc>
          <w:tcPr>
            <w:tcW w:w="570" w:type="pct"/>
            <w:shd w:val="clear" w:color="auto" w:fill="auto"/>
          </w:tcPr>
          <w:p w:rsidR="00697BCD" w:rsidRDefault="00697BCD" w:rsidP="00624E11">
            <w:pPr>
              <w:pStyle w:val="Tabletext-right"/>
            </w:pPr>
            <w:r w:rsidRPr="00391B03">
              <w:rPr>
                <w:rFonts w:ascii="ArialMT" w:hAnsi="ArialMT" w:cs="ArialMT"/>
              </w:rPr>
              <w:t>▲</w:t>
            </w:r>
            <w:r>
              <w:t>0.1</w:t>
            </w: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ACT</w:t>
            </w:r>
          </w:p>
        </w:tc>
        <w:tc>
          <w:tcPr>
            <w:tcW w:w="1180" w:type="pct"/>
            <w:shd w:val="clear" w:color="auto" w:fill="auto"/>
          </w:tcPr>
          <w:p w:rsidR="00697BCD" w:rsidRPr="00391B03" w:rsidRDefault="00697BCD" w:rsidP="00624E11">
            <w:pPr>
              <w:pStyle w:val="Tabletext"/>
            </w:pPr>
            <w:r w:rsidRPr="00391B03">
              <w:t>Percentage of middle income (%)</w:t>
            </w:r>
          </w:p>
        </w:tc>
        <w:tc>
          <w:tcPr>
            <w:tcW w:w="570" w:type="pct"/>
            <w:shd w:val="clear" w:color="auto" w:fill="auto"/>
          </w:tcPr>
          <w:p w:rsidR="00697BCD" w:rsidRDefault="00697BCD" w:rsidP="00624E11">
            <w:pPr>
              <w:pStyle w:val="Tabletext-right"/>
            </w:pPr>
            <w:r>
              <w:t>1.5</w:t>
            </w:r>
          </w:p>
        </w:tc>
        <w:tc>
          <w:tcPr>
            <w:tcW w:w="570" w:type="pct"/>
            <w:shd w:val="clear" w:color="auto" w:fill="auto"/>
          </w:tcPr>
          <w:p w:rsidR="00697BCD" w:rsidRDefault="00697BCD" w:rsidP="00624E11">
            <w:pPr>
              <w:pStyle w:val="Tabletext-right"/>
            </w:pPr>
            <w:r>
              <w:t>1.5</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1.6</w:t>
            </w:r>
          </w:p>
        </w:tc>
        <w:tc>
          <w:tcPr>
            <w:tcW w:w="569" w:type="pct"/>
            <w:shd w:val="clear" w:color="auto" w:fill="auto"/>
          </w:tcPr>
          <w:p w:rsidR="00697BCD" w:rsidRDefault="00697BCD" w:rsidP="00624E11">
            <w:pPr>
              <w:pStyle w:val="Tabletext-right"/>
            </w:pPr>
            <w:r>
              <w:t>1.5</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r w:rsidR="00697BCD" w:rsidRPr="00391B03" w:rsidTr="00391B03">
        <w:trPr>
          <w:cantSplit/>
          <w:trHeight w:val="60"/>
        </w:trPr>
        <w:tc>
          <w:tcPr>
            <w:tcW w:w="401" w:type="pct"/>
            <w:shd w:val="clear" w:color="auto" w:fill="auto"/>
          </w:tcPr>
          <w:p w:rsidR="00697BCD" w:rsidRPr="00391B03" w:rsidRDefault="00697BCD" w:rsidP="00624E11">
            <w:pPr>
              <w:pStyle w:val="Tabletext"/>
            </w:pPr>
            <w:r w:rsidRPr="00391B03">
              <w:t>ACT</w:t>
            </w:r>
          </w:p>
        </w:tc>
        <w:tc>
          <w:tcPr>
            <w:tcW w:w="1180" w:type="pct"/>
            <w:shd w:val="clear" w:color="auto" w:fill="auto"/>
          </w:tcPr>
          <w:p w:rsidR="00697BCD" w:rsidRPr="00391B03" w:rsidRDefault="00697BCD" w:rsidP="00624E11">
            <w:pPr>
              <w:pStyle w:val="Tabletext"/>
            </w:pPr>
            <w:r w:rsidRPr="00391B03">
              <w:t>Percentage of high income (%)</w:t>
            </w:r>
          </w:p>
        </w:tc>
        <w:tc>
          <w:tcPr>
            <w:tcW w:w="570" w:type="pct"/>
            <w:shd w:val="clear" w:color="auto" w:fill="auto"/>
          </w:tcPr>
          <w:p w:rsidR="00697BCD" w:rsidRDefault="00697BCD" w:rsidP="00624E11">
            <w:pPr>
              <w:pStyle w:val="Tabletext-right"/>
            </w:pPr>
            <w:r>
              <w:t>0.7</w:t>
            </w:r>
          </w:p>
        </w:tc>
        <w:tc>
          <w:tcPr>
            <w:tcW w:w="570" w:type="pct"/>
            <w:shd w:val="clear" w:color="auto" w:fill="auto"/>
          </w:tcPr>
          <w:p w:rsidR="00697BCD" w:rsidRDefault="00697BCD" w:rsidP="00624E11">
            <w:pPr>
              <w:pStyle w:val="Tabletext-right"/>
            </w:pPr>
            <w:r>
              <w:t>0.7</w:t>
            </w:r>
          </w:p>
        </w:tc>
        <w:tc>
          <w:tcPr>
            <w:tcW w:w="569"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c>
          <w:tcPr>
            <w:tcW w:w="570" w:type="pct"/>
            <w:shd w:val="clear" w:color="auto" w:fill="auto"/>
          </w:tcPr>
          <w:p w:rsidR="00697BCD" w:rsidRDefault="00697BCD" w:rsidP="00624E11">
            <w:pPr>
              <w:pStyle w:val="Tabletext-right"/>
            </w:pPr>
            <w:r>
              <w:t>0.7</w:t>
            </w:r>
          </w:p>
        </w:tc>
        <w:tc>
          <w:tcPr>
            <w:tcW w:w="569" w:type="pct"/>
            <w:shd w:val="clear" w:color="auto" w:fill="auto"/>
          </w:tcPr>
          <w:p w:rsidR="00697BCD" w:rsidRDefault="00697BCD" w:rsidP="00624E11">
            <w:pPr>
              <w:pStyle w:val="Tabletext-right"/>
            </w:pPr>
            <w:r>
              <w:t>0.7</w:t>
            </w:r>
          </w:p>
        </w:tc>
        <w:tc>
          <w:tcPr>
            <w:tcW w:w="570" w:type="pct"/>
            <w:shd w:val="clear" w:color="auto" w:fill="auto"/>
          </w:tcPr>
          <w:p w:rsidR="00697BCD" w:rsidRPr="00391B03" w:rsidRDefault="00697BCD" w:rsidP="00391B03">
            <w:pPr>
              <w:pStyle w:val="NoParagraphStyle"/>
              <w:spacing w:before="60" w:after="60" w:line="240" w:lineRule="auto"/>
              <w:textAlignment w:val="auto"/>
              <w:rPr>
                <w:rFonts w:ascii="HelveticaNeueLTStd-Cn" w:hAnsi="HelveticaNeueLTStd-Cn" w:cs="Times New Roman"/>
                <w:color w:val="auto"/>
                <w:lang w:val="en-US"/>
              </w:rPr>
            </w:pPr>
          </w:p>
        </w:tc>
      </w:tr>
    </w:tbl>
    <w:p w:rsidR="00697BCD" w:rsidRDefault="00697BCD"/>
    <w:p w:rsidR="00697BCD" w:rsidRDefault="00EC4210" w:rsidP="00697BCD">
      <w:pPr>
        <w:pStyle w:val="Heading2"/>
      </w:pPr>
      <w:bookmarkStart w:id="68" w:name="_Toc467665352"/>
      <w:r>
        <w:br w:type="page"/>
      </w:r>
      <w:bookmarkStart w:id="69" w:name="_GoBack"/>
      <w:bookmarkEnd w:id="69"/>
      <w:r w:rsidR="00697BCD">
        <w:t xml:space="preserve">Appendix 7: </w:t>
      </w:r>
      <w:r w:rsidR="00697BCD">
        <w:tab/>
        <w:t>Energy affordability methodology</w:t>
      </w:r>
      <w:bookmarkEnd w:id="68"/>
    </w:p>
    <w:p w:rsidR="00697BCD" w:rsidRDefault="00697BCD" w:rsidP="00697BCD">
      <w:r>
        <w:t>The key elements of our analysis include:</w:t>
      </w:r>
    </w:p>
    <w:p w:rsidR="00697BCD" w:rsidRDefault="00697BCD" w:rsidP="00697BCD">
      <w:pPr>
        <w:pStyle w:val="ListBullet"/>
      </w:pPr>
      <w:r>
        <w:t>the estimated annual electricity and gas consumption levels in each state and territory for low, middle and high income households</w:t>
      </w:r>
    </w:p>
    <w:p w:rsidR="00697BCD" w:rsidRDefault="00697BCD" w:rsidP="00697BCD">
      <w:pPr>
        <w:pStyle w:val="ListBullet"/>
      </w:pPr>
      <w:r>
        <w:t>the collection of retail electricity and gas offers in each distribution or pricing zone</w:t>
      </w:r>
    </w:p>
    <w:p w:rsidR="00697BCD" w:rsidRDefault="00697BCD" w:rsidP="00697BCD">
      <w:pPr>
        <w:pStyle w:val="ListBullet"/>
      </w:pPr>
      <w:r>
        <w:t>the development of estimated annual electricity and gas bills based on our estimated consumption levels and pricing information, and</w:t>
      </w:r>
    </w:p>
    <w:p w:rsidR="00697BCD" w:rsidRDefault="00697BCD" w:rsidP="00697BCD">
      <w:pPr>
        <w:pStyle w:val="ListBullet"/>
      </w:pPr>
      <w:proofErr w:type="gramStart"/>
      <w:r>
        <w:t>the</w:t>
      </w:r>
      <w:proofErr w:type="gramEnd"/>
      <w:r>
        <w:t xml:space="preserve"> household disposable income data used. </w:t>
      </w:r>
    </w:p>
    <w:p w:rsidR="00697BCD" w:rsidRDefault="00697BCD" w:rsidP="00697BCD">
      <w:r>
        <w:t xml:space="preserve">For each jurisdiction, we determined electricity and gas consumption levels for our benchmark low, middle and high income households (see tables A.9 and A.10). A benchmark low income household is a household that uses the average amount of electricity and gas in the relevant state or territory for all households that are the same size as low income households on average. A benchmark middle and high income household is a household that uses the average amount of electricity and gas in the relevant state or territory. </w:t>
      </w:r>
    </w:p>
    <w:p w:rsidR="00697BCD" w:rsidRDefault="00697BCD" w:rsidP="00697BCD">
      <w:r>
        <w:t xml:space="preserve">We then calculated annual electricity and gas bills from the energy offer tariffs we collected. Our analysis shows the range in annual bills across generally available offers as well as the median standing and market offer. </w:t>
      </w:r>
    </w:p>
    <w:p w:rsidR="00697BCD" w:rsidRDefault="00697BCD" w:rsidP="00697BCD">
      <w:r>
        <w:t xml:space="preserve">We obtained data from the ABS on disposable household incomes for low, middle and high incomes (also tables A.9 and A.10) to estimate the proportion spent on electricity and gas bills (assuming these households were on the median market offer). For our benchmark low income households we have also shown the impact of receiving the energy concession in that jurisdiction. </w:t>
      </w:r>
    </w:p>
    <w:p w:rsidR="00697BCD" w:rsidRDefault="00697BCD" w:rsidP="00697BCD">
      <w:r>
        <w:lastRenderedPageBreak/>
        <w:t xml:space="preserve">In 2015–16, we released updated electricity consumption benchmarks and the ABS released updated income data. We used the updated figures in the 2014–15 analysis and we also recalculated annual bills from previous years (2013 and 2014) to provide comparisons with the 2015 analysis. </w:t>
      </w:r>
    </w:p>
    <w:p w:rsidR="00697BCD" w:rsidRDefault="00697BCD" w:rsidP="000F3A56">
      <w:pPr>
        <w:pStyle w:val="Heading3"/>
      </w:pPr>
      <w:bookmarkStart w:id="70" w:name="_Toc467665353"/>
      <w:r>
        <w:t>Annual electricity and gas consumption levels</w:t>
      </w:r>
      <w:bookmarkEnd w:id="70"/>
    </w:p>
    <w:p w:rsidR="00697BCD" w:rsidRDefault="00697BCD" w:rsidP="00697BCD">
      <w:r>
        <w:t>To represent the electricity consumption of a benchmark low income household, we took the average number of people in a low income household for each state and territory from the ABS and used electricity consumption benchmark data to determine an average consumption level for that sized household. Our 2013–14 annual report on energy affordability used electricity consumption levels obtained from ACIL Tasman’s 2011 Electricity bill benchmarks survey. ACIL Allen updated the benchmarks in 2014, and annual electricity bills in both the 2014–15 and 2015–16 report are based on the updated consumption benchmarks.</w:t>
      </w:r>
      <w:r w:rsidRPr="009D1DEC">
        <w:rPr>
          <w:rStyle w:val="Superscript"/>
        </w:rPr>
        <w:footnoteReference w:id="54"/>
      </w:r>
      <w:r>
        <w:t xml:space="preserve"> </w:t>
      </w:r>
    </w:p>
    <w:p w:rsidR="00697BCD" w:rsidRDefault="00697BCD" w:rsidP="00697BCD">
      <w:pPr>
        <w:rPr>
          <w:rStyle w:val="Superscript"/>
        </w:rPr>
      </w:pPr>
      <w:r>
        <w:t>For our benchmark middle and high income households we used typical electricity consumption levels—each state and territory’s ‘average’ household consumption from the electricity consumption benchmark data (a two to three person household). This is higher than for our benchmark low income households which are typically smaller—on average one to two persons.</w:t>
      </w:r>
      <w:r w:rsidRPr="009D1DEC">
        <w:rPr>
          <w:rStyle w:val="Superscript"/>
        </w:rPr>
        <w:footnoteReference w:id="55"/>
      </w:r>
    </w:p>
    <w:p w:rsidR="00697BCD" w:rsidRDefault="00697BCD" w:rsidP="00697BCD">
      <w:r>
        <w:t>Available data on gas consumption levels is limited and we have not attempted to estimate a ‘low’ consumption level. Instead, we use an estimate only of ‘typical’ gas consumption, which was formed by various jurisdictional energy regulator reports and St Vincent de Paul’s energy price reports.</w:t>
      </w:r>
    </w:p>
    <w:p w:rsidR="00697BCD" w:rsidRDefault="00697BCD" w:rsidP="00697BCD">
      <w:r>
        <w:t>These electricity and gas consumption levels are estimates. Furthermore, our low income electricity consumption figures are based on benchmark data for all households (not only low income households) and may not account for low income households using less energy per member of the household than other households.</w:t>
      </w:r>
      <w:r w:rsidRPr="009D1DEC">
        <w:rPr>
          <w:rStyle w:val="Superscript"/>
        </w:rPr>
        <w:footnoteReference w:id="56"/>
      </w:r>
      <w:r>
        <w:t xml:space="preserve"> </w:t>
      </w:r>
    </w:p>
    <w:p w:rsidR="00697BCD" w:rsidRDefault="00697BCD" w:rsidP="000F3A56">
      <w:pPr>
        <w:pStyle w:val="Heading3"/>
      </w:pPr>
      <w:bookmarkStart w:id="71" w:name="_Toc467665354"/>
      <w:r>
        <w:t>Collection of energy offers</w:t>
      </w:r>
      <w:bookmarkEnd w:id="71"/>
      <w:r>
        <w:t xml:space="preserve"> </w:t>
      </w:r>
    </w:p>
    <w:p w:rsidR="00697BCD" w:rsidRDefault="00697BCD" w:rsidP="00697BCD">
      <w:r>
        <w:t xml:space="preserve">We selected a postcode in each distribution or pricing zone and collected all of the generally available offers in that postcode in June 2013, June 2014, June 2015 and June 2016. We only consider single-rate tariffs and exclude any </w:t>
      </w:r>
      <w:proofErr w:type="spellStart"/>
      <w:r>
        <w:t>GreenPower</w:t>
      </w:r>
      <w:proofErr w:type="spellEnd"/>
      <w:r>
        <w:t>-only and solar offers. Where possible, we collect offer details from our energy price comparison website, Energy Made Easy (</w:t>
      </w:r>
      <w:hyperlink r:id="rId46" w:history="1">
        <w:r>
          <w:t>www.energymadeeasy.gov.au</w:t>
        </w:r>
      </w:hyperlink>
      <w:r>
        <w:t>). For Victoria (the only state in our analysis in which the Retail Law had not commenced at 30 June 2016, we collected tariffs from the Victoria Energy Compare website (</w:t>
      </w:r>
      <w:hyperlink r:id="rId47" w:history="1">
        <w:r>
          <w:t>https://compare.switchon.vic.gov.au</w:t>
        </w:r>
      </w:hyperlink>
      <w:r>
        <w:t xml:space="preserve">). </w:t>
      </w:r>
    </w:p>
    <w:p w:rsidR="00697BCD" w:rsidRDefault="00697BCD" w:rsidP="000F3A56">
      <w:pPr>
        <w:pStyle w:val="Heading3"/>
      </w:pPr>
      <w:bookmarkStart w:id="72" w:name="_Toc467665355"/>
      <w:r>
        <w:t>Estimating annual energy bills</w:t>
      </w:r>
      <w:bookmarkEnd w:id="72"/>
    </w:p>
    <w:p w:rsidR="00697BCD" w:rsidRDefault="00697BCD" w:rsidP="00697BCD">
      <w:r>
        <w:t xml:space="preserve">Annual electricity and gas bills for each of the offers in the nominated postcode were calculated using the energy consumption levels in tables A.9 and A.10. The estimated bills include key discounts offered by energy retailers (such as discounts for paying on time, paying by direct debit and other cash incentives), but do not include discounts for bundling or dual fuel offers. </w:t>
      </w:r>
      <w:r>
        <w:lastRenderedPageBreak/>
        <w:t>One-off credits and non-cash incentives are also not included. Seasonal pricing was taken into account when calculating the annual bills; however we assume a consistent level of consumption throughout the year. Annual electricity and gas bills are represented by the median market and standing offers in each jurisdiction. Using the median (rather than a simple average) ensures the analysis is not skewed by a small number of very cheap or very expensive offers.</w:t>
      </w:r>
    </w:p>
    <w:p w:rsidR="00697BCD" w:rsidRDefault="00697BCD" w:rsidP="000F3A56">
      <w:pPr>
        <w:pStyle w:val="Heading3"/>
      </w:pPr>
      <w:bookmarkStart w:id="73" w:name="_Toc467665356"/>
      <w:r>
        <w:t>Annual household disposable income</w:t>
      </w:r>
      <w:bookmarkEnd w:id="73"/>
      <w:r>
        <w:t xml:space="preserve"> </w:t>
      </w:r>
    </w:p>
    <w:p w:rsidR="00697BCD" w:rsidRDefault="00697BCD" w:rsidP="00697BCD">
      <w:r>
        <w:t xml:space="preserve">Data on disposable income was obtained from the ABS. Disposable household income best represents the remaining income available to households for expenditure on goods and services, including electricity and gas bills. </w:t>
      </w:r>
    </w:p>
    <w:p w:rsidR="00697BCD" w:rsidRDefault="00697BCD" w:rsidP="00697BCD">
      <w:r>
        <w:t xml:space="preserve">In previously used ABS data, ‘low income’ households in each state and territory were represented by the second and third income deciles. More recent ABS analysis suggests that this approach may have over-estimated the economic wellbeing of low income households, and unnecessarily excluded some of the most vulnerable households in the lowest income quintile. </w:t>
      </w:r>
    </w:p>
    <w:p w:rsidR="00697BCD" w:rsidRDefault="00697BCD" w:rsidP="00697BCD">
      <w:r>
        <w:t xml:space="preserve">This report now uses an adjusted lowest income quintile to represent ‘low income’ households, which is made up of the lowest two deciles, excluding the first and second percentiles. The ‘middle income’ households continue to be represented by the third income quintile and ‘high income’ households are represented by the fifth income quintile. The latest available data from the ABS was for 2013–14 and was adjusted to 2014–15 and 2015–16 dollars using the Consumer Price Index for low income households and the Wage Price Index for middle and high income households (see tables A.9 and A.10). </w:t>
      </w:r>
    </w:p>
    <w:p w:rsidR="00697BCD" w:rsidRDefault="00697BCD" w:rsidP="00697BCD">
      <w:pPr>
        <w:pStyle w:val="Tabletitle"/>
      </w:pPr>
      <w:r>
        <w:t>Table A.9:</w:t>
      </w:r>
      <w:r>
        <w:tab/>
        <w:t>Benchmark low income households—summary of annual electricity and gas consumption levels</w:t>
      </w:r>
    </w:p>
    <w:tbl>
      <w:tblPr>
        <w:tblW w:w="5000" w:type="pct"/>
        <w:tblBorders>
          <w:top w:val="single" w:sz="4" w:space="0" w:color="BFBFBF"/>
          <w:bottom w:val="single" w:sz="4" w:space="0" w:color="BFBFBF"/>
        </w:tblBorders>
        <w:tblLook w:val="0000" w:firstRow="0" w:lastRow="0" w:firstColumn="0" w:lastColumn="0" w:noHBand="0" w:noVBand="0"/>
      </w:tblPr>
      <w:tblGrid>
        <w:gridCol w:w="1925"/>
        <w:gridCol w:w="1925"/>
        <w:gridCol w:w="1926"/>
        <w:gridCol w:w="1926"/>
        <w:gridCol w:w="1926"/>
      </w:tblGrid>
      <w:tr w:rsidR="00697BCD" w:rsidRPr="00391B03" w:rsidTr="00391B03">
        <w:trPr>
          <w:trHeight w:val="60"/>
        </w:trPr>
        <w:tc>
          <w:tcPr>
            <w:tcW w:w="1000" w:type="pct"/>
            <w:shd w:val="clear" w:color="auto" w:fill="auto"/>
          </w:tcPr>
          <w:p w:rsidR="00697BCD" w:rsidRPr="00391B03" w:rsidRDefault="00697BCD" w:rsidP="006B1E9F">
            <w:pPr>
              <w:pStyle w:val="TableHeading"/>
            </w:pPr>
            <w:r w:rsidRPr="00391B03">
              <w:t>Jurisdiction</w:t>
            </w:r>
          </w:p>
        </w:tc>
        <w:tc>
          <w:tcPr>
            <w:tcW w:w="1000" w:type="pct"/>
            <w:shd w:val="clear" w:color="auto" w:fill="auto"/>
          </w:tcPr>
          <w:p w:rsidR="00697BCD" w:rsidRDefault="00697BCD" w:rsidP="006B1E9F">
            <w:pPr>
              <w:pStyle w:val="TableHeading-right"/>
            </w:pPr>
            <w:r>
              <w:t>Annual electricity consumption (kWh)</w:t>
            </w:r>
          </w:p>
        </w:tc>
        <w:tc>
          <w:tcPr>
            <w:tcW w:w="1000" w:type="pct"/>
            <w:shd w:val="clear" w:color="auto" w:fill="auto"/>
          </w:tcPr>
          <w:p w:rsidR="00697BCD" w:rsidRDefault="00697BCD" w:rsidP="006B1E9F">
            <w:pPr>
              <w:pStyle w:val="TableHeading-right"/>
            </w:pPr>
            <w:r>
              <w:t>Annual gas consumption (MJ)</w:t>
            </w:r>
          </w:p>
        </w:tc>
        <w:tc>
          <w:tcPr>
            <w:tcW w:w="1000" w:type="pct"/>
            <w:shd w:val="clear" w:color="auto" w:fill="auto"/>
          </w:tcPr>
          <w:p w:rsidR="00697BCD" w:rsidRDefault="00697BCD" w:rsidP="006B1E9F">
            <w:pPr>
              <w:pStyle w:val="TableHeading-right"/>
            </w:pPr>
            <w:r>
              <w:t>Average household size (persons)</w:t>
            </w:r>
          </w:p>
        </w:tc>
        <w:tc>
          <w:tcPr>
            <w:tcW w:w="1000" w:type="pct"/>
            <w:shd w:val="clear" w:color="auto" w:fill="auto"/>
          </w:tcPr>
          <w:p w:rsidR="00697BCD" w:rsidRDefault="00697BCD" w:rsidP="006B1E9F">
            <w:pPr>
              <w:pStyle w:val="TableHeading-right"/>
            </w:pPr>
            <w:r>
              <w:t>Annual disposable income ($)</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Queensland</w:t>
            </w:r>
          </w:p>
        </w:tc>
        <w:tc>
          <w:tcPr>
            <w:tcW w:w="1000" w:type="pct"/>
            <w:shd w:val="clear" w:color="auto" w:fill="auto"/>
          </w:tcPr>
          <w:p w:rsidR="00697BCD" w:rsidRDefault="00697BCD" w:rsidP="00624E11">
            <w:pPr>
              <w:pStyle w:val="Tabletext-right"/>
            </w:pPr>
            <w:r>
              <w:t>4 100</w:t>
            </w:r>
          </w:p>
        </w:tc>
        <w:tc>
          <w:tcPr>
            <w:tcW w:w="1000" w:type="pct"/>
            <w:shd w:val="clear" w:color="auto" w:fill="auto"/>
          </w:tcPr>
          <w:p w:rsidR="00697BCD" w:rsidRDefault="00697BCD" w:rsidP="00624E11">
            <w:pPr>
              <w:pStyle w:val="Tabletext-right"/>
            </w:pPr>
            <w:r>
              <w:t>10 000</w:t>
            </w:r>
          </w:p>
        </w:tc>
        <w:tc>
          <w:tcPr>
            <w:tcW w:w="1000" w:type="pct"/>
            <w:shd w:val="clear" w:color="auto" w:fill="auto"/>
          </w:tcPr>
          <w:p w:rsidR="00697BCD" w:rsidRDefault="00697BCD" w:rsidP="00624E11">
            <w:pPr>
              <w:pStyle w:val="Tabletext-right"/>
            </w:pPr>
            <w:r>
              <w:t>1.46</w:t>
            </w:r>
          </w:p>
        </w:tc>
        <w:tc>
          <w:tcPr>
            <w:tcW w:w="1000" w:type="pct"/>
            <w:shd w:val="clear" w:color="auto" w:fill="auto"/>
          </w:tcPr>
          <w:p w:rsidR="00697BCD" w:rsidRDefault="00697BCD" w:rsidP="00624E11">
            <w:pPr>
              <w:pStyle w:val="Tabletext-right"/>
            </w:pPr>
            <w:r>
              <w:t>25 072.06</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New South Wales</w:t>
            </w:r>
          </w:p>
        </w:tc>
        <w:tc>
          <w:tcPr>
            <w:tcW w:w="1000" w:type="pct"/>
            <w:shd w:val="clear" w:color="auto" w:fill="auto"/>
          </w:tcPr>
          <w:p w:rsidR="00697BCD" w:rsidRDefault="00697BCD" w:rsidP="00624E11">
            <w:pPr>
              <w:pStyle w:val="Tabletext-right"/>
            </w:pPr>
            <w:r>
              <w:t>4 300</w:t>
            </w:r>
          </w:p>
        </w:tc>
        <w:tc>
          <w:tcPr>
            <w:tcW w:w="1000" w:type="pct"/>
            <w:shd w:val="clear" w:color="auto" w:fill="auto"/>
          </w:tcPr>
          <w:p w:rsidR="00697BCD" w:rsidRDefault="00697BCD" w:rsidP="00624E11">
            <w:pPr>
              <w:pStyle w:val="Tabletext-right"/>
            </w:pPr>
            <w:r>
              <w:t>24 000</w:t>
            </w:r>
          </w:p>
        </w:tc>
        <w:tc>
          <w:tcPr>
            <w:tcW w:w="1000" w:type="pct"/>
            <w:shd w:val="clear" w:color="auto" w:fill="auto"/>
          </w:tcPr>
          <w:p w:rsidR="00697BCD" w:rsidRDefault="00697BCD" w:rsidP="00624E11">
            <w:pPr>
              <w:pStyle w:val="Tabletext-right"/>
            </w:pPr>
            <w:r>
              <w:t>1.45</w:t>
            </w:r>
          </w:p>
        </w:tc>
        <w:tc>
          <w:tcPr>
            <w:tcW w:w="1000" w:type="pct"/>
            <w:shd w:val="clear" w:color="auto" w:fill="auto"/>
          </w:tcPr>
          <w:p w:rsidR="00697BCD" w:rsidRDefault="00697BCD" w:rsidP="00624E11">
            <w:pPr>
              <w:pStyle w:val="Tabletext-right"/>
            </w:pPr>
            <w:r>
              <w:t>26 487.72</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Victoria</w:t>
            </w:r>
          </w:p>
        </w:tc>
        <w:tc>
          <w:tcPr>
            <w:tcW w:w="1000" w:type="pct"/>
            <w:shd w:val="clear" w:color="auto" w:fill="auto"/>
          </w:tcPr>
          <w:p w:rsidR="00697BCD" w:rsidRDefault="00697BCD" w:rsidP="00624E11">
            <w:pPr>
              <w:pStyle w:val="Tabletext-right"/>
            </w:pPr>
            <w:r>
              <w:t>3 700</w:t>
            </w:r>
          </w:p>
        </w:tc>
        <w:tc>
          <w:tcPr>
            <w:tcW w:w="1000" w:type="pct"/>
            <w:shd w:val="clear" w:color="auto" w:fill="auto"/>
          </w:tcPr>
          <w:p w:rsidR="00697BCD" w:rsidRDefault="00697BCD" w:rsidP="00624E11">
            <w:pPr>
              <w:pStyle w:val="Tabletext-right"/>
            </w:pPr>
            <w:r>
              <w:t>63 000</w:t>
            </w:r>
          </w:p>
        </w:tc>
        <w:tc>
          <w:tcPr>
            <w:tcW w:w="1000" w:type="pct"/>
            <w:shd w:val="clear" w:color="auto" w:fill="auto"/>
          </w:tcPr>
          <w:p w:rsidR="00697BCD" w:rsidRDefault="00697BCD" w:rsidP="00624E11">
            <w:pPr>
              <w:pStyle w:val="Tabletext-right"/>
            </w:pPr>
            <w:r>
              <w:t>1.45</w:t>
            </w:r>
          </w:p>
        </w:tc>
        <w:tc>
          <w:tcPr>
            <w:tcW w:w="1000" w:type="pct"/>
            <w:shd w:val="clear" w:color="auto" w:fill="auto"/>
          </w:tcPr>
          <w:p w:rsidR="00697BCD" w:rsidRDefault="00697BCD" w:rsidP="00624E11">
            <w:pPr>
              <w:pStyle w:val="Tabletext-right"/>
            </w:pPr>
            <w:r>
              <w:t>25 276.42</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South Australia</w:t>
            </w:r>
          </w:p>
        </w:tc>
        <w:tc>
          <w:tcPr>
            <w:tcW w:w="1000" w:type="pct"/>
            <w:shd w:val="clear" w:color="auto" w:fill="auto"/>
          </w:tcPr>
          <w:p w:rsidR="00697BCD" w:rsidRDefault="00697BCD" w:rsidP="00624E11">
            <w:pPr>
              <w:pStyle w:val="Tabletext-right"/>
            </w:pPr>
            <w:r>
              <w:t>3 700</w:t>
            </w:r>
          </w:p>
        </w:tc>
        <w:tc>
          <w:tcPr>
            <w:tcW w:w="1000" w:type="pct"/>
            <w:shd w:val="clear" w:color="auto" w:fill="auto"/>
          </w:tcPr>
          <w:p w:rsidR="00697BCD" w:rsidRDefault="00697BCD" w:rsidP="00624E11">
            <w:pPr>
              <w:pStyle w:val="Tabletext-right"/>
            </w:pPr>
            <w:r>
              <w:t>21 000</w:t>
            </w:r>
          </w:p>
        </w:tc>
        <w:tc>
          <w:tcPr>
            <w:tcW w:w="1000" w:type="pct"/>
            <w:shd w:val="clear" w:color="auto" w:fill="auto"/>
          </w:tcPr>
          <w:p w:rsidR="00697BCD" w:rsidRDefault="00697BCD" w:rsidP="00624E11">
            <w:pPr>
              <w:pStyle w:val="Tabletext-right"/>
            </w:pPr>
            <w:r>
              <w:t>1.23</w:t>
            </w:r>
          </w:p>
        </w:tc>
        <w:tc>
          <w:tcPr>
            <w:tcW w:w="1000" w:type="pct"/>
            <w:shd w:val="clear" w:color="auto" w:fill="auto"/>
          </w:tcPr>
          <w:p w:rsidR="00697BCD" w:rsidRDefault="00697BCD" w:rsidP="00624E11">
            <w:pPr>
              <w:pStyle w:val="Tabletext-right"/>
            </w:pPr>
            <w:r>
              <w:t>23 419.72</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Tasmania</w:t>
            </w:r>
          </w:p>
        </w:tc>
        <w:tc>
          <w:tcPr>
            <w:tcW w:w="1000" w:type="pct"/>
            <w:shd w:val="clear" w:color="auto" w:fill="auto"/>
          </w:tcPr>
          <w:p w:rsidR="00697BCD" w:rsidRDefault="00697BCD" w:rsidP="00624E11">
            <w:pPr>
              <w:pStyle w:val="Tabletext-right"/>
            </w:pPr>
            <w:r>
              <w:t>6 500</w:t>
            </w:r>
          </w:p>
        </w:tc>
        <w:tc>
          <w:tcPr>
            <w:tcW w:w="1000" w:type="pct"/>
            <w:shd w:val="clear" w:color="auto" w:fill="auto"/>
          </w:tcPr>
          <w:p w:rsidR="00697BCD" w:rsidRDefault="00697BCD" w:rsidP="00624E11">
            <w:pPr>
              <w:pStyle w:val="Tabletext-right"/>
            </w:pPr>
            <w:r>
              <w:t>N/A</w:t>
            </w:r>
          </w:p>
        </w:tc>
        <w:tc>
          <w:tcPr>
            <w:tcW w:w="1000" w:type="pct"/>
            <w:shd w:val="clear" w:color="auto" w:fill="auto"/>
          </w:tcPr>
          <w:p w:rsidR="00697BCD" w:rsidRDefault="00697BCD" w:rsidP="00624E11">
            <w:pPr>
              <w:pStyle w:val="Tabletext-right"/>
            </w:pPr>
            <w:r>
              <w:t>1.20</w:t>
            </w:r>
          </w:p>
        </w:tc>
        <w:tc>
          <w:tcPr>
            <w:tcW w:w="1000" w:type="pct"/>
            <w:shd w:val="clear" w:color="auto" w:fill="auto"/>
          </w:tcPr>
          <w:p w:rsidR="00697BCD" w:rsidRDefault="00697BCD" w:rsidP="00624E11">
            <w:pPr>
              <w:pStyle w:val="Tabletext-right"/>
            </w:pPr>
            <w:r>
              <w:t>23 243.05</w:t>
            </w:r>
          </w:p>
        </w:tc>
      </w:tr>
      <w:tr w:rsidR="00697BCD" w:rsidRPr="00391B03" w:rsidTr="00391B03">
        <w:trPr>
          <w:trHeight w:val="60"/>
        </w:trPr>
        <w:tc>
          <w:tcPr>
            <w:tcW w:w="1000" w:type="pct"/>
            <w:shd w:val="clear" w:color="auto" w:fill="auto"/>
          </w:tcPr>
          <w:p w:rsidR="00697BCD" w:rsidRPr="00391B03" w:rsidRDefault="00697BCD" w:rsidP="00624E11">
            <w:pPr>
              <w:pStyle w:val="Tabletext"/>
            </w:pPr>
            <w:r w:rsidRPr="00391B03">
              <w:t>ACT</w:t>
            </w:r>
          </w:p>
        </w:tc>
        <w:tc>
          <w:tcPr>
            <w:tcW w:w="1000" w:type="pct"/>
            <w:shd w:val="clear" w:color="auto" w:fill="auto"/>
          </w:tcPr>
          <w:p w:rsidR="00697BCD" w:rsidRDefault="00697BCD" w:rsidP="00624E11">
            <w:pPr>
              <w:pStyle w:val="Tabletext-right"/>
            </w:pPr>
            <w:r>
              <w:t>5 600</w:t>
            </w:r>
          </w:p>
        </w:tc>
        <w:tc>
          <w:tcPr>
            <w:tcW w:w="1000" w:type="pct"/>
            <w:shd w:val="clear" w:color="auto" w:fill="auto"/>
          </w:tcPr>
          <w:p w:rsidR="00697BCD" w:rsidRDefault="00697BCD" w:rsidP="00624E11">
            <w:pPr>
              <w:pStyle w:val="Tabletext-right"/>
            </w:pPr>
            <w:r>
              <w:t>48 000</w:t>
            </w:r>
          </w:p>
        </w:tc>
        <w:tc>
          <w:tcPr>
            <w:tcW w:w="1000" w:type="pct"/>
            <w:shd w:val="clear" w:color="auto" w:fill="auto"/>
          </w:tcPr>
          <w:p w:rsidR="00697BCD" w:rsidRDefault="00697BCD" w:rsidP="00624E11">
            <w:pPr>
              <w:pStyle w:val="Tabletext-right"/>
            </w:pPr>
            <w:r>
              <w:t>1.45</w:t>
            </w:r>
          </w:p>
        </w:tc>
        <w:tc>
          <w:tcPr>
            <w:tcW w:w="1000" w:type="pct"/>
            <w:shd w:val="clear" w:color="auto" w:fill="auto"/>
          </w:tcPr>
          <w:p w:rsidR="00697BCD" w:rsidRDefault="00697BCD" w:rsidP="00624E11">
            <w:pPr>
              <w:pStyle w:val="Tabletext-right"/>
            </w:pPr>
            <w:r>
              <w:t>33 207.36</w:t>
            </w:r>
          </w:p>
        </w:tc>
      </w:tr>
    </w:tbl>
    <w:p w:rsidR="00697BCD" w:rsidRDefault="00697BCD"/>
    <w:p w:rsidR="00697BCD" w:rsidRDefault="00697BCD" w:rsidP="00697BCD">
      <w:pPr>
        <w:pStyle w:val="Tabletitle"/>
      </w:pPr>
      <w:r>
        <w:t>Table A.10:</w:t>
      </w:r>
      <w:r>
        <w:tab/>
        <w:t>Benchmark middle and high income households—summary of annual electricity and gas consumption levels</w:t>
      </w:r>
    </w:p>
    <w:tbl>
      <w:tblPr>
        <w:tblW w:w="5000" w:type="pct"/>
        <w:tblBorders>
          <w:top w:val="single" w:sz="4" w:space="0" w:color="BFBFBF"/>
          <w:bottom w:val="single" w:sz="4" w:space="0" w:color="BFBFBF"/>
        </w:tblBorders>
        <w:tblLook w:val="0000" w:firstRow="0" w:lastRow="0" w:firstColumn="0" w:lastColumn="0" w:noHBand="0" w:noVBand="0"/>
      </w:tblPr>
      <w:tblGrid>
        <w:gridCol w:w="1604"/>
        <w:gridCol w:w="1606"/>
        <w:gridCol w:w="1604"/>
        <w:gridCol w:w="1606"/>
        <w:gridCol w:w="1604"/>
        <w:gridCol w:w="1604"/>
      </w:tblGrid>
      <w:tr w:rsidR="00697BCD" w:rsidRPr="00391B03" w:rsidTr="00391B03">
        <w:trPr>
          <w:trHeight w:val="60"/>
        </w:trPr>
        <w:tc>
          <w:tcPr>
            <w:tcW w:w="833" w:type="pct"/>
            <w:shd w:val="clear" w:color="auto" w:fill="auto"/>
          </w:tcPr>
          <w:p w:rsidR="00697BCD" w:rsidRPr="00391B03" w:rsidRDefault="00697BCD" w:rsidP="006B1E9F">
            <w:pPr>
              <w:pStyle w:val="TableHeading"/>
            </w:pPr>
            <w:r w:rsidRPr="00391B03">
              <w:t>Jurisdiction</w:t>
            </w:r>
          </w:p>
        </w:tc>
        <w:tc>
          <w:tcPr>
            <w:tcW w:w="834" w:type="pct"/>
            <w:shd w:val="clear" w:color="auto" w:fill="auto"/>
          </w:tcPr>
          <w:p w:rsidR="00697BCD" w:rsidRDefault="00697BCD" w:rsidP="006B1E9F">
            <w:pPr>
              <w:pStyle w:val="TableHeading-right"/>
            </w:pPr>
            <w:r>
              <w:t>Annual electricity consumption (kWh)</w:t>
            </w:r>
          </w:p>
        </w:tc>
        <w:tc>
          <w:tcPr>
            <w:tcW w:w="833" w:type="pct"/>
            <w:shd w:val="clear" w:color="auto" w:fill="auto"/>
          </w:tcPr>
          <w:p w:rsidR="00697BCD" w:rsidRDefault="00697BCD" w:rsidP="006B1E9F">
            <w:pPr>
              <w:pStyle w:val="TableHeading-right"/>
            </w:pPr>
            <w:r>
              <w:t>Annual gas consumption (MJ)</w:t>
            </w:r>
          </w:p>
        </w:tc>
        <w:tc>
          <w:tcPr>
            <w:tcW w:w="834" w:type="pct"/>
            <w:shd w:val="clear" w:color="auto" w:fill="auto"/>
          </w:tcPr>
          <w:p w:rsidR="00697BCD" w:rsidRDefault="00697BCD" w:rsidP="006B1E9F">
            <w:pPr>
              <w:pStyle w:val="TableHeading-right"/>
            </w:pPr>
            <w:r>
              <w:t>Average household size (persons)</w:t>
            </w:r>
          </w:p>
        </w:tc>
        <w:tc>
          <w:tcPr>
            <w:tcW w:w="833" w:type="pct"/>
            <w:shd w:val="clear" w:color="auto" w:fill="auto"/>
          </w:tcPr>
          <w:p w:rsidR="00697BCD" w:rsidRDefault="00697BCD" w:rsidP="006B1E9F">
            <w:pPr>
              <w:pStyle w:val="TableHeading-right"/>
            </w:pPr>
            <w:r>
              <w:t>Annual disposable income—middle ($)</w:t>
            </w:r>
          </w:p>
        </w:tc>
        <w:tc>
          <w:tcPr>
            <w:tcW w:w="834" w:type="pct"/>
            <w:shd w:val="clear" w:color="auto" w:fill="auto"/>
          </w:tcPr>
          <w:p w:rsidR="00697BCD" w:rsidRDefault="00697BCD" w:rsidP="006B1E9F">
            <w:pPr>
              <w:pStyle w:val="TableHeading-right"/>
            </w:pPr>
            <w:r>
              <w:t>Annual disposable income—high ($)</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Queensland</w:t>
            </w:r>
          </w:p>
        </w:tc>
        <w:tc>
          <w:tcPr>
            <w:tcW w:w="834" w:type="pct"/>
            <w:shd w:val="clear" w:color="auto" w:fill="auto"/>
          </w:tcPr>
          <w:p w:rsidR="00697BCD" w:rsidRDefault="00697BCD" w:rsidP="00624E11">
            <w:pPr>
              <w:pStyle w:val="Tabletext-right"/>
            </w:pPr>
            <w:r>
              <w:t>5 800</w:t>
            </w:r>
          </w:p>
        </w:tc>
        <w:tc>
          <w:tcPr>
            <w:tcW w:w="833" w:type="pct"/>
            <w:shd w:val="clear" w:color="auto" w:fill="auto"/>
          </w:tcPr>
          <w:p w:rsidR="00697BCD" w:rsidRDefault="00697BCD" w:rsidP="00624E11">
            <w:pPr>
              <w:pStyle w:val="Tabletext-right"/>
            </w:pPr>
            <w:r>
              <w:t>10 000</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72 229.58</w:t>
            </w:r>
          </w:p>
        </w:tc>
        <w:tc>
          <w:tcPr>
            <w:tcW w:w="834" w:type="pct"/>
            <w:shd w:val="clear" w:color="auto" w:fill="auto"/>
          </w:tcPr>
          <w:p w:rsidR="00697BCD" w:rsidRDefault="00697BCD" w:rsidP="00624E11">
            <w:pPr>
              <w:pStyle w:val="Tabletext-right"/>
            </w:pPr>
            <w:r>
              <w:t>191 962.95</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New South Wales</w:t>
            </w:r>
          </w:p>
        </w:tc>
        <w:tc>
          <w:tcPr>
            <w:tcW w:w="834" w:type="pct"/>
            <w:shd w:val="clear" w:color="auto" w:fill="auto"/>
          </w:tcPr>
          <w:p w:rsidR="00697BCD" w:rsidRDefault="00697BCD" w:rsidP="00624E11">
            <w:pPr>
              <w:pStyle w:val="Tabletext-right"/>
            </w:pPr>
            <w:r>
              <w:t>5 900</w:t>
            </w:r>
          </w:p>
        </w:tc>
        <w:tc>
          <w:tcPr>
            <w:tcW w:w="833" w:type="pct"/>
            <w:shd w:val="clear" w:color="auto" w:fill="auto"/>
          </w:tcPr>
          <w:p w:rsidR="00697BCD" w:rsidRDefault="00697BCD" w:rsidP="00624E11">
            <w:pPr>
              <w:pStyle w:val="Tabletext-right"/>
            </w:pPr>
            <w:r>
              <w:t>24 000</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75 295.47</w:t>
            </w:r>
          </w:p>
        </w:tc>
        <w:tc>
          <w:tcPr>
            <w:tcW w:w="834" w:type="pct"/>
            <w:shd w:val="clear" w:color="auto" w:fill="auto"/>
          </w:tcPr>
          <w:p w:rsidR="00697BCD" w:rsidRDefault="00697BCD" w:rsidP="00624E11">
            <w:pPr>
              <w:pStyle w:val="Tabletext-right"/>
            </w:pPr>
            <w:r>
              <w:t>213 409.50</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Victoria</w:t>
            </w:r>
          </w:p>
        </w:tc>
        <w:tc>
          <w:tcPr>
            <w:tcW w:w="834" w:type="pct"/>
            <w:shd w:val="clear" w:color="auto" w:fill="auto"/>
          </w:tcPr>
          <w:p w:rsidR="00697BCD" w:rsidRDefault="00697BCD" w:rsidP="00624E11">
            <w:pPr>
              <w:pStyle w:val="Tabletext-right"/>
            </w:pPr>
            <w:r>
              <w:t>4 900</w:t>
            </w:r>
          </w:p>
        </w:tc>
        <w:tc>
          <w:tcPr>
            <w:tcW w:w="833" w:type="pct"/>
            <w:shd w:val="clear" w:color="auto" w:fill="auto"/>
          </w:tcPr>
          <w:p w:rsidR="00697BCD" w:rsidRDefault="00697BCD" w:rsidP="00624E11">
            <w:pPr>
              <w:pStyle w:val="Tabletext-right"/>
            </w:pPr>
            <w:r>
              <w:t>63 000</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73 258.23</w:t>
            </w:r>
          </w:p>
        </w:tc>
        <w:tc>
          <w:tcPr>
            <w:tcW w:w="834" w:type="pct"/>
            <w:shd w:val="clear" w:color="auto" w:fill="auto"/>
          </w:tcPr>
          <w:p w:rsidR="00697BCD" w:rsidRDefault="00697BCD" w:rsidP="00624E11">
            <w:pPr>
              <w:pStyle w:val="Tabletext-right"/>
            </w:pPr>
            <w:r>
              <w:t>190 177.07</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lastRenderedPageBreak/>
              <w:t>South Australia</w:t>
            </w:r>
          </w:p>
        </w:tc>
        <w:tc>
          <w:tcPr>
            <w:tcW w:w="834" w:type="pct"/>
            <w:shd w:val="clear" w:color="auto" w:fill="auto"/>
          </w:tcPr>
          <w:p w:rsidR="00697BCD" w:rsidRDefault="00697BCD" w:rsidP="00624E11">
            <w:pPr>
              <w:pStyle w:val="Tabletext-right"/>
            </w:pPr>
            <w:r>
              <w:t>5 100</w:t>
            </w:r>
          </w:p>
        </w:tc>
        <w:tc>
          <w:tcPr>
            <w:tcW w:w="833" w:type="pct"/>
            <w:shd w:val="clear" w:color="auto" w:fill="auto"/>
          </w:tcPr>
          <w:p w:rsidR="00697BCD" w:rsidRDefault="00697BCD" w:rsidP="00624E11">
            <w:pPr>
              <w:pStyle w:val="Tabletext-right"/>
            </w:pPr>
            <w:r>
              <w:t>21 000</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63 014.41</w:t>
            </w:r>
          </w:p>
        </w:tc>
        <w:tc>
          <w:tcPr>
            <w:tcW w:w="834" w:type="pct"/>
            <w:shd w:val="clear" w:color="auto" w:fill="auto"/>
          </w:tcPr>
          <w:p w:rsidR="00697BCD" w:rsidRDefault="00697BCD" w:rsidP="00624E11">
            <w:pPr>
              <w:pStyle w:val="Tabletext-right"/>
            </w:pPr>
            <w:r>
              <w:t>166 931.00</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Tasmania</w:t>
            </w:r>
          </w:p>
        </w:tc>
        <w:tc>
          <w:tcPr>
            <w:tcW w:w="834" w:type="pct"/>
            <w:shd w:val="clear" w:color="auto" w:fill="auto"/>
          </w:tcPr>
          <w:p w:rsidR="00697BCD" w:rsidRDefault="00697BCD" w:rsidP="00624E11">
            <w:pPr>
              <w:pStyle w:val="Tabletext-right"/>
            </w:pPr>
            <w:r>
              <w:t>8 800</w:t>
            </w:r>
          </w:p>
        </w:tc>
        <w:tc>
          <w:tcPr>
            <w:tcW w:w="833" w:type="pct"/>
            <w:shd w:val="clear" w:color="auto" w:fill="auto"/>
          </w:tcPr>
          <w:p w:rsidR="00697BCD" w:rsidRDefault="00697BCD" w:rsidP="00624E11">
            <w:pPr>
              <w:pStyle w:val="Tabletext-right"/>
            </w:pPr>
            <w:r>
              <w:t>N/A</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59 702.83</w:t>
            </w:r>
          </w:p>
        </w:tc>
        <w:tc>
          <w:tcPr>
            <w:tcW w:w="834" w:type="pct"/>
            <w:shd w:val="clear" w:color="auto" w:fill="auto"/>
          </w:tcPr>
          <w:p w:rsidR="00697BCD" w:rsidRDefault="00697BCD" w:rsidP="00624E11">
            <w:pPr>
              <w:pStyle w:val="Tabletext-right"/>
            </w:pPr>
            <w:r>
              <w:t>151 134.69</w:t>
            </w:r>
          </w:p>
        </w:tc>
      </w:tr>
      <w:tr w:rsidR="00697BCD" w:rsidRPr="00391B03" w:rsidTr="00391B03">
        <w:trPr>
          <w:trHeight w:val="60"/>
        </w:trPr>
        <w:tc>
          <w:tcPr>
            <w:tcW w:w="833" w:type="pct"/>
            <w:shd w:val="clear" w:color="auto" w:fill="auto"/>
          </w:tcPr>
          <w:p w:rsidR="00697BCD" w:rsidRPr="00391B03" w:rsidRDefault="00697BCD" w:rsidP="00624E11">
            <w:pPr>
              <w:pStyle w:val="Tabletext"/>
            </w:pPr>
            <w:r w:rsidRPr="00391B03">
              <w:t>ACT</w:t>
            </w:r>
          </w:p>
        </w:tc>
        <w:tc>
          <w:tcPr>
            <w:tcW w:w="834" w:type="pct"/>
            <w:shd w:val="clear" w:color="auto" w:fill="auto"/>
          </w:tcPr>
          <w:p w:rsidR="00697BCD" w:rsidRDefault="00697BCD" w:rsidP="00624E11">
            <w:pPr>
              <w:pStyle w:val="Tabletext-right"/>
            </w:pPr>
            <w:r>
              <w:t>7 500</w:t>
            </w:r>
          </w:p>
        </w:tc>
        <w:tc>
          <w:tcPr>
            <w:tcW w:w="833" w:type="pct"/>
            <w:shd w:val="clear" w:color="auto" w:fill="auto"/>
          </w:tcPr>
          <w:p w:rsidR="00697BCD" w:rsidRDefault="00697BCD" w:rsidP="00624E11">
            <w:pPr>
              <w:pStyle w:val="Tabletext-right"/>
            </w:pPr>
            <w:r>
              <w:t>48 000</w:t>
            </w:r>
          </w:p>
        </w:tc>
        <w:tc>
          <w:tcPr>
            <w:tcW w:w="834" w:type="pct"/>
            <w:shd w:val="clear" w:color="auto" w:fill="auto"/>
          </w:tcPr>
          <w:p w:rsidR="00697BCD" w:rsidRDefault="00697BCD" w:rsidP="00624E11">
            <w:pPr>
              <w:pStyle w:val="Tabletext-right"/>
            </w:pPr>
            <w:r>
              <w:t>2–3</w:t>
            </w:r>
          </w:p>
        </w:tc>
        <w:tc>
          <w:tcPr>
            <w:tcW w:w="833" w:type="pct"/>
            <w:shd w:val="clear" w:color="auto" w:fill="auto"/>
          </w:tcPr>
          <w:p w:rsidR="00697BCD" w:rsidRDefault="00697BCD" w:rsidP="00624E11">
            <w:pPr>
              <w:pStyle w:val="Tabletext-right"/>
            </w:pPr>
            <w:r>
              <w:t>100 243.41</w:t>
            </w:r>
          </w:p>
        </w:tc>
        <w:tc>
          <w:tcPr>
            <w:tcW w:w="834" w:type="pct"/>
            <w:shd w:val="clear" w:color="auto" w:fill="auto"/>
          </w:tcPr>
          <w:p w:rsidR="00697BCD" w:rsidRDefault="00697BCD" w:rsidP="00624E11">
            <w:pPr>
              <w:pStyle w:val="Tabletext-right"/>
            </w:pPr>
            <w:r>
              <w:t>214 414.01</w:t>
            </w:r>
          </w:p>
        </w:tc>
      </w:tr>
    </w:tbl>
    <w:p w:rsidR="00697BCD" w:rsidRDefault="00697BCD"/>
    <w:p w:rsidR="00697BCD" w:rsidRDefault="00697BCD" w:rsidP="00697BCD"/>
    <w:p w:rsidR="00697BCD" w:rsidRDefault="00697BCD" w:rsidP="00697BCD">
      <w:pPr>
        <w:pStyle w:val="Heading2"/>
      </w:pPr>
      <w:bookmarkStart w:id="74" w:name="_Toc467665357"/>
      <w:r>
        <w:t xml:space="preserve">Appendix 8: </w:t>
      </w:r>
      <w:r>
        <w:tab/>
        <w:t>Map of electricity distribution zones</w:t>
      </w:r>
      <w:bookmarkEnd w:id="74"/>
    </w:p>
    <w:p w:rsidR="00697BCD" w:rsidRDefault="00391B03" w:rsidP="009E6D87">
      <w:bookmarkStart w:id="75" w:name="_Toc467665358"/>
      <w:r>
        <w:pict>
          <v:shape id="_x0000_i1057" type="#_x0000_t75" style="width:448.85pt;height:572.25pt">
            <v:imagedata r:id="rId48" o:title=""/>
          </v:shape>
        </w:pict>
      </w:r>
      <w:bookmarkEnd w:id="75"/>
    </w:p>
    <w:p w:rsidR="008A6D64" w:rsidRPr="00391B03" w:rsidRDefault="008A6D64">
      <w:pPr>
        <w:rPr>
          <w:rFonts w:eastAsia="Times New Roman"/>
          <w:b/>
          <w:bCs/>
          <w:color w:val="51626F"/>
          <w:sz w:val="28"/>
          <w:szCs w:val="26"/>
        </w:rPr>
      </w:pPr>
      <w:r>
        <w:br w:type="page"/>
      </w:r>
    </w:p>
    <w:p w:rsidR="00697BCD" w:rsidRDefault="00697BCD" w:rsidP="00697BCD">
      <w:pPr>
        <w:pStyle w:val="Heading2"/>
      </w:pPr>
      <w:bookmarkStart w:id="76" w:name="_Toc467665359"/>
      <w:r>
        <w:t xml:space="preserve">Appendix 9: </w:t>
      </w:r>
      <w:r>
        <w:tab/>
        <w:t>Map of gas distribution zones</w:t>
      </w:r>
      <w:bookmarkEnd w:id="76"/>
    </w:p>
    <w:p w:rsidR="00697BCD" w:rsidRDefault="00391B03" w:rsidP="00697BCD">
      <w:pPr>
        <w:pStyle w:val="Heading2"/>
      </w:pPr>
      <w:bookmarkStart w:id="77" w:name="_Toc467665360"/>
      <w:r>
        <w:pict>
          <v:shape id="_x0000_i1058" type="#_x0000_t75" style="width:376.85pt;height:479.7pt">
            <v:imagedata r:id="rId49" o:title=""/>
          </v:shape>
        </w:pict>
      </w:r>
      <w:bookmarkEnd w:id="77"/>
    </w:p>
    <w:p w:rsidR="00697BCD" w:rsidRDefault="00697BCD" w:rsidP="00697BCD">
      <w:pPr>
        <w:rPr>
          <w:u w:color="F59E00"/>
        </w:rPr>
      </w:pPr>
    </w:p>
    <w:p w:rsidR="00303C4A" w:rsidRDefault="00303C4A"/>
    <w:sectPr w:rsidR="00303C4A" w:rsidSect="00624E11">
      <w:footerReference w:type="first" r:id="rId50"/>
      <w:pgSz w:w="11906" w:h="16838"/>
      <w:pgMar w:top="1276" w:right="1247" w:bottom="1134"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0C0" w:rsidRDefault="008F20C0" w:rsidP="004B4412">
      <w:pPr>
        <w:spacing w:before="0"/>
      </w:pPr>
      <w:r>
        <w:separator/>
      </w:r>
    </w:p>
  </w:endnote>
  <w:endnote w:type="continuationSeparator" w:id="0">
    <w:p w:rsidR="008F20C0" w:rsidRDefault="008F20C0"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NeueLTStd-Cn">
    <w:altName w:val="HelveticaNeueLT Std C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0C0" w:rsidRDefault="008F20C0">
    <w:pPr>
      <w:pStyle w:val="Footer"/>
    </w:pPr>
    <w:r>
      <w:fldChar w:fldCharType="begin"/>
    </w:r>
    <w:r>
      <w:instrText xml:space="preserve"> PAGE   \* MERGEFORMAT </w:instrText>
    </w:r>
    <w:r>
      <w:fldChar w:fldCharType="separate"/>
    </w:r>
    <w:r>
      <w:rPr>
        <w:noProof/>
      </w:rPr>
      <w:t>1</w:t>
    </w:r>
    <w:r>
      <w:rPr>
        <w:noProof/>
      </w:rPr>
      <w:fldChar w:fldCharType="end"/>
    </w:r>
  </w:p>
  <w:p w:rsidR="008F20C0" w:rsidRDefault="008F2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0C0" w:rsidRDefault="008F20C0" w:rsidP="004B4412">
      <w:pPr>
        <w:spacing w:before="0"/>
      </w:pPr>
      <w:r>
        <w:separator/>
      </w:r>
    </w:p>
  </w:footnote>
  <w:footnote w:type="continuationSeparator" w:id="0">
    <w:p w:rsidR="008F20C0" w:rsidRDefault="008F20C0" w:rsidP="004B4412">
      <w:pPr>
        <w:spacing w:before="0"/>
      </w:pPr>
      <w:r>
        <w:continuationSeparator/>
      </w:r>
    </w:p>
  </w:footnote>
  <w:footnote w:id="1">
    <w:p w:rsidR="008F20C0" w:rsidRDefault="008F20C0" w:rsidP="000F3A56">
      <w:pPr>
        <w:pStyle w:val="FootnoteText"/>
      </w:pPr>
      <w:r>
        <w:rPr>
          <w:vertAlign w:val="superscript"/>
        </w:rPr>
        <w:footnoteRef/>
      </w:r>
      <w:r>
        <w:tab/>
        <w:t>Section 284 of the National Energy Retail Law requires us to produce annual reports for retailers and sets out our obligations.</w:t>
      </w:r>
    </w:p>
  </w:footnote>
  <w:footnote w:id="2">
    <w:p w:rsidR="008F20C0" w:rsidRDefault="008F20C0" w:rsidP="000F3A56">
      <w:pPr>
        <w:pStyle w:val="FootnoteText"/>
      </w:pPr>
      <w:r>
        <w:rPr>
          <w:vertAlign w:val="superscript"/>
        </w:rPr>
        <w:footnoteRef/>
      </w:r>
      <w:r>
        <w:tab/>
        <w:t>As at 30 June 2016 these were New South Wales, South Australia, Queensland, Tasmania and the ACT.</w:t>
      </w:r>
    </w:p>
  </w:footnote>
  <w:footnote w:id="3">
    <w:p w:rsidR="008F20C0" w:rsidRDefault="008F20C0">
      <w:pPr>
        <w:pStyle w:val="Footnote"/>
      </w:pPr>
      <w:r>
        <w:rPr>
          <w:vertAlign w:val="superscript"/>
        </w:rPr>
        <w:footnoteRef/>
      </w:r>
      <w:r>
        <w:tab/>
        <w:t>See section 2.2 for a more detailed explanation.</w:t>
      </w:r>
    </w:p>
  </w:footnote>
  <w:footnote w:id="4">
    <w:p w:rsidR="008F20C0" w:rsidRDefault="008F20C0">
      <w:pPr>
        <w:pStyle w:val="Footnote"/>
      </w:pPr>
      <w:r>
        <w:rPr>
          <w:vertAlign w:val="superscript"/>
        </w:rPr>
        <w:footnoteRef/>
      </w:r>
      <w:r>
        <w:tab/>
        <w:t xml:space="preserve">The Retail Law requires retailers to offer flexible payment options (including Centrepay) to hardship customers. Centrepay is a free direct bill-paying service available to customers receiving </w:t>
      </w:r>
      <w:proofErr w:type="spellStart"/>
      <w:r>
        <w:t>Centrelink</w:t>
      </w:r>
      <w:proofErr w:type="spellEnd"/>
      <w:r>
        <w:t xml:space="preserve"> payments.</w:t>
      </w:r>
    </w:p>
  </w:footnote>
  <w:footnote w:id="5">
    <w:p w:rsidR="008F20C0" w:rsidRDefault="008F20C0">
      <w:pPr>
        <w:pStyle w:val="Footnote"/>
      </w:pPr>
      <w:r>
        <w:rPr>
          <w:vertAlign w:val="superscript"/>
        </w:rPr>
        <w:footnoteRef/>
      </w:r>
      <w:r>
        <w:tab/>
        <w:t xml:space="preserve">Australian Energy Market Commission, 2016 Retail Competition Review, </w:t>
      </w:r>
      <w:hyperlink r:id="rId1" w:history="1">
        <w:r>
          <w:t>http://aemc.gov.au/getattachment/d5a60d5b-d2dc-4219-af60-51c77d8aaa4f/Final-Report.aspx</w:t>
        </w:r>
      </w:hyperlink>
    </w:p>
  </w:footnote>
  <w:footnote w:id="6">
    <w:p w:rsidR="008F20C0" w:rsidRDefault="008F20C0">
      <w:pPr>
        <w:pStyle w:val="Footnote"/>
      </w:pPr>
      <w:r>
        <w:rPr>
          <w:vertAlign w:val="superscript"/>
        </w:rPr>
        <w:footnoteRef/>
      </w:r>
      <w:r>
        <w:tab/>
        <w:t>AEMC 2016 Retail Competition Review</w:t>
      </w:r>
    </w:p>
  </w:footnote>
  <w:footnote w:id="7">
    <w:p w:rsidR="008F20C0" w:rsidRDefault="008F20C0">
      <w:pPr>
        <w:pStyle w:val="Footnote"/>
      </w:pPr>
      <w:r>
        <w:rPr>
          <w:vertAlign w:val="superscript"/>
        </w:rPr>
        <w:footnoteRef/>
      </w:r>
      <w:r>
        <w:tab/>
        <w:t xml:space="preserve"> AEMC 2016 Competition Review, p. 20</w:t>
      </w:r>
    </w:p>
  </w:footnote>
  <w:footnote w:id="8">
    <w:p w:rsidR="008F20C0" w:rsidRDefault="008F20C0">
      <w:pPr>
        <w:pStyle w:val="Footnote"/>
      </w:pPr>
      <w:r>
        <w:rPr>
          <w:vertAlign w:val="superscript"/>
        </w:rPr>
        <w:footnoteRef/>
      </w:r>
      <w:r>
        <w:tab/>
        <w:t xml:space="preserve">The Australian Energy Market Operator (AEMO) regularly publishes switching data. An explanation of how AEMO’s switching data is calculated is available at: </w:t>
      </w:r>
      <w:hyperlink r:id="rId2" w:history="1">
        <w:r>
          <w:t>www.aemo.com.au</w:t>
        </w:r>
      </w:hyperlink>
      <w:r>
        <w:t>.</w:t>
      </w:r>
    </w:p>
  </w:footnote>
  <w:footnote w:id="9">
    <w:p w:rsidR="008F20C0" w:rsidRDefault="008F20C0">
      <w:pPr>
        <w:pStyle w:val="Footnote"/>
      </w:pPr>
      <w:r>
        <w:rPr>
          <w:vertAlign w:val="superscript"/>
        </w:rPr>
        <w:footnoteRef/>
      </w:r>
      <w:r>
        <w:tab/>
      </w:r>
      <w:proofErr w:type="gramStart"/>
      <w:r>
        <w:t>AEMC 2016.</w:t>
      </w:r>
      <w:proofErr w:type="gramEnd"/>
    </w:p>
  </w:footnote>
  <w:footnote w:id="10">
    <w:p w:rsidR="008F20C0" w:rsidRDefault="008F20C0" w:rsidP="0092682E">
      <w:pPr>
        <w:pStyle w:val="Footnote"/>
      </w:pPr>
      <w:r>
        <w:rPr>
          <w:vertAlign w:val="superscript"/>
        </w:rPr>
        <w:footnoteRef/>
      </w:r>
      <w:r>
        <w:tab/>
      </w:r>
      <w:proofErr w:type="gramStart"/>
      <w:r>
        <w:t>AEMC 2016.</w:t>
      </w:r>
      <w:proofErr w:type="gramEnd"/>
    </w:p>
  </w:footnote>
  <w:footnote w:id="11">
    <w:p w:rsidR="008F20C0" w:rsidRDefault="008F20C0">
      <w:pPr>
        <w:pStyle w:val="Footnote"/>
      </w:pPr>
      <w:r>
        <w:rPr>
          <w:vertAlign w:val="superscript"/>
        </w:rPr>
        <w:footnoteRef/>
      </w:r>
      <w:r>
        <w:tab/>
      </w:r>
      <w:proofErr w:type="gramStart"/>
      <w:r>
        <w:t>AEMC, 2016.</w:t>
      </w:r>
      <w:proofErr w:type="gramEnd"/>
    </w:p>
  </w:footnote>
  <w:footnote w:id="12">
    <w:p w:rsidR="008F20C0" w:rsidRDefault="008F20C0">
      <w:pPr>
        <w:pStyle w:val="Footnote"/>
      </w:pPr>
      <w:r>
        <w:rPr>
          <w:vertAlign w:val="superscript"/>
        </w:rPr>
        <w:footnoteRef/>
      </w:r>
      <w:r>
        <w:tab/>
      </w:r>
      <w:proofErr w:type="gramStart"/>
      <w:r>
        <w:t>National Energy Retail Rules, r. 49A.</w:t>
      </w:r>
      <w:proofErr w:type="gramEnd"/>
    </w:p>
  </w:footnote>
  <w:footnote w:id="13">
    <w:p w:rsidR="008F20C0" w:rsidRDefault="008F20C0">
      <w:pPr>
        <w:pStyle w:val="Footnote"/>
      </w:pPr>
      <w:r>
        <w:rPr>
          <w:vertAlign w:val="superscript"/>
        </w:rPr>
        <w:footnoteRef/>
      </w:r>
      <w:r>
        <w:tab/>
        <w:t>Where the retailer uses an automated or IVR telephone system, the time is measured from when a customer chooses to speak to an operator. In all other cases, the time commences from when the call is received by the switchboard.</w:t>
      </w:r>
    </w:p>
  </w:footnote>
  <w:footnote w:id="14">
    <w:p w:rsidR="008F20C0" w:rsidRDefault="008F20C0">
      <w:pPr>
        <w:pStyle w:val="Footnote"/>
      </w:pPr>
      <w:r>
        <w:rPr>
          <w:vertAlign w:val="superscript"/>
        </w:rPr>
        <w:footnoteRef/>
      </w:r>
      <w:r>
        <w:tab/>
      </w:r>
      <w:proofErr w:type="gramStart"/>
      <w:r>
        <w:t>Under Clause 7 of the National Energy Retail (Local Provisions) Regulations.</w:t>
      </w:r>
      <w:proofErr w:type="gramEnd"/>
    </w:p>
  </w:footnote>
  <w:footnote w:id="15">
    <w:p w:rsidR="008F20C0" w:rsidRDefault="008F20C0" w:rsidP="0092682E">
      <w:pPr>
        <w:pStyle w:val="Footnote"/>
      </w:pPr>
      <w:r>
        <w:rPr>
          <w:vertAlign w:val="superscript"/>
        </w:rPr>
        <w:footnoteRef/>
      </w:r>
      <w:r>
        <w:tab/>
        <w:t>Excludes matters closed as general enquiries or not escalated/investigated.</w:t>
      </w:r>
    </w:p>
  </w:footnote>
  <w:footnote w:id="16">
    <w:p w:rsidR="008F20C0" w:rsidRDefault="008F20C0" w:rsidP="0092682E">
      <w:pPr>
        <w:pStyle w:val="Footnote"/>
      </w:pPr>
      <w:r>
        <w:rPr>
          <w:vertAlign w:val="superscript"/>
        </w:rPr>
        <w:footnoteRef/>
      </w:r>
      <w:r>
        <w:tab/>
      </w:r>
      <w:proofErr w:type="gramStart"/>
      <w:r>
        <w:t>Includes complaints for customers of Dodo Power &amp; Gas (Queensland, South Australia and New South Wales) and Commander Power &amp; Gas (South Australia).</w:t>
      </w:r>
      <w:proofErr w:type="gramEnd"/>
    </w:p>
  </w:footnote>
  <w:footnote w:id="17">
    <w:p w:rsidR="008F20C0" w:rsidRDefault="008F20C0" w:rsidP="0092682E">
      <w:pPr>
        <w:pStyle w:val="Footnote"/>
      </w:pPr>
      <w:r>
        <w:rPr>
          <w:vertAlign w:val="superscript"/>
        </w:rPr>
        <w:footnoteRef/>
      </w:r>
      <w:r>
        <w:tab/>
        <w:t>Metered energy holdings are not a participant of the Energy and Water Ombudsman Queensland scheme.</w:t>
      </w:r>
    </w:p>
  </w:footnote>
  <w:footnote w:id="18">
    <w:p w:rsidR="008F20C0" w:rsidRDefault="008F20C0">
      <w:pPr>
        <w:pStyle w:val="Footnote"/>
      </w:pPr>
      <w:r>
        <w:rPr>
          <w:vertAlign w:val="superscript"/>
        </w:rPr>
        <w:footnoteRef/>
      </w:r>
      <w:r>
        <w:tab/>
        <w:t>The Retail Rules require us to distinguish between customers experiencing payment difficulties generally and customers on hardship programs.</w:t>
      </w:r>
    </w:p>
  </w:footnote>
  <w:footnote w:id="19">
    <w:p w:rsidR="008F20C0" w:rsidRDefault="008F20C0">
      <w:pPr>
        <w:pStyle w:val="Footnote"/>
      </w:pPr>
      <w:r>
        <w:rPr>
          <w:vertAlign w:val="superscript"/>
        </w:rPr>
        <w:footnoteRef/>
      </w:r>
      <w:r>
        <w:tab/>
        <w:t>Hardship programs are available to eligible customers, and must include: processes to identify customers who need assistance, flexible payment options including specifically tailored payment plans and Centrepay, advice on concessions and government grants, referrals to financial counselling services, energy efficiency advice and waiving late payment fees. Customers on hardship programs will not be disconnected while they continue to meet agreed payment arrangements.</w:t>
      </w:r>
    </w:p>
  </w:footnote>
  <w:footnote w:id="20">
    <w:p w:rsidR="008F20C0" w:rsidRDefault="008F20C0">
      <w:pPr>
        <w:pStyle w:val="Footnote"/>
      </w:pPr>
      <w:r>
        <w:rPr>
          <w:vertAlign w:val="superscript"/>
        </w:rPr>
        <w:footnoteRef/>
      </w:r>
      <w:r>
        <w:tab/>
        <w:t>National Energy Retail Rules, r. 72(1</w:t>
      </w:r>
      <w:proofErr w:type="gramStart"/>
      <w:r>
        <w:t>)(</w:t>
      </w:r>
      <w:proofErr w:type="gramEnd"/>
      <w:r>
        <w:t>a).</w:t>
      </w:r>
    </w:p>
  </w:footnote>
  <w:footnote w:id="21">
    <w:p w:rsidR="008F20C0" w:rsidRDefault="008F20C0">
      <w:pPr>
        <w:pStyle w:val="Footnote"/>
      </w:pPr>
      <w:r>
        <w:rPr>
          <w:vertAlign w:val="superscript"/>
        </w:rPr>
        <w:footnoteRef/>
      </w:r>
      <w:r>
        <w:tab/>
        <w:t>National Energy Retail Law, s. 44(c).</w:t>
      </w:r>
    </w:p>
  </w:footnote>
  <w:footnote w:id="22">
    <w:p w:rsidR="008F20C0" w:rsidRDefault="008F20C0">
      <w:pPr>
        <w:pStyle w:val="Footnote"/>
      </w:pPr>
      <w:r>
        <w:rPr>
          <w:vertAlign w:val="superscript"/>
        </w:rPr>
        <w:footnoteRef/>
      </w:r>
      <w:r>
        <w:tab/>
        <w:t>Our 2015 Review of retailers’ hardship policies and practices found relatively low numbers of hardship customers using Centrepay, suggesting it is not being well-promoted, or even offered to eligible customers by retailers. We raised this issue with a number of retailers and indicated our expectation that this improve.</w:t>
      </w:r>
    </w:p>
  </w:footnote>
  <w:footnote w:id="23">
    <w:p w:rsidR="008F20C0" w:rsidRDefault="008F20C0">
      <w:pPr>
        <w:pStyle w:val="Footnote"/>
      </w:pPr>
      <w:r>
        <w:rPr>
          <w:vertAlign w:val="superscript"/>
        </w:rPr>
        <w:footnoteRef/>
      </w:r>
      <w:r>
        <w:tab/>
      </w:r>
      <w:proofErr w:type="spellStart"/>
      <w:proofErr w:type="gramStart"/>
      <w:r>
        <w:t>Kildonan</w:t>
      </w:r>
      <w:proofErr w:type="spellEnd"/>
      <w:r>
        <w:t xml:space="preserve">, ‘Two incomes, still short’, 2015, </w:t>
      </w:r>
      <w:hyperlink r:id="rId3" w:history="1">
        <w:r>
          <w:t>www.kildonan.org.au/media-and-publications/news/two-incomes-still-short/</w:t>
        </w:r>
      </w:hyperlink>
      <w:r>
        <w:t>.</w:t>
      </w:r>
      <w:proofErr w:type="gramEnd"/>
    </w:p>
  </w:footnote>
  <w:footnote w:id="24">
    <w:p w:rsidR="008F20C0" w:rsidRDefault="008F20C0">
      <w:pPr>
        <w:pStyle w:val="Footnote"/>
      </w:pPr>
      <w:r>
        <w:rPr>
          <w:vertAlign w:val="superscript"/>
        </w:rPr>
        <w:footnoteRef/>
      </w:r>
      <w:r>
        <w:tab/>
        <w:t xml:space="preserve"> St Vincent de Paul, ‘Households in the Dark, 2016, </w:t>
      </w:r>
      <w:hyperlink r:id="rId4" w:history="1">
        <w:r>
          <w:t>https://www.vinnies.org.au/page/Our_Impact/Incomes_Support_Cost_of_Living/Energy/VINNIES_NATIONAL/Households_in_the_dark</w:t>
        </w:r>
      </w:hyperlink>
      <w:r>
        <w:t>.</w:t>
      </w:r>
    </w:p>
  </w:footnote>
  <w:footnote w:id="25">
    <w:p w:rsidR="008F20C0" w:rsidRDefault="008F20C0">
      <w:pPr>
        <w:pStyle w:val="Footnote"/>
      </w:pPr>
      <w:r>
        <w:rPr>
          <w:vertAlign w:val="superscript"/>
        </w:rPr>
        <w:footnoteRef/>
      </w:r>
      <w:r>
        <w:tab/>
        <w:t xml:space="preserve">AER Sustainable Payment Plans Framework, 2016, </w:t>
      </w:r>
      <w:hyperlink r:id="rId5" w:history="1">
        <w:r>
          <w:t>http://www.aer.gov.au/retail-markets/retail-guidelines/aer-sustainable-payment-plans-framework</w:t>
        </w:r>
      </w:hyperlink>
      <w:r>
        <w:t>.</w:t>
      </w:r>
    </w:p>
  </w:footnote>
  <w:footnote w:id="26">
    <w:p w:rsidR="008F20C0" w:rsidRDefault="008F20C0">
      <w:pPr>
        <w:pStyle w:val="Footnote"/>
      </w:pPr>
      <w:r>
        <w:rPr>
          <w:vertAlign w:val="superscript"/>
        </w:rPr>
        <w:footnoteRef/>
      </w:r>
      <w:r>
        <w:tab/>
        <w:t>St Vincent de Paul Society’s report Households in the Dark (2016) observed that communities where many households had multiple disconnections were likely to be those with ‘entrenched poverty or ongoing financial hardship’.</w:t>
      </w:r>
    </w:p>
  </w:footnote>
  <w:footnote w:id="27">
    <w:p w:rsidR="008F20C0" w:rsidRDefault="008F20C0">
      <w:pPr>
        <w:pStyle w:val="Footnote"/>
      </w:pPr>
      <w:r>
        <w:rPr>
          <w:vertAlign w:val="superscript"/>
        </w:rPr>
        <w:footnoteRef/>
      </w:r>
      <w:r>
        <w:tab/>
        <w:t>Self-disconnection means an interruption to the supply of energy because a prepayment meter system has no credit (including emergency credit) available.</w:t>
      </w:r>
    </w:p>
  </w:footnote>
  <w:footnote w:id="28">
    <w:p w:rsidR="008F20C0" w:rsidRDefault="008F20C0">
      <w:pPr>
        <w:pStyle w:val="Footnote"/>
      </w:pPr>
      <w:r>
        <w:rPr>
          <w:vertAlign w:val="superscript"/>
        </w:rPr>
        <w:footnoteRef/>
      </w:r>
      <w:r>
        <w:tab/>
      </w:r>
      <w:proofErr w:type="gramStart"/>
      <w:r>
        <w:t>National Energy Retail Rules, r. 40.</w:t>
      </w:r>
      <w:proofErr w:type="gramEnd"/>
    </w:p>
  </w:footnote>
  <w:footnote w:id="29">
    <w:p w:rsidR="008F20C0" w:rsidRDefault="008F20C0">
      <w:pPr>
        <w:pStyle w:val="Footnote"/>
      </w:pPr>
      <w:r>
        <w:rPr>
          <w:vertAlign w:val="superscript"/>
        </w:rPr>
        <w:footnoteRef/>
      </w:r>
      <w:r>
        <w:tab/>
        <w:t>https://www.ergon.com.au/retail/residential/billing-and-payments/security-deposit.</w:t>
      </w:r>
    </w:p>
  </w:footnote>
  <w:footnote w:id="30">
    <w:p w:rsidR="008F20C0" w:rsidRDefault="008F20C0">
      <w:pPr>
        <w:pStyle w:val="Footnote"/>
      </w:pPr>
      <w:r>
        <w:rPr>
          <w:vertAlign w:val="superscript"/>
        </w:rPr>
        <w:footnoteRef/>
      </w:r>
      <w:r>
        <w:tab/>
        <w:t>We consider each jurisdiction that is part of the National Electricity Market (Queensland, New South Wales, Victoria, South Australia, Tasmania and the ACT). We have not considered energy affordability for customers in Western Australia and the Northern Territory.</w:t>
      </w:r>
    </w:p>
  </w:footnote>
  <w:footnote w:id="31">
    <w:p w:rsidR="008F20C0" w:rsidRDefault="008F20C0">
      <w:pPr>
        <w:pStyle w:val="Footnote"/>
      </w:pPr>
      <w:r>
        <w:rPr>
          <w:vertAlign w:val="superscript"/>
        </w:rPr>
        <w:footnoteRef/>
      </w:r>
      <w:r>
        <w:tab/>
        <w:t>We use the concept of a ‘benchmark’ household as every household has a different level of consumption and income and it is not possible to account for the individual characteristics of every household.</w:t>
      </w:r>
    </w:p>
  </w:footnote>
  <w:footnote w:id="32">
    <w:p w:rsidR="008F20C0" w:rsidRDefault="008F20C0">
      <w:pPr>
        <w:pStyle w:val="Footnote"/>
      </w:pPr>
      <w:r>
        <w:rPr>
          <w:vertAlign w:val="superscript"/>
        </w:rPr>
        <w:footnoteRef/>
      </w:r>
      <w:r>
        <w:tab/>
        <w:t>Disposable income is derived by deducting estimates of personal income tax and the Medicare levy from gross income.</w:t>
      </w:r>
    </w:p>
  </w:footnote>
  <w:footnote w:id="33">
    <w:p w:rsidR="008F20C0" w:rsidRDefault="008F20C0">
      <w:pPr>
        <w:pStyle w:val="Footnote"/>
      </w:pPr>
      <w:r>
        <w:rPr>
          <w:vertAlign w:val="superscript"/>
        </w:rPr>
        <w:footnoteRef/>
      </w:r>
      <w:r>
        <w:tab/>
        <w:t xml:space="preserve">Victorian households can visit the Victorian Government’s comparison website at </w:t>
      </w:r>
      <w:hyperlink r:id="rId6" w:history="1">
        <w:r>
          <w:t>https://compare.switchon.vic.gov.au</w:t>
        </w:r>
      </w:hyperlink>
      <w:r>
        <w:t>.</w:t>
      </w:r>
    </w:p>
  </w:footnote>
  <w:footnote w:id="34">
    <w:p w:rsidR="008F20C0" w:rsidRDefault="008F20C0">
      <w:pPr>
        <w:pStyle w:val="Footnote"/>
      </w:pPr>
      <w:r>
        <w:rPr>
          <w:vertAlign w:val="superscript"/>
        </w:rPr>
        <w:footnoteRef/>
      </w:r>
      <w:r>
        <w:tab/>
        <w:t xml:space="preserve">Essential Energy’s network in New South Wales also extends into Queensland near </w:t>
      </w:r>
      <w:proofErr w:type="spellStart"/>
      <w:r>
        <w:t>Goondiwindi</w:t>
      </w:r>
      <w:proofErr w:type="spellEnd"/>
      <w:r>
        <w:t>.</w:t>
      </w:r>
    </w:p>
  </w:footnote>
  <w:footnote w:id="35">
    <w:p w:rsidR="008F20C0" w:rsidRDefault="008F20C0">
      <w:pPr>
        <w:pStyle w:val="Footnote"/>
      </w:pPr>
      <w:r>
        <w:rPr>
          <w:vertAlign w:val="superscript"/>
        </w:rPr>
        <w:footnoteRef/>
      </w:r>
      <w:r>
        <w:tab/>
        <w:t>https://www.dews.qld.gov.au/electricity/prices.</w:t>
      </w:r>
    </w:p>
  </w:footnote>
  <w:footnote w:id="36">
    <w:p w:rsidR="008F20C0" w:rsidRDefault="008F20C0">
      <w:pPr>
        <w:pStyle w:val="Footnote"/>
      </w:pPr>
      <w:r>
        <w:rPr>
          <w:vertAlign w:val="superscript"/>
        </w:rPr>
        <w:footnoteRef/>
      </w:r>
      <w:r>
        <w:tab/>
        <w:t xml:space="preserve"> Eligibility is restricted to households that have a Commonwealth Pensioner Concession Card, Department of Veterans’ Affairs Gold Card or Queensland Seniors Card. Eligibility is not extended to </w:t>
      </w:r>
      <w:proofErr w:type="spellStart"/>
      <w:r>
        <w:t>Centrelink</w:t>
      </w:r>
      <w:proofErr w:type="spellEnd"/>
      <w:r>
        <w:t xml:space="preserve"> Health Care Cards, unlike in other states and territories. </w:t>
      </w:r>
    </w:p>
  </w:footnote>
  <w:footnote w:id="37">
    <w:p w:rsidR="008F20C0" w:rsidRDefault="008F20C0">
      <w:pPr>
        <w:pStyle w:val="Footnote"/>
      </w:pPr>
      <w:r>
        <w:rPr>
          <w:vertAlign w:val="superscript"/>
        </w:rPr>
        <w:footnoteRef/>
      </w:r>
      <w:r>
        <w:tab/>
        <w:t>http://www.resourcesandenergy.nsw.gov.au/energy-consumers/energy-sources/gas/removal-of-gas-price-regulation-deregulation</w:t>
      </w:r>
    </w:p>
  </w:footnote>
  <w:footnote w:id="38">
    <w:p w:rsidR="008F20C0" w:rsidRDefault="008F20C0">
      <w:pPr>
        <w:pStyle w:val="Footnote"/>
      </w:pPr>
      <w:r>
        <w:rPr>
          <w:vertAlign w:val="superscript"/>
        </w:rPr>
        <w:footnoteRef/>
      </w:r>
      <w:r>
        <w:tab/>
        <w:t>AEMC Competition Review, 2016, p20</w:t>
      </w:r>
    </w:p>
  </w:footnote>
  <w:footnote w:id="39">
    <w:p w:rsidR="008F20C0" w:rsidRDefault="008F20C0">
      <w:pPr>
        <w:pStyle w:val="Footnote"/>
      </w:pPr>
      <w:r>
        <w:rPr>
          <w:vertAlign w:val="superscript"/>
        </w:rPr>
        <w:footnoteRef/>
      </w:r>
      <w:r>
        <w:tab/>
        <w:t>Eligibility is restricted to households that have a Commonwealth Pensioner Concession Card, Health Care Card, or a Department of Veterans’ Affairs Gold Card.</w:t>
      </w:r>
    </w:p>
  </w:footnote>
  <w:footnote w:id="40">
    <w:p w:rsidR="008F20C0" w:rsidRDefault="008F20C0">
      <w:pPr>
        <w:pStyle w:val="Footnote"/>
      </w:pPr>
      <w:r>
        <w:rPr>
          <w:vertAlign w:val="superscript"/>
        </w:rPr>
        <w:footnoteRef/>
      </w:r>
      <w:r>
        <w:tab/>
        <w:t xml:space="preserve">Eligibility is restricted to households that receive the Australian Government’s Family Tax Benefit A and/or B. </w:t>
      </w:r>
    </w:p>
  </w:footnote>
  <w:footnote w:id="41">
    <w:p w:rsidR="008F20C0" w:rsidRDefault="008F20C0">
      <w:pPr>
        <w:pStyle w:val="Footnote"/>
      </w:pPr>
      <w:r>
        <w:rPr>
          <w:vertAlign w:val="superscript"/>
        </w:rPr>
        <w:footnoteRef/>
      </w:r>
      <w:r>
        <w:tab/>
        <w:t xml:space="preserve"> Eligibility is limited to the holder of at least one of the following cards: Pensioner Concession Card, Health Care Card or Department of Veterans’ Affairs Gold Card.</w:t>
      </w:r>
    </w:p>
  </w:footnote>
  <w:footnote w:id="42">
    <w:p w:rsidR="008F20C0" w:rsidRDefault="008F20C0">
      <w:pPr>
        <w:pStyle w:val="Footnote"/>
      </w:pPr>
      <w:r>
        <w:rPr>
          <w:vertAlign w:val="superscript"/>
        </w:rPr>
        <w:footnoteRef/>
      </w:r>
      <w:r>
        <w:tab/>
        <w:t>The 17.5 per cent electricity concession does not apply to the first $171.60, and the 17.5 per cent winter concession does not apply to the first $62.40. Our analysis assumes constant electricity and gas consumption in each year, however it is likely that customers would consume more gas during winter periods (for heating), and therefore receive a greater part of the 17.5 per cent winter concession available to them.</w:t>
      </w:r>
    </w:p>
  </w:footnote>
  <w:footnote w:id="43">
    <w:p w:rsidR="008F20C0" w:rsidRDefault="008F20C0">
      <w:pPr>
        <w:pStyle w:val="Footnote"/>
      </w:pPr>
      <w:r>
        <w:rPr>
          <w:vertAlign w:val="superscript"/>
        </w:rPr>
        <w:footnoteRef/>
      </w:r>
      <w:r>
        <w:tab/>
        <w:t>Eligibility is restricted to households that have a Commonwealth Pensioner Concession Card, Health Care Card, or a Department of Veterans’ Affairs Gold Card.</w:t>
      </w:r>
    </w:p>
  </w:footnote>
  <w:footnote w:id="44">
    <w:p w:rsidR="008F20C0" w:rsidRDefault="008F20C0">
      <w:pPr>
        <w:pStyle w:val="Footnote"/>
      </w:pPr>
      <w:r>
        <w:rPr>
          <w:vertAlign w:val="superscript"/>
        </w:rPr>
        <w:footnoteRef/>
      </w:r>
      <w:r>
        <w:tab/>
      </w:r>
      <w:proofErr w:type="gramStart"/>
      <w:r>
        <w:t>Excludes customers that use prepayment meters.</w:t>
      </w:r>
      <w:proofErr w:type="gramEnd"/>
    </w:p>
  </w:footnote>
  <w:footnote w:id="45">
    <w:p w:rsidR="008F20C0" w:rsidRDefault="008F20C0">
      <w:pPr>
        <w:pStyle w:val="Footnote"/>
      </w:pPr>
      <w:r>
        <w:rPr>
          <w:vertAlign w:val="superscript"/>
        </w:rPr>
        <w:footnoteRef/>
      </w:r>
      <w:r>
        <w:tab/>
        <w:t xml:space="preserve">Eligibility is restricted to households that have a Commonwealth Pensioner Concession Card, Health Care Card or a Department of Veterans’ Affairs Gold Card. </w:t>
      </w:r>
    </w:p>
  </w:footnote>
  <w:footnote w:id="46">
    <w:p w:rsidR="008F20C0" w:rsidRDefault="008F20C0">
      <w:pPr>
        <w:pStyle w:val="Footnote"/>
      </w:pPr>
      <w:r>
        <w:rPr>
          <w:vertAlign w:val="superscript"/>
        </w:rPr>
        <w:footnoteRef/>
      </w:r>
      <w:r>
        <w:tab/>
        <w:t xml:space="preserve">Eligibility is restricted to households that hold a </w:t>
      </w:r>
      <w:proofErr w:type="spellStart"/>
      <w:r>
        <w:t>Centrelink</w:t>
      </w:r>
      <w:proofErr w:type="spellEnd"/>
      <w:r>
        <w:t xml:space="preserve"> Pensioner Concession Card, a </w:t>
      </w:r>
      <w:proofErr w:type="spellStart"/>
      <w:r>
        <w:t>Centrelink</w:t>
      </w:r>
      <w:proofErr w:type="spellEnd"/>
      <w:r>
        <w:t xml:space="preserve"> Low Income Health Care Card or a Department of Veterans’ Affairs Pensioner Concession Card.</w:t>
      </w:r>
    </w:p>
  </w:footnote>
  <w:footnote w:id="47">
    <w:p w:rsidR="008F20C0" w:rsidRDefault="008F20C0" w:rsidP="004E72E5">
      <w:pPr>
        <w:pStyle w:val="Footnote"/>
      </w:pPr>
      <w:r>
        <w:rPr>
          <w:vertAlign w:val="superscript"/>
        </w:rPr>
        <w:footnoteRef/>
      </w:r>
      <w:r>
        <w:tab/>
        <w:t>The phone systems currently used by Blue NRG could not provide this information.</w:t>
      </w:r>
    </w:p>
  </w:footnote>
  <w:footnote w:id="48">
    <w:p w:rsidR="008F20C0" w:rsidRDefault="008F20C0" w:rsidP="004E72E5">
      <w:pPr>
        <w:pStyle w:val="Footnote"/>
      </w:pPr>
      <w:r>
        <w:rPr>
          <w:vertAlign w:val="superscript"/>
        </w:rPr>
        <w:footnoteRef/>
      </w:r>
      <w:r>
        <w:tab/>
        <w:t>Savant Energy changed phone systems in March 2016, figure covers period from March 2016 to 30 June 2016.</w:t>
      </w:r>
    </w:p>
  </w:footnote>
  <w:footnote w:id="49">
    <w:p w:rsidR="008F20C0" w:rsidRDefault="008F20C0">
      <w:pPr>
        <w:pStyle w:val="Footnote"/>
      </w:pPr>
      <w:r>
        <w:rPr>
          <w:vertAlign w:val="superscript"/>
        </w:rPr>
        <w:footnoteRef/>
      </w:r>
      <w:r>
        <w:tab/>
        <w:t xml:space="preserve">National Energy Retail Law, s. 285(d). </w:t>
      </w:r>
    </w:p>
  </w:footnote>
  <w:footnote w:id="50">
    <w:p w:rsidR="008F20C0" w:rsidRDefault="008F20C0">
      <w:pPr>
        <w:pStyle w:val="Footnote"/>
      </w:pPr>
      <w:r>
        <w:rPr>
          <w:vertAlign w:val="superscript"/>
        </w:rPr>
        <w:footnoteRef/>
      </w:r>
      <w:r>
        <w:tab/>
        <w:t xml:space="preserve">Energy laws are defined to include national energy legislation, jurisdictional energy legislation, the Rules, the NER and the NGR and instruments made under this Law, the Rules, the NER and NGR (including the Retail Market Procedures). </w:t>
      </w:r>
    </w:p>
  </w:footnote>
  <w:footnote w:id="51">
    <w:p w:rsidR="008F20C0" w:rsidRDefault="008F20C0">
      <w:pPr>
        <w:pStyle w:val="Footnote"/>
      </w:pPr>
      <w:r>
        <w:rPr>
          <w:vertAlign w:val="superscript"/>
        </w:rPr>
        <w:footnoteRef/>
      </w:r>
      <w:r>
        <w:tab/>
        <w:t>National Energy Retail Law, s. 2.</w:t>
      </w:r>
    </w:p>
  </w:footnote>
  <w:footnote w:id="52">
    <w:p w:rsidR="008F20C0" w:rsidRDefault="008F20C0">
      <w:pPr>
        <w:pStyle w:val="Footnote"/>
      </w:pPr>
      <w:r>
        <w:rPr>
          <w:vertAlign w:val="superscript"/>
        </w:rPr>
        <w:footnoteRef/>
      </w:r>
      <w:r>
        <w:tab/>
        <w:t xml:space="preserve">Complaints to </w:t>
      </w:r>
      <w:proofErr w:type="spellStart"/>
      <w:r>
        <w:t>Ausgrid</w:t>
      </w:r>
      <w:proofErr w:type="spellEnd"/>
      <w:r>
        <w:t xml:space="preserve"> could not be distinguished between residential and non-residential customers as insufficient customer information was supplied.</w:t>
      </w:r>
    </w:p>
  </w:footnote>
  <w:footnote w:id="53">
    <w:p w:rsidR="008F20C0" w:rsidRDefault="008F20C0">
      <w:pPr>
        <w:pStyle w:val="Footnote"/>
      </w:pPr>
      <w:r>
        <w:rPr>
          <w:vertAlign w:val="superscript"/>
        </w:rPr>
        <w:footnoteRef/>
      </w:r>
      <w:r>
        <w:tab/>
        <w:t xml:space="preserve">Under </w:t>
      </w:r>
      <w:proofErr w:type="spellStart"/>
      <w:r>
        <w:t>Ausgrid’s</w:t>
      </w:r>
      <w:proofErr w:type="spellEnd"/>
      <w:r>
        <w:t xml:space="preserve"> Deemed Standard Connection Contract planned interruptions are no longer covered by the guaranteed customer service standards, and therefore there is no report on occasions and compensation for this period.</w:t>
      </w:r>
    </w:p>
  </w:footnote>
  <w:footnote w:id="54">
    <w:p w:rsidR="008F20C0" w:rsidRDefault="008F20C0">
      <w:pPr>
        <w:pStyle w:val="Footnote"/>
      </w:pPr>
      <w:r>
        <w:rPr>
          <w:vertAlign w:val="superscript"/>
        </w:rPr>
        <w:footnoteRef/>
      </w:r>
      <w:r>
        <w:tab/>
        <w:t xml:space="preserve">The Retail Rules require retailers to provide information to residential customers on their electricity bill regarding how their electricity consumption compares to similar sized households in their local area. ACIL Allen’s 2014 electricity benchmarks show that annual consumption has fallen 12.3 per cent on average from the 2011 survey. Consumption fell most in Queensland and South Australia where the penetration of PV systems is highest. The electricity bill benchmarks for residential customers 2014 report is available at: </w:t>
      </w:r>
      <w:hyperlink r:id="rId7" w:history="1">
        <w:r>
          <w:t>www.aer.gov.au/retail-markets/retail-guidelines/electricity-bill-benchmarks-for-residential-customers-2014</w:t>
        </w:r>
      </w:hyperlink>
      <w:r>
        <w:t>.</w:t>
      </w:r>
    </w:p>
  </w:footnote>
  <w:footnote w:id="55">
    <w:p w:rsidR="008F20C0" w:rsidRDefault="008F20C0">
      <w:pPr>
        <w:pStyle w:val="Footnote"/>
      </w:pPr>
      <w:r>
        <w:rPr>
          <w:vertAlign w:val="superscript"/>
        </w:rPr>
        <w:footnoteRef/>
      </w:r>
      <w:r>
        <w:tab/>
        <w:t xml:space="preserve">Data obtained from the Australian Bureau of Statistics (ABS) shows that low </w:t>
      </w:r>
      <w:proofErr w:type="gramStart"/>
      <w:r>
        <w:t>income</w:t>
      </w:r>
      <w:proofErr w:type="gramEnd"/>
      <w:r>
        <w:t xml:space="preserve"> households are on average one to two person households. </w:t>
      </w:r>
    </w:p>
  </w:footnote>
  <w:footnote w:id="56">
    <w:p w:rsidR="008F20C0" w:rsidRDefault="008F20C0">
      <w:pPr>
        <w:pStyle w:val="Footnote"/>
      </w:pPr>
      <w:r>
        <w:rPr>
          <w:vertAlign w:val="superscript"/>
        </w:rPr>
        <w:footnoteRef/>
      </w:r>
      <w:r>
        <w:tab/>
        <w:t xml:space="preserve">ABS Catalogue 4670.0: Household Energy Consumption Survey 2012. Low income households used, on average, less electricity and gas compared to households in the highest income quintile.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1">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2">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4">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5">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7">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19">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2">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3">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24">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25">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6"/>
  </w:num>
  <w:num w:numId="3">
    <w:abstractNumId w:val="7"/>
  </w:num>
  <w:num w:numId="4">
    <w:abstractNumId w:val="6"/>
  </w:num>
  <w:num w:numId="5">
    <w:abstractNumId w:val="5"/>
  </w:num>
  <w:num w:numId="6">
    <w:abstractNumId w:val="4"/>
  </w:num>
  <w:num w:numId="7">
    <w:abstractNumId w:val="1"/>
  </w:num>
  <w:num w:numId="8">
    <w:abstractNumId w:val="0"/>
  </w:num>
  <w:num w:numId="9">
    <w:abstractNumId w:val="21"/>
  </w:num>
  <w:num w:numId="10">
    <w:abstractNumId w:val="15"/>
  </w:num>
  <w:num w:numId="11">
    <w:abstractNumId w:val="9"/>
  </w:num>
  <w:num w:numId="12">
    <w:abstractNumId w:val="12"/>
  </w:num>
  <w:num w:numId="13">
    <w:abstractNumId w:val="14"/>
  </w:num>
  <w:num w:numId="14">
    <w:abstractNumId w:val="2"/>
  </w:num>
  <w:num w:numId="15">
    <w:abstractNumId w:val="22"/>
  </w:num>
  <w:num w:numId="16">
    <w:abstractNumId w:val="25"/>
  </w:num>
  <w:num w:numId="17">
    <w:abstractNumId w:val="24"/>
  </w:num>
  <w:num w:numId="18">
    <w:abstractNumId w:val="18"/>
  </w:num>
  <w:num w:numId="19">
    <w:abstractNumId w:val="13"/>
  </w:num>
  <w:num w:numId="20">
    <w:abstractNumId w:val="16"/>
  </w:num>
  <w:num w:numId="21">
    <w:abstractNumId w:val="23"/>
  </w:num>
  <w:num w:numId="22">
    <w:abstractNumId w:val="19"/>
  </w:num>
  <w:num w:numId="23">
    <w:abstractNumId w:val="8"/>
  </w:num>
  <w:num w:numId="24">
    <w:abstractNumId w:val="3"/>
  </w:num>
  <w:num w:numId="25">
    <w:abstractNumId w:val="17"/>
  </w:num>
  <w:num w:numId="26">
    <w:abstractNumId w:val="11"/>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Moves/>
  <w:defaultTabStop w:val="34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Users\acrow\AppData\Local\Microsoft\Windows\Temporary Internet Files\Content.Outlook\JIAZFIKN\1124_AER Performance AR 201516.doc"/>
  </w:docVars>
  <w:rsids>
    <w:rsidRoot w:val="00697BCD"/>
    <w:rsid w:val="0002115F"/>
    <w:rsid w:val="00021202"/>
    <w:rsid w:val="000225C4"/>
    <w:rsid w:val="0003578C"/>
    <w:rsid w:val="00063247"/>
    <w:rsid w:val="00070F9F"/>
    <w:rsid w:val="0007137B"/>
    <w:rsid w:val="00085663"/>
    <w:rsid w:val="00085EBF"/>
    <w:rsid w:val="000D122C"/>
    <w:rsid w:val="000E1819"/>
    <w:rsid w:val="000E6C72"/>
    <w:rsid w:val="000F2368"/>
    <w:rsid w:val="000F3A56"/>
    <w:rsid w:val="00116EB2"/>
    <w:rsid w:val="00124609"/>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12737"/>
    <w:rsid w:val="00224DB9"/>
    <w:rsid w:val="00251745"/>
    <w:rsid w:val="00263AC0"/>
    <w:rsid w:val="0026772D"/>
    <w:rsid w:val="00286874"/>
    <w:rsid w:val="00296B65"/>
    <w:rsid w:val="002A30C9"/>
    <w:rsid w:val="002A7DEF"/>
    <w:rsid w:val="002F7986"/>
    <w:rsid w:val="00303C4A"/>
    <w:rsid w:val="00307F6D"/>
    <w:rsid w:val="003177A2"/>
    <w:rsid w:val="003271B5"/>
    <w:rsid w:val="003301BA"/>
    <w:rsid w:val="00330CA0"/>
    <w:rsid w:val="00331264"/>
    <w:rsid w:val="00334C8D"/>
    <w:rsid w:val="00340655"/>
    <w:rsid w:val="003459E6"/>
    <w:rsid w:val="003518B3"/>
    <w:rsid w:val="00371641"/>
    <w:rsid w:val="003846F1"/>
    <w:rsid w:val="00391B03"/>
    <w:rsid w:val="003A673F"/>
    <w:rsid w:val="003B5A70"/>
    <w:rsid w:val="00450BF1"/>
    <w:rsid w:val="00475DDE"/>
    <w:rsid w:val="00480B4B"/>
    <w:rsid w:val="00485DC4"/>
    <w:rsid w:val="004B4412"/>
    <w:rsid w:val="004C348C"/>
    <w:rsid w:val="004D55BA"/>
    <w:rsid w:val="004E72E5"/>
    <w:rsid w:val="005038DB"/>
    <w:rsid w:val="0052379B"/>
    <w:rsid w:val="00530128"/>
    <w:rsid w:val="00532467"/>
    <w:rsid w:val="00547BA2"/>
    <w:rsid w:val="00547CCF"/>
    <w:rsid w:val="00564A4D"/>
    <w:rsid w:val="00571B35"/>
    <w:rsid w:val="00571C9F"/>
    <w:rsid w:val="00577A09"/>
    <w:rsid w:val="00580B78"/>
    <w:rsid w:val="00584D8F"/>
    <w:rsid w:val="00596D42"/>
    <w:rsid w:val="005A404D"/>
    <w:rsid w:val="005B1E3C"/>
    <w:rsid w:val="005C24AC"/>
    <w:rsid w:val="005C26CC"/>
    <w:rsid w:val="005E6C0E"/>
    <w:rsid w:val="00615C6B"/>
    <w:rsid w:val="00624E11"/>
    <w:rsid w:val="00632D6D"/>
    <w:rsid w:val="00642C3E"/>
    <w:rsid w:val="00646025"/>
    <w:rsid w:val="00663DAD"/>
    <w:rsid w:val="00676679"/>
    <w:rsid w:val="00691616"/>
    <w:rsid w:val="00697BCD"/>
    <w:rsid w:val="006B1E9F"/>
    <w:rsid w:val="006B4CF9"/>
    <w:rsid w:val="006B7AC8"/>
    <w:rsid w:val="006D550F"/>
    <w:rsid w:val="006D77F3"/>
    <w:rsid w:val="00701CAB"/>
    <w:rsid w:val="00707563"/>
    <w:rsid w:val="00714774"/>
    <w:rsid w:val="0072348C"/>
    <w:rsid w:val="00724A37"/>
    <w:rsid w:val="007303C3"/>
    <w:rsid w:val="00743223"/>
    <w:rsid w:val="00745268"/>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8007E"/>
    <w:rsid w:val="008837AC"/>
    <w:rsid w:val="008945B4"/>
    <w:rsid w:val="008A587D"/>
    <w:rsid w:val="008A6D64"/>
    <w:rsid w:val="008C5486"/>
    <w:rsid w:val="008E7031"/>
    <w:rsid w:val="008F20C0"/>
    <w:rsid w:val="00922C95"/>
    <w:rsid w:val="009233EE"/>
    <w:rsid w:val="0092682E"/>
    <w:rsid w:val="009661DE"/>
    <w:rsid w:val="009856B7"/>
    <w:rsid w:val="0098602B"/>
    <w:rsid w:val="00991B3B"/>
    <w:rsid w:val="0099629E"/>
    <w:rsid w:val="009962BA"/>
    <w:rsid w:val="009B74B0"/>
    <w:rsid w:val="009D1DEC"/>
    <w:rsid w:val="009D4414"/>
    <w:rsid w:val="009D6B46"/>
    <w:rsid w:val="009E6D87"/>
    <w:rsid w:val="009F4940"/>
    <w:rsid w:val="00A1665B"/>
    <w:rsid w:val="00A4478A"/>
    <w:rsid w:val="00A44852"/>
    <w:rsid w:val="00A57D04"/>
    <w:rsid w:val="00A60A26"/>
    <w:rsid w:val="00A61598"/>
    <w:rsid w:val="00A84F46"/>
    <w:rsid w:val="00A871F4"/>
    <w:rsid w:val="00AC1B2C"/>
    <w:rsid w:val="00AC3264"/>
    <w:rsid w:val="00AC6F01"/>
    <w:rsid w:val="00AE0FE2"/>
    <w:rsid w:val="00AE1BF1"/>
    <w:rsid w:val="00AF0DD2"/>
    <w:rsid w:val="00B10314"/>
    <w:rsid w:val="00B13048"/>
    <w:rsid w:val="00B15998"/>
    <w:rsid w:val="00B1716D"/>
    <w:rsid w:val="00B17A1D"/>
    <w:rsid w:val="00B207A0"/>
    <w:rsid w:val="00B56E03"/>
    <w:rsid w:val="00B5719C"/>
    <w:rsid w:val="00B60F5D"/>
    <w:rsid w:val="00B67E91"/>
    <w:rsid w:val="00B8080B"/>
    <w:rsid w:val="00B87C39"/>
    <w:rsid w:val="00BA4665"/>
    <w:rsid w:val="00BA5586"/>
    <w:rsid w:val="00BB2FB2"/>
    <w:rsid w:val="00BB3304"/>
    <w:rsid w:val="00BD3446"/>
    <w:rsid w:val="00BE1F1B"/>
    <w:rsid w:val="00BE47B5"/>
    <w:rsid w:val="00BE4C99"/>
    <w:rsid w:val="00BF05A8"/>
    <w:rsid w:val="00BF55FB"/>
    <w:rsid w:val="00C058AB"/>
    <w:rsid w:val="00C06739"/>
    <w:rsid w:val="00C35225"/>
    <w:rsid w:val="00C538A9"/>
    <w:rsid w:val="00C53B5A"/>
    <w:rsid w:val="00C54F5A"/>
    <w:rsid w:val="00C755AD"/>
    <w:rsid w:val="00C86679"/>
    <w:rsid w:val="00CB0566"/>
    <w:rsid w:val="00CB666B"/>
    <w:rsid w:val="00CF799E"/>
    <w:rsid w:val="00D01CF0"/>
    <w:rsid w:val="00D0442A"/>
    <w:rsid w:val="00D203E1"/>
    <w:rsid w:val="00D544B8"/>
    <w:rsid w:val="00D61388"/>
    <w:rsid w:val="00D61A54"/>
    <w:rsid w:val="00D64DEA"/>
    <w:rsid w:val="00D80893"/>
    <w:rsid w:val="00D92CF1"/>
    <w:rsid w:val="00D92D38"/>
    <w:rsid w:val="00D950F5"/>
    <w:rsid w:val="00DB0F93"/>
    <w:rsid w:val="00DC542F"/>
    <w:rsid w:val="00DC7981"/>
    <w:rsid w:val="00DE4EFA"/>
    <w:rsid w:val="00DE5520"/>
    <w:rsid w:val="00E04818"/>
    <w:rsid w:val="00E06442"/>
    <w:rsid w:val="00E23993"/>
    <w:rsid w:val="00E25B8C"/>
    <w:rsid w:val="00E4674F"/>
    <w:rsid w:val="00E5174A"/>
    <w:rsid w:val="00E65C85"/>
    <w:rsid w:val="00E66199"/>
    <w:rsid w:val="00E755EC"/>
    <w:rsid w:val="00E7624D"/>
    <w:rsid w:val="00EA3D42"/>
    <w:rsid w:val="00EA6B1B"/>
    <w:rsid w:val="00EB51D5"/>
    <w:rsid w:val="00EC4210"/>
    <w:rsid w:val="00EE28F3"/>
    <w:rsid w:val="00EF5110"/>
    <w:rsid w:val="00F049B4"/>
    <w:rsid w:val="00F15882"/>
    <w:rsid w:val="00F20BD3"/>
    <w:rsid w:val="00F373A5"/>
    <w:rsid w:val="00F47559"/>
    <w:rsid w:val="00F60BE4"/>
    <w:rsid w:val="00F61B84"/>
    <w:rsid w:val="00F64C7B"/>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pPr>
      <w:spacing w:before="200"/>
    </w:pPr>
    <w:rPr>
      <w:sz w:val="22"/>
      <w:szCs w:val="22"/>
      <w:lang w:eastAsia="en-US"/>
    </w:rPr>
  </w:style>
  <w:style w:type="paragraph" w:styleId="Heading1">
    <w:name w:val="heading 1"/>
    <w:basedOn w:val="Normal"/>
    <w:next w:val="Normal"/>
    <w:link w:val="Heading1Char"/>
    <w:qFormat/>
    <w:rsid w:val="00697BCD"/>
    <w:pPr>
      <w:keepNext/>
      <w:spacing w:before="240"/>
      <w:outlineLvl w:val="0"/>
    </w:pPr>
    <w:rPr>
      <w:rFonts w:ascii="Lucida Fax" w:eastAsia="Times New Roman" w:hAnsi="Lucida Fax"/>
      <w:bCs/>
      <w:color w:val="51626F"/>
      <w:sz w:val="32"/>
      <w:szCs w:val="28"/>
    </w:rPr>
  </w:style>
  <w:style w:type="paragraph" w:styleId="Heading2">
    <w:name w:val="heading 2"/>
    <w:next w:val="Normal"/>
    <w:link w:val="Heading2Char"/>
    <w:qFormat/>
    <w:rsid w:val="00697BCD"/>
    <w:pPr>
      <w:keepNext/>
      <w:spacing w:before="200" w:line="240" w:lineRule="atLeast"/>
      <w:outlineLvl w:val="1"/>
    </w:pPr>
    <w:rPr>
      <w:rFonts w:eastAsia="Times New Roman"/>
      <w:b/>
      <w:bCs/>
      <w:color w:val="51626F"/>
      <w:sz w:val="28"/>
      <w:szCs w:val="26"/>
      <w:lang w:eastAsia="en-US"/>
    </w:rPr>
  </w:style>
  <w:style w:type="paragraph" w:styleId="Heading3">
    <w:name w:val="heading 3"/>
    <w:basedOn w:val="Normal"/>
    <w:next w:val="Normal"/>
    <w:link w:val="Heading3Char"/>
    <w:qFormat/>
    <w:rsid w:val="009D6B46"/>
    <w:pPr>
      <w:spacing w:before="240"/>
      <w:outlineLvl w:val="2"/>
    </w:pPr>
    <w:rPr>
      <w:rFonts w:eastAsia="Times New Roman"/>
      <w:b/>
      <w:bCs/>
      <w:color w:val="000000"/>
      <w:sz w:val="24"/>
    </w:rPr>
  </w:style>
  <w:style w:type="paragraph" w:styleId="Heading4">
    <w:name w:val="heading 4"/>
    <w:basedOn w:val="Normal"/>
    <w:next w:val="Normal"/>
    <w:link w:val="Heading4Char"/>
    <w:qFormat/>
    <w:rsid w:val="004E72E5"/>
    <w:pPr>
      <w:keepNext/>
      <w:spacing w:before="240"/>
      <w:outlineLvl w:val="3"/>
    </w:pPr>
    <w:rPr>
      <w:rFonts w:eastAsia="Times New Roman"/>
      <w:b/>
      <w:bCs/>
      <w:i/>
      <w:iCs/>
      <w:color w:val="51626F"/>
      <w:sz w:val="24"/>
    </w:rPr>
  </w:style>
  <w:style w:type="paragraph" w:styleId="Heading5">
    <w:name w:val="heading 5"/>
    <w:next w:val="Normal"/>
    <w:link w:val="Heading5Char"/>
    <w:uiPriority w:val="2"/>
    <w:qFormat/>
    <w:rsid w:val="009D6B46"/>
    <w:pPr>
      <w:spacing w:before="200" w:line="240" w:lineRule="atLeast"/>
      <w:outlineLvl w:val="4"/>
    </w:pPr>
    <w:rPr>
      <w:rFonts w:eastAsia="Times New Roman"/>
      <w:b/>
      <w:color w:val="283037"/>
      <w:sz w:val="22"/>
      <w:szCs w:val="22"/>
      <w:lang w:eastAsia="en-US"/>
    </w:rPr>
  </w:style>
  <w:style w:type="paragraph" w:styleId="Heading6">
    <w:name w:val="heading 6"/>
    <w:basedOn w:val="Normal"/>
    <w:next w:val="Normal"/>
    <w:link w:val="Heading6Char"/>
    <w:uiPriority w:val="2"/>
    <w:qFormat/>
    <w:rsid w:val="009D6B46"/>
    <w:pPr>
      <w:spacing w:before="240"/>
      <w:outlineLvl w:val="5"/>
    </w:pPr>
    <w:rPr>
      <w:rFonts w:eastAsia="Times New Roman"/>
      <w:b/>
      <w:i/>
      <w:iCs/>
    </w:rPr>
  </w:style>
  <w:style w:type="paragraph" w:styleId="Heading7">
    <w:name w:val="heading 7"/>
    <w:basedOn w:val="Normal"/>
    <w:next w:val="Normal"/>
    <w:link w:val="Heading7Char"/>
    <w:uiPriority w:val="2"/>
    <w:qFormat/>
    <w:rsid w:val="009D6B46"/>
    <w:pPr>
      <w:spacing w:before="240"/>
      <w:outlineLvl w:val="6"/>
    </w:pPr>
    <w:rPr>
      <w:rFonts w:eastAsia="Times New Roman"/>
      <w:i/>
      <w:iCs/>
      <w:color w:val="404040"/>
    </w:rPr>
  </w:style>
  <w:style w:type="paragraph" w:styleId="Heading8">
    <w:name w:val="heading 8"/>
    <w:basedOn w:val="Normal"/>
    <w:next w:val="Normal"/>
    <w:link w:val="Heading8Char"/>
    <w:uiPriority w:val="2"/>
    <w:qFormat/>
    <w:rsid w:val="009D6B46"/>
    <w:pPr>
      <w:spacing w:before="240"/>
      <w:outlineLvl w:val="7"/>
    </w:pPr>
    <w:rPr>
      <w:rFonts w:eastAsia="Times New Roman"/>
      <w:color w:val="51626F"/>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imes New Roman"/>
      <w:b/>
      <w:iCs/>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97BCD"/>
    <w:rPr>
      <w:rFonts w:ascii="Lucida Fax" w:eastAsia="Times New Roman" w:hAnsi="Lucida Fax" w:cs="Times New Roman"/>
      <w:bCs/>
      <w:color w:val="51626F"/>
      <w:sz w:val="32"/>
      <w:szCs w:val="28"/>
    </w:rPr>
  </w:style>
  <w:style w:type="character" w:customStyle="1" w:styleId="Heading2Char">
    <w:name w:val="Heading 2 Char"/>
    <w:link w:val="Heading2"/>
    <w:rsid w:val="00697BCD"/>
    <w:rPr>
      <w:rFonts w:ascii="Arial" w:eastAsia="Times New Roman" w:hAnsi="Arial" w:cs="Times New Roman"/>
      <w:b/>
      <w:bCs/>
      <w:color w:val="51626F"/>
      <w:sz w:val="28"/>
      <w:szCs w:val="26"/>
    </w:rPr>
  </w:style>
  <w:style w:type="character" w:customStyle="1" w:styleId="Heading3Char">
    <w:name w:val="Heading 3 Char"/>
    <w:link w:val="Heading3"/>
    <w:rsid w:val="009D6B46"/>
    <w:rPr>
      <w:rFonts w:ascii="Arial" w:eastAsia="Times New Roman" w:hAnsi="Arial" w:cs="Times New Roman"/>
      <w:b/>
      <w:bCs/>
      <w:color w:val="000000"/>
      <w:sz w:val="24"/>
    </w:rPr>
  </w:style>
  <w:style w:type="character" w:customStyle="1" w:styleId="Heading4Char">
    <w:name w:val="Heading 4 Char"/>
    <w:link w:val="Heading4"/>
    <w:rsid w:val="004E72E5"/>
    <w:rPr>
      <w:rFonts w:ascii="Arial" w:eastAsia="Times New Roman" w:hAnsi="Arial" w:cs="Times New Roman"/>
      <w:b/>
      <w:bCs/>
      <w:i/>
      <w:iCs/>
      <w:color w:val="51626F"/>
      <w:sz w:val="24"/>
    </w:rPr>
  </w:style>
  <w:style w:type="character" w:customStyle="1" w:styleId="Heading5Char">
    <w:name w:val="Heading 5 Char"/>
    <w:link w:val="Heading5"/>
    <w:uiPriority w:val="2"/>
    <w:rsid w:val="009D6B46"/>
    <w:rPr>
      <w:rFonts w:ascii="Arial" w:eastAsia="Times New Roman" w:hAnsi="Arial" w:cs="Times New Roman"/>
      <w:b/>
      <w:color w:val="283037"/>
    </w:rPr>
  </w:style>
  <w:style w:type="character" w:customStyle="1" w:styleId="Heading6Char">
    <w:name w:val="Heading 6 Char"/>
    <w:link w:val="Heading6"/>
    <w:uiPriority w:val="2"/>
    <w:rsid w:val="009D6B46"/>
    <w:rPr>
      <w:rFonts w:ascii="Arial" w:eastAsia="Times New Roman" w:hAnsi="Arial" w:cs="Times New Roman"/>
      <w:b/>
      <w:i/>
      <w:iCs/>
    </w:rPr>
  </w:style>
  <w:style w:type="character" w:customStyle="1" w:styleId="Heading7Char">
    <w:name w:val="Heading 7 Char"/>
    <w:link w:val="Heading7"/>
    <w:uiPriority w:val="2"/>
    <w:rsid w:val="009D6B46"/>
    <w:rPr>
      <w:rFonts w:ascii="Arial" w:eastAsia="Times New Roman" w:hAnsi="Arial" w:cs="Times New Roman"/>
      <w:i/>
      <w:iCs/>
      <w:color w:val="404040"/>
    </w:rPr>
  </w:style>
  <w:style w:type="character" w:customStyle="1" w:styleId="Heading8Char">
    <w:name w:val="Heading 8 Char"/>
    <w:link w:val="Heading8"/>
    <w:uiPriority w:val="2"/>
    <w:rsid w:val="009D6B46"/>
    <w:rPr>
      <w:rFonts w:ascii="Arial" w:eastAsia="Times New Roman" w:hAnsi="Arial" w:cs="Times New Roman"/>
      <w:color w:val="51626F"/>
      <w:szCs w:val="20"/>
    </w:rPr>
  </w:style>
  <w:style w:type="character" w:customStyle="1" w:styleId="Heading9Char">
    <w:name w:val="Heading 9 Char"/>
    <w:aliases w:val="Numbered Table Char"/>
    <w:link w:val="Heading9"/>
    <w:uiPriority w:val="2"/>
    <w:rsid w:val="00646025"/>
    <w:rPr>
      <w:rFonts w:ascii="Arial" w:eastAsia="Times New Roman" w:hAnsi="Arial" w:cs="Times New Roman"/>
      <w:b/>
      <w:iCs/>
      <w:color w:val="000000"/>
      <w:sz w:val="24"/>
      <w:szCs w:val="20"/>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character" w:customStyle="1" w:styleId="TabletextChar">
    <w:name w:val="Table text Char"/>
    <w:link w:val="Tabletext"/>
    <w:uiPriority w:val="1"/>
    <w:rsid w:val="00584D8F"/>
    <w:rPr>
      <w:rFonts w:ascii="Arial" w:hAnsi="Arial"/>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sz w:val="16"/>
      <w:szCs w:val="16"/>
    </w:rPr>
  </w:style>
  <w:style w:type="character" w:customStyle="1" w:styleId="CopyrighttextChar">
    <w:name w:val="Copyright text Char"/>
    <w:link w:val="Copyrighttext"/>
    <w:uiPriority w:val="2"/>
    <w:rsid w:val="00724A37"/>
    <w:rPr>
      <w:rFonts w:ascii="Arial" w:hAnsi="Arial"/>
      <w:color w:val="51626F"/>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character" w:customStyle="1" w:styleId="Numbered1Char">
    <w:name w:val="Numbered 1 Char"/>
    <w:link w:val="Numbered1"/>
    <w:rsid w:val="00F61B84"/>
    <w:rPr>
      <w:rFonts w:ascii="Lucida Fax" w:eastAsia="Times New Roman" w:hAnsi="Lucida Fax" w:cs="Times New Roman"/>
      <w:bCs/>
      <w:color w:val="51626F"/>
      <w:sz w:val="32"/>
      <w:szCs w:val="28"/>
    </w:r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B5719C"/>
    <w:pPr>
      <w:keepNext/>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sz w:val="18"/>
    </w:rPr>
  </w:style>
  <w:style w:type="character" w:customStyle="1" w:styleId="HeaderChar">
    <w:name w:val="Header Char"/>
    <w:link w:val="Header"/>
    <w:uiPriority w:val="99"/>
    <w:rsid w:val="008344F6"/>
    <w:rPr>
      <w:rFonts w:ascii="Arial" w:hAnsi="Arial"/>
      <w:color w:val="51626F"/>
      <w:sz w:val="18"/>
    </w:rPr>
  </w:style>
  <w:style w:type="paragraph" w:styleId="NoSpacing">
    <w:name w:val="No Spacing"/>
    <w:uiPriority w:val="1"/>
    <w:qFormat/>
    <w:rsid w:val="00724A37"/>
    <w:rPr>
      <w:sz w:val="22"/>
      <w:szCs w:val="22"/>
      <w:lang w:eastAsia="en-US"/>
    </w:rPr>
  </w:style>
  <w:style w:type="paragraph" w:customStyle="1" w:styleId="Tabletitle">
    <w:name w:val="Table title"/>
    <w:basedOn w:val="Normal"/>
    <w:link w:val="TabletitleChar"/>
    <w:qFormat/>
    <w:rsid w:val="00EB51D5"/>
    <w:pPr>
      <w:keepNext/>
      <w:spacing w:before="240" w:after="120"/>
    </w:pPr>
    <w:rPr>
      <w:b/>
      <w:szCs w:val="20"/>
    </w:rPr>
  </w:style>
  <w:style w:type="character" w:customStyle="1" w:styleId="TabletitleChar">
    <w:name w:val="Table title Char"/>
    <w:link w:val="Tabletitle"/>
    <w:rsid w:val="00EB51D5"/>
    <w:rPr>
      <w:rFonts w:ascii="Arial" w:hAnsi="Arial"/>
      <w:b/>
      <w:szCs w:val="20"/>
    </w:rPr>
  </w:style>
  <w:style w:type="paragraph" w:customStyle="1" w:styleId="Charttitle">
    <w:name w:val="Chart title"/>
    <w:basedOn w:val="Tabletitle"/>
    <w:rsid w:val="000F3A56"/>
    <w:rPr>
      <w:sz w:val="24"/>
    </w:rPr>
  </w:style>
  <w:style w:type="paragraph" w:styleId="EndnoteText">
    <w:name w:val="endnote text"/>
    <w:basedOn w:val="Normal"/>
    <w:link w:val="EndnoteTextChar"/>
    <w:uiPriority w:val="99"/>
    <w:rsid w:val="00263AC0"/>
    <w:pPr>
      <w:spacing w:before="0"/>
    </w:pPr>
    <w:rPr>
      <w:sz w:val="20"/>
      <w:szCs w:val="20"/>
    </w:rPr>
  </w:style>
  <w:style w:type="character" w:customStyle="1" w:styleId="EndnoteTextChar">
    <w:name w:val="Endnote Text Char"/>
    <w:link w:val="EndnoteText"/>
    <w:uiPriority w:val="99"/>
    <w:rsid w:val="00334C8D"/>
    <w:rPr>
      <w:rFonts w:ascii="Arial" w:hAnsi="Arial"/>
      <w:sz w:val="20"/>
      <w:szCs w:val="20"/>
    </w:rPr>
  </w:style>
  <w:style w:type="paragraph" w:customStyle="1" w:styleId="Boxedtext">
    <w:name w:val="Boxed text"/>
    <w:basedOn w:val="Normal"/>
    <w:link w:val="BoxedtextChar"/>
    <w:uiPriority w:val="1"/>
    <w:rsid w:val="00180157"/>
    <w:pPr>
      <w:pBdr>
        <w:top w:val="single" w:sz="4" w:space="1" w:color="FFFFFF"/>
        <w:left w:val="single" w:sz="4" w:space="4" w:color="FFFFFF"/>
        <w:bottom w:val="single" w:sz="4" w:space="1" w:color="FFFFFF"/>
        <w:right w:val="single" w:sz="4" w:space="4" w:color="FFFFFF"/>
      </w:pBdr>
      <w:shd w:val="clear" w:color="auto" w:fill="F2F2F2"/>
      <w:spacing w:after="240"/>
    </w:pPr>
    <w:rPr>
      <w:szCs w:val="20"/>
    </w:rPr>
  </w:style>
  <w:style w:type="character" w:customStyle="1" w:styleId="BoxedtextChar">
    <w:name w:val="Boxed text Char"/>
    <w:link w:val="Boxedtext"/>
    <w:uiPriority w:val="1"/>
    <w:rsid w:val="00AE1BF1"/>
    <w:rPr>
      <w:rFonts w:ascii="Arial" w:hAnsi="Arial"/>
      <w:szCs w:val="20"/>
      <w:shd w:val="clear" w:color="auto" w:fill="F2F2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 w:val="22"/>
      <w:szCs w:val="24"/>
      <w:lang w:eastAsia="en-US"/>
    </w:rPr>
  </w:style>
  <w:style w:type="character" w:customStyle="1" w:styleId="PullquotetextChar">
    <w:name w:val="Pull quote text 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link w:val="FootnoteText"/>
    <w:uiPriority w:val="2"/>
    <w:rsid w:val="003A673F"/>
    <w:rPr>
      <w:rFonts w:ascii="Arial" w:hAnsi="Arial"/>
      <w:sz w:val="16"/>
      <w:szCs w:val="20"/>
    </w:rPr>
  </w:style>
  <w:style w:type="character" w:customStyle="1" w:styleId="FootnotesChar">
    <w:name w:val="Footnotes Char"/>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rPr>
  </w:style>
  <w:style w:type="character" w:customStyle="1" w:styleId="QuoteChar">
    <w:name w:val="Quote Char"/>
    <w:link w:val="Quote"/>
    <w:uiPriority w:val="29"/>
    <w:rsid w:val="001D055E"/>
    <w:rPr>
      <w:rFonts w:ascii="Arial" w:hAnsi="Arial"/>
      <w:i/>
      <w:iCs/>
      <w:color w:val="000000"/>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ListNumber">
    <w:name w:val="List Number"/>
    <w:basedOn w:val="Normal"/>
    <w:uiPriority w:val="99"/>
    <w:rsid w:val="000F2368"/>
    <w:pPr>
      <w:numPr>
        <w:numId w:val="23"/>
      </w:numPr>
      <w:spacing w:before="120"/>
    </w:pPr>
    <w:rPr>
      <w:color w:val="000000"/>
    </w:rPr>
  </w:style>
  <w:style w:type="paragraph" w:styleId="TOCHeading">
    <w:name w:val="TOC Heading"/>
    <w:basedOn w:val="Normal"/>
    <w:next w:val="Normal"/>
    <w:uiPriority w:val="39"/>
    <w:qFormat/>
    <w:rsid w:val="00E04818"/>
    <w:pPr>
      <w:spacing w:before="480" w:after="120" w:line="276" w:lineRule="auto"/>
    </w:pPr>
    <w:rPr>
      <w:rFonts w:ascii="Lucida Fax" w:eastAsia="Times New Roman" w:hAnsi="Lucida Fax"/>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sz w:val="22"/>
      <w:szCs w:val="22"/>
      <w:lang w:eastAsia="en-US"/>
    </w:rPr>
  </w:style>
  <w:style w:type="character" w:styleId="Hyperlink">
    <w:name w:val="Hyperlink"/>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sz w:val="18"/>
    </w:rPr>
  </w:style>
  <w:style w:type="character" w:customStyle="1" w:styleId="FooterChar">
    <w:name w:val="Footer Char"/>
    <w:link w:val="Footer"/>
    <w:uiPriority w:val="99"/>
    <w:rsid w:val="00A57D04"/>
    <w:rPr>
      <w:rFonts w:ascii="Arial" w:hAnsi="Arial"/>
      <w:color w:val="51626F"/>
      <w:sz w:val="18"/>
    </w:rPr>
  </w:style>
  <w:style w:type="paragraph" w:styleId="ListParagraph">
    <w:name w:val="List Paragraph"/>
    <w:basedOn w:val="Normal"/>
    <w:uiPriority w:val="34"/>
    <w:qFormat/>
    <w:rsid w:val="00F61B84"/>
    <w:pPr>
      <w:numPr>
        <w:numId w:val="11"/>
      </w:numPr>
      <w:tabs>
        <w:tab w:val="left" w:pos="340"/>
      </w:tabs>
      <w:spacing w:before="120"/>
    </w:p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tblPr>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rPr>
      <w:color w:val="3C4953"/>
    </w:rPr>
    <w:tblPr>
      <w:tblStyleRowBandSize w:val="1"/>
      <w:tblStyleColBandSize w:val="1"/>
      <w:tblBorders>
        <w:top w:val="single" w:sz="8" w:space="0" w:color="51626F"/>
        <w:bottom w:val="single" w:sz="8" w:space="0" w:color="51626F"/>
      </w:tblBorders>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LightShading-Accent2">
    <w:name w:val="Light Shading Accent 2"/>
    <w:basedOn w:val="TableNormal"/>
    <w:uiPriority w:val="60"/>
    <w:rsid w:val="00746E01"/>
    <w:rPr>
      <w:color w:val="000000"/>
    </w:rPr>
    <w:tblPr>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rPr>
      <w:color w:val="007192"/>
    </w:rPr>
    <w:tblPr>
      <w:tblStyleRowBandSize w:val="1"/>
      <w:tblStyleColBandSize w:val="1"/>
      <w:tblBorders>
        <w:top w:val="single" w:sz="8" w:space="0" w:color="0098C3"/>
        <w:bottom w:val="single" w:sz="8" w:space="0" w:color="0098C3"/>
      </w:tblBorders>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LightGrid-Accent6">
    <w:name w:val="Light Grid Accent 6"/>
    <w:basedOn w:val="TableNormal"/>
    <w:uiPriority w:val="62"/>
    <w:rsid w:val="00A871F4"/>
    <w:tblPr>
      <w:tblStyleRowBandSize w:val="1"/>
      <w:tblStyleColBandSize w:val="1"/>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Pr>
    <w:tblStylePr w:type="firstRow">
      <w:pPr>
        <w:spacing w:before="0" w:after="0" w:line="240" w:lineRule="auto"/>
      </w:pPr>
      <w:rPr>
        <w:rFonts w:ascii="Lucida Fax" w:eastAsia="Times New Roman" w:hAnsi="Lucida Fax"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Lucida Fax" w:eastAsia="Times New Roman" w:hAnsi="Lucida Fax"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MediumShading1">
    <w:name w:val="Medium Shading 1"/>
    <w:basedOn w:val="TableNormal"/>
    <w:uiPriority w:val="63"/>
    <w:rsid w:val="00A871F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tblPr>
      <w:tblStyleRowBandSize w:val="1"/>
      <w:tblStyleColBandSize w:val="1"/>
      <w:tblBorders>
        <w:top w:val="single" w:sz="8" w:space="0" w:color="758A9A"/>
        <w:left w:val="single" w:sz="8" w:space="0" w:color="758A9A"/>
        <w:bottom w:val="single" w:sz="8" w:space="0" w:color="758A9A"/>
        <w:right w:val="single" w:sz="8" w:space="0" w:color="758A9A"/>
        <w:insideH w:val="single" w:sz="8" w:space="0" w:color="758A9A"/>
      </w:tblBorders>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tblPr>
      <w:tblStyleRowBandSize w:val="1"/>
      <w:tblStyleColBandSize w:val="1"/>
      <w:tblBorders>
        <w:top w:val="single" w:sz="8" w:space="0" w:color="7643BB"/>
        <w:left w:val="single" w:sz="8" w:space="0" w:color="7643BB"/>
        <w:bottom w:val="single" w:sz="8" w:space="0" w:color="7643BB"/>
        <w:right w:val="single" w:sz="8" w:space="0" w:color="7643BB"/>
        <w:insideH w:val="single" w:sz="8" w:space="0" w:color="7643BB"/>
      </w:tblBorders>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tblPr>
      <w:tblStyleRowBandSize w:val="1"/>
      <w:tblStyleColBandSize w:val="1"/>
      <w:tblBorders>
        <w:top w:val="single" w:sz="8" w:space="0" w:color="13CAFF"/>
        <w:left w:val="single" w:sz="8" w:space="0" w:color="13CAFF"/>
        <w:bottom w:val="single" w:sz="8" w:space="0" w:color="13CAFF"/>
        <w:right w:val="single" w:sz="8" w:space="0" w:color="13CAFF"/>
        <w:insideH w:val="single" w:sz="8" w:space="0" w:color="13CAFF"/>
      </w:tblBorders>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tblPr>
      <w:tblStyleRowBandSize w:val="1"/>
      <w:tblStyleColBandSize w:val="1"/>
      <w:tblBorders>
        <w:top w:val="single" w:sz="8" w:space="0" w:color="B7DAF0"/>
        <w:left w:val="single" w:sz="8" w:space="0" w:color="B7DAF0"/>
        <w:bottom w:val="single" w:sz="8" w:space="0" w:color="B7DAF0"/>
        <w:right w:val="single" w:sz="8" w:space="0" w:color="B7DAF0"/>
        <w:insideH w:val="single" w:sz="8" w:space="0" w:color="B7DAF0"/>
      </w:tblBorders>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tblPr>
      <w:tblStyleRowBandSize w:val="1"/>
      <w:tblStyleColBandSize w:val="1"/>
      <w:tblBorders>
        <w:top w:val="single" w:sz="8" w:space="0" w:color="FC220E"/>
        <w:left w:val="single" w:sz="8" w:space="0" w:color="FC220E"/>
        <w:bottom w:val="single" w:sz="8" w:space="0" w:color="FC220E"/>
        <w:right w:val="single" w:sz="8" w:space="0" w:color="FC220E"/>
        <w:insideH w:val="single" w:sz="8" w:space="0" w:color="FC220E"/>
      </w:tblBorders>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LightList">
    <w:name w:val="Light List"/>
    <w:basedOn w:val="TableNormal"/>
    <w:uiPriority w:val="61"/>
    <w:rsid w:val="00A871F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A871F4"/>
    <w:rPr>
      <w:color w:val="880D01"/>
    </w:rPr>
    <w:tblPr>
      <w:tblStyleRowBandSize w:val="1"/>
      <w:tblStyleColBandSize w:val="1"/>
      <w:tblBorders>
        <w:top w:val="single" w:sz="8" w:space="0" w:color="B71202"/>
        <w:bottom w:val="single" w:sz="8" w:space="0" w:color="B71202"/>
      </w:tblBorders>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LightGrid-Accent3">
    <w:name w:val="Light Grid Accent 3"/>
    <w:basedOn w:val="TableNormal"/>
    <w:uiPriority w:val="62"/>
    <w:rsid w:val="00A871F4"/>
    <w:tblPr>
      <w:tblStyleRowBandSize w:val="1"/>
      <w:tblStyleColBandSize w:val="1"/>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Pr>
    <w:tblStylePr w:type="firstRow">
      <w:pPr>
        <w:spacing w:before="0" w:after="0" w:line="240" w:lineRule="auto"/>
      </w:pPr>
      <w:rPr>
        <w:rFonts w:ascii="Lucida Fax" w:eastAsia="Times New Roman" w:hAnsi="Lucida Fax"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Lucida Fax" w:eastAsia="Times New Roman" w:hAnsi="Lucida Fax"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99629E"/>
    <w:pPr>
      <w:spacing w:before="0" w:after="120"/>
      <w:contextualSpacing/>
      <w:outlineLvl w:val="0"/>
    </w:pPr>
    <w:rPr>
      <w:rFonts w:ascii="Lucida Fax" w:eastAsia="Times New Roman" w:hAnsi="Lucida Fax"/>
      <w:color w:val="4F2D7D"/>
      <w:spacing w:val="5"/>
      <w:kern w:val="28"/>
      <w:sz w:val="72"/>
      <w:szCs w:val="52"/>
    </w:rPr>
  </w:style>
  <w:style w:type="character" w:customStyle="1" w:styleId="TitleChar">
    <w:name w:val="Title Char"/>
    <w:link w:val="Title"/>
    <w:uiPriority w:val="10"/>
    <w:rsid w:val="0099629E"/>
    <w:rPr>
      <w:rFonts w:ascii="Lucida Fax" w:eastAsia="Times New Roman" w:hAnsi="Lucida Fax" w:cs="Times New Roman"/>
      <w:color w:val="4F2D7D"/>
      <w:spacing w:val="5"/>
      <w:kern w:val="28"/>
      <w:sz w:val="72"/>
      <w:szCs w:val="52"/>
    </w:rPr>
  </w:style>
  <w:style w:type="paragraph" w:customStyle="1" w:styleId="CoverDate">
    <w:name w:val="Cover Date"/>
    <w:rsid w:val="00E4674F"/>
    <w:pPr>
      <w:spacing w:before="200"/>
    </w:pPr>
    <w:rPr>
      <w:rFonts w:ascii="Lucida Fax" w:hAnsi="Lucida Fax"/>
      <w:color w:val="DC5034"/>
      <w:sz w:val="24"/>
      <w:szCs w:val="24"/>
      <w:lang w:eastAsia="en-US"/>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tblPr>
      <w:tblStyleRowBandSize w:val="1"/>
      <w:tblStyleColBandSize w:val="1"/>
      <w:tblBorders>
        <w:top w:val="single" w:sz="8" w:space="0" w:color="51626F"/>
        <w:left w:val="single" w:sz="8" w:space="0" w:color="51626F"/>
        <w:bottom w:val="single" w:sz="8" w:space="0" w:color="51626F"/>
        <w:right w:val="single" w:sz="8" w:space="0" w:color="51626F"/>
      </w:tblBorders>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LightList-Accent3">
    <w:name w:val="Light List Accent 3"/>
    <w:basedOn w:val="TableNormal"/>
    <w:uiPriority w:val="61"/>
    <w:rsid w:val="0081034E"/>
    <w:tblPr>
      <w:tblStyleRowBandSize w:val="1"/>
      <w:tblStyleColBandSize w:val="1"/>
      <w:tblBorders>
        <w:top w:val="single" w:sz="8" w:space="0" w:color="0098C3"/>
        <w:left w:val="single" w:sz="8" w:space="0" w:color="0098C3"/>
        <w:bottom w:val="single" w:sz="8" w:space="0" w:color="0098C3"/>
        <w:right w:val="single" w:sz="8" w:space="0" w:color="0098C3"/>
      </w:tblBorders>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LightList-Accent5">
    <w:name w:val="Light List Accent 5"/>
    <w:basedOn w:val="TableNormal"/>
    <w:uiPriority w:val="61"/>
    <w:rsid w:val="005B1E3C"/>
    <w:tblPr>
      <w:tblStyleRowBandSize w:val="1"/>
      <w:tblStyleColBandSize w:val="1"/>
      <w:tblBorders>
        <w:top w:val="single" w:sz="8" w:space="0" w:color="B71202"/>
        <w:left w:val="single" w:sz="8" w:space="0" w:color="B71202"/>
        <w:bottom w:val="single" w:sz="8" w:space="0" w:color="B71202"/>
        <w:right w:val="single" w:sz="8" w:space="0" w:color="B71202"/>
      </w:tblBorders>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character" w:styleId="Emphasis">
    <w:name w:val="Emphasis"/>
    <w:uiPriority w:val="20"/>
    <w:qFormat/>
    <w:rsid w:val="00701CAB"/>
    <w:rPr>
      <w:i/>
      <w:iCs/>
    </w:rPr>
  </w:style>
  <w:style w:type="paragraph" w:styleId="NormalIndent">
    <w:name w:val="Normal Indent"/>
    <w:basedOn w:val="Normal"/>
    <w:uiPriority w:val="1"/>
    <w:rsid w:val="00085663"/>
    <w:pPr>
      <w:ind w:left="720"/>
    </w:pPr>
  </w:style>
  <w:style w:type="character" w:styleId="FootnoteReference">
    <w:name w:val="footnote reference"/>
    <w:uiPriority w:val="99"/>
    <w:semiHidden/>
    <w:unhideWhenUsed/>
    <w:rsid w:val="00701CAB"/>
    <w:rPr>
      <w:vertAlign w:val="superscript"/>
    </w:rPr>
  </w:style>
  <w:style w:type="character" w:styleId="Strong">
    <w:name w:val="Strong"/>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lang w:eastAsia="en-US"/>
    </w:rPr>
  </w:style>
  <w:style w:type="character" w:customStyle="1" w:styleId="SubtitleChar">
    <w:name w:val="Subtitle Char"/>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rPr>
      <w:color w:val="4DA5D9"/>
    </w:rPr>
    <w:tblPr>
      <w:tblStyleRowBandSize w:val="1"/>
      <w:tblStyleColBandSize w:val="1"/>
      <w:tblBorders>
        <w:top w:val="single" w:sz="8" w:space="0" w:color="A0CFEB"/>
        <w:bottom w:val="single" w:sz="8" w:space="0" w:color="A0CFEB"/>
      </w:tblBorders>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LightShading-Accent6">
    <w:name w:val="Light Shading Accent 6"/>
    <w:basedOn w:val="TableNormal"/>
    <w:uiPriority w:val="60"/>
    <w:rsid w:val="00746E01"/>
    <w:rPr>
      <w:color w:val="AD351E"/>
    </w:rPr>
    <w:tblPr>
      <w:tblStyleRowBandSize w:val="1"/>
      <w:tblStyleColBandSize w:val="1"/>
      <w:tblBorders>
        <w:top w:val="single" w:sz="8" w:space="0" w:color="DC5034"/>
        <w:bottom w:val="single" w:sz="8" w:space="0" w:color="DC5034"/>
      </w:tblBorders>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tblPr>
      <w:tblStyleRowBandSize w:val="1"/>
      <w:tblStyleColBandSize w:val="1"/>
      <w:tblBorders>
        <w:top w:val="single" w:sz="8" w:space="0" w:color="4F2D7D"/>
        <w:left w:val="single" w:sz="8" w:space="0" w:color="4F2D7D"/>
        <w:bottom w:val="single" w:sz="8" w:space="0" w:color="4F2D7D"/>
        <w:right w:val="single" w:sz="8" w:space="0" w:color="4F2D7D"/>
      </w:tblBorders>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LightList-Accent4">
    <w:name w:val="Light List Accent 4"/>
    <w:basedOn w:val="TableNormal"/>
    <w:uiPriority w:val="61"/>
    <w:rsid w:val="009661DE"/>
    <w:tblPr>
      <w:tblStyleRowBandSize w:val="1"/>
      <w:tblStyleColBandSize w:val="1"/>
      <w:tblBorders>
        <w:top w:val="single" w:sz="8" w:space="0" w:color="A0CFEB"/>
        <w:left w:val="single" w:sz="8" w:space="0" w:color="A0CFEB"/>
        <w:bottom w:val="single" w:sz="8" w:space="0" w:color="A0CFEB"/>
        <w:right w:val="single" w:sz="8" w:space="0" w:color="A0CFEB"/>
      </w:tblBorders>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LightList-Accent6">
    <w:name w:val="Light List Accent 6"/>
    <w:basedOn w:val="TableNormal"/>
    <w:uiPriority w:val="61"/>
    <w:rsid w:val="009661DE"/>
    <w:tblPr>
      <w:tblStyleRowBandSize w:val="1"/>
      <w:tblStyleColBandSize w:val="1"/>
      <w:tblBorders>
        <w:top w:val="single" w:sz="8" w:space="0" w:color="DC5034"/>
        <w:left w:val="single" w:sz="8" w:space="0" w:color="DC5034"/>
        <w:bottom w:val="single" w:sz="8" w:space="0" w:color="DC5034"/>
        <w:right w:val="single" w:sz="8" w:space="0" w:color="DC5034"/>
      </w:tblBorders>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LightGrid">
    <w:name w:val="Light Grid"/>
    <w:basedOn w:val="TableNormal"/>
    <w:uiPriority w:val="62"/>
    <w:rsid w:val="009661D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ucida Fax" w:eastAsia="Times New Roman" w:hAnsi="Lucida Fax"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ucida Fax" w:eastAsia="Times New Roman" w:hAnsi="Lucida Fax"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9661DE"/>
    <w:tblPr>
      <w:tblStyleRowBandSize w:val="1"/>
      <w:tblStyleColBandSize w:val="1"/>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Pr>
    <w:tblStylePr w:type="firstRow">
      <w:pPr>
        <w:spacing w:before="0" w:after="0" w:line="240" w:lineRule="auto"/>
      </w:pPr>
      <w:rPr>
        <w:rFonts w:ascii="Lucida Fax" w:eastAsia="Times New Roman" w:hAnsi="Lucida Fax"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Lucida Fax" w:eastAsia="Times New Roman" w:hAnsi="Lucida Fax"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LightGrid-Accent2">
    <w:name w:val="Light Grid Accent 2"/>
    <w:basedOn w:val="TableNormal"/>
    <w:uiPriority w:val="62"/>
    <w:rsid w:val="009661DE"/>
    <w:tblPr>
      <w:tblStyleRowBandSize w:val="1"/>
      <w:tblStyleColBandSize w:val="1"/>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Pr>
    <w:tblStylePr w:type="firstRow">
      <w:pPr>
        <w:spacing w:before="0" w:after="0" w:line="240" w:lineRule="auto"/>
      </w:pPr>
      <w:rPr>
        <w:rFonts w:ascii="Lucida Fax" w:eastAsia="Times New Roman" w:hAnsi="Lucida Fax"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Lucida Fax" w:eastAsia="Times New Roman" w:hAnsi="Lucida Fax"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LightGrid-Accent4">
    <w:name w:val="Light Grid Accent 4"/>
    <w:basedOn w:val="TableNormal"/>
    <w:uiPriority w:val="62"/>
    <w:rsid w:val="009661DE"/>
    <w:tblPr>
      <w:tblStyleRowBandSize w:val="1"/>
      <w:tblStyleColBandSize w:val="1"/>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Pr>
    <w:tblStylePr w:type="firstRow">
      <w:pPr>
        <w:spacing w:before="0" w:after="0" w:line="240" w:lineRule="auto"/>
      </w:pPr>
      <w:rPr>
        <w:rFonts w:ascii="Lucida Fax" w:eastAsia="Times New Roman" w:hAnsi="Lucida Fax"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Lucida Fax" w:eastAsia="Times New Roman" w:hAnsi="Lucida Fax"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LightGrid-Accent5">
    <w:name w:val="Light Grid Accent 5"/>
    <w:basedOn w:val="TableNormal"/>
    <w:uiPriority w:val="62"/>
    <w:rsid w:val="009661DE"/>
    <w:tblPr>
      <w:tblStyleRowBandSize w:val="1"/>
      <w:tblStyleColBandSize w:val="1"/>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Pr>
    <w:tblStylePr w:type="firstRow">
      <w:pPr>
        <w:spacing w:before="0" w:after="0" w:line="240" w:lineRule="auto"/>
      </w:pPr>
      <w:rPr>
        <w:rFonts w:ascii="Lucida Fax" w:eastAsia="Times New Roman" w:hAnsi="Lucida Fax"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Lucida Fax" w:eastAsia="Times New Roman" w:hAnsi="Lucida Fax"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character" w:customStyle="1" w:styleId="TableHeadingChar">
    <w:name w:val="Table Heading Char"/>
    <w:link w:val="TableHeading"/>
    <w:rsid w:val="00584D8F"/>
    <w:rPr>
      <w:rFonts w:ascii="Arial" w:hAnsi="Arial"/>
      <w:b/>
      <w:sz w:val="20"/>
    </w:rPr>
  </w:style>
  <w:style w:type="paragraph" w:customStyle="1" w:styleId="Tabletext-right">
    <w:name w:val="Table text - right"/>
    <w:basedOn w:val="Tabletext"/>
    <w:link w:val="Tabletext-rightChar"/>
    <w:rsid w:val="00063247"/>
    <w:pPr>
      <w:jc w:val="right"/>
    </w:pPr>
    <w:rPr>
      <w:rFonts w:eastAsia="Times New Roman"/>
      <w:szCs w:val="20"/>
    </w:rPr>
  </w:style>
  <w:style w:type="character" w:customStyle="1" w:styleId="Tabletext-rightChar">
    <w:name w:val="Table text - right Char"/>
    <w:link w:val="Tabletext-right"/>
    <w:rsid w:val="00063247"/>
    <w:rPr>
      <w:rFonts w:ascii="Arial" w:eastAsia="Times New Roman" w:hAnsi="Arial" w:cs="Times New Roman"/>
      <w:sz w:val="20"/>
      <w:szCs w:val="20"/>
    </w:rPr>
  </w:style>
  <w:style w:type="paragraph" w:customStyle="1" w:styleId="Tabletext-centred">
    <w:name w:val="Table text - centred"/>
    <w:basedOn w:val="Tabletext-right"/>
    <w:link w:val="Tabletext-centredChar"/>
    <w:rsid w:val="00063247"/>
    <w:pPr>
      <w:jc w:val="center"/>
    </w:pPr>
  </w:style>
  <w:style w:type="character" w:customStyle="1" w:styleId="Tabletext-centredChar">
    <w:name w:val="Table text - centred Char"/>
    <w:link w:val="Tabletext-centred"/>
    <w:rsid w:val="00063247"/>
    <w:rPr>
      <w:rFonts w:ascii="Arial" w:eastAsia="Times New Roman" w:hAnsi="Arial" w:cs="Times New Roman"/>
      <w:sz w:val="20"/>
      <w:szCs w:val="20"/>
    </w:rPr>
  </w:style>
  <w:style w:type="paragraph" w:customStyle="1" w:styleId="TableHeading-right">
    <w:name w:val="Table Heading - right"/>
    <w:basedOn w:val="TableHeading"/>
    <w:link w:val="TableHeading-rightChar"/>
    <w:rsid w:val="00584D8F"/>
    <w:pPr>
      <w:jc w:val="right"/>
    </w:pPr>
    <w:rPr>
      <w:rFonts w:eastAsia="Times New Roman"/>
      <w:bCs/>
      <w:szCs w:val="20"/>
    </w:rPr>
  </w:style>
  <w:style w:type="character" w:customStyle="1" w:styleId="TableHeading-rightChar">
    <w:name w:val="Table Heading - right Char"/>
    <w:link w:val="TableHeading-right"/>
    <w:rsid w:val="00584D8F"/>
    <w:rPr>
      <w:rFonts w:ascii="Arial" w:eastAsia="Times New Roman" w:hAnsi="Arial" w:cs="Times New Roman"/>
      <w:b/>
      <w:bCs/>
      <w:sz w:val="20"/>
      <w:szCs w:val="20"/>
    </w:rPr>
  </w:style>
  <w:style w:type="paragraph" w:customStyle="1" w:styleId="TableHeading-centred">
    <w:name w:val="Table Heading - centred"/>
    <w:basedOn w:val="TableHeading"/>
    <w:rsid w:val="00584D8F"/>
    <w:pPr>
      <w:jc w:val="center"/>
    </w:pPr>
    <w:rPr>
      <w:rFonts w:eastAsia="Times New Roman"/>
      <w:bCs/>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tblPr>
      <w:tblBorders>
        <w:insideV w:val="single" w:sz="4" w:space="0" w:color="D5D6D2"/>
      </w:tblBorders>
    </w:tblPr>
    <w:tblStylePr w:type="firstRow">
      <w:rPr>
        <w:rFonts w:ascii="Arial" w:hAnsi="Arial"/>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paragraph" w:customStyle="1" w:styleId="Numberedparagraph">
    <w:name w:val="Numbered paragraph"/>
    <w:basedOn w:val="Normal"/>
    <w:rsid w:val="00B60F5D"/>
    <w:pPr>
      <w:numPr>
        <w:numId w:val="1"/>
      </w:numPr>
      <w:ind w:left="680" w:hanging="680"/>
    </w:pPr>
    <w:rPr>
      <w:rFonts w:eastAsia="Times New Roman"/>
      <w:color w:val="000000"/>
      <w:szCs w:val="20"/>
    </w:rPr>
  </w:style>
  <w:style w:type="paragraph" w:customStyle="1" w:styleId="Listalphabet2">
    <w:name w:val="List alphabet 2"/>
    <w:rsid w:val="00CF799E"/>
    <w:pPr>
      <w:numPr>
        <w:numId w:val="13"/>
      </w:numPr>
      <w:tabs>
        <w:tab w:val="left" w:pos="680"/>
      </w:tabs>
      <w:spacing w:before="120"/>
    </w:pPr>
    <w:rPr>
      <w:sz w:val="22"/>
      <w:szCs w:val="22"/>
      <w:lang w:eastAsia="en-US"/>
    </w:rPr>
  </w:style>
  <w:style w:type="paragraph" w:customStyle="1" w:styleId="Listalphabet3">
    <w:name w:val="List alphabet 3"/>
    <w:rsid w:val="00CF799E"/>
    <w:pPr>
      <w:numPr>
        <w:numId w:val="19"/>
      </w:numPr>
      <w:tabs>
        <w:tab w:val="left" w:pos="1021"/>
      </w:tabs>
      <w:spacing w:before="120"/>
    </w:pPr>
    <w:rPr>
      <w:sz w:val="22"/>
      <w:szCs w:val="22"/>
      <w:lang w:eastAsia="en-US"/>
    </w:rPr>
  </w:style>
  <w:style w:type="paragraph" w:customStyle="1" w:styleId="Listalphabet4">
    <w:name w:val="List alphabet 4"/>
    <w:rsid w:val="00CF799E"/>
    <w:pPr>
      <w:numPr>
        <w:numId w:val="20"/>
      </w:numPr>
      <w:tabs>
        <w:tab w:val="left" w:pos="1361"/>
      </w:tabs>
      <w:spacing w:before="120"/>
    </w:pPr>
    <w:rPr>
      <w:sz w:val="22"/>
      <w:szCs w:val="22"/>
      <w:lang w:eastAsia="en-US"/>
    </w:rPr>
  </w:style>
  <w:style w:type="paragraph" w:customStyle="1" w:styleId="Listalphabet5">
    <w:name w:val="List alphabet 5"/>
    <w:rsid w:val="00CF799E"/>
    <w:pPr>
      <w:numPr>
        <w:numId w:val="21"/>
      </w:numPr>
      <w:tabs>
        <w:tab w:val="left" w:pos="1701"/>
      </w:tabs>
      <w:spacing w:before="120"/>
    </w:pPr>
    <w:rPr>
      <w:sz w:val="22"/>
      <w:szCs w:val="22"/>
      <w:lang w:eastAsia="en-US"/>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sz w:val="22"/>
      <w:szCs w:val="22"/>
      <w:lang w:eastAsia="en-US"/>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link w:val="NoteHeading"/>
    <w:uiPriority w:val="99"/>
    <w:semiHidden/>
    <w:rsid w:val="00F61B84"/>
    <w:rPr>
      <w:rFonts w:ascii="Arial" w:hAnsi="Arial"/>
    </w:rPr>
  </w:style>
  <w:style w:type="character" w:styleId="SubtleReference">
    <w:name w:val="Subtle Reference"/>
    <w:uiPriority w:val="31"/>
    <w:unhideWhenUsed/>
    <w:rsid w:val="00B60F5D"/>
    <w:rPr>
      <w:smallCaps/>
      <w:color w:val="4F2D7D"/>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Footnote">
    <w:name w:val="Footnote"/>
    <w:basedOn w:val="Normal"/>
    <w:uiPriority w:val="99"/>
    <w:rsid w:val="009D1DEC"/>
    <w:pPr>
      <w:widowControl w:val="0"/>
      <w:suppressAutoHyphens/>
      <w:autoSpaceDE w:val="0"/>
      <w:autoSpaceDN w:val="0"/>
      <w:adjustRightInd w:val="0"/>
      <w:spacing w:before="113" w:line="220" w:lineRule="atLeast"/>
      <w:ind w:left="454" w:hanging="454"/>
      <w:textAlignment w:val="center"/>
    </w:pPr>
    <w:rPr>
      <w:rFonts w:eastAsia="Times New Roman" w:cs="HelveticaNeueLTStd-Lt"/>
      <w:sz w:val="16"/>
      <w:szCs w:val="16"/>
      <w:lang w:val="en-GB"/>
    </w:rPr>
  </w:style>
  <w:style w:type="paragraph" w:customStyle="1" w:styleId="NoParagraphStyle">
    <w:name w:val="[No Paragraph Style]"/>
    <w:rsid w:val="00697BCD"/>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GB" w:eastAsia="en-US"/>
    </w:rPr>
  </w:style>
  <w:style w:type="paragraph" w:customStyle="1" w:styleId="StyleTitleCustomColorRGB16939110Characterscale80">
    <w:name w:val="Style Title + Custom Color(RGB(16939110)) Character scale: 80%"/>
    <w:basedOn w:val="Title"/>
    <w:rsid w:val="00697BCD"/>
    <w:rPr>
      <w:spacing w:val="0"/>
      <w:u w:color="A9276E"/>
    </w:rPr>
  </w:style>
  <w:style w:type="paragraph" w:customStyle="1" w:styleId="StyleTitleCustomColorRGB16939110Characterscale801">
    <w:name w:val="Style Title + Custom Color(RGB(16939110)) Character scale: 80%1"/>
    <w:basedOn w:val="Title"/>
    <w:rsid w:val="00697BCD"/>
    <w:rPr>
      <w:u w:color="A9276E"/>
    </w:rPr>
  </w:style>
  <w:style w:type="character" w:customStyle="1" w:styleId="Superscript">
    <w:name w:val="Superscript"/>
    <w:uiPriority w:val="99"/>
    <w:rsid w:val="00697BCD"/>
    <w:rPr>
      <w:w w:val="100"/>
      <w:vertAlign w:val="superscript"/>
    </w:rPr>
  </w:style>
  <w:style w:type="character" w:customStyle="1" w:styleId="FootnoteReference1">
    <w:name w:val="Footnote Reference1"/>
    <w:uiPriority w:val="99"/>
    <w:rsid w:val="00697BCD"/>
    <w:rPr>
      <w:w w:val="100"/>
      <w:sz w:val="24"/>
      <w:szCs w:val="24"/>
      <w:vertAlign w:val="superscript"/>
    </w:rPr>
  </w:style>
  <w:style w:type="character" w:customStyle="1" w:styleId="Arialarrow">
    <w:name w:val="Arial arrow"/>
    <w:uiPriority w:val="99"/>
    <w:rsid w:val="00697BCD"/>
    <w:rPr>
      <w:rFonts w:ascii="ArialMT" w:hAnsi="ArialMT" w:cs="ArialMT"/>
    </w:rPr>
  </w:style>
  <w:style w:type="character" w:customStyle="1" w:styleId="hiddenfootnoteref">
    <w:name w:val="hidden footnote ref"/>
    <w:uiPriority w:val="99"/>
    <w:rsid w:val="00697BCD"/>
    <w:rPr>
      <w:outline/>
      <w:vertAlign w:val="baseline"/>
    </w:rPr>
  </w:style>
  <w:style w:type="character" w:customStyle="1" w:styleId="Subscript">
    <w:name w:val="Subscript"/>
    <w:uiPriority w:val="99"/>
    <w:rsid w:val="00697BCD"/>
    <w:rPr>
      <w:w w:val="100"/>
      <w:vertAlign w:val="subscript"/>
    </w:rPr>
  </w:style>
  <w:style w:type="paragraph" w:customStyle="1" w:styleId="Hiddenfootnote">
    <w:name w:val="Hidden footnote"/>
    <w:basedOn w:val="NoParagraphStyle"/>
    <w:uiPriority w:val="99"/>
    <w:rsid w:val="00697BCD"/>
    <w:pPr>
      <w:suppressAutoHyphens/>
      <w:spacing w:line="20" w:lineRule="atLeast"/>
    </w:pPr>
    <w:rPr>
      <w:rFonts w:ascii="HelveticaNeueLTStd-Lt" w:hAnsi="HelveticaNeueLTStd-Lt" w:cs="HelveticaNeueLTStd-Lt"/>
      <w:sz w:val="6"/>
      <w:szCs w:val="6"/>
      <w:vertAlign w:val="superscript"/>
    </w:rPr>
  </w:style>
  <w:style w:type="character" w:styleId="CommentReference">
    <w:name w:val="annotation reference"/>
    <w:uiPriority w:val="99"/>
    <w:semiHidden/>
    <w:unhideWhenUsed/>
    <w:rsid w:val="00E5174A"/>
    <w:rPr>
      <w:sz w:val="16"/>
      <w:szCs w:val="16"/>
    </w:rPr>
  </w:style>
  <w:style w:type="paragraph" w:styleId="CommentText">
    <w:name w:val="annotation text"/>
    <w:basedOn w:val="Normal"/>
    <w:link w:val="CommentTextChar"/>
    <w:uiPriority w:val="99"/>
    <w:semiHidden/>
    <w:unhideWhenUsed/>
    <w:rsid w:val="00E5174A"/>
    <w:rPr>
      <w:sz w:val="20"/>
      <w:szCs w:val="20"/>
    </w:rPr>
  </w:style>
  <w:style w:type="character" w:customStyle="1" w:styleId="CommentTextChar">
    <w:name w:val="Comment Text Char"/>
    <w:link w:val="CommentText"/>
    <w:uiPriority w:val="99"/>
    <w:semiHidden/>
    <w:rsid w:val="00E5174A"/>
    <w:rPr>
      <w:lang w:eastAsia="en-US"/>
    </w:rPr>
  </w:style>
  <w:style w:type="paragraph" w:styleId="CommentSubject">
    <w:name w:val="annotation subject"/>
    <w:basedOn w:val="CommentText"/>
    <w:next w:val="CommentText"/>
    <w:link w:val="CommentSubjectChar"/>
    <w:uiPriority w:val="99"/>
    <w:semiHidden/>
    <w:unhideWhenUsed/>
    <w:rsid w:val="00E5174A"/>
    <w:rPr>
      <w:b/>
      <w:bCs/>
    </w:rPr>
  </w:style>
  <w:style w:type="character" w:customStyle="1" w:styleId="CommentSubjectChar">
    <w:name w:val="Comment Subject Char"/>
    <w:link w:val="CommentSubject"/>
    <w:uiPriority w:val="99"/>
    <w:semiHidden/>
    <w:rsid w:val="00E5174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ergymadeeasy.gov.au" TargetMode="External"/><Relationship Id="rId18" Type="http://schemas.openxmlformats.org/officeDocument/2006/relationships/image" Target="media/image8.jpeg"/><Relationship Id="rId26" Type="http://schemas.openxmlformats.org/officeDocument/2006/relationships/hyperlink" Target="http://www.energymadeeasy.gov.au" TargetMode="External"/><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s://compare.switchon.vic.gov.au"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energymadeeasy.gov.au" TargetMode="External"/><Relationship Id="rId25" Type="http://schemas.openxmlformats.org/officeDocument/2006/relationships/image" Target="media/image15.jpeg"/><Relationship Id="rId33" Type="http://schemas.openxmlformats.org/officeDocument/2006/relationships/hyperlink" Target="http://aemc.gov.au/Markets-Reviews-Advice/2016-Retail-Competition-Review" TargetMode="External"/><Relationship Id="rId38" Type="http://schemas.openxmlformats.org/officeDocument/2006/relationships/image" Target="media/image25.jpeg"/><Relationship Id="rId46" Type="http://schemas.openxmlformats.org/officeDocument/2006/relationships/hyperlink" Target="http://www.energymadeeasy.gov.au"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compare.switchon.vic.gov.au" TargetMode="External"/><Relationship Id="rId49"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kildonan.org.au/media-and-publications/news/two-incomes-still-short/" TargetMode="External"/><Relationship Id="rId7" Type="http://schemas.openxmlformats.org/officeDocument/2006/relationships/hyperlink" Target="https://www.aer.gov.au/retail-markets/retail-guidelines/electricity-bill-benchmarks-for-residential-customers-2014" TargetMode="External"/><Relationship Id="rId2" Type="http://schemas.openxmlformats.org/officeDocument/2006/relationships/hyperlink" Target="http://www.aemo.com.au" TargetMode="External"/><Relationship Id="rId1" Type="http://schemas.openxmlformats.org/officeDocument/2006/relationships/hyperlink" Target="http://aemc.gov.au/getattachment/d5a60d5b-d2dc-4219-af60-51c77d8aaa4f/Final-Report.aspx" TargetMode="External"/><Relationship Id="rId6" Type="http://schemas.openxmlformats.org/officeDocument/2006/relationships/hyperlink" Target="https://compare.switchon.vic.gov.au" TargetMode="External"/><Relationship Id="rId5" Type="http://schemas.openxmlformats.org/officeDocument/2006/relationships/hyperlink" Target="http://www.aer.gov.au/retail-markets/retail-guidelines/aer-sustainable-payment-plans-framework" TargetMode="External"/><Relationship Id="rId4" Type="http://schemas.openxmlformats.org/officeDocument/2006/relationships/hyperlink" Target="https://www.vinnies.org.au/page/Our_Impact/Incomes_Support_Cost_of_Living/Energy/VINNIES_NATIONAL/Households_in_the_d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5EF62-65F3-49A9-B05B-8E2C77510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E39032D5</Template>
  <TotalTime>0</TotalTime>
  <Pages>93</Pages>
  <Words>25508</Words>
  <Characters>131366</Characters>
  <Application>Microsoft Office Word</Application>
  <DocSecurity>4</DocSecurity>
  <Lines>6944</Lines>
  <Paragraphs>4729</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152404</CharactersWithSpaces>
  <SharedDoc>false</SharedDoc>
  <HLinks>
    <vt:vector size="84" baseType="variant">
      <vt:variant>
        <vt:i4>1900545</vt:i4>
      </vt:variant>
      <vt:variant>
        <vt:i4>18</vt:i4>
      </vt:variant>
      <vt:variant>
        <vt:i4>0</vt:i4>
      </vt:variant>
      <vt:variant>
        <vt:i4>5</vt:i4>
      </vt:variant>
      <vt:variant>
        <vt:lpwstr>https://compare.switchon.vic.gov.au/</vt:lpwstr>
      </vt:variant>
      <vt:variant>
        <vt:lpwstr/>
      </vt:variant>
      <vt:variant>
        <vt:i4>4784217</vt:i4>
      </vt:variant>
      <vt:variant>
        <vt:i4>15</vt:i4>
      </vt:variant>
      <vt:variant>
        <vt:i4>0</vt:i4>
      </vt:variant>
      <vt:variant>
        <vt:i4>5</vt:i4>
      </vt:variant>
      <vt:variant>
        <vt:lpwstr>http://www.energymadeeasy.gov.au/</vt:lpwstr>
      </vt:variant>
      <vt:variant>
        <vt:lpwstr/>
      </vt:variant>
      <vt:variant>
        <vt:i4>1900545</vt:i4>
      </vt:variant>
      <vt:variant>
        <vt:i4>12</vt:i4>
      </vt:variant>
      <vt:variant>
        <vt:i4>0</vt:i4>
      </vt:variant>
      <vt:variant>
        <vt:i4>5</vt:i4>
      </vt:variant>
      <vt:variant>
        <vt:lpwstr>https://compare.switchon.vic.gov.au/</vt:lpwstr>
      </vt:variant>
      <vt:variant>
        <vt:lpwstr/>
      </vt:variant>
      <vt:variant>
        <vt:i4>2031647</vt:i4>
      </vt:variant>
      <vt:variant>
        <vt:i4>9</vt:i4>
      </vt:variant>
      <vt:variant>
        <vt:i4>0</vt:i4>
      </vt:variant>
      <vt:variant>
        <vt:i4>5</vt:i4>
      </vt:variant>
      <vt:variant>
        <vt:lpwstr>http://aemc.gov.au/Markets-Reviews-Advice/2016-Retail-Competition-Review</vt:lpwstr>
      </vt:variant>
      <vt:variant>
        <vt:lpwstr/>
      </vt:variant>
      <vt:variant>
        <vt:i4>4784217</vt:i4>
      </vt:variant>
      <vt:variant>
        <vt:i4>6</vt:i4>
      </vt:variant>
      <vt:variant>
        <vt:i4>0</vt:i4>
      </vt:variant>
      <vt:variant>
        <vt:i4>5</vt:i4>
      </vt:variant>
      <vt:variant>
        <vt:lpwstr>http://www.energymadeeasy.gov.au/</vt:lpwstr>
      </vt:variant>
      <vt:variant>
        <vt:lpwstr/>
      </vt:variant>
      <vt:variant>
        <vt:i4>4784217</vt:i4>
      </vt:variant>
      <vt:variant>
        <vt:i4>3</vt:i4>
      </vt:variant>
      <vt:variant>
        <vt:i4>0</vt:i4>
      </vt:variant>
      <vt:variant>
        <vt:i4>5</vt:i4>
      </vt:variant>
      <vt:variant>
        <vt:lpwstr>http://www.energymadeeasy.gov.au/</vt:lpwstr>
      </vt:variant>
      <vt:variant>
        <vt:lpwstr/>
      </vt:variant>
      <vt:variant>
        <vt:i4>4784217</vt:i4>
      </vt:variant>
      <vt:variant>
        <vt:i4>0</vt:i4>
      </vt:variant>
      <vt:variant>
        <vt:i4>0</vt:i4>
      </vt:variant>
      <vt:variant>
        <vt:i4>5</vt:i4>
      </vt:variant>
      <vt:variant>
        <vt:lpwstr>http://www.energymadeeasy.gov.au/</vt:lpwstr>
      </vt:variant>
      <vt:variant>
        <vt:lpwstr/>
      </vt:variant>
      <vt:variant>
        <vt:i4>2162811</vt:i4>
      </vt:variant>
      <vt:variant>
        <vt:i4>18</vt:i4>
      </vt:variant>
      <vt:variant>
        <vt:i4>0</vt:i4>
      </vt:variant>
      <vt:variant>
        <vt:i4>5</vt:i4>
      </vt:variant>
      <vt:variant>
        <vt:lpwstr>https://www.aer.gov.au/retail-markets/retail-guidelines/electricity-bill-benchmarks-for-residential-customers-2014</vt:lpwstr>
      </vt:variant>
      <vt:variant>
        <vt:lpwstr/>
      </vt:variant>
      <vt:variant>
        <vt:i4>1900545</vt:i4>
      </vt:variant>
      <vt:variant>
        <vt:i4>15</vt:i4>
      </vt:variant>
      <vt:variant>
        <vt:i4>0</vt:i4>
      </vt:variant>
      <vt:variant>
        <vt:i4>5</vt:i4>
      </vt:variant>
      <vt:variant>
        <vt:lpwstr>https://compare.switchon.vic.gov.au/</vt:lpwstr>
      </vt:variant>
      <vt:variant>
        <vt:lpwstr/>
      </vt:variant>
      <vt:variant>
        <vt:i4>2293862</vt:i4>
      </vt:variant>
      <vt:variant>
        <vt:i4>12</vt:i4>
      </vt:variant>
      <vt:variant>
        <vt:i4>0</vt:i4>
      </vt:variant>
      <vt:variant>
        <vt:i4>5</vt:i4>
      </vt:variant>
      <vt:variant>
        <vt:lpwstr>http://www.aer.gov.au/retail-markets/retail-guidelines/aer-sustainable-payment-plans-framework</vt:lpwstr>
      </vt:variant>
      <vt:variant>
        <vt:lpwstr/>
      </vt:variant>
      <vt:variant>
        <vt:i4>327725</vt:i4>
      </vt:variant>
      <vt:variant>
        <vt:i4>9</vt:i4>
      </vt:variant>
      <vt:variant>
        <vt:i4>0</vt:i4>
      </vt:variant>
      <vt:variant>
        <vt:i4>5</vt:i4>
      </vt:variant>
      <vt:variant>
        <vt:lpwstr>https://www.vinnies.org.au/page/Our_Impact/Incomes_Support_Cost_of_Living/Energy/VINNIES_NATIONAL/Households_in_the_dark</vt:lpwstr>
      </vt:variant>
      <vt:variant>
        <vt:lpwstr/>
      </vt:variant>
      <vt:variant>
        <vt:i4>8192097</vt:i4>
      </vt:variant>
      <vt:variant>
        <vt:i4>6</vt:i4>
      </vt:variant>
      <vt:variant>
        <vt:i4>0</vt:i4>
      </vt:variant>
      <vt:variant>
        <vt:i4>5</vt:i4>
      </vt:variant>
      <vt:variant>
        <vt:lpwstr>http://www.kildonan.org.au/media-and-publications/news/two-incomes-still-short/</vt:lpwstr>
      </vt:variant>
      <vt:variant>
        <vt:lpwstr/>
      </vt:variant>
      <vt:variant>
        <vt:i4>3997749</vt:i4>
      </vt:variant>
      <vt:variant>
        <vt:i4>3</vt:i4>
      </vt:variant>
      <vt:variant>
        <vt:i4>0</vt:i4>
      </vt:variant>
      <vt:variant>
        <vt:i4>5</vt:i4>
      </vt:variant>
      <vt:variant>
        <vt:lpwstr>http://www.aemo.com.au/</vt:lpwstr>
      </vt:variant>
      <vt:variant>
        <vt:lpwstr/>
      </vt:variant>
      <vt:variant>
        <vt:i4>2687099</vt:i4>
      </vt:variant>
      <vt:variant>
        <vt:i4>0</vt:i4>
      </vt:variant>
      <vt:variant>
        <vt:i4>0</vt:i4>
      </vt:variant>
      <vt:variant>
        <vt:i4>5</vt:i4>
      </vt:variant>
      <vt:variant>
        <vt:lpwstr>http://aemc.gov.au/getattachment/d5a60d5b-d2dc-4219-af60-51c77d8aaa4f/Final-Report.aspx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Hoare, Kevin</dc:creator>
  <cp:keywords/>
  <cp:lastModifiedBy>Allison Crowe</cp:lastModifiedBy>
  <cp:revision>2</cp:revision>
  <dcterms:created xsi:type="dcterms:W3CDTF">2016-11-23T01:59:00Z</dcterms:created>
  <dcterms:modified xsi:type="dcterms:W3CDTF">2016-11-23T01:59:00Z</dcterms:modified>
</cp:coreProperties>
</file>