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59" w:rsidRDefault="00225E8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9pt;margin-top:-54.4pt;width:313.5pt;height:159.7pt;z-index:251657728" filled="t">
            <v:imagedata r:id="rId9" o:title="AER"/>
          </v:shape>
        </w:pict>
      </w:r>
    </w:p>
    <w:p w:rsidR="00155859" w:rsidRDefault="00155859">
      <w:pPr>
        <w:rPr>
          <w:rFonts w:ascii="Times New Roman" w:hAnsi="Times New Roman"/>
        </w:rPr>
      </w:pPr>
    </w:p>
    <w:p w:rsidR="00155859" w:rsidRDefault="00155859">
      <w:pPr>
        <w:rPr>
          <w:rFonts w:ascii="Times New Roman" w:hAnsi="Times New Roman"/>
        </w:rPr>
      </w:pPr>
    </w:p>
    <w:p w:rsidR="00155859" w:rsidRDefault="00155859">
      <w:pPr>
        <w:rPr>
          <w:rFonts w:ascii="Times New Roman" w:hAnsi="Times New Roman"/>
        </w:rPr>
      </w:pPr>
    </w:p>
    <w:p w:rsidR="00155859" w:rsidRPr="00AF5A75" w:rsidRDefault="0015585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Our Ref: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bookmarkStart w:id="0" w:name="OurRef"/>
      <w:bookmarkStart w:id="1" w:name="YourRef"/>
      <w:bookmarkEnd w:id="0"/>
      <w:bookmarkEnd w:id="1"/>
      <w:r w:rsidR="007400A5" w:rsidRPr="007F745C">
        <w:rPr>
          <w:rFonts w:ascii="Times New Roman" w:hAnsi="Times New Roman"/>
          <w:sz w:val="20"/>
        </w:rPr>
        <w:t>56121-</w:t>
      </w:r>
      <w:r w:rsidR="007F745C" w:rsidRPr="007F745C">
        <w:rPr>
          <w:rFonts w:ascii="Times New Roman" w:hAnsi="Times New Roman"/>
          <w:sz w:val="20"/>
        </w:rPr>
        <w:t>D16/</w:t>
      </w:r>
      <w:r w:rsidR="000437C5">
        <w:rPr>
          <w:rFonts w:ascii="Times New Roman" w:hAnsi="Times New Roman"/>
          <w:sz w:val="20"/>
        </w:rPr>
        <w:t>80627</w:t>
      </w:r>
    </w:p>
    <w:p w:rsidR="00155859" w:rsidRDefault="0015585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Contact Officer:</w:t>
      </w:r>
      <w:r>
        <w:rPr>
          <w:rFonts w:ascii="Times New Roman" w:hAnsi="Times New Roman"/>
          <w:sz w:val="20"/>
        </w:rPr>
        <w:tab/>
      </w:r>
      <w:bookmarkStart w:id="2" w:name="ContactOfficer"/>
      <w:bookmarkEnd w:id="2"/>
      <w:r w:rsidR="00EA5623">
        <w:rPr>
          <w:rFonts w:ascii="Times New Roman" w:hAnsi="Times New Roman"/>
          <w:sz w:val="20"/>
        </w:rPr>
        <w:t>Fiona Walker</w:t>
      </w:r>
    </w:p>
    <w:p w:rsidR="00155859" w:rsidRDefault="0015585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Contact Phone:</w:t>
      </w:r>
      <w:r>
        <w:rPr>
          <w:rFonts w:ascii="Times New Roman" w:hAnsi="Times New Roman"/>
          <w:sz w:val="20"/>
        </w:rPr>
        <w:tab/>
      </w:r>
      <w:bookmarkStart w:id="3" w:name="ContactPhone"/>
      <w:bookmarkEnd w:id="3"/>
      <w:r w:rsidR="00EA5623">
        <w:rPr>
          <w:rFonts w:ascii="Times New Roman" w:hAnsi="Times New Roman"/>
          <w:sz w:val="20"/>
        </w:rPr>
        <w:t>(03) 9290 1440</w:t>
      </w:r>
    </w:p>
    <w:p w:rsidR="00155859" w:rsidRDefault="00155859">
      <w:pPr>
        <w:rPr>
          <w:rFonts w:ascii="Times New Roman" w:hAnsi="Times New Roman"/>
          <w:sz w:val="20"/>
        </w:rPr>
      </w:pPr>
    </w:p>
    <w:p w:rsidR="007400A5" w:rsidRDefault="007400A5">
      <w:pPr>
        <w:rPr>
          <w:rFonts w:ascii="Times New Roman" w:hAnsi="Times New Roman"/>
        </w:rPr>
      </w:pPr>
      <w:bookmarkStart w:id="4" w:name="Date"/>
      <w:bookmarkEnd w:id="4"/>
    </w:p>
    <w:p w:rsidR="00155859" w:rsidRDefault="000437C5">
      <w:pPr>
        <w:rPr>
          <w:rFonts w:ascii="Times New Roman" w:hAnsi="Times New Roman"/>
        </w:rPr>
      </w:pPr>
      <w:r w:rsidRPr="00FE5E3E">
        <w:rPr>
          <w:rFonts w:ascii="Times New Roman" w:hAnsi="Times New Roman"/>
        </w:rPr>
        <w:t xml:space="preserve">6 </w:t>
      </w:r>
      <w:r w:rsidR="00251E16" w:rsidRPr="00FE5E3E">
        <w:rPr>
          <w:rFonts w:ascii="Times New Roman" w:hAnsi="Times New Roman"/>
        </w:rPr>
        <w:t>Ju</w:t>
      </w:r>
      <w:r w:rsidRPr="00FE5E3E">
        <w:rPr>
          <w:rFonts w:ascii="Times New Roman" w:hAnsi="Times New Roman"/>
        </w:rPr>
        <w:t>ly</w:t>
      </w:r>
      <w:r w:rsidR="00251E16" w:rsidRPr="00FE5E3E">
        <w:rPr>
          <w:rFonts w:ascii="Times New Roman" w:hAnsi="Times New Roman"/>
        </w:rPr>
        <w:t xml:space="preserve"> </w:t>
      </w:r>
      <w:r w:rsidR="007F745C" w:rsidRPr="00FE5E3E">
        <w:rPr>
          <w:rFonts w:ascii="Times New Roman" w:hAnsi="Times New Roman"/>
        </w:rPr>
        <w:t>2016</w:t>
      </w:r>
    </w:p>
    <w:p w:rsidR="00155859" w:rsidRDefault="00155859">
      <w:pPr>
        <w:rPr>
          <w:rFonts w:ascii="Times New Roman" w:hAnsi="Times New Roman"/>
        </w:rPr>
      </w:pPr>
    </w:p>
    <w:p w:rsidR="00251E16" w:rsidRPr="00251E16" w:rsidRDefault="00251E16" w:rsidP="00251E16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en-AU"/>
        </w:rPr>
      </w:pPr>
      <w:bookmarkStart w:id="5" w:name="Recipient"/>
      <w:bookmarkEnd w:id="5"/>
    </w:p>
    <w:p w:rsidR="00251E16" w:rsidRPr="00251E16" w:rsidRDefault="00251E16" w:rsidP="00251E16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en-AU"/>
        </w:rPr>
      </w:pPr>
      <w:r w:rsidRPr="00251E16">
        <w:rPr>
          <w:rFonts w:ascii="Times New Roman" w:hAnsi="Times New Roman"/>
          <w:color w:val="000000"/>
          <w:szCs w:val="24"/>
          <w:lang w:val="en-AU"/>
        </w:rPr>
        <w:t xml:space="preserve">Mr John Pierce </w:t>
      </w:r>
    </w:p>
    <w:p w:rsidR="00251E16" w:rsidRPr="00251E16" w:rsidRDefault="00251E16" w:rsidP="00251E16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en-AU"/>
        </w:rPr>
      </w:pPr>
      <w:r w:rsidRPr="00251E16">
        <w:rPr>
          <w:rFonts w:ascii="Times New Roman" w:hAnsi="Times New Roman"/>
          <w:color w:val="000000"/>
          <w:szCs w:val="24"/>
          <w:lang w:val="en-AU"/>
        </w:rPr>
        <w:t xml:space="preserve">Chairman </w:t>
      </w:r>
    </w:p>
    <w:p w:rsidR="00251E16" w:rsidRPr="00251E16" w:rsidRDefault="00251E16" w:rsidP="00251E16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en-AU"/>
        </w:rPr>
      </w:pPr>
      <w:r w:rsidRPr="00251E16">
        <w:rPr>
          <w:rFonts w:ascii="Times New Roman" w:hAnsi="Times New Roman"/>
          <w:color w:val="000000"/>
          <w:szCs w:val="24"/>
          <w:lang w:val="en-AU"/>
        </w:rPr>
        <w:t xml:space="preserve">Australian Energy Market Commission </w:t>
      </w:r>
    </w:p>
    <w:p w:rsidR="00251E16" w:rsidRPr="00251E16" w:rsidRDefault="00251E16" w:rsidP="00251E16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en-AU"/>
        </w:rPr>
      </w:pPr>
      <w:r w:rsidRPr="00251E16">
        <w:rPr>
          <w:rFonts w:ascii="Times New Roman" w:hAnsi="Times New Roman"/>
          <w:color w:val="000000"/>
          <w:szCs w:val="24"/>
          <w:lang w:val="en-AU"/>
        </w:rPr>
        <w:t xml:space="preserve">PO Box A2449 </w:t>
      </w:r>
    </w:p>
    <w:p w:rsidR="00155859" w:rsidRPr="00251E16" w:rsidRDefault="00251E16" w:rsidP="00251E16">
      <w:pPr>
        <w:rPr>
          <w:rFonts w:ascii="Times New Roman" w:hAnsi="Times New Roman"/>
          <w:szCs w:val="24"/>
        </w:rPr>
      </w:pPr>
      <w:r w:rsidRPr="00251E16">
        <w:rPr>
          <w:rFonts w:ascii="Times New Roman" w:hAnsi="Times New Roman"/>
          <w:color w:val="000000"/>
          <w:szCs w:val="24"/>
          <w:lang w:val="en-AU"/>
        </w:rPr>
        <w:t>SYDNEY SOUTH NSW 1235</w:t>
      </w:r>
    </w:p>
    <w:p w:rsidR="004508B3" w:rsidRDefault="004508B3" w:rsidP="004508B3">
      <w:pPr>
        <w:rPr>
          <w:rFonts w:ascii="Times New Roman" w:hAnsi="Times New Roman"/>
        </w:rPr>
      </w:pPr>
    </w:p>
    <w:p w:rsidR="007400A5" w:rsidRDefault="007400A5" w:rsidP="004508B3">
      <w:pPr>
        <w:rPr>
          <w:rFonts w:ascii="Times New Roman" w:hAnsi="Times New Roman"/>
        </w:rPr>
      </w:pPr>
    </w:p>
    <w:p w:rsidR="004508B3" w:rsidRDefault="004508B3" w:rsidP="004508B3">
      <w:pPr>
        <w:rPr>
          <w:rFonts w:ascii="Times New Roman" w:hAnsi="Times New Roman"/>
        </w:rPr>
      </w:pPr>
      <w:r>
        <w:rPr>
          <w:rFonts w:ascii="Times New Roman" w:hAnsi="Times New Roman"/>
        </w:rPr>
        <w:t>Dear</w:t>
      </w:r>
      <w:r w:rsidR="00251E16">
        <w:rPr>
          <w:rFonts w:ascii="Times New Roman" w:hAnsi="Times New Roman"/>
        </w:rPr>
        <w:t xml:space="preserve"> Mr Pierce</w:t>
      </w:r>
      <w:r>
        <w:rPr>
          <w:rFonts w:ascii="Times New Roman" w:hAnsi="Times New Roman"/>
        </w:rPr>
        <w:t>,</w:t>
      </w:r>
    </w:p>
    <w:p w:rsidR="004508B3" w:rsidRDefault="004508B3" w:rsidP="004508B3">
      <w:pPr>
        <w:rPr>
          <w:rFonts w:ascii="Times New Roman" w:hAnsi="Times New Roman"/>
        </w:rPr>
      </w:pPr>
    </w:p>
    <w:p w:rsidR="004508B3" w:rsidRPr="00496B0E" w:rsidRDefault="00251E16" w:rsidP="004508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Submission on National Electricity Amendment (Market Participant Suspension Framework) Rule 2016</w:t>
      </w:r>
    </w:p>
    <w:p w:rsidR="00D148EB" w:rsidRDefault="00D148EB" w:rsidP="00FD30DC">
      <w:pPr>
        <w:rPr>
          <w:rFonts w:ascii="Times New Roman" w:hAnsi="Times New Roman"/>
        </w:rPr>
      </w:pPr>
    </w:p>
    <w:p w:rsidR="00F823E5" w:rsidRDefault="00251E16" w:rsidP="00FD30DC">
      <w:pPr>
        <w:rPr>
          <w:rFonts w:ascii="Times New Roman" w:hAnsi="Times New Roman"/>
        </w:rPr>
      </w:pPr>
      <w:r>
        <w:rPr>
          <w:rFonts w:ascii="Times New Roman" w:hAnsi="Times New Roman"/>
        </w:rPr>
        <w:t>Thank you for the opportunity to comment on the A</w:t>
      </w:r>
      <w:r w:rsidR="007A3C22">
        <w:rPr>
          <w:rFonts w:ascii="Times New Roman" w:hAnsi="Times New Roman"/>
        </w:rPr>
        <w:t>EMC’s</w:t>
      </w:r>
      <w:r>
        <w:rPr>
          <w:rFonts w:ascii="Times New Roman" w:hAnsi="Times New Roman"/>
        </w:rPr>
        <w:t xml:space="preserve"> consultation paper on the National Electricity Amendment (Market Participant Suspension Framewo</w:t>
      </w:r>
      <w:r w:rsidR="007A3C22">
        <w:rPr>
          <w:rFonts w:ascii="Times New Roman" w:hAnsi="Times New Roman"/>
        </w:rPr>
        <w:t>rk) Rule 2016.</w:t>
      </w:r>
      <w:r>
        <w:rPr>
          <w:rFonts w:ascii="Times New Roman" w:hAnsi="Times New Roman"/>
        </w:rPr>
        <w:t xml:space="preserve"> </w:t>
      </w:r>
      <w:r w:rsidR="00F823E5">
        <w:rPr>
          <w:rFonts w:ascii="Times New Roman" w:hAnsi="Times New Roman"/>
        </w:rPr>
        <w:t>The AER supports the rule changes</w:t>
      </w:r>
      <w:r w:rsidR="00D6110C">
        <w:rPr>
          <w:rFonts w:ascii="Times New Roman" w:hAnsi="Times New Roman"/>
        </w:rPr>
        <w:t xml:space="preserve"> </w:t>
      </w:r>
      <w:r w:rsidR="00F823E5">
        <w:rPr>
          <w:rFonts w:ascii="Times New Roman" w:hAnsi="Times New Roman"/>
        </w:rPr>
        <w:t xml:space="preserve">to clarify the market suspension provisions in the rules </w:t>
      </w:r>
      <w:r w:rsidR="007A3C22">
        <w:rPr>
          <w:rFonts w:ascii="Times New Roman" w:hAnsi="Times New Roman"/>
        </w:rPr>
        <w:t>for</w:t>
      </w:r>
      <w:r w:rsidR="00F823E5">
        <w:rPr>
          <w:rFonts w:ascii="Times New Roman" w:hAnsi="Times New Roman"/>
        </w:rPr>
        <w:t xml:space="preserve"> participants under external administration</w:t>
      </w:r>
      <w:r w:rsidR="00FA3737">
        <w:rPr>
          <w:rFonts w:ascii="Times New Roman" w:hAnsi="Times New Roman"/>
        </w:rPr>
        <w:t>. However we consider that the consequences where these participants do not comply with conditions imposed by AEMO require further clarification.</w:t>
      </w:r>
      <w:r w:rsidR="007A3C22">
        <w:rPr>
          <w:rFonts w:ascii="Times New Roman" w:hAnsi="Times New Roman"/>
        </w:rPr>
        <w:t xml:space="preserve"> </w:t>
      </w:r>
    </w:p>
    <w:p w:rsidR="00F823E5" w:rsidRDefault="00F823E5" w:rsidP="00FD30DC">
      <w:pPr>
        <w:rPr>
          <w:rFonts w:ascii="Times New Roman" w:hAnsi="Times New Roman"/>
        </w:rPr>
      </w:pPr>
    </w:p>
    <w:p w:rsidR="00854999" w:rsidRDefault="00FA3737" w:rsidP="00854999">
      <w:pPr>
        <w:rPr>
          <w:rFonts w:ascii="Times New Roman" w:hAnsi="Times New Roman"/>
        </w:rPr>
      </w:pPr>
      <w:r>
        <w:rPr>
          <w:rFonts w:ascii="Times New Roman" w:hAnsi="Times New Roman"/>
        </w:rPr>
        <w:t>We do not consider that AEMO’s discretion in deciding whether to suspend or partially suspend a market participant should be subject to further conditions or limitations.</w:t>
      </w:r>
      <w:r w:rsidR="00854999">
        <w:rPr>
          <w:rFonts w:ascii="Times New Roman" w:hAnsi="Times New Roman"/>
        </w:rPr>
        <w:t xml:space="preserve"> These decisions are complex, nuanced and involve unpredictable scenarios.</w:t>
      </w:r>
      <w:r w:rsidR="007A3C22">
        <w:rPr>
          <w:rFonts w:ascii="Times New Roman" w:hAnsi="Times New Roman"/>
        </w:rPr>
        <w:t xml:space="preserve"> </w:t>
      </w:r>
      <w:r w:rsidR="00854999">
        <w:rPr>
          <w:rFonts w:ascii="Times New Roman" w:hAnsi="Times New Roman"/>
        </w:rPr>
        <w:t xml:space="preserve">The changes proposed by </w:t>
      </w:r>
      <w:r w:rsidR="007A3C22">
        <w:rPr>
          <w:rFonts w:ascii="Times New Roman" w:hAnsi="Times New Roman"/>
        </w:rPr>
        <w:t xml:space="preserve">the </w:t>
      </w:r>
      <w:r w:rsidR="00854999">
        <w:rPr>
          <w:rFonts w:ascii="Times New Roman" w:hAnsi="Times New Roman"/>
        </w:rPr>
        <w:t xml:space="preserve">COAG </w:t>
      </w:r>
      <w:r w:rsidR="007A3C22">
        <w:rPr>
          <w:rFonts w:ascii="Times New Roman" w:hAnsi="Times New Roman"/>
        </w:rPr>
        <w:t xml:space="preserve">Energy Council </w:t>
      </w:r>
      <w:r w:rsidR="00854999">
        <w:rPr>
          <w:rFonts w:ascii="Times New Roman" w:hAnsi="Times New Roman"/>
        </w:rPr>
        <w:t>balance prescription and discretion</w:t>
      </w:r>
      <w:r w:rsidR="005A7FF5">
        <w:rPr>
          <w:rFonts w:ascii="Times New Roman" w:hAnsi="Times New Roman"/>
        </w:rPr>
        <w:t>, and no further factors or considerations should be prescribed in the rules</w:t>
      </w:r>
      <w:r w:rsidR="00854999">
        <w:rPr>
          <w:rFonts w:ascii="Times New Roman" w:hAnsi="Times New Roman"/>
        </w:rPr>
        <w:t>.</w:t>
      </w:r>
      <w:r w:rsidR="007A3C22">
        <w:rPr>
          <w:rFonts w:ascii="Times New Roman" w:hAnsi="Times New Roman"/>
        </w:rPr>
        <w:t xml:space="preserve"> </w:t>
      </w:r>
    </w:p>
    <w:p w:rsidR="00854999" w:rsidRDefault="00854999" w:rsidP="00854999">
      <w:pPr>
        <w:rPr>
          <w:rFonts w:ascii="Times New Roman" w:hAnsi="Times New Roman"/>
        </w:rPr>
      </w:pPr>
    </w:p>
    <w:p w:rsidR="00087DC4" w:rsidRDefault="00FA3737" w:rsidP="00F90EB7">
      <w:pPr>
        <w:pStyle w:val="LegalFirstLevel"/>
        <w:numPr>
          <w:ilvl w:val="0"/>
          <w:numId w:val="0"/>
        </w:numPr>
        <w:tabs>
          <w:tab w:val="left" w:pos="720"/>
        </w:tabs>
      </w:pPr>
      <w:r>
        <w:t xml:space="preserve">AEMO should not be required to consult with the AER or any other entity </w:t>
      </w:r>
      <w:r w:rsidR="00854999">
        <w:t>when making a decision on whether to suspend</w:t>
      </w:r>
      <w:r w:rsidR="001D6523">
        <w:t xml:space="preserve"> (or partially suspend)</w:t>
      </w:r>
      <w:r w:rsidR="00854999">
        <w:t xml:space="preserve"> a market participant</w:t>
      </w:r>
      <w:r w:rsidR="001D6523">
        <w:t xml:space="preserve"> </w:t>
      </w:r>
      <w:r w:rsidR="00854999">
        <w:t>under external administration.</w:t>
      </w:r>
      <w:r w:rsidR="007A3C22">
        <w:t xml:space="preserve"> </w:t>
      </w:r>
      <w:r w:rsidR="001D6523">
        <w:t>These d</w:t>
      </w:r>
      <w:r w:rsidR="00F90EB7">
        <w:t xml:space="preserve">ecisions need to be taken </w:t>
      </w:r>
      <w:r w:rsidR="00087DC4">
        <w:t>without delay</w:t>
      </w:r>
      <w:r w:rsidR="00F90EB7">
        <w:t xml:space="preserve">, and </w:t>
      </w:r>
      <w:r w:rsidR="00087DC4">
        <w:t xml:space="preserve">are not conducive to </w:t>
      </w:r>
      <w:r w:rsidR="001E3AB4">
        <w:t xml:space="preserve">mandated </w:t>
      </w:r>
      <w:r w:rsidR="00F90EB7">
        <w:t>consultation</w:t>
      </w:r>
      <w:r w:rsidR="00087DC4">
        <w:t xml:space="preserve">. </w:t>
      </w:r>
      <w:r w:rsidR="00D16802">
        <w:t xml:space="preserve">AEMO and the AER have protocols in place to ensure timely notification of AEMO decisions </w:t>
      </w:r>
      <w:r w:rsidR="003B0E4F">
        <w:t xml:space="preserve">in the lead up to </w:t>
      </w:r>
      <w:r w:rsidR="00D16802">
        <w:t>suspension, including a Retailer of Last Resort Event Communication Protocol</w:t>
      </w:r>
      <w:r w:rsidR="001E3AB4">
        <w:t>.</w:t>
      </w:r>
      <w:r w:rsidR="007A3C22">
        <w:t xml:space="preserve"> </w:t>
      </w:r>
      <w:r w:rsidR="001E3AB4">
        <w:t xml:space="preserve">These </w:t>
      </w:r>
      <w:r w:rsidR="00D16802">
        <w:t>protocols have worked well</w:t>
      </w:r>
      <w:r w:rsidR="005A7FF5">
        <w:t xml:space="preserve"> to date</w:t>
      </w:r>
      <w:r w:rsidR="00D16802">
        <w:t>.</w:t>
      </w:r>
      <w:r w:rsidR="007A3C22">
        <w:t xml:space="preserve"> </w:t>
      </w:r>
      <w:r w:rsidR="00D16802">
        <w:t xml:space="preserve"> </w:t>
      </w:r>
    </w:p>
    <w:p w:rsidR="00D16802" w:rsidRDefault="00B50F4F" w:rsidP="00D16802">
      <w:pPr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524B6D">
        <w:rPr>
          <w:rFonts w:ascii="Times New Roman" w:hAnsi="Times New Roman"/>
        </w:rPr>
        <w:t xml:space="preserve">e </w:t>
      </w:r>
      <w:r w:rsidR="00FA3737">
        <w:rPr>
          <w:rFonts w:ascii="Times New Roman" w:hAnsi="Times New Roman"/>
        </w:rPr>
        <w:t xml:space="preserve">consider that decisions by AEMO not to suspend a market participant under external administration should not be subject to time limitations or AER approval for any extension beyond the time limit. </w:t>
      </w:r>
      <w:r w:rsidR="001D6523">
        <w:rPr>
          <w:rFonts w:ascii="Times New Roman" w:hAnsi="Times New Roman"/>
        </w:rPr>
        <w:t>T</w:t>
      </w:r>
      <w:r w:rsidR="005A7FF5">
        <w:rPr>
          <w:rFonts w:ascii="Times New Roman" w:hAnsi="Times New Roman"/>
        </w:rPr>
        <w:t xml:space="preserve">his option would </w:t>
      </w:r>
      <w:r w:rsidR="005A7FF5" w:rsidRPr="005A7FF5">
        <w:rPr>
          <w:rFonts w:ascii="Times New Roman" w:hAnsi="Times New Roman"/>
        </w:rPr>
        <w:t xml:space="preserve">conflate the respective roles of </w:t>
      </w:r>
      <w:r w:rsidR="005A7FF5">
        <w:rPr>
          <w:rFonts w:ascii="Times New Roman" w:hAnsi="Times New Roman"/>
        </w:rPr>
        <w:t xml:space="preserve">the </w:t>
      </w:r>
      <w:r w:rsidR="005A7FF5" w:rsidRPr="005A7FF5">
        <w:rPr>
          <w:rFonts w:ascii="Times New Roman" w:hAnsi="Times New Roman"/>
        </w:rPr>
        <w:t>market operator</w:t>
      </w:r>
      <w:r w:rsidR="00243D31">
        <w:rPr>
          <w:rFonts w:ascii="Times New Roman" w:hAnsi="Times New Roman"/>
        </w:rPr>
        <w:t xml:space="preserve"> as prudential regulator</w:t>
      </w:r>
      <w:r w:rsidR="005A7FF5" w:rsidRPr="005A7FF5">
        <w:rPr>
          <w:rFonts w:ascii="Times New Roman" w:hAnsi="Times New Roman"/>
        </w:rPr>
        <w:t xml:space="preserve"> and </w:t>
      </w:r>
      <w:r w:rsidR="005A7FF5">
        <w:rPr>
          <w:rFonts w:ascii="Times New Roman" w:hAnsi="Times New Roman"/>
        </w:rPr>
        <w:t xml:space="preserve">the </w:t>
      </w:r>
      <w:r w:rsidR="00243D31">
        <w:rPr>
          <w:rFonts w:ascii="Times New Roman" w:hAnsi="Times New Roman"/>
        </w:rPr>
        <w:t>AER’s regulatory roles such as retailer of last resort functions</w:t>
      </w:r>
      <w:r w:rsidR="005A7FF5">
        <w:rPr>
          <w:rFonts w:ascii="Times New Roman" w:hAnsi="Times New Roman"/>
        </w:rPr>
        <w:t xml:space="preserve">. </w:t>
      </w:r>
      <w:r w:rsidR="007A3C22">
        <w:rPr>
          <w:rFonts w:ascii="Times New Roman" w:hAnsi="Times New Roman"/>
        </w:rPr>
        <w:t xml:space="preserve"> </w:t>
      </w:r>
      <w:r w:rsidR="00D16802">
        <w:rPr>
          <w:rFonts w:ascii="Times New Roman" w:hAnsi="Times New Roman"/>
        </w:rPr>
        <w:t xml:space="preserve"> </w:t>
      </w:r>
    </w:p>
    <w:p w:rsidR="00854999" w:rsidRDefault="00854999" w:rsidP="00FD30DC">
      <w:pPr>
        <w:rPr>
          <w:rFonts w:ascii="Times New Roman" w:hAnsi="Times New Roman"/>
        </w:rPr>
      </w:pPr>
    </w:p>
    <w:p w:rsidR="00D933F9" w:rsidRDefault="004E130F" w:rsidP="00D933F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Incentivising compliance by </w:t>
      </w:r>
      <w:r w:rsidR="005A7FF5">
        <w:rPr>
          <w:rFonts w:ascii="Times New Roman" w:hAnsi="Times New Roman"/>
          <w:b/>
        </w:rPr>
        <w:t>participants under external administration</w:t>
      </w:r>
    </w:p>
    <w:p w:rsidR="004E130F" w:rsidRDefault="004E130F" w:rsidP="004E130F">
      <w:pPr>
        <w:rPr>
          <w:rFonts w:ascii="Times New Roman" w:hAnsi="Times New Roman"/>
        </w:rPr>
      </w:pPr>
    </w:p>
    <w:p w:rsidR="00A1366E" w:rsidRDefault="00A61282" w:rsidP="00D933F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The AER supports </w:t>
      </w:r>
      <w:r w:rsidR="00D16802">
        <w:rPr>
          <w:rFonts w:ascii="Times New Roman" w:hAnsi="Times New Roman"/>
        </w:rPr>
        <w:t xml:space="preserve">the changes proposed by </w:t>
      </w:r>
      <w:r w:rsidR="001D6523">
        <w:rPr>
          <w:rFonts w:ascii="Times New Roman" w:hAnsi="Times New Roman"/>
        </w:rPr>
        <w:t xml:space="preserve">the </w:t>
      </w:r>
      <w:r w:rsidR="00D16802">
        <w:rPr>
          <w:rFonts w:ascii="Times New Roman" w:hAnsi="Times New Roman"/>
        </w:rPr>
        <w:t xml:space="preserve">COAG </w:t>
      </w:r>
      <w:r w:rsidR="001D6523">
        <w:rPr>
          <w:rFonts w:ascii="Times New Roman" w:hAnsi="Times New Roman"/>
        </w:rPr>
        <w:t>Energy Council to</w:t>
      </w:r>
      <w:r w:rsidR="00D168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allow AEMO to impose conditions in any decision not to suspend a market participant under external </w:t>
      </w:r>
      <w:r>
        <w:rPr>
          <w:rFonts w:ascii="Times New Roman" w:hAnsi="Times New Roman"/>
        </w:rPr>
        <w:lastRenderedPageBreak/>
        <w:t>administration.</w:t>
      </w:r>
      <w:r w:rsidR="007A3C22">
        <w:rPr>
          <w:rFonts w:ascii="Times New Roman" w:hAnsi="Times New Roman"/>
        </w:rPr>
        <w:t xml:space="preserve"> </w:t>
      </w:r>
      <w:r w:rsidR="001E3AB4">
        <w:rPr>
          <w:rFonts w:ascii="Times New Roman" w:hAnsi="Times New Roman"/>
          <w:szCs w:val="24"/>
        </w:rPr>
        <w:t xml:space="preserve">The risk of non-compliance by a market participant under external administration and subject to a non-suspension decision is sufficiently high to justify the imposition of conditions. </w:t>
      </w:r>
      <w:r w:rsidR="00A1366E" w:rsidRPr="00367D97">
        <w:rPr>
          <w:rFonts w:ascii="Times New Roman" w:hAnsi="Times New Roman"/>
          <w:szCs w:val="24"/>
        </w:rPr>
        <w:t>Such conditions might include, as noted in the paper, regular reporting to the AER.</w:t>
      </w:r>
      <w:r w:rsidR="007A3C22">
        <w:rPr>
          <w:rFonts w:ascii="Times New Roman" w:hAnsi="Times New Roman"/>
          <w:szCs w:val="24"/>
        </w:rPr>
        <w:t xml:space="preserve"> </w:t>
      </w:r>
      <w:r w:rsidR="00A1366E" w:rsidRPr="00367D97">
        <w:rPr>
          <w:rFonts w:ascii="Times New Roman" w:hAnsi="Times New Roman"/>
          <w:szCs w:val="24"/>
        </w:rPr>
        <w:t xml:space="preserve">Reporting requirements could address matters such as </w:t>
      </w:r>
      <w:r w:rsidR="00A1366E" w:rsidRPr="00367D97">
        <w:rPr>
          <w:rFonts w:ascii="Times New Roman" w:hAnsi="Times New Roman"/>
        </w:rPr>
        <w:t>resourcing, technical capability and the expected duration of external administration.</w:t>
      </w:r>
      <w:r w:rsidR="007A3C22">
        <w:t xml:space="preserve"> </w:t>
      </w:r>
      <w:r w:rsidR="00A1366E">
        <w:rPr>
          <w:rFonts w:ascii="Times New Roman" w:hAnsi="Times New Roman"/>
          <w:szCs w:val="24"/>
        </w:rPr>
        <w:t xml:space="preserve"> </w:t>
      </w:r>
    </w:p>
    <w:p w:rsidR="00A1366E" w:rsidRDefault="00A1366E" w:rsidP="00D933F9">
      <w:pPr>
        <w:rPr>
          <w:rFonts w:ascii="Times New Roman" w:hAnsi="Times New Roman"/>
          <w:szCs w:val="24"/>
        </w:rPr>
      </w:pPr>
    </w:p>
    <w:p w:rsidR="001E3AB4" w:rsidRDefault="00FA3737" w:rsidP="00D933F9">
      <w:pPr>
        <w:rPr>
          <w:rFonts w:ascii="Times New Roman" w:hAnsi="Times New Roman"/>
        </w:rPr>
      </w:pPr>
      <w:r>
        <w:rPr>
          <w:rFonts w:ascii="Times New Roman" w:hAnsi="Times New Roman"/>
        </w:rPr>
        <w:t>As currently drafted, the consequence of non-compliance with these conditions is unclear. The rules should make it clear that AEMO may proceed with full suspension if a participant under administration that is subject to a non-suspension or partial suspension decision by AEMO does not comply with the conditions imposed on it.</w:t>
      </w:r>
    </w:p>
    <w:p w:rsidR="003B0E4F" w:rsidRDefault="003B0E4F" w:rsidP="00D933F9">
      <w:pPr>
        <w:rPr>
          <w:rFonts w:ascii="Times New Roman" w:hAnsi="Times New Roman"/>
        </w:rPr>
      </w:pPr>
    </w:p>
    <w:p w:rsidR="001E3AB4" w:rsidRPr="00367D97" w:rsidRDefault="001E3AB4" w:rsidP="001E3AB4">
      <w:pPr>
        <w:rPr>
          <w:rFonts w:ascii="Times New Roman" w:hAnsi="Times New Roman"/>
          <w:szCs w:val="24"/>
        </w:rPr>
      </w:pPr>
      <w:r w:rsidRPr="00367D97">
        <w:rPr>
          <w:rFonts w:ascii="Times New Roman" w:hAnsi="Times New Roman"/>
        </w:rPr>
        <w:t xml:space="preserve">The framework should </w:t>
      </w:r>
      <w:r>
        <w:rPr>
          <w:rFonts w:ascii="Times New Roman" w:hAnsi="Times New Roman"/>
        </w:rPr>
        <w:t xml:space="preserve">also </w:t>
      </w:r>
      <w:r w:rsidRPr="00367D97">
        <w:rPr>
          <w:rFonts w:ascii="Times New Roman" w:hAnsi="Times New Roman"/>
        </w:rPr>
        <w:t>allow for a participant subject to a non-suspension</w:t>
      </w:r>
      <w:r>
        <w:rPr>
          <w:rFonts w:ascii="Times New Roman" w:hAnsi="Times New Roman"/>
        </w:rPr>
        <w:t xml:space="preserve"> or partial suspension</w:t>
      </w:r>
      <w:r w:rsidRPr="00367D97">
        <w:rPr>
          <w:rFonts w:ascii="Times New Roman" w:hAnsi="Times New Roman"/>
        </w:rPr>
        <w:t xml:space="preserve"> decision to be suspended for a broader range of reasons than those set out in the payment default procedure in rule 3.15.21 of the </w:t>
      </w:r>
      <w:r w:rsidR="00DE5293">
        <w:rPr>
          <w:rFonts w:ascii="Times New Roman" w:hAnsi="Times New Roman"/>
        </w:rPr>
        <w:t>Electricity Rules</w:t>
      </w:r>
      <w:r w:rsidRPr="00367D97">
        <w:rPr>
          <w:rFonts w:ascii="Times New Roman" w:hAnsi="Times New Roman"/>
        </w:rPr>
        <w:t>, such as significant non-compliance</w:t>
      </w:r>
      <w:r>
        <w:rPr>
          <w:rFonts w:ascii="Times New Roman" w:hAnsi="Times New Roman"/>
        </w:rPr>
        <w:t xml:space="preserve"> with the Electricity Rules or energy laws</w:t>
      </w:r>
      <w:r w:rsidRPr="00367D97">
        <w:rPr>
          <w:rFonts w:ascii="Times New Roman" w:hAnsi="Times New Roman"/>
        </w:rPr>
        <w:t>.</w:t>
      </w:r>
      <w:r w:rsidR="007A3C22">
        <w:rPr>
          <w:rFonts w:ascii="Times New Roman" w:hAnsi="Times New Roman"/>
        </w:rPr>
        <w:t xml:space="preserve"> </w:t>
      </w:r>
      <w:r w:rsidRPr="00367D97">
        <w:rPr>
          <w:rFonts w:ascii="Times New Roman" w:hAnsi="Times New Roman"/>
        </w:rPr>
        <w:t xml:space="preserve">This would </w:t>
      </w:r>
      <w:r w:rsidR="00DE5293">
        <w:rPr>
          <w:rFonts w:ascii="Times New Roman" w:hAnsi="Times New Roman"/>
        </w:rPr>
        <w:t>maintain incentives on</w:t>
      </w:r>
      <w:r w:rsidRPr="00367D97">
        <w:rPr>
          <w:rFonts w:ascii="Times New Roman" w:hAnsi="Times New Roman"/>
        </w:rPr>
        <w:t xml:space="preserve"> the participant to comply with the market rules</w:t>
      </w:r>
      <w:r>
        <w:rPr>
          <w:rFonts w:ascii="Times New Roman" w:hAnsi="Times New Roman"/>
        </w:rPr>
        <w:t xml:space="preserve"> irrespective of whether AEMO has imposed specific conditions on them</w:t>
      </w:r>
      <w:r w:rsidRPr="00367D97">
        <w:rPr>
          <w:rFonts w:ascii="Times New Roman" w:hAnsi="Times New Roman"/>
          <w:szCs w:val="24"/>
        </w:rPr>
        <w:t>.</w:t>
      </w:r>
      <w:r w:rsidR="007A3C22">
        <w:rPr>
          <w:rFonts w:ascii="Times New Roman" w:hAnsi="Times New Roman"/>
          <w:szCs w:val="24"/>
        </w:rPr>
        <w:t xml:space="preserve"> </w:t>
      </w:r>
    </w:p>
    <w:p w:rsidR="00D6110C" w:rsidRDefault="00D6110C" w:rsidP="00D933F9">
      <w:pPr>
        <w:rPr>
          <w:rFonts w:ascii="Times New Roman" w:hAnsi="Times New Roman"/>
        </w:rPr>
      </w:pPr>
    </w:p>
    <w:p w:rsidR="00660A41" w:rsidRDefault="00367D97" w:rsidP="007C2F0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Interaction with the</w:t>
      </w:r>
      <w:r w:rsidR="00A1366E">
        <w:rPr>
          <w:rFonts w:ascii="Times New Roman" w:hAnsi="Times New Roman"/>
          <w:b/>
          <w:szCs w:val="24"/>
        </w:rPr>
        <w:t xml:space="preserve"> National Energ</w:t>
      </w:r>
      <w:r w:rsidR="00D946B3">
        <w:rPr>
          <w:rFonts w:ascii="Times New Roman" w:hAnsi="Times New Roman"/>
          <w:b/>
          <w:szCs w:val="24"/>
        </w:rPr>
        <w:t>y</w:t>
      </w:r>
      <w:r>
        <w:rPr>
          <w:rFonts w:ascii="Times New Roman" w:hAnsi="Times New Roman"/>
          <w:b/>
          <w:szCs w:val="24"/>
        </w:rPr>
        <w:t xml:space="preserve"> Retail Law RoLR provisions</w:t>
      </w:r>
    </w:p>
    <w:p w:rsidR="00367D97" w:rsidRDefault="00367D97" w:rsidP="007C2F02">
      <w:pPr>
        <w:rPr>
          <w:rFonts w:ascii="Times New Roman" w:hAnsi="Times New Roman"/>
          <w:b/>
          <w:szCs w:val="24"/>
        </w:rPr>
      </w:pPr>
    </w:p>
    <w:p w:rsidR="00367D97" w:rsidRPr="00D16802" w:rsidRDefault="00DE5293" w:rsidP="00367D97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Entry by a retail entity into external administration </w:t>
      </w:r>
      <w:r w:rsidRPr="00D16802">
        <w:rPr>
          <w:rFonts w:ascii="Times New Roman" w:hAnsi="Times New Roman"/>
          <w:szCs w:val="24"/>
        </w:rPr>
        <w:t xml:space="preserve">triggers </w:t>
      </w:r>
      <w:r>
        <w:rPr>
          <w:rFonts w:ascii="Times New Roman" w:hAnsi="Times New Roman"/>
          <w:szCs w:val="24"/>
        </w:rPr>
        <w:t xml:space="preserve">a </w:t>
      </w:r>
      <w:r w:rsidR="00243D31">
        <w:rPr>
          <w:rFonts w:ascii="Times New Roman" w:hAnsi="Times New Roman"/>
          <w:szCs w:val="24"/>
        </w:rPr>
        <w:t>retailer of last resort (</w:t>
      </w:r>
      <w:r w:rsidRPr="00D16802">
        <w:rPr>
          <w:rFonts w:ascii="Times New Roman" w:hAnsi="Times New Roman"/>
          <w:szCs w:val="24"/>
        </w:rPr>
        <w:t>RoLR</w:t>
      </w:r>
      <w:r w:rsidR="00243D31">
        <w:rPr>
          <w:rFonts w:ascii="Times New Roman" w:hAnsi="Times New Roman"/>
          <w:szCs w:val="24"/>
        </w:rPr>
        <w:t>)</w:t>
      </w:r>
      <w:r w:rsidRPr="00D16802">
        <w:rPr>
          <w:rFonts w:ascii="Times New Roman" w:hAnsi="Times New Roman"/>
          <w:szCs w:val="24"/>
        </w:rPr>
        <w:t xml:space="preserve"> event </w:t>
      </w:r>
      <w:r w:rsidR="003B0E4F">
        <w:rPr>
          <w:rFonts w:ascii="Times New Roman" w:hAnsi="Times New Roman"/>
          <w:szCs w:val="24"/>
        </w:rPr>
        <w:t>under</w:t>
      </w:r>
      <w:r w:rsidRPr="00D16802">
        <w:rPr>
          <w:rFonts w:ascii="Times New Roman" w:hAnsi="Times New Roman"/>
          <w:szCs w:val="24"/>
        </w:rPr>
        <w:t xml:space="preserve"> section 122 of the National Energy Retail Law</w:t>
      </w:r>
      <w:r>
        <w:rPr>
          <w:rFonts w:ascii="Times New Roman" w:hAnsi="Times New Roman"/>
          <w:szCs w:val="24"/>
        </w:rPr>
        <w:t>.</w:t>
      </w:r>
      <w:r w:rsidRPr="00D16802" w:rsidDel="00DE529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</w:t>
      </w:r>
      <w:r w:rsidR="00367D97" w:rsidRPr="00D16802">
        <w:rPr>
          <w:rFonts w:ascii="Times New Roman" w:hAnsi="Times New Roman"/>
          <w:szCs w:val="24"/>
        </w:rPr>
        <w:t>ny non-suspension decisions taken to allow for a retail entity under external administration to continue to participate in the market</w:t>
      </w:r>
      <w:r w:rsidR="002F6BD7">
        <w:rPr>
          <w:rFonts w:ascii="Times New Roman" w:hAnsi="Times New Roman"/>
          <w:szCs w:val="24"/>
        </w:rPr>
        <w:t xml:space="preserve"> would conflict with the RoLR process</w:t>
      </w:r>
      <w:r w:rsidR="00367D97" w:rsidRPr="00D16802">
        <w:rPr>
          <w:rFonts w:ascii="Times New Roman" w:hAnsi="Times New Roman"/>
          <w:szCs w:val="24"/>
        </w:rPr>
        <w:t>.</w:t>
      </w:r>
      <w:r w:rsidR="007A3C22">
        <w:rPr>
          <w:rFonts w:ascii="Times New Roman" w:hAnsi="Times New Roman"/>
          <w:szCs w:val="24"/>
        </w:rPr>
        <w:t xml:space="preserve"> </w:t>
      </w:r>
      <w:r w:rsidR="00D16802" w:rsidRPr="00D16802">
        <w:rPr>
          <w:rFonts w:ascii="Times New Roman" w:hAnsi="Times New Roman"/>
        </w:rPr>
        <w:t xml:space="preserve">If the rule changes proposed by the </w:t>
      </w:r>
      <w:r w:rsidR="002F6BD7">
        <w:rPr>
          <w:rFonts w:ascii="Times New Roman" w:hAnsi="Times New Roman"/>
        </w:rPr>
        <w:t xml:space="preserve">COAG </w:t>
      </w:r>
      <w:r w:rsidR="00D16802" w:rsidRPr="00D16802">
        <w:rPr>
          <w:rFonts w:ascii="Times New Roman" w:hAnsi="Times New Roman"/>
        </w:rPr>
        <w:t xml:space="preserve">Energy Council are </w:t>
      </w:r>
      <w:r w:rsidR="00435E17">
        <w:rPr>
          <w:rFonts w:ascii="Times New Roman" w:hAnsi="Times New Roman"/>
        </w:rPr>
        <w:t>implemented</w:t>
      </w:r>
      <w:r w:rsidR="00D16802" w:rsidRPr="00D16802">
        <w:rPr>
          <w:rFonts w:ascii="Times New Roman" w:hAnsi="Times New Roman"/>
        </w:rPr>
        <w:t xml:space="preserve">, </w:t>
      </w:r>
      <w:r w:rsidR="002F6BD7">
        <w:rPr>
          <w:rFonts w:ascii="Times New Roman" w:hAnsi="Times New Roman"/>
        </w:rPr>
        <w:t>consequential changes to the RoLR framework may be required. T</w:t>
      </w:r>
      <w:r w:rsidR="00D16802" w:rsidRPr="00D16802">
        <w:rPr>
          <w:rFonts w:ascii="Times New Roman" w:hAnsi="Times New Roman"/>
        </w:rPr>
        <w:t>he AER will raise this issue with the COAG</w:t>
      </w:r>
      <w:r w:rsidR="002F6BD7">
        <w:rPr>
          <w:rFonts w:ascii="Times New Roman" w:hAnsi="Times New Roman"/>
        </w:rPr>
        <w:t xml:space="preserve"> Energy Council</w:t>
      </w:r>
      <w:r w:rsidR="00D16802" w:rsidRPr="00D16802">
        <w:rPr>
          <w:rFonts w:ascii="Times New Roman" w:hAnsi="Times New Roman"/>
        </w:rPr>
        <w:t>’s Retail Policy Working Group.</w:t>
      </w:r>
      <w:r w:rsidR="007A3C22">
        <w:rPr>
          <w:rFonts w:ascii="Times New Roman" w:hAnsi="Times New Roman"/>
        </w:rPr>
        <w:t xml:space="preserve"> </w:t>
      </w:r>
      <w:r w:rsidR="007F67D0" w:rsidRPr="00D16802">
        <w:rPr>
          <w:rFonts w:ascii="Times New Roman" w:hAnsi="Times New Roman"/>
        </w:rPr>
        <w:t xml:space="preserve"> </w:t>
      </w:r>
    </w:p>
    <w:p w:rsidR="00660A41" w:rsidRPr="00D60F36" w:rsidRDefault="00660A41" w:rsidP="007C2F02">
      <w:pPr>
        <w:rPr>
          <w:rFonts w:ascii="Times New Roman" w:hAnsi="Times New Roman"/>
          <w:szCs w:val="24"/>
        </w:rPr>
      </w:pPr>
    </w:p>
    <w:p w:rsidR="007C10B9" w:rsidRDefault="007C10B9" w:rsidP="007C10B9">
      <w:pPr>
        <w:pStyle w:val="AERbodytext"/>
      </w:pPr>
      <w:r>
        <w:t>If you have any queries about the issues raised in this letter, please contact Fiona Walker ((03)</w:t>
      </w:r>
      <w:r w:rsidR="002F6BD7">
        <w:t> </w:t>
      </w:r>
      <w:r>
        <w:t xml:space="preserve">9290 1440; </w:t>
      </w:r>
      <w:hyperlink r:id="rId10" w:history="1">
        <w:r w:rsidRPr="008B4DA4">
          <w:rPr>
            <w:rStyle w:val="Hyperlink"/>
          </w:rPr>
          <w:t>fiona.walker@aer.gov.au</w:t>
        </w:r>
      </w:hyperlink>
      <w:r>
        <w:t>).</w:t>
      </w:r>
    </w:p>
    <w:p w:rsidR="007C10B9" w:rsidRDefault="007C10B9" w:rsidP="007C10B9">
      <w:pPr>
        <w:rPr>
          <w:rFonts w:ascii="Times New Roman" w:hAnsi="Times New Roman"/>
        </w:rPr>
      </w:pPr>
      <w:r>
        <w:rPr>
          <w:rFonts w:ascii="Times New Roman" w:hAnsi="Times New Roman"/>
        </w:rPr>
        <w:t>Yours sincerely</w:t>
      </w:r>
    </w:p>
    <w:p w:rsidR="007C10B9" w:rsidRDefault="007C10B9" w:rsidP="007C10B9">
      <w:pPr>
        <w:rPr>
          <w:rFonts w:ascii="Times New Roman" w:hAnsi="Times New Roman"/>
        </w:rPr>
      </w:pPr>
    </w:p>
    <w:p w:rsidR="007C10B9" w:rsidRDefault="007C10B9" w:rsidP="007C10B9">
      <w:pPr>
        <w:rPr>
          <w:rFonts w:ascii="Times New Roman" w:hAnsi="Times New Roman"/>
        </w:rPr>
      </w:pPr>
    </w:p>
    <w:p w:rsidR="007C10B9" w:rsidRDefault="007C10B9" w:rsidP="007C10B9">
      <w:pPr>
        <w:rPr>
          <w:rFonts w:ascii="Times New Roman" w:hAnsi="Times New Roman"/>
        </w:rPr>
      </w:pPr>
    </w:p>
    <w:p w:rsidR="007C10B9" w:rsidRDefault="00225E80" w:rsidP="007C10B9">
      <w:pPr>
        <w:rPr>
          <w:rFonts w:ascii="Times New Roman" w:hAnsi="Times New Roman"/>
        </w:rPr>
      </w:pPr>
      <w:r>
        <w:rPr>
          <w:rFonts w:ascii="Times New Roman" w:hAnsi="Times New Roman"/>
        </w:rPr>
        <w:t>James Cox</w:t>
      </w:r>
    </w:p>
    <w:p w:rsidR="007C10B9" w:rsidRDefault="00225E80" w:rsidP="007C10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Acting </w:t>
      </w:r>
      <w:bookmarkStart w:id="6" w:name="_GoBack"/>
      <w:bookmarkEnd w:id="6"/>
      <w:r w:rsidR="007C10B9">
        <w:rPr>
          <w:rFonts w:ascii="Times New Roman" w:hAnsi="Times New Roman"/>
        </w:rPr>
        <w:t>Chair</w:t>
      </w:r>
    </w:p>
    <w:p w:rsidR="001E3AB4" w:rsidRPr="00F820B2" w:rsidRDefault="007C10B9" w:rsidP="007C10B9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Australian Energy Regulator</w:t>
      </w:r>
    </w:p>
    <w:sectPr w:rsidR="001E3AB4" w:rsidRPr="00F820B2" w:rsidSect="008D552E">
      <w:footerReference w:type="even" r:id="rId11"/>
      <w:footerReference w:type="default" r:id="rId12"/>
      <w:pgSz w:w="11907" w:h="16840" w:code="9"/>
      <w:pgMar w:top="1304" w:right="1304" w:bottom="1304" w:left="1304" w:header="1440" w:footer="1440" w:gutter="0"/>
      <w:paperSrc w:first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53" w:rsidRDefault="00020253">
      <w:r>
        <w:separator/>
      </w:r>
    </w:p>
  </w:endnote>
  <w:endnote w:type="continuationSeparator" w:id="0">
    <w:p w:rsidR="00020253" w:rsidRDefault="0002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53" w:rsidRDefault="000202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0253" w:rsidRDefault="000202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53" w:rsidRDefault="000202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5E80">
      <w:rPr>
        <w:rStyle w:val="PageNumber"/>
        <w:noProof/>
      </w:rPr>
      <w:t>2</w:t>
    </w:r>
    <w:r>
      <w:rPr>
        <w:rStyle w:val="PageNumber"/>
      </w:rPr>
      <w:fldChar w:fldCharType="end"/>
    </w:r>
  </w:p>
  <w:p w:rsidR="00020253" w:rsidRDefault="000202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53" w:rsidRDefault="00020253">
      <w:r>
        <w:separator/>
      </w:r>
    </w:p>
  </w:footnote>
  <w:footnote w:type="continuationSeparator" w:id="0">
    <w:p w:rsidR="00020253" w:rsidRDefault="0002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7275"/>
    <w:multiLevelType w:val="hybridMultilevel"/>
    <w:tmpl w:val="79063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584834"/>
    <w:multiLevelType w:val="hybridMultilevel"/>
    <w:tmpl w:val="CE9CDF46"/>
    <w:lvl w:ilvl="0" w:tplc="1F6600CA">
      <w:start w:val="1"/>
      <w:numFmt w:val="bullet"/>
      <w:pStyle w:val="AERBullet2"/>
      <w:lvlText w:val=""/>
      <w:lvlJc w:val="left"/>
      <w:pPr>
        <w:tabs>
          <w:tab w:val="num" w:pos="360"/>
        </w:tabs>
        <w:ind w:left="360" w:hanging="3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B15373"/>
    <w:multiLevelType w:val="multilevel"/>
    <w:tmpl w:val="30F21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6ED023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7981F9E"/>
    <w:multiLevelType w:val="hybridMultilevel"/>
    <w:tmpl w:val="D166C0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23D43"/>
    <w:multiLevelType w:val="hybridMultilevel"/>
    <w:tmpl w:val="AE208DB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100502"/>
    <w:multiLevelType w:val="hybridMultilevel"/>
    <w:tmpl w:val="DFAAFA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1A1C49"/>
    <w:multiLevelType w:val="hybridMultilevel"/>
    <w:tmpl w:val="8B0A9A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6E5F46"/>
    <w:multiLevelType w:val="hybridMultilevel"/>
    <w:tmpl w:val="D8A2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56153"/>
    <w:multiLevelType w:val="multilevel"/>
    <w:tmpl w:val="5F08298E"/>
    <w:lvl w:ilvl="0">
      <w:start w:val="1"/>
      <w:numFmt w:val="decimal"/>
      <w:pStyle w:val="AER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14D6568"/>
    <w:multiLevelType w:val="hybridMultilevel"/>
    <w:tmpl w:val="0C0EEAB4"/>
    <w:lvl w:ilvl="0" w:tplc="B9E0712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7D0902"/>
    <w:multiLevelType w:val="hybridMultilevel"/>
    <w:tmpl w:val="A3744C80"/>
    <w:lvl w:ilvl="0" w:tplc="2CC62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69C787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93500C1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 w:val="0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33056AA"/>
    <w:multiLevelType w:val="singleLevel"/>
    <w:tmpl w:val="F506A7A4"/>
    <w:lvl w:ilvl="0">
      <w:numFmt w:val="bullet"/>
      <w:pStyle w:val="AERBullet3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45423058"/>
    <w:multiLevelType w:val="hybridMultilevel"/>
    <w:tmpl w:val="B114E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A708E"/>
    <w:multiLevelType w:val="hybridMultilevel"/>
    <w:tmpl w:val="140A1CFA"/>
    <w:lvl w:ilvl="0" w:tplc="02F83C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D34AC"/>
    <w:multiLevelType w:val="hybridMultilevel"/>
    <w:tmpl w:val="CCBAAC1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AE679F7"/>
    <w:multiLevelType w:val="hybridMultilevel"/>
    <w:tmpl w:val="7EB8E4DC"/>
    <w:lvl w:ilvl="0" w:tplc="83B2D3EC">
      <w:start w:val="1"/>
      <w:numFmt w:val="bullet"/>
      <w:pStyle w:val="AER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A7D1A6C"/>
    <w:multiLevelType w:val="hybridMultilevel"/>
    <w:tmpl w:val="BA3617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23869"/>
    <w:multiLevelType w:val="hybridMultilevel"/>
    <w:tmpl w:val="0CE03D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83F40"/>
    <w:multiLevelType w:val="hybridMultilevel"/>
    <w:tmpl w:val="2810637E"/>
    <w:lvl w:ilvl="0" w:tplc="2A8C8B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75593"/>
    <w:multiLevelType w:val="multilevel"/>
    <w:tmpl w:val="979A7758"/>
    <w:lvl w:ilvl="0">
      <w:start w:val="1"/>
      <w:numFmt w:val="decimal"/>
      <w:pStyle w:val="LegalFirstLeve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LegalSecondLevel"/>
      <w:lvlText w:val="(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LegalThirdLevel"/>
      <w:lvlText w:val="(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E2819EC"/>
    <w:multiLevelType w:val="multilevel"/>
    <w:tmpl w:val="1250F3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E8C239C"/>
    <w:multiLevelType w:val="hybridMultilevel"/>
    <w:tmpl w:val="CC2E9F9E"/>
    <w:lvl w:ilvl="0" w:tplc="02EEBB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2"/>
  </w:num>
  <w:num w:numId="5">
    <w:abstractNumId w:val="13"/>
  </w:num>
  <w:num w:numId="6">
    <w:abstractNumId w:val="10"/>
  </w:num>
  <w:num w:numId="7">
    <w:abstractNumId w:val="12"/>
  </w:num>
  <w:num w:numId="8">
    <w:abstractNumId w:val="22"/>
  </w:num>
  <w:num w:numId="9">
    <w:abstractNumId w:val="1"/>
  </w:num>
  <w:num w:numId="10">
    <w:abstractNumId w:val="11"/>
  </w:num>
  <w:num w:numId="11">
    <w:abstractNumId w:val="23"/>
  </w:num>
  <w:num w:numId="12">
    <w:abstractNumId w:val="18"/>
  </w:num>
  <w:num w:numId="13">
    <w:abstractNumId w:val="7"/>
  </w:num>
  <w:num w:numId="14">
    <w:abstractNumId w:val="0"/>
  </w:num>
  <w:num w:numId="15">
    <w:abstractNumId w:val="14"/>
  </w:num>
  <w:num w:numId="16">
    <w:abstractNumId w:val="20"/>
  </w:num>
  <w:num w:numId="17">
    <w:abstractNumId w:val="6"/>
  </w:num>
  <w:num w:numId="18">
    <w:abstractNumId w:val="19"/>
  </w:num>
  <w:num w:numId="19">
    <w:abstractNumId w:val="5"/>
  </w:num>
  <w:num w:numId="20">
    <w:abstractNumId w:val="15"/>
  </w:num>
  <w:num w:numId="21">
    <w:abstractNumId w:val="9"/>
  </w:num>
  <w:num w:numId="22">
    <w:abstractNumId w:val="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intFractionalCharacterWidth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urrentname" w:val="H:\trimdata\TRIM\TEMP\HPTRIM.9064\D16 34737  20160318 - Submission to SCO re Retail Law RoLR provisions.DOCX"/>
  </w:docVars>
  <w:rsids>
    <w:rsidRoot w:val="00D20C5D"/>
    <w:rsid w:val="00000FAE"/>
    <w:rsid w:val="000044B0"/>
    <w:rsid w:val="00013551"/>
    <w:rsid w:val="00020253"/>
    <w:rsid w:val="00032EC3"/>
    <w:rsid w:val="000437C5"/>
    <w:rsid w:val="000440AF"/>
    <w:rsid w:val="00046E0C"/>
    <w:rsid w:val="00067DA3"/>
    <w:rsid w:val="00072AF9"/>
    <w:rsid w:val="00072D72"/>
    <w:rsid w:val="00076590"/>
    <w:rsid w:val="00087DC4"/>
    <w:rsid w:val="00090F2E"/>
    <w:rsid w:val="000950FE"/>
    <w:rsid w:val="000A3E82"/>
    <w:rsid w:val="000A647C"/>
    <w:rsid w:val="000A6593"/>
    <w:rsid w:val="000A6A3E"/>
    <w:rsid w:val="000B24AE"/>
    <w:rsid w:val="000B25A3"/>
    <w:rsid w:val="000B4CE5"/>
    <w:rsid w:val="000B5011"/>
    <w:rsid w:val="000B6BD0"/>
    <w:rsid w:val="000C26E5"/>
    <w:rsid w:val="000C4CC8"/>
    <w:rsid w:val="000C57D6"/>
    <w:rsid w:val="000D6E6B"/>
    <w:rsid w:val="001070A3"/>
    <w:rsid w:val="00113B8B"/>
    <w:rsid w:val="00113EA3"/>
    <w:rsid w:val="00131420"/>
    <w:rsid w:val="00131C9A"/>
    <w:rsid w:val="001327CB"/>
    <w:rsid w:val="00146AF5"/>
    <w:rsid w:val="00155859"/>
    <w:rsid w:val="00156DF7"/>
    <w:rsid w:val="00174A55"/>
    <w:rsid w:val="00175B25"/>
    <w:rsid w:val="001779D3"/>
    <w:rsid w:val="001809BE"/>
    <w:rsid w:val="00185479"/>
    <w:rsid w:val="00187353"/>
    <w:rsid w:val="00190922"/>
    <w:rsid w:val="00195414"/>
    <w:rsid w:val="00195CDD"/>
    <w:rsid w:val="001A047C"/>
    <w:rsid w:val="001A0F11"/>
    <w:rsid w:val="001B15A3"/>
    <w:rsid w:val="001B2499"/>
    <w:rsid w:val="001B3648"/>
    <w:rsid w:val="001B4FE8"/>
    <w:rsid w:val="001C5476"/>
    <w:rsid w:val="001D52AB"/>
    <w:rsid w:val="001D6523"/>
    <w:rsid w:val="001E3AB4"/>
    <w:rsid w:val="00200A25"/>
    <w:rsid w:val="00207D9C"/>
    <w:rsid w:val="002211D5"/>
    <w:rsid w:val="00225E80"/>
    <w:rsid w:val="00234722"/>
    <w:rsid w:val="00243D31"/>
    <w:rsid w:val="00251E16"/>
    <w:rsid w:val="00252DDC"/>
    <w:rsid w:val="00291F3A"/>
    <w:rsid w:val="002B140F"/>
    <w:rsid w:val="002B693F"/>
    <w:rsid w:val="002B6B67"/>
    <w:rsid w:val="002D17A6"/>
    <w:rsid w:val="002D5007"/>
    <w:rsid w:val="002F377F"/>
    <w:rsid w:val="002F6BD7"/>
    <w:rsid w:val="003043AA"/>
    <w:rsid w:val="00341817"/>
    <w:rsid w:val="00346670"/>
    <w:rsid w:val="00367D97"/>
    <w:rsid w:val="00374944"/>
    <w:rsid w:val="0037754B"/>
    <w:rsid w:val="003914E9"/>
    <w:rsid w:val="003A31BD"/>
    <w:rsid w:val="003A4B74"/>
    <w:rsid w:val="003B0E4F"/>
    <w:rsid w:val="003B0F44"/>
    <w:rsid w:val="003C5790"/>
    <w:rsid w:val="003C66F2"/>
    <w:rsid w:val="003D70C9"/>
    <w:rsid w:val="003F0334"/>
    <w:rsid w:val="004115A2"/>
    <w:rsid w:val="00414999"/>
    <w:rsid w:val="00425103"/>
    <w:rsid w:val="0042650B"/>
    <w:rsid w:val="0042730D"/>
    <w:rsid w:val="00434C20"/>
    <w:rsid w:val="00435E17"/>
    <w:rsid w:val="00440183"/>
    <w:rsid w:val="004450DB"/>
    <w:rsid w:val="00447BB6"/>
    <w:rsid w:val="00450127"/>
    <w:rsid w:val="004508B3"/>
    <w:rsid w:val="004538CD"/>
    <w:rsid w:val="004549AB"/>
    <w:rsid w:val="00455B30"/>
    <w:rsid w:val="0047084C"/>
    <w:rsid w:val="00486337"/>
    <w:rsid w:val="00491EA6"/>
    <w:rsid w:val="00496B0E"/>
    <w:rsid w:val="004B55A2"/>
    <w:rsid w:val="004C72C0"/>
    <w:rsid w:val="004D3748"/>
    <w:rsid w:val="004E130F"/>
    <w:rsid w:val="004E5801"/>
    <w:rsid w:val="004E7430"/>
    <w:rsid w:val="004F1FFD"/>
    <w:rsid w:val="004F6C7C"/>
    <w:rsid w:val="00502191"/>
    <w:rsid w:val="00503F4F"/>
    <w:rsid w:val="00504638"/>
    <w:rsid w:val="00524B6D"/>
    <w:rsid w:val="0052774B"/>
    <w:rsid w:val="00535AB1"/>
    <w:rsid w:val="00540E04"/>
    <w:rsid w:val="005434BC"/>
    <w:rsid w:val="00550740"/>
    <w:rsid w:val="00563392"/>
    <w:rsid w:val="00577022"/>
    <w:rsid w:val="00581A95"/>
    <w:rsid w:val="005A47EC"/>
    <w:rsid w:val="005A61F4"/>
    <w:rsid w:val="005A7FF5"/>
    <w:rsid w:val="005B25BF"/>
    <w:rsid w:val="005B4DED"/>
    <w:rsid w:val="005C1166"/>
    <w:rsid w:val="005D414B"/>
    <w:rsid w:val="005D5D99"/>
    <w:rsid w:val="00612115"/>
    <w:rsid w:val="00620046"/>
    <w:rsid w:val="00621AF1"/>
    <w:rsid w:val="00622D21"/>
    <w:rsid w:val="006250DD"/>
    <w:rsid w:val="00632F0F"/>
    <w:rsid w:val="0064294F"/>
    <w:rsid w:val="00654495"/>
    <w:rsid w:val="006601D3"/>
    <w:rsid w:val="00660A41"/>
    <w:rsid w:val="00670CD9"/>
    <w:rsid w:val="006810DC"/>
    <w:rsid w:val="006843DB"/>
    <w:rsid w:val="00691F67"/>
    <w:rsid w:val="006D06C2"/>
    <w:rsid w:val="006D782D"/>
    <w:rsid w:val="006E42F3"/>
    <w:rsid w:val="007226C2"/>
    <w:rsid w:val="00734845"/>
    <w:rsid w:val="00737B2E"/>
    <w:rsid w:val="007400A5"/>
    <w:rsid w:val="007425FD"/>
    <w:rsid w:val="00747A7A"/>
    <w:rsid w:val="00753FD2"/>
    <w:rsid w:val="007561F5"/>
    <w:rsid w:val="007A3C22"/>
    <w:rsid w:val="007B5AD5"/>
    <w:rsid w:val="007C10B9"/>
    <w:rsid w:val="007C2F02"/>
    <w:rsid w:val="007E1884"/>
    <w:rsid w:val="007E5C0E"/>
    <w:rsid w:val="007E6A42"/>
    <w:rsid w:val="007F537D"/>
    <w:rsid w:val="007F5516"/>
    <w:rsid w:val="007F5F8E"/>
    <w:rsid w:val="007F67D0"/>
    <w:rsid w:val="007F745C"/>
    <w:rsid w:val="00804E32"/>
    <w:rsid w:val="00806775"/>
    <w:rsid w:val="00807CC2"/>
    <w:rsid w:val="00814CF0"/>
    <w:rsid w:val="00853142"/>
    <w:rsid w:val="00854999"/>
    <w:rsid w:val="00856360"/>
    <w:rsid w:val="00866C61"/>
    <w:rsid w:val="00881A18"/>
    <w:rsid w:val="008913CD"/>
    <w:rsid w:val="00895DD7"/>
    <w:rsid w:val="00896DB4"/>
    <w:rsid w:val="008B203C"/>
    <w:rsid w:val="008C0CD0"/>
    <w:rsid w:val="008C3870"/>
    <w:rsid w:val="008C7D6D"/>
    <w:rsid w:val="008D179A"/>
    <w:rsid w:val="008D3874"/>
    <w:rsid w:val="008D552E"/>
    <w:rsid w:val="008D7056"/>
    <w:rsid w:val="008D71C0"/>
    <w:rsid w:val="008D7E27"/>
    <w:rsid w:val="008F58DE"/>
    <w:rsid w:val="008F5A15"/>
    <w:rsid w:val="008F6AA7"/>
    <w:rsid w:val="00900E35"/>
    <w:rsid w:val="0091000C"/>
    <w:rsid w:val="00911982"/>
    <w:rsid w:val="00914540"/>
    <w:rsid w:val="0094481F"/>
    <w:rsid w:val="00945E6B"/>
    <w:rsid w:val="009531CA"/>
    <w:rsid w:val="0095331A"/>
    <w:rsid w:val="009620A0"/>
    <w:rsid w:val="009667A6"/>
    <w:rsid w:val="00982383"/>
    <w:rsid w:val="009834BD"/>
    <w:rsid w:val="00986CF0"/>
    <w:rsid w:val="00987FB1"/>
    <w:rsid w:val="00992332"/>
    <w:rsid w:val="009B3B5A"/>
    <w:rsid w:val="009C7C85"/>
    <w:rsid w:val="009E21DA"/>
    <w:rsid w:val="009F3B0B"/>
    <w:rsid w:val="009F6DDA"/>
    <w:rsid w:val="00A1366E"/>
    <w:rsid w:val="00A306E7"/>
    <w:rsid w:val="00A3207F"/>
    <w:rsid w:val="00A3528E"/>
    <w:rsid w:val="00A44BBD"/>
    <w:rsid w:val="00A61282"/>
    <w:rsid w:val="00A86FA5"/>
    <w:rsid w:val="00A922C2"/>
    <w:rsid w:val="00AA1986"/>
    <w:rsid w:val="00AA1BD4"/>
    <w:rsid w:val="00AA3796"/>
    <w:rsid w:val="00AB0450"/>
    <w:rsid w:val="00AB526E"/>
    <w:rsid w:val="00AB7181"/>
    <w:rsid w:val="00AC42B1"/>
    <w:rsid w:val="00AC7433"/>
    <w:rsid w:val="00AF5A75"/>
    <w:rsid w:val="00AF72F9"/>
    <w:rsid w:val="00AF7331"/>
    <w:rsid w:val="00B15FC7"/>
    <w:rsid w:val="00B26A3F"/>
    <w:rsid w:val="00B50F4F"/>
    <w:rsid w:val="00B5173D"/>
    <w:rsid w:val="00B55F24"/>
    <w:rsid w:val="00B57938"/>
    <w:rsid w:val="00B67164"/>
    <w:rsid w:val="00B712D4"/>
    <w:rsid w:val="00B73480"/>
    <w:rsid w:val="00B74492"/>
    <w:rsid w:val="00B817C9"/>
    <w:rsid w:val="00B843D0"/>
    <w:rsid w:val="00B87406"/>
    <w:rsid w:val="00B926D0"/>
    <w:rsid w:val="00B9570B"/>
    <w:rsid w:val="00BB2AE3"/>
    <w:rsid w:val="00BB562B"/>
    <w:rsid w:val="00BC1DFE"/>
    <w:rsid w:val="00BC3743"/>
    <w:rsid w:val="00BD7DE7"/>
    <w:rsid w:val="00BF1430"/>
    <w:rsid w:val="00BF3151"/>
    <w:rsid w:val="00BF5830"/>
    <w:rsid w:val="00C1300C"/>
    <w:rsid w:val="00C142A2"/>
    <w:rsid w:val="00C17001"/>
    <w:rsid w:val="00C20195"/>
    <w:rsid w:val="00C21EEF"/>
    <w:rsid w:val="00C227FF"/>
    <w:rsid w:val="00C37E41"/>
    <w:rsid w:val="00C61B8D"/>
    <w:rsid w:val="00C6671E"/>
    <w:rsid w:val="00C706FE"/>
    <w:rsid w:val="00CA0ABE"/>
    <w:rsid w:val="00CA22B6"/>
    <w:rsid w:val="00CB2CCC"/>
    <w:rsid w:val="00CC16EC"/>
    <w:rsid w:val="00CC3725"/>
    <w:rsid w:val="00CC4927"/>
    <w:rsid w:val="00CD5A73"/>
    <w:rsid w:val="00CE7872"/>
    <w:rsid w:val="00CF3DDC"/>
    <w:rsid w:val="00CF4499"/>
    <w:rsid w:val="00D02329"/>
    <w:rsid w:val="00D05746"/>
    <w:rsid w:val="00D06B74"/>
    <w:rsid w:val="00D148EB"/>
    <w:rsid w:val="00D16802"/>
    <w:rsid w:val="00D16AEF"/>
    <w:rsid w:val="00D20C5D"/>
    <w:rsid w:val="00D34D5C"/>
    <w:rsid w:val="00D34DE3"/>
    <w:rsid w:val="00D6110C"/>
    <w:rsid w:val="00D71A55"/>
    <w:rsid w:val="00D86DBE"/>
    <w:rsid w:val="00D92472"/>
    <w:rsid w:val="00D932C4"/>
    <w:rsid w:val="00D933F9"/>
    <w:rsid w:val="00D946B3"/>
    <w:rsid w:val="00DA5141"/>
    <w:rsid w:val="00DB58C5"/>
    <w:rsid w:val="00DB5FFF"/>
    <w:rsid w:val="00DC38B9"/>
    <w:rsid w:val="00DD7B30"/>
    <w:rsid w:val="00DE5293"/>
    <w:rsid w:val="00DF0F5D"/>
    <w:rsid w:val="00E050CD"/>
    <w:rsid w:val="00E1605B"/>
    <w:rsid w:val="00E178AA"/>
    <w:rsid w:val="00E2346F"/>
    <w:rsid w:val="00E24DD8"/>
    <w:rsid w:val="00E2526E"/>
    <w:rsid w:val="00E272C2"/>
    <w:rsid w:val="00E2765C"/>
    <w:rsid w:val="00E30B22"/>
    <w:rsid w:val="00E6661A"/>
    <w:rsid w:val="00E72859"/>
    <w:rsid w:val="00E805FD"/>
    <w:rsid w:val="00E81380"/>
    <w:rsid w:val="00E81427"/>
    <w:rsid w:val="00E871E7"/>
    <w:rsid w:val="00E87C5A"/>
    <w:rsid w:val="00E92E7A"/>
    <w:rsid w:val="00E95153"/>
    <w:rsid w:val="00E95FDF"/>
    <w:rsid w:val="00EA4608"/>
    <w:rsid w:val="00EA5623"/>
    <w:rsid w:val="00EA745C"/>
    <w:rsid w:val="00EB7C94"/>
    <w:rsid w:val="00EC3336"/>
    <w:rsid w:val="00EF33BB"/>
    <w:rsid w:val="00F07A58"/>
    <w:rsid w:val="00F1009F"/>
    <w:rsid w:val="00F100F0"/>
    <w:rsid w:val="00F1188B"/>
    <w:rsid w:val="00F11B9F"/>
    <w:rsid w:val="00F1341C"/>
    <w:rsid w:val="00F16C73"/>
    <w:rsid w:val="00F32D04"/>
    <w:rsid w:val="00F3736F"/>
    <w:rsid w:val="00F45831"/>
    <w:rsid w:val="00F6465D"/>
    <w:rsid w:val="00F80269"/>
    <w:rsid w:val="00F820B2"/>
    <w:rsid w:val="00F823E5"/>
    <w:rsid w:val="00F845C2"/>
    <w:rsid w:val="00F90EB7"/>
    <w:rsid w:val="00F92711"/>
    <w:rsid w:val="00F92E64"/>
    <w:rsid w:val="00FA3737"/>
    <w:rsid w:val="00FC4AE3"/>
    <w:rsid w:val="00FD1B8B"/>
    <w:rsid w:val="00FD30DC"/>
    <w:rsid w:val="00FD5783"/>
    <w:rsid w:val="00FD5EEB"/>
    <w:rsid w:val="00FE5E3E"/>
    <w:rsid w:val="00F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lvetica" w:hAnsi="Helvetica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numbering" w:styleId="1ai">
    <w:name w:val="Outline List 1"/>
    <w:aliases w:val="AER Numbered List"/>
    <w:basedOn w:val="NoList"/>
    <w:pPr>
      <w:numPr>
        <w:numId w:val="1"/>
      </w:numPr>
    </w:pPr>
  </w:style>
  <w:style w:type="paragraph" w:customStyle="1" w:styleId="AERbodytext">
    <w:name w:val="AER body text"/>
    <w:basedOn w:val="Normal"/>
    <w:link w:val="AERbodytextChar"/>
    <w:pPr>
      <w:spacing w:after="240"/>
    </w:pPr>
    <w:rPr>
      <w:rFonts w:ascii="Times New Roman" w:hAnsi="Times New Roman"/>
      <w:lang w:val="en-AU"/>
    </w:rPr>
  </w:style>
  <w:style w:type="character" w:customStyle="1" w:styleId="AERbodytextChar">
    <w:name w:val="AER body text Char"/>
    <w:basedOn w:val="DefaultParagraphFont"/>
    <w:link w:val="AERbodytext"/>
    <w:rPr>
      <w:sz w:val="24"/>
      <w:lang w:val="en-AU" w:eastAsia="en-AU" w:bidi="ar-SA"/>
    </w:rPr>
  </w:style>
  <w:style w:type="paragraph" w:customStyle="1" w:styleId="AERBullet1">
    <w:name w:val="AER Bullet 1"/>
    <w:basedOn w:val="AERbodytext"/>
    <w:pPr>
      <w:numPr>
        <w:numId w:val="3"/>
      </w:numPr>
      <w:ind w:hanging="3"/>
    </w:pPr>
  </w:style>
  <w:style w:type="paragraph" w:customStyle="1" w:styleId="AERBullet2">
    <w:name w:val="AER Bullet 2"/>
    <w:basedOn w:val="AERbodytext"/>
    <w:pPr>
      <w:numPr>
        <w:numId w:val="4"/>
      </w:numPr>
      <w:tabs>
        <w:tab w:val="clear" w:pos="360"/>
        <w:tab w:val="num" w:pos="432"/>
      </w:tabs>
      <w:ind w:left="432" w:hanging="432"/>
    </w:pPr>
    <w:rPr>
      <w:szCs w:val="24"/>
    </w:rPr>
  </w:style>
  <w:style w:type="paragraph" w:customStyle="1" w:styleId="AERBullet3">
    <w:name w:val="AER Bullet 3"/>
    <w:basedOn w:val="AERbodytext"/>
    <w:pPr>
      <w:numPr>
        <w:numId w:val="5"/>
      </w:numPr>
      <w:tabs>
        <w:tab w:val="clear" w:pos="360"/>
        <w:tab w:val="num" w:pos="432"/>
      </w:tabs>
      <w:ind w:left="432" w:hanging="432"/>
    </w:pPr>
  </w:style>
  <w:style w:type="paragraph" w:customStyle="1" w:styleId="AERBulletone">
    <w:name w:val="AER Bullet one"/>
    <w:basedOn w:val="Normal"/>
    <w:pPr>
      <w:spacing w:after="240"/>
    </w:pPr>
    <w:rPr>
      <w:rFonts w:ascii="Times New Roman" w:hAnsi="Times New Roman"/>
      <w:lang w:val="en-AU"/>
    </w:rPr>
  </w:style>
  <w:style w:type="paragraph" w:customStyle="1" w:styleId="AERbulletthree">
    <w:name w:val="AER bullet three"/>
    <w:basedOn w:val="Normal"/>
    <w:pPr>
      <w:spacing w:after="240"/>
    </w:pPr>
    <w:rPr>
      <w:rFonts w:ascii="Times New Roman" w:hAnsi="Times New Roman"/>
      <w:lang w:val="en-AU"/>
    </w:rPr>
  </w:style>
  <w:style w:type="paragraph" w:customStyle="1" w:styleId="AERbullettwo">
    <w:name w:val="AER bullet two"/>
    <w:basedOn w:val="AERbodytext"/>
    <w:rPr>
      <w:szCs w:val="24"/>
    </w:rPr>
  </w:style>
  <w:style w:type="character" w:customStyle="1" w:styleId="AERCopyrighttext">
    <w:name w:val="AER Copyright text"/>
    <w:basedOn w:val="AERbodytextChar"/>
    <w:rPr>
      <w:rFonts w:ascii="Times New Roman" w:hAnsi="Times New Roman"/>
      <w:sz w:val="20"/>
      <w:lang w:val="en-AU" w:eastAsia="en-AU" w:bidi="ar-SA"/>
    </w:rPr>
  </w:style>
  <w:style w:type="paragraph" w:customStyle="1" w:styleId="AERfootnote">
    <w:name w:val="AER footnote"/>
    <w:basedOn w:val="AERbodytext"/>
    <w:link w:val="AERfootnoteChar"/>
    <w:pPr>
      <w:tabs>
        <w:tab w:val="left" w:pos="567"/>
      </w:tabs>
      <w:spacing w:after="80"/>
      <w:ind w:left="567" w:hanging="567"/>
    </w:pPr>
    <w:rPr>
      <w:sz w:val="18"/>
    </w:rPr>
  </w:style>
  <w:style w:type="character" w:customStyle="1" w:styleId="AERfootnoteChar">
    <w:name w:val="AER footnote Char"/>
    <w:basedOn w:val="DefaultParagraphFont"/>
    <w:link w:val="AERfootnote"/>
    <w:rPr>
      <w:sz w:val="18"/>
      <w:lang w:val="en-AU" w:eastAsia="en-AU" w:bidi="ar-SA"/>
    </w:rPr>
  </w:style>
  <w:style w:type="character" w:customStyle="1" w:styleId="AERfootnotereference">
    <w:name w:val="AER footnote reference"/>
    <w:basedOn w:val="FootnoteReference"/>
    <w:rPr>
      <w:rFonts w:ascii="Times New Roman" w:hAnsi="Times New Roman"/>
      <w:bCs/>
      <w:sz w:val="18"/>
      <w:vertAlign w:val="superscript"/>
      <w:lang w:val="en-AU" w:eastAsia="en-AU" w:bidi="ar-SA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AERheading1">
    <w:name w:val="AER heading 1"/>
    <w:basedOn w:val="Heading1"/>
    <w:next w:val="AERbodytext"/>
    <w:pPr>
      <w:numPr>
        <w:numId w:val="6"/>
      </w:numPr>
      <w:spacing w:before="0" w:after="480"/>
    </w:pPr>
    <w:rPr>
      <w:rFonts w:ascii="Times New Roman" w:hAnsi="Times New Roman" w:cs="Times New Roman"/>
      <w:bCs w:val="0"/>
      <w:kern w:val="0"/>
      <w:sz w:val="36"/>
      <w:szCs w:val="36"/>
      <w:lang w:val="en-AU"/>
    </w:rPr>
  </w:style>
  <w:style w:type="paragraph" w:customStyle="1" w:styleId="AERheading2">
    <w:name w:val="AER heading 2"/>
    <w:basedOn w:val="Heading2"/>
    <w:next w:val="AERbodytext"/>
    <w:pPr>
      <w:spacing w:after="240"/>
    </w:pPr>
    <w:rPr>
      <w:rFonts w:ascii="Times New Roman" w:hAnsi="Times New Roman" w:cs="Times New Roman"/>
      <w:bCs w:val="0"/>
      <w:i w:val="0"/>
      <w:iCs w:val="0"/>
      <w:sz w:val="30"/>
      <w:lang w:val="en-AU"/>
    </w:rPr>
  </w:style>
  <w:style w:type="paragraph" w:customStyle="1" w:styleId="AERHeading3">
    <w:name w:val="AER Heading 3"/>
    <w:basedOn w:val="Heading3"/>
    <w:next w:val="AERbodytext"/>
    <w:pPr>
      <w:spacing w:before="120" w:after="120"/>
    </w:pPr>
    <w:rPr>
      <w:rFonts w:ascii="Times New Roman" w:hAnsi="Times New Roman" w:cs="Times New Roman"/>
      <w:bCs w:val="0"/>
      <w:sz w:val="24"/>
      <w:szCs w:val="20"/>
      <w:lang w:val="en-AU"/>
    </w:rPr>
  </w:style>
  <w:style w:type="paragraph" w:customStyle="1" w:styleId="AERHeading4">
    <w:name w:val="AER Heading 4"/>
    <w:basedOn w:val="AERbodytext"/>
    <w:next w:val="AERbodytext"/>
    <w:pPr>
      <w:keepNext/>
      <w:spacing w:after="120"/>
    </w:pPr>
    <w:rPr>
      <w:b/>
      <w:i/>
    </w:rPr>
  </w:style>
  <w:style w:type="paragraph" w:customStyle="1" w:styleId="AERHeading5">
    <w:name w:val="AER Heading 5"/>
    <w:basedOn w:val="AERbodytext"/>
    <w:next w:val="AERbodytext"/>
    <w:pPr>
      <w:keepNext/>
      <w:spacing w:before="240" w:after="120"/>
    </w:pPr>
    <w:rPr>
      <w:i/>
    </w:rPr>
  </w:style>
  <w:style w:type="paragraph" w:customStyle="1" w:styleId="AERquotestyle">
    <w:name w:val="AER quote style"/>
    <w:basedOn w:val="AERbodytext"/>
    <w:pPr>
      <w:ind w:left="357" w:right="357"/>
    </w:pPr>
    <w:rPr>
      <w:sz w:val="20"/>
    </w:rPr>
  </w:style>
  <w:style w:type="paragraph" w:customStyle="1" w:styleId="AERReporttitleDate">
    <w:name w:val="AER Report title Date"/>
    <w:basedOn w:val="AERbodytext"/>
    <w:pPr>
      <w:jc w:val="center"/>
    </w:pPr>
    <w:rPr>
      <w:b/>
      <w:sz w:val="28"/>
      <w:szCs w:val="28"/>
    </w:rPr>
  </w:style>
  <w:style w:type="paragraph" w:customStyle="1" w:styleId="AERtable">
    <w:name w:val="AER table"/>
    <w:basedOn w:val="AERbodytext"/>
    <w:link w:val="AERtableChar"/>
    <w:pPr>
      <w:framePr w:hSpace="180" w:wrap="around" w:vAnchor="text" w:hAnchor="text" w:y="1"/>
      <w:tabs>
        <w:tab w:val="left" w:pos="0"/>
        <w:tab w:val="left" w:pos="360"/>
        <w:tab w:val="right" w:leader="dot" w:pos="8453"/>
      </w:tabs>
      <w:spacing w:before="60" w:after="60"/>
      <w:ind w:left="72" w:hanging="72"/>
      <w:suppressOverlap/>
    </w:pPr>
  </w:style>
  <w:style w:type="paragraph" w:customStyle="1" w:styleId="AERTableFigureheading">
    <w:name w:val="AER Table &amp; Figure heading"/>
    <w:basedOn w:val="Normal"/>
    <w:pPr>
      <w:keepNext/>
      <w:tabs>
        <w:tab w:val="left" w:pos="360"/>
        <w:tab w:val="right" w:leader="dot" w:pos="8453"/>
      </w:tabs>
      <w:spacing w:before="120" w:after="120"/>
      <w:ind w:left="1134" w:hanging="1134"/>
    </w:pPr>
    <w:rPr>
      <w:rFonts w:ascii="Times New Roman" w:hAnsi="Times New Roman"/>
      <w:b/>
      <w:lang w:val="en-AU"/>
    </w:rPr>
  </w:style>
  <w:style w:type="character" w:customStyle="1" w:styleId="AERtableChar">
    <w:name w:val="AER table Char"/>
    <w:basedOn w:val="DefaultParagraphFont"/>
    <w:link w:val="AERtable"/>
    <w:rPr>
      <w:sz w:val="24"/>
      <w:lang w:val="en-AU" w:eastAsia="en-AU" w:bidi="ar-SA"/>
    </w:rPr>
  </w:style>
  <w:style w:type="paragraph" w:customStyle="1" w:styleId="AERtablesources">
    <w:name w:val="AER table sources"/>
    <w:basedOn w:val="AERbodytext"/>
    <w:next w:val="AERbodytext"/>
    <w:pPr>
      <w:spacing w:before="60"/>
    </w:pPr>
    <w:rPr>
      <w:sz w:val="20"/>
    </w:rPr>
  </w:style>
  <w:style w:type="paragraph" w:customStyle="1" w:styleId="AERtextbox">
    <w:name w:val="AER textbox"/>
    <w:basedOn w:val="AERbodytext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A3796"/>
    <w:rPr>
      <w:color w:val="0000FF" w:themeColor="hyperlink"/>
      <w:u w:val="single"/>
    </w:rPr>
  </w:style>
  <w:style w:type="character" w:styleId="CommentReference">
    <w:name w:val="annotation reference"/>
    <w:rsid w:val="004508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8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508B3"/>
    <w:rPr>
      <w:rFonts w:ascii="Helvetica" w:hAnsi="Helvetica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50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8B3"/>
    <w:rPr>
      <w:rFonts w:ascii="Helvetica" w:hAnsi="Helvetica"/>
      <w:b/>
      <w:bCs/>
      <w:lang w:val="en-GB"/>
    </w:rPr>
  </w:style>
  <w:style w:type="paragraph" w:customStyle="1" w:styleId="Bulletpoint">
    <w:name w:val="Bullet point"/>
    <w:basedOn w:val="ListBullet"/>
    <w:qFormat/>
    <w:rsid w:val="00BC3743"/>
    <w:pPr>
      <w:tabs>
        <w:tab w:val="left" w:pos="340"/>
      </w:tabs>
      <w:spacing w:before="120"/>
      <w:ind w:left="340" w:hanging="340"/>
      <w:contextualSpacing w:val="0"/>
    </w:pPr>
    <w:rPr>
      <w:rFonts w:ascii="Arial" w:eastAsia="Arial" w:hAnsi="Arial"/>
      <w:sz w:val="22"/>
      <w:szCs w:val="22"/>
      <w:lang w:val="en-AU" w:eastAsia="en-US"/>
    </w:rPr>
  </w:style>
  <w:style w:type="paragraph" w:styleId="ListBullet">
    <w:name w:val="List Bullet"/>
    <w:basedOn w:val="Normal"/>
    <w:rsid w:val="00BC3743"/>
    <w:pPr>
      <w:ind w:left="360" w:hanging="360"/>
      <w:contextualSpacing/>
    </w:pPr>
  </w:style>
  <w:style w:type="paragraph" w:styleId="ListParagraph">
    <w:name w:val="List Paragraph"/>
    <w:basedOn w:val="Normal"/>
    <w:uiPriority w:val="34"/>
    <w:qFormat/>
    <w:rsid w:val="00BC3743"/>
    <w:pPr>
      <w:numPr>
        <w:numId w:val="9"/>
      </w:numPr>
      <w:tabs>
        <w:tab w:val="left" w:pos="340"/>
      </w:tabs>
      <w:spacing w:before="120"/>
      <w:ind w:left="0" w:firstLine="0"/>
    </w:pPr>
    <w:rPr>
      <w:rFonts w:ascii="Arial" w:eastAsia="Arial" w:hAnsi="Arial"/>
      <w:sz w:val="22"/>
      <w:szCs w:val="22"/>
      <w:lang w:val="en-AU" w:eastAsia="en-US"/>
    </w:rPr>
  </w:style>
  <w:style w:type="paragraph" w:customStyle="1" w:styleId="Default">
    <w:name w:val="Default"/>
    <w:basedOn w:val="Normal"/>
    <w:rsid w:val="003C5790"/>
    <w:pPr>
      <w:autoSpaceDE w:val="0"/>
      <w:autoSpaceDN w:val="0"/>
    </w:pPr>
    <w:rPr>
      <w:rFonts w:ascii="Times New Roman" w:eastAsia="Calibri" w:hAnsi="Times New Roman"/>
      <w:color w:val="000000"/>
      <w:szCs w:val="24"/>
      <w:lang w:val="en-AU" w:eastAsia="en-US"/>
    </w:rPr>
  </w:style>
  <w:style w:type="paragraph" w:customStyle="1" w:styleId="LegalFirstLevel">
    <w:name w:val="Legal First Level"/>
    <w:basedOn w:val="Normal"/>
    <w:rsid w:val="00251E16"/>
    <w:pPr>
      <w:numPr>
        <w:numId w:val="23"/>
      </w:numPr>
      <w:tabs>
        <w:tab w:val="clear" w:pos="567"/>
        <w:tab w:val="num" w:pos="360"/>
      </w:tabs>
      <w:spacing w:after="240"/>
      <w:ind w:left="360" w:hanging="360"/>
      <w:jc w:val="both"/>
    </w:pPr>
    <w:rPr>
      <w:rFonts w:ascii="Times New Roman" w:eastAsia="Calibri" w:hAnsi="Times New Roman"/>
      <w:szCs w:val="24"/>
      <w:lang w:val="en-AU" w:eastAsia="en-US"/>
    </w:rPr>
  </w:style>
  <w:style w:type="paragraph" w:customStyle="1" w:styleId="LegalSecondLevel">
    <w:name w:val="Legal Second Level"/>
    <w:basedOn w:val="Normal"/>
    <w:rsid w:val="00251E16"/>
    <w:pPr>
      <w:numPr>
        <w:ilvl w:val="1"/>
        <w:numId w:val="23"/>
      </w:numPr>
      <w:tabs>
        <w:tab w:val="clear" w:pos="1134"/>
        <w:tab w:val="num" w:pos="720"/>
      </w:tabs>
      <w:spacing w:after="240"/>
      <w:ind w:left="720" w:hanging="360"/>
      <w:jc w:val="both"/>
    </w:pPr>
    <w:rPr>
      <w:rFonts w:ascii="Times New Roman" w:eastAsia="Calibri" w:hAnsi="Times New Roman"/>
      <w:szCs w:val="24"/>
      <w:lang w:val="en-AU" w:eastAsia="en-US"/>
    </w:rPr>
  </w:style>
  <w:style w:type="paragraph" w:customStyle="1" w:styleId="LegalThirdLevel">
    <w:name w:val="Legal Third Level"/>
    <w:basedOn w:val="Normal"/>
    <w:rsid w:val="00251E16"/>
    <w:pPr>
      <w:numPr>
        <w:ilvl w:val="2"/>
        <w:numId w:val="23"/>
      </w:numPr>
      <w:tabs>
        <w:tab w:val="clear" w:pos="1701"/>
        <w:tab w:val="num" w:pos="1080"/>
      </w:tabs>
      <w:spacing w:after="240"/>
      <w:ind w:left="1080" w:hanging="360"/>
      <w:jc w:val="both"/>
    </w:pPr>
    <w:rPr>
      <w:rFonts w:ascii="Times New Roman" w:eastAsia="Calibri" w:hAnsi="Times New Roman"/>
      <w:szCs w:val="24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Footer">
    <w:name w:val="1ai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iona.walker@aer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AER_Archive\AER%20-%2010%20-%20Letter%20Mel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B89EB-B0D2-4FC8-A4DD-E911FDA3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AER - 10 - Letter Melb</Template>
  <TotalTime>604</TotalTime>
  <Pages>2</Pages>
  <Words>651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ACCC Letter Template</vt:lpstr>
    </vt:vector>
  </TitlesOfParts>
  <Company>Trade Practices Commission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ACCC Letter Template</dc:title>
  <dc:subject/>
  <dc:creator>Walker, Fiona</dc:creator>
  <cp:keywords/>
  <cp:lastModifiedBy>Gall, Joanna</cp:lastModifiedBy>
  <cp:revision>40</cp:revision>
  <cp:lastPrinted>2015-07-17T05:02:00Z</cp:lastPrinted>
  <dcterms:created xsi:type="dcterms:W3CDTF">2016-06-22T00:47:00Z</dcterms:created>
  <dcterms:modified xsi:type="dcterms:W3CDTF">2016-07-05T01:44:00Z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I">
    <vt:lpwstr>8700841</vt:lpwstr>
  </property>
  <property fmtid="{D5CDD505-2E9C-101B-9397-08002B2CF9AE}" pid="3" name="currfile">
    <vt:lpwstr>\\cdchnas-evs02\home$\JGall\20160622 submission to aemc re market participant suspension framework rule (D2016-00080627).docx</vt:lpwstr>
  </property>
</Properties>
</file>