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709D903D" wp14:editId="67B37017">
                <wp:simplePos x="0" y="0"/>
                <wp:positionH relativeFrom="column">
                  <wp:posOffset>-1069280</wp:posOffset>
                </wp:positionH>
                <wp:positionV relativeFrom="paragraph">
                  <wp:posOffset>-1168400</wp:posOffset>
                </wp:positionV>
                <wp:extent cx="7876389" cy="10925092"/>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6389" cy="10925092"/>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A2412B">
                <w:t>m</w:t>
              </w:r>
              <w:r w:rsidR="00393A49" w:rsidRPr="00393A49">
                <w:t>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CF208D">
                <w:t>2</w:t>
              </w:r>
              <w:r w:rsidR="003A01CC">
                <w:t>2</w:t>
              </w:r>
              <w:r w:rsidR="00CF208D">
                <w:t xml:space="preserve"> Ma</w:t>
              </w:r>
              <w:r w:rsidR="003A01CC">
                <w:t>y</w:t>
              </w:r>
              <w:r w:rsidR="00CF208D">
                <w:t xml:space="preserve"> </w:t>
              </w:r>
              <w:r w:rsidR="00A019E6">
                <w:t>201</w:t>
              </w:r>
              <w:r w:rsidR="00CF208D">
                <w:t>7</w:t>
              </w:r>
            </w:p>
            <w:p w:rsidR="00C7068C" w:rsidRDefault="00C7068C" w:rsidP="00C7068C">
              <w:pPr>
                <w:pStyle w:val="ReportDate"/>
              </w:pPr>
            </w:p>
            <w:p w:rsidR="00C7068C" w:rsidRDefault="00C7068C" w:rsidP="00C7068C">
              <w:pPr>
                <w:pStyle w:val="ReportDate"/>
              </w:pPr>
            </w:p>
            <w:p w:rsidR="00C7068C" w:rsidRPr="00DB723B" w:rsidRDefault="00281333" w:rsidP="00C7068C">
              <w:pPr>
                <w:pStyle w:val="ReportDate"/>
              </w:pPr>
              <w:r>
                <w:t>1</w:t>
              </w:r>
              <w:r w:rsidR="004A0D3E">
                <w:t xml:space="preserve"> </w:t>
              </w:r>
              <w:r>
                <w:t>September</w:t>
              </w:r>
              <w:r w:rsidR="00D20646">
                <w:t xml:space="preserve"> 2017</w:t>
              </w:r>
            </w:p>
            <w:p w:rsidR="00C7068C" w:rsidRPr="0015715D" w:rsidRDefault="00C7068C" w:rsidP="0015715D">
              <w:r w:rsidRPr="00DB723B">
                <w:br w:type="page"/>
              </w:r>
            </w:p>
          </w:sdtContent>
        </w:sdt>
        <w:p w:rsidR="00C7068C" w:rsidRDefault="0015715D" w:rsidP="00C7068C">
          <w:pPr>
            <w:spacing w:line="240" w:lineRule="auto"/>
          </w:pPr>
          <w:r>
            <w:lastRenderedPageBreak/>
            <w:t xml:space="preserve">© Commonwealth of Australia </w:t>
          </w:r>
          <w:r w:rsidR="00D20646">
            <w:t>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6356B7">
          <w:pPr>
            <w:pStyle w:val="StyleCopyrightBefore0pt"/>
            <w:numPr>
              <w:ilvl w:val="0"/>
              <w:numId w:val="22"/>
            </w:numPr>
          </w:pPr>
          <w:r>
            <w:t>the Commonwealth Coat of Arms</w:t>
          </w:r>
        </w:p>
        <w:p w:rsidR="00C7068C" w:rsidRDefault="00C7068C" w:rsidP="006356B7">
          <w:pPr>
            <w:pStyle w:val="StyleCopyrightBefore0pt"/>
            <w:numPr>
              <w:ilvl w:val="0"/>
              <w:numId w:val="22"/>
            </w:numPr>
          </w:pPr>
          <w:r>
            <w:t>the ACCC and AER logos</w:t>
          </w:r>
        </w:p>
        <w:p w:rsidR="00C7068C" w:rsidRPr="00B927D8" w:rsidRDefault="00C7068C" w:rsidP="006356B7">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B16708" w:rsidRPr="00B16708">
            <w:t>6</w:t>
          </w:r>
          <w:r w:rsidR="003A01CC">
            <w:t>2293</w:t>
          </w:r>
          <w:r w:rsidRPr="00CC65AF">
            <w:t xml:space="preserve"> / </w:t>
          </w:r>
          <w:r w:rsidR="001316A7" w:rsidRPr="0065235C">
            <w:t>D17</w:t>
          </w:r>
          <w:r w:rsidR="00B16708" w:rsidRPr="0065235C">
            <w:t>/</w:t>
          </w:r>
          <w:r w:rsidR="00DD1290" w:rsidRPr="0065235C">
            <w:t>1</w:t>
          </w:r>
          <w:r w:rsidR="00DD1290">
            <w:t>14193</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147AD2" w:rsidP="009B028C">
                <w:pPr>
                  <w:spacing w:before="0" w:after="200"/>
                </w:pPr>
                <w:r>
                  <w:t>1 version for publication</w:t>
                </w:r>
              </w:p>
            </w:tc>
            <w:tc>
              <w:tcPr>
                <w:tcW w:w="2906" w:type="dxa"/>
              </w:tcPr>
              <w:p w:rsidR="00C7068C" w:rsidRDefault="00281333" w:rsidP="00281333">
                <w:pPr>
                  <w:spacing w:before="0" w:after="200"/>
                </w:pPr>
                <w:r>
                  <w:t>01</w:t>
                </w:r>
                <w:r w:rsidR="00705130">
                  <w:t>/0</w:t>
                </w:r>
                <w:r>
                  <w:t>9</w:t>
                </w:r>
                <w:r w:rsidR="00705130">
                  <w:t>/2017</w:t>
                </w:r>
              </w:p>
            </w:tc>
            <w:tc>
              <w:tcPr>
                <w:tcW w:w="2888" w:type="dxa"/>
              </w:tcPr>
              <w:p w:rsidR="00C7068C" w:rsidRDefault="00046C8D" w:rsidP="009B028C">
                <w:pPr>
                  <w:spacing w:before="0" w:after="200"/>
                </w:pPr>
                <w:r>
                  <w:t>30</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BF49B4"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9945983" w:history="1">
            <w:r w:rsidR="00BF49B4" w:rsidRPr="00B6292E">
              <w:rPr>
                <w:rStyle w:val="Hyperlink"/>
              </w:rPr>
              <w:t>1</w:t>
            </w:r>
            <w:r w:rsidR="00BF49B4">
              <w:rPr>
                <w:rFonts w:asciiTheme="minorHAnsi" w:eastAsiaTheme="minorEastAsia" w:hAnsiTheme="minorHAnsi"/>
                <w:b w:val="0"/>
                <w:color w:val="auto"/>
                <w:sz w:val="22"/>
                <w:lang w:val="en-AU" w:eastAsia="en-AU"/>
              </w:rPr>
              <w:tab/>
            </w:r>
            <w:r w:rsidR="00BF49B4" w:rsidRPr="00B6292E">
              <w:rPr>
                <w:rStyle w:val="Hyperlink"/>
              </w:rPr>
              <w:t>Obligation</w:t>
            </w:r>
            <w:r w:rsidR="00BF49B4">
              <w:rPr>
                <w:webHidden/>
              </w:rPr>
              <w:tab/>
            </w:r>
            <w:r w:rsidR="00860E94">
              <w:rPr>
                <w:webHidden/>
              </w:rPr>
              <w:tab/>
            </w:r>
            <w:r w:rsidR="00BF49B4">
              <w:rPr>
                <w:webHidden/>
              </w:rPr>
              <w:fldChar w:fldCharType="begin"/>
            </w:r>
            <w:r w:rsidR="00BF49B4">
              <w:rPr>
                <w:webHidden/>
              </w:rPr>
              <w:instrText xml:space="preserve"> PAGEREF _Toc489945983 \h </w:instrText>
            </w:r>
            <w:r w:rsidR="00BF49B4">
              <w:rPr>
                <w:webHidden/>
              </w:rPr>
            </w:r>
            <w:r w:rsidR="00BF49B4">
              <w:rPr>
                <w:webHidden/>
              </w:rPr>
              <w:fldChar w:fldCharType="separate"/>
            </w:r>
            <w:r w:rsidR="00B24B6B">
              <w:rPr>
                <w:webHidden/>
              </w:rPr>
              <w:t>4</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84" w:history="1">
            <w:r w:rsidR="00BF49B4" w:rsidRPr="00B6292E">
              <w:rPr>
                <w:rStyle w:val="Hyperlink"/>
              </w:rPr>
              <w:t>2</w:t>
            </w:r>
            <w:r w:rsidR="00BF49B4">
              <w:rPr>
                <w:rFonts w:asciiTheme="minorHAnsi" w:eastAsiaTheme="minorEastAsia" w:hAnsiTheme="minorHAnsi"/>
                <w:b w:val="0"/>
                <w:color w:val="auto"/>
                <w:sz w:val="22"/>
                <w:lang w:val="en-AU" w:eastAsia="en-AU"/>
              </w:rPr>
              <w:tab/>
            </w:r>
            <w:r w:rsidR="00BF49B4" w:rsidRPr="00B6292E">
              <w:rPr>
                <w:rStyle w:val="Hyperlink"/>
              </w:rPr>
              <w:t>Summary</w:t>
            </w:r>
            <w:r w:rsidR="00BF49B4">
              <w:rPr>
                <w:webHidden/>
              </w:rPr>
              <w:tab/>
            </w:r>
            <w:r w:rsidR="00860E94">
              <w:rPr>
                <w:webHidden/>
              </w:rPr>
              <w:tab/>
            </w:r>
            <w:r w:rsidR="00BF49B4">
              <w:rPr>
                <w:webHidden/>
              </w:rPr>
              <w:fldChar w:fldCharType="begin"/>
            </w:r>
            <w:r w:rsidR="00BF49B4">
              <w:rPr>
                <w:webHidden/>
              </w:rPr>
              <w:instrText xml:space="preserve"> PAGEREF _Toc489945984 \h </w:instrText>
            </w:r>
            <w:r w:rsidR="00BF49B4">
              <w:rPr>
                <w:webHidden/>
              </w:rPr>
            </w:r>
            <w:r w:rsidR="00BF49B4">
              <w:rPr>
                <w:webHidden/>
              </w:rPr>
              <w:fldChar w:fldCharType="separate"/>
            </w:r>
            <w:r w:rsidR="00B24B6B">
              <w:rPr>
                <w:webHidden/>
              </w:rPr>
              <w:t>5</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85" w:history="1">
            <w:r w:rsidR="00BF49B4" w:rsidRPr="00B6292E">
              <w:rPr>
                <w:rStyle w:val="Hyperlink"/>
              </w:rPr>
              <w:t>3</w:t>
            </w:r>
            <w:r w:rsidR="00BF49B4">
              <w:rPr>
                <w:rFonts w:asciiTheme="minorHAnsi" w:eastAsiaTheme="minorEastAsia" w:hAnsiTheme="minorHAnsi"/>
                <w:b w:val="0"/>
                <w:color w:val="auto"/>
                <w:sz w:val="22"/>
                <w:lang w:val="en-AU" w:eastAsia="en-AU"/>
              </w:rPr>
              <w:tab/>
            </w:r>
            <w:r w:rsidR="00BF49B4" w:rsidRPr="00B6292E">
              <w:rPr>
                <w:rStyle w:val="Hyperlink"/>
              </w:rPr>
              <w:t>Analysis</w:t>
            </w:r>
            <w:r w:rsidR="00BF49B4">
              <w:rPr>
                <w:webHidden/>
              </w:rPr>
              <w:tab/>
            </w:r>
            <w:r w:rsidR="00860E94">
              <w:rPr>
                <w:webHidden/>
              </w:rPr>
              <w:tab/>
            </w:r>
            <w:r w:rsidR="00BF49B4">
              <w:rPr>
                <w:webHidden/>
              </w:rPr>
              <w:fldChar w:fldCharType="begin"/>
            </w:r>
            <w:r w:rsidR="00BF49B4">
              <w:rPr>
                <w:webHidden/>
              </w:rPr>
              <w:instrText xml:space="preserve"> PAGEREF _Toc489945985 \h </w:instrText>
            </w:r>
            <w:r w:rsidR="00BF49B4">
              <w:rPr>
                <w:webHidden/>
              </w:rPr>
            </w:r>
            <w:r w:rsidR="00BF49B4">
              <w:rPr>
                <w:webHidden/>
              </w:rPr>
              <w:fldChar w:fldCharType="separate"/>
            </w:r>
            <w:r w:rsidR="00B24B6B">
              <w:rPr>
                <w:webHidden/>
              </w:rPr>
              <w:t>6</w:t>
            </w:r>
            <w:r w:rsidR="00BF49B4">
              <w:rPr>
                <w:webHidden/>
              </w:rPr>
              <w:fldChar w:fldCharType="end"/>
            </w:r>
          </w:hyperlink>
        </w:p>
        <w:p w:rsidR="00BF49B4" w:rsidRDefault="001D4108">
          <w:pPr>
            <w:pStyle w:val="TOC2"/>
            <w:rPr>
              <w:rFonts w:asciiTheme="minorHAnsi" w:eastAsiaTheme="minorEastAsia" w:hAnsiTheme="minorHAnsi"/>
              <w:b w:val="0"/>
              <w:color w:val="auto"/>
              <w:sz w:val="22"/>
              <w:lang w:eastAsia="en-AU"/>
            </w:rPr>
          </w:pPr>
          <w:hyperlink w:anchor="_Toc489945986" w:history="1">
            <w:r w:rsidR="00BF49B4" w:rsidRPr="00B6292E">
              <w:rPr>
                <w:rStyle w:val="Hyperlink"/>
              </w:rPr>
              <w:t>3.1</w:t>
            </w:r>
            <w:r w:rsidR="00BF49B4">
              <w:rPr>
                <w:rFonts w:asciiTheme="minorHAnsi" w:eastAsiaTheme="minorEastAsia" w:hAnsiTheme="minorHAnsi"/>
                <w:b w:val="0"/>
                <w:color w:val="auto"/>
                <w:sz w:val="22"/>
                <w:lang w:eastAsia="en-AU"/>
              </w:rPr>
              <w:tab/>
            </w:r>
            <w:r w:rsidR="00BF49B4" w:rsidRPr="00B6292E">
              <w:rPr>
                <w:rStyle w:val="Hyperlink"/>
              </w:rPr>
              <w:t>Planned network outage</w:t>
            </w:r>
            <w:r w:rsidR="00BF49B4">
              <w:rPr>
                <w:webHidden/>
              </w:rPr>
              <w:tab/>
            </w:r>
            <w:r w:rsidR="00BF49B4">
              <w:rPr>
                <w:webHidden/>
              </w:rPr>
              <w:fldChar w:fldCharType="begin"/>
            </w:r>
            <w:r w:rsidR="00BF49B4">
              <w:rPr>
                <w:webHidden/>
              </w:rPr>
              <w:instrText xml:space="preserve"> PAGEREF _Toc489945986 \h </w:instrText>
            </w:r>
            <w:r w:rsidR="00BF49B4">
              <w:rPr>
                <w:webHidden/>
              </w:rPr>
            </w:r>
            <w:r w:rsidR="00BF49B4">
              <w:rPr>
                <w:webHidden/>
              </w:rPr>
              <w:fldChar w:fldCharType="separate"/>
            </w:r>
            <w:r w:rsidR="00B24B6B">
              <w:rPr>
                <w:webHidden/>
              </w:rPr>
              <w:t>6</w:t>
            </w:r>
            <w:r w:rsidR="00BF49B4">
              <w:rPr>
                <w:webHidden/>
              </w:rPr>
              <w:fldChar w:fldCharType="end"/>
            </w:r>
          </w:hyperlink>
        </w:p>
        <w:p w:rsidR="00BF49B4" w:rsidRDefault="001D4108">
          <w:pPr>
            <w:pStyle w:val="TOC2"/>
            <w:rPr>
              <w:rFonts w:asciiTheme="minorHAnsi" w:eastAsiaTheme="minorEastAsia" w:hAnsiTheme="minorHAnsi"/>
              <w:b w:val="0"/>
              <w:color w:val="auto"/>
              <w:sz w:val="22"/>
              <w:lang w:eastAsia="en-AU"/>
            </w:rPr>
          </w:pPr>
          <w:hyperlink w:anchor="_Toc489945987" w:history="1">
            <w:r w:rsidR="00BF49B4" w:rsidRPr="00B6292E">
              <w:rPr>
                <w:rStyle w:val="Hyperlink"/>
              </w:rPr>
              <w:t>3.2</w:t>
            </w:r>
            <w:r w:rsidR="00BF49B4">
              <w:rPr>
                <w:rFonts w:asciiTheme="minorHAnsi" w:eastAsiaTheme="minorEastAsia" w:hAnsiTheme="minorHAnsi"/>
                <w:b w:val="0"/>
                <w:color w:val="auto"/>
                <w:sz w:val="22"/>
                <w:lang w:eastAsia="en-AU"/>
              </w:rPr>
              <w:tab/>
            </w:r>
            <w:r w:rsidR="00BF49B4" w:rsidRPr="00B6292E">
              <w:rPr>
                <w:rStyle w:val="Hyperlink"/>
              </w:rPr>
              <w:t>Regulation FCAS offers, rebidding and price</w:t>
            </w:r>
            <w:r w:rsidR="00BF49B4">
              <w:rPr>
                <w:webHidden/>
              </w:rPr>
              <w:tab/>
            </w:r>
            <w:r w:rsidR="00BF49B4">
              <w:rPr>
                <w:webHidden/>
              </w:rPr>
              <w:fldChar w:fldCharType="begin"/>
            </w:r>
            <w:r w:rsidR="00BF49B4">
              <w:rPr>
                <w:webHidden/>
              </w:rPr>
              <w:instrText xml:space="preserve"> PAGEREF _Toc489945987 \h </w:instrText>
            </w:r>
            <w:r w:rsidR="00BF49B4">
              <w:rPr>
                <w:webHidden/>
              </w:rPr>
            </w:r>
            <w:r w:rsidR="00BF49B4">
              <w:rPr>
                <w:webHidden/>
              </w:rPr>
              <w:fldChar w:fldCharType="separate"/>
            </w:r>
            <w:r w:rsidR="00B24B6B">
              <w:rPr>
                <w:webHidden/>
              </w:rPr>
              <w:t>7</w:t>
            </w:r>
            <w:r w:rsidR="00BF49B4">
              <w:rPr>
                <w:webHidden/>
              </w:rPr>
              <w:fldChar w:fldCharType="end"/>
            </w:r>
          </w:hyperlink>
        </w:p>
        <w:p w:rsidR="00BF49B4" w:rsidRDefault="001D4108">
          <w:pPr>
            <w:pStyle w:val="TOC3"/>
            <w:rPr>
              <w:rFonts w:asciiTheme="minorHAnsi" w:eastAsiaTheme="minorEastAsia" w:hAnsiTheme="minorHAnsi"/>
              <w:lang w:eastAsia="en-AU"/>
            </w:rPr>
          </w:pPr>
          <w:hyperlink w:anchor="_Toc489945988" w:history="1">
            <w:r w:rsidR="00BF49B4" w:rsidRPr="00B6292E">
              <w:rPr>
                <w:rStyle w:val="Hyperlink"/>
              </w:rPr>
              <w:t>3.2.1</w:t>
            </w:r>
            <w:r w:rsidR="00BF49B4">
              <w:rPr>
                <w:rFonts w:asciiTheme="minorHAnsi" w:eastAsiaTheme="minorEastAsia" w:hAnsiTheme="minorHAnsi"/>
                <w:lang w:eastAsia="en-AU"/>
              </w:rPr>
              <w:tab/>
            </w:r>
            <w:r w:rsidR="00BF49B4" w:rsidRPr="00B6292E">
              <w:rPr>
                <w:rStyle w:val="Hyperlink"/>
              </w:rPr>
              <w:t>Registered capacity</w:t>
            </w:r>
            <w:r w:rsidR="00BF49B4">
              <w:rPr>
                <w:webHidden/>
              </w:rPr>
              <w:tab/>
            </w:r>
            <w:r w:rsidR="00BF49B4">
              <w:rPr>
                <w:webHidden/>
              </w:rPr>
              <w:fldChar w:fldCharType="begin"/>
            </w:r>
            <w:r w:rsidR="00BF49B4">
              <w:rPr>
                <w:webHidden/>
              </w:rPr>
              <w:instrText xml:space="preserve"> PAGEREF _Toc489945988 \h </w:instrText>
            </w:r>
            <w:r w:rsidR="00BF49B4">
              <w:rPr>
                <w:webHidden/>
              </w:rPr>
            </w:r>
            <w:r w:rsidR="00BF49B4">
              <w:rPr>
                <w:webHidden/>
              </w:rPr>
              <w:fldChar w:fldCharType="separate"/>
            </w:r>
            <w:r w:rsidR="00B24B6B">
              <w:rPr>
                <w:webHidden/>
              </w:rPr>
              <w:t>8</w:t>
            </w:r>
            <w:r w:rsidR="00BF49B4">
              <w:rPr>
                <w:webHidden/>
              </w:rPr>
              <w:fldChar w:fldCharType="end"/>
            </w:r>
          </w:hyperlink>
        </w:p>
        <w:p w:rsidR="00BF49B4" w:rsidRDefault="001D4108">
          <w:pPr>
            <w:pStyle w:val="TOC3"/>
            <w:rPr>
              <w:rFonts w:asciiTheme="minorHAnsi" w:eastAsiaTheme="minorEastAsia" w:hAnsiTheme="minorHAnsi"/>
              <w:lang w:eastAsia="en-AU"/>
            </w:rPr>
          </w:pPr>
          <w:hyperlink w:anchor="_Toc489945989" w:history="1">
            <w:r w:rsidR="00BF49B4" w:rsidRPr="00B6292E">
              <w:rPr>
                <w:rStyle w:val="Hyperlink"/>
              </w:rPr>
              <w:t>3.2.2</w:t>
            </w:r>
            <w:r w:rsidR="00BF49B4">
              <w:rPr>
                <w:rFonts w:asciiTheme="minorHAnsi" w:eastAsiaTheme="minorEastAsia" w:hAnsiTheme="minorHAnsi"/>
                <w:lang w:eastAsia="en-AU"/>
              </w:rPr>
              <w:tab/>
            </w:r>
            <w:r w:rsidR="00BF49B4" w:rsidRPr="00B6292E">
              <w:rPr>
                <w:rStyle w:val="Hyperlink"/>
              </w:rPr>
              <w:t>Rebidding and effective availability</w:t>
            </w:r>
            <w:r w:rsidR="00BF49B4">
              <w:rPr>
                <w:webHidden/>
              </w:rPr>
              <w:tab/>
            </w:r>
            <w:r w:rsidR="00BF49B4">
              <w:rPr>
                <w:webHidden/>
              </w:rPr>
              <w:fldChar w:fldCharType="begin"/>
            </w:r>
            <w:r w:rsidR="00BF49B4">
              <w:rPr>
                <w:webHidden/>
              </w:rPr>
              <w:instrText xml:space="preserve"> PAGEREF _Toc489945989 \h </w:instrText>
            </w:r>
            <w:r w:rsidR="00BF49B4">
              <w:rPr>
                <w:webHidden/>
              </w:rPr>
            </w:r>
            <w:r w:rsidR="00BF49B4">
              <w:rPr>
                <w:webHidden/>
              </w:rPr>
              <w:fldChar w:fldCharType="separate"/>
            </w:r>
            <w:r w:rsidR="00B24B6B">
              <w:rPr>
                <w:webHidden/>
              </w:rPr>
              <w:t>9</w:t>
            </w:r>
            <w:r w:rsidR="00BF49B4">
              <w:rPr>
                <w:webHidden/>
              </w:rPr>
              <w:fldChar w:fldCharType="end"/>
            </w:r>
          </w:hyperlink>
        </w:p>
        <w:p w:rsidR="00BF49B4" w:rsidRDefault="001D4108">
          <w:pPr>
            <w:pStyle w:val="TOC3"/>
            <w:rPr>
              <w:rFonts w:asciiTheme="minorHAnsi" w:eastAsiaTheme="minorEastAsia" w:hAnsiTheme="minorHAnsi"/>
              <w:lang w:eastAsia="en-AU"/>
            </w:rPr>
          </w:pPr>
          <w:hyperlink w:anchor="_Toc489945990" w:history="1">
            <w:r w:rsidR="00BF49B4" w:rsidRPr="00B6292E">
              <w:rPr>
                <w:rStyle w:val="Hyperlink"/>
              </w:rPr>
              <w:t>3.2.3</w:t>
            </w:r>
            <w:r w:rsidR="00BF49B4">
              <w:rPr>
                <w:rFonts w:asciiTheme="minorHAnsi" w:eastAsiaTheme="minorEastAsia" w:hAnsiTheme="minorHAnsi"/>
                <w:lang w:eastAsia="en-AU"/>
              </w:rPr>
              <w:tab/>
            </w:r>
            <w:r w:rsidR="00BF49B4" w:rsidRPr="00B6292E">
              <w:rPr>
                <w:rStyle w:val="Hyperlink"/>
              </w:rPr>
              <w:t>Price</w:t>
            </w:r>
            <w:r w:rsidR="00BF49B4">
              <w:rPr>
                <w:webHidden/>
              </w:rPr>
              <w:tab/>
            </w:r>
            <w:r w:rsidR="00BF49B4">
              <w:rPr>
                <w:webHidden/>
              </w:rPr>
              <w:fldChar w:fldCharType="begin"/>
            </w:r>
            <w:r w:rsidR="00BF49B4">
              <w:rPr>
                <w:webHidden/>
              </w:rPr>
              <w:instrText xml:space="preserve"> PAGEREF _Toc489945990 \h </w:instrText>
            </w:r>
            <w:r w:rsidR="00BF49B4">
              <w:rPr>
                <w:webHidden/>
              </w:rPr>
            </w:r>
            <w:r w:rsidR="00BF49B4">
              <w:rPr>
                <w:webHidden/>
              </w:rPr>
              <w:fldChar w:fldCharType="separate"/>
            </w:r>
            <w:r w:rsidR="00B24B6B">
              <w:rPr>
                <w:webHidden/>
              </w:rPr>
              <w:t>10</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1" w:history="1">
            <w:r w:rsidR="00BF49B4" w:rsidRPr="00B6292E">
              <w:rPr>
                <w:rStyle w:val="Hyperlink"/>
              </w:rPr>
              <w:t>Appendix A</w:t>
            </w:r>
            <w:r w:rsidR="00BF49B4">
              <w:rPr>
                <w:rFonts w:asciiTheme="minorHAnsi" w:eastAsiaTheme="minorEastAsia" w:hAnsiTheme="minorHAnsi"/>
                <w:b w:val="0"/>
                <w:color w:val="auto"/>
                <w:sz w:val="22"/>
                <w:lang w:val="en-AU" w:eastAsia="en-AU"/>
              </w:rPr>
              <w:tab/>
            </w:r>
            <w:r w:rsidR="00BF49B4" w:rsidRPr="00B6292E">
              <w:rPr>
                <w:rStyle w:val="Hyperlink"/>
              </w:rPr>
              <w:t>Explanation of FCAS</w:t>
            </w:r>
            <w:r w:rsidR="00BF49B4">
              <w:rPr>
                <w:webHidden/>
              </w:rPr>
              <w:tab/>
            </w:r>
            <w:r w:rsidR="00BF49B4">
              <w:rPr>
                <w:webHidden/>
              </w:rPr>
              <w:fldChar w:fldCharType="begin"/>
            </w:r>
            <w:r w:rsidR="00BF49B4">
              <w:rPr>
                <w:webHidden/>
              </w:rPr>
              <w:instrText xml:space="preserve"> PAGEREF _Toc489945991 \h </w:instrText>
            </w:r>
            <w:r w:rsidR="00BF49B4">
              <w:rPr>
                <w:webHidden/>
              </w:rPr>
            </w:r>
            <w:r w:rsidR="00BF49B4">
              <w:rPr>
                <w:webHidden/>
              </w:rPr>
              <w:fldChar w:fldCharType="separate"/>
            </w:r>
            <w:r w:rsidR="00B24B6B">
              <w:rPr>
                <w:webHidden/>
              </w:rPr>
              <w:t>13</w:t>
            </w:r>
            <w:r w:rsidR="00BF49B4">
              <w:rPr>
                <w:webHidden/>
              </w:rPr>
              <w:fldChar w:fldCharType="end"/>
            </w:r>
          </w:hyperlink>
        </w:p>
        <w:p w:rsidR="00BF49B4" w:rsidRDefault="00831976">
          <w:pPr>
            <w:pStyle w:val="TOC3"/>
            <w:rPr>
              <w:rFonts w:asciiTheme="minorHAnsi" w:eastAsiaTheme="minorEastAsia" w:hAnsiTheme="minorHAnsi"/>
              <w:lang w:eastAsia="en-AU"/>
            </w:rPr>
          </w:pPr>
          <w:r>
            <w:tab/>
          </w:r>
          <w:hyperlink w:anchor="_Toc489945992" w:history="1">
            <w:r w:rsidR="00BF49B4" w:rsidRPr="00B6292E">
              <w:rPr>
                <w:rStyle w:val="Hyperlink"/>
                <w:lang w:eastAsia="en-AU"/>
              </w:rPr>
              <w:t>Frequency Control Ancillary Service Settlement</w:t>
            </w:r>
            <w:r w:rsidR="00BF49B4">
              <w:rPr>
                <w:webHidden/>
              </w:rPr>
              <w:tab/>
            </w:r>
            <w:r w:rsidR="00BF49B4">
              <w:rPr>
                <w:webHidden/>
              </w:rPr>
              <w:fldChar w:fldCharType="begin"/>
            </w:r>
            <w:r w:rsidR="00BF49B4">
              <w:rPr>
                <w:webHidden/>
              </w:rPr>
              <w:instrText xml:space="preserve"> PAGEREF _Toc489945992 \h </w:instrText>
            </w:r>
            <w:r w:rsidR="00BF49B4">
              <w:rPr>
                <w:webHidden/>
              </w:rPr>
            </w:r>
            <w:r w:rsidR="00BF49B4">
              <w:rPr>
                <w:webHidden/>
              </w:rPr>
              <w:fldChar w:fldCharType="separate"/>
            </w:r>
            <w:r w:rsidR="00B24B6B">
              <w:rPr>
                <w:webHidden/>
              </w:rPr>
              <w:t>14</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3" w:history="1">
            <w:r w:rsidR="00BF49B4" w:rsidRPr="00B6292E">
              <w:rPr>
                <w:rStyle w:val="Hyperlink"/>
              </w:rPr>
              <w:t xml:space="preserve">Appendix B </w:t>
            </w:r>
            <w:r w:rsidR="00831976">
              <w:rPr>
                <w:rStyle w:val="Hyperlink"/>
              </w:rPr>
              <w:tab/>
            </w:r>
            <w:r w:rsidR="00BF49B4" w:rsidRPr="00B6292E">
              <w:rPr>
                <w:rStyle w:val="Hyperlink"/>
              </w:rPr>
              <w:t>Local Frequency Control Ancillary Services</w:t>
            </w:r>
            <w:r w:rsidR="00BF49B4">
              <w:rPr>
                <w:webHidden/>
              </w:rPr>
              <w:tab/>
            </w:r>
            <w:r w:rsidR="00BF49B4">
              <w:rPr>
                <w:webHidden/>
              </w:rPr>
              <w:fldChar w:fldCharType="begin"/>
            </w:r>
            <w:r w:rsidR="00BF49B4">
              <w:rPr>
                <w:webHidden/>
              </w:rPr>
              <w:instrText xml:space="preserve"> PAGEREF _Toc489945993 \h </w:instrText>
            </w:r>
            <w:r w:rsidR="00BF49B4">
              <w:rPr>
                <w:webHidden/>
              </w:rPr>
            </w:r>
            <w:r w:rsidR="00BF49B4">
              <w:rPr>
                <w:webHidden/>
              </w:rPr>
              <w:fldChar w:fldCharType="separate"/>
            </w:r>
            <w:r w:rsidR="00B24B6B">
              <w:rPr>
                <w:webHidden/>
              </w:rPr>
              <w:t>15</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4" w:history="1">
            <w:r w:rsidR="00BF49B4" w:rsidRPr="00B6292E">
              <w:rPr>
                <w:rStyle w:val="Hyperlink"/>
              </w:rPr>
              <w:t>Appendix C</w:t>
            </w:r>
            <w:r w:rsidR="00BF49B4">
              <w:rPr>
                <w:rFonts w:asciiTheme="minorHAnsi" w:eastAsiaTheme="minorEastAsia" w:hAnsiTheme="minorHAnsi"/>
                <w:b w:val="0"/>
                <w:color w:val="auto"/>
                <w:sz w:val="22"/>
                <w:lang w:val="en-AU" w:eastAsia="en-AU"/>
              </w:rPr>
              <w:tab/>
            </w:r>
            <w:r w:rsidR="00BF49B4" w:rsidRPr="00B6292E">
              <w:rPr>
                <w:rStyle w:val="Hyperlink"/>
              </w:rPr>
              <w:t>Significant Rebids</w:t>
            </w:r>
            <w:r w:rsidR="00BF49B4">
              <w:rPr>
                <w:webHidden/>
              </w:rPr>
              <w:tab/>
            </w:r>
            <w:r w:rsidR="00BF49B4">
              <w:rPr>
                <w:webHidden/>
              </w:rPr>
              <w:fldChar w:fldCharType="begin"/>
            </w:r>
            <w:r w:rsidR="00BF49B4">
              <w:rPr>
                <w:webHidden/>
              </w:rPr>
              <w:instrText xml:space="preserve"> PAGEREF _Toc489945994 \h </w:instrText>
            </w:r>
            <w:r w:rsidR="00BF49B4">
              <w:rPr>
                <w:webHidden/>
              </w:rPr>
            </w:r>
            <w:r w:rsidR="00BF49B4">
              <w:rPr>
                <w:webHidden/>
              </w:rPr>
              <w:fldChar w:fldCharType="separate"/>
            </w:r>
            <w:r w:rsidR="00B24B6B">
              <w:rPr>
                <w:webHidden/>
              </w:rPr>
              <w:t>16</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5" w:history="1">
            <w:r w:rsidR="00BF49B4" w:rsidRPr="00B6292E">
              <w:rPr>
                <w:rStyle w:val="Hyperlink"/>
              </w:rPr>
              <w:t>Appendix D</w:t>
            </w:r>
            <w:r w:rsidR="00BF49B4">
              <w:rPr>
                <w:rFonts w:asciiTheme="minorHAnsi" w:eastAsiaTheme="minorEastAsia" w:hAnsiTheme="minorHAnsi"/>
                <w:b w:val="0"/>
                <w:color w:val="auto"/>
                <w:sz w:val="22"/>
                <w:lang w:val="en-AU" w:eastAsia="en-AU"/>
              </w:rPr>
              <w:tab/>
            </w:r>
            <w:r w:rsidR="00BF49B4" w:rsidRPr="00B6292E">
              <w:rPr>
                <w:rStyle w:val="Hyperlink"/>
              </w:rPr>
              <w:t>Closing bids</w:t>
            </w:r>
            <w:r w:rsidR="00BF49B4">
              <w:rPr>
                <w:webHidden/>
              </w:rPr>
              <w:tab/>
            </w:r>
            <w:r w:rsidR="00BF49B4">
              <w:rPr>
                <w:webHidden/>
              </w:rPr>
              <w:fldChar w:fldCharType="begin"/>
            </w:r>
            <w:r w:rsidR="00BF49B4">
              <w:rPr>
                <w:webHidden/>
              </w:rPr>
              <w:instrText xml:space="preserve"> PAGEREF _Toc489945995 \h </w:instrText>
            </w:r>
            <w:r w:rsidR="00BF49B4">
              <w:rPr>
                <w:webHidden/>
              </w:rPr>
            </w:r>
            <w:r w:rsidR="00BF49B4">
              <w:rPr>
                <w:webHidden/>
              </w:rPr>
              <w:fldChar w:fldCharType="separate"/>
            </w:r>
            <w:r w:rsidR="00B24B6B">
              <w:rPr>
                <w:webHidden/>
              </w:rPr>
              <w:t>17</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6" w:history="1">
            <w:r w:rsidR="00BF49B4" w:rsidRPr="00B6292E">
              <w:rPr>
                <w:rStyle w:val="Hyperlink"/>
              </w:rPr>
              <w:t>Appendix E</w:t>
            </w:r>
            <w:r w:rsidR="00BF49B4">
              <w:rPr>
                <w:rFonts w:asciiTheme="minorHAnsi" w:eastAsiaTheme="minorEastAsia" w:hAnsiTheme="minorHAnsi"/>
                <w:b w:val="0"/>
                <w:color w:val="auto"/>
                <w:sz w:val="22"/>
                <w:lang w:val="en-AU" w:eastAsia="en-AU"/>
              </w:rPr>
              <w:tab/>
            </w:r>
            <w:r w:rsidR="00BF49B4" w:rsidRPr="00B6292E">
              <w:rPr>
                <w:rStyle w:val="Hyperlink"/>
              </w:rPr>
              <w:t>Relevant Market Notices</w:t>
            </w:r>
            <w:r w:rsidR="00BF49B4">
              <w:rPr>
                <w:webHidden/>
              </w:rPr>
              <w:tab/>
            </w:r>
            <w:r w:rsidR="00BF49B4">
              <w:rPr>
                <w:webHidden/>
              </w:rPr>
              <w:fldChar w:fldCharType="begin"/>
            </w:r>
            <w:r w:rsidR="00BF49B4">
              <w:rPr>
                <w:webHidden/>
              </w:rPr>
              <w:instrText xml:space="preserve"> PAGEREF _Toc489945996 \h </w:instrText>
            </w:r>
            <w:r w:rsidR="00BF49B4">
              <w:rPr>
                <w:webHidden/>
              </w:rPr>
            </w:r>
            <w:r w:rsidR="00BF49B4">
              <w:rPr>
                <w:webHidden/>
              </w:rPr>
              <w:fldChar w:fldCharType="separate"/>
            </w:r>
            <w:r w:rsidR="00B24B6B">
              <w:rPr>
                <w:webHidden/>
              </w:rPr>
              <w:t>27</w:t>
            </w:r>
            <w:r w:rsidR="00BF49B4">
              <w:rPr>
                <w:webHidden/>
              </w:rPr>
              <w:fldChar w:fldCharType="end"/>
            </w:r>
          </w:hyperlink>
        </w:p>
        <w:p w:rsidR="00BF49B4" w:rsidRDefault="001D4108">
          <w:pPr>
            <w:pStyle w:val="TOC1"/>
            <w:rPr>
              <w:rFonts w:asciiTheme="minorHAnsi" w:eastAsiaTheme="minorEastAsia" w:hAnsiTheme="minorHAnsi"/>
              <w:b w:val="0"/>
              <w:color w:val="auto"/>
              <w:sz w:val="22"/>
              <w:lang w:val="en-AU" w:eastAsia="en-AU"/>
            </w:rPr>
          </w:pPr>
          <w:hyperlink w:anchor="_Toc489945997" w:history="1">
            <w:r w:rsidR="00BF49B4" w:rsidRPr="00B6292E">
              <w:rPr>
                <w:rStyle w:val="Hyperlink"/>
              </w:rPr>
              <w:t>Appendix F</w:t>
            </w:r>
            <w:r w:rsidR="00BF49B4">
              <w:rPr>
                <w:rFonts w:asciiTheme="minorHAnsi" w:eastAsiaTheme="minorEastAsia" w:hAnsiTheme="minorHAnsi"/>
                <w:b w:val="0"/>
                <w:color w:val="auto"/>
                <w:sz w:val="22"/>
                <w:lang w:val="en-AU" w:eastAsia="en-AU"/>
              </w:rPr>
              <w:tab/>
            </w:r>
            <w:r w:rsidR="00BF49B4" w:rsidRPr="00B6292E">
              <w:rPr>
                <w:rStyle w:val="Hyperlink"/>
              </w:rPr>
              <w:t>Price setter</w:t>
            </w:r>
            <w:r w:rsidR="00BF49B4">
              <w:rPr>
                <w:webHidden/>
              </w:rPr>
              <w:tab/>
            </w:r>
            <w:r w:rsidR="00BF49B4">
              <w:rPr>
                <w:webHidden/>
              </w:rPr>
              <w:fldChar w:fldCharType="begin"/>
            </w:r>
            <w:r w:rsidR="00BF49B4">
              <w:rPr>
                <w:webHidden/>
              </w:rPr>
              <w:instrText xml:space="preserve"> PAGEREF _Toc489945997 \h </w:instrText>
            </w:r>
            <w:r w:rsidR="00BF49B4">
              <w:rPr>
                <w:webHidden/>
              </w:rPr>
            </w:r>
            <w:r w:rsidR="00BF49B4">
              <w:rPr>
                <w:webHidden/>
              </w:rPr>
              <w:fldChar w:fldCharType="separate"/>
            </w:r>
            <w:r w:rsidR="00B24B6B">
              <w:rPr>
                <w:webHidden/>
              </w:rPr>
              <w:t>29</w:t>
            </w:r>
            <w:r w:rsidR="00BF49B4">
              <w:rPr>
                <w:webHidden/>
              </w:rPr>
              <w:fldChar w:fldCharType="end"/>
            </w:r>
          </w:hyperlink>
        </w:p>
        <w:p w:rsidR="00C7068C" w:rsidRDefault="00C7068C" w:rsidP="00C7068C">
          <w:pPr>
            <w:sectPr w:rsidR="00C7068C" w:rsidSect="00581454">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r>
            <w:fldChar w:fldCharType="end"/>
          </w:r>
          <w:bookmarkStart w:id="0" w:name="_Toc213047617"/>
        </w:p>
        <w:p w:rsidR="00C7068C" w:rsidRDefault="00BA7B3B" w:rsidP="00C7068C">
          <w:pPr>
            <w:pStyle w:val="Heading1"/>
          </w:pPr>
          <w:bookmarkStart w:id="1" w:name="_Toc489945983"/>
          <w:bookmarkEnd w:id="0"/>
          <w:r>
            <w:lastRenderedPageBreak/>
            <w:t>Obligation</w:t>
          </w:r>
          <w:bookmarkEnd w:id="1"/>
        </w:p>
        <w:p w:rsidR="002355BD" w:rsidRDefault="002355BD" w:rsidP="002355BD">
          <w:pPr>
            <w:pStyle w:val="AERBody0"/>
            <w:rPr>
              <w:rFonts w:ascii="Helvetica" w:hAnsi="Helvetica" w:cs="Helvetica"/>
              <w:sz w:val="21"/>
              <w:szCs w:val="21"/>
              <w:lang w:val="en" w:eastAsia="en-AU"/>
            </w:rPr>
          </w:pPr>
          <w:r w:rsidRPr="00EE5E1B">
            <w:t>The Australian Energy Regulator regulates energy markets and networks under</w:t>
          </w:r>
          <w:r>
            <w:rPr>
              <w:lang w:val="en" w:eastAsia="en-AU"/>
            </w:rPr>
            <w:t xml:space="preserve"> national legislation and rules in eastern and southern Australia, as well as networks in the Northern Territory. Its functions include: </w:t>
          </w:r>
        </w:p>
        <w:p w:rsidR="002355BD" w:rsidRDefault="002355BD" w:rsidP="002355BD">
          <w:pPr>
            <w:pStyle w:val="Bulletpoint"/>
            <w:rPr>
              <w:rFonts w:ascii="Helvetica" w:hAnsi="Helvetica" w:cs="Helvetica"/>
              <w:sz w:val="21"/>
              <w:szCs w:val="21"/>
              <w:lang w:val="en" w:eastAsia="en-AU"/>
            </w:rPr>
          </w:pPr>
          <w:r w:rsidRPr="00EE5E1B">
            <w:t>monitoring</w:t>
          </w:r>
          <w:r>
            <w:rPr>
              <w:lang w:val="en" w:eastAsia="en-AU"/>
            </w:rPr>
            <w:t xml:space="preserve"> wholesale electricity and gas markets to ensure energy businesses comply with the legislation and rules, and taking enforcement action where necessary; </w:t>
          </w:r>
        </w:p>
        <w:p w:rsidR="002355BD" w:rsidRDefault="002355BD" w:rsidP="002355BD">
          <w:pPr>
            <w:pStyle w:val="Bulletpoint"/>
            <w:rPr>
              <w:rFonts w:ascii="Helvetica" w:hAnsi="Helvetica" w:cs="Helvetica"/>
              <w:sz w:val="21"/>
              <w:szCs w:val="21"/>
              <w:lang w:val="en" w:eastAsia="en-AU"/>
            </w:rPr>
          </w:pPr>
          <w:r w:rsidRPr="00EE5E1B">
            <w:t>setting</w:t>
          </w:r>
          <w:r>
            <w:rPr>
              <w:lang w:val="en" w:eastAsia="en-AU"/>
            </w:rPr>
            <w:t xml:space="preserve"> the amount of revenue that network businesses can recover from customers for using networks (electricity poles and wires and gas pipelines) that transport energy; </w:t>
          </w:r>
        </w:p>
        <w:p w:rsidR="002355BD" w:rsidRDefault="002355BD" w:rsidP="002355BD">
          <w:pPr>
            <w:pStyle w:val="Bulletpoint"/>
            <w:rPr>
              <w:rFonts w:ascii="Helvetica" w:hAnsi="Helvetica" w:cs="Helvetica"/>
              <w:sz w:val="21"/>
              <w:szCs w:val="21"/>
              <w:lang w:val="en" w:eastAsia="en-AU"/>
            </w:rPr>
          </w:pPr>
          <w:r>
            <w:rPr>
              <w:lang w:val="en" w:eastAsia="en-AU"/>
            </w:rPr>
            <w:t xml:space="preserve">regulating </w:t>
          </w:r>
          <w:r w:rsidRPr="00EE5E1B">
            <w:t>retail</w:t>
          </w:r>
          <w:r>
            <w:rPr>
              <w:lang w:val="en" w:eastAsia="en-AU"/>
            </w:rPr>
            <w:t xml:space="preserve"> energy markets in Queensland, New South Wales, South Australia, Tasmania (electricity only), and the ACT; </w:t>
          </w:r>
        </w:p>
        <w:p w:rsidR="002355BD" w:rsidRDefault="002355BD" w:rsidP="002355BD">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2355BD" w:rsidRDefault="002355BD" w:rsidP="002355BD">
          <w:pPr>
            <w:pStyle w:val="Bulletpoint"/>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w:t>
          </w:r>
          <w:r w:rsidRPr="00EE5E1B">
            <w:t>information</w:t>
          </w:r>
          <w:r>
            <w:rPr>
              <w:lang w:val="en" w:eastAsia="en-AU"/>
            </w:rPr>
            <w:t xml:space="preserve"> on energy markets, including the annual State of the energy market report, to assist participants and the wider community. </w:t>
          </w:r>
        </w:p>
        <w:p w:rsidR="002355BD" w:rsidRPr="0081551A" w:rsidRDefault="002355BD" w:rsidP="002355BD">
          <w:pPr>
            <w:pStyle w:val="AERBody0"/>
          </w:pPr>
          <w:r w:rsidRPr="0081551A">
            <w:t>The AER is required to monitor significant variations between forecast and actual prices and publish a report where:</w:t>
          </w:r>
        </w:p>
        <w:p w:rsidR="002355BD" w:rsidRPr="0081551A" w:rsidRDefault="002355BD" w:rsidP="002355BD">
          <w:pPr>
            <w:pStyle w:val="Bulletpoint"/>
          </w:pPr>
          <w:r w:rsidRPr="0081551A">
            <w:t xml:space="preserve">prices </w:t>
          </w:r>
          <w:r w:rsidRPr="00EB2A45">
            <w:t>for</w:t>
          </w:r>
          <w:r w:rsidRPr="0081551A">
            <w:t xml:space="preserve"> a market ancillary service over a period significantly exceed the relevant spot price for energy; and</w:t>
          </w:r>
        </w:p>
        <w:p w:rsidR="002355BD" w:rsidRPr="0081551A" w:rsidRDefault="002355BD" w:rsidP="002355BD">
          <w:pPr>
            <w:pStyle w:val="Bulletpoint"/>
          </w:pPr>
          <w:proofErr w:type="gramStart"/>
          <w:r w:rsidRPr="0081551A">
            <w:t>prices</w:t>
          </w:r>
          <w:proofErr w:type="gramEnd"/>
          <w:r w:rsidRPr="0081551A">
            <w:t xml:space="preserve"> for a market ancillary service exceed $5000</w:t>
          </w:r>
          <w:r>
            <w:t>/MW</w:t>
          </w:r>
          <w:r w:rsidRPr="0081551A">
            <w:t xml:space="preserve"> for a number of trading intervals </w:t>
          </w:r>
          <w:r w:rsidRPr="00EB2A45">
            <w:t>within</w:t>
          </w:r>
          <w:r w:rsidRPr="0081551A">
            <w:t xml:space="preserve"> that period. </w:t>
          </w:r>
        </w:p>
        <w:p w:rsidR="002355BD" w:rsidRPr="0081551A" w:rsidRDefault="002355BD" w:rsidP="002355BD">
          <w:pPr>
            <w:pStyle w:val="AERBody0"/>
          </w:pPr>
          <w:r w:rsidRPr="0081551A">
            <w:t xml:space="preserve">In accordance with the clause 3.13.7(e) of the National Electricity Rules, the report must: </w:t>
          </w:r>
        </w:p>
        <w:p w:rsidR="002355BD" w:rsidRPr="0081551A" w:rsidRDefault="002355BD" w:rsidP="002355BD">
          <w:pPr>
            <w:pStyle w:val="Bulletpoint"/>
          </w:pPr>
          <w:r w:rsidRPr="0081551A">
            <w:t>describe the significant factors that contributed to the ancillary se</w:t>
          </w:r>
          <w:r>
            <w:t>rvice prices exceeding $5000/MW</w:t>
          </w:r>
          <w:r w:rsidRPr="0081551A">
            <w:t xml:space="preserve">; </w:t>
          </w:r>
        </w:p>
        <w:p w:rsidR="002355BD" w:rsidRPr="0081551A" w:rsidRDefault="002355BD" w:rsidP="002355BD">
          <w:pPr>
            <w:pStyle w:val="Bulletpoint"/>
          </w:pPr>
          <w:r w:rsidRPr="00EB2A45">
            <w:t>identify</w:t>
          </w:r>
          <w:r w:rsidRPr="0081551A">
            <w:t xml:space="preserve"> any linkages between spot prices in the energy market and ancillary service prices contributing to the occurrence; and </w:t>
          </w:r>
        </w:p>
        <w:p w:rsidR="002355BD" w:rsidRDefault="002355BD" w:rsidP="002355BD">
          <w:pPr>
            <w:pStyle w:val="Bulletpoint"/>
          </w:pPr>
          <w:proofErr w:type="gramStart"/>
          <w:r w:rsidRPr="0081551A">
            <w:t>assess</w:t>
          </w:r>
          <w:proofErr w:type="gramEnd"/>
          <w:r w:rsidRPr="0081551A">
            <w:t xml:space="preserve"> </w:t>
          </w:r>
          <w:r w:rsidRPr="00EB2A45">
            <w:t>whether</w:t>
          </w:r>
          <w:r w:rsidRPr="0081551A">
            <w:t xml:space="preserve"> rebidding pursuant to clause 3.8.22 contribut</w:t>
          </w:r>
          <w:r>
            <w:t>ed to prices exceeding $5000/MW</w:t>
          </w:r>
          <w:r w:rsidRPr="0081551A">
            <w:t xml:space="preserve">. </w:t>
          </w:r>
        </w:p>
        <w:p w:rsidR="002355BD" w:rsidRDefault="002355BD" w:rsidP="002355BD">
          <w:pPr>
            <w:pStyle w:val="AERBody0"/>
          </w:pPr>
          <w:r w:rsidRPr="00F720C2">
            <w:t xml:space="preserve">These reports examine the reasons for the high price outcomes—they are not compliance reports. </w:t>
          </w:r>
          <w:r w:rsidR="00F85920" w:rsidRPr="006315B3">
            <w:t>We deal separately with compliance issues that come to our attention during the preparation of these reports</w:t>
          </w:r>
          <w:r w:rsidRPr="00F720C2">
            <w:t xml:space="preserve">. </w:t>
          </w:r>
        </w:p>
        <w:p w:rsidR="00BA7B3B" w:rsidRPr="0081551A" w:rsidRDefault="00BA7B3B" w:rsidP="005B494B">
          <w:pPr>
            <w:pStyle w:val="Bulletpoint"/>
            <w:numPr>
              <w:ilvl w:val="0"/>
              <w:numId w:val="0"/>
            </w:numPr>
            <w:ind w:left="360"/>
          </w:pPr>
        </w:p>
        <w:p w:rsidR="00F10069" w:rsidRDefault="00953E25" w:rsidP="004E6FA8">
          <w:pPr>
            <w:pStyle w:val="Heading1"/>
          </w:pPr>
          <w:bookmarkStart w:id="2" w:name="_Toc489945984"/>
          <w:r>
            <w:lastRenderedPageBreak/>
            <w:t>S</w:t>
          </w:r>
          <w:r w:rsidR="00F10069">
            <w:t>ummary</w:t>
          </w:r>
          <w:bookmarkEnd w:id="2"/>
        </w:p>
        <w:p w:rsidR="00FE1648" w:rsidRPr="009A3BE6" w:rsidRDefault="00FE1648" w:rsidP="00FE1648">
          <w:pPr>
            <w:pStyle w:val="AERBody0"/>
          </w:pPr>
          <w:r w:rsidRPr="009A3BE6">
            <w:t xml:space="preserve">Lower and raise regulation frequency control ancillary services (regulation services) are used to manage small fluctuations in supply or demand. </w:t>
          </w:r>
        </w:p>
        <w:p w:rsidR="00FE1648" w:rsidRPr="009A3BE6" w:rsidRDefault="00FE1648" w:rsidP="00CF208D">
          <w:pPr>
            <w:pStyle w:val="AERBody0"/>
          </w:pPr>
          <w:r w:rsidRPr="009A3BE6">
            <w:t>On 2</w:t>
          </w:r>
          <w:r w:rsidR="009A3BE6" w:rsidRPr="009A3BE6">
            <w:t>2</w:t>
          </w:r>
          <w:r w:rsidRPr="009A3BE6">
            <w:t xml:space="preserve"> Ma</w:t>
          </w:r>
          <w:r w:rsidR="009A3BE6" w:rsidRPr="009A3BE6">
            <w:t>y</w:t>
          </w:r>
          <w:r w:rsidRPr="009A3BE6">
            <w:t xml:space="preserve"> 2017 the price for local regulation services in South Australia exceeded $</w:t>
          </w:r>
          <w:r w:rsidR="009A3BE6" w:rsidRPr="009A3BE6">
            <w:t>10 70</w:t>
          </w:r>
          <w:r w:rsidRPr="009A3BE6">
            <w:t>0/MW for 6 consecutive dispatch intervals, from 1</w:t>
          </w:r>
          <w:r w:rsidR="009A3BE6" w:rsidRPr="009A3BE6">
            <w:t>2</w:t>
          </w:r>
          <w:r w:rsidRPr="009A3BE6">
            <w:t>.</w:t>
          </w:r>
          <w:r w:rsidR="0065235C">
            <w:t>20 p</w:t>
          </w:r>
          <w:r w:rsidR="009A3BE6" w:rsidRPr="009A3BE6">
            <w:t>m to 12</w:t>
          </w:r>
          <w:r w:rsidRPr="009A3BE6">
            <w:t>.</w:t>
          </w:r>
          <w:r w:rsidR="009A3BE6" w:rsidRPr="009A3BE6">
            <w:t>4</w:t>
          </w:r>
          <w:r w:rsidR="00992754">
            <w:t>5</w:t>
          </w:r>
          <w:r w:rsidRPr="009A3BE6">
            <w:t xml:space="preserve"> pm. The wholesale (or spot) price for electricity in South Australia </w:t>
          </w:r>
          <w:r w:rsidR="009A3BE6" w:rsidRPr="009A3BE6">
            <w:t>was around</w:t>
          </w:r>
          <w:r w:rsidRPr="009A3BE6">
            <w:t xml:space="preserve"> $</w:t>
          </w:r>
          <w:r w:rsidR="009A3BE6" w:rsidRPr="009A3BE6">
            <w:t>60</w:t>
          </w:r>
          <w:r w:rsidRPr="009A3BE6">
            <w:t xml:space="preserve">/MWh </w:t>
          </w:r>
          <w:r w:rsidR="009A3BE6" w:rsidRPr="009A3BE6">
            <w:t>during this time.</w:t>
          </w:r>
          <w:r w:rsidR="004B2310">
            <w:t xml:space="preserve"> </w:t>
          </w:r>
          <w:r w:rsidR="00E964BA">
            <w:t>High prices for raise regulation services later in the day did not breach the reporting threshold.</w:t>
          </w:r>
        </w:p>
        <w:p w:rsidR="00747D9E" w:rsidRDefault="004B2310" w:rsidP="00747D9E">
          <w:pPr>
            <w:pStyle w:val="AERBody0"/>
          </w:pPr>
          <w:r>
            <w:t>A</w:t>
          </w:r>
          <w:r w:rsidR="00747D9E" w:rsidRPr="00BD3E81">
            <w:t xml:space="preserve"> planned network outage on the </w:t>
          </w:r>
          <w:r w:rsidR="00BD3E81" w:rsidRPr="00BD3E81">
            <w:t>Heywood No. 1 busbar</w:t>
          </w:r>
          <w:r w:rsidR="00747D9E" w:rsidRPr="00BD3E81">
            <w:t xml:space="preserve"> in Victoria</w:t>
          </w:r>
          <w:r w:rsidR="0065235C">
            <w:t xml:space="preserve"> began</w:t>
          </w:r>
          <w:r w:rsidRPr="004B2310">
            <w:t xml:space="preserve"> </w:t>
          </w:r>
          <w:r>
            <w:t>a</w:t>
          </w:r>
          <w:r w:rsidRPr="00BD3E81">
            <w:t>t 10 am on 22 </w:t>
          </w:r>
          <w:r w:rsidR="00860E94">
            <w:t>May</w:t>
          </w:r>
          <w:r w:rsidR="00747D9E" w:rsidRPr="00BD3E81">
            <w:t xml:space="preserve">. </w:t>
          </w:r>
          <w:r w:rsidR="00DB53D6" w:rsidRPr="00BD3E81">
            <w:t>This outage put South </w:t>
          </w:r>
          <w:r w:rsidR="00747D9E" w:rsidRPr="00BD3E81">
            <w:t xml:space="preserve">Australia on a single contingency, </w:t>
          </w:r>
          <w:r w:rsidR="00DB53D6" w:rsidRPr="00BD3E81">
            <w:t>which created the risk of South </w:t>
          </w:r>
          <w:r w:rsidR="00747D9E" w:rsidRPr="00BD3E81">
            <w:t xml:space="preserve">Australia becoming electrically isolated from the National Electricity Market (NEM). To manage this risk, and in line with its procedures, the market operator (AEMO) notified the market that South Australia would be required to source 35 MW of raise and lower regulation services from within the region for the duration of the outage. </w:t>
          </w:r>
        </w:p>
        <w:p w:rsidR="00BD3E81" w:rsidRPr="00BD3E81" w:rsidRDefault="00860E94" w:rsidP="00747D9E">
          <w:pPr>
            <w:pStyle w:val="AERBody0"/>
          </w:pPr>
          <w:r>
            <w:t xml:space="preserve">From the start of the outage </w:t>
          </w:r>
          <w:r w:rsidR="00CE4E16">
            <w:t xml:space="preserve">until 12.20 pm, </w:t>
          </w:r>
          <w:r w:rsidR="00BD3E81">
            <w:t xml:space="preserve">35 MW of low priced capacity was </w:t>
          </w:r>
          <w:r w:rsidR="00BC7039">
            <w:t xml:space="preserve">available, sufficient to meet the 35 MW </w:t>
          </w:r>
          <w:proofErr w:type="gramStart"/>
          <w:r w:rsidR="00BC7039">
            <w:t>requirement</w:t>
          </w:r>
          <w:proofErr w:type="gramEnd"/>
          <w:r w:rsidR="00BC7039">
            <w:t xml:space="preserve">. </w:t>
          </w:r>
          <w:r w:rsidR="00B7149D">
            <w:t xml:space="preserve">However, during testing, Origin Energy removed low priced regulation services at Quarantine and replaced it with low-priced regulation services capacity at Osborne. The technical characteristics of the Osborne plant </w:t>
          </w:r>
          <w:r w:rsidR="00BD3E81">
            <w:t>meant less effective low priced capacity was available</w:t>
          </w:r>
          <w:r w:rsidR="00B7149D">
            <w:t xml:space="preserve"> than when Quarantine was offering regulation services</w:t>
          </w:r>
          <w:r w:rsidR="00CE4E16">
            <w:t>. As a result,</w:t>
          </w:r>
          <w:r w:rsidR="00BD3E81">
            <w:t xml:space="preserve"> </w:t>
          </w:r>
          <w:r w:rsidR="00BD3E81" w:rsidRPr="0086797B">
            <w:t>capacity priced</w:t>
          </w:r>
          <w:r w:rsidR="00BD3E81">
            <w:t xml:space="preserve"> above</w:t>
          </w:r>
          <w:r w:rsidR="00BD3E81" w:rsidRPr="0086797B">
            <w:t xml:space="preserve"> $5000/MW </w:t>
          </w:r>
          <w:r w:rsidR="00BD3E81">
            <w:t>was needed to meet t</w:t>
          </w:r>
          <w:r w:rsidR="00BD3E81" w:rsidRPr="0086797B">
            <w:t xml:space="preserve">he 35 MW </w:t>
          </w:r>
          <w:proofErr w:type="gramStart"/>
          <w:r w:rsidR="00BD3E81" w:rsidRPr="0086797B">
            <w:t>requirement</w:t>
          </w:r>
          <w:proofErr w:type="gramEnd"/>
          <w:r w:rsidR="00BD3E81" w:rsidRPr="0086797B">
            <w:t>.</w:t>
          </w:r>
          <w:r w:rsidR="00BD3E81">
            <w:t xml:space="preserve"> The price returned to lower levels at 12.50 pm</w:t>
          </w:r>
          <w:r w:rsidR="00E964BA">
            <w:t xml:space="preserve">. </w:t>
          </w:r>
        </w:p>
        <w:p w:rsidR="00B7149D" w:rsidRDefault="00B7149D" w:rsidP="00747D9E">
          <w:pPr>
            <w:pStyle w:val="AERBody0"/>
            <w:rPr>
              <w:rStyle w:val="Bold"/>
              <w:b w:val="0"/>
            </w:rPr>
          </w:pPr>
          <w:r>
            <w:t>Later in the day Origin shifted capacity for both services from low prices to high prices at its Quarantine power station, which saw prices for raise and lower services reach $7690/MW and $3994/MW, respectively</w:t>
          </w:r>
          <w:r w:rsidR="00CE4E16">
            <w:t>,</w:t>
          </w:r>
          <w:r>
            <w:t xml:space="preserve"> from 5.35 pm to 6.15 pm.</w:t>
          </w:r>
        </w:p>
        <w:p w:rsidR="00747D9E" w:rsidRDefault="00BD3E81" w:rsidP="00747D9E">
          <w:pPr>
            <w:pStyle w:val="AERBody0"/>
          </w:pPr>
          <w:r w:rsidRPr="00BD3E81">
            <w:rPr>
              <w:rStyle w:val="Bold"/>
              <w:b w:val="0"/>
            </w:rPr>
            <w:t>T</w:t>
          </w:r>
          <w:r w:rsidR="00D256E9" w:rsidRPr="00BD3E81">
            <w:rPr>
              <w:rStyle w:val="Bold"/>
              <w:b w:val="0"/>
            </w:rPr>
            <w:t>he outage was complete</w:t>
          </w:r>
          <w:r w:rsidR="00CE4E16">
            <w:rPr>
              <w:rStyle w:val="Bold"/>
              <w:b w:val="0"/>
            </w:rPr>
            <w:t>d</w:t>
          </w:r>
          <w:r w:rsidR="00D256E9" w:rsidRPr="00BD3E81">
            <w:rPr>
              <w:rStyle w:val="Bold"/>
              <w:b w:val="0"/>
            </w:rPr>
            <w:t xml:space="preserve"> </w:t>
          </w:r>
          <w:r w:rsidR="00CE4E16">
            <w:rPr>
              <w:rStyle w:val="Bold"/>
              <w:b w:val="0"/>
            </w:rPr>
            <w:t>earlier than expected at</w:t>
          </w:r>
          <w:r w:rsidR="00D256E9" w:rsidRPr="00BD3E81">
            <w:rPr>
              <w:rStyle w:val="Bold"/>
              <w:b w:val="0"/>
            </w:rPr>
            <w:t xml:space="preserve"> </w:t>
          </w:r>
          <w:r w:rsidRPr="00BD3E81">
            <w:rPr>
              <w:rStyle w:val="Bold"/>
              <w:b w:val="0"/>
            </w:rPr>
            <w:t>6</w:t>
          </w:r>
          <w:r w:rsidR="00D256E9" w:rsidRPr="00BD3E81">
            <w:rPr>
              <w:rStyle w:val="Bold"/>
              <w:b w:val="0"/>
            </w:rPr>
            <w:t>.2</w:t>
          </w:r>
          <w:r w:rsidRPr="00BD3E81">
            <w:rPr>
              <w:rStyle w:val="Bold"/>
              <w:b w:val="0"/>
            </w:rPr>
            <w:t>0</w:t>
          </w:r>
          <w:r w:rsidR="00D256E9" w:rsidRPr="00BD3E81">
            <w:rPr>
              <w:rStyle w:val="Bold"/>
              <w:b w:val="0"/>
            </w:rPr>
            <w:t xml:space="preserve"> pm and AEMO </w:t>
          </w:r>
          <w:r w:rsidR="00CE4E16">
            <w:rPr>
              <w:rStyle w:val="Bold"/>
              <w:b w:val="0"/>
            </w:rPr>
            <w:t xml:space="preserve">removed the </w:t>
          </w:r>
          <w:r w:rsidR="00D256E9" w:rsidRPr="00BD3E81">
            <w:rPr>
              <w:rStyle w:val="Bold"/>
              <w:b w:val="0"/>
            </w:rPr>
            <w:t xml:space="preserve">35 MW </w:t>
          </w:r>
          <w:proofErr w:type="gramStart"/>
          <w:r w:rsidR="00CE4E16">
            <w:rPr>
              <w:rStyle w:val="Bold"/>
              <w:b w:val="0"/>
            </w:rPr>
            <w:t>requirement</w:t>
          </w:r>
          <w:proofErr w:type="gramEnd"/>
          <w:r w:rsidR="00CE4E16">
            <w:rPr>
              <w:rStyle w:val="Bold"/>
              <w:b w:val="0"/>
            </w:rPr>
            <w:t xml:space="preserve"> for </w:t>
          </w:r>
          <w:r w:rsidR="00D256E9" w:rsidRPr="00BD3E81">
            <w:rPr>
              <w:rStyle w:val="Bold"/>
              <w:b w:val="0"/>
            </w:rPr>
            <w:t>local re</w:t>
          </w:r>
          <w:r w:rsidR="00555EC5">
            <w:rPr>
              <w:rStyle w:val="Bold"/>
              <w:b w:val="0"/>
            </w:rPr>
            <w:t>g</w:t>
          </w:r>
          <w:r w:rsidR="00D256E9" w:rsidRPr="00BD3E81">
            <w:rPr>
              <w:rStyle w:val="Bold"/>
              <w:b w:val="0"/>
            </w:rPr>
            <w:t>ulation services.</w:t>
          </w:r>
        </w:p>
        <w:p w:rsidR="00D10E33" w:rsidRDefault="00D10E33" w:rsidP="00CF208D">
          <w:pPr>
            <w:pStyle w:val="AERBody0"/>
          </w:pPr>
        </w:p>
        <w:p w:rsidR="004E6FA8" w:rsidRDefault="004E6FA8" w:rsidP="004E6FA8">
          <w:pPr>
            <w:pStyle w:val="Heading1"/>
          </w:pPr>
          <w:bookmarkStart w:id="3" w:name="_Toc489945985"/>
          <w:r>
            <w:lastRenderedPageBreak/>
            <w:t>Analysis</w:t>
          </w:r>
          <w:bookmarkEnd w:id="3"/>
        </w:p>
        <w:p w:rsidR="00F85920" w:rsidRDefault="00F85920" w:rsidP="00FA3BD7">
          <w:pPr>
            <w:pStyle w:val="AERBody0"/>
          </w:pPr>
          <w:r w:rsidRPr="00232643">
            <w:t>The following sections explain the reasons for the high regulation services prices. To summarise, in response to a</w:t>
          </w:r>
          <w:r>
            <w:t xml:space="preserve"> </w:t>
          </w:r>
          <w:r w:rsidRPr="00232643">
            <w:t>planned network outage in Victoria, AEMO imposed the requirement that 35 MW of regulation services be sourced locally in South Australia</w:t>
          </w:r>
          <w:r>
            <w:t xml:space="preserve">. Rebidding by Origin at its Quarantine and Osborne power stations, effective from 12.20 pm, reduced the amount of effective capacity priced less than $5000/MW to 33 MW, </w:t>
          </w:r>
          <w:r w:rsidR="00CD47AF">
            <w:t>2</w:t>
          </w:r>
          <w:r>
            <w:t xml:space="preserve"> MW less than the 35 MW </w:t>
          </w:r>
          <w:proofErr w:type="gramStart"/>
          <w:r>
            <w:t>requirement</w:t>
          </w:r>
          <w:proofErr w:type="gramEnd"/>
          <w:r>
            <w:t>. As a result prices both services</w:t>
          </w:r>
          <w:r w:rsidRPr="00F85920">
            <w:t xml:space="preserve"> </w:t>
          </w:r>
          <w:r w:rsidRPr="003D5496">
            <w:t xml:space="preserve">exceeded </w:t>
          </w:r>
          <w:r w:rsidRPr="00F77349">
            <w:t>$10 700/MW for all dispatch intervals from 12.20 pm to 12.45 pm</w:t>
          </w:r>
          <w:r>
            <w:t>.</w:t>
          </w:r>
        </w:p>
        <w:p w:rsidR="00CD47AF" w:rsidRDefault="001D4279" w:rsidP="00FA3BD7">
          <w:pPr>
            <w:pStyle w:val="AERBody0"/>
          </w:pPr>
          <w:r>
            <w:t xml:space="preserve">Later in the day Origin shifted capacity for both services from low prices to high prices at its Quarantine power station, which saw prices for raise and lower services reach $7690/MW and $3994/MW, respectively from 5.35 pm to 6.15 pm. </w:t>
          </w:r>
        </w:p>
        <w:p w:rsidR="00FA3BD7" w:rsidRDefault="00FA3BD7" w:rsidP="00FA3BD7">
          <w:pPr>
            <w:pStyle w:val="Heading2"/>
            <w:keepNext/>
            <w:ind w:left="578" w:hanging="578"/>
          </w:pPr>
          <w:bookmarkStart w:id="4" w:name="_Toc485725759"/>
          <w:bookmarkStart w:id="5" w:name="_Toc489945986"/>
          <w:r>
            <w:t>Planned network outage</w:t>
          </w:r>
          <w:bookmarkEnd w:id="4"/>
          <w:bookmarkEnd w:id="5"/>
        </w:p>
        <w:p w:rsidR="00FB35D1" w:rsidRPr="00FB35D1" w:rsidRDefault="00FB35D1" w:rsidP="006315B3">
          <w:r>
            <w:t xml:space="preserve">Market notice 58470 (published on 4 May 2017 and replicated in Appendix E) announced to the market that there would be an </w:t>
          </w:r>
          <w:r w:rsidRPr="00F77349">
            <w:t>outage on the Heywood No.1 500 kV busbar in Victoria</w:t>
          </w:r>
          <w:r>
            <w:t xml:space="preserve"> from 6 am to 6 pm on 22 May 2017, putting </w:t>
          </w:r>
          <w:r w:rsidRPr="00F77349">
            <w:t>South Australia on a single contingency</w:t>
          </w:r>
          <w:r>
            <w:t>.</w:t>
          </w:r>
          <w:r w:rsidRPr="00FB35D1">
            <w:t xml:space="preserve"> </w:t>
          </w:r>
          <w:r>
            <w:t xml:space="preserve">Under such conditions AEMO requires South Australia to source 35 MW of regulation services locally. </w:t>
          </w:r>
          <w:r w:rsidRPr="00F77349">
            <w:t xml:space="preserve">The outage was postponed through another market notice </w:t>
          </w:r>
          <w:r>
            <w:t xml:space="preserve">(58606) </w:t>
          </w:r>
          <w:r w:rsidRPr="00F77349">
            <w:t>on 21 May to run from 10 am to 10 pm instead.</w:t>
          </w:r>
          <w:r>
            <w:t xml:space="preserve"> Box 1 explains how AEMO manages outages on the Heywood interconnector.</w:t>
          </w:r>
        </w:p>
        <w:p w:rsidR="00FB35D1" w:rsidRPr="00073199" w:rsidRDefault="00FA3BD7" w:rsidP="00FB35D1">
          <w:r w:rsidRPr="003D5496">
            <w:rPr>
              <w:noProof/>
              <w:lang w:eastAsia="en-AU"/>
            </w:rPr>
            <w:lastRenderedPageBreak/>
            <mc:AlternateContent>
              <mc:Choice Requires="wps">
                <w:drawing>
                  <wp:inline distT="0" distB="0" distL="0" distR="0" wp14:anchorId="69E00CD4" wp14:editId="5358FF20">
                    <wp:extent cx="5400040" cy="5380075"/>
                    <wp:effectExtent l="0" t="0" r="10160" b="11430"/>
                    <wp:docPr id="4" name="Text Box 4"/>
                    <wp:cNvGraphicFramePr/>
                    <a:graphic xmlns:a="http://schemas.openxmlformats.org/drawingml/2006/main">
                      <a:graphicData uri="http://schemas.microsoft.com/office/word/2010/wordprocessingShape">
                        <wps:wsp>
                          <wps:cNvSpPr txBox="1"/>
                          <wps:spPr>
                            <a:xfrm>
                              <a:off x="0" y="0"/>
                              <a:ext cx="5400040" cy="5380075"/>
                            </a:xfrm>
                            <a:prstGeom prst="rect">
                              <a:avLst/>
                            </a:prstGeom>
                            <a:solidFill>
                              <a:schemeClr val="bg1">
                                <a:lumMod val="95000"/>
                              </a:schemeClr>
                            </a:solidFill>
                            <a:ln>
                              <a:solidFill>
                                <a:schemeClr val="accent1"/>
                              </a:solidFill>
                            </a:ln>
                            <a:effectLst/>
                          </wps:spPr>
                          <wps:txbx>
                            <w:txbxContent>
                              <w:p w:rsidR="00860E94" w:rsidRPr="00674BDC" w:rsidRDefault="00860E94" w:rsidP="00FA3BD7">
                                <w:pPr>
                                  <w:pStyle w:val="Caption"/>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B24B6B">
                                  <w:rPr>
                                    <w:noProof/>
                                    <w:color w:val="70635A" w:themeColor="text2"/>
                                  </w:rPr>
                                  <w:t>1</w:t>
                                </w:r>
                                <w:r>
                                  <w:rPr>
                                    <w:color w:val="70635A" w:themeColor="text2"/>
                                  </w:rPr>
                                  <w:fldChar w:fldCharType="end"/>
                                </w:r>
                                <w:r>
                                  <w:rPr>
                                    <w:color w:val="70635A" w:themeColor="text2"/>
                                  </w:rPr>
                                  <w:t>: Heywood Interconnector and line outage management</w:t>
                                </w:r>
                              </w:p>
                              <w:p w:rsidR="00860E94" w:rsidRDefault="00860E94" w:rsidP="00FA3BD7">
                                <w:r w:rsidRPr="00217A20">
                                  <w:t xml:space="preserve">South Australia is electrically connected to Victoria by the Heywood and Murraylink interconnectors. </w:t>
                                </w:r>
                                <w:r w:rsidRPr="005D1BB5">
                                  <w:t>Murraylink is a direct current interconnector that cannot provide FCAS</w:t>
                                </w:r>
                                <w:r>
                                  <w:t xml:space="preserve">. </w:t>
                                </w:r>
                                <w:r w:rsidRPr="00217A20">
                                  <w:t xml:space="preserve">The Heywood Interconnector is an alternating current high voltage transmission link which can transfer FCAS </w:t>
                                </w:r>
                                <w:r>
                                  <w:t>from</w:t>
                                </w:r>
                                <w:r w:rsidRPr="00217A20">
                                  <w:t xml:space="preserve"> the rest of the NEM</w:t>
                                </w:r>
                                <w:r>
                                  <w:t xml:space="preserve">. The figure below is a simplified representation of the network around the interconnector. </w:t>
                                </w:r>
                              </w:p>
                              <w:p w:rsidR="00860E94" w:rsidRDefault="00860E94" w:rsidP="00FA3BD7">
                                <w:r w:rsidRPr="001C0805">
                                  <w:rPr>
                                    <w:noProof/>
                                    <w:lang w:eastAsia="en-AU"/>
                                  </w:rPr>
                                  <w:drawing>
                                    <wp:inline distT="0" distB="0" distL="0" distR="0" wp14:anchorId="5FECB423" wp14:editId="16C77C55">
                                      <wp:extent cx="5219700" cy="1986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1986174"/>
                                              </a:xfrm>
                                              <a:prstGeom prst="rect">
                                                <a:avLst/>
                                              </a:prstGeom>
                                              <a:noFill/>
                                              <a:ln>
                                                <a:noFill/>
                                              </a:ln>
                                            </pic:spPr>
                                          </pic:pic>
                                        </a:graphicData>
                                      </a:graphic>
                                    </wp:inline>
                                  </w:drawing>
                                </w:r>
                              </w:p>
                              <w:p w:rsidR="00860E94" w:rsidRDefault="00860E94" w:rsidP="002355BD">
                                <w:pPr>
                                  <w:pStyle w:val="AERBody0"/>
                                </w:pPr>
                                <w:r w:rsidRPr="00217A20">
                                  <w:t xml:space="preserve">When </w:t>
                                </w:r>
                                <w:r>
                                  <w:t xml:space="preserve">any </w:t>
                                </w:r>
                                <w:r w:rsidRPr="00217A20">
                                  <w:t>one of the</w:t>
                                </w:r>
                                <w:r>
                                  <w:t xml:space="preserve"> four lines going through the Heywood substation is on an outage</w:t>
                                </w:r>
                                <w:r w:rsidRPr="00217A20">
                                  <w:t xml:space="preserve">, the South Australian region is on a single contingency. This means that </w:t>
                                </w:r>
                                <w:r>
                                  <w:t>South Australia is at risk of being</w:t>
                                </w:r>
                                <w:r w:rsidRPr="0032240C">
                                  <w:t xml:space="preserve"> electrically isolated from the rest of the NEM </w:t>
                                </w:r>
                                <w:r>
                                  <w:t>as only one line is connecting South Australia to Victoria</w:t>
                                </w:r>
                                <w:r w:rsidRPr="00217A20">
                                  <w:t xml:space="preserve">. </w:t>
                                </w:r>
                                <w:r>
                                  <w:t xml:space="preserve">When this occurs </w:t>
                                </w:r>
                                <w:r w:rsidRPr="003B68A8">
                                  <w:t>AEMO invoke</w:t>
                                </w:r>
                                <w:r>
                                  <w:t>s constraints requiring</w:t>
                                </w:r>
                                <w:r w:rsidRPr="003B68A8">
                                  <w:t xml:space="preserve"> 35 MW </w:t>
                                </w:r>
                                <w:r>
                                  <w:t xml:space="preserve">of local </w:t>
                                </w:r>
                                <w:r w:rsidRPr="003B68A8">
                                  <w:t xml:space="preserve">regulation </w:t>
                                </w:r>
                                <w:r>
                                  <w:t>services</w:t>
                                </w:r>
                                <w:r w:rsidRPr="003B68A8">
                                  <w:t>.</w:t>
                                </w:r>
                                <w:r>
                                  <w:t xml:space="preserve"> </w:t>
                                </w:r>
                                <w:r w:rsidRPr="00EF7B2F">
                                  <w:t xml:space="preserve">This ensures adequate regulation </w:t>
                                </w:r>
                                <w:r>
                                  <w:t>services are</w:t>
                                </w:r>
                                <w:r w:rsidRPr="00EF7B2F">
                                  <w:t xml:space="preserve"> immediately available to manage the frequency </w:t>
                                </w:r>
                                <w:r>
                                  <w:t xml:space="preserve">(around 50Hz) </w:t>
                                </w:r>
                                <w:r w:rsidRPr="00EF7B2F">
                                  <w:t xml:space="preserve">within </w:t>
                                </w:r>
                                <w:r>
                                  <w:t>South Australia if the remaining line trips</w:t>
                                </w:r>
                                <w:r w:rsidRPr="00EF7B2F">
                                  <w:t>.</w:t>
                                </w:r>
                                <w:r w:rsidRPr="006841F6">
                                  <w:t xml:space="preserve"> </w:t>
                                </w:r>
                              </w:p>
                              <w:p w:rsidR="00860E94" w:rsidRPr="00674BDC" w:rsidRDefault="00860E94" w:rsidP="002355BD">
                                <w:pPr>
                                  <w:pStyle w:val="AERBody0"/>
                                </w:pPr>
                                <w:r>
                                  <w:t xml:space="preserve">Further details on the 35 MW </w:t>
                                </w:r>
                                <w:proofErr w:type="gramStart"/>
                                <w:r>
                                  <w:t>requirement</w:t>
                                </w:r>
                                <w:proofErr w:type="gramEnd"/>
                                <w:r>
                                  <w:t xml:space="preserve"> can be found in Appendix B.</w:t>
                                </w:r>
                              </w:p>
                              <w:p w:rsidR="00860E94" w:rsidRPr="00674BDC" w:rsidRDefault="00860E94" w:rsidP="002355BD">
                                <w:pPr>
                                  <w:pStyle w:val="AERBody0"/>
                                </w:pPr>
                              </w:p>
                            </w:txbxContent>
                          </wps:txbx>
                          <wps:bodyPr rot="0" spcFirstLastPara="0" vertOverflow="overflow" horzOverflow="overflow" vert="horz" wrap="square" lIns="90000" tIns="0" rIns="9000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25.2pt;height:4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" fillcolor="#f2f2f2 [3052]" strokecolor="#2f002f [3204]">
                    <v:textbox inset="2.5mm,0,2.5mm,0">
                      <w:txbxContent>
                        <w:p w:rsidR="00860E94" w:rsidRPr="00674BDC" w:rsidRDefault="00860E94" w:rsidP="00FA3BD7">
                          <w:pPr>
                            <w:pStyle w:val="Caption"/>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B24B6B">
                            <w:rPr>
                              <w:noProof/>
                              <w:color w:val="70635A" w:themeColor="text2"/>
                            </w:rPr>
                            <w:t>1</w:t>
                          </w:r>
                          <w:r>
                            <w:rPr>
                              <w:color w:val="70635A" w:themeColor="text2"/>
                            </w:rPr>
                            <w:fldChar w:fldCharType="end"/>
                          </w:r>
                          <w:r>
                            <w:rPr>
                              <w:color w:val="70635A" w:themeColor="text2"/>
                            </w:rPr>
                            <w:t>: Heywood Interconnector and line outage management</w:t>
                          </w:r>
                        </w:p>
                        <w:p w:rsidR="00860E94" w:rsidRDefault="00860E94" w:rsidP="00FA3BD7">
                          <w:r w:rsidRPr="00217A20">
                            <w:t xml:space="preserve">South Australia is electrically connected to Victoria by the Heywood and Murraylink interconnectors. </w:t>
                          </w:r>
                          <w:r w:rsidRPr="005D1BB5">
                            <w:t>Murraylink is a direct current interconnector that cannot provide FCAS</w:t>
                          </w:r>
                          <w:r>
                            <w:t xml:space="preserve">. </w:t>
                          </w:r>
                          <w:r w:rsidRPr="00217A20">
                            <w:t xml:space="preserve">The Heywood Interconnector is an alternating current high voltage transmission link which can transfer FCAS </w:t>
                          </w:r>
                          <w:r>
                            <w:t>from</w:t>
                          </w:r>
                          <w:r w:rsidRPr="00217A20">
                            <w:t xml:space="preserve"> the rest of the NEM</w:t>
                          </w:r>
                          <w:r>
                            <w:t xml:space="preserve">. The figure below is a simplified representation of the network around the interconnector. </w:t>
                          </w:r>
                        </w:p>
                        <w:p w:rsidR="00860E94" w:rsidRDefault="00860E94" w:rsidP="00FA3BD7">
                          <w:r w:rsidRPr="001C0805">
                            <w:rPr>
                              <w:noProof/>
                              <w:lang w:eastAsia="en-AU"/>
                            </w:rPr>
                            <w:drawing>
                              <wp:inline distT="0" distB="0" distL="0" distR="0" wp14:anchorId="5FECB423" wp14:editId="16C77C55">
                                <wp:extent cx="5219700" cy="1986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9700" cy="1986174"/>
                                        </a:xfrm>
                                        <a:prstGeom prst="rect">
                                          <a:avLst/>
                                        </a:prstGeom>
                                        <a:noFill/>
                                        <a:ln>
                                          <a:noFill/>
                                        </a:ln>
                                      </pic:spPr>
                                    </pic:pic>
                                  </a:graphicData>
                                </a:graphic>
                              </wp:inline>
                            </w:drawing>
                          </w:r>
                        </w:p>
                        <w:p w:rsidR="00860E94" w:rsidRDefault="00860E94" w:rsidP="002355BD">
                          <w:pPr>
                            <w:pStyle w:val="AERBody0"/>
                          </w:pPr>
                          <w:r w:rsidRPr="00217A20">
                            <w:t xml:space="preserve">When </w:t>
                          </w:r>
                          <w:r>
                            <w:t xml:space="preserve">any </w:t>
                          </w:r>
                          <w:r w:rsidRPr="00217A20">
                            <w:t>one of the</w:t>
                          </w:r>
                          <w:r>
                            <w:t xml:space="preserve"> four lines going through the Heywood substation is on an outage</w:t>
                          </w:r>
                          <w:r w:rsidRPr="00217A20">
                            <w:t xml:space="preserve">, the South Australian region is on a single contingency. This means that </w:t>
                          </w:r>
                          <w:r>
                            <w:t>South Australia is at risk of being</w:t>
                          </w:r>
                          <w:r w:rsidRPr="0032240C">
                            <w:t xml:space="preserve"> electrically isolated from the rest of the NEM </w:t>
                          </w:r>
                          <w:r>
                            <w:t>as only one line is connecting South Australia to Victoria</w:t>
                          </w:r>
                          <w:r w:rsidRPr="00217A20">
                            <w:t xml:space="preserve">. </w:t>
                          </w:r>
                          <w:r>
                            <w:t xml:space="preserve">When this occurs </w:t>
                          </w:r>
                          <w:r w:rsidRPr="003B68A8">
                            <w:t>AEMO invoke</w:t>
                          </w:r>
                          <w:r>
                            <w:t>s constraints requiring</w:t>
                          </w:r>
                          <w:r w:rsidRPr="003B68A8">
                            <w:t xml:space="preserve"> 35 MW </w:t>
                          </w:r>
                          <w:r>
                            <w:t xml:space="preserve">of local </w:t>
                          </w:r>
                          <w:r w:rsidRPr="003B68A8">
                            <w:t xml:space="preserve">regulation </w:t>
                          </w:r>
                          <w:r>
                            <w:t>services</w:t>
                          </w:r>
                          <w:r w:rsidRPr="003B68A8">
                            <w:t>.</w:t>
                          </w:r>
                          <w:r>
                            <w:t xml:space="preserve"> </w:t>
                          </w:r>
                          <w:r w:rsidRPr="00EF7B2F">
                            <w:t xml:space="preserve">This ensures adequate regulation </w:t>
                          </w:r>
                          <w:r>
                            <w:t>services are</w:t>
                          </w:r>
                          <w:r w:rsidRPr="00EF7B2F">
                            <w:t xml:space="preserve"> immediately available to manage the frequency </w:t>
                          </w:r>
                          <w:r>
                            <w:t xml:space="preserve">(around 50Hz) </w:t>
                          </w:r>
                          <w:r w:rsidRPr="00EF7B2F">
                            <w:t xml:space="preserve">within </w:t>
                          </w:r>
                          <w:r>
                            <w:t>South Australia if the remaining line trips</w:t>
                          </w:r>
                          <w:r w:rsidRPr="00EF7B2F">
                            <w:t>.</w:t>
                          </w:r>
                          <w:r w:rsidRPr="006841F6">
                            <w:t xml:space="preserve"> </w:t>
                          </w:r>
                        </w:p>
                        <w:p w:rsidR="00860E94" w:rsidRPr="00674BDC" w:rsidRDefault="00860E94" w:rsidP="002355BD">
                          <w:pPr>
                            <w:pStyle w:val="AERBody0"/>
                          </w:pPr>
                          <w:r>
                            <w:t xml:space="preserve">Further details on the 35 MW </w:t>
                          </w:r>
                          <w:proofErr w:type="gramStart"/>
                          <w:r>
                            <w:t>requirement</w:t>
                          </w:r>
                          <w:proofErr w:type="gramEnd"/>
                          <w:r>
                            <w:t xml:space="preserve"> can be found in Appendix B.</w:t>
                          </w:r>
                        </w:p>
                        <w:p w:rsidR="00860E94" w:rsidRPr="00674BDC" w:rsidRDefault="00860E94" w:rsidP="002355BD">
                          <w:pPr>
                            <w:pStyle w:val="AERBody0"/>
                          </w:pPr>
                        </w:p>
                      </w:txbxContent>
                    </v:textbox>
                    <w10:anchorlock/>
                  </v:shape>
                </w:pict>
              </mc:Fallback>
            </mc:AlternateContent>
          </w:r>
          <w:r w:rsidR="00FB35D1" w:rsidRPr="00FB35D1">
            <w:t xml:space="preserve"> </w:t>
          </w:r>
        </w:p>
        <w:p w:rsidR="00DD1290" w:rsidRDefault="00DD1290" w:rsidP="00DD1290">
          <w:pPr>
            <w:pStyle w:val="AERBody0"/>
          </w:pPr>
          <w:bookmarkStart w:id="6" w:name="_Toc466290124"/>
          <w:bookmarkStart w:id="7" w:name="_Toc485725760"/>
          <w:bookmarkStart w:id="8" w:name="_Toc489945987"/>
          <w:bookmarkStart w:id="9" w:name="_Toc476663039"/>
        </w:p>
        <w:p w:rsidR="00FB08F6" w:rsidRPr="00965E82" w:rsidRDefault="00FB08F6" w:rsidP="00FB08F6">
          <w:pPr>
            <w:pStyle w:val="Heading2"/>
            <w:keepNext/>
            <w:ind w:left="578" w:hanging="578"/>
          </w:pPr>
          <w:r w:rsidRPr="00965E82">
            <w:t xml:space="preserve">Regulation FCAS </w:t>
          </w:r>
          <w:bookmarkEnd w:id="6"/>
          <w:r w:rsidR="00F33BB6" w:rsidRPr="00965E82">
            <w:t>offers, rebidding and</w:t>
          </w:r>
          <w:r w:rsidRPr="00965E82">
            <w:t xml:space="preserve"> price</w:t>
          </w:r>
          <w:bookmarkEnd w:id="7"/>
          <w:bookmarkEnd w:id="8"/>
        </w:p>
        <w:p w:rsidR="00FB08F6" w:rsidRDefault="00FB08F6" w:rsidP="00FB08F6">
          <w:pPr>
            <w:pStyle w:val="AERBody0"/>
          </w:pPr>
          <w:r>
            <w:t>This section discusses participants</w:t>
          </w:r>
          <w:r w:rsidR="00FB35D1">
            <w:t>’</w:t>
          </w:r>
          <w:r>
            <w:t xml:space="preserve"> offers and </w:t>
          </w:r>
          <w:r w:rsidR="00FB35D1">
            <w:t>resultant prices</w:t>
          </w:r>
          <w:r>
            <w:t>.</w:t>
          </w:r>
        </w:p>
        <w:bookmarkStart w:id="10" w:name="_Toc489945988"/>
        <w:p w:rsidR="0057589A" w:rsidRDefault="00046C8D" w:rsidP="00046C8D">
          <w:pPr>
            <w:pStyle w:val="Heading3"/>
          </w:pPr>
          <w:r>
            <w:rPr>
              <w:noProof/>
              <w:lang w:eastAsia="en-AU"/>
            </w:rPr>
            <w:lastRenderedPageBreak/>
            <mc:AlternateContent>
              <mc:Choice Requires="wps">
                <w:drawing>
                  <wp:anchor distT="0" distB="0" distL="114300" distR="114300" simplePos="0" relativeHeight="251663360" behindDoc="0" locked="0" layoutInCell="1" allowOverlap="1" wp14:anchorId="003724E8" wp14:editId="5E8F99FE">
                    <wp:simplePos x="0" y="0"/>
                    <wp:positionH relativeFrom="column">
                      <wp:posOffset>-183515</wp:posOffset>
                    </wp:positionH>
                    <wp:positionV relativeFrom="paragraph">
                      <wp:posOffset>-103505</wp:posOffset>
                    </wp:positionV>
                    <wp:extent cx="5718810" cy="5443855"/>
                    <wp:effectExtent l="0" t="0" r="15240" b="2349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5443855"/>
                            </a:xfrm>
                            <a:prstGeom prst="rect">
                              <a:avLst/>
                            </a:prstGeom>
                            <a:solidFill>
                              <a:schemeClr val="bg1">
                                <a:lumMod val="95000"/>
                              </a:schemeClr>
                            </a:solidFill>
                            <a:ln w="9525">
                              <a:solidFill>
                                <a:schemeClr val="accent1"/>
                              </a:solidFill>
                              <a:miter lim="800000"/>
                              <a:headEnd/>
                              <a:tailEnd/>
                            </a:ln>
                          </wps:spPr>
                          <wps:txbx>
                            <w:txbxContent>
                              <w:p w:rsidR="00860E94" w:rsidRPr="00674BDC" w:rsidRDefault="00860E94" w:rsidP="00FB08F6">
                                <w:pPr>
                                  <w:pStyle w:val="Caption"/>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B24B6B">
                                  <w:rPr>
                                    <w:noProof/>
                                    <w:color w:val="70635A" w:themeColor="text2"/>
                                  </w:rPr>
                                  <w:t>2</w:t>
                                </w:r>
                                <w:r>
                                  <w:rPr>
                                    <w:color w:val="70635A" w:themeColor="text2"/>
                                  </w:rPr>
                                  <w:fldChar w:fldCharType="end"/>
                                </w:r>
                                <w:r>
                                  <w:rPr>
                                    <w:color w:val="70635A" w:themeColor="text2"/>
                                  </w:rPr>
                                  <w:t xml:space="preserve">: </w:t>
                                </w:r>
                                <w:r w:rsidR="00046C8D" w:rsidRPr="001B1121">
                                  <w:rPr>
                                    <w:color w:val="70635A" w:themeColor="text2"/>
                                  </w:rPr>
                                  <w:t>Trade-off between generator FCAS and energy offers</w:t>
                                </w:r>
                              </w:p>
                              <w:p w:rsidR="00046C8D" w:rsidRDefault="00046C8D" w:rsidP="00046C8D">
                                <w:pPr>
                                  <w:pStyle w:val="AERBody0"/>
                                </w:pPr>
                                <w:r>
                                  <w:t xml:space="preserve">Generators must register with AEMO to provide FCAS and offer FCAS capacity in a similar manner to energy into the market. </w:t>
                                </w:r>
                              </w:p>
                              <w:p w:rsidR="00046C8D" w:rsidRPr="001B1121" w:rsidRDefault="00046C8D" w:rsidP="00046C8D">
                                <w:pPr>
                                  <w:pStyle w:val="AERBody0"/>
                                </w:pPr>
                                <w:r w:rsidRPr="001B1121">
                                  <w:t>Participants offer the maximum amount of FCAS (f in the diagram below) and energy, in mega-watts (MW), they are willing to supply across ten price bands, ranging between -$1000 and $14 000 for a trading day. A trading day starts at 4 am each day. A participant also offers the limits by which they can be dispatched in FCAS (a, b, c, d in the diagram below). There can be a trade-off between a participant’s provision of FCAS and energy, impacting the effective availability of FCAS. For example in the diagram below, if a generator’s energy output is at E</w:t>
                                </w:r>
                                <w:r w:rsidRPr="001B1121">
                                  <w:rPr>
                                    <w:vertAlign w:val="subscript"/>
                                  </w:rPr>
                                  <w:t>1</w:t>
                                </w:r>
                                <w:r w:rsidRPr="001B1121">
                                  <w:t xml:space="preserve"> then its FCAS effective availability is F</w:t>
                                </w:r>
                                <w:r w:rsidRPr="001B1121">
                                  <w:rPr>
                                    <w:vertAlign w:val="subscript"/>
                                  </w:rPr>
                                  <w:t>1</w:t>
                                </w:r>
                                <w:r w:rsidRPr="001B1121">
                                  <w:t>, if its output in energy increases to E</w:t>
                                </w:r>
                                <w:r w:rsidRPr="001B1121">
                                  <w:rPr>
                                    <w:vertAlign w:val="subscript"/>
                                  </w:rPr>
                                  <w:t>2</w:t>
                                </w:r>
                                <w:r w:rsidRPr="001B1121">
                                  <w:t xml:space="preserve"> then its effective FCAS availability drops to F</w:t>
                                </w:r>
                                <w:r w:rsidRPr="001B1121">
                                  <w:rPr>
                                    <w:vertAlign w:val="subscript"/>
                                  </w:rPr>
                                  <w:t>2</w:t>
                                </w:r>
                                <w:r w:rsidRPr="001B1121">
                                  <w:t xml:space="preserve">. </w:t>
                                </w:r>
                              </w:p>
                              <w:p w:rsidR="00046C8D" w:rsidRPr="00E70774" w:rsidRDefault="00046C8D" w:rsidP="00046C8D">
                                <w:pPr>
                                  <w:pStyle w:val="AERBody0"/>
                                  <w:spacing w:before="0" w:after="0"/>
                                </w:pPr>
                                <w:r w:rsidRPr="001B1121">
                                  <w:t>For every dispatch interval the National Electricity Market Dispatch Engine (NEMDE) co-optimises market participants FCAS and energy offers to arrive at the least cost outcome while maintaining system security</w:t>
                                </w:r>
                                <w:r w:rsidRPr="00E70774">
                                  <w:t>.</w:t>
                                </w:r>
                              </w:p>
                              <w:p w:rsidR="00860E94" w:rsidRDefault="00046C8D" w:rsidP="00046C8D">
                                <w:pPr>
                                  <w:pStyle w:val="AERBody0"/>
                                </w:pPr>
                                <w:r w:rsidRPr="001B1121">
                                  <w:rPr>
                                    <w:noProof/>
                                    <w:lang w:eastAsia="en-AU"/>
                                  </w:rPr>
                                  <w:drawing>
                                    <wp:inline distT="0" distB="0" distL="0" distR="0" wp14:anchorId="6EF9D7EA" wp14:editId="01DD241F">
                                      <wp:extent cx="4264762" cy="217261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930" b="2503"/>
                                              <a:stretch/>
                                            </pic:blipFill>
                                            <pic:spPr bwMode="auto">
                                              <a:xfrm>
                                                <a:off x="0" y="0"/>
                                                <a:ext cx="4276421" cy="21785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4.45pt;margin-top:-8.15pt;width:450.3pt;height:4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" fillcolor="#f2f2f2 [3052]" strokecolor="#2f002f [3204]">
                    <v:textbox>
                      <w:txbxContent>
                        <w:p w:rsidR="00860E94" w:rsidRPr="00674BDC" w:rsidRDefault="00860E94" w:rsidP="00FB08F6">
                          <w:pPr>
                            <w:pStyle w:val="Caption"/>
                            <w:rPr>
                              <w:color w:val="70635A" w:themeColor="text2"/>
                            </w:rPr>
                          </w:pPr>
                          <w:r w:rsidRPr="00674BDC">
                            <w:rPr>
                              <w:color w:val="70635A" w:themeColor="text2"/>
                            </w:rPr>
                            <w:t xml:space="preserve">Box </w:t>
                          </w:r>
                          <w:r>
                            <w:rPr>
                              <w:color w:val="70635A" w:themeColor="text2"/>
                            </w:rPr>
                            <w:fldChar w:fldCharType="begin"/>
                          </w:r>
                          <w:r>
                            <w:rPr>
                              <w:color w:val="70635A" w:themeColor="text2"/>
                            </w:rPr>
                            <w:instrText xml:space="preserve"> SEQ Box \* ARABIC </w:instrText>
                          </w:r>
                          <w:r>
                            <w:rPr>
                              <w:color w:val="70635A" w:themeColor="text2"/>
                            </w:rPr>
                            <w:fldChar w:fldCharType="separate"/>
                          </w:r>
                          <w:r w:rsidR="00B24B6B">
                            <w:rPr>
                              <w:noProof/>
                              <w:color w:val="70635A" w:themeColor="text2"/>
                            </w:rPr>
                            <w:t>2</w:t>
                          </w:r>
                          <w:r>
                            <w:rPr>
                              <w:color w:val="70635A" w:themeColor="text2"/>
                            </w:rPr>
                            <w:fldChar w:fldCharType="end"/>
                          </w:r>
                          <w:r>
                            <w:rPr>
                              <w:color w:val="70635A" w:themeColor="text2"/>
                            </w:rPr>
                            <w:t xml:space="preserve">: </w:t>
                          </w:r>
                          <w:r w:rsidR="00046C8D" w:rsidRPr="001B1121">
                            <w:rPr>
                              <w:color w:val="70635A" w:themeColor="text2"/>
                            </w:rPr>
                            <w:t>Trade-off between generator FCAS and energy offers</w:t>
                          </w:r>
                        </w:p>
                        <w:p w:rsidR="00046C8D" w:rsidRDefault="00046C8D" w:rsidP="00046C8D">
                          <w:pPr>
                            <w:pStyle w:val="AERBody0"/>
                          </w:pPr>
                          <w:r>
                            <w:t xml:space="preserve">Generators must register with AEMO to provide FCAS and offer FCAS capacity in a similar manner to energy into the market. </w:t>
                          </w:r>
                        </w:p>
                        <w:p w:rsidR="00046C8D" w:rsidRPr="001B1121" w:rsidRDefault="00046C8D" w:rsidP="00046C8D">
                          <w:pPr>
                            <w:pStyle w:val="AERBody0"/>
                          </w:pPr>
                          <w:r w:rsidRPr="001B1121">
                            <w:t>Participants offer the maximum amount of FCAS (f in the diagram below) and energy, in mega-watts (MW), they are willing to supply across ten price bands, ranging between -$1000 and $14 000 for a trading day. A trading day starts at 4 am each day. A participant also offers the limits by which they can be dispatched in FCAS (a, b, c, d in the diagram below). There can be a trade-off between a participant’s provision of FCAS and energy, impacting the effective availability of FCAS. For example in the diagram below, if a generator’s energy output is at E</w:t>
                          </w:r>
                          <w:r w:rsidRPr="001B1121">
                            <w:rPr>
                              <w:vertAlign w:val="subscript"/>
                            </w:rPr>
                            <w:t>1</w:t>
                          </w:r>
                          <w:r w:rsidRPr="001B1121">
                            <w:t xml:space="preserve"> then its FCAS effective availability is F</w:t>
                          </w:r>
                          <w:r w:rsidRPr="001B1121">
                            <w:rPr>
                              <w:vertAlign w:val="subscript"/>
                            </w:rPr>
                            <w:t>1</w:t>
                          </w:r>
                          <w:r w:rsidRPr="001B1121">
                            <w:t>, if its output in energy increases to E</w:t>
                          </w:r>
                          <w:r w:rsidRPr="001B1121">
                            <w:rPr>
                              <w:vertAlign w:val="subscript"/>
                            </w:rPr>
                            <w:t>2</w:t>
                          </w:r>
                          <w:r w:rsidRPr="001B1121">
                            <w:t xml:space="preserve"> then its effective FCAS availability drops to F</w:t>
                          </w:r>
                          <w:r w:rsidRPr="001B1121">
                            <w:rPr>
                              <w:vertAlign w:val="subscript"/>
                            </w:rPr>
                            <w:t>2</w:t>
                          </w:r>
                          <w:r w:rsidRPr="001B1121">
                            <w:t xml:space="preserve">. </w:t>
                          </w:r>
                        </w:p>
                        <w:p w:rsidR="00046C8D" w:rsidRPr="00E70774" w:rsidRDefault="00046C8D" w:rsidP="00046C8D">
                          <w:pPr>
                            <w:pStyle w:val="AERBody0"/>
                            <w:spacing w:before="0" w:after="0"/>
                          </w:pPr>
                          <w:r w:rsidRPr="001B1121">
                            <w:t>For every dispatch interval the National Electricity Market Dispatch Engine (NEMDE) co-optimises market participants FCAS and energy offers to arrive at the least cost outcome while maintaining system security</w:t>
                          </w:r>
                          <w:r w:rsidRPr="00E70774">
                            <w:t>.</w:t>
                          </w:r>
                        </w:p>
                        <w:p w:rsidR="00860E94" w:rsidRDefault="00046C8D" w:rsidP="00046C8D">
                          <w:pPr>
                            <w:pStyle w:val="AERBody0"/>
                          </w:pPr>
                          <w:r w:rsidRPr="001B1121">
                            <w:rPr>
                              <w:noProof/>
                              <w:lang w:eastAsia="en-AU"/>
                            </w:rPr>
                            <w:drawing>
                              <wp:inline distT="0" distB="0" distL="0" distR="0" wp14:anchorId="6EF9D7EA" wp14:editId="01DD241F">
                                <wp:extent cx="4264762" cy="217261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t="1930" b="2503"/>
                                        <a:stretch/>
                                      </pic:blipFill>
                                      <pic:spPr bwMode="auto">
                                        <a:xfrm>
                                          <a:off x="0" y="0"/>
                                          <a:ext cx="4276421" cy="21785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v:shape>
                </w:pict>
              </mc:Fallback>
            </mc:AlternateContent>
          </w:r>
          <w:r w:rsidR="0057589A">
            <w:t>Registered capacity</w:t>
          </w:r>
          <w:bookmarkEnd w:id="9"/>
          <w:bookmarkEnd w:id="10"/>
        </w:p>
        <w:p w:rsidR="00FB08F6" w:rsidRDefault="00FB08F6" w:rsidP="00FB08F6">
          <w:pPr>
            <w:pStyle w:val="AERBody0"/>
          </w:pPr>
          <w:bookmarkStart w:id="11" w:name="_Ref437433944"/>
          <w:r>
            <w:t xml:space="preserve">Of the 26 power stations </w:t>
          </w:r>
          <w:r w:rsidR="001D4279">
            <w:t>(</w:t>
          </w:r>
          <w:r w:rsidR="00555EC5">
            <w:t>including</w:t>
          </w:r>
          <w:r>
            <w:t xml:space="preserve"> wind farms</w:t>
          </w:r>
          <w:r w:rsidR="001D4279">
            <w:t>)</w:t>
          </w:r>
          <w:r>
            <w:t xml:space="preserve"> in South Australia only four are registered to provide FCAS. Table 1 shows the power stations that were registered to provide raise and lower regulation FCAS in South Australia on the day and their maximum registered capacity. Table 1 shows each power station, if fully operational, was individually capable of providing the local requirement. </w:t>
          </w:r>
        </w:p>
        <w:p w:rsidR="006E186E" w:rsidRDefault="006E186E" w:rsidP="00CF208D">
          <w:pPr>
            <w:pStyle w:val="Caption"/>
          </w:pPr>
          <w:bookmarkStart w:id="12" w:name="_Ref488842541"/>
          <w:r>
            <w:t xml:space="preserve">Table </w:t>
          </w:r>
          <w:fldSimple w:instr=" SEQ Table \* ARABIC ">
            <w:r w:rsidR="00B24B6B">
              <w:rPr>
                <w:noProof/>
              </w:rPr>
              <w:t>1</w:t>
            </w:r>
          </w:fldSimple>
          <w:bookmarkEnd w:id="11"/>
          <w:bookmarkEnd w:id="12"/>
          <w:r>
            <w:t xml:space="preserve">: </w:t>
          </w:r>
          <w:r w:rsidRPr="00E225C8">
            <w:t>Registered</w:t>
          </w:r>
          <w:r>
            <w:t xml:space="preserve"> maximum </w:t>
          </w:r>
          <w:r w:rsidR="00B219C8">
            <w:t xml:space="preserve">regulation FCAS </w:t>
          </w:r>
          <w:r>
            <w:t>capacity</w:t>
          </w:r>
          <w:r w:rsidR="00EF4A47">
            <w:t xml:space="preserve"> (MW)</w:t>
          </w:r>
          <w:r>
            <w:t xml:space="preserve"> by station</w:t>
          </w:r>
        </w:p>
        <w:tbl>
          <w:tblPr>
            <w:tblStyle w:val="AERsummarytable"/>
            <w:tblW w:w="6840" w:type="dxa"/>
            <w:tblInd w:w="108" w:type="dxa"/>
            <w:tblLook w:val="04A0" w:firstRow="1" w:lastRow="0" w:firstColumn="1" w:lastColumn="0" w:noHBand="0" w:noVBand="1"/>
          </w:tblPr>
          <w:tblGrid>
            <w:gridCol w:w="3369"/>
            <w:gridCol w:w="1671"/>
            <w:gridCol w:w="1800"/>
          </w:tblGrid>
          <w:tr w:rsidR="006E186E" w:rsidRPr="008D2C93" w:rsidTr="00A62205">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E186E" w:rsidRPr="008D2C93" w:rsidRDefault="006E186E" w:rsidP="00CF208D">
                <w:pPr>
                  <w:pStyle w:val="TableHeading"/>
                  <w:rPr>
                    <w:b/>
                    <w:color w:val="000000"/>
                    <w:sz w:val="22"/>
                    <w:lang w:eastAsia="en-AU"/>
                  </w:rPr>
                </w:pPr>
                <w:r w:rsidRPr="001219D0">
                  <w:rPr>
                    <w:lang w:eastAsia="en-AU"/>
                  </w:rPr>
                  <w:t>Power Station</w:t>
                </w:r>
              </w:p>
            </w:tc>
            <w:tc>
              <w:tcPr>
                <w:tcW w:w="3471" w:type="dxa"/>
                <w:gridSpan w:val="2"/>
                <w:tcBorders>
                  <w:bottom w:val="nil"/>
                </w:tcBorders>
                <w:shd w:val="clear" w:color="auto" w:fill="076A92" w:themeFill="text1"/>
                <w:noWrap/>
                <w:vAlign w:val="center"/>
                <w:hideMark/>
              </w:tcPr>
              <w:p w:rsidR="006E186E" w:rsidRPr="008D2C93" w:rsidRDefault="00DD1290" w:rsidP="00CF208D">
                <w:pPr>
                  <w:pStyle w:val="TableHeading"/>
                  <w:rPr>
                    <w:b/>
                    <w:color w:val="auto"/>
                    <w:sz w:val="22"/>
                    <w:lang w:eastAsia="en-AU"/>
                  </w:rPr>
                </w:pPr>
                <w:r>
                  <w:rPr>
                    <w:lang w:eastAsia="en-AU"/>
                  </w:rPr>
                  <w:t>Registered</w:t>
                </w:r>
                <w:r w:rsidR="006E186E" w:rsidRPr="008D2C93">
                  <w:rPr>
                    <w:lang w:eastAsia="en-AU"/>
                  </w:rPr>
                  <w:t xml:space="preserve"> Capacity</w:t>
                </w:r>
                <w:r w:rsidR="00EF4A47">
                  <w:rPr>
                    <w:lang w:eastAsia="en-AU"/>
                  </w:rPr>
                  <w:t xml:space="preserve"> (MW)</w:t>
                </w:r>
              </w:p>
            </w:tc>
          </w:tr>
          <w:tr w:rsidR="006E186E" w:rsidRPr="004D0B56" w:rsidTr="00A62205">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E186E" w:rsidRPr="004D0B56" w:rsidRDefault="006E186E" w:rsidP="00CF208D">
                <w:pPr>
                  <w:pStyle w:val="TableHeading"/>
                  <w:rPr>
                    <w:rFonts w:eastAsia="Times New Roman" w:cs="Arial"/>
                    <w:b/>
                    <w:color w:val="000000"/>
                    <w:sz w:val="22"/>
                    <w:lang w:eastAsia="en-AU"/>
                  </w:rPr>
                </w:pPr>
              </w:p>
            </w:tc>
            <w:tc>
              <w:tcPr>
                <w:tcW w:w="1671" w:type="dxa"/>
                <w:tcBorders>
                  <w:bottom w:val="nil"/>
                </w:tcBorders>
                <w:shd w:val="clear" w:color="auto" w:fill="076A92" w:themeFill="text1"/>
                <w:noWrap/>
                <w:vAlign w:val="center"/>
                <w:hideMark/>
              </w:tcPr>
              <w:p w:rsidR="006E186E" w:rsidRPr="004D0B56" w:rsidRDefault="006E186E" w:rsidP="00CF208D">
                <w:pPr>
                  <w:pStyle w:val="TableHeading"/>
                  <w:rPr>
                    <w:rFonts w:eastAsia="Times New Roman" w:cs="Arial"/>
                    <w:bCs/>
                    <w:sz w:val="22"/>
                    <w:lang w:eastAsia="en-AU"/>
                  </w:rPr>
                </w:pPr>
                <w:r w:rsidRPr="004D0B56">
                  <w:rPr>
                    <w:rFonts w:eastAsia="Times New Roman" w:cs="Arial"/>
                    <w:lang w:eastAsia="en-AU"/>
                  </w:rPr>
                  <w:t>Lower regulation</w:t>
                </w:r>
              </w:p>
            </w:tc>
            <w:tc>
              <w:tcPr>
                <w:tcW w:w="1800" w:type="dxa"/>
                <w:tcBorders>
                  <w:bottom w:val="nil"/>
                </w:tcBorders>
                <w:shd w:val="clear" w:color="auto" w:fill="076A92" w:themeFill="text1"/>
                <w:noWrap/>
                <w:vAlign w:val="center"/>
                <w:hideMark/>
              </w:tcPr>
              <w:p w:rsidR="006E186E" w:rsidRPr="004D0B56" w:rsidRDefault="006E186E" w:rsidP="00CF208D">
                <w:pPr>
                  <w:pStyle w:val="TableHeading"/>
                  <w:rPr>
                    <w:rFonts w:eastAsia="Times New Roman" w:cs="Arial"/>
                    <w:bCs/>
                    <w:sz w:val="22"/>
                    <w:lang w:eastAsia="en-AU"/>
                  </w:rPr>
                </w:pPr>
                <w:r w:rsidRPr="004D0B56">
                  <w:rPr>
                    <w:rFonts w:eastAsia="Times New Roman" w:cs="Arial"/>
                    <w:lang w:eastAsia="en-AU"/>
                  </w:rPr>
                  <w:t>Raise regulation</w:t>
                </w:r>
              </w:p>
            </w:tc>
          </w:tr>
          <w:tr w:rsidR="006E186E"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nil"/>
                </w:tcBorders>
                <w:noWrap/>
                <w:vAlign w:val="center"/>
              </w:tcPr>
              <w:p w:rsidR="006E186E" w:rsidRDefault="006E186E" w:rsidP="00936D6A">
                <w:pPr>
                  <w:spacing w:after="0" w:line="240" w:lineRule="auto"/>
                  <w:jc w:val="left"/>
                  <w:rPr>
                    <w:rFonts w:eastAsia="Times New Roman" w:cs="Arial"/>
                    <w:color w:val="000000"/>
                    <w:lang w:eastAsia="en-AU"/>
                  </w:rPr>
                </w:pPr>
                <w:r>
                  <w:rPr>
                    <w:rFonts w:eastAsia="Times New Roman" w:cs="Arial"/>
                    <w:color w:val="000000"/>
                    <w:lang w:eastAsia="en-AU"/>
                  </w:rPr>
                  <w:t>Osborne</w:t>
                </w:r>
                <w:r w:rsidR="00597926">
                  <w:rPr>
                    <w:rFonts w:eastAsia="Times New Roman" w:cs="Arial"/>
                    <w:color w:val="000000"/>
                    <w:lang w:eastAsia="en-AU"/>
                  </w:rPr>
                  <w:t xml:space="preserve"> (Origin Energy)</w:t>
                </w:r>
              </w:p>
            </w:tc>
            <w:tc>
              <w:tcPr>
                <w:tcW w:w="1671" w:type="dxa"/>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c>
              <w:tcPr>
                <w:tcW w:w="1800" w:type="dxa"/>
                <w:tcBorders>
                  <w:top w:val="nil"/>
                </w:tcBorders>
                <w:noWrap/>
                <w:vAlign w:val="center"/>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36</w:t>
                </w:r>
              </w:p>
            </w:tc>
          </w:tr>
          <w:tr w:rsidR="006E186E" w:rsidRPr="008D2C93" w:rsidTr="00A62205">
            <w:trPr>
              <w:cnfStyle w:val="000000010000" w:firstRow="0" w:lastRow="0" w:firstColumn="0" w:lastColumn="0" w:oddVBand="0" w:evenVBand="0" w:oddHBand="0" w:evenHBand="1" w:firstRowFirstColumn="0" w:firstRowLastColumn="0" w:lastRowFirstColumn="0" w:lastRowLastColumn="0"/>
              <w:trHeight w:val="340"/>
            </w:trPr>
            <w:tc>
              <w:tcPr>
                <w:tcW w:w="3369" w:type="dxa"/>
                <w:tcBorders>
                  <w:top w:val="nil"/>
                </w:tcBorders>
                <w:noWrap/>
                <w:vAlign w:val="center"/>
                <w:hideMark/>
              </w:tcPr>
              <w:p w:rsidR="006E186E" w:rsidRPr="008D2C93" w:rsidRDefault="006E186E" w:rsidP="00A62205">
                <w:pPr>
                  <w:spacing w:after="0" w:line="240" w:lineRule="auto"/>
                  <w:jc w:val="left"/>
                  <w:rPr>
                    <w:rFonts w:eastAsia="Times New Roman" w:cs="Arial"/>
                    <w:color w:val="000000"/>
                    <w:lang w:eastAsia="en-AU"/>
                  </w:rPr>
                </w:pPr>
                <w:r>
                  <w:rPr>
                    <w:rFonts w:eastAsia="Times New Roman" w:cs="Arial"/>
                    <w:color w:val="000000"/>
                    <w:lang w:eastAsia="en-AU"/>
                  </w:rPr>
                  <w:t>Quarantine</w:t>
                </w:r>
                <w:r w:rsidR="00597926">
                  <w:rPr>
                    <w:rFonts w:eastAsia="Times New Roman" w:cs="Arial"/>
                    <w:color w:val="000000"/>
                    <w:lang w:eastAsia="en-AU"/>
                  </w:rPr>
                  <w:t xml:space="preserve"> (Origin Energy)</w:t>
                </w:r>
              </w:p>
            </w:tc>
            <w:tc>
              <w:tcPr>
                <w:tcW w:w="1671" w:type="dxa"/>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c>
              <w:tcPr>
                <w:tcW w:w="1800" w:type="dxa"/>
                <w:tcBorders>
                  <w:top w:val="nil"/>
                </w:tcBorders>
                <w:noWrap/>
                <w:vAlign w:val="center"/>
                <w:hideMark/>
              </w:tcPr>
              <w:p w:rsidR="006E186E" w:rsidRPr="00FA334C" w:rsidRDefault="006E186E" w:rsidP="00A62205">
                <w:pPr>
                  <w:spacing w:after="0" w:line="240" w:lineRule="auto"/>
                  <w:jc w:val="center"/>
                  <w:rPr>
                    <w:rFonts w:eastAsia="Times New Roman" w:cs="Arial"/>
                    <w:color w:val="000000"/>
                    <w:lang w:eastAsia="en-AU"/>
                  </w:rPr>
                </w:pPr>
                <w:r w:rsidRPr="00FA334C">
                  <w:rPr>
                    <w:rFonts w:eastAsia="Times New Roman" w:cs="Arial"/>
                    <w:color w:val="000000"/>
                    <w:lang w:eastAsia="en-AU"/>
                  </w:rPr>
                  <w:t>50</w:t>
                </w:r>
              </w:p>
            </w:tc>
          </w:tr>
          <w:tr w:rsidR="006E186E"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Pelican</w:t>
                </w:r>
                <w:r>
                  <w:rPr>
                    <w:rFonts w:eastAsia="Times New Roman" w:cs="Arial"/>
                    <w:color w:val="000000"/>
                    <w:lang w:eastAsia="en-AU"/>
                  </w:rPr>
                  <w:t xml:space="preserve"> Point</w:t>
                </w:r>
                <w:r w:rsidR="00597926">
                  <w:rPr>
                    <w:rFonts w:eastAsia="Times New Roman" w:cs="Arial"/>
                    <w:color w:val="000000"/>
                    <w:lang w:eastAsia="en-AU"/>
                  </w:rPr>
                  <w:t xml:space="preserve"> (Engie)</w:t>
                </w:r>
              </w:p>
            </w:tc>
            <w:tc>
              <w:tcPr>
                <w:tcW w:w="1671"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c>
              <w:tcPr>
                <w:tcW w:w="1800"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r>
          <w:tr w:rsidR="006E186E" w:rsidRPr="008D2C93" w:rsidTr="00A62205">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hideMark/>
              </w:tcPr>
              <w:p w:rsidR="006E186E" w:rsidRPr="008D2C93" w:rsidRDefault="006E186E" w:rsidP="00A62205">
                <w:pPr>
                  <w:spacing w:after="0" w:line="240" w:lineRule="auto"/>
                  <w:jc w:val="left"/>
                  <w:rPr>
                    <w:rFonts w:eastAsia="Times New Roman" w:cs="Arial"/>
                    <w:color w:val="000000"/>
                    <w:lang w:eastAsia="en-AU"/>
                  </w:rPr>
                </w:pPr>
                <w:r w:rsidRPr="008D2C93">
                  <w:rPr>
                    <w:rFonts w:eastAsia="Times New Roman" w:cs="Arial"/>
                    <w:color w:val="000000"/>
                    <w:lang w:eastAsia="en-AU"/>
                  </w:rPr>
                  <w:t>Torrens Island</w:t>
                </w:r>
                <w:r w:rsidR="00597926">
                  <w:rPr>
                    <w:rFonts w:eastAsia="Times New Roman" w:cs="Arial"/>
                    <w:color w:val="000000"/>
                    <w:lang w:eastAsia="en-AU"/>
                  </w:rPr>
                  <w:t xml:space="preserve"> (AGL)</w:t>
                </w:r>
              </w:p>
            </w:tc>
            <w:tc>
              <w:tcPr>
                <w:tcW w:w="1671"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200</w:t>
                </w:r>
              </w:p>
            </w:tc>
            <w:tc>
              <w:tcPr>
                <w:tcW w:w="1800" w:type="dxa"/>
                <w:noWrap/>
                <w:vAlign w:val="center"/>
                <w:hideMark/>
              </w:tcPr>
              <w:p w:rsidR="006E186E" w:rsidRPr="008D2C93" w:rsidRDefault="006E186E" w:rsidP="00A62205">
                <w:pPr>
                  <w:spacing w:after="0" w:line="240" w:lineRule="auto"/>
                  <w:jc w:val="center"/>
                  <w:rPr>
                    <w:rFonts w:eastAsia="Times New Roman" w:cs="Arial"/>
                    <w:color w:val="000000"/>
                    <w:lang w:eastAsia="en-AU"/>
                  </w:rPr>
                </w:pPr>
                <w:r w:rsidRPr="008D2C93">
                  <w:rPr>
                    <w:rFonts w:eastAsia="Times New Roman" w:cs="Arial"/>
                    <w:color w:val="000000"/>
                    <w:lang w:eastAsia="en-AU"/>
                  </w:rPr>
                  <w:t>260</w:t>
                </w:r>
              </w:p>
            </w:tc>
          </w:tr>
          <w:tr w:rsidR="00BA7044" w:rsidRPr="008D2C93" w:rsidTr="00A62205">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tcPr>
              <w:p w:rsidR="00BA7044" w:rsidRPr="00BA7044" w:rsidRDefault="00BA7044" w:rsidP="007D65A0">
                <w:pPr>
                  <w:spacing w:after="0" w:line="240" w:lineRule="auto"/>
                  <w:jc w:val="left"/>
                  <w:rPr>
                    <w:rFonts w:eastAsia="Times New Roman" w:cs="Arial"/>
                    <w:b/>
                    <w:color w:val="000000"/>
                    <w:lang w:eastAsia="en-AU"/>
                  </w:rPr>
                </w:pPr>
                <w:r w:rsidRPr="00BA7044">
                  <w:rPr>
                    <w:rFonts w:eastAsia="Times New Roman" w:cs="Arial"/>
                    <w:b/>
                    <w:color w:val="000000"/>
                    <w:lang w:eastAsia="en-AU"/>
                  </w:rPr>
                  <w:t>Total</w:t>
                </w:r>
              </w:p>
            </w:tc>
            <w:tc>
              <w:tcPr>
                <w:tcW w:w="1671" w:type="dxa"/>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386</w:t>
                </w:r>
              </w:p>
            </w:tc>
            <w:tc>
              <w:tcPr>
                <w:tcW w:w="1800" w:type="dxa"/>
                <w:noWrap/>
                <w:vAlign w:val="center"/>
              </w:tcPr>
              <w:p w:rsidR="00BA7044" w:rsidRPr="00BA7044" w:rsidRDefault="00BA7044" w:rsidP="007D65A0">
                <w:pPr>
                  <w:spacing w:after="0" w:line="240" w:lineRule="auto"/>
                  <w:jc w:val="center"/>
                  <w:rPr>
                    <w:rFonts w:eastAsia="Times New Roman" w:cs="Arial"/>
                    <w:b/>
                    <w:color w:val="000000"/>
                    <w:lang w:eastAsia="en-AU"/>
                  </w:rPr>
                </w:pPr>
                <w:r w:rsidRPr="00BA7044">
                  <w:rPr>
                    <w:rFonts w:eastAsia="Times New Roman" w:cs="Arial"/>
                    <w:b/>
                    <w:color w:val="000000"/>
                    <w:lang w:eastAsia="en-AU"/>
                  </w:rPr>
                  <w:t>446</w:t>
                </w:r>
              </w:p>
            </w:tc>
          </w:tr>
        </w:tbl>
        <w:p w:rsidR="00250E46" w:rsidRDefault="00B37F2C" w:rsidP="00250E46">
          <w:pPr>
            <w:pStyle w:val="AERBody0"/>
          </w:pPr>
          <w:bookmarkStart w:id="13" w:name="_Toc476663040"/>
          <w:bookmarkStart w:id="14" w:name="_Toc464205967"/>
          <w:r w:rsidRPr="002D34D3">
            <w:lastRenderedPageBreak/>
            <w:t xml:space="preserve">On </w:t>
          </w:r>
          <w:r w:rsidR="00EB7F7E">
            <w:t>the day h</w:t>
          </w:r>
          <w:r w:rsidR="00250E46" w:rsidRPr="002D34D3">
            <w:t xml:space="preserve">alf of Pelican Point power station and five units at Torrens Island power station </w:t>
          </w:r>
          <w:r w:rsidR="00783AF0" w:rsidRPr="002D34D3">
            <w:t xml:space="preserve">were </w:t>
          </w:r>
          <w:r w:rsidR="00250E46" w:rsidRPr="002D34D3">
            <w:t>all unavailable, while no regulation services were</w:t>
          </w:r>
          <w:r w:rsidR="002D34D3" w:rsidRPr="002D34D3">
            <w:t xml:space="preserve"> </w:t>
          </w:r>
          <w:r w:rsidR="00AD79DD">
            <w:t xml:space="preserve">offered by Origin at its </w:t>
          </w:r>
          <w:r w:rsidR="00250E46" w:rsidRPr="002D34D3">
            <w:t>Osborne power station</w:t>
          </w:r>
          <w:r w:rsidR="00AD79DD">
            <w:t xml:space="preserve"> for the commencement of the trading day (i.e. through initial offers)</w:t>
          </w:r>
          <w:r w:rsidR="00250E46" w:rsidRPr="002D34D3">
            <w:t xml:space="preserve">. </w:t>
          </w:r>
          <w:r w:rsidR="00EB7F7E">
            <w:t xml:space="preserve">So, although the registered capacity is as show in </w:t>
          </w:r>
          <w:r w:rsidR="00EB7F7E">
            <w:fldChar w:fldCharType="begin"/>
          </w:r>
          <w:r w:rsidR="00EB7F7E">
            <w:instrText xml:space="preserve"> REF _Ref488842541 \h </w:instrText>
          </w:r>
          <w:r w:rsidR="00EB7F7E">
            <w:fldChar w:fldCharType="separate"/>
          </w:r>
          <w:r w:rsidR="00B24B6B">
            <w:t xml:space="preserve">Table </w:t>
          </w:r>
          <w:r w:rsidR="00B24B6B">
            <w:rPr>
              <w:noProof/>
            </w:rPr>
            <w:t>1</w:t>
          </w:r>
          <w:r w:rsidR="00EB7F7E">
            <w:fldChar w:fldCharType="end"/>
          </w:r>
          <w:r w:rsidR="00EB7F7E">
            <w:t xml:space="preserve">, only </w:t>
          </w:r>
          <w:r w:rsidR="00357F15">
            <w:t>around</w:t>
          </w:r>
          <w:r w:rsidR="00357F15" w:rsidRPr="002D34D3">
            <w:t xml:space="preserve"> </w:t>
          </w:r>
          <w:r w:rsidR="00A53A0A">
            <w:t>1</w:t>
          </w:r>
          <w:r w:rsidR="00EB7F7E">
            <w:t>20</w:t>
          </w:r>
          <w:r w:rsidR="00250E46" w:rsidRPr="002D34D3">
            <w:t xml:space="preserve"> MW </w:t>
          </w:r>
          <w:r w:rsidR="00EB7F7E">
            <w:t>of</w:t>
          </w:r>
          <w:r w:rsidR="00250E46" w:rsidRPr="002D34D3">
            <w:t xml:space="preserve"> </w:t>
          </w:r>
          <w:r w:rsidR="00357F15">
            <w:t xml:space="preserve">lower </w:t>
          </w:r>
          <w:r w:rsidR="00EB7F7E">
            <w:t xml:space="preserve">regulation </w:t>
          </w:r>
          <w:r w:rsidR="00357F15">
            <w:t xml:space="preserve">and </w:t>
          </w:r>
          <w:r w:rsidR="00EB7F7E">
            <w:t>150 </w:t>
          </w:r>
          <w:r w:rsidR="00357F15">
            <w:t xml:space="preserve">MW </w:t>
          </w:r>
          <w:r w:rsidR="00EB7F7E">
            <w:t>of</w:t>
          </w:r>
          <w:r w:rsidR="00357F15">
            <w:t xml:space="preserve"> raise </w:t>
          </w:r>
          <w:r w:rsidR="00EB7F7E">
            <w:t xml:space="preserve">regulation </w:t>
          </w:r>
          <w:proofErr w:type="gramStart"/>
          <w:r w:rsidR="00EB7F7E">
            <w:t>was</w:t>
          </w:r>
          <w:proofErr w:type="gramEnd"/>
          <w:r w:rsidR="00EB7F7E">
            <w:t xml:space="preserve"> available</w:t>
          </w:r>
          <w:r w:rsidR="00250E46" w:rsidRPr="002D34D3">
            <w:t>.</w:t>
          </w:r>
          <w:r w:rsidR="00250E46" w:rsidRPr="00DF70D3">
            <w:t xml:space="preserve"> </w:t>
          </w:r>
        </w:p>
        <w:p w:rsidR="00AD79DD" w:rsidRDefault="00F33BB6" w:rsidP="00F54B00">
          <w:pPr>
            <w:pStyle w:val="Heading3"/>
          </w:pPr>
          <w:bookmarkStart w:id="15" w:name="_Toc489945989"/>
          <w:r>
            <w:t xml:space="preserve">Rebidding </w:t>
          </w:r>
          <w:r w:rsidR="003D2AB2">
            <w:t>and effective availability</w:t>
          </w:r>
          <w:bookmarkEnd w:id="15"/>
        </w:p>
        <w:p w:rsidR="00AD79DD" w:rsidRDefault="006F5018" w:rsidP="00F54B00">
          <w:pPr>
            <w:pStyle w:val="AERbody"/>
          </w:pPr>
          <w:r w:rsidRPr="00312394">
            <w:t xml:space="preserve">From </w:t>
          </w:r>
          <w:r w:rsidR="00312394" w:rsidRPr="00312394">
            <w:t>10</w:t>
          </w:r>
          <w:r w:rsidR="000C2878">
            <w:t>.05</w:t>
          </w:r>
          <w:r w:rsidRPr="00312394">
            <w:t> am, when the outage began, until 1</w:t>
          </w:r>
          <w:r w:rsidR="00312394" w:rsidRPr="00312394">
            <w:t>2</w:t>
          </w:r>
          <w:r w:rsidRPr="00312394">
            <w:t>.</w:t>
          </w:r>
          <w:r w:rsidR="00B67DAD">
            <w:t>15</w:t>
          </w:r>
          <w:r w:rsidRPr="00312394">
            <w:t> </w:t>
          </w:r>
          <w:r w:rsidR="00B67DAD">
            <w:t>p</w:t>
          </w:r>
          <w:r w:rsidRPr="00312394">
            <w:t xml:space="preserve">m </w:t>
          </w:r>
          <w:r w:rsidR="00120555">
            <w:t xml:space="preserve">35 MW of raise and lower services priced below $5000/MW was available and </w:t>
          </w:r>
          <w:r w:rsidRPr="00312394">
            <w:t>price</w:t>
          </w:r>
          <w:r w:rsidR="00AD79DD">
            <w:t>s for these services</w:t>
          </w:r>
          <w:r w:rsidRPr="00312394">
            <w:t xml:space="preserve"> </w:t>
          </w:r>
          <w:r w:rsidR="00AD79DD">
            <w:t xml:space="preserve">were </w:t>
          </w:r>
          <w:r w:rsidR="00120555">
            <w:t xml:space="preserve">around </w:t>
          </w:r>
          <w:r w:rsidRPr="00312394">
            <w:t>$</w:t>
          </w:r>
          <w:r w:rsidR="00312394" w:rsidRPr="00312394">
            <w:t>300</w:t>
          </w:r>
          <w:r w:rsidRPr="00312394">
            <w:t>/MW</w:t>
          </w:r>
          <w:r w:rsidR="00312394" w:rsidRPr="00312394">
            <w:t xml:space="preserve"> and $</w:t>
          </w:r>
          <w:r w:rsidR="000C2878">
            <w:t>550</w:t>
          </w:r>
          <w:r w:rsidR="00312394" w:rsidRPr="00312394">
            <w:t>/MW respectively</w:t>
          </w:r>
          <w:r w:rsidR="00E17A74">
            <w:t>.</w:t>
          </w:r>
          <w:r w:rsidRPr="00312394">
            <w:t xml:space="preserve"> At 1</w:t>
          </w:r>
          <w:r w:rsidR="00B67DAD">
            <w:t>2</w:t>
          </w:r>
          <w:r w:rsidRPr="00312394">
            <w:t>.</w:t>
          </w:r>
          <w:r w:rsidR="00B67DAD">
            <w:t>2</w:t>
          </w:r>
          <w:r w:rsidRPr="00312394">
            <w:t>0 </w:t>
          </w:r>
          <w:r w:rsidR="00B67DAD">
            <w:t>p</w:t>
          </w:r>
          <w:r w:rsidRPr="00312394">
            <w:t>m</w:t>
          </w:r>
          <w:r w:rsidR="007A5C64" w:rsidRPr="00312394">
            <w:t xml:space="preserve"> the price </w:t>
          </w:r>
          <w:r w:rsidR="00B67DAD">
            <w:t xml:space="preserve">in both services </w:t>
          </w:r>
          <w:r w:rsidR="007A5C64" w:rsidRPr="00312394">
            <w:t xml:space="preserve">reached </w:t>
          </w:r>
          <w:r w:rsidR="00B67DAD">
            <w:t>around $10 770/MW</w:t>
          </w:r>
          <w:r w:rsidR="00AD79DD">
            <w:t>.</w:t>
          </w:r>
          <w:r w:rsidR="00B67DAD">
            <w:t xml:space="preserve"> </w:t>
          </w:r>
        </w:p>
        <w:p w:rsidR="00AD79DD" w:rsidRDefault="00AD79DD" w:rsidP="00F54B00">
          <w:pPr>
            <w:pStyle w:val="AERbody"/>
          </w:pPr>
          <w:r>
            <w:t xml:space="preserve">At 12.05 pm, effective 12.15 pm, Origin bid in 12 MW of capacity </w:t>
          </w:r>
          <w:r w:rsidR="0014060D">
            <w:t>at $0/MW at Osborne in raise and lower services. The reason given was “</w:t>
          </w:r>
          <w:r w:rsidR="0014060D" w:rsidRPr="00AF48D4">
            <w:t>CHANGE IN AVAIL - QPS5 OVERSPEED TEST SL</w:t>
          </w:r>
          <w:r w:rsidR="0014060D">
            <w:t>”. At 12.11 pm, effective from 12.20 pm, Origin withdrew 12 MW of capacity priced at $0/MW from Quarantine in raise and lower services. The reason given was “</w:t>
          </w:r>
          <w:r w:rsidR="0014060D" w:rsidRPr="00AF48D4">
            <w:t>CHANGE IN AVAIL - QPS5 OVERSPEED TEST SL</w:t>
          </w:r>
          <w:r w:rsidR="0014060D">
            <w:t>”. Both of these rebids were only effective until 12.30 pm.</w:t>
          </w:r>
        </w:p>
        <w:p w:rsidR="0014060D" w:rsidRDefault="0014060D" w:rsidP="00F54B00">
          <w:pPr>
            <w:pStyle w:val="AERbody"/>
          </w:pPr>
          <w:r>
            <w:t xml:space="preserve">Despite the fact that these rebids effectively netted each other out, the price for these services reached $10 770/MW </w:t>
          </w:r>
          <w:r w:rsidR="00DD7079">
            <w:t xml:space="preserve">from </w:t>
          </w:r>
          <w:r w:rsidR="00C73AEA">
            <w:t>12.20 pm</w:t>
          </w:r>
          <w:r w:rsidR="00DD7079">
            <w:t xml:space="preserve"> until 12.45 pm</w:t>
          </w:r>
          <w:r w:rsidR="00C73AEA">
            <w:t xml:space="preserve">. This was because of the different technical </w:t>
          </w:r>
          <w:r w:rsidR="00E964BA">
            <w:t xml:space="preserve">FCAS </w:t>
          </w:r>
          <w:r w:rsidR="00C73AEA">
            <w:t xml:space="preserve">limits of the two generators. Box 3 explains how effective FCAS availability is determined and can change according to the technical limits of the generator. The Quarantine power station was able to provide 2 MW more effective raise and lower services capacity than the Osborne power station. With Osborne offering regulation services instead of Quarantine, only 33 MW of effective regulation services remained, resulting in the need for high price capacity to meet the requirement. </w:t>
          </w:r>
        </w:p>
        <w:p w:rsidR="0053115A" w:rsidRDefault="0040128E" w:rsidP="00221FCE">
          <w:pPr>
            <w:pStyle w:val="AERbody"/>
          </w:pPr>
          <w:r>
            <w:t xml:space="preserve">Quarantine </w:t>
          </w:r>
          <w:r w:rsidR="00BD11E5">
            <w:t>began providing regulation services again at 12.50 pm when its energy output had reached a sufficient level</w:t>
          </w:r>
          <w:r w:rsidR="00DD7079">
            <w:t xml:space="preserve"> (to visualise, imagine somewhere between points </w:t>
          </w:r>
          <w:proofErr w:type="gramStart"/>
          <w:r w:rsidR="00DD7079">
            <w:t>a and</w:t>
          </w:r>
          <w:proofErr w:type="gramEnd"/>
          <w:r w:rsidR="00DD7079">
            <w:t xml:space="preserve"> d in the figure in Box 3)</w:t>
          </w:r>
          <w:r w:rsidR="0053115A">
            <w:t>. The effective availability of regulation capacity priced below $5000/MW increased to 35 MW</w:t>
          </w:r>
          <w:r w:rsidR="00BD11E5">
            <w:t xml:space="preserve">, which saw prices fall to significantly lower levels (as shown in </w:t>
          </w:r>
          <w:r w:rsidR="00DD7079">
            <w:t>Figure 1 and Figure 2)</w:t>
          </w:r>
          <w:r w:rsidR="00BD11E5">
            <w:t xml:space="preserve">. </w:t>
          </w:r>
        </w:p>
        <w:p w:rsidR="00D06269" w:rsidRPr="009D5746" w:rsidRDefault="00F54B00" w:rsidP="00046C8D">
          <w:pPr>
            <w:pStyle w:val="Heading3"/>
          </w:pPr>
          <w:r>
            <w:rPr>
              <w:noProof/>
              <w:lang w:eastAsia="en-AU"/>
            </w:rPr>
            <w:lastRenderedPageBreak/>
            <mc:AlternateContent>
              <mc:Choice Requires="wps">
                <w:drawing>
                  <wp:anchor distT="0" distB="0" distL="114300" distR="114300" simplePos="0" relativeHeight="251665408" behindDoc="0" locked="0" layoutInCell="1" allowOverlap="1" wp14:anchorId="26428754" wp14:editId="614E6852">
                    <wp:simplePos x="0" y="0"/>
                    <wp:positionH relativeFrom="column">
                      <wp:posOffset>-64770</wp:posOffset>
                    </wp:positionH>
                    <wp:positionV relativeFrom="paragraph">
                      <wp:posOffset>-43815</wp:posOffset>
                    </wp:positionV>
                    <wp:extent cx="5718810" cy="6875780"/>
                    <wp:effectExtent l="0" t="0" r="15240" b="2032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875780"/>
                            </a:xfrm>
                            <a:prstGeom prst="rect">
                              <a:avLst/>
                            </a:prstGeom>
                            <a:solidFill>
                              <a:schemeClr val="bg1">
                                <a:lumMod val="95000"/>
                              </a:schemeClr>
                            </a:solidFill>
                            <a:ln w="9525">
                              <a:solidFill>
                                <a:schemeClr val="accent1"/>
                              </a:solidFill>
                              <a:miter lim="800000"/>
                              <a:headEnd/>
                              <a:tailEnd/>
                            </a:ln>
                          </wps:spPr>
                          <wps:txbx>
                            <w:txbxContent>
                              <w:p w:rsidR="00860E94" w:rsidRDefault="00860E94" w:rsidP="00F33BCB">
                                <w:pPr>
                                  <w:pStyle w:val="Caption"/>
                                  <w:rPr>
                                    <w:color w:val="70635A" w:themeColor="text2"/>
                                  </w:rPr>
                                </w:pPr>
                                <w:r w:rsidRPr="00F54B00">
                                  <w:rPr>
                                    <w:color w:val="70635A" w:themeColor="text2"/>
                                  </w:rPr>
                                  <w:t xml:space="preserve">Box </w:t>
                                </w:r>
                                <w:r w:rsidRPr="00F54B00">
                                  <w:rPr>
                                    <w:color w:val="70635A" w:themeColor="text2"/>
                                  </w:rPr>
                                  <w:fldChar w:fldCharType="begin"/>
                                </w:r>
                                <w:r w:rsidRPr="00F54B00">
                                  <w:rPr>
                                    <w:color w:val="70635A" w:themeColor="text2"/>
                                  </w:rPr>
                                  <w:instrText xml:space="preserve"> SEQ Box \* ARABIC </w:instrText>
                                </w:r>
                                <w:r w:rsidRPr="00F54B00">
                                  <w:rPr>
                                    <w:color w:val="70635A" w:themeColor="text2"/>
                                  </w:rPr>
                                  <w:fldChar w:fldCharType="separate"/>
                                </w:r>
                                <w:r w:rsidR="00B24B6B">
                                  <w:rPr>
                                    <w:noProof/>
                                    <w:color w:val="70635A" w:themeColor="text2"/>
                                  </w:rPr>
                                  <w:t>3</w:t>
                                </w:r>
                                <w:r w:rsidRPr="00F54B00">
                                  <w:rPr>
                                    <w:color w:val="70635A" w:themeColor="text2"/>
                                  </w:rPr>
                                  <w:fldChar w:fldCharType="end"/>
                                </w:r>
                                <w:r>
                                  <w:rPr>
                                    <w:color w:val="70635A" w:themeColor="text2"/>
                                  </w:rPr>
                                  <w:t xml:space="preserve">: </w:t>
                                </w:r>
                                <w:r w:rsidR="00B37072">
                                  <w:rPr>
                                    <w:color w:val="70635A" w:themeColor="text2"/>
                                  </w:rPr>
                                  <w:t>Changing ‘technical’ limits and</w:t>
                                </w:r>
                                <w:r>
                                  <w:rPr>
                                    <w:color w:val="70635A" w:themeColor="text2"/>
                                  </w:rPr>
                                  <w:t xml:space="preserve"> effective FCAS availability</w:t>
                                </w:r>
                              </w:p>
                              <w:p w:rsidR="00860E94" w:rsidRDefault="00860E94" w:rsidP="00F33BCB">
                                <w:pPr>
                                  <w:pStyle w:val="AERBody0"/>
                                  <w:rPr>
                                    <w:rStyle w:val="Bold"/>
                                    <w:b w:val="0"/>
                                    <w:bCs w:val="0"/>
                                    <w:color w:val="076A92" w:themeColor="text1"/>
                                    <w:sz w:val="24"/>
                                    <w:szCs w:val="18"/>
                                  </w:rPr>
                                </w:pPr>
                                <w:r>
                                  <w:t xml:space="preserve">Effective FCAS availability is the amount of FCAS a generator can provide taking into account its energy output and the technical limits of the plant at the time. </w:t>
                                </w:r>
                                <w:r>
                                  <w:rPr>
                                    <w:rStyle w:val="Bold"/>
                                    <w:b w:val="0"/>
                                  </w:rPr>
                                  <w:t>In effect, a generator may not be able to provide as much FCAS as submitted in its FCAS offer.</w:t>
                                </w:r>
                              </w:p>
                              <w:p w:rsidR="00860E94" w:rsidRDefault="00860E94" w:rsidP="00F33BCB">
                                <w:pPr>
                                  <w:pStyle w:val="AERbody"/>
                                  <w:rPr>
                                    <w:rStyle w:val="Bold"/>
                                    <w:b w:val="0"/>
                                  </w:rPr>
                                </w:pPr>
                                <w:r>
                                  <w:rPr>
                                    <w:rStyle w:val="Bold"/>
                                    <w:b w:val="0"/>
                                  </w:rPr>
                                  <w:t xml:space="preserve">The </w:t>
                                </w:r>
                                <w:r w:rsidR="00DE377F">
                                  <w:rPr>
                                    <w:rStyle w:val="Bold"/>
                                    <w:b w:val="0"/>
                                  </w:rPr>
                                  <w:t xml:space="preserve">diagram </w:t>
                                </w:r>
                                <w:r>
                                  <w:rPr>
                                    <w:rStyle w:val="Bold"/>
                                    <w:b w:val="0"/>
                                  </w:rPr>
                                  <w:t>below demonstrates how effective availability is determined for a given level of FCAS offered and energy output.</w:t>
                                </w:r>
                                <w:r w:rsidR="00DE377F">
                                  <w:rPr>
                                    <w:rStyle w:val="Bold"/>
                                    <w:b w:val="0"/>
                                  </w:rPr>
                                  <w:t xml:space="preserve"> </w:t>
                                </w:r>
                                <w:r>
                                  <w:rPr>
                                    <w:rStyle w:val="Bold"/>
                                    <w:b w:val="0"/>
                                  </w:rPr>
                                  <w:t xml:space="preserve">The shape of the figure is determined by the limits </w:t>
                                </w:r>
                                <w:r w:rsidR="00DE377F">
                                  <w:rPr>
                                    <w:rStyle w:val="Bold"/>
                                    <w:b w:val="0"/>
                                  </w:rPr>
                                  <w:t xml:space="preserve">offered </w:t>
                                </w:r>
                                <w:r>
                                  <w:rPr>
                                    <w:rStyle w:val="Bold"/>
                                    <w:b w:val="0"/>
                                  </w:rPr>
                                  <w:t xml:space="preserve">by </w:t>
                                </w:r>
                                <w:r w:rsidR="00DE377F">
                                  <w:rPr>
                                    <w:rStyle w:val="Bold"/>
                                    <w:b w:val="0"/>
                                  </w:rPr>
                                  <w:t xml:space="preserve">the </w:t>
                                </w:r>
                                <w:r>
                                  <w:rPr>
                                    <w:rStyle w:val="Bold"/>
                                    <w:b w:val="0"/>
                                  </w:rPr>
                                  <w:t xml:space="preserve">participant </w:t>
                                </w:r>
                                <w:r w:rsidR="00DE377F">
                                  <w:rPr>
                                    <w:rStyle w:val="Bold"/>
                                    <w:b w:val="0"/>
                                  </w:rPr>
                                  <w:t xml:space="preserve">(represented </w:t>
                                </w:r>
                                <w:r>
                                  <w:rPr>
                                    <w:rStyle w:val="Bold"/>
                                    <w:b w:val="0"/>
                                  </w:rPr>
                                  <w:t xml:space="preserve">by a, b, b*, c, d and f in the figure). The </w:t>
                                </w:r>
                                <w:r w:rsidR="00DE377F">
                                  <w:rPr>
                                    <w:rStyle w:val="Bold"/>
                                    <w:b w:val="0"/>
                                  </w:rPr>
                                  <w:t xml:space="preserve">diagram </w:t>
                                </w:r>
                                <w:r>
                                  <w:rPr>
                                    <w:rStyle w:val="Bold"/>
                                    <w:b w:val="0"/>
                                  </w:rPr>
                                  <w:t xml:space="preserve">also shows how its shape, in turn, determines the amount of effective FCAS availability. </w:t>
                                </w:r>
                              </w:p>
                              <w:p w:rsidR="00860E94" w:rsidRPr="00F33BCB" w:rsidRDefault="00860E94" w:rsidP="00F33BCB">
                                <w:pPr>
                                  <w:pStyle w:val="AERbody"/>
                                  <w:rPr>
                                    <w:rStyle w:val="Bold"/>
                                  </w:rPr>
                                </w:pPr>
                                <w:r>
                                  <w:rPr>
                                    <w:rStyle w:val="Bold"/>
                                    <w:b w:val="0"/>
                                  </w:rPr>
                                  <w:t>For a given level of energy output (E), the amount of effective FCAS a generator (generator 1, say) can provide is F</w:t>
                                </w:r>
                                <w:r>
                                  <w:rPr>
                                    <w:rStyle w:val="Bold"/>
                                    <w:b w:val="0"/>
                                    <w:vertAlign w:val="subscript"/>
                                  </w:rPr>
                                  <w:t>G1</w:t>
                                </w:r>
                                <w:r>
                                  <w:rPr>
                                    <w:rStyle w:val="Bold"/>
                                    <w:b w:val="0"/>
                                  </w:rPr>
                                  <w:t xml:space="preserve">. The figure shows how, for the same energy output, the level of effective FCAS availability can vary. Let’s say </w:t>
                                </w:r>
                                <w:r w:rsidR="00B37072">
                                  <w:rPr>
                                    <w:rStyle w:val="Bold"/>
                                    <w:b w:val="0"/>
                                  </w:rPr>
                                  <w:t xml:space="preserve">generator 1 trips and is replaced by </w:t>
                                </w:r>
                                <w:r>
                                  <w:rPr>
                                    <w:rStyle w:val="Bold"/>
                                    <w:b w:val="0"/>
                                  </w:rPr>
                                  <w:t xml:space="preserve">another generator, generator 2, </w:t>
                                </w:r>
                                <w:r w:rsidR="00B37072">
                                  <w:rPr>
                                    <w:rStyle w:val="Bold"/>
                                    <w:b w:val="0"/>
                                  </w:rPr>
                                  <w:t xml:space="preserve">which </w:t>
                                </w:r>
                                <w:r>
                                  <w:rPr>
                                    <w:rStyle w:val="Bold"/>
                                    <w:b w:val="0"/>
                                  </w:rPr>
                                  <w:t>has slightly different technical limits to generator 1</w:t>
                                </w:r>
                                <w:r w:rsidR="00DE377F">
                                  <w:rPr>
                                    <w:rStyle w:val="Bold"/>
                                    <w:b w:val="0"/>
                                  </w:rPr>
                                  <w:t xml:space="preserve"> (b to b*).</w:t>
                                </w:r>
                                <w:r>
                                  <w:rPr>
                                    <w:rStyle w:val="Bold"/>
                                    <w:b w:val="0"/>
                                  </w:rPr>
                                  <w:t xml:space="preserve"> </w:t>
                                </w:r>
                                <w:r w:rsidR="00DE377F">
                                  <w:rPr>
                                    <w:rStyle w:val="Bold"/>
                                    <w:b w:val="0"/>
                                  </w:rPr>
                                  <w:t>This changes the s</w:t>
                                </w:r>
                                <w:r>
                                  <w:rPr>
                                    <w:rStyle w:val="Bold"/>
                                    <w:b w:val="0"/>
                                  </w:rPr>
                                  <w:t xml:space="preserve">lope of the line </w:t>
                                </w:r>
                                <w:proofErr w:type="spellStart"/>
                                <w:r>
                                  <w:rPr>
                                    <w:rStyle w:val="Bold"/>
                                    <w:b w:val="0"/>
                                  </w:rPr>
                                  <w:t>ab</w:t>
                                </w:r>
                                <w:proofErr w:type="spellEnd"/>
                                <w:r>
                                  <w:rPr>
                                    <w:rStyle w:val="Bold"/>
                                    <w:b w:val="0"/>
                                  </w:rPr>
                                  <w:t xml:space="preserve">` to </w:t>
                                </w:r>
                                <w:proofErr w:type="spellStart"/>
                                <w:r>
                                  <w:rPr>
                                    <w:rStyle w:val="Bold"/>
                                    <w:b w:val="0"/>
                                  </w:rPr>
                                  <w:t>ab</w:t>
                                </w:r>
                                <w:proofErr w:type="spellEnd"/>
                                <w:r>
                                  <w:rPr>
                                    <w:rStyle w:val="Bold"/>
                                    <w:b w:val="0"/>
                                  </w:rPr>
                                  <w:t>*`. For the same energy output, E, the amount of effective FCAS availability falls to</w:t>
                                </w:r>
                                <w:r w:rsidRPr="00F33BCB">
                                  <w:rPr>
                                    <w:rStyle w:val="Bold"/>
                                    <w:b w:val="0"/>
                                  </w:rPr>
                                  <w:t xml:space="preserve"> </w:t>
                                </w:r>
                                <w:r>
                                  <w:rPr>
                                    <w:rStyle w:val="Bold"/>
                                    <w:b w:val="0"/>
                                  </w:rPr>
                                  <w:t>F</w:t>
                                </w:r>
                                <w:r>
                                  <w:rPr>
                                    <w:rStyle w:val="Bold"/>
                                    <w:b w:val="0"/>
                                    <w:vertAlign w:val="subscript"/>
                                  </w:rPr>
                                  <w:t>G2</w:t>
                                </w:r>
                                <w:r>
                                  <w:rPr>
                                    <w:rStyle w:val="Bold"/>
                                    <w:b w:val="0"/>
                                  </w:rPr>
                                  <w:t>.</w:t>
                                </w:r>
                              </w:p>
                              <w:p w:rsidR="00860E94" w:rsidRDefault="00860E94" w:rsidP="00F54B00">
                                <w:pPr>
                                  <w:pStyle w:val="AERBody0"/>
                                </w:pPr>
                                <w:r w:rsidRPr="00523159">
                                  <w:rPr>
                                    <w:noProof/>
                                    <w:lang w:eastAsia="en-AU"/>
                                  </w:rPr>
                                  <w:drawing>
                                    <wp:inline distT="0" distB="0" distL="0" distR="0" wp14:anchorId="78C414C7" wp14:editId="155E13A7">
                                      <wp:extent cx="5527040" cy="3091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7040" cy="30919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1pt;margin-top:-3.45pt;width:450.3pt;height:5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" fillcolor="#f2f2f2 [3052]" strokecolor="#2f002f [3204]">
                    <v:textbox>
                      <w:txbxContent>
                        <w:p w:rsidR="00860E94" w:rsidRDefault="00860E94" w:rsidP="00F33BCB">
                          <w:pPr>
                            <w:pStyle w:val="Caption"/>
                            <w:rPr>
                              <w:color w:val="70635A" w:themeColor="text2"/>
                            </w:rPr>
                          </w:pPr>
                          <w:r w:rsidRPr="00F54B00">
                            <w:rPr>
                              <w:color w:val="70635A" w:themeColor="text2"/>
                            </w:rPr>
                            <w:t xml:space="preserve">Box </w:t>
                          </w:r>
                          <w:r w:rsidRPr="00F54B00">
                            <w:rPr>
                              <w:color w:val="70635A" w:themeColor="text2"/>
                            </w:rPr>
                            <w:fldChar w:fldCharType="begin"/>
                          </w:r>
                          <w:r w:rsidRPr="00F54B00">
                            <w:rPr>
                              <w:color w:val="70635A" w:themeColor="text2"/>
                            </w:rPr>
                            <w:instrText xml:space="preserve"> SEQ Box \* ARABIC </w:instrText>
                          </w:r>
                          <w:r w:rsidRPr="00F54B00">
                            <w:rPr>
                              <w:color w:val="70635A" w:themeColor="text2"/>
                            </w:rPr>
                            <w:fldChar w:fldCharType="separate"/>
                          </w:r>
                          <w:r w:rsidR="00B24B6B">
                            <w:rPr>
                              <w:noProof/>
                              <w:color w:val="70635A" w:themeColor="text2"/>
                            </w:rPr>
                            <w:t>3</w:t>
                          </w:r>
                          <w:r w:rsidRPr="00F54B00">
                            <w:rPr>
                              <w:color w:val="70635A" w:themeColor="text2"/>
                            </w:rPr>
                            <w:fldChar w:fldCharType="end"/>
                          </w:r>
                          <w:r>
                            <w:rPr>
                              <w:color w:val="70635A" w:themeColor="text2"/>
                            </w:rPr>
                            <w:t xml:space="preserve">: </w:t>
                          </w:r>
                          <w:r w:rsidR="00B37072">
                            <w:rPr>
                              <w:color w:val="70635A" w:themeColor="text2"/>
                            </w:rPr>
                            <w:t>Changing ‘technical’ limits and</w:t>
                          </w:r>
                          <w:r>
                            <w:rPr>
                              <w:color w:val="70635A" w:themeColor="text2"/>
                            </w:rPr>
                            <w:t xml:space="preserve"> effective FCAS availability</w:t>
                          </w:r>
                        </w:p>
                        <w:p w:rsidR="00860E94" w:rsidRDefault="00860E94" w:rsidP="00F33BCB">
                          <w:pPr>
                            <w:pStyle w:val="AERBody0"/>
                            <w:rPr>
                              <w:rStyle w:val="Bold"/>
                              <w:b w:val="0"/>
                              <w:bCs w:val="0"/>
                              <w:color w:val="076A92" w:themeColor="text1"/>
                              <w:sz w:val="24"/>
                              <w:szCs w:val="18"/>
                            </w:rPr>
                          </w:pPr>
                          <w:r>
                            <w:t xml:space="preserve">Effective FCAS availability is the amount of FCAS a generator can provide taking into account its energy output and the technical limits of the plant at the time. </w:t>
                          </w:r>
                          <w:r>
                            <w:rPr>
                              <w:rStyle w:val="Bold"/>
                              <w:b w:val="0"/>
                            </w:rPr>
                            <w:t>In effect, a generator may not be able to provide as much FCAS as submitted in its FCAS offer.</w:t>
                          </w:r>
                        </w:p>
                        <w:p w:rsidR="00860E94" w:rsidRDefault="00860E94" w:rsidP="00F33BCB">
                          <w:pPr>
                            <w:pStyle w:val="AERbody"/>
                            <w:rPr>
                              <w:rStyle w:val="Bold"/>
                              <w:b w:val="0"/>
                            </w:rPr>
                          </w:pPr>
                          <w:r>
                            <w:rPr>
                              <w:rStyle w:val="Bold"/>
                              <w:b w:val="0"/>
                            </w:rPr>
                            <w:t xml:space="preserve">The </w:t>
                          </w:r>
                          <w:r w:rsidR="00DE377F">
                            <w:rPr>
                              <w:rStyle w:val="Bold"/>
                              <w:b w:val="0"/>
                            </w:rPr>
                            <w:t xml:space="preserve">diagram </w:t>
                          </w:r>
                          <w:r>
                            <w:rPr>
                              <w:rStyle w:val="Bold"/>
                              <w:b w:val="0"/>
                            </w:rPr>
                            <w:t>below demonstrates how effective availability is determined for a given level of FCAS offered and energy output.</w:t>
                          </w:r>
                          <w:r w:rsidR="00DE377F">
                            <w:rPr>
                              <w:rStyle w:val="Bold"/>
                              <w:b w:val="0"/>
                            </w:rPr>
                            <w:t xml:space="preserve"> </w:t>
                          </w:r>
                          <w:r>
                            <w:rPr>
                              <w:rStyle w:val="Bold"/>
                              <w:b w:val="0"/>
                            </w:rPr>
                            <w:t xml:space="preserve">The shape of the figure is determined by the limits </w:t>
                          </w:r>
                          <w:r w:rsidR="00DE377F">
                            <w:rPr>
                              <w:rStyle w:val="Bold"/>
                              <w:b w:val="0"/>
                            </w:rPr>
                            <w:t xml:space="preserve">offered </w:t>
                          </w:r>
                          <w:r>
                            <w:rPr>
                              <w:rStyle w:val="Bold"/>
                              <w:b w:val="0"/>
                            </w:rPr>
                            <w:t xml:space="preserve">by </w:t>
                          </w:r>
                          <w:r w:rsidR="00DE377F">
                            <w:rPr>
                              <w:rStyle w:val="Bold"/>
                              <w:b w:val="0"/>
                            </w:rPr>
                            <w:t xml:space="preserve">the </w:t>
                          </w:r>
                          <w:r>
                            <w:rPr>
                              <w:rStyle w:val="Bold"/>
                              <w:b w:val="0"/>
                            </w:rPr>
                            <w:t xml:space="preserve">participant </w:t>
                          </w:r>
                          <w:r w:rsidR="00DE377F">
                            <w:rPr>
                              <w:rStyle w:val="Bold"/>
                              <w:b w:val="0"/>
                            </w:rPr>
                            <w:t xml:space="preserve">(represented </w:t>
                          </w:r>
                          <w:r>
                            <w:rPr>
                              <w:rStyle w:val="Bold"/>
                              <w:b w:val="0"/>
                            </w:rPr>
                            <w:t xml:space="preserve">by a, b, b*, c, d and f in the figure). The </w:t>
                          </w:r>
                          <w:r w:rsidR="00DE377F">
                            <w:rPr>
                              <w:rStyle w:val="Bold"/>
                              <w:b w:val="0"/>
                            </w:rPr>
                            <w:t xml:space="preserve">diagram </w:t>
                          </w:r>
                          <w:r>
                            <w:rPr>
                              <w:rStyle w:val="Bold"/>
                              <w:b w:val="0"/>
                            </w:rPr>
                            <w:t xml:space="preserve">also shows how its shape, in turn, determines the amount of effective FCAS availability. </w:t>
                          </w:r>
                        </w:p>
                        <w:p w:rsidR="00860E94" w:rsidRPr="00F33BCB" w:rsidRDefault="00860E94" w:rsidP="00F33BCB">
                          <w:pPr>
                            <w:pStyle w:val="AERbody"/>
                            <w:rPr>
                              <w:rStyle w:val="Bold"/>
                            </w:rPr>
                          </w:pPr>
                          <w:r>
                            <w:rPr>
                              <w:rStyle w:val="Bold"/>
                              <w:b w:val="0"/>
                            </w:rPr>
                            <w:t>For a given level of energy output (E), the amount of effective FCAS a generator (generator 1, say) can provide is F</w:t>
                          </w:r>
                          <w:r>
                            <w:rPr>
                              <w:rStyle w:val="Bold"/>
                              <w:b w:val="0"/>
                              <w:vertAlign w:val="subscript"/>
                            </w:rPr>
                            <w:t>G1</w:t>
                          </w:r>
                          <w:r>
                            <w:rPr>
                              <w:rStyle w:val="Bold"/>
                              <w:b w:val="0"/>
                            </w:rPr>
                            <w:t xml:space="preserve">. The figure shows how, for the same energy output, the level of effective FCAS availability can vary. Let’s say </w:t>
                          </w:r>
                          <w:r w:rsidR="00B37072">
                            <w:rPr>
                              <w:rStyle w:val="Bold"/>
                              <w:b w:val="0"/>
                            </w:rPr>
                            <w:t xml:space="preserve">generator 1 trips and is replaced by </w:t>
                          </w:r>
                          <w:r>
                            <w:rPr>
                              <w:rStyle w:val="Bold"/>
                              <w:b w:val="0"/>
                            </w:rPr>
                            <w:t xml:space="preserve">another generator, generator 2, </w:t>
                          </w:r>
                          <w:r w:rsidR="00B37072">
                            <w:rPr>
                              <w:rStyle w:val="Bold"/>
                              <w:b w:val="0"/>
                            </w:rPr>
                            <w:t xml:space="preserve">which </w:t>
                          </w:r>
                          <w:r>
                            <w:rPr>
                              <w:rStyle w:val="Bold"/>
                              <w:b w:val="0"/>
                            </w:rPr>
                            <w:t>has slightly different technical limits to generator 1</w:t>
                          </w:r>
                          <w:r w:rsidR="00DE377F">
                            <w:rPr>
                              <w:rStyle w:val="Bold"/>
                              <w:b w:val="0"/>
                            </w:rPr>
                            <w:t xml:space="preserve"> (b to b*).</w:t>
                          </w:r>
                          <w:r>
                            <w:rPr>
                              <w:rStyle w:val="Bold"/>
                              <w:b w:val="0"/>
                            </w:rPr>
                            <w:t xml:space="preserve"> </w:t>
                          </w:r>
                          <w:r w:rsidR="00DE377F">
                            <w:rPr>
                              <w:rStyle w:val="Bold"/>
                              <w:b w:val="0"/>
                            </w:rPr>
                            <w:t>This changes the s</w:t>
                          </w:r>
                          <w:r>
                            <w:rPr>
                              <w:rStyle w:val="Bold"/>
                              <w:b w:val="0"/>
                            </w:rPr>
                            <w:t xml:space="preserve">lope of the line </w:t>
                          </w:r>
                          <w:proofErr w:type="spellStart"/>
                          <w:r>
                            <w:rPr>
                              <w:rStyle w:val="Bold"/>
                              <w:b w:val="0"/>
                            </w:rPr>
                            <w:t>ab</w:t>
                          </w:r>
                          <w:proofErr w:type="spellEnd"/>
                          <w:r>
                            <w:rPr>
                              <w:rStyle w:val="Bold"/>
                              <w:b w:val="0"/>
                            </w:rPr>
                            <w:t xml:space="preserve">` to </w:t>
                          </w:r>
                          <w:proofErr w:type="spellStart"/>
                          <w:r>
                            <w:rPr>
                              <w:rStyle w:val="Bold"/>
                              <w:b w:val="0"/>
                            </w:rPr>
                            <w:t>ab</w:t>
                          </w:r>
                          <w:proofErr w:type="spellEnd"/>
                          <w:r>
                            <w:rPr>
                              <w:rStyle w:val="Bold"/>
                              <w:b w:val="0"/>
                            </w:rPr>
                            <w:t>*`. For the same energy output, E, the amount of effective FCAS availability falls to</w:t>
                          </w:r>
                          <w:r w:rsidRPr="00F33BCB">
                            <w:rPr>
                              <w:rStyle w:val="Bold"/>
                              <w:b w:val="0"/>
                            </w:rPr>
                            <w:t xml:space="preserve"> </w:t>
                          </w:r>
                          <w:r>
                            <w:rPr>
                              <w:rStyle w:val="Bold"/>
                              <w:b w:val="0"/>
                            </w:rPr>
                            <w:t>F</w:t>
                          </w:r>
                          <w:r>
                            <w:rPr>
                              <w:rStyle w:val="Bold"/>
                              <w:b w:val="0"/>
                              <w:vertAlign w:val="subscript"/>
                            </w:rPr>
                            <w:t>G2</w:t>
                          </w:r>
                          <w:r>
                            <w:rPr>
                              <w:rStyle w:val="Bold"/>
                              <w:b w:val="0"/>
                            </w:rPr>
                            <w:t>.</w:t>
                          </w:r>
                        </w:p>
                        <w:p w:rsidR="00860E94" w:rsidRDefault="00860E94" w:rsidP="00F54B00">
                          <w:pPr>
                            <w:pStyle w:val="AERBody0"/>
                          </w:pPr>
                          <w:r w:rsidRPr="00523159">
                            <w:rPr>
                              <w:noProof/>
                              <w:lang w:eastAsia="en-AU"/>
                            </w:rPr>
                            <w:drawing>
                              <wp:inline distT="0" distB="0" distL="0" distR="0" wp14:anchorId="78C414C7" wp14:editId="155E13A7">
                                <wp:extent cx="5527040" cy="3091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7040" cy="3091904"/>
                                        </a:xfrm>
                                        <a:prstGeom prst="rect">
                                          <a:avLst/>
                                        </a:prstGeom>
                                        <a:noFill/>
                                        <a:ln>
                                          <a:noFill/>
                                        </a:ln>
                                      </pic:spPr>
                                    </pic:pic>
                                  </a:graphicData>
                                </a:graphic>
                              </wp:inline>
                            </w:drawing>
                          </w:r>
                        </w:p>
                      </w:txbxContent>
                    </v:textbox>
                    <w10:wrap type="topAndBottom"/>
                  </v:shape>
                </w:pict>
              </mc:Fallback>
            </mc:AlternateContent>
          </w:r>
          <w:bookmarkStart w:id="16" w:name="_Toc489945990"/>
          <w:bookmarkEnd w:id="13"/>
          <w:bookmarkEnd w:id="14"/>
          <w:r w:rsidR="00D06269">
            <w:t>Price</w:t>
          </w:r>
          <w:bookmarkEnd w:id="16"/>
          <w:r w:rsidR="004B2310">
            <w:t xml:space="preserve"> outcomes</w:t>
          </w:r>
        </w:p>
        <w:p w:rsidR="0040128E" w:rsidRDefault="00936D6A" w:rsidP="003E0E48">
          <w:pPr>
            <w:pStyle w:val="AERbody"/>
          </w:pPr>
          <w:r w:rsidRPr="00961F65">
            <w:rPr>
              <w:rStyle w:val="Bold"/>
              <w:b w:val="0"/>
            </w:rPr>
            <w:fldChar w:fldCharType="begin"/>
          </w:r>
          <w:r w:rsidRPr="00961F65">
            <w:rPr>
              <w:rStyle w:val="Bold"/>
              <w:b w:val="0"/>
            </w:rPr>
            <w:instrText xml:space="preserve"> REF _Ref482367060 \h </w:instrText>
          </w:r>
          <w:r w:rsidR="008A556A" w:rsidRPr="00961F65">
            <w:rPr>
              <w:rStyle w:val="Bold"/>
              <w:b w:val="0"/>
            </w:rPr>
            <w:instrText xml:space="preserve"> \* MERGEFORMAT </w:instrText>
          </w:r>
          <w:r w:rsidRPr="00961F65">
            <w:rPr>
              <w:rStyle w:val="Bold"/>
              <w:b w:val="0"/>
            </w:rPr>
          </w:r>
          <w:r w:rsidRPr="00961F65">
            <w:rPr>
              <w:rStyle w:val="Bold"/>
              <w:b w:val="0"/>
            </w:rPr>
            <w:fldChar w:fldCharType="separate"/>
          </w:r>
          <w:r w:rsidR="00B24B6B">
            <w:t xml:space="preserve">Figure </w:t>
          </w:r>
          <w:r w:rsidR="00B24B6B">
            <w:rPr>
              <w:noProof/>
            </w:rPr>
            <w:t>1</w:t>
          </w:r>
          <w:r w:rsidRPr="00961F65">
            <w:rPr>
              <w:rStyle w:val="Bold"/>
              <w:b w:val="0"/>
            </w:rPr>
            <w:fldChar w:fldCharType="end"/>
          </w:r>
          <w:r w:rsidRPr="00961F65">
            <w:t xml:space="preserve"> and </w:t>
          </w:r>
          <w:r w:rsidRPr="00961F65">
            <w:fldChar w:fldCharType="begin"/>
          </w:r>
          <w:r w:rsidRPr="00961F65">
            <w:instrText xml:space="preserve"> REF _Ref482367071 \h </w:instrText>
          </w:r>
          <w:r w:rsidR="008A556A" w:rsidRPr="00961F65">
            <w:instrText xml:space="preserve"> \* MERGEFORMAT </w:instrText>
          </w:r>
          <w:r w:rsidRPr="00961F65">
            <w:fldChar w:fldCharType="separate"/>
          </w:r>
          <w:r w:rsidR="00B24B6B">
            <w:t xml:space="preserve">Figure </w:t>
          </w:r>
          <w:r w:rsidR="00B24B6B">
            <w:rPr>
              <w:noProof/>
            </w:rPr>
            <w:t>2</w:t>
          </w:r>
          <w:r w:rsidRPr="00961F65">
            <w:fldChar w:fldCharType="end"/>
          </w:r>
          <w:r w:rsidRPr="00961F65">
            <w:t xml:space="preserve"> </w:t>
          </w:r>
          <w:r w:rsidR="00540A1E" w:rsidRPr="00961F65">
            <w:t>show actual price (purple line)</w:t>
          </w:r>
          <w:r w:rsidR="00540A1E" w:rsidRPr="00961F65">
            <w:rPr>
              <w:rStyle w:val="FootnoteReference"/>
            </w:rPr>
            <w:footnoteReference w:id="1"/>
          </w:r>
          <w:r w:rsidR="00540A1E" w:rsidRPr="00961F65">
            <w:t xml:space="preserve"> and effective available capacity over the high price period. The (constant) 35 MW requirement is shown as a red line. The blue shaded areas indicate effective available capacity below $5000/MW</w:t>
          </w:r>
          <w:r w:rsidR="0040128E">
            <w:t>,</w:t>
          </w:r>
          <w:r w:rsidR="00540A1E" w:rsidRPr="00961F65">
            <w:t xml:space="preserve"> </w:t>
          </w:r>
          <w:r w:rsidR="0040128E">
            <w:t xml:space="preserve">while </w:t>
          </w:r>
          <w:r w:rsidR="00540A1E" w:rsidRPr="00961F65">
            <w:t xml:space="preserve">effective available capacity above $5000/MW is </w:t>
          </w:r>
          <w:r w:rsidR="0040128E">
            <w:t>shaded</w:t>
          </w:r>
          <w:r w:rsidR="00540A1E" w:rsidRPr="00961F65">
            <w:t xml:space="preserve"> light orange. </w:t>
          </w:r>
        </w:p>
        <w:p w:rsidR="003E0E48" w:rsidRDefault="003E0E48" w:rsidP="003E0E48">
          <w:pPr>
            <w:pStyle w:val="AERbody"/>
            <w:rPr>
              <w:rStyle w:val="Bold"/>
              <w:b w:val="0"/>
            </w:rPr>
          </w:pPr>
          <w:r w:rsidRPr="00961F65">
            <w:rPr>
              <w:rStyle w:val="Bold"/>
              <w:b w:val="0"/>
            </w:rPr>
            <w:lastRenderedPageBreak/>
            <w:t>The inset graph</w:t>
          </w:r>
          <w:r w:rsidR="00564100" w:rsidRPr="00961F65">
            <w:rPr>
              <w:rStyle w:val="Bold"/>
              <w:b w:val="0"/>
            </w:rPr>
            <w:t>s</w:t>
          </w:r>
          <w:r w:rsidRPr="00961F65">
            <w:rPr>
              <w:rStyle w:val="Bold"/>
              <w:b w:val="0"/>
            </w:rPr>
            <w:t xml:space="preserve"> </w:t>
          </w:r>
          <w:r w:rsidR="0040128E">
            <w:rPr>
              <w:rStyle w:val="Bold"/>
              <w:b w:val="0"/>
            </w:rPr>
            <w:t>are designed to show the reduction</w:t>
          </w:r>
          <w:r w:rsidRPr="00961F65">
            <w:rPr>
              <w:rStyle w:val="Bold"/>
              <w:b w:val="0"/>
            </w:rPr>
            <w:t xml:space="preserve"> in low priced </w:t>
          </w:r>
          <w:r w:rsidR="00DD7079">
            <w:rPr>
              <w:rStyle w:val="Bold"/>
              <w:b w:val="0"/>
            </w:rPr>
            <w:t xml:space="preserve">effective </w:t>
          </w:r>
          <w:r w:rsidRPr="00961F65">
            <w:rPr>
              <w:rStyle w:val="Bold"/>
              <w:b w:val="0"/>
            </w:rPr>
            <w:t xml:space="preserve">capacity from </w:t>
          </w:r>
          <w:r w:rsidR="00292A25" w:rsidRPr="00961F65">
            <w:rPr>
              <w:rStyle w:val="Bold"/>
              <w:b w:val="0"/>
            </w:rPr>
            <w:t>1</w:t>
          </w:r>
          <w:r w:rsidR="00961F65" w:rsidRPr="00961F65">
            <w:rPr>
              <w:rStyle w:val="Bold"/>
              <w:b w:val="0"/>
            </w:rPr>
            <w:t>2</w:t>
          </w:r>
          <w:r w:rsidRPr="00961F65">
            <w:rPr>
              <w:rStyle w:val="Bold"/>
              <w:b w:val="0"/>
            </w:rPr>
            <w:t>.</w:t>
          </w:r>
          <w:r w:rsidR="00961F65" w:rsidRPr="00961F65">
            <w:rPr>
              <w:rStyle w:val="Bold"/>
              <w:b w:val="0"/>
            </w:rPr>
            <w:t>20</w:t>
          </w:r>
          <w:r w:rsidRPr="00961F65">
            <w:rPr>
              <w:rStyle w:val="Bold"/>
              <w:b w:val="0"/>
            </w:rPr>
            <w:t> </w:t>
          </w:r>
          <w:r w:rsidR="00961F65" w:rsidRPr="00961F65">
            <w:rPr>
              <w:rStyle w:val="Bold"/>
              <w:b w:val="0"/>
            </w:rPr>
            <w:t>p</w:t>
          </w:r>
          <w:r w:rsidRPr="00961F65">
            <w:rPr>
              <w:rStyle w:val="Bold"/>
              <w:b w:val="0"/>
            </w:rPr>
            <w:t>m</w:t>
          </w:r>
          <w:r w:rsidR="0040128E">
            <w:rPr>
              <w:rStyle w:val="Bold"/>
              <w:b w:val="0"/>
            </w:rPr>
            <w:t>. The inset graphs clearly show the red line just inside the orange shaded area, meaning that some high priced capacity was needed to meet the requirement. As a result,</w:t>
          </w:r>
          <w:r w:rsidRPr="00961F65">
            <w:rPr>
              <w:rStyle w:val="Bold"/>
              <w:b w:val="0"/>
            </w:rPr>
            <w:t xml:space="preserve"> price</w:t>
          </w:r>
          <w:r w:rsidR="0040128E">
            <w:rPr>
              <w:rStyle w:val="Bold"/>
              <w:b w:val="0"/>
            </w:rPr>
            <w:t>s</w:t>
          </w:r>
          <w:r w:rsidRPr="00961F65">
            <w:rPr>
              <w:rStyle w:val="Bold"/>
              <w:b w:val="0"/>
            </w:rPr>
            <w:t xml:space="preserve"> </w:t>
          </w:r>
          <w:r w:rsidR="0040128E">
            <w:rPr>
              <w:rStyle w:val="Bold"/>
              <w:b w:val="0"/>
            </w:rPr>
            <w:t xml:space="preserve">for regulation services </w:t>
          </w:r>
          <w:r w:rsidRPr="00961F65">
            <w:rPr>
              <w:rStyle w:val="Bold"/>
              <w:b w:val="0"/>
            </w:rPr>
            <w:t>increas</w:t>
          </w:r>
          <w:r w:rsidR="0040128E">
            <w:rPr>
              <w:rStyle w:val="Bold"/>
              <w:b w:val="0"/>
            </w:rPr>
            <w:t>ed</w:t>
          </w:r>
          <w:r w:rsidRPr="00961F65">
            <w:rPr>
              <w:rStyle w:val="Bold"/>
              <w:b w:val="0"/>
            </w:rPr>
            <w:t xml:space="preserve"> from </w:t>
          </w:r>
          <w:r w:rsidR="008651C6">
            <w:rPr>
              <w:rStyle w:val="Bold"/>
              <w:b w:val="0"/>
            </w:rPr>
            <w:t>relatively low levels</w:t>
          </w:r>
          <w:r w:rsidRPr="00961F65">
            <w:rPr>
              <w:rStyle w:val="Bold"/>
              <w:b w:val="0"/>
            </w:rPr>
            <w:t xml:space="preserve"> to</w:t>
          </w:r>
          <w:r w:rsidR="00961F65" w:rsidRPr="00961F65">
            <w:rPr>
              <w:rStyle w:val="Bold"/>
              <w:b w:val="0"/>
            </w:rPr>
            <w:t xml:space="preserve"> around</w:t>
          </w:r>
          <w:r w:rsidRPr="00961F65">
            <w:rPr>
              <w:rStyle w:val="Bold"/>
              <w:b w:val="0"/>
            </w:rPr>
            <w:t xml:space="preserve"> </w:t>
          </w:r>
          <w:r w:rsidR="00564100" w:rsidRPr="00961F65">
            <w:rPr>
              <w:rStyle w:val="Bold"/>
              <w:b w:val="0"/>
            </w:rPr>
            <w:t>$</w:t>
          </w:r>
          <w:r w:rsidR="00912D36" w:rsidRPr="00961F65">
            <w:rPr>
              <w:rStyle w:val="Bold"/>
              <w:b w:val="0"/>
            </w:rPr>
            <w:t>1</w:t>
          </w:r>
          <w:r w:rsidR="00961F65" w:rsidRPr="00961F65">
            <w:rPr>
              <w:rStyle w:val="Bold"/>
              <w:b w:val="0"/>
            </w:rPr>
            <w:t>0 77</w:t>
          </w:r>
          <w:r w:rsidRPr="00961F65">
            <w:rPr>
              <w:rStyle w:val="Bold"/>
              <w:b w:val="0"/>
            </w:rPr>
            <w:t>0/MW</w:t>
          </w:r>
          <w:r w:rsidR="00564100" w:rsidRPr="00961F65">
            <w:rPr>
              <w:rStyle w:val="Bold"/>
              <w:b w:val="0"/>
            </w:rPr>
            <w:t xml:space="preserve"> </w:t>
          </w:r>
          <w:r w:rsidR="00961F65" w:rsidRPr="00961F65">
            <w:rPr>
              <w:rStyle w:val="Bold"/>
              <w:b w:val="0"/>
            </w:rPr>
            <w:t>in both services</w:t>
          </w:r>
          <w:r w:rsidR="00EE718B">
            <w:rPr>
              <w:rStyle w:val="Bold"/>
              <w:b w:val="0"/>
            </w:rPr>
            <w:t xml:space="preserve"> at 12.20 pm</w:t>
          </w:r>
          <w:r w:rsidR="00564100" w:rsidRPr="00961F65">
            <w:rPr>
              <w:rStyle w:val="Bold"/>
              <w:b w:val="0"/>
            </w:rPr>
            <w:t>.</w:t>
          </w:r>
          <w:r w:rsidR="007409BD">
            <w:rPr>
              <w:rStyle w:val="Bold"/>
              <w:b w:val="0"/>
            </w:rPr>
            <w:t xml:space="preserve"> </w:t>
          </w:r>
          <w:r w:rsidR="0040128E">
            <w:rPr>
              <w:rStyle w:val="Bold"/>
              <w:b w:val="0"/>
            </w:rPr>
            <w:t>The wholesale (or spot) price for electricity was around $60/MWh during this time.</w:t>
          </w:r>
        </w:p>
        <w:p w:rsidR="00540A1E" w:rsidRDefault="00540A1E" w:rsidP="00540A1E">
          <w:pPr>
            <w:pStyle w:val="Caption"/>
            <w:jc w:val="both"/>
          </w:pPr>
          <w:bookmarkStart w:id="17" w:name="_Ref482367060"/>
          <w:r>
            <w:t xml:space="preserve">Figure </w:t>
          </w:r>
          <w:fldSimple w:instr=" SEQ Figure \* ARABIC ">
            <w:r w:rsidR="00B24B6B">
              <w:rPr>
                <w:noProof/>
              </w:rPr>
              <w:t>1</w:t>
            </w:r>
          </w:fldSimple>
          <w:bookmarkEnd w:id="17"/>
          <w:r>
            <w:t xml:space="preserve"> L</w:t>
          </w:r>
          <w:r w:rsidRPr="00B23949">
            <w:t>ow</w:t>
          </w:r>
          <w:r>
            <w:t>er</w:t>
          </w:r>
          <w:r w:rsidRPr="00B23949">
            <w:t xml:space="preserve"> regulation </w:t>
          </w:r>
          <w:r>
            <w:t>effective offers, requirement and price</w:t>
          </w:r>
        </w:p>
        <w:p w:rsidR="00540A1E" w:rsidRPr="00CE4B44" w:rsidRDefault="00422B77" w:rsidP="00540A1E">
          <w:r w:rsidRPr="00422B77">
            <w:rPr>
              <w:noProof/>
              <w:lang w:eastAsia="en-AU"/>
            </w:rPr>
            <w:drawing>
              <wp:inline distT="0" distB="0" distL="0" distR="0" wp14:anchorId="5FF02730" wp14:editId="1B1C5201">
                <wp:extent cx="5378902" cy="27651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767199"/>
                        </a:xfrm>
                        <a:prstGeom prst="rect">
                          <a:avLst/>
                        </a:prstGeom>
                        <a:noFill/>
                        <a:ln>
                          <a:noFill/>
                        </a:ln>
                      </pic:spPr>
                    </pic:pic>
                  </a:graphicData>
                </a:graphic>
              </wp:inline>
            </w:drawing>
          </w:r>
        </w:p>
        <w:p w:rsidR="00540A1E" w:rsidRDefault="00540A1E" w:rsidP="00540A1E">
          <w:pPr>
            <w:pStyle w:val="Caption"/>
            <w:jc w:val="both"/>
          </w:pPr>
          <w:bookmarkStart w:id="18" w:name="_Ref482367071"/>
          <w:r>
            <w:t xml:space="preserve">Figure </w:t>
          </w:r>
          <w:fldSimple w:instr=" SEQ Figure \* ARABIC ">
            <w:r w:rsidR="00B24B6B">
              <w:rPr>
                <w:noProof/>
              </w:rPr>
              <w:t>2</w:t>
            </w:r>
          </w:fldSimple>
          <w:bookmarkEnd w:id="18"/>
          <w:r>
            <w:t xml:space="preserve"> Raise</w:t>
          </w:r>
          <w:r w:rsidRPr="00B23949">
            <w:t xml:space="preserve"> </w:t>
          </w:r>
          <w:r>
            <w:t>r</w:t>
          </w:r>
          <w:r w:rsidRPr="00B23949">
            <w:t xml:space="preserve">egulation </w:t>
          </w:r>
          <w:r>
            <w:t>effective offers, requirement and price</w:t>
          </w:r>
        </w:p>
        <w:p w:rsidR="0092042A" w:rsidRDefault="007409BD" w:rsidP="00391818">
          <w:r w:rsidRPr="007409BD">
            <w:rPr>
              <w:noProof/>
              <w:lang w:eastAsia="en-AU"/>
            </w:rPr>
            <w:drawing>
              <wp:inline distT="0" distB="0" distL="0" distR="0" wp14:anchorId="2882A39E" wp14:editId="36CBA12B">
                <wp:extent cx="5382895" cy="282372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823725"/>
                        </a:xfrm>
                        <a:prstGeom prst="rect">
                          <a:avLst/>
                        </a:prstGeom>
                        <a:noFill/>
                        <a:ln>
                          <a:noFill/>
                        </a:ln>
                      </pic:spPr>
                    </pic:pic>
                  </a:graphicData>
                </a:graphic>
              </wp:inline>
            </w:drawing>
          </w:r>
        </w:p>
        <w:p w:rsidR="0053115A" w:rsidRDefault="0053115A" w:rsidP="006315B3">
          <w:pPr>
            <w:pStyle w:val="Heading4"/>
          </w:pPr>
          <w:r>
            <w:t>High prices from 5.35 pm to 6.15 pm</w:t>
          </w:r>
        </w:p>
        <w:p w:rsidR="00056EEB" w:rsidRDefault="004B2310" w:rsidP="00391818">
          <w:r>
            <w:t xml:space="preserve">Figure 1 and figure 2 show that prices for raise and lower services reach $7690/MW and $3994/MW, respectively from 5.35 pm to 6.15 pm. </w:t>
          </w:r>
          <w:r w:rsidR="00A67D50">
            <w:t xml:space="preserve">The </w:t>
          </w:r>
          <w:r>
            <w:t>reason for this was a</w:t>
          </w:r>
          <w:r w:rsidR="00222B21">
            <w:t>t 5.28 pm, effective 5.35 </w:t>
          </w:r>
          <w:proofErr w:type="gramStart"/>
          <w:r w:rsidR="00222B21">
            <w:t>pm,</w:t>
          </w:r>
          <w:proofErr w:type="gramEnd"/>
          <w:r w:rsidR="00F34D89">
            <w:t xml:space="preserve"> </w:t>
          </w:r>
          <w:r w:rsidR="00222B21">
            <w:t xml:space="preserve">Origin rebid 2 MW of raise and lower regulation services </w:t>
          </w:r>
          <w:r w:rsidR="00222B21">
            <w:lastRenderedPageBreak/>
            <w:t>from $0/MW to $7690/MW in raise and $3994/MW in lower</w:t>
          </w:r>
          <w:r>
            <w:t>. T</w:t>
          </w:r>
          <w:r w:rsidR="005A7DD4">
            <w:t>he reason given was “</w:t>
          </w:r>
          <w:r w:rsidR="005A7DD4" w:rsidRPr="005A7DD4">
            <w:t>1726A INC SA DEM 5PD 1724MW &gt; 30PD 1572MW @HHE1800 SL”</w:t>
          </w:r>
          <w:r w:rsidR="00222B21">
            <w:t xml:space="preserve">. These rebids set price </w:t>
          </w:r>
          <w:r w:rsidR="00A53A0A">
            <w:t xml:space="preserve">until </w:t>
          </w:r>
          <w:r w:rsidR="00222B21">
            <w:t>6.</w:t>
          </w:r>
          <w:r w:rsidR="00A67D50">
            <w:t>20</w:t>
          </w:r>
          <w:r w:rsidR="00222B21">
            <w:t> pm</w:t>
          </w:r>
          <w:r w:rsidR="00A67D50">
            <w:t xml:space="preserve"> when the</w:t>
          </w:r>
          <w:r w:rsidR="00222B21">
            <w:t xml:space="preserve"> outage was completed ahead of schedule and the </w:t>
          </w:r>
          <w:r w:rsidR="00A67D50">
            <w:t xml:space="preserve">35 MW </w:t>
          </w:r>
          <w:proofErr w:type="gramStart"/>
          <w:r w:rsidR="00222B21">
            <w:t>requirement</w:t>
          </w:r>
          <w:proofErr w:type="gramEnd"/>
          <w:r w:rsidR="00222B21">
            <w:t xml:space="preserve"> was removed.</w:t>
          </w:r>
          <w:r w:rsidR="00CD47AF">
            <w:t xml:space="preserve"> </w:t>
          </w:r>
        </w:p>
        <w:p w:rsidR="006356B7" w:rsidRPr="006D5E16" w:rsidRDefault="006356B7" w:rsidP="006356B7">
          <w:pPr>
            <w:rPr>
              <w:rStyle w:val="Bold"/>
            </w:rPr>
          </w:pPr>
          <w:r w:rsidRPr="006D5E16">
            <w:rPr>
              <w:rStyle w:val="Bold"/>
            </w:rPr>
            <w:t>Australian Energy Regulator</w:t>
          </w:r>
        </w:p>
        <w:p w:rsidR="006356B7" w:rsidRDefault="00281333" w:rsidP="006356B7">
          <w:pPr>
            <w:rPr>
              <w:rStyle w:val="Bold"/>
            </w:rPr>
          </w:pPr>
          <w:r>
            <w:rPr>
              <w:rStyle w:val="Bold"/>
            </w:rPr>
            <w:t>September</w:t>
          </w:r>
          <w:bookmarkStart w:id="19" w:name="_GoBack"/>
          <w:bookmarkEnd w:id="19"/>
          <w:r w:rsidR="00BF1DDC">
            <w:rPr>
              <w:rStyle w:val="Bold"/>
            </w:rPr>
            <w:t xml:space="preserve"> </w:t>
          </w:r>
          <w:r w:rsidR="00BF1DDC" w:rsidRPr="006D5E16">
            <w:rPr>
              <w:rStyle w:val="Bold"/>
            </w:rPr>
            <w:t>201</w:t>
          </w:r>
          <w:r w:rsidR="00BF1DDC">
            <w:rPr>
              <w:rStyle w:val="Bold"/>
            </w:rPr>
            <w:t>7</w:t>
          </w:r>
        </w:p>
        <w:p w:rsidR="00EE2EBF" w:rsidRDefault="00EE2EBF" w:rsidP="006356B7">
          <w:r>
            <w:br w:type="page"/>
          </w:r>
        </w:p>
        <w:p w:rsidR="00992010" w:rsidRDefault="00992010" w:rsidP="00992010">
          <w:pPr>
            <w:pStyle w:val="Heading1notnumber"/>
          </w:pPr>
          <w:bookmarkStart w:id="20" w:name="_Toc489945991"/>
          <w:r>
            <w:lastRenderedPageBreak/>
            <w:t xml:space="preserve">Appendix </w:t>
          </w:r>
          <w:proofErr w:type="spellStart"/>
          <w:proofErr w:type="gramStart"/>
          <w:r w:rsidR="00461F4E">
            <w:t>A</w:t>
          </w:r>
          <w:proofErr w:type="spellEnd"/>
          <w:proofErr w:type="gramEnd"/>
          <w:r>
            <w:tab/>
            <w:t>Explanation of FCAS</w:t>
          </w:r>
          <w:bookmarkEnd w:id="20"/>
        </w:p>
        <w:p w:rsidR="002A0E48" w:rsidRDefault="002A0E48" w:rsidP="002A0E48">
          <w:r>
            <w:t xml:space="preserve">Frequency control ancillary services (FCAS) are required to maintain the frequency of the power system within the frequency operating standards. The two general categories of FCAS are: </w:t>
          </w:r>
        </w:p>
        <w:p w:rsidR="002A0E48" w:rsidRDefault="002A0E48" w:rsidP="002A0E48">
          <w:pPr>
            <w:pStyle w:val="Bulletpoint"/>
          </w:pPr>
          <w:r>
            <w:t>Regulation services, which continuously adjust to small changes in demand or supply (changes that cause the frequency to move by only a small amount away from 50 Hz). There are regulation services to increase the frequency (raise regulation or RREG) and services to decrease the frequency (lower regulation or LREG).</w:t>
          </w:r>
        </w:p>
        <w:p w:rsidR="002A0E48" w:rsidRDefault="002A0E48" w:rsidP="002A0E48">
          <w:pPr>
            <w:pStyle w:val="Bulletpoint"/>
          </w:pPr>
          <w:r>
            <w:t xml:space="preserve">Contingency services, which manage large changes in demand or supply that occur relatively rarely and move the frequency by a large amount. There are three contingency services to increase the frequency and three contingency services to decrease the frequency. Raise contingency FCAS are required to be available to correct frequency excursions that have arisen from a credible contingency event that leads to a decrease in frequency. As these contingency events usually involve step reductions in supply side, the Electricity Rules stipulate that generators pay for these services. Lower contingency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2A0E48" w:rsidRDefault="002A0E48" w:rsidP="002A0E48">
          <w:r>
            <w:t xml:space="preserve">Participants providing regulation services receive adjusted dispatch targets every 5 minutes via their automatic generation control (AGC) signals from AEMO. Participants are paid through the FCAS markets in accordance with their offered volumes. Their energy </w:t>
          </w:r>
          <w:proofErr w:type="gramStart"/>
          <w:r>
            <w:t>production</w:t>
          </w:r>
          <w:proofErr w:type="gramEnd"/>
          <w:r>
            <w:t>, which may be higher or lower depending on the AGC signals they receive, are settled in accordance with energy market prices.</w:t>
          </w:r>
        </w:p>
        <w:p w:rsidR="002A0E48" w:rsidRDefault="002A0E48" w:rsidP="002A0E48">
          <w:r>
            <w:t>There are three lower and three raise contingency services:</w:t>
          </w:r>
        </w:p>
        <w:p w:rsidR="002A0E48" w:rsidRDefault="002A0E48" w:rsidP="002A0E48">
          <w:pPr>
            <w:pStyle w:val="Bulletpoint"/>
          </w:pPr>
          <w:r>
            <w:t>fast services, which arrest a frequency deviation within the first six seconds of a contingent event (L6 and R6);</w:t>
          </w:r>
        </w:p>
        <w:p w:rsidR="002A0E48" w:rsidRDefault="002A0E48" w:rsidP="002A0E48">
          <w:pPr>
            <w:pStyle w:val="Bulletpoint"/>
          </w:pPr>
          <w:r>
            <w:t>slow services, which stabilise frequency deviations within sixty seconds of the event (L60/R60); and</w:t>
          </w:r>
        </w:p>
        <w:p w:rsidR="002A0E48" w:rsidRDefault="002A0E48" w:rsidP="002A0E48">
          <w:pPr>
            <w:pStyle w:val="Bulletpoint"/>
          </w:pPr>
          <w:proofErr w:type="gramStart"/>
          <w:r>
            <w:t>delayed</w:t>
          </w:r>
          <w:proofErr w:type="gramEnd"/>
          <w:r>
            <w:t xml:space="preserve"> services, which stabilise frequency deviations within five minutes of the event (L5/R5).</w:t>
          </w:r>
        </w:p>
        <w:p w:rsidR="00F57A15" w:rsidRPr="002A0E48" w:rsidRDefault="002A0E48" w:rsidP="002A0E48">
          <w:r>
            <w:t>Participants offering to provide contingency services are enabled in accordance with the “trapezium” supplied in their offers. While participants will not necessarily be supplying these services until a contingency occurs they are paid in accordance with their enablement.</w:t>
          </w:r>
          <w:r w:rsidR="00F57A15">
            <w:br w:type="page"/>
          </w:r>
        </w:p>
        <w:p w:rsidR="00992010" w:rsidRDefault="00992010" w:rsidP="00992010">
          <w:pPr>
            <w:pStyle w:val="Heading3notnumbered"/>
            <w:rPr>
              <w:lang w:eastAsia="en-AU"/>
            </w:rPr>
          </w:pPr>
          <w:bookmarkStart w:id="21" w:name="_Toc489945992"/>
          <w:r>
            <w:rPr>
              <w:lang w:eastAsia="en-AU"/>
            </w:rPr>
            <w:lastRenderedPageBreak/>
            <w:t>Frequency Control Ancillary Service Settlement</w:t>
          </w:r>
          <w:bookmarkEnd w:id="21"/>
        </w:p>
        <w:p w:rsidR="002A0E48" w:rsidRPr="00F014DC" w:rsidRDefault="002A0E48" w:rsidP="002A0E48">
          <w:pPr>
            <w:pStyle w:val="AERBody0"/>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r>
            <w:rPr>
              <w:rStyle w:val="FootnoteReference"/>
              <w:lang w:eastAsia="en-AU"/>
            </w:rPr>
            <w:footnoteReference w:id="2"/>
          </w:r>
          <w:r w:rsidRPr="00F014DC">
            <w:rPr>
              <w:lang w:eastAsia="en-AU"/>
            </w:rPr>
            <w:t>.</w:t>
          </w:r>
        </w:p>
        <w:p w:rsidR="002A0E48" w:rsidRPr="00F014DC" w:rsidRDefault="002A0E48" w:rsidP="002A0E48">
          <w:pPr>
            <w:pStyle w:val="Bulletpoint"/>
            <w:rPr>
              <w:lang w:eastAsia="en-AU"/>
            </w:rPr>
          </w:pPr>
          <w:r w:rsidRPr="00F014DC">
            <w:rPr>
              <w:lang w:eastAsia="en-AU"/>
            </w:rPr>
            <w:t>Regulation FCAS: Cost recovery on a “causer pays” basis using the Causer Pays Procedure</w:t>
          </w:r>
          <w:r>
            <w:rPr>
              <w:rStyle w:val="FootnoteReference"/>
              <w:lang w:eastAsia="en-AU"/>
            </w:rPr>
            <w:footnoteReference w:id="3"/>
          </w:r>
          <w:r w:rsidRPr="00F014DC">
            <w:rPr>
              <w:lang w:eastAsia="en-AU"/>
            </w:rPr>
            <w:t xml:space="preserve"> developed by AEMO in accordance with the </w:t>
          </w:r>
          <w:r>
            <w:rPr>
              <w:lang w:eastAsia="en-AU"/>
            </w:rPr>
            <w:t xml:space="preserve">appropriate </w:t>
          </w:r>
          <w:r w:rsidRPr="00F014DC">
            <w:rPr>
              <w:lang w:eastAsia="en-AU"/>
            </w:rPr>
            <w:t>NER procedure</w:t>
          </w:r>
          <w:r>
            <w:rPr>
              <w:lang w:eastAsia="en-AU"/>
            </w:rPr>
            <w:t>s</w:t>
          </w:r>
          <w:r w:rsidRPr="00F014DC">
            <w:rPr>
              <w:lang w:eastAsia="en-AU"/>
            </w:rPr>
            <w:t xml:space="preserve">. </w:t>
          </w:r>
        </w:p>
        <w:p w:rsidR="002A0E48" w:rsidRPr="00F014DC" w:rsidRDefault="002A0E48" w:rsidP="002A0E48">
          <w:pPr>
            <w:pStyle w:val="Bulletpoint"/>
            <w:rPr>
              <w:lang w:eastAsia="en-AU"/>
            </w:rPr>
          </w:pPr>
          <w:r w:rsidRPr="00F014DC">
            <w:rPr>
              <w:lang w:eastAsia="en-AU"/>
            </w:rPr>
            <w:t xml:space="preserve">Contingency FCAS: Generators pay for Raise Services and customers pay for Lower Services. </w:t>
          </w:r>
        </w:p>
        <w:p w:rsidR="002A0E48" w:rsidRPr="005D5145" w:rsidRDefault="002A0E48" w:rsidP="002A0E48">
          <w:pPr>
            <w:pStyle w:val="AERBody0"/>
          </w:pPr>
          <w:r w:rsidRPr="005D5145">
            <w:t xml:space="preserve">The ‘Causer Pays’ Procedure allocates regulation FCAS costs to those market generators, customers and small generation aggregators with facilities that have the metering capable of determining their contribution to frequency deviations at any time. </w:t>
          </w:r>
        </w:p>
        <w:p w:rsidR="002A0E48" w:rsidRDefault="002A0E48" w:rsidP="002A0E48">
          <w:pPr>
            <w:pStyle w:val="AERBody0"/>
          </w:pPr>
          <w:r w:rsidRPr="005D5145">
            <w:t xml:space="preserve">Every four weeks based on historical data AEMO calculates a causer pays contribution factor </w:t>
          </w:r>
          <w:r>
            <w:t xml:space="preserve">for each generator. Broadly, the contribution factor is determined from historical 4 second generator output and frequency information and is a measure of how each generator contributed to managing changes in the system frequency. If a generators’ output changes </w:t>
          </w:r>
          <w:r w:rsidRPr="005D5145">
            <w:t xml:space="preserve">such that it supports maintaining the </w:t>
          </w:r>
          <w:r>
            <w:t xml:space="preserve">system </w:t>
          </w:r>
          <w:r w:rsidRPr="005D5145">
            <w:t xml:space="preserve">frequency </w:t>
          </w:r>
          <w:r>
            <w:t>its contribution factor is positive. Conversely, if a generators’ output changes such that it exacerbates a frequency deviation, its contribution factor will be negative. The causer pays contribution factors for a portfolio of generators effectively represent the aggregation of the individual performance of the generators in that portfolio.</w:t>
          </w:r>
        </w:p>
        <w:p w:rsidR="002A0E48" w:rsidRDefault="002A0E48" w:rsidP="002A0E48">
          <w:pPr>
            <w:pStyle w:val="AERBody0"/>
          </w:pPr>
          <w:r>
            <w:t xml:space="preserve">Settlement is determined by allocating the FCAS costs incurred in the current period in accordance with the causer pays contribution </w:t>
          </w:r>
          <w:r w:rsidRPr="00BC5A12">
            <w:t>factor for that portfolio from the preceding period. Thus cost allocation to a participant is not dependent on the amount of energy purchased or consumed in that period bu</w:t>
          </w:r>
          <w:r>
            <w:t xml:space="preserve">t </w:t>
          </w:r>
          <w:r w:rsidRPr="00D124E2">
            <w:t xml:space="preserve">by the </w:t>
          </w:r>
          <w:r>
            <w:t xml:space="preserve">performance of that </w:t>
          </w:r>
          <w:r w:rsidRPr="00D124E2">
            <w:t xml:space="preserve">participant </w:t>
          </w:r>
          <w:r>
            <w:t xml:space="preserve">in managing system frequency in the previous period. </w:t>
          </w:r>
        </w:p>
        <w:p w:rsidR="002A0E48" w:rsidRPr="00D124E2" w:rsidRDefault="002A0E48" w:rsidP="002A0E48">
          <w:pPr>
            <w:pStyle w:val="AERBody0"/>
          </w:pPr>
          <w:r>
            <w:t>C</w:t>
          </w:r>
          <w:r w:rsidRPr="00D124E2">
            <w:t xml:space="preserve">onsequently a </w:t>
          </w:r>
          <w:r>
            <w:t>portfolio of generators</w:t>
          </w:r>
          <w:r w:rsidRPr="00D124E2">
            <w:t xml:space="preserve"> with a </w:t>
          </w:r>
          <w:r>
            <w:t>negative</w:t>
          </w:r>
          <w:r w:rsidRPr="00D124E2">
            <w:t xml:space="preserve"> factor in a particular period will still pay a share of FCAS costs irrespective of how much it</w:t>
          </w:r>
          <w:r>
            <w:t xml:space="preserve"> generates in the current period</w:t>
          </w:r>
          <w:r w:rsidRPr="00D124E2">
            <w:t>.</w:t>
          </w:r>
        </w:p>
        <w:p w:rsidR="002A0E48" w:rsidRPr="00F014DC" w:rsidRDefault="002A0E48" w:rsidP="002A0E48">
          <w:pPr>
            <w:pStyle w:val="AERBody0"/>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 market customer is purchasing.</w:t>
          </w:r>
        </w:p>
        <w:p w:rsidR="005C68D8" w:rsidRDefault="005C68D8" w:rsidP="005C68D8">
          <w:pPr>
            <w:pStyle w:val="Heading1notnumber"/>
          </w:pPr>
          <w:bookmarkStart w:id="22" w:name="_Toc489945993"/>
          <w:r>
            <w:lastRenderedPageBreak/>
            <w:t>Appendix B Local Frequency Control Ancillary Services</w:t>
          </w:r>
          <w:bookmarkEnd w:id="22"/>
        </w:p>
        <w:p w:rsidR="005C68D8" w:rsidRDefault="005C68D8" w:rsidP="005C68D8">
          <w:r>
            <w:t xml:space="preserve">AEMO sets the requirement for FCAS to ensure that the frequency standard (as set by the Reliability Panel) is maintained in the event of step changes in supply or demand that results from credible contingencies. Where a credible contingency results in the loss of an interconnector it is termed a “separation event”. </w:t>
          </w:r>
        </w:p>
        <w:p w:rsidR="005C68D8" w:rsidRDefault="005C68D8" w:rsidP="005C68D8">
          <w:r>
            <w:t xml:space="preserve">The standard states that in the event of a “separation event” the frequency must be contained within 49 to 51 Hz or a wider band notified to AEMO by a relevant JSSC. In the case of South Australia the </w:t>
          </w:r>
          <w:r w:rsidRPr="00CC35B8">
            <w:t>JSSC notified AEMO that the frequency band for separation of the South Australian power system is 47 to 52</w:t>
          </w:r>
          <w:r>
            <w:t> </w:t>
          </w:r>
          <w:r w:rsidRPr="00CC35B8">
            <w:t>Hz and that under frequency relays will operate at frequency levels in the low end of this range.</w:t>
          </w:r>
        </w:p>
        <w:p w:rsidR="005C68D8" w:rsidRDefault="005C68D8" w:rsidP="005C68D8">
          <w:r>
            <w:t xml:space="preserve">When there is a potential separation event caused by the loss of an interconnector “local frequency control ancillary services” are usually required. </w:t>
          </w:r>
        </w:p>
        <w:p w:rsidR="005C68D8" w:rsidRDefault="005C68D8" w:rsidP="005C68D8">
          <w:r>
            <w:t>If the region was exporting at the time the interconnector fails, then as a consequence of the immediate over supply situation local contingency “lower” services are required in the islanded region 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5C68D8" w:rsidRDefault="005C68D8" w:rsidP="005C68D8">
          <w:r w:rsidRPr="00CC35B8">
            <w:t>A similar situation exists for contingency “raise” services for all other regions except South Australia where, in accordance with the advice from the JSSC, 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5C68D8" w:rsidRDefault="005C68D8" w:rsidP="005C68D8">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5C68D8" w:rsidRDefault="005C68D8" w:rsidP="005C68D8">
          <w:pPr>
            <w:spacing w:line="240" w:lineRule="auto"/>
            <w:jc w:val="left"/>
            <w:rPr>
              <w:rFonts w:eastAsia="Times New Roman" w:cs="Times New Roman"/>
              <w:b/>
              <w:bCs/>
              <w:color w:val="70635A" w:themeColor="text2"/>
              <w:sz w:val="28"/>
              <w:szCs w:val="20"/>
              <w:lang w:eastAsia="en-AU"/>
            </w:rPr>
          </w:pPr>
          <w:r>
            <w:rPr>
              <w:lang w:eastAsia="en-AU"/>
            </w:rPr>
            <w:br w:type="page"/>
          </w:r>
        </w:p>
        <w:p w:rsidR="00C7068C" w:rsidRDefault="00F1391C" w:rsidP="00C7068C">
          <w:pPr>
            <w:pStyle w:val="Heading1notnumber"/>
          </w:pPr>
          <w:bookmarkStart w:id="23" w:name="_Toc489945994"/>
          <w:r>
            <w:lastRenderedPageBreak/>
            <w:t xml:space="preserve">Appendix </w:t>
          </w:r>
          <w:r w:rsidR="005C68D8">
            <w:t>C</w:t>
          </w:r>
          <w:r w:rsidR="00C7068C">
            <w:tab/>
            <w:t>Significant Rebids</w:t>
          </w:r>
          <w:bookmarkEnd w:id="23"/>
        </w:p>
        <w:p w:rsidR="00C7068C" w:rsidRPr="004D2D89" w:rsidRDefault="00C7068C" w:rsidP="00C7068C">
          <w:r w:rsidRPr="00981FF2">
            <w:t>The rebidding tables highlight the relevant rebids submitted by generators that impacted on market outcomes during the time of high prices. It details the time the rebid was submitted and used by the dispatch process, the capacity involved</w:t>
          </w:r>
          <w:r w:rsidR="00CC65AF" w:rsidRPr="00981FF2">
            <w:t>,</w:t>
          </w:r>
          <w:r w:rsidRPr="00981FF2">
            <w:t xml:space="preserve"> the change in the price of the capacity was being offered</w:t>
          </w:r>
          <w:r w:rsidR="00CC65AF" w:rsidRPr="00981FF2">
            <w:t xml:space="preserve"> and</w:t>
          </w:r>
          <w:r w:rsidRPr="00981FF2">
            <w:t xml:space="preserve"> </w:t>
          </w:r>
          <w:r w:rsidR="00CC65AF" w:rsidRPr="00981FF2">
            <w:t>t</w:t>
          </w:r>
          <w:r w:rsidRPr="00981FF2">
            <w:t xml:space="preserve">he </w:t>
          </w:r>
          <w:r w:rsidR="00CC65AF" w:rsidRPr="00981FF2">
            <w:t>rebid reason</w:t>
          </w:r>
          <w:r w:rsidRPr="00981FF2">
            <w:t>.</w:t>
          </w:r>
        </w:p>
        <w:p w:rsidR="00C7068C" w:rsidRDefault="00461F4E" w:rsidP="00C7068C">
          <w:pPr>
            <w:pStyle w:val="Caption"/>
          </w:pPr>
          <w:r>
            <w:t xml:space="preserve">Table </w:t>
          </w:r>
          <w:r w:rsidR="005C68D8">
            <w:t>C</w:t>
          </w:r>
          <w:r w:rsidR="00EA6B2F">
            <w:t xml:space="preserve"> </w:t>
          </w:r>
          <w:fldSimple w:instr=" SEQ Table_C \* ARABIC ">
            <w:r w:rsidR="00B24B6B">
              <w:rPr>
                <w:noProof/>
              </w:rPr>
              <w:t>1</w:t>
            </w:r>
          </w:fldSimple>
          <w:r w:rsidR="00EA6B2F">
            <w:t xml:space="preserve">: </w:t>
          </w:r>
          <w:r w:rsidR="00C7068C">
            <w:t xml:space="preserve">Significant </w:t>
          </w:r>
          <w:r w:rsidR="006F3333">
            <w:t xml:space="preserve">rebids </w:t>
          </w:r>
          <w:r w:rsidR="00C7068C">
            <w:t xml:space="preserve">for </w:t>
          </w:r>
          <w:r w:rsidR="00374671">
            <w:t>22 May</w:t>
          </w:r>
          <w:r w:rsidR="00AA5DD7">
            <w:t xml:space="preserve"> </w:t>
          </w:r>
          <w:r w:rsidR="009D1002">
            <w:t>– lower regulation</w:t>
          </w:r>
        </w:p>
        <w:tbl>
          <w:tblPr>
            <w:tblStyle w:val="AERsummarytable"/>
            <w:tblW w:w="8727" w:type="dxa"/>
            <w:tblInd w:w="-34" w:type="dxa"/>
            <w:tblLayout w:type="fixed"/>
            <w:tblLook w:val="04A0" w:firstRow="1" w:lastRow="0" w:firstColumn="1" w:lastColumn="0" w:noHBand="0" w:noVBand="1"/>
          </w:tblPr>
          <w:tblGrid>
            <w:gridCol w:w="993"/>
            <w:gridCol w:w="992"/>
            <w:gridCol w:w="1217"/>
            <w:gridCol w:w="1112"/>
            <w:gridCol w:w="980"/>
            <w:gridCol w:w="923"/>
            <w:gridCol w:w="924"/>
            <w:gridCol w:w="1586"/>
          </w:tblGrid>
          <w:tr w:rsidR="00B80409" w:rsidRPr="00FE396E" w:rsidTr="000B3B13">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1297251709"/>
                  <w:rPr>
                    <w:sz w:val="2"/>
                    <w:szCs w:val="2"/>
                  </w:rPr>
                </w:pPr>
                <w:r>
                  <w:rPr>
                    <w:rStyle w:val="a531"/>
                  </w:rPr>
                  <w:t>Submit time</w:t>
                </w:r>
              </w:p>
            </w:tc>
            <w:tc>
              <w:tcPr>
                <w:tcW w:w="99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217" w:type="dxa"/>
                <w:hideMark/>
              </w:tcPr>
              <w:p w:rsidR="00B80409" w:rsidRDefault="00B80409">
                <w:pPr>
                  <w:jc w:val="center"/>
                  <w:textAlignment w:val="top"/>
                  <w:rPr>
                    <w:rFonts w:cs="Arial"/>
                    <w:color w:val="FFFFFF"/>
                    <w:szCs w:val="18"/>
                  </w:rPr>
                </w:pPr>
                <w:r>
                  <w:rPr>
                    <w:rFonts w:cs="Arial"/>
                    <w:color w:val="FFFFFF"/>
                    <w:szCs w:val="18"/>
                  </w:rPr>
                  <w:t>Participant</w:t>
                </w:r>
              </w:p>
            </w:tc>
            <w:tc>
              <w:tcPr>
                <w:tcW w:w="111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rsidP="00432F60">
                <w:pPr>
                  <w:jc w:val="center"/>
                  <w:textAlignment w:val="top"/>
                  <w:divId w:val="161817275"/>
                  <w:rPr>
                    <w:sz w:val="2"/>
                    <w:szCs w:val="2"/>
                  </w:rPr>
                </w:pPr>
                <w:r>
                  <w:rPr>
                    <w:rStyle w:val="a731"/>
                  </w:rPr>
                  <w:t>Price from</w:t>
                </w:r>
                <w:r>
                  <w:rPr>
                    <w:rFonts w:cs="Arial"/>
                    <w:color w:val="FFFFFF"/>
                    <w:szCs w:val="18"/>
                  </w:rPr>
                  <w:br/>
                </w:r>
                <w:r>
                  <w:rPr>
                    <w:rStyle w:val="a731"/>
                  </w:rPr>
                  <w:t>($/MW)</w:t>
                </w:r>
              </w:p>
            </w:tc>
            <w:tc>
              <w:tcPr>
                <w:tcW w:w="924" w:type="dxa"/>
                <w:hideMark/>
              </w:tcPr>
              <w:p w:rsidR="00B80409" w:rsidRDefault="00B80409" w:rsidP="00432F60">
                <w:pPr>
                  <w:jc w:val="center"/>
                  <w:textAlignment w:val="top"/>
                  <w:divId w:val="1395664897"/>
                  <w:rPr>
                    <w:sz w:val="2"/>
                    <w:szCs w:val="2"/>
                  </w:rPr>
                </w:pPr>
                <w:r>
                  <w:rPr>
                    <w:rStyle w:val="a771"/>
                  </w:rPr>
                  <w:t>Price to ($/MW)</w:t>
                </w:r>
              </w:p>
            </w:tc>
            <w:tc>
              <w:tcPr>
                <w:tcW w:w="1586" w:type="dxa"/>
                <w:hideMark/>
              </w:tcPr>
              <w:p w:rsidR="00B80409" w:rsidRDefault="00B80409">
                <w:pPr>
                  <w:jc w:val="center"/>
                  <w:textAlignment w:val="top"/>
                  <w:rPr>
                    <w:rFonts w:cs="Arial"/>
                    <w:color w:val="FFFFFF"/>
                    <w:szCs w:val="18"/>
                  </w:rPr>
                </w:pPr>
                <w:r>
                  <w:rPr>
                    <w:rFonts w:cs="Arial"/>
                    <w:color w:val="FFFFFF"/>
                    <w:szCs w:val="18"/>
                  </w:rPr>
                  <w:t>Rebid reason</w:t>
                </w:r>
              </w:p>
            </w:tc>
          </w:tr>
          <w:tr w:rsidR="00B80409" w:rsidRPr="00FE396E"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B80409" w:rsidRPr="000738E9" w:rsidRDefault="00374671" w:rsidP="00374671">
                <w:pPr>
                  <w:jc w:val="center"/>
                  <w:textAlignment w:val="center"/>
                  <w:rPr>
                    <w:rFonts w:cs="Arial"/>
                    <w:szCs w:val="18"/>
                  </w:rPr>
                </w:pPr>
                <w:r>
                  <w:rPr>
                    <w:rFonts w:cs="Arial"/>
                    <w:szCs w:val="18"/>
                  </w:rPr>
                  <w:t>12</w:t>
                </w:r>
                <w:r w:rsidR="00981FF2">
                  <w:rPr>
                    <w:rFonts w:cs="Arial"/>
                    <w:szCs w:val="18"/>
                  </w:rPr>
                  <w:t>.</w:t>
                </w:r>
                <w:r>
                  <w:rPr>
                    <w:rFonts w:cs="Arial"/>
                    <w:szCs w:val="18"/>
                  </w:rPr>
                  <w:t>05 p</w:t>
                </w:r>
                <w:r w:rsidR="00981FF2">
                  <w:rPr>
                    <w:rFonts w:cs="Arial"/>
                    <w:szCs w:val="18"/>
                  </w:rPr>
                  <w:t>m</w:t>
                </w:r>
              </w:p>
            </w:tc>
            <w:tc>
              <w:tcPr>
                <w:tcW w:w="992" w:type="dxa"/>
                <w:vAlign w:val="center"/>
              </w:tcPr>
              <w:p w:rsidR="00B80409" w:rsidRPr="000738E9" w:rsidRDefault="00981FF2" w:rsidP="00374671">
                <w:pPr>
                  <w:jc w:val="center"/>
                  <w:textAlignment w:val="center"/>
                  <w:rPr>
                    <w:szCs w:val="24"/>
                  </w:rPr>
                </w:pPr>
                <w:r>
                  <w:rPr>
                    <w:szCs w:val="24"/>
                  </w:rPr>
                  <w:t>1</w:t>
                </w:r>
                <w:r w:rsidR="00374671">
                  <w:rPr>
                    <w:szCs w:val="24"/>
                  </w:rPr>
                  <w:t>2</w:t>
                </w:r>
                <w:r>
                  <w:rPr>
                    <w:szCs w:val="24"/>
                  </w:rPr>
                  <w:t>.</w:t>
                </w:r>
                <w:r w:rsidR="00374671">
                  <w:rPr>
                    <w:szCs w:val="24"/>
                  </w:rPr>
                  <w:t>15 p</w:t>
                </w:r>
                <w:r>
                  <w:rPr>
                    <w:szCs w:val="24"/>
                  </w:rPr>
                  <w:t>m</w:t>
                </w:r>
              </w:p>
            </w:tc>
            <w:tc>
              <w:tcPr>
                <w:tcW w:w="1217" w:type="dxa"/>
                <w:vAlign w:val="center"/>
              </w:tcPr>
              <w:p w:rsidR="00B80409" w:rsidRPr="000738E9" w:rsidRDefault="00374671">
                <w:pPr>
                  <w:textAlignment w:val="center"/>
                  <w:rPr>
                    <w:rFonts w:cs="Arial"/>
                    <w:szCs w:val="18"/>
                  </w:rPr>
                </w:pPr>
                <w:r>
                  <w:rPr>
                    <w:rFonts w:cs="Arial"/>
                    <w:szCs w:val="18"/>
                  </w:rPr>
                  <w:t>Origin</w:t>
                </w:r>
              </w:p>
            </w:tc>
            <w:tc>
              <w:tcPr>
                <w:tcW w:w="1112" w:type="dxa"/>
                <w:vAlign w:val="center"/>
              </w:tcPr>
              <w:p w:rsidR="00B80409" w:rsidRPr="000738E9" w:rsidRDefault="00D82F40">
                <w:pPr>
                  <w:textAlignment w:val="center"/>
                  <w:rPr>
                    <w:rFonts w:cs="Arial"/>
                    <w:szCs w:val="18"/>
                  </w:rPr>
                </w:pPr>
                <w:r>
                  <w:rPr>
                    <w:rFonts w:cs="Arial"/>
                    <w:szCs w:val="18"/>
                  </w:rPr>
                  <w:t>Osborne</w:t>
                </w:r>
              </w:p>
            </w:tc>
            <w:tc>
              <w:tcPr>
                <w:tcW w:w="980" w:type="dxa"/>
                <w:vAlign w:val="center"/>
              </w:tcPr>
              <w:p w:rsidR="00B80409" w:rsidRPr="000738E9" w:rsidRDefault="00D82F40">
                <w:pPr>
                  <w:jc w:val="center"/>
                  <w:textAlignment w:val="center"/>
                  <w:rPr>
                    <w:rFonts w:cs="Arial"/>
                    <w:szCs w:val="18"/>
                  </w:rPr>
                </w:pPr>
                <w:r>
                  <w:rPr>
                    <w:rFonts w:cs="Arial"/>
                    <w:szCs w:val="18"/>
                  </w:rPr>
                  <w:t>12*</w:t>
                </w:r>
              </w:p>
            </w:tc>
            <w:tc>
              <w:tcPr>
                <w:tcW w:w="923" w:type="dxa"/>
                <w:vAlign w:val="center"/>
              </w:tcPr>
              <w:p w:rsidR="00B80409" w:rsidRPr="000738E9" w:rsidRDefault="00D82F40" w:rsidP="00D82F40">
                <w:pPr>
                  <w:jc w:val="center"/>
                  <w:textAlignment w:val="center"/>
                  <w:rPr>
                    <w:rFonts w:cs="Arial"/>
                    <w:szCs w:val="18"/>
                  </w:rPr>
                </w:pPr>
                <w:r>
                  <w:rPr>
                    <w:rFonts w:cs="Arial"/>
                    <w:szCs w:val="18"/>
                  </w:rPr>
                  <w:t>n/a</w:t>
                </w:r>
              </w:p>
            </w:tc>
            <w:tc>
              <w:tcPr>
                <w:tcW w:w="924" w:type="dxa"/>
                <w:vAlign w:val="center"/>
              </w:tcPr>
              <w:p w:rsidR="00B80409" w:rsidRPr="000738E9" w:rsidRDefault="00D82F40" w:rsidP="00981FF2">
                <w:pPr>
                  <w:jc w:val="center"/>
                  <w:textAlignment w:val="center"/>
                  <w:rPr>
                    <w:rFonts w:cs="Arial"/>
                    <w:szCs w:val="18"/>
                  </w:rPr>
                </w:pPr>
                <w:r>
                  <w:rPr>
                    <w:rFonts w:cs="Arial"/>
                    <w:szCs w:val="18"/>
                  </w:rPr>
                  <w:t>0</w:t>
                </w:r>
              </w:p>
            </w:tc>
            <w:tc>
              <w:tcPr>
                <w:tcW w:w="1586" w:type="dxa"/>
                <w:vAlign w:val="center"/>
              </w:tcPr>
              <w:p w:rsidR="00B80409" w:rsidRPr="000738E9" w:rsidRDefault="00D82F40" w:rsidP="000B3B13">
                <w:pPr>
                  <w:spacing w:before="120"/>
                  <w:jc w:val="left"/>
                  <w:textAlignment w:val="center"/>
                  <w:rPr>
                    <w:rFonts w:cs="Arial"/>
                    <w:szCs w:val="18"/>
                  </w:rPr>
                </w:pPr>
                <w:r>
                  <w:rPr>
                    <w:rFonts w:cs="Arial"/>
                    <w:sz w:val="16"/>
                    <w:szCs w:val="16"/>
                  </w:rPr>
                  <w:t>1201P CHANGE IN AVAIL - QPS5 OVERSPEED TEST SL</w:t>
                </w:r>
              </w:p>
            </w:tc>
          </w:tr>
          <w:tr w:rsidR="00D82F40" w:rsidRPr="00FE396E" w:rsidTr="000B3B13">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82F40" w:rsidRPr="000738E9" w:rsidRDefault="00D82F40" w:rsidP="00D82F40">
                <w:pPr>
                  <w:jc w:val="center"/>
                  <w:textAlignment w:val="center"/>
                  <w:rPr>
                    <w:rFonts w:cs="Arial"/>
                    <w:szCs w:val="18"/>
                  </w:rPr>
                </w:pPr>
                <w:r>
                  <w:rPr>
                    <w:rFonts w:cs="Arial"/>
                    <w:szCs w:val="18"/>
                  </w:rPr>
                  <w:t>12.11 pm</w:t>
                </w:r>
              </w:p>
            </w:tc>
            <w:tc>
              <w:tcPr>
                <w:tcW w:w="992" w:type="dxa"/>
                <w:vAlign w:val="center"/>
              </w:tcPr>
              <w:p w:rsidR="00D82F40" w:rsidRPr="000738E9" w:rsidRDefault="00D82F40" w:rsidP="00D82F40">
                <w:pPr>
                  <w:jc w:val="center"/>
                  <w:textAlignment w:val="center"/>
                  <w:rPr>
                    <w:szCs w:val="24"/>
                  </w:rPr>
                </w:pPr>
                <w:r>
                  <w:rPr>
                    <w:szCs w:val="24"/>
                  </w:rPr>
                  <w:t>12.20 pm</w:t>
                </w:r>
              </w:p>
            </w:tc>
            <w:tc>
              <w:tcPr>
                <w:tcW w:w="1217" w:type="dxa"/>
                <w:vAlign w:val="center"/>
              </w:tcPr>
              <w:p w:rsidR="00D82F40" w:rsidRPr="000738E9" w:rsidRDefault="00D82F40" w:rsidP="00E0439B">
                <w:pPr>
                  <w:textAlignment w:val="center"/>
                  <w:rPr>
                    <w:rFonts w:cs="Arial"/>
                    <w:szCs w:val="18"/>
                  </w:rPr>
                </w:pPr>
                <w:r>
                  <w:rPr>
                    <w:rFonts w:cs="Arial"/>
                    <w:szCs w:val="18"/>
                  </w:rPr>
                  <w:t>Origin</w:t>
                </w:r>
              </w:p>
            </w:tc>
            <w:tc>
              <w:tcPr>
                <w:tcW w:w="1112" w:type="dxa"/>
                <w:vAlign w:val="center"/>
              </w:tcPr>
              <w:p w:rsidR="00D82F40" w:rsidRDefault="00D82F40">
                <w:pPr>
                  <w:textAlignment w:val="center"/>
                  <w:rPr>
                    <w:rFonts w:cs="Arial"/>
                    <w:szCs w:val="18"/>
                  </w:rPr>
                </w:pPr>
                <w:r>
                  <w:rPr>
                    <w:rFonts w:cs="Arial"/>
                    <w:szCs w:val="18"/>
                  </w:rPr>
                  <w:t>Quarantine</w:t>
                </w:r>
              </w:p>
            </w:tc>
            <w:tc>
              <w:tcPr>
                <w:tcW w:w="980" w:type="dxa"/>
                <w:vAlign w:val="center"/>
              </w:tcPr>
              <w:p w:rsidR="00D82F40" w:rsidRDefault="00D82F40">
                <w:pPr>
                  <w:jc w:val="center"/>
                  <w:textAlignment w:val="center"/>
                  <w:rPr>
                    <w:rFonts w:cs="Arial"/>
                    <w:szCs w:val="18"/>
                  </w:rPr>
                </w:pPr>
                <w:r>
                  <w:rPr>
                    <w:rFonts w:cs="Arial"/>
                    <w:szCs w:val="18"/>
                  </w:rPr>
                  <w:t>12*</w:t>
                </w:r>
              </w:p>
            </w:tc>
            <w:tc>
              <w:tcPr>
                <w:tcW w:w="923" w:type="dxa"/>
                <w:vAlign w:val="center"/>
              </w:tcPr>
              <w:p w:rsidR="00D82F40" w:rsidRDefault="00D82F40">
                <w:pPr>
                  <w:jc w:val="center"/>
                  <w:textAlignment w:val="center"/>
                  <w:rPr>
                    <w:rFonts w:cs="Arial"/>
                    <w:szCs w:val="18"/>
                  </w:rPr>
                </w:pPr>
                <w:r>
                  <w:rPr>
                    <w:rFonts w:cs="Arial"/>
                    <w:szCs w:val="18"/>
                  </w:rPr>
                  <w:t>0</w:t>
                </w:r>
              </w:p>
            </w:tc>
            <w:tc>
              <w:tcPr>
                <w:tcW w:w="924" w:type="dxa"/>
                <w:vAlign w:val="center"/>
              </w:tcPr>
              <w:p w:rsidR="00D82F40" w:rsidRDefault="00D82F40" w:rsidP="00981FF2">
                <w:pPr>
                  <w:jc w:val="center"/>
                  <w:textAlignment w:val="center"/>
                  <w:rPr>
                    <w:rFonts w:cs="Arial"/>
                    <w:szCs w:val="18"/>
                  </w:rPr>
                </w:pPr>
                <w:r>
                  <w:rPr>
                    <w:rFonts w:cs="Arial"/>
                    <w:szCs w:val="18"/>
                  </w:rPr>
                  <w:t>n/a</w:t>
                </w:r>
              </w:p>
            </w:tc>
            <w:tc>
              <w:tcPr>
                <w:tcW w:w="1586" w:type="dxa"/>
                <w:vAlign w:val="center"/>
              </w:tcPr>
              <w:p w:rsidR="00D82F40" w:rsidRPr="00981FF2" w:rsidRDefault="00D82F40" w:rsidP="000B3B13">
                <w:pPr>
                  <w:spacing w:before="120"/>
                  <w:jc w:val="left"/>
                  <w:textAlignment w:val="center"/>
                  <w:rPr>
                    <w:rFonts w:cs="Arial"/>
                    <w:szCs w:val="18"/>
                  </w:rPr>
                </w:pPr>
                <w:r>
                  <w:rPr>
                    <w:rFonts w:cs="Arial"/>
                    <w:sz w:val="16"/>
                    <w:szCs w:val="16"/>
                  </w:rPr>
                  <w:t>1201P CHANGE IN AVAIL - QPS5 OVERSPEED TEST SL</w:t>
                </w:r>
              </w:p>
            </w:tc>
          </w:tr>
          <w:tr w:rsidR="00D82F40" w:rsidRPr="00FE396E"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82F40" w:rsidRPr="000738E9" w:rsidRDefault="00D82F40" w:rsidP="00D82F40">
                <w:pPr>
                  <w:jc w:val="center"/>
                  <w:textAlignment w:val="center"/>
                  <w:rPr>
                    <w:rFonts w:cs="Arial"/>
                    <w:szCs w:val="18"/>
                  </w:rPr>
                </w:pPr>
                <w:r>
                  <w:rPr>
                    <w:rFonts w:cs="Arial"/>
                    <w:szCs w:val="18"/>
                  </w:rPr>
                  <w:t>5.28 pm</w:t>
                </w:r>
              </w:p>
            </w:tc>
            <w:tc>
              <w:tcPr>
                <w:tcW w:w="992" w:type="dxa"/>
                <w:vAlign w:val="center"/>
              </w:tcPr>
              <w:p w:rsidR="00D82F40" w:rsidRPr="000738E9" w:rsidRDefault="00D82F40" w:rsidP="00D82F40">
                <w:pPr>
                  <w:jc w:val="center"/>
                  <w:textAlignment w:val="center"/>
                  <w:rPr>
                    <w:szCs w:val="24"/>
                  </w:rPr>
                </w:pPr>
                <w:r>
                  <w:rPr>
                    <w:szCs w:val="24"/>
                  </w:rPr>
                  <w:t>5.35 pm</w:t>
                </w:r>
              </w:p>
            </w:tc>
            <w:tc>
              <w:tcPr>
                <w:tcW w:w="1217" w:type="dxa"/>
                <w:vAlign w:val="center"/>
              </w:tcPr>
              <w:p w:rsidR="00D82F40" w:rsidRPr="000738E9" w:rsidRDefault="00D82F40" w:rsidP="00E0439B">
                <w:pPr>
                  <w:textAlignment w:val="center"/>
                  <w:rPr>
                    <w:rFonts w:cs="Arial"/>
                    <w:szCs w:val="18"/>
                  </w:rPr>
                </w:pPr>
                <w:r>
                  <w:rPr>
                    <w:rFonts w:cs="Arial"/>
                    <w:szCs w:val="18"/>
                  </w:rPr>
                  <w:t>Origin</w:t>
                </w:r>
              </w:p>
            </w:tc>
            <w:tc>
              <w:tcPr>
                <w:tcW w:w="1112" w:type="dxa"/>
                <w:vAlign w:val="center"/>
              </w:tcPr>
              <w:p w:rsidR="00D82F40" w:rsidRDefault="00D82F40" w:rsidP="00E0439B">
                <w:pPr>
                  <w:textAlignment w:val="center"/>
                  <w:rPr>
                    <w:rFonts w:cs="Arial"/>
                    <w:szCs w:val="18"/>
                  </w:rPr>
                </w:pPr>
                <w:r>
                  <w:rPr>
                    <w:rFonts w:cs="Arial"/>
                    <w:szCs w:val="18"/>
                  </w:rPr>
                  <w:t>Quarantine</w:t>
                </w:r>
              </w:p>
            </w:tc>
            <w:tc>
              <w:tcPr>
                <w:tcW w:w="980" w:type="dxa"/>
                <w:vAlign w:val="center"/>
              </w:tcPr>
              <w:p w:rsidR="00D82F40" w:rsidRDefault="00D82F40">
                <w:pPr>
                  <w:jc w:val="center"/>
                  <w:textAlignment w:val="center"/>
                  <w:rPr>
                    <w:rFonts w:cs="Arial"/>
                    <w:szCs w:val="18"/>
                  </w:rPr>
                </w:pPr>
                <w:r>
                  <w:rPr>
                    <w:rFonts w:cs="Arial"/>
                    <w:szCs w:val="18"/>
                  </w:rPr>
                  <w:t>2</w:t>
                </w:r>
              </w:p>
            </w:tc>
            <w:tc>
              <w:tcPr>
                <w:tcW w:w="923" w:type="dxa"/>
                <w:vAlign w:val="center"/>
              </w:tcPr>
              <w:p w:rsidR="00D82F40" w:rsidRDefault="00D82F40">
                <w:pPr>
                  <w:jc w:val="center"/>
                  <w:textAlignment w:val="center"/>
                  <w:rPr>
                    <w:rFonts w:cs="Arial"/>
                    <w:szCs w:val="18"/>
                  </w:rPr>
                </w:pPr>
                <w:r>
                  <w:rPr>
                    <w:rFonts w:cs="Arial"/>
                    <w:szCs w:val="18"/>
                  </w:rPr>
                  <w:t>0</w:t>
                </w:r>
              </w:p>
            </w:tc>
            <w:tc>
              <w:tcPr>
                <w:tcW w:w="924" w:type="dxa"/>
                <w:vAlign w:val="center"/>
              </w:tcPr>
              <w:p w:rsidR="00D82F40" w:rsidRDefault="00D82F40" w:rsidP="00981FF2">
                <w:pPr>
                  <w:jc w:val="center"/>
                  <w:textAlignment w:val="center"/>
                  <w:rPr>
                    <w:rFonts w:cs="Arial"/>
                    <w:szCs w:val="18"/>
                  </w:rPr>
                </w:pPr>
                <w:r>
                  <w:rPr>
                    <w:rFonts w:cs="Arial"/>
                    <w:szCs w:val="18"/>
                  </w:rPr>
                  <w:t>3994</w:t>
                </w:r>
              </w:p>
            </w:tc>
            <w:tc>
              <w:tcPr>
                <w:tcW w:w="1586" w:type="dxa"/>
                <w:vAlign w:val="center"/>
              </w:tcPr>
              <w:p w:rsidR="00D82F40" w:rsidRPr="00981FF2" w:rsidRDefault="00D82F40" w:rsidP="000B3B13">
                <w:pPr>
                  <w:spacing w:before="120"/>
                  <w:jc w:val="left"/>
                  <w:textAlignment w:val="center"/>
                  <w:rPr>
                    <w:rFonts w:cs="Arial"/>
                    <w:szCs w:val="18"/>
                  </w:rPr>
                </w:pPr>
                <w:r>
                  <w:rPr>
                    <w:rFonts w:cs="Arial"/>
                    <w:sz w:val="16"/>
                    <w:szCs w:val="16"/>
                  </w:rPr>
                  <w:t>1726A INC SA DEM 5PD 1724MW &gt; 30PD 1572MW @HHE1800 SL</w:t>
                </w:r>
              </w:p>
            </w:tc>
          </w:tr>
        </w:tbl>
        <w:p w:rsidR="002F025A" w:rsidRDefault="002E08EA" w:rsidP="002F025A">
          <w:pPr>
            <w:pStyle w:val="Caption"/>
          </w:pPr>
          <w:r>
            <w:t xml:space="preserve">Table </w:t>
          </w:r>
          <w:r w:rsidR="005C68D8">
            <w:t>C</w:t>
          </w:r>
          <w:r>
            <w:t xml:space="preserve"> </w:t>
          </w:r>
          <w:fldSimple w:instr=" SEQ Table_C \* ARABIC ">
            <w:r w:rsidR="00B24B6B">
              <w:rPr>
                <w:noProof/>
              </w:rPr>
              <w:t>2</w:t>
            </w:r>
          </w:fldSimple>
          <w:r>
            <w:t>:</w:t>
          </w:r>
          <w:r w:rsidR="00EA6B2F">
            <w:t xml:space="preserve"> </w:t>
          </w:r>
          <w:r w:rsidR="002F025A">
            <w:t xml:space="preserve">Significant </w:t>
          </w:r>
          <w:r w:rsidR="006F3333">
            <w:t xml:space="preserve">rebids </w:t>
          </w:r>
          <w:r w:rsidR="002F025A">
            <w:t xml:space="preserve">for </w:t>
          </w:r>
          <w:r w:rsidR="00D82F40">
            <w:t xml:space="preserve">22 May </w:t>
          </w:r>
          <w:r w:rsidR="009D1002">
            <w:t xml:space="preserve">– </w:t>
          </w:r>
          <w:r w:rsidR="00774131">
            <w:t xml:space="preserve">raise </w:t>
          </w:r>
          <w:r w:rsidR="009D1002">
            <w:t>regulation</w:t>
          </w:r>
        </w:p>
        <w:tbl>
          <w:tblPr>
            <w:tblStyle w:val="AERsummarytable"/>
            <w:tblW w:w="8789" w:type="dxa"/>
            <w:tblInd w:w="-34" w:type="dxa"/>
            <w:tblLayout w:type="fixed"/>
            <w:tblLook w:val="05A0" w:firstRow="1" w:lastRow="0" w:firstColumn="1" w:lastColumn="1" w:noHBand="0" w:noVBand="1"/>
          </w:tblPr>
          <w:tblGrid>
            <w:gridCol w:w="993"/>
            <w:gridCol w:w="992"/>
            <w:gridCol w:w="1181"/>
            <w:gridCol w:w="1229"/>
            <w:gridCol w:w="992"/>
            <w:gridCol w:w="851"/>
            <w:gridCol w:w="992"/>
            <w:gridCol w:w="1559"/>
          </w:tblGrid>
          <w:tr w:rsidR="00B80409" w:rsidRPr="004D2432" w:rsidTr="00981FF2">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295184323"/>
                  <w:rPr>
                    <w:sz w:val="2"/>
                    <w:szCs w:val="2"/>
                  </w:rPr>
                </w:pPr>
                <w:r>
                  <w:rPr>
                    <w:rStyle w:val="a531"/>
                  </w:rPr>
                  <w:t>Submit</w:t>
                </w:r>
                <w:r>
                  <w:rPr>
                    <w:rFonts w:cs="Arial"/>
                    <w:color w:val="FFFFFF"/>
                    <w:szCs w:val="18"/>
                  </w:rPr>
                  <w:br/>
                </w:r>
                <w:r>
                  <w:rPr>
                    <w:rStyle w:val="a531"/>
                  </w:rPr>
                  <w:t>time</w:t>
                </w:r>
              </w:p>
            </w:tc>
            <w:tc>
              <w:tcPr>
                <w:tcW w:w="992" w:type="dxa"/>
              </w:tcPr>
              <w:p w:rsidR="00B80409" w:rsidRDefault="00B80409">
                <w:pPr>
                  <w:jc w:val="center"/>
                  <w:textAlignment w:val="top"/>
                  <w:divId w:val="2033143719"/>
                  <w:rPr>
                    <w:sz w:val="2"/>
                    <w:szCs w:val="2"/>
                  </w:rPr>
                </w:pPr>
                <w:r>
                  <w:rPr>
                    <w:rStyle w:val="a571"/>
                  </w:rPr>
                  <w:t>Time</w:t>
                </w:r>
                <w:r>
                  <w:rPr>
                    <w:rFonts w:cs="Arial"/>
                    <w:color w:val="FFFFFF"/>
                    <w:szCs w:val="18"/>
                  </w:rPr>
                  <w:br/>
                </w:r>
                <w:r>
                  <w:rPr>
                    <w:rStyle w:val="a571"/>
                  </w:rPr>
                  <w:t>effective</w:t>
                </w:r>
              </w:p>
            </w:tc>
            <w:tc>
              <w:tcPr>
                <w:tcW w:w="1181" w:type="dxa"/>
                <w:hideMark/>
              </w:tcPr>
              <w:p w:rsidR="00B80409" w:rsidRDefault="00B80409" w:rsidP="000B3B13">
                <w:pPr>
                  <w:jc w:val="left"/>
                  <w:textAlignment w:val="top"/>
                  <w:rPr>
                    <w:rFonts w:cs="Arial"/>
                    <w:color w:val="FFFFFF"/>
                    <w:szCs w:val="18"/>
                  </w:rPr>
                </w:pPr>
                <w:r>
                  <w:rPr>
                    <w:rFonts w:cs="Arial"/>
                    <w:color w:val="FFFFFF"/>
                    <w:szCs w:val="18"/>
                  </w:rPr>
                  <w:t>Participant</w:t>
                </w:r>
              </w:p>
            </w:tc>
            <w:tc>
              <w:tcPr>
                <w:tcW w:w="1229" w:type="dxa"/>
                <w:hideMark/>
              </w:tcPr>
              <w:p w:rsidR="00B80409" w:rsidRDefault="00B80409">
                <w:pPr>
                  <w:jc w:val="center"/>
                  <w:textAlignment w:val="top"/>
                  <w:rPr>
                    <w:rFonts w:cs="Arial"/>
                    <w:color w:val="FFFFFF"/>
                    <w:szCs w:val="18"/>
                  </w:rPr>
                </w:pPr>
                <w:r>
                  <w:rPr>
                    <w:rFonts w:cs="Arial"/>
                    <w:color w:val="FFFFFF"/>
                    <w:szCs w:val="18"/>
                  </w:rPr>
                  <w:t>Station</w:t>
                </w:r>
              </w:p>
            </w:tc>
            <w:tc>
              <w:tcPr>
                <w:tcW w:w="992" w:type="dxa"/>
                <w:hideMark/>
              </w:tcPr>
              <w:p w:rsidR="00B80409" w:rsidRDefault="00B80409">
                <w:pPr>
                  <w:jc w:val="center"/>
                  <w:textAlignment w:val="top"/>
                  <w:divId w:val="1429424888"/>
                  <w:rPr>
                    <w:sz w:val="2"/>
                    <w:szCs w:val="2"/>
                  </w:rPr>
                </w:pPr>
                <w:r>
                  <w:rPr>
                    <w:rStyle w:val="a691"/>
                  </w:rPr>
                  <w:t>Capacity rebid</w:t>
                </w:r>
                <w:r>
                  <w:rPr>
                    <w:rFonts w:cs="Arial"/>
                    <w:color w:val="FFFFFF"/>
                    <w:szCs w:val="18"/>
                  </w:rPr>
                  <w:br/>
                </w:r>
                <w:r>
                  <w:rPr>
                    <w:rStyle w:val="a691"/>
                  </w:rPr>
                  <w:t>(MW)</w:t>
                </w:r>
              </w:p>
            </w:tc>
            <w:tc>
              <w:tcPr>
                <w:tcW w:w="851" w:type="dxa"/>
                <w:hideMark/>
              </w:tcPr>
              <w:p w:rsidR="00B80409" w:rsidRDefault="00B80409" w:rsidP="00432F60">
                <w:pPr>
                  <w:jc w:val="center"/>
                  <w:textAlignment w:val="top"/>
                  <w:divId w:val="2040277009"/>
                  <w:rPr>
                    <w:sz w:val="2"/>
                    <w:szCs w:val="2"/>
                  </w:rPr>
                </w:pPr>
                <w:r>
                  <w:rPr>
                    <w:rStyle w:val="a731"/>
                  </w:rPr>
                  <w:t>Price from</w:t>
                </w:r>
                <w:r>
                  <w:rPr>
                    <w:rFonts w:cs="Arial"/>
                    <w:color w:val="FFFFFF"/>
                    <w:szCs w:val="18"/>
                  </w:rPr>
                  <w:br/>
                </w:r>
                <w:r>
                  <w:rPr>
                    <w:rStyle w:val="a731"/>
                  </w:rPr>
                  <w:t>($/MW)</w:t>
                </w:r>
              </w:p>
            </w:tc>
            <w:tc>
              <w:tcPr>
                <w:tcW w:w="992" w:type="dxa"/>
                <w:hideMark/>
              </w:tcPr>
              <w:p w:rsidR="00B80409" w:rsidRPr="00432F60" w:rsidRDefault="00B80409" w:rsidP="00432F60">
                <w:pPr>
                  <w:jc w:val="center"/>
                  <w:textAlignment w:val="top"/>
                  <w:divId w:val="1152986130"/>
                  <w:rPr>
                    <w:rFonts w:cs="Arial"/>
                    <w:color w:val="FFFFFF"/>
                    <w:szCs w:val="18"/>
                  </w:rPr>
                </w:pPr>
                <w:r>
                  <w:rPr>
                    <w:rStyle w:val="a771"/>
                  </w:rPr>
                  <w:t>Price to</w:t>
                </w:r>
                <w:r>
                  <w:rPr>
                    <w:rFonts w:cs="Arial"/>
                    <w:color w:val="FFFFFF"/>
                    <w:szCs w:val="18"/>
                  </w:rPr>
                  <w:br/>
                </w:r>
                <w:r>
                  <w:rPr>
                    <w:rStyle w:val="a771"/>
                  </w:rPr>
                  <w:t>($/</w:t>
                </w:r>
                <w:r w:rsidR="00432F60">
                  <w:rPr>
                    <w:rStyle w:val="a771"/>
                  </w:rPr>
                  <w:t>MW</w:t>
                </w:r>
                <w:r>
                  <w:rPr>
                    <w:rStyle w:val="a771"/>
                  </w:rPr>
                  <w:t>)</w:t>
                </w:r>
              </w:p>
            </w:tc>
            <w:tc>
              <w:tcPr>
                <w:tcW w:w="1559" w:type="dxa"/>
                <w:hideMark/>
              </w:tcPr>
              <w:p w:rsidR="00B80409" w:rsidRPr="00774131" w:rsidRDefault="00B80409">
                <w:pPr>
                  <w:jc w:val="center"/>
                  <w:textAlignment w:val="top"/>
                  <w:rPr>
                    <w:rFonts w:cs="Arial"/>
                    <w:b w:val="0"/>
                    <w:color w:val="auto"/>
                    <w:szCs w:val="18"/>
                  </w:rPr>
                </w:pPr>
                <w:r w:rsidRPr="008C2CF2">
                  <w:rPr>
                    <w:rStyle w:val="a771"/>
                  </w:rPr>
                  <w:t>Rebid reason</w:t>
                </w:r>
              </w:p>
            </w:tc>
          </w:tr>
          <w:tr w:rsidR="00D82F40" w:rsidRPr="004D2432" w:rsidTr="00981FF2">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82F40" w:rsidRPr="000738E9" w:rsidRDefault="00D82F40" w:rsidP="00E0439B">
                <w:pPr>
                  <w:jc w:val="center"/>
                  <w:textAlignment w:val="center"/>
                  <w:rPr>
                    <w:rFonts w:cs="Arial"/>
                    <w:szCs w:val="18"/>
                  </w:rPr>
                </w:pPr>
                <w:r>
                  <w:rPr>
                    <w:rFonts w:cs="Arial"/>
                    <w:szCs w:val="18"/>
                  </w:rPr>
                  <w:t>12.05 pm</w:t>
                </w:r>
              </w:p>
            </w:tc>
            <w:tc>
              <w:tcPr>
                <w:tcW w:w="992" w:type="dxa"/>
                <w:vAlign w:val="center"/>
              </w:tcPr>
              <w:p w:rsidR="00D82F40" w:rsidRPr="000738E9" w:rsidRDefault="00D82F40" w:rsidP="00E0439B">
                <w:pPr>
                  <w:jc w:val="center"/>
                  <w:textAlignment w:val="center"/>
                  <w:rPr>
                    <w:szCs w:val="24"/>
                  </w:rPr>
                </w:pPr>
                <w:r>
                  <w:rPr>
                    <w:szCs w:val="24"/>
                  </w:rPr>
                  <w:t>12.15 pm</w:t>
                </w:r>
              </w:p>
            </w:tc>
            <w:tc>
              <w:tcPr>
                <w:tcW w:w="1181" w:type="dxa"/>
                <w:vAlign w:val="center"/>
              </w:tcPr>
              <w:p w:rsidR="00D82F40" w:rsidRPr="000738E9" w:rsidRDefault="00D82F40" w:rsidP="00E0439B">
                <w:pPr>
                  <w:textAlignment w:val="center"/>
                  <w:rPr>
                    <w:rFonts w:cs="Arial"/>
                    <w:szCs w:val="18"/>
                  </w:rPr>
                </w:pPr>
                <w:r>
                  <w:rPr>
                    <w:rFonts w:cs="Arial"/>
                    <w:szCs w:val="18"/>
                  </w:rPr>
                  <w:t>Origin</w:t>
                </w:r>
              </w:p>
            </w:tc>
            <w:tc>
              <w:tcPr>
                <w:tcW w:w="1229" w:type="dxa"/>
                <w:vAlign w:val="center"/>
              </w:tcPr>
              <w:p w:rsidR="00D82F40" w:rsidRPr="000738E9" w:rsidRDefault="00D82F40" w:rsidP="00E0439B">
                <w:pPr>
                  <w:textAlignment w:val="center"/>
                  <w:rPr>
                    <w:rFonts w:cs="Arial"/>
                    <w:szCs w:val="18"/>
                  </w:rPr>
                </w:pPr>
                <w:r>
                  <w:rPr>
                    <w:rFonts w:cs="Arial"/>
                    <w:szCs w:val="18"/>
                  </w:rPr>
                  <w:t>Osborne</w:t>
                </w:r>
              </w:p>
            </w:tc>
            <w:tc>
              <w:tcPr>
                <w:tcW w:w="992" w:type="dxa"/>
                <w:vAlign w:val="center"/>
              </w:tcPr>
              <w:p w:rsidR="00D82F40" w:rsidRPr="000738E9" w:rsidRDefault="00D82F40" w:rsidP="00E0439B">
                <w:pPr>
                  <w:jc w:val="center"/>
                  <w:textAlignment w:val="center"/>
                  <w:rPr>
                    <w:rFonts w:cs="Arial"/>
                    <w:szCs w:val="18"/>
                  </w:rPr>
                </w:pPr>
                <w:r>
                  <w:rPr>
                    <w:rFonts w:cs="Arial"/>
                    <w:szCs w:val="18"/>
                  </w:rPr>
                  <w:t>12*</w:t>
                </w:r>
              </w:p>
            </w:tc>
            <w:tc>
              <w:tcPr>
                <w:tcW w:w="851" w:type="dxa"/>
                <w:vAlign w:val="center"/>
              </w:tcPr>
              <w:p w:rsidR="00D82F40" w:rsidRPr="000738E9" w:rsidRDefault="00D82F40" w:rsidP="00E0439B">
                <w:pPr>
                  <w:jc w:val="center"/>
                  <w:textAlignment w:val="center"/>
                  <w:rPr>
                    <w:rFonts w:cs="Arial"/>
                    <w:szCs w:val="18"/>
                  </w:rPr>
                </w:pPr>
                <w:r>
                  <w:rPr>
                    <w:rFonts w:cs="Arial"/>
                    <w:szCs w:val="18"/>
                  </w:rPr>
                  <w:t>n/a</w:t>
                </w:r>
              </w:p>
            </w:tc>
            <w:tc>
              <w:tcPr>
                <w:tcW w:w="992" w:type="dxa"/>
                <w:vAlign w:val="center"/>
              </w:tcPr>
              <w:p w:rsidR="00D82F40" w:rsidRPr="000738E9" w:rsidRDefault="00D82F40" w:rsidP="00E0439B">
                <w:pPr>
                  <w:jc w:val="center"/>
                  <w:textAlignment w:val="center"/>
                  <w:rPr>
                    <w:rFonts w:cs="Arial"/>
                    <w:szCs w:val="18"/>
                  </w:rPr>
                </w:pPr>
                <w:r>
                  <w:rPr>
                    <w:rFonts w:cs="Arial"/>
                    <w:szCs w:val="18"/>
                  </w:rPr>
                  <w:t>0</w:t>
                </w:r>
              </w:p>
            </w:tc>
            <w:tc>
              <w:tcPr>
                <w:tcW w:w="1559" w:type="dxa"/>
                <w:vAlign w:val="center"/>
              </w:tcPr>
              <w:p w:rsidR="00D82F40" w:rsidRPr="000738E9" w:rsidRDefault="00D82F40" w:rsidP="00E0439B">
                <w:pPr>
                  <w:spacing w:before="120"/>
                  <w:jc w:val="left"/>
                  <w:textAlignment w:val="center"/>
                  <w:rPr>
                    <w:rFonts w:cs="Arial"/>
                    <w:szCs w:val="18"/>
                  </w:rPr>
                </w:pPr>
                <w:r>
                  <w:rPr>
                    <w:rFonts w:cs="Arial"/>
                    <w:sz w:val="16"/>
                    <w:szCs w:val="16"/>
                  </w:rPr>
                  <w:t>1201P CHANGE IN AVAIL - QPS5 OVERSPEED TEST SL</w:t>
                </w:r>
              </w:p>
            </w:tc>
          </w:tr>
          <w:tr w:rsidR="00D82F40" w:rsidRPr="004D2432" w:rsidTr="00981FF2">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82F40" w:rsidRPr="000738E9" w:rsidRDefault="00D82F40" w:rsidP="00E0439B">
                <w:pPr>
                  <w:jc w:val="center"/>
                  <w:textAlignment w:val="center"/>
                  <w:rPr>
                    <w:rFonts w:cs="Arial"/>
                    <w:szCs w:val="18"/>
                  </w:rPr>
                </w:pPr>
                <w:r>
                  <w:rPr>
                    <w:rFonts w:cs="Arial"/>
                    <w:szCs w:val="18"/>
                  </w:rPr>
                  <w:t>12.11 pm</w:t>
                </w:r>
              </w:p>
            </w:tc>
            <w:tc>
              <w:tcPr>
                <w:tcW w:w="992" w:type="dxa"/>
                <w:vAlign w:val="center"/>
              </w:tcPr>
              <w:p w:rsidR="00D82F40" w:rsidRPr="000738E9" w:rsidRDefault="00D82F40" w:rsidP="00E0439B">
                <w:pPr>
                  <w:jc w:val="center"/>
                  <w:textAlignment w:val="center"/>
                  <w:rPr>
                    <w:szCs w:val="24"/>
                  </w:rPr>
                </w:pPr>
                <w:r>
                  <w:rPr>
                    <w:szCs w:val="24"/>
                  </w:rPr>
                  <w:t>12.20 pm</w:t>
                </w:r>
              </w:p>
            </w:tc>
            <w:tc>
              <w:tcPr>
                <w:tcW w:w="1181" w:type="dxa"/>
                <w:vAlign w:val="center"/>
              </w:tcPr>
              <w:p w:rsidR="00D82F40" w:rsidRPr="000738E9" w:rsidRDefault="00D82F40" w:rsidP="00E0439B">
                <w:pPr>
                  <w:textAlignment w:val="center"/>
                  <w:rPr>
                    <w:rFonts w:cs="Arial"/>
                    <w:szCs w:val="18"/>
                  </w:rPr>
                </w:pPr>
                <w:r>
                  <w:rPr>
                    <w:rFonts w:cs="Arial"/>
                    <w:szCs w:val="18"/>
                  </w:rPr>
                  <w:t>Origin</w:t>
                </w:r>
              </w:p>
            </w:tc>
            <w:tc>
              <w:tcPr>
                <w:tcW w:w="1229" w:type="dxa"/>
                <w:vAlign w:val="center"/>
              </w:tcPr>
              <w:p w:rsidR="00D82F40" w:rsidRDefault="00D82F40" w:rsidP="00E0439B">
                <w:pPr>
                  <w:textAlignment w:val="center"/>
                  <w:rPr>
                    <w:rFonts w:cs="Arial"/>
                    <w:szCs w:val="18"/>
                  </w:rPr>
                </w:pPr>
                <w:r>
                  <w:rPr>
                    <w:rFonts w:cs="Arial"/>
                    <w:szCs w:val="18"/>
                  </w:rPr>
                  <w:t>Quarantine</w:t>
                </w:r>
              </w:p>
            </w:tc>
            <w:tc>
              <w:tcPr>
                <w:tcW w:w="992" w:type="dxa"/>
                <w:vAlign w:val="center"/>
              </w:tcPr>
              <w:p w:rsidR="00D82F40" w:rsidRDefault="00D82F40" w:rsidP="00E0439B">
                <w:pPr>
                  <w:jc w:val="center"/>
                  <w:textAlignment w:val="center"/>
                  <w:rPr>
                    <w:rFonts w:cs="Arial"/>
                    <w:szCs w:val="18"/>
                  </w:rPr>
                </w:pPr>
                <w:r>
                  <w:rPr>
                    <w:rFonts w:cs="Arial"/>
                    <w:szCs w:val="18"/>
                  </w:rPr>
                  <w:t>12*</w:t>
                </w:r>
              </w:p>
            </w:tc>
            <w:tc>
              <w:tcPr>
                <w:tcW w:w="851" w:type="dxa"/>
                <w:vAlign w:val="center"/>
              </w:tcPr>
              <w:p w:rsidR="00D82F40" w:rsidRDefault="00D82F40" w:rsidP="00E0439B">
                <w:pPr>
                  <w:jc w:val="center"/>
                  <w:textAlignment w:val="center"/>
                  <w:rPr>
                    <w:rFonts w:cs="Arial"/>
                    <w:szCs w:val="18"/>
                  </w:rPr>
                </w:pPr>
                <w:r>
                  <w:rPr>
                    <w:rFonts w:cs="Arial"/>
                    <w:szCs w:val="18"/>
                  </w:rPr>
                  <w:t>0</w:t>
                </w:r>
              </w:p>
            </w:tc>
            <w:tc>
              <w:tcPr>
                <w:tcW w:w="992" w:type="dxa"/>
                <w:vAlign w:val="center"/>
              </w:tcPr>
              <w:p w:rsidR="00D82F40" w:rsidRDefault="00D82F40" w:rsidP="00E0439B">
                <w:pPr>
                  <w:jc w:val="center"/>
                  <w:textAlignment w:val="center"/>
                  <w:rPr>
                    <w:rFonts w:cs="Arial"/>
                    <w:szCs w:val="18"/>
                  </w:rPr>
                </w:pPr>
                <w:r>
                  <w:rPr>
                    <w:rFonts w:cs="Arial"/>
                    <w:szCs w:val="18"/>
                  </w:rPr>
                  <w:t>n/a</w:t>
                </w:r>
              </w:p>
            </w:tc>
            <w:tc>
              <w:tcPr>
                <w:tcW w:w="1559" w:type="dxa"/>
                <w:vAlign w:val="center"/>
              </w:tcPr>
              <w:p w:rsidR="00D82F40" w:rsidRPr="00981FF2" w:rsidRDefault="00D82F40" w:rsidP="00E0439B">
                <w:pPr>
                  <w:spacing w:before="120"/>
                  <w:jc w:val="left"/>
                  <w:textAlignment w:val="center"/>
                  <w:rPr>
                    <w:rFonts w:cs="Arial"/>
                    <w:szCs w:val="18"/>
                  </w:rPr>
                </w:pPr>
                <w:r>
                  <w:rPr>
                    <w:rFonts w:cs="Arial"/>
                    <w:sz w:val="16"/>
                    <w:szCs w:val="16"/>
                  </w:rPr>
                  <w:t>1201P CHANGE IN AVAIL - QPS5 OVERSPEED TEST SL</w:t>
                </w:r>
              </w:p>
            </w:tc>
          </w:tr>
          <w:tr w:rsidR="00D82F40" w:rsidRPr="004D2432" w:rsidTr="00981FF2">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82F40" w:rsidRPr="000738E9" w:rsidRDefault="00D82F40" w:rsidP="00E0439B">
                <w:pPr>
                  <w:jc w:val="center"/>
                  <w:textAlignment w:val="center"/>
                  <w:rPr>
                    <w:rFonts w:cs="Arial"/>
                    <w:szCs w:val="18"/>
                  </w:rPr>
                </w:pPr>
                <w:r>
                  <w:rPr>
                    <w:rFonts w:cs="Arial"/>
                    <w:szCs w:val="18"/>
                  </w:rPr>
                  <w:t>5.28 pm</w:t>
                </w:r>
              </w:p>
            </w:tc>
            <w:tc>
              <w:tcPr>
                <w:tcW w:w="992" w:type="dxa"/>
                <w:vAlign w:val="center"/>
              </w:tcPr>
              <w:p w:rsidR="00D82F40" w:rsidRPr="000738E9" w:rsidRDefault="00D82F40" w:rsidP="00E0439B">
                <w:pPr>
                  <w:jc w:val="center"/>
                  <w:textAlignment w:val="center"/>
                  <w:rPr>
                    <w:szCs w:val="24"/>
                  </w:rPr>
                </w:pPr>
                <w:r>
                  <w:rPr>
                    <w:szCs w:val="24"/>
                  </w:rPr>
                  <w:t>5.35 pm</w:t>
                </w:r>
              </w:p>
            </w:tc>
            <w:tc>
              <w:tcPr>
                <w:tcW w:w="1181" w:type="dxa"/>
                <w:vAlign w:val="center"/>
              </w:tcPr>
              <w:p w:rsidR="00D82F40" w:rsidRPr="000738E9" w:rsidRDefault="00D82F40" w:rsidP="00E0439B">
                <w:pPr>
                  <w:textAlignment w:val="center"/>
                  <w:rPr>
                    <w:rFonts w:cs="Arial"/>
                    <w:szCs w:val="18"/>
                  </w:rPr>
                </w:pPr>
                <w:r>
                  <w:rPr>
                    <w:rFonts w:cs="Arial"/>
                    <w:szCs w:val="18"/>
                  </w:rPr>
                  <w:t>Origin</w:t>
                </w:r>
              </w:p>
            </w:tc>
            <w:tc>
              <w:tcPr>
                <w:tcW w:w="1229" w:type="dxa"/>
                <w:vAlign w:val="center"/>
              </w:tcPr>
              <w:p w:rsidR="00D82F40" w:rsidRDefault="00D82F40" w:rsidP="00E0439B">
                <w:pPr>
                  <w:textAlignment w:val="center"/>
                  <w:rPr>
                    <w:rFonts w:cs="Arial"/>
                    <w:szCs w:val="18"/>
                  </w:rPr>
                </w:pPr>
                <w:r>
                  <w:rPr>
                    <w:rFonts w:cs="Arial"/>
                    <w:szCs w:val="18"/>
                  </w:rPr>
                  <w:t>Quarantine</w:t>
                </w:r>
              </w:p>
            </w:tc>
            <w:tc>
              <w:tcPr>
                <w:tcW w:w="992" w:type="dxa"/>
                <w:vAlign w:val="center"/>
              </w:tcPr>
              <w:p w:rsidR="00D82F40" w:rsidRDefault="00D82F40" w:rsidP="00E0439B">
                <w:pPr>
                  <w:jc w:val="center"/>
                  <w:textAlignment w:val="center"/>
                  <w:rPr>
                    <w:rFonts w:cs="Arial"/>
                    <w:szCs w:val="18"/>
                  </w:rPr>
                </w:pPr>
                <w:r>
                  <w:rPr>
                    <w:rFonts w:cs="Arial"/>
                    <w:szCs w:val="18"/>
                  </w:rPr>
                  <w:t>2</w:t>
                </w:r>
              </w:p>
            </w:tc>
            <w:tc>
              <w:tcPr>
                <w:tcW w:w="851" w:type="dxa"/>
                <w:vAlign w:val="center"/>
              </w:tcPr>
              <w:p w:rsidR="00D82F40" w:rsidRDefault="00D82F40" w:rsidP="00E0439B">
                <w:pPr>
                  <w:jc w:val="center"/>
                  <w:textAlignment w:val="center"/>
                  <w:rPr>
                    <w:rFonts w:cs="Arial"/>
                    <w:szCs w:val="18"/>
                  </w:rPr>
                </w:pPr>
                <w:r>
                  <w:rPr>
                    <w:rFonts w:cs="Arial"/>
                    <w:szCs w:val="18"/>
                  </w:rPr>
                  <w:t>0</w:t>
                </w:r>
              </w:p>
            </w:tc>
            <w:tc>
              <w:tcPr>
                <w:tcW w:w="992" w:type="dxa"/>
                <w:vAlign w:val="center"/>
              </w:tcPr>
              <w:p w:rsidR="00D82F40" w:rsidRDefault="0030786B" w:rsidP="00E0439B">
                <w:pPr>
                  <w:jc w:val="center"/>
                  <w:textAlignment w:val="center"/>
                  <w:rPr>
                    <w:rFonts w:cs="Arial"/>
                    <w:szCs w:val="18"/>
                  </w:rPr>
                </w:pPr>
                <w:r>
                  <w:rPr>
                    <w:rFonts w:cs="Arial"/>
                    <w:szCs w:val="18"/>
                  </w:rPr>
                  <w:t>7690</w:t>
                </w:r>
              </w:p>
            </w:tc>
            <w:tc>
              <w:tcPr>
                <w:tcW w:w="1559" w:type="dxa"/>
                <w:vAlign w:val="center"/>
              </w:tcPr>
              <w:p w:rsidR="00D82F40" w:rsidRPr="00981FF2" w:rsidRDefault="00D82F40" w:rsidP="00E0439B">
                <w:pPr>
                  <w:spacing w:before="120"/>
                  <w:jc w:val="left"/>
                  <w:textAlignment w:val="center"/>
                  <w:rPr>
                    <w:rFonts w:cs="Arial"/>
                    <w:szCs w:val="18"/>
                  </w:rPr>
                </w:pPr>
                <w:r>
                  <w:rPr>
                    <w:rFonts w:cs="Arial"/>
                    <w:sz w:val="16"/>
                    <w:szCs w:val="16"/>
                  </w:rPr>
                  <w:t>1726A INC SA DEM 5PD 1724MW &gt; 30PD 1572MW @HHE1800 SL</w:t>
                </w:r>
              </w:p>
            </w:tc>
          </w:tr>
        </w:tbl>
        <w:p w:rsidR="0030786B" w:rsidRDefault="0030786B" w:rsidP="0030786B">
          <w:pPr>
            <w:pStyle w:val="AERBody0"/>
          </w:pPr>
          <w:r w:rsidRPr="00D82F40">
            <w:rPr>
              <w:sz w:val="18"/>
            </w:rPr>
            <w:t xml:space="preserve">*As part of these rebids, capacity priced higher greater than $13 000/MW was also added or removed from offers. As that capacity did not impact price, they </w:t>
          </w:r>
          <w:r w:rsidR="00BE3FA9">
            <w:rPr>
              <w:sz w:val="18"/>
            </w:rPr>
            <w:t>have not been included</w:t>
          </w:r>
          <w:r w:rsidRPr="00D82F40">
            <w:rPr>
              <w:sz w:val="18"/>
            </w:rPr>
            <w:t>.</w:t>
          </w:r>
        </w:p>
        <w:p w:rsidR="00992010" w:rsidRDefault="00992010" w:rsidP="00992010">
          <w:pPr>
            <w:pStyle w:val="Heading1notnumber"/>
          </w:pPr>
          <w:bookmarkStart w:id="24" w:name="_Toc489945995"/>
          <w:r>
            <w:lastRenderedPageBreak/>
            <w:t xml:space="preserve">Appendix </w:t>
          </w:r>
          <w:r w:rsidR="005C68D8">
            <w:t>D</w:t>
          </w:r>
          <w:r>
            <w:tab/>
            <w:t>Closing bids</w:t>
          </w:r>
          <w:bookmarkEnd w:id="24"/>
          <w:r>
            <w:t xml:space="preserve"> </w:t>
          </w:r>
        </w:p>
        <w:p w:rsidR="001E75EC" w:rsidRPr="00FC49E6" w:rsidRDefault="00992010" w:rsidP="00992010">
          <w:r w:rsidRPr="00FC49E6">
            <w:t xml:space="preserve">Figures </w:t>
          </w:r>
          <w:r w:rsidR="005C68D8" w:rsidRPr="00FC49E6">
            <w:t>D</w:t>
          </w:r>
          <w:r w:rsidRPr="00FC49E6">
            <w:t xml:space="preserve">1a to </w:t>
          </w:r>
          <w:r w:rsidR="005C68D8" w:rsidRPr="00FC49E6">
            <w:t>D</w:t>
          </w:r>
          <w:r w:rsidR="006B3137">
            <w:t>8</w:t>
          </w:r>
          <w:r w:rsidR="008B4D01" w:rsidRPr="00FC49E6">
            <w:t>b</w:t>
          </w:r>
          <w:r w:rsidRPr="00FC49E6">
            <w:t xml:space="preserve"> highlight for each dispatch interval the lower and raise regulation </w:t>
          </w:r>
          <w:r w:rsidR="003C2B11" w:rsidRPr="00FC49E6">
            <w:t>services</w:t>
          </w:r>
          <w:r w:rsidRPr="00FC49E6">
            <w:t xml:space="preserve"> closing bids for </w:t>
          </w:r>
          <w:r w:rsidR="0073312A" w:rsidRPr="00FC49E6">
            <w:t>Origin</w:t>
          </w:r>
          <w:r w:rsidR="00D246EF" w:rsidRPr="00FC49E6">
            <w:t>,</w:t>
          </w:r>
          <w:r w:rsidRPr="00FC49E6">
            <w:t xml:space="preserve"> </w:t>
          </w:r>
          <w:r w:rsidR="00BC4389" w:rsidRPr="00FC49E6">
            <w:t>AGL and</w:t>
          </w:r>
          <w:r w:rsidRPr="00FC49E6">
            <w:t xml:space="preserve"> </w:t>
          </w:r>
          <w:r w:rsidR="008A5AC2" w:rsidRPr="00FC49E6">
            <w:t>Engie</w:t>
          </w:r>
          <w:r w:rsidRPr="00FC49E6">
            <w:t xml:space="preserve"> (the participants in South Australia with </w:t>
          </w:r>
          <w:r w:rsidR="003C2B11" w:rsidRPr="00FC49E6">
            <w:t>ancillary service capability</w:t>
          </w:r>
          <w:r w:rsidRPr="00FC49E6">
            <w:t>)</w:t>
          </w:r>
          <w:r w:rsidR="00EE2EBF" w:rsidRPr="00FC49E6">
            <w:t xml:space="preserve">. </w:t>
          </w:r>
          <w:r w:rsidRPr="00FC49E6">
            <w:t xml:space="preserve">It also shows the dispatch level of the respective services at each station and the dispatch price. </w:t>
          </w:r>
        </w:p>
        <w:p w:rsidR="00EE2EBF" w:rsidRDefault="00EE2EBF" w:rsidP="00992010">
          <w:r w:rsidRPr="00FC49E6">
            <w:t xml:space="preserve">FCAS services are co-optimised with energy offers. For example a generator that is operating at its maximum capacity cannot provide raise services so their effective available capacity for raise services would be zero. Figures denoted with an “a” refer to the quantities offered while those with a “b” refer to the </w:t>
          </w:r>
          <w:r w:rsidRPr="00FC49E6">
            <w:rPr>
              <w:i/>
            </w:rPr>
            <w:t>effective</w:t>
          </w:r>
          <w:r w:rsidRPr="00FC49E6">
            <w:t xml:space="preserve"> quantities available to the market after accounting for the interaction between energy and FCAS (“effective available capacity”).</w:t>
          </w:r>
          <w:r w:rsidRPr="00471C35">
            <w:t xml:space="preserve"> </w:t>
          </w:r>
        </w:p>
        <w:p w:rsidR="009343DA" w:rsidRPr="0030786B" w:rsidRDefault="0030786B" w:rsidP="00992010">
          <w:pPr>
            <w:rPr>
              <w:b/>
              <w:sz w:val="28"/>
              <w:szCs w:val="28"/>
            </w:rPr>
          </w:pPr>
          <w:r w:rsidRPr="0030786B">
            <w:rPr>
              <w:b/>
              <w:sz w:val="28"/>
              <w:szCs w:val="28"/>
            </w:rPr>
            <w:t>Lower regulation</w:t>
          </w:r>
        </w:p>
        <w:p w:rsidR="00992010" w:rsidRDefault="00992010" w:rsidP="00992010">
          <w:pPr>
            <w:pStyle w:val="Tabletitle"/>
            <w:spacing w:before="120" w:line="240" w:lineRule="auto"/>
          </w:pPr>
          <w:r>
            <w:t xml:space="preserve">Figure </w:t>
          </w:r>
          <w:r w:rsidR="005C68D8">
            <w:t>D</w:t>
          </w:r>
          <w:r>
            <w:t xml:space="preserve">1a: </w:t>
          </w:r>
          <w:r w:rsidR="00A962C3">
            <w:t>Quarantine</w:t>
          </w:r>
          <w:r>
            <w:t xml:space="preserve"> (</w:t>
          </w:r>
          <w:r w:rsidR="0073312A">
            <w:t>Origin</w:t>
          </w:r>
          <w:r>
            <w:t xml:space="preserve">) lower regulation service closing bid prices, dispatch and dispatch price </w:t>
          </w:r>
          <w:r w:rsidR="00F141C6">
            <w:t xml:space="preserve">- </w:t>
          </w:r>
          <w:r w:rsidR="00631126">
            <w:t>maximum offers</w:t>
          </w:r>
        </w:p>
        <w:p w:rsidR="00EE2EBF" w:rsidRDefault="0030786B" w:rsidP="00992010">
          <w:pPr>
            <w:pStyle w:val="Tabletitle"/>
            <w:spacing w:before="120" w:line="240" w:lineRule="auto"/>
          </w:pPr>
          <w:r w:rsidRPr="0030786B">
            <w:rPr>
              <w:noProof/>
              <w:lang w:eastAsia="en-AU"/>
            </w:rPr>
            <w:drawing>
              <wp:inline distT="0" distB="0" distL="0" distR="0" wp14:anchorId="3CF2AE03" wp14:editId="450A7631">
                <wp:extent cx="5382895" cy="390860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992010" w:rsidRDefault="00992010" w:rsidP="009343DA">
          <w:pPr>
            <w:pStyle w:val="Tabletitle"/>
            <w:keepNext/>
            <w:spacing w:before="120" w:line="240" w:lineRule="auto"/>
          </w:pPr>
          <w:r>
            <w:lastRenderedPageBreak/>
            <w:t xml:space="preserve">Figure </w:t>
          </w:r>
          <w:r w:rsidR="005C68D8">
            <w:t>D</w:t>
          </w:r>
          <w:r>
            <w:t xml:space="preserve">1b: </w:t>
          </w:r>
          <w:r w:rsidR="00A962C3">
            <w:t>Quarantine</w:t>
          </w:r>
          <w:r w:rsidR="00631126">
            <w:t xml:space="preserve"> (</w:t>
          </w:r>
          <w:r w:rsidR="0073312A">
            <w:t>Origin</w:t>
          </w:r>
          <w:r w:rsidR="00631126">
            <w:t xml:space="preserve">) </w:t>
          </w:r>
          <w:r>
            <w:t>lower regulation service closing bid prices, dispatch and dispatch price</w:t>
          </w:r>
          <w:r w:rsidR="00F141C6">
            <w:t xml:space="preserve"> </w:t>
          </w:r>
          <w:r>
            <w:t>– effective offers</w:t>
          </w:r>
        </w:p>
        <w:p w:rsidR="0023561D" w:rsidRDefault="0030786B">
          <w:pPr>
            <w:spacing w:line="240" w:lineRule="auto"/>
            <w:jc w:val="left"/>
          </w:pPr>
          <w:r w:rsidRPr="0030786B">
            <w:rPr>
              <w:noProof/>
              <w:lang w:eastAsia="en-AU"/>
            </w:rPr>
            <w:drawing>
              <wp:inline distT="0" distB="0" distL="0" distR="0" wp14:anchorId="3D650C1E" wp14:editId="688EBE53">
                <wp:extent cx="5382895" cy="3901036"/>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2895" cy="3901036"/>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2a: </w:t>
          </w:r>
          <w:r w:rsidR="0030786B">
            <w:t>Osborne</w:t>
          </w:r>
          <w:r>
            <w:t xml:space="preserve"> (</w:t>
          </w:r>
          <w:r w:rsidR="0030786B">
            <w:t>Origin</w:t>
          </w:r>
          <w:r>
            <w:t>) lower regulation service closing bid prices, disp</w:t>
          </w:r>
          <w:r w:rsidR="00631126">
            <w:t xml:space="preserve">atch and dispatch </w:t>
          </w:r>
          <w:r w:rsidR="00F141C6">
            <w:t>price</w:t>
          </w:r>
          <w:r w:rsidR="00631126">
            <w:t xml:space="preserve"> – maximum offers</w:t>
          </w:r>
        </w:p>
        <w:p w:rsidR="00631126" w:rsidRDefault="0030786B" w:rsidP="00992010">
          <w:pPr>
            <w:pStyle w:val="Tabletitle"/>
            <w:spacing w:before="120" w:line="240" w:lineRule="auto"/>
          </w:pPr>
          <w:r w:rsidRPr="0030786B">
            <w:rPr>
              <w:noProof/>
              <w:lang w:eastAsia="en-AU"/>
            </w:rPr>
            <w:drawing>
              <wp:inline distT="0" distB="0" distL="0" distR="0" wp14:anchorId="472877C7" wp14:editId="7687F045">
                <wp:extent cx="5382895" cy="390860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7010BE" w:rsidRDefault="00992010" w:rsidP="00992010">
          <w:pPr>
            <w:pStyle w:val="Tabletitle"/>
            <w:spacing w:before="120" w:line="240" w:lineRule="auto"/>
          </w:pPr>
          <w:r>
            <w:lastRenderedPageBreak/>
            <w:t xml:space="preserve">Figure </w:t>
          </w:r>
          <w:r w:rsidR="005C68D8">
            <w:t>D</w:t>
          </w:r>
          <w:r>
            <w:t xml:space="preserve">2b: </w:t>
          </w:r>
          <w:r w:rsidR="0030786B">
            <w:t xml:space="preserve">Osborne (Origin) </w:t>
          </w:r>
          <w:r>
            <w:t>lower regulation service closing bid prices, dispatch and dispatch price – effective offers</w:t>
          </w:r>
        </w:p>
        <w:p w:rsidR="00A9661C" w:rsidRDefault="004104D8" w:rsidP="00992010">
          <w:pPr>
            <w:pStyle w:val="Tabletitle"/>
          </w:pPr>
          <w:r w:rsidRPr="004104D8">
            <w:rPr>
              <w:noProof/>
              <w:lang w:eastAsia="en-AU"/>
            </w:rPr>
            <w:drawing>
              <wp:inline distT="0" distB="0" distL="0" distR="0" wp14:anchorId="5819853F" wp14:editId="6619973A">
                <wp:extent cx="5382895" cy="3908607"/>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t xml:space="preserve">3a: </w:t>
          </w:r>
          <w:r w:rsidR="00ED6D5A">
            <w:t>Pelican Point</w:t>
          </w:r>
          <w:r>
            <w:t xml:space="preserve"> (</w:t>
          </w:r>
          <w:r w:rsidR="008A5AC2">
            <w:t>Engie</w:t>
          </w:r>
          <w:r>
            <w:t xml:space="preserve">) </w:t>
          </w:r>
          <w:r w:rsidR="00ED6D5A">
            <w:t>lower</w:t>
          </w:r>
          <w:r>
            <w:t xml:space="preserve"> regulation service closing bid prices, dis</w:t>
          </w:r>
          <w:r w:rsidR="007A70FB">
            <w:t>patch and dispatch price</w:t>
          </w:r>
          <w:r w:rsidR="00ED6D5A">
            <w:t xml:space="preserve"> – maximum offers</w:t>
          </w:r>
        </w:p>
        <w:p w:rsidR="007010BE" w:rsidRDefault="006B3137" w:rsidP="00626BA2">
          <w:pPr>
            <w:pStyle w:val="Tabletitle"/>
            <w:spacing w:before="120" w:line="240" w:lineRule="auto"/>
          </w:pPr>
          <w:r w:rsidRPr="006B3137">
            <w:rPr>
              <w:noProof/>
              <w:lang w:eastAsia="en-AU"/>
            </w:rPr>
            <w:drawing>
              <wp:inline distT="0" distB="0" distL="0" distR="0" wp14:anchorId="7ECB8800" wp14:editId="612D5279">
                <wp:extent cx="5382895" cy="3908607"/>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992010" w:rsidRDefault="00626BA2" w:rsidP="00626BA2">
          <w:pPr>
            <w:pStyle w:val="Tabletitle"/>
            <w:spacing w:before="120" w:line="240" w:lineRule="auto"/>
          </w:pPr>
          <w:r>
            <w:lastRenderedPageBreak/>
            <w:t>Fig</w:t>
          </w:r>
          <w:r w:rsidR="00992010">
            <w:t xml:space="preserve">ure </w:t>
          </w:r>
          <w:r w:rsidR="005C68D8">
            <w:t>D</w:t>
          </w:r>
          <w:r w:rsidR="00992010">
            <w:t xml:space="preserve">3b: </w:t>
          </w:r>
          <w:r w:rsidR="00ED6D5A">
            <w:t>Pelican Point (</w:t>
          </w:r>
          <w:r w:rsidR="008A5AC2">
            <w:t>Engie</w:t>
          </w:r>
          <w:r w:rsidR="00ED6D5A">
            <w:t>) lower</w:t>
          </w:r>
          <w:r w:rsidR="00992010">
            <w:t xml:space="preserve"> regulation service closing bid prices, dispatch and dispatch price – effective offers</w:t>
          </w:r>
        </w:p>
        <w:p w:rsidR="00ED6D5A" w:rsidRDefault="006B3137" w:rsidP="00A9661C">
          <w:pPr>
            <w:pStyle w:val="Tabletitle"/>
            <w:keepNext/>
            <w:spacing w:before="120" w:line="240" w:lineRule="auto"/>
          </w:pPr>
          <w:r w:rsidRPr="006B3137">
            <w:rPr>
              <w:noProof/>
              <w:lang w:eastAsia="en-AU"/>
            </w:rPr>
            <w:drawing>
              <wp:inline distT="0" distB="0" distL="0" distR="0" wp14:anchorId="22C1CA25" wp14:editId="7F74AD47">
                <wp:extent cx="5382895" cy="3904680"/>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82895" cy="3904680"/>
                        </a:xfrm>
                        <a:prstGeom prst="rect">
                          <a:avLst/>
                        </a:prstGeom>
                        <a:noFill/>
                        <a:ln>
                          <a:noFill/>
                        </a:ln>
                      </pic:spPr>
                    </pic:pic>
                  </a:graphicData>
                </a:graphic>
              </wp:inline>
            </w:drawing>
          </w:r>
        </w:p>
        <w:p w:rsidR="006B3137" w:rsidRDefault="006B3137" w:rsidP="006B3137">
          <w:pPr>
            <w:pStyle w:val="Tabletitle"/>
            <w:spacing w:before="120" w:line="240" w:lineRule="auto"/>
          </w:pPr>
          <w:r>
            <w:t>Figure D4a: Torrens Island (AGL) lower regulation service closing bid prices, dispatch and dispatch price – maximum offers</w:t>
          </w:r>
        </w:p>
        <w:p w:rsidR="006B3137" w:rsidRDefault="004B1673" w:rsidP="006B3137">
          <w:pPr>
            <w:pStyle w:val="AERBody0"/>
          </w:pPr>
          <w:r w:rsidRPr="004B1673">
            <w:rPr>
              <w:noProof/>
              <w:lang w:eastAsia="en-AU"/>
            </w:rPr>
            <w:drawing>
              <wp:inline distT="0" distB="0" distL="0" distR="0" wp14:anchorId="3A2873B4" wp14:editId="3CEBA46C">
                <wp:extent cx="5382895" cy="390860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2895" cy="3908607"/>
                        </a:xfrm>
                        <a:prstGeom prst="rect">
                          <a:avLst/>
                        </a:prstGeom>
                        <a:noFill/>
                        <a:ln>
                          <a:noFill/>
                        </a:ln>
                      </pic:spPr>
                    </pic:pic>
                  </a:graphicData>
                </a:graphic>
              </wp:inline>
            </w:drawing>
          </w:r>
        </w:p>
        <w:p w:rsidR="006B3137" w:rsidRDefault="006B3137" w:rsidP="006B3137">
          <w:pPr>
            <w:pStyle w:val="Tabletitle"/>
            <w:spacing w:before="120" w:line="240" w:lineRule="auto"/>
          </w:pPr>
          <w:r>
            <w:lastRenderedPageBreak/>
            <w:t>Figure D4b: Torrens Island (AGL) lower regulation service closing bid prices, dispatch and dispatch price – effective offers</w:t>
          </w:r>
        </w:p>
        <w:p w:rsidR="006B3137" w:rsidRDefault="006B3137" w:rsidP="006B3137">
          <w:pPr>
            <w:pStyle w:val="AERBody0"/>
          </w:pPr>
          <w:r w:rsidRPr="006B3137">
            <w:rPr>
              <w:noProof/>
              <w:lang w:eastAsia="en-AU"/>
            </w:rPr>
            <w:drawing>
              <wp:inline distT="0" distB="0" distL="0" distR="0" wp14:anchorId="370F8985" wp14:editId="6A1B7553">
                <wp:extent cx="5382895" cy="3790081"/>
                <wp:effectExtent l="0" t="0" r="825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82895" cy="3790081"/>
                        </a:xfrm>
                        <a:prstGeom prst="rect">
                          <a:avLst/>
                        </a:prstGeom>
                        <a:noFill/>
                        <a:ln>
                          <a:noFill/>
                        </a:ln>
                      </pic:spPr>
                    </pic:pic>
                  </a:graphicData>
                </a:graphic>
              </wp:inline>
            </w:drawing>
          </w:r>
        </w:p>
        <w:p w:rsidR="009343DA" w:rsidRDefault="009343DA">
          <w:pPr>
            <w:spacing w:line="240" w:lineRule="auto"/>
            <w:jc w:val="left"/>
            <w:rPr>
              <w:b/>
              <w:sz w:val="28"/>
              <w:szCs w:val="28"/>
            </w:rPr>
          </w:pPr>
          <w:r>
            <w:rPr>
              <w:b/>
              <w:sz w:val="28"/>
              <w:szCs w:val="28"/>
            </w:rPr>
            <w:br w:type="page"/>
          </w:r>
        </w:p>
        <w:p w:rsidR="00EE2EBF" w:rsidRPr="006E6461" w:rsidRDefault="00EE2EBF" w:rsidP="00EE2EBF">
          <w:pPr>
            <w:rPr>
              <w:b/>
              <w:sz w:val="28"/>
              <w:szCs w:val="28"/>
            </w:rPr>
          </w:pPr>
          <w:r>
            <w:rPr>
              <w:b/>
              <w:sz w:val="28"/>
              <w:szCs w:val="28"/>
            </w:rPr>
            <w:lastRenderedPageBreak/>
            <w:t>Raise</w:t>
          </w:r>
          <w:r w:rsidRPr="006E6461">
            <w:rPr>
              <w:b/>
              <w:sz w:val="28"/>
              <w:szCs w:val="28"/>
            </w:rPr>
            <w:t xml:space="preserve"> Regulation</w:t>
          </w:r>
        </w:p>
        <w:p w:rsidR="00992010" w:rsidRDefault="00992010" w:rsidP="00567980">
          <w:pPr>
            <w:pStyle w:val="Tabletitle"/>
            <w:spacing w:before="0" w:line="240" w:lineRule="auto"/>
          </w:pPr>
          <w:r>
            <w:t xml:space="preserve">Figure </w:t>
          </w:r>
          <w:r w:rsidR="005C68D8">
            <w:t>D</w:t>
          </w:r>
          <w:r w:rsidR="006B3137">
            <w:t>5</w:t>
          </w:r>
          <w:r>
            <w:t xml:space="preserve">a: </w:t>
          </w:r>
          <w:r w:rsidR="00A962C3">
            <w:t>Quarantine</w:t>
          </w:r>
          <w:r w:rsidR="006A0160">
            <w:t xml:space="preserve"> (</w:t>
          </w:r>
          <w:r w:rsidR="0073312A">
            <w:t>Origin</w:t>
          </w:r>
          <w:r w:rsidR="006A0160">
            <w:t>) raise regulation service closing bid prices, di</w:t>
          </w:r>
          <w:r w:rsidR="00717ACE">
            <w:t xml:space="preserve">spatch and dispatch price </w:t>
          </w:r>
          <w:r w:rsidR="006A0160">
            <w:t>- maximum offers</w:t>
          </w:r>
        </w:p>
        <w:p w:rsidR="008E5AED" w:rsidRDefault="006B3137" w:rsidP="00992010">
          <w:pPr>
            <w:pStyle w:val="Tabletitle"/>
            <w:spacing w:before="120" w:line="240" w:lineRule="auto"/>
          </w:pPr>
          <w:r w:rsidRPr="006B3137">
            <w:rPr>
              <w:noProof/>
              <w:lang w:eastAsia="en-AU"/>
            </w:rPr>
            <w:drawing>
              <wp:inline distT="0" distB="0" distL="0" distR="0" wp14:anchorId="3A70F254" wp14:editId="1A0D600D">
                <wp:extent cx="5281574" cy="3837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80503" cy="3836632"/>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rsidR="006B3137">
            <w:t>5</w:t>
          </w:r>
          <w:r>
            <w:t xml:space="preserve">b: </w:t>
          </w:r>
          <w:r w:rsidR="006A0160">
            <w:t>Quarantine (</w:t>
          </w:r>
          <w:r w:rsidR="0073312A">
            <w:t>Origin</w:t>
          </w:r>
          <w:r w:rsidR="006A0160">
            <w:t>) raise regulation service closing bid prices, dispatch and dispatch price - effective offers</w:t>
          </w:r>
        </w:p>
        <w:p w:rsidR="006B3137" w:rsidRDefault="00567980" w:rsidP="006B3137">
          <w:pPr>
            <w:pStyle w:val="AERBody0"/>
          </w:pPr>
          <w:r w:rsidRPr="00567980">
            <w:t xml:space="preserve"> </w:t>
          </w:r>
          <w:r w:rsidRPr="00567980">
            <w:rPr>
              <w:noProof/>
              <w:lang w:eastAsia="en-AU"/>
            </w:rPr>
            <w:drawing>
              <wp:inline distT="0" distB="0" distL="0" distR="0" wp14:anchorId="0E2A9CE8" wp14:editId="13D21D04">
                <wp:extent cx="5319043" cy="3864634"/>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3482" cy="3867859"/>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5C68D8">
            <w:t>D</w:t>
          </w:r>
          <w:r w:rsidR="00567980">
            <w:t>6</w:t>
          </w:r>
          <w:r>
            <w:t xml:space="preserve">a: </w:t>
          </w:r>
          <w:r w:rsidR="00567980">
            <w:t>Osborne</w:t>
          </w:r>
          <w:r w:rsidR="006A0160">
            <w:t xml:space="preserve"> (</w:t>
          </w:r>
          <w:r w:rsidR="00567980">
            <w:t>Origin</w:t>
          </w:r>
          <w:r w:rsidR="006A0160">
            <w:t>) raise regulation service closing bid prices, dispatch and dispatch price</w:t>
          </w:r>
          <w:r w:rsidR="00717ACE">
            <w:t xml:space="preserve"> </w:t>
          </w:r>
          <w:r w:rsidR="006A0160">
            <w:t>– maximum offers</w:t>
          </w:r>
        </w:p>
        <w:p w:rsidR="00992010" w:rsidRDefault="00567980" w:rsidP="00992010">
          <w:pPr>
            <w:pStyle w:val="Tabletitle"/>
            <w:spacing w:before="120" w:line="240" w:lineRule="auto"/>
          </w:pPr>
          <w:r w:rsidRPr="00567980">
            <w:rPr>
              <w:noProof/>
              <w:lang w:eastAsia="en-AU"/>
            </w:rPr>
            <w:drawing>
              <wp:inline distT="0" distB="0" distL="0" distR="0" wp14:anchorId="7EAFE6C9" wp14:editId="3D35A009">
                <wp:extent cx="5382895" cy="3911027"/>
                <wp:effectExtent l="0" t="0" r="825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rsidR="00567980">
            <w:t>6</w:t>
          </w:r>
          <w:r>
            <w:t xml:space="preserve">b: </w:t>
          </w:r>
          <w:r w:rsidR="00567980">
            <w:t xml:space="preserve">Osborne (Origin) </w:t>
          </w:r>
          <w:r w:rsidR="006A0160">
            <w:t>raise regulation service closing bid prices, dispatch and dispatch price</w:t>
          </w:r>
          <w:r w:rsidR="00717ACE">
            <w:t xml:space="preserve"> </w:t>
          </w:r>
          <w:r w:rsidR="006A0160">
            <w:t>– effective offers</w:t>
          </w:r>
        </w:p>
        <w:p w:rsidR="00992010" w:rsidRDefault="00567980" w:rsidP="00992010">
          <w:pPr>
            <w:pStyle w:val="Tabletitle"/>
            <w:spacing w:before="120" w:line="240" w:lineRule="auto"/>
          </w:pPr>
          <w:r w:rsidRPr="00567980">
            <w:rPr>
              <w:noProof/>
              <w:lang w:eastAsia="en-AU"/>
            </w:rPr>
            <w:drawing>
              <wp:inline distT="0" distB="0" distL="0" distR="0" wp14:anchorId="4D494C37" wp14:editId="0FFDB6BF">
                <wp:extent cx="5382895" cy="3911027"/>
                <wp:effectExtent l="0" t="0" r="825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5C68D8">
            <w:t>D</w:t>
          </w:r>
          <w:r w:rsidR="00972127">
            <w:t>7</w:t>
          </w:r>
          <w:r>
            <w:t xml:space="preserve">a: </w:t>
          </w:r>
          <w:r w:rsidR="006A0160">
            <w:t>Pelican Point (</w:t>
          </w:r>
          <w:r w:rsidR="008A5AC2">
            <w:t>Engie</w:t>
          </w:r>
          <w:r w:rsidR="006A0160">
            <w:t>) raise regulation service closing bid prices, dispatch and dispatch price</w:t>
          </w:r>
          <w:r w:rsidR="00717ACE">
            <w:t xml:space="preserve"> </w:t>
          </w:r>
          <w:r w:rsidR="006A0160">
            <w:t>– maximum offers</w:t>
          </w:r>
        </w:p>
        <w:p w:rsidR="00992010" w:rsidRDefault="00567980" w:rsidP="00992010">
          <w:pPr>
            <w:pStyle w:val="Tabletitle"/>
            <w:spacing w:before="120" w:line="240" w:lineRule="auto"/>
          </w:pPr>
          <w:r w:rsidRPr="00567980">
            <w:rPr>
              <w:noProof/>
              <w:lang w:eastAsia="en-AU"/>
            </w:rPr>
            <w:drawing>
              <wp:inline distT="0" distB="0" distL="0" distR="0" wp14:anchorId="13586BEC" wp14:editId="4230E87E">
                <wp:extent cx="5382895" cy="3911027"/>
                <wp:effectExtent l="0" t="0" r="825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5C68D8">
            <w:t>D</w:t>
          </w:r>
          <w:r w:rsidR="00972127">
            <w:t>7</w:t>
          </w:r>
          <w:r>
            <w:t xml:space="preserve">b: </w:t>
          </w:r>
          <w:r w:rsidR="00077A54">
            <w:t>Pelican Point (</w:t>
          </w:r>
          <w:r w:rsidR="008A5AC2">
            <w:t>Engie</w:t>
          </w:r>
          <w:r w:rsidR="00077A54">
            <w:t>) raise regulation service closing bid prices, dispatch and dispatch price</w:t>
          </w:r>
          <w:r w:rsidR="00717ACE">
            <w:t xml:space="preserve"> </w:t>
          </w:r>
          <w:r w:rsidR="00077A54">
            <w:t>– effective offers</w:t>
          </w:r>
        </w:p>
        <w:p w:rsidR="00992010" w:rsidRDefault="00972127" w:rsidP="00992010">
          <w:pPr>
            <w:pStyle w:val="Tabletitle"/>
            <w:spacing w:before="120" w:line="240" w:lineRule="auto"/>
          </w:pPr>
          <w:r w:rsidRPr="00972127">
            <w:rPr>
              <w:noProof/>
              <w:lang w:eastAsia="en-AU"/>
            </w:rPr>
            <w:drawing>
              <wp:inline distT="0" distB="0" distL="0" distR="0" wp14:anchorId="6954069B" wp14:editId="578E6A88">
                <wp:extent cx="5382895" cy="3911027"/>
                <wp:effectExtent l="0" t="0" r="825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72127" w:rsidRDefault="00972127" w:rsidP="00972127">
          <w:pPr>
            <w:pStyle w:val="Tabletitle"/>
            <w:spacing w:before="120" w:line="240" w:lineRule="auto"/>
          </w:pPr>
          <w:r>
            <w:lastRenderedPageBreak/>
            <w:t>Figure D8a: Torrens Island (AGL) raise regulation service closing bid prices, dispatch and dispatch price – maximum offers</w:t>
          </w:r>
        </w:p>
        <w:p w:rsidR="00972127" w:rsidRDefault="00972127" w:rsidP="00972127">
          <w:pPr>
            <w:pStyle w:val="AERBody0"/>
          </w:pPr>
          <w:r w:rsidRPr="00972127">
            <w:rPr>
              <w:noProof/>
              <w:lang w:eastAsia="en-AU"/>
            </w:rPr>
            <w:drawing>
              <wp:inline distT="0" distB="0" distL="0" distR="0" wp14:anchorId="0D99D7C6" wp14:editId="61F77DC7">
                <wp:extent cx="5296205" cy="3961968"/>
                <wp:effectExtent l="0" t="0" r="0" b="63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00758" cy="3965374"/>
                        </a:xfrm>
                        <a:prstGeom prst="rect">
                          <a:avLst/>
                        </a:prstGeom>
                        <a:noFill/>
                        <a:ln>
                          <a:noFill/>
                        </a:ln>
                      </pic:spPr>
                    </pic:pic>
                  </a:graphicData>
                </a:graphic>
              </wp:inline>
            </w:drawing>
          </w:r>
        </w:p>
        <w:p w:rsidR="00972127" w:rsidRDefault="00972127" w:rsidP="00972127">
          <w:pPr>
            <w:pStyle w:val="Tabletitle"/>
            <w:spacing w:before="120" w:line="240" w:lineRule="auto"/>
          </w:pPr>
          <w:r>
            <w:t>Figure D8b: Torrens Island (AGL) raise regulation service closing bid prices, dispatch and dispatch price – effective offers</w:t>
          </w:r>
        </w:p>
        <w:p w:rsidR="00972127" w:rsidRDefault="00972127" w:rsidP="00972127">
          <w:pPr>
            <w:pStyle w:val="AERBody0"/>
          </w:pPr>
          <w:r w:rsidRPr="00972127">
            <w:rPr>
              <w:noProof/>
              <w:lang w:eastAsia="en-AU"/>
            </w:rPr>
            <w:drawing>
              <wp:inline distT="0" distB="0" distL="0" distR="0" wp14:anchorId="6EA113A2" wp14:editId="347B0D9C">
                <wp:extent cx="5382895" cy="3911027"/>
                <wp:effectExtent l="0" t="0" r="825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82895" cy="3911027"/>
                        </a:xfrm>
                        <a:prstGeom prst="rect">
                          <a:avLst/>
                        </a:prstGeom>
                        <a:noFill/>
                        <a:ln>
                          <a:noFill/>
                        </a:ln>
                      </pic:spPr>
                    </pic:pic>
                  </a:graphicData>
                </a:graphic>
              </wp:inline>
            </w:drawing>
          </w:r>
        </w:p>
        <w:p w:rsidR="00992010" w:rsidRPr="005C68D8" w:rsidRDefault="00461F4E" w:rsidP="005C68D8">
          <w:pPr>
            <w:pStyle w:val="Heading1notnumber"/>
          </w:pPr>
          <w:bookmarkStart w:id="25" w:name="_Toc489945996"/>
          <w:r w:rsidRPr="005C68D8">
            <w:lastRenderedPageBreak/>
            <w:t xml:space="preserve">Appendix </w:t>
          </w:r>
          <w:r w:rsidR="005C68D8" w:rsidRPr="005C68D8">
            <w:t>E</w:t>
          </w:r>
          <w:r w:rsidR="00992010" w:rsidRPr="005C68D8">
            <w:tab/>
            <w:t>Relevant Market Notices</w:t>
          </w:r>
          <w:bookmarkEnd w:id="25"/>
        </w:p>
        <w:p w:rsidR="00902C1B" w:rsidRPr="008551CE" w:rsidRDefault="000940D0" w:rsidP="005B494B">
          <w:pPr>
            <w:spacing w:after="240"/>
          </w:pPr>
          <w:r w:rsidRPr="00AA546B">
            <w:t>AEMO issued the following market notice</w:t>
          </w:r>
          <w:r w:rsidR="002C2211">
            <w:t>s</w:t>
          </w:r>
          <w:r w:rsidR="005B494B" w:rsidRPr="00AA546B">
            <w:t xml:space="preserve"> to </w:t>
          </w:r>
          <w:proofErr w:type="gramStart"/>
          <w:r w:rsidR="005B494B" w:rsidRPr="00AA546B">
            <w:t>advise</w:t>
          </w:r>
          <w:proofErr w:type="gramEnd"/>
          <w:r w:rsidR="005B494B" w:rsidRPr="00AA546B">
            <w:t xml:space="preserve"> of the outage.</w:t>
          </w:r>
        </w:p>
        <w:tbl>
          <w:tblPr>
            <w:tblStyle w:val="AERsummarytable"/>
            <w:tblW w:w="0" w:type="auto"/>
            <w:tblLook w:val="04A0" w:firstRow="1" w:lastRow="0" w:firstColumn="1" w:lastColumn="0" w:noHBand="0" w:noVBand="1"/>
          </w:tblPr>
          <w:tblGrid>
            <w:gridCol w:w="2173"/>
            <w:gridCol w:w="2173"/>
            <w:gridCol w:w="2173"/>
            <w:gridCol w:w="2174"/>
          </w:tblGrid>
          <w:tr w:rsidR="00902C1B" w:rsidRPr="008551CE" w:rsidTr="0057589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02C1B" w:rsidRPr="008551CE" w:rsidRDefault="00902C1B" w:rsidP="0057589A">
                <w:pPr>
                  <w:tabs>
                    <w:tab w:val="right" w:pos="1957"/>
                  </w:tabs>
                </w:pPr>
                <w:r w:rsidRPr="008551CE">
                  <w:t>Market Notice</w:t>
                </w:r>
                <w:r w:rsidRPr="008551CE">
                  <w:tab/>
                </w:r>
              </w:p>
            </w:tc>
            <w:tc>
              <w:tcPr>
                <w:tcW w:w="2173" w:type="dxa"/>
              </w:tcPr>
              <w:p w:rsidR="00902C1B" w:rsidRPr="008551CE" w:rsidRDefault="00902C1B" w:rsidP="0057589A">
                <w:r w:rsidRPr="008551CE">
                  <w:t>Type</w:t>
                </w:r>
              </w:p>
            </w:tc>
            <w:tc>
              <w:tcPr>
                <w:tcW w:w="2173" w:type="dxa"/>
              </w:tcPr>
              <w:p w:rsidR="00902C1B" w:rsidRPr="008551CE" w:rsidRDefault="00902C1B" w:rsidP="0057589A">
                <w:r w:rsidRPr="008551CE">
                  <w:t>Date of issue</w:t>
                </w:r>
              </w:p>
            </w:tc>
            <w:tc>
              <w:tcPr>
                <w:tcW w:w="2174" w:type="dxa"/>
              </w:tcPr>
              <w:p w:rsidR="00902C1B" w:rsidRPr="008551CE" w:rsidRDefault="00902C1B" w:rsidP="0057589A">
                <w:r w:rsidRPr="008551CE">
                  <w:t>Last Changed</w:t>
                </w:r>
              </w:p>
            </w:tc>
          </w:tr>
          <w:tr w:rsidR="00902C1B" w:rsidRPr="008551CE" w:rsidTr="0057589A">
            <w:trPr>
              <w:cnfStyle w:val="000000100000" w:firstRow="0" w:lastRow="0" w:firstColumn="0" w:lastColumn="0" w:oddVBand="0" w:evenVBand="0" w:oddHBand="1" w:evenHBand="0" w:firstRowFirstColumn="0" w:firstRowLastColumn="0" w:lastRowFirstColumn="0" w:lastRowLastColumn="0"/>
            </w:trPr>
            <w:tc>
              <w:tcPr>
                <w:tcW w:w="2173" w:type="dxa"/>
              </w:tcPr>
              <w:p w:rsidR="00902C1B" w:rsidRPr="008551CE" w:rsidRDefault="00902C1B" w:rsidP="00E0439B">
                <w:r w:rsidRPr="008551CE">
                  <w:t>5</w:t>
                </w:r>
                <w:r w:rsidR="00AA546B">
                  <w:t>8</w:t>
                </w:r>
                <w:r w:rsidR="00E0439B">
                  <w:t>470</w:t>
                </w:r>
              </w:p>
            </w:tc>
            <w:tc>
              <w:tcPr>
                <w:tcW w:w="2173" w:type="dxa"/>
              </w:tcPr>
              <w:p w:rsidR="00902C1B" w:rsidRPr="008551CE" w:rsidRDefault="00902C1B" w:rsidP="0057589A">
                <w:r>
                  <w:rPr>
                    <w:rFonts w:cs="Arial"/>
                    <w:szCs w:val="18"/>
                  </w:rPr>
                  <w:t>GENERAL NOTICE</w:t>
                </w:r>
              </w:p>
            </w:tc>
            <w:tc>
              <w:tcPr>
                <w:tcW w:w="2173" w:type="dxa"/>
              </w:tcPr>
              <w:p w:rsidR="00902C1B" w:rsidRPr="008551CE" w:rsidRDefault="00E0439B" w:rsidP="00E0439B">
                <w:r>
                  <w:t>4/05/2017  8:56:02</w:t>
                </w:r>
              </w:p>
            </w:tc>
            <w:tc>
              <w:tcPr>
                <w:tcW w:w="2174" w:type="dxa"/>
              </w:tcPr>
              <w:p w:rsidR="00902C1B" w:rsidRPr="008551CE" w:rsidRDefault="00E0439B" w:rsidP="0057589A">
                <w:r>
                  <w:t>4/05/2017  8:56:02</w:t>
                </w:r>
              </w:p>
            </w:tc>
          </w:tr>
          <w:tr w:rsidR="00902C1B" w:rsidRPr="008551CE" w:rsidTr="0057589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02C1B" w:rsidRPr="008551CE" w:rsidRDefault="00902C1B" w:rsidP="0057589A">
                <w:pPr>
                  <w:spacing w:before="240"/>
                  <w:jc w:val="left"/>
                  <w:rPr>
                    <w:b/>
                  </w:rPr>
                </w:pPr>
                <w:r w:rsidRPr="008551CE">
                  <w:rPr>
                    <w:b/>
                    <w:color w:val="FFFFFF" w:themeColor="background1"/>
                  </w:rPr>
                  <w:t>Reason</w:t>
                </w:r>
              </w:p>
            </w:tc>
          </w:tr>
          <w:tr w:rsidR="00902C1B" w:rsidRPr="00461F4E" w:rsidTr="0057589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02C1B" w:rsidRPr="00972127" w:rsidRDefault="00E0439B" w:rsidP="00AA546B">
                <w:pPr>
                  <w:jc w:val="left"/>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Heywood No.1 500 kV busbar in Victoria Region is planned to be out of service from 22/05/2017 0600 </w:t>
                </w:r>
                <w:proofErr w:type="spellStart"/>
                <w:r>
                  <w:rPr>
                    <w:rFonts w:cs="Arial"/>
                    <w:szCs w:val="18"/>
                  </w:rPr>
                  <w:t>hrs</w:t>
                </w:r>
                <w:proofErr w:type="spellEnd"/>
                <w:r>
                  <w:rPr>
                    <w:rFonts w:cs="Arial"/>
                    <w:szCs w:val="18"/>
                  </w:rPr>
                  <w:t xml:space="preserve"> - 22/05/2017 1800 </w:t>
                </w:r>
                <w:proofErr w:type="spellStart"/>
                <w:proofErr w:type="gramStart"/>
                <w:r>
                  <w:rPr>
                    <w:rFonts w:cs="Arial"/>
                    <w:szCs w:val="18"/>
                  </w:rPr>
                  <w:t>hrs</w:t>
                </w:r>
                <w:proofErr w:type="spellEnd"/>
                <w:r>
                  <w:rPr>
                    <w:rFonts w:cs="Arial"/>
                    <w:szCs w:val="18"/>
                  </w:rPr>
                  <w:t xml:space="preserve"> .</w:t>
                </w:r>
                <w:proofErr w:type="gramEnd"/>
                <w:r>
                  <w:rPr>
                    <w:rFonts w:cs="Arial"/>
                    <w:szCs w:val="18"/>
                  </w:rPr>
                  <w:t xml:space="preserve"> </w:t>
                </w:r>
                <w:r>
                  <w:rPr>
                    <w:rFonts w:cs="Arial"/>
                    <w:szCs w:val="18"/>
                  </w:rPr>
                  <w:br/>
                </w:r>
                <w:r>
                  <w:rPr>
                    <w:rFonts w:cs="Arial"/>
                    <w:szCs w:val="18"/>
                  </w:rPr>
                  <w:br/>
                  <w:t xml:space="preserve">A credible contingency event during this planned outage could cause synchronous separation of the South Australia (SA) region from the rest of the NEM. If separation occurs, load may be interrupted due to the operation of the Automatic Under Frequency Load Shedding (AUFLS) scheme in SA. </w:t>
                </w:r>
                <w:r>
                  <w:rPr>
                    <w:rFonts w:cs="Arial"/>
                    <w:szCs w:val="18"/>
                  </w:rPr>
                  <w:br/>
                </w:r>
                <w:r>
                  <w:rPr>
                    <w:rFonts w:cs="Arial"/>
                    <w:szCs w:val="18"/>
                  </w:rPr>
                  <w:br/>
                  <w:t xml:space="preserve">The credible separation contingency is managed as follows: </w:t>
                </w:r>
                <w:r>
                  <w:rPr>
                    <w:rFonts w:cs="Arial"/>
                    <w:szCs w:val="18"/>
                  </w:rPr>
                  <w:br/>
                </w:r>
                <w:r>
                  <w:rPr>
                    <w:rFonts w:cs="Arial"/>
                    <w:szCs w:val="18"/>
                  </w:rPr>
                  <w:br/>
                  <w:t xml:space="preserve">o 35 MW of raise and lower regulation FCAS will be sourced from SA. </w:t>
                </w:r>
                <w:r>
                  <w:rPr>
                    <w:rFonts w:cs="Arial"/>
                    <w:szCs w:val="18"/>
                  </w:rPr>
                  <w:br/>
                </w:r>
                <w:proofErr w:type="gramStart"/>
                <w:r>
                  <w:rPr>
                    <w:rFonts w:cs="Arial"/>
                    <w:szCs w:val="18"/>
                  </w:rPr>
                  <w:t>o</w:t>
                </w:r>
                <w:proofErr w:type="gramEnd"/>
                <w:r>
                  <w:rPr>
                    <w:rFonts w:cs="Arial"/>
                    <w:szCs w:val="18"/>
                  </w:rPr>
                  <w:t xml:space="preserve"> When power transfer is from SA to Victoria (Vic), contingency lower FCAS will be sourced from SA. </w:t>
                </w:r>
                <w:r>
                  <w:rPr>
                    <w:rFonts w:cs="Arial"/>
                    <w:szCs w:val="18"/>
                  </w:rPr>
                  <w:br/>
                </w:r>
                <w:proofErr w:type="gramStart"/>
                <w:r>
                  <w:rPr>
                    <w:rFonts w:cs="Arial"/>
                    <w:szCs w:val="18"/>
                  </w:rPr>
                  <w:t>o</w:t>
                </w:r>
                <w:proofErr w:type="gramEnd"/>
                <w:r>
                  <w:rPr>
                    <w:rFonts w:cs="Arial"/>
                    <w:szCs w:val="18"/>
                  </w:rPr>
                  <w:t xml:space="preserve"> When power transfer is from Vic to SA, due to the 47-52Hz island separation frequency band advised by the SA jurisdiction, contingency raise FCAS is not sourced in SA and the AUFLS scheme may respond to low frequency events. </w:t>
                </w:r>
                <w:r>
                  <w:rPr>
                    <w:rFonts w:cs="Arial"/>
                    <w:szCs w:val="18"/>
                  </w:rPr>
                  <w:br/>
                </w:r>
                <w:r>
                  <w:rPr>
                    <w:rFonts w:cs="Arial"/>
                    <w:szCs w:val="18"/>
                  </w:rPr>
                  <w:br/>
                  <w:t xml:space="preserve">Forecast capacity reserves in the SA region are currently sufficient to meet electricity demand during the planned outage.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F-I_HYSE (includes F-S_LREG_0035 and F-S_RREG_0035) </w:t>
                </w:r>
                <w:r>
                  <w:rPr>
                    <w:rFonts w:cs="Arial"/>
                    <w:szCs w:val="18"/>
                  </w:rPr>
                  <w:br/>
                  <w:t xml:space="preserve">S-X_BC_CP </w:t>
                </w:r>
                <w:r>
                  <w:rPr>
                    <w:rFonts w:cs="Arial"/>
                    <w:szCs w:val="18"/>
                  </w:rPr>
                  <w:br/>
                  <w:t xml:space="preserve">V-HYTX_M12 </w:t>
                </w:r>
                <w:r>
                  <w:rPr>
                    <w:rFonts w:cs="Arial"/>
                    <w:szCs w:val="18"/>
                  </w:rPr>
                  <w:br/>
                  <w:t xml:space="preserve">V-HY_500BUS </w:t>
                </w:r>
                <w:r>
                  <w:rPr>
                    <w:rFonts w:cs="Arial"/>
                    <w:szCs w:val="18"/>
                  </w:rPr>
                  <w:br/>
                  <w:t xml:space="preserve">I-VS_050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r>
                <w:proofErr w:type="spellStart"/>
                <w:r>
                  <w:rPr>
                    <w:rFonts w:cs="Arial"/>
                    <w:szCs w:val="18"/>
                  </w:rPr>
                  <w:t>Diyoni</w:t>
                </w:r>
                <w:proofErr w:type="spellEnd"/>
                <w:r>
                  <w:rPr>
                    <w:rFonts w:cs="Arial"/>
                    <w:szCs w:val="18"/>
                  </w:rPr>
                  <w:t xml:space="preserve"> </w:t>
                </w:r>
                <w:proofErr w:type="spellStart"/>
                <w:r>
                  <w:rPr>
                    <w:rFonts w:cs="Arial"/>
                    <w:szCs w:val="18"/>
                  </w:rPr>
                  <w:t>Hoole</w:t>
                </w:r>
                <w:proofErr w:type="spellEnd"/>
                <w:r>
                  <w:rPr>
                    <w:rFonts w:cs="Arial"/>
                    <w:szCs w:val="18"/>
                  </w:rPr>
                  <w:t xml:space="preserve"> </w:t>
                </w:r>
                <w:r>
                  <w:rPr>
                    <w:rFonts w:cs="Arial"/>
                    <w:szCs w:val="18"/>
                  </w:rPr>
                  <w:br/>
                  <w:t>AEMO Operations</w:t>
                </w:r>
              </w:p>
            </w:tc>
          </w:tr>
        </w:tbl>
        <w:p w:rsidR="00E0439B" w:rsidRDefault="00E0439B" w:rsidP="00992010">
          <w:pPr>
            <w:spacing w:line="240" w:lineRule="auto"/>
            <w:jc w:val="left"/>
          </w:pPr>
        </w:p>
        <w:p w:rsidR="00E0439B" w:rsidRDefault="00E0439B">
          <w:pPr>
            <w:spacing w:line="240" w:lineRule="auto"/>
            <w:jc w:val="left"/>
          </w:pPr>
          <w:r>
            <w:br w:type="page"/>
          </w:r>
        </w:p>
        <w:p w:rsidR="00992010" w:rsidRDefault="00992010" w:rsidP="00992010">
          <w:pPr>
            <w:spacing w:line="240" w:lineRule="auto"/>
            <w:jc w:val="left"/>
          </w:pPr>
        </w:p>
        <w:tbl>
          <w:tblPr>
            <w:tblStyle w:val="AERsummarytable"/>
            <w:tblW w:w="0" w:type="auto"/>
            <w:tblLook w:val="04A0" w:firstRow="1" w:lastRow="0" w:firstColumn="1" w:lastColumn="0" w:noHBand="0" w:noVBand="1"/>
          </w:tblPr>
          <w:tblGrid>
            <w:gridCol w:w="2173"/>
            <w:gridCol w:w="2173"/>
            <w:gridCol w:w="2173"/>
            <w:gridCol w:w="2174"/>
          </w:tblGrid>
          <w:tr w:rsidR="00E0439B" w:rsidRPr="008551CE" w:rsidTr="00E0439B">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E0439B" w:rsidRPr="008551CE" w:rsidRDefault="00E0439B" w:rsidP="00E0439B">
                <w:pPr>
                  <w:tabs>
                    <w:tab w:val="right" w:pos="1957"/>
                  </w:tabs>
                </w:pPr>
                <w:r w:rsidRPr="008551CE">
                  <w:t>Market Notice</w:t>
                </w:r>
                <w:r w:rsidRPr="008551CE">
                  <w:tab/>
                </w:r>
              </w:p>
            </w:tc>
            <w:tc>
              <w:tcPr>
                <w:tcW w:w="2173" w:type="dxa"/>
              </w:tcPr>
              <w:p w:rsidR="00E0439B" w:rsidRPr="008551CE" w:rsidRDefault="00E0439B" w:rsidP="00E0439B">
                <w:r w:rsidRPr="008551CE">
                  <w:t>Type</w:t>
                </w:r>
              </w:p>
            </w:tc>
            <w:tc>
              <w:tcPr>
                <w:tcW w:w="2173" w:type="dxa"/>
              </w:tcPr>
              <w:p w:rsidR="00E0439B" w:rsidRPr="008551CE" w:rsidRDefault="00E0439B" w:rsidP="00E0439B">
                <w:r w:rsidRPr="008551CE">
                  <w:t>Date of issue</w:t>
                </w:r>
              </w:p>
            </w:tc>
            <w:tc>
              <w:tcPr>
                <w:tcW w:w="2174" w:type="dxa"/>
              </w:tcPr>
              <w:p w:rsidR="00E0439B" w:rsidRPr="008551CE" w:rsidRDefault="00E0439B" w:rsidP="00E0439B">
                <w:r w:rsidRPr="008551CE">
                  <w:t>Last Changed</w:t>
                </w:r>
              </w:p>
            </w:tc>
          </w:tr>
          <w:tr w:rsidR="00E0439B" w:rsidRPr="008551CE" w:rsidTr="00E0439B">
            <w:trPr>
              <w:cnfStyle w:val="000000100000" w:firstRow="0" w:lastRow="0" w:firstColumn="0" w:lastColumn="0" w:oddVBand="0" w:evenVBand="0" w:oddHBand="1" w:evenHBand="0" w:firstRowFirstColumn="0" w:firstRowLastColumn="0" w:lastRowFirstColumn="0" w:lastRowLastColumn="0"/>
            </w:trPr>
            <w:tc>
              <w:tcPr>
                <w:tcW w:w="2173" w:type="dxa"/>
              </w:tcPr>
              <w:p w:rsidR="00E0439B" w:rsidRPr="008551CE" w:rsidRDefault="00E0439B" w:rsidP="00E0439B">
                <w:r w:rsidRPr="008551CE">
                  <w:t>5</w:t>
                </w:r>
                <w:r>
                  <w:t>8606</w:t>
                </w:r>
              </w:p>
            </w:tc>
            <w:tc>
              <w:tcPr>
                <w:tcW w:w="2173" w:type="dxa"/>
              </w:tcPr>
              <w:p w:rsidR="00E0439B" w:rsidRPr="008551CE" w:rsidRDefault="00E0439B" w:rsidP="00E0439B">
                <w:r>
                  <w:rPr>
                    <w:rFonts w:cs="Arial"/>
                    <w:szCs w:val="18"/>
                  </w:rPr>
                  <w:t>GENERAL NOTICE</w:t>
                </w:r>
              </w:p>
            </w:tc>
            <w:tc>
              <w:tcPr>
                <w:tcW w:w="2173" w:type="dxa"/>
              </w:tcPr>
              <w:p w:rsidR="00E0439B" w:rsidRPr="008551CE" w:rsidRDefault="00992754" w:rsidP="00992754">
                <w:r>
                  <w:t>21</w:t>
                </w:r>
                <w:r w:rsidR="00E0439B">
                  <w:t xml:space="preserve">/05/2017  </w:t>
                </w:r>
                <w:r>
                  <w:t>17</w:t>
                </w:r>
                <w:r w:rsidR="00E0439B">
                  <w:t>:</w:t>
                </w:r>
                <w:r>
                  <w:t>00</w:t>
                </w:r>
                <w:r w:rsidR="00E0439B">
                  <w:t>:</w:t>
                </w:r>
                <w:r>
                  <w:t>13</w:t>
                </w:r>
              </w:p>
            </w:tc>
            <w:tc>
              <w:tcPr>
                <w:tcW w:w="2174" w:type="dxa"/>
              </w:tcPr>
              <w:p w:rsidR="00E0439B" w:rsidRPr="008551CE" w:rsidRDefault="00992754" w:rsidP="00E0439B">
                <w:r>
                  <w:t>21/05/2017  17:00:13</w:t>
                </w:r>
              </w:p>
            </w:tc>
          </w:tr>
          <w:tr w:rsidR="00E0439B" w:rsidRPr="008551CE" w:rsidTr="00E0439B">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E0439B" w:rsidRPr="008551CE" w:rsidRDefault="00E0439B" w:rsidP="00E0439B">
                <w:pPr>
                  <w:spacing w:before="240"/>
                  <w:jc w:val="left"/>
                  <w:rPr>
                    <w:b/>
                  </w:rPr>
                </w:pPr>
                <w:r w:rsidRPr="008551CE">
                  <w:rPr>
                    <w:b/>
                    <w:color w:val="FFFFFF" w:themeColor="background1"/>
                  </w:rPr>
                  <w:t>Reason</w:t>
                </w:r>
              </w:p>
            </w:tc>
          </w:tr>
          <w:tr w:rsidR="00E0439B" w:rsidRPr="00461F4E" w:rsidTr="00E0439B">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E0439B" w:rsidRPr="00972127" w:rsidRDefault="00E0439B" w:rsidP="00E0439B">
                <w:pPr>
                  <w:jc w:val="left"/>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Heywood No.1 500 kV busbar in Victorian Region was planned to be out of service from 0600 </w:t>
                </w:r>
                <w:proofErr w:type="spellStart"/>
                <w:r>
                  <w:rPr>
                    <w:rFonts w:cs="Arial"/>
                    <w:szCs w:val="18"/>
                  </w:rPr>
                  <w:t>hrs</w:t>
                </w:r>
                <w:proofErr w:type="spellEnd"/>
                <w:r>
                  <w:rPr>
                    <w:rFonts w:cs="Arial"/>
                    <w:szCs w:val="18"/>
                  </w:rPr>
                  <w:t xml:space="preserve"> 22/05/2017 - 1800 </w:t>
                </w:r>
                <w:proofErr w:type="spellStart"/>
                <w:r>
                  <w:rPr>
                    <w:rFonts w:cs="Arial"/>
                    <w:szCs w:val="18"/>
                  </w:rPr>
                  <w:t>hrs</w:t>
                </w:r>
                <w:proofErr w:type="spellEnd"/>
                <w:r>
                  <w:rPr>
                    <w:rFonts w:cs="Arial"/>
                    <w:szCs w:val="18"/>
                  </w:rPr>
                  <w:t xml:space="preserve"> 22/05/2017 </w:t>
                </w:r>
                <w:r>
                  <w:rPr>
                    <w:rFonts w:cs="Arial"/>
                    <w:szCs w:val="18"/>
                  </w:rPr>
                  <w:br/>
                </w:r>
                <w:r>
                  <w:rPr>
                    <w:rFonts w:cs="Arial"/>
                    <w:szCs w:val="18"/>
                  </w:rPr>
                  <w:br/>
                  <w:t xml:space="preserve">The Heywood No.1 500 kV busbar in Victorian Region will now be out of service from 1000 </w:t>
                </w:r>
                <w:proofErr w:type="spellStart"/>
                <w:r>
                  <w:rPr>
                    <w:rFonts w:cs="Arial"/>
                    <w:szCs w:val="18"/>
                  </w:rPr>
                  <w:t>hrs</w:t>
                </w:r>
                <w:proofErr w:type="spellEnd"/>
                <w:r>
                  <w:rPr>
                    <w:rFonts w:cs="Arial"/>
                    <w:szCs w:val="18"/>
                  </w:rPr>
                  <w:t xml:space="preserve"> 22/05/2017 - 2200 </w:t>
                </w:r>
                <w:proofErr w:type="spellStart"/>
                <w:r>
                  <w:rPr>
                    <w:rFonts w:cs="Arial"/>
                    <w:szCs w:val="18"/>
                  </w:rPr>
                  <w:t>hrs</w:t>
                </w:r>
                <w:proofErr w:type="spellEnd"/>
                <w:r>
                  <w:rPr>
                    <w:rFonts w:cs="Arial"/>
                    <w:szCs w:val="18"/>
                  </w:rPr>
                  <w:t xml:space="preserve"> 22/05/2017 </w:t>
                </w:r>
                <w:r>
                  <w:rPr>
                    <w:rFonts w:cs="Arial"/>
                    <w:szCs w:val="18"/>
                  </w:rPr>
                  <w:br/>
                </w:r>
                <w:r>
                  <w:rPr>
                    <w:rFonts w:cs="Arial"/>
                    <w:szCs w:val="18"/>
                  </w:rPr>
                  <w:br/>
                  <w:t xml:space="preserve">A credible contingency event during this planned outage could cause synchronous separation of the South Australia (SA) region from the rest of the NEM. If separation occurs, load may be interrupted due to the operation of the Automatic Under Frequency Load Shedding (AUFLS) scheme in SA. </w:t>
                </w:r>
                <w:r>
                  <w:rPr>
                    <w:rFonts w:cs="Arial"/>
                    <w:szCs w:val="18"/>
                  </w:rPr>
                  <w:br/>
                </w:r>
                <w:r>
                  <w:rPr>
                    <w:rFonts w:cs="Arial"/>
                    <w:szCs w:val="18"/>
                  </w:rPr>
                  <w:br/>
                  <w:t xml:space="preserve">The credible separation contingency is managed as follows: </w:t>
                </w:r>
                <w:r>
                  <w:rPr>
                    <w:rFonts w:cs="Arial"/>
                    <w:szCs w:val="18"/>
                  </w:rPr>
                  <w:br/>
                </w:r>
                <w:r>
                  <w:rPr>
                    <w:rFonts w:cs="Arial"/>
                    <w:szCs w:val="18"/>
                  </w:rPr>
                  <w:br/>
                  <w:t xml:space="preserve">o 35 MW of raise and lower regulation FCAS will be sourced from SA. </w:t>
                </w:r>
                <w:r>
                  <w:rPr>
                    <w:rFonts w:cs="Arial"/>
                    <w:szCs w:val="18"/>
                  </w:rPr>
                  <w:br/>
                </w:r>
                <w:proofErr w:type="gramStart"/>
                <w:r>
                  <w:rPr>
                    <w:rFonts w:cs="Arial"/>
                    <w:szCs w:val="18"/>
                  </w:rPr>
                  <w:t>o</w:t>
                </w:r>
                <w:proofErr w:type="gramEnd"/>
                <w:r>
                  <w:rPr>
                    <w:rFonts w:cs="Arial"/>
                    <w:szCs w:val="18"/>
                  </w:rPr>
                  <w:t xml:space="preserve"> When power transfer is from SA to Victoria (Vic), contingency lower FCAS will be sourced from SA. </w:t>
                </w:r>
                <w:r>
                  <w:rPr>
                    <w:rFonts w:cs="Arial"/>
                    <w:szCs w:val="18"/>
                  </w:rPr>
                  <w:br/>
                </w:r>
                <w:proofErr w:type="gramStart"/>
                <w:r>
                  <w:rPr>
                    <w:rFonts w:cs="Arial"/>
                    <w:szCs w:val="18"/>
                  </w:rPr>
                  <w:t>o</w:t>
                </w:r>
                <w:proofErr w:type="gramEnd"/>
                <w:r>
                  <w:rPr>
                    <w:rFonts w:cs="Arial"/>
                    <w:szCs w:val="18"/>
                  </w:rPr>
                  <w:t xml:space="preserve"> When power transfer is from Vic to SA, due to the 47-52Hz island separation frequency band advised by the SA jurisdiction, contingency raise FCAS is not sourced in SA and the AUFLS scheme may respond to low frequency events. </w:t>
                </w:r>
                <w:r>
                  <w:rPr>
                    <w:rFonts w:cs="Arial"/>
                    <w:szCs w:val="18"/>
                  </w:rPr>
                  <w:br/>
                </w:r>
                <w:r>
                  <w:rPr>
                    <w:rFonts w:cs="Arial"/>
                    <w:szCs w:val="18"/>
                  </w:rPr>
                  <w:br/>
                  <w:t xml:space="preserve">Forecast capacity reserves in the SA region are currently sufficient to meet electricity demand during this planned outage.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F-I_HYSE (includes F-S_LREG_0035 and F-S_RREG_0035) </w:t>
                </w:r>
                <w:r>
                  <w:rPr>
                    <w:rFonts w:cs="Arial"/>
                    <w:szCs w:val="18"/>
                  </w:rPr>
                  <w:br/>
                  <w:t xml:space="preserve">S-X_BC_CP </w:t>
                </w:r>
                <w:r>
                  <w:rPr>
                    <w:rFonts w:cs="Arial"/>
                    <w:szCs w:val="18"/>
                  </w:rPr>
                  <w:br/>
                  <w:t xml:space="preserve">V-HYTX_M12 </w:t>
                </w:r>
                <w:r>
                  <w:rPr>
                    <w:rFonts w:cs="Arial"/>
                    <w:szCs w:val="18"/>
                  </w:rPr>
                  <w:br/>
                  <w:t xml:space="preserve">V-HY_500BUS </w:t>
                </w:r>
                <w:r>
                  <w:rPr>
                    <w:rFonts w:cs="Arial"/>
                    <w:szCs w:val="18"/>
                  </w:rPr>
                  <w:br/>
                  <w:t xml:space="preserve">I-VS_050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Manager </w:t>
                </w:r>
                <w:proofErr w:type="spellStart"/>
                <w:r>
                  <w:rPr>
                    <w:rFonts w:cs="Arial"/>
                    <w:szCs w:val="18"/>
                  </w:rPr>
                  <w:t>Nem</w:t>
                </w:r>
                <w:proofErr w:type="spellEnd"/>
                <w:r>
                  <w:rPr>
                    <w:rFonts w:cs="Arial"/>
                    <w:szCs w:val="18"/>
                  </w:rPr>
                  <w:t xml:space="preserve"> Real Time Operations</w:t>
                </w:r>
              </w:p>
            </w:tc>
          </w:tr>
        </w:tbl>
        <w:p w:rsidR="00E0439B" w:rsidRDefault="00E0439B" w:rsidP="00992010">
          <w:pPr>
            <w:spacing w:line="240" w:lineRule="auto"/>
            <w:jc w:val="left"/>
          </w:pPr>
        </w:p>
        <w:p w:rsidR="00C7068C" w:rsidRDefault="00F1391C" w:rsidP="00296D34">
          <w:pPr>
            <w:pStyle w:val="Heading1notnumber"/>
          </w:pPr>
          <w:bookmarkStart w:id="26" w:name="_Toc489945997"/>
          <w:r>
            <w:lastRenderedPageBreak/>
            <w:t xml:space="preserve">Appendix </w:t>
          </w:r>
          <w:r w:rsidR="005C68D8">
            <w:t>F</w:t>
          </w:r>
          <w:r w:rsidR="00C7068C">
            <w:tab/>
            <w:t>Price setter</w:t>
          </w:r>
          <w:bookmarkEnd w:id="26"/>
        </w:p>
        <w:p w:rsidR="00F0248A" w:rsidRPr="00AA7AD8" w:rsidRDefault="00F0248A" w:rsidP="00F0248A">
          <w:r w:rsidRPr="006602A2">
            <w:t xml:space="preserve">The following tables identify for </w:t>
          </w:r>
          <w:r w:rsidR="00E125B3" w:rsidRPr="006602A2">
            <w:t xml:space="preserve">each </w:t>
          </w:r>
          <w:r w:rsidRPr="006602A2">
            <w:t>five-minute</w:t>
          </w:r>
          <w:r w:rsidR="00E125B3" w:rsidRPr="006602A2">
            <w:t xml:space="preserve"> dispatch interval where</w:t>
          </w:r>
          <w:r w:rsidRPr="006602A2">
            <w:t xml:space="preserve"> </w:t>
          </w:r>
          <w:r w:rsidR="00FD6B42" w:rsidRPr="006602A2">
            <w:t xml:space="preserve">regulation </w:t>
          </w:r>
          <w:r w:rsidRPr="006602A2">
            <w:t xml:space="preserve">dispatch prices </w:t>
          </w:r>
          <w:r w:rsidR="003C2B11" w:rsidRPr="006602A2">
            <w:t xml:space="preserve">were </w:t>
          </w:r>
          <w:r w:rsidRPr="006602A2">
            <w:t xml:space="preserve">above $5000/MW, </w:t>
          </w:r>
          <w:r w:rsidR="00E125B3" w:rsidRPr="006602A2">
            <w:t xml:space="preserve">the </w:t>
          </w:r>
          <w:r w:rsidRPr="006602A2">
            <w:t xml:space="preserve">price and the generating units involved in setting the price for each of the lower </w:t>
          </w:r>
          <w:r w:rsidR="00E125B3" w:rsidRPr="006602A2">
            <w:t>and raise regulation services</w:t>
          </w:r>
          <w:r w:rsidRPr="006602A2">
            <w:t xml:space="preserve"> in South Australia. This information is published by AEMO</w:t>
          </w:r>
          <w:r w:rsidR="00E125B3" w:rsidRPr="006602A2">
            <w:t>.</w:t>
          </w:r>
          <w:r w:rsidRPr="006602A2">
            <w:rPr>
              <w:rStyle w:val="FootnoteReference"/>
            </w:rPr>
            <w:footnoteReference w:id="4"/>
          </w:r>
          <w:r w:rsidRPr="006602A2">
            <w:t xml:space="preserve"> Also shown </w:t>
          </w:r>
          <w:r w:rsidR="00E125B3" w:rsidRPr="006602A2">
            <w:t xml:space="preserve">are </w:t>
          </w:r>
          <w:r w:rsidRPr="006602A2">
            <w:t>the offer prices involved in determining the dispatch price</w:t>
          </w:r>
          <w:r w:rsidR="00E125B3" w:rsidRPr="006602A2">
            <w:t>,</w:t>
          </w:r>
          <w:r w:rsidRPr="006602A2">
            <w:t xml:space="preserve"> together with the quantity of that service and the contribution to the total</w:t>
          </w:r>
          <w:r w:rsidR="0054243F" w:rsidRPr="006602A2">
            <w:t xml:space="preserve"> </w:t>
          </w:r>
          <w:r w:rsidRPr="006602A2">
            <w:t>price. AEMO reports an increase as a negative marginal change in FCAS price setter. Generator offers which contributed zero to the price have been removed for clarity.</w:t>
          </w:r>
        </w:p>
        <w:p w:rsidR="00EC4A12" w:rsidRDefault="00CF7345" w:rsidP="00EC4A12">
          <w:pPr>
            <w:pStyle w:val="Tabletitle"/>
          </w:pPr>
          <w:r w:rsidRPr="00D8359D">
            <w:t>Lower regulation</w:t>
          </w:r>
          <w:r w:rsidR="00C545EB">
            <w:t xml:space="preserve"> </w:t>
          </w:r>
          <w:r w:rsidR="00981F50">
            <w:t>2</w:t>
          </w:r>
          <w:r w:rsidR="00E0439B">
            <w:t>2</w:t>
          </w:r>
          <w:r w:rsidR="00981F50">
            <w:t xml:space="preserve"> Ma</w:t>
          </w:r>
          <w:r w:rsidR="00E0439B">
            <w:t>y</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496961">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905E95">
                <w:pPr>
                  <w:pStyle w:val="tabletext0"/>
                </w:pPr>
                <w:r>
                  <w:t>DI</w:t>
                </w:r>
              </w:p>
            </w:tc>
            <w:tc>
              <w:tcPr>
                <w:tcW w:w="583" w:type="pct"/>
              </w:tcPr>
              <w:p w:rsidR="00094459" w:rsidRPr="00010B1A" w:rsidRDefault="00094459" w:rsidP="00905E95">
                <w:pPr>
                  <w:pStyle w:val="tabletext0"/>
                </w:pPr>
                <w:r w:rsidRPr="00010B1A">
                  <w:t>Dispatch Price</w:t>
                </w:r>
                <w:r>
                  <w:t xml:space="preserve"> ($/MW)</w:t>
                </w:r>
              </w:p>
            </w:tc>
            <w:tc>
              <w:tcPr>
                <w:tcW w:w="799" w:type="pct"/>
              </w:tcPr>
              <w:p w:rsidR="00094459" w:rsidRPr="00010B1A" w:rsidRDefault="0073312A" w:rsidP="00905E95">
                <w:pPr>
                  <w:pStyle w:val="tabletext0"/>
                </w:pPr>
                <w:r w:rsidRPr="00010B1A">
                  <w:t>Participant</w:t>
                </w:r>
              </w:p>
            </w:tc>
            <w:tc>
              <w:tcPr>
                <w:tcW w:w="717" w:type="pct"/>
              </w:tcPr>
              <w:p w:rsidR="00094459" w:rsidRPr="00010B1A" w:rsidRDefault="00094459" w:rsidP="00905E95">
                <w:pPr>
                  <w:pStyle w:val="tabletext0"/>
                </w:pPr>
                <w:r w:rsidRPr="00010B1A">
                  <w:t>Unit</w:t>
                </w:r>
              </w:p>
            </w:tc>
            <w:tc>
              <w:tcPr>
                <w:tcW w:w="661" w:type="pct"/>
              </w:tcPr>
              <w:p w:rsidR="00094459" w:rsidRPr="00010B1A" w:rsidRDefault="00094459" w:rsidP="00905E95">
                <w:pPr>
                  <w:pStyle w:val="tabletext0"/>
                </w:pPr>
                <w:r w:rsidRPr="00010B1A">
                  <w:t>Service</w:t>
                </w:r>
              </w:p>
            </w:tc>
            <w:tc>
              <w:tcPr>
                <w:tcW w:w="582" w:type="pct"/>
              </w:tcPr>
              <w:p w:rsidR="00094459" w:rsidRPr="00010B1A" w:rsidRDefault="00094459" w:rsidP="00905E95">
                <w:pPr>
                  <w:pStyle w:val="tabletext0"/>
                </w:pPr>
                <w:r>
                  <w:t>Offer price ($/MW)</w:t>
                </w:r>
              </w:p>
            </w:tc>
            <w:tc>
              <w:tcPr>
                <w:tcW w:w="544" w:type="pct"/>
              </w:tcPr>
              <w:p w:rsidR="00094459" w:rsidRPr="00010B1A" w:rsidRDefault="00094459" w:rsidP="00905E95">
                <w:pPr>
                  <w:pStyle w:val="tabletext0"/>
                </w:pPr>
                <w:r w:rsidRPr="00010B1A">
                  <w:t>Margi</w:t>
                </w:r>
                <w:r>
                  <w:t>nal</w:t>
                </w:r>
                <w:r w:rsidRPr="00010B1A">
                  <w:t xml:space="preserve"> change</w:t>
                </w:r>
              </w:p>
            </w:tc>
            <w:tc>
              <w:tcPr>
                <w:tcW w:w="762" w:type="pct"/>
              </w:tcPr>
              <w:p w:rsidR="00094459" w:rsidRPr="00010B1A" w:rsidRDefault="00094459" w:rsidP="00905E95">
                <w:pPr>
                  <w:pStyle w:val="tabletext0"/>
                </w:pPr>
                <w:r>
                  <w:t>Contribution</w:t>
                </w:r>
              </w:p>
            </w:tc>
          </w:tr>
          <w:tr w:rsidR="008E22B6" w:rsidRPr="00247FC3"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8E22B6" w:rsidRDefault="008E22B6" w:rsidP="002D34D3">
                <w:pPr>
                  <w:jc w:val="right"/>
                  <w:rPr>
                    <w:rFonts w:cs="Arial"/>
                    <w:sz w:val="16"/>
                    <w:szCs w:val="16"/>
                  </w:rPr>
                </w:pPr>
                <w:r>
                  <w:rPr>
                    <w:rFonts w:cs="Arial"/>
                    <w:sz w:val="16"/>
                    <w:szCs w:val="16"/>
                  </w:rPr>
                  <w:t>12:20</w:t>
                </w:r>
              </w:p>
            </w:tc>
            <w:tc>
              <w:tcPr>
                <w:tcW w:w="583" w:type="pct"/>
                <w:vAlign w:val="bottom"/>
              </w:tcPr>
              <w:p w:rsidR="008E22B6" w:rsidRDefault="008E22B6"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772.29</w:t>
                </w:r>
              </w:p>
            </w:tc>
            <w:tc>
              <w:tcPr>
                <w:tcW w:w="799" w:type="pct"/>
                <w:vAlign w:val="bottom"/>
              </w:tcPr>
              <w:p w:rsidR="008E22B6" w:rsidRDefault="008E22B6" w:rsidP="002D34D3">
                <w:pPr>
                  <w:rPr>
                    <w:rFonts w:cs="Arial"/>
                    <w:sz w:val="16"/>
                    <w:szCs w:val="16"/>
                  </w:rPr>
                </w:pPr>
                <w:r>
                  <w:rPr>
                    <w:rFonts w:cs="Arial"/>
                    <w:sz w:val="16"/>
                    <w:szCs w:val="16"/>
                  </w:rPr>
                  <w:t>Engie</w:t>
                </w:r>
              </w:p>
            </w:tc>
            <w:tc>
              <w:tcPr>
                <w:tcW w:w="717" w:type="pct"/>
                <w:vAlign w:val="bottom"/>
              </w:tcPr>
              <w:p w:rsidR="008E22B6" w:rsidRDefault="008E22B6" w:rsidP="002D34D3">
                <w:pPr>
                  <w:rPr>
                    <w:rFonts w:cs="Arial"/>
                    <w:sz w:val="16"/>
                    <w:szCs w:val="16"/>
                  </w:rPr>
                </w:pPr>
                <w:r>
                  <w:rPr>
                    <w:rFonts w:cs="Arial"/>
                    <w:sz w:val="16"/>
                    <w:szCs w:val="16"/>
                  </w:rPr>
                  <w:t>PPCCGT</w:t>
                </w:r>
              </w:p>
            </w:tc>
            <w:tc>
              <w:tcPr>
                <w:tcW w:w="661" w:type="pct"/>
                <w:vAlign w:val="bottom"/>
              </w:tcPr>
              <w:p w:rsidR="008E22B6" w:rsidRDefault="008E22B6" w:rsidP="002D34D3">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8E22B6" w:rsidRDefault="008E22B6"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8E22B6" w:rsidRDefault="008E22B6" w:rsidP="002D34D3">
                <w:pPr>
                  <w:jc w:val="right"/>
                  <w:rPr>
                    <w:rFonts w:cs="Arial"/>
                    <w:sz w:val="16"/>
                    <w:szCs w:val="16"/>
                  </w:rPr>
                </w:pPr>
                <w:r>
                  <w:rPr>
                    <w:rFonts w:cs="Arial"/>
                    <w:sz w:val="16"/>
                    <w:szCs w:val="16"/>
                  </w:rPr>
                  <w:t>-1.00</w:t>
                </w:r>
              </w:p>
            </w:tc>
            <w:tc>
              <w:tcPr>
                <w:tcW w:w="762" w:type="pct"/>
                <w:vAlign w:val="bottom"/>
              </w:tcPr>
              <w:p w:rsidR="008E22B6" w:rsidRDefault="008E22B6"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8E22B6" w:rsidRPr="00247FC3" w:rsidTr="00EB7C7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8E22B6" w:rsidRDefault="008E22B6">
                <w:pPr>
                  <w:jc w:val="right"/>
                  <w:rPr>
                    <w:rFonts w:cs="Arial"/>
                    <w:sz w:val="16"/>
                    <w:szCs w:val="16"/>
                  </w:rPr>
                </w:pPr>
              </w:p>
            </w:tc>
            <w:tc>
              <w:tcPr>
                <w:tcW w:w="583" w:type="pct"/>
                <w:shd w:val="clear" w:color="auto" w:fill="auto"/>
                <w:vAlign w:val="bottom"/>
              </w:tcPr>
              <w:p w:rsidR="008E22B6" w:rsidRDefault="008E22B6">
                <w:pPr>
                  <w:jc w:val="right"/>
                  <w:rPr>
                    <w:rFonts w:cs="Arial"/>
                    <w:sz w:val="16"/>
                    <w:szCs w:val="16"/>
                  </w:rPr>
                </w:pPr>
              </w:p>
            </w:tc>
            <w:tc>
              <w:tcPr>
                <w:tcW w:w="799" w:type="pct"/>
                <w:shd w:val="clear" w:color="auto" w:fill="auto"/>
                <w:vAlign w:val="bottom"/>
              </w:tcPr>
              <w:p w:rsidR="008E22B6" w:rsidRDefault="008E22B6">
                <w:pPr>
                  <w:rPr>
                    <w:rFonts w:cs="Arial"/>
                    <w:sz w:val="16"/>
                    <w:szCs w:val="16"/>
                  </w:rPr>
                </w:pPr>
                <w:r>
                  <w:rPr>
                    <w:rFonts w:cs="Arial"/>
                    <w:sz w:val="16"/>
                    <w:szCs w:val="16"/>
                  </w:rPr>
                  <w:t>AGL Energy</w:t>
                </w:r>
              </w:p>
            </w:tc>
            <w:tc>
              <w:tcPr>
                <w:tcW w:w="717" w:type="pct"/>
                <w:shd w:val="clear" w:color="auto" w:fill="auto"/>
                <w:vAlign w:val="bottom"/>
              </w:tcPr>
              <w:p w:rsidR="008E22B6" w:rsidRDefault="008E22B6">
                <w:pPr>
                  <w:rPr>
                    <w:rFonts w:cs="Arial"/>
                    <w:sz w:val="16"/>
                    <w:szCs w:val="16"/>
                  </w:rPr>
                </w:pPr>
                <w:r>
                  <w:rPr>
                    <w:rFonts w:cs="Arial"/>
                    <w:sz w:val="16"/>
                    <w:szCs w:val="16"/>
                  </w:rPr>
                  <w:t>BW01</w:t>
                </w:r>
              </w:p>
            </w:tc>
            <w:tc>
              <w:tcPr>
                <w:tcW w:w="661" w:type="pct"/>
                <w:shd w:val="clear" w:color="auto" w:fill="auto"/>
                <w:vAlign w:val="bottom"/>
              </w:tcPr>
              <w:p w:rsidR="008E22B6" w:rsidRDefault="008E22B6">
                <w:pPr>
                  <w:rPr>
                    <w:rFonts w:cs="Arial"/>
                    <w:sz w:val="16"/>
                    <w:szCs w:val="16"/>
                  </w:rPr>
                </w:pPr>
                <w:r>
                  <w:rPr>
                    <w:rFonts w:cs="Arial"/>
                    <w:sz w:val="16"/>
                    <w:szCs w:val="16"/>
                  </w:rPr>
                  <w:t>Energy</w:t>
                </w:r>
              </w:p>
            </w:tc>
            <w:tc>
              <w:tcPr>
                <w:tcW w:w="582" w:type="pct"/>
                <w:shd w:val="clear" w:color="auto" w:fill="auto"/>
                <w:vAlign w:val="bottom"/>
              </w:tcPr>
              <w:p w:rsidR="008E22B6" w:rsidRDefault="008E22B6">
                <w:pPr>
                  <w:jc w:val="right"/>
                  <w:rPr>
                    <w:rFonts w:cs="Arial"/>
                    <w:sz w:val="16"/>
                    <w:szCs w:val="16"/>
                  </w:rPr>
                </w:pPr>
                <w:r>
                  <w:rPr>
                    <w:rFonts w:cs="Arial"/>
                    <w:sz w:val="16"/>
                    <w:szCs w:val="16"/>
                  </w:rPr>
                  <w:t>$92.96</w:t>
                </w:r>
              </w:p>
            </w:tc>
            <w:tc>
              <w:tcPr>
                <w:tcW w:w="544" w:type="pct"/>
                <w:shd w:val="clear" w:color="auto" w:fill="auto"/>
                <w:vAlign w:val="bottom"/>
              </w:tcPr>
              <w:p w:rsidR="008E22B6" w:rsidRDefault="008E22B6">
                <w:pPr>
                  <w:jc w:val="right"/>
                  <w:rPr>
                    <w:rFonts w:cs="Arial"/>
                    <w:sz w:val="16"/>
                    <w:szCs w:val="16"/>
                  </w:rPr>
                </w:pPr>
                <w:r>
                  <w:rPr>
                    <w:rFonts w:cs="Arial"/>
                    <w:sz w:val="16"/>
                    <w:szCs w:val="16"/>
                  </w:rPr>
                  <w:t>0.31</w:t>
                </w:r>
              </w:p>
            </w:tc>
            <w:tc>
              <w:tcPr>
                <w:tcW w:w="762" w:type="pct"/>
                <w:shd w:val="clear" w:color="auto" w:fill="auto"/>
                <w:vAlign w:val="bottom"/>
              </w:tcPr>
              <w:p w:rsidR="008E22B6" w:rsidRDefault="008E22B6">
                <w:pPr>
                  <w:jc w:val="right"/>
                  <w:rPr>
                    <w:rFonts w:cs="Arial"/>
                    <w:sz w:val="16"/>
                    <w:szCs w:val="16"/>
                  </w:rPr>
                </w:pPr>
                <w:r>
                  <w:rPr>
                    <w:rFonts w:cs="Arial"/>
                    <w:sz w:val="16"/>
                    <w:szCs w:val="16"/>
                  </w:rPr>
                  <w:t>$28.82</w:t>
                </w:r>
              </w:p>
            </w:tc>
          </w:tr>
          <w:tr w:rsidR="008E22B6"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8E22B6" w:rsidRDefault="008E22B6">
                <w:pPr>
                  <w:rPr>
                    <w:rFonts w:cs="Arial"/>
                    <w:sz w:val="16"/>
                    <w:szCs w:val="16"/>
                  </w:rPr>
                </w:pPr>
              </w:p>
            </w:tc>
            <w:tc>
              <w:tcPr>
                <w:tcW w:w="583" w:type="pct"/>
                <w:shd w:val="clear" w:color="auto" w:fill="auto"/>
                <w:vAlign w:val="bottom"/>
              </w:tcPr>
              <w:p w:rsidR="008E22B6" w:rsidRDefault="008E22B6">
                <w:pPr>
                  <w:rPr>
                    <w:rFonts w:cs="Arial"/>
                    <w:sz w:val="16"/>
                    <w:szCs w:val="16"/>
                  </w:rPr>
                </w:pPr>
              </w:p>
            </w:tc>
            <w:tc>
              <w:tcPr>
                <w:tcW w:w="799" w:type="pct"/>
                <w:shd w:val="clear" w:color="auto" w:fill="auto"/>
                <w:vAlign w:val="bottom"/>
              </w:tcPr>
              <w:p w:rsidR="008E22B6" w:rsidRDefault="008E22B6">
                <w:pPr>
                  <w:rPr>
                    <w:rFonts w:cs="Arial"/>
                    <w:sz w:val="16"/>
                    <w:szCs w:val="16"/>
                  </w:rPr>
                </w:pPr>
                <w:r>
                  <w:rPr>
                    <w:rFonts w:cs="Arial"/>
                    <w:sz w:val="16"/>
                    <w:szCs w:val="16"/>
                  </w:rPr>
                  <w:t>AGL Energy</w:t>
                </w:r>
              </w:p>
            </w:tc>
            <w:tc>
              <w:tcPr>
                <w:tcW w:w="717" w:type="pct"/>
                <w:shd w:val="clear" w:color="auto" w:fill="auto"/>
                <w:vAlign w:val="bottom"/>
              </w:tcPr>
              <w:p w:rsidR="008E22B6" w:rsidRDefault="008E22B6">
                <w:pPr>
                  <w:rPr>
                    <w:rFonts w:cs="Arial"/>
                    <w:sz w:val="16"/>
                    <w:szCs w:val="16"/>
                  </w:rPr>
                </w:pPr>
                <w:r>
                  <w:rPr>
                    <w:rFonts w:cs="Arial"/>
                    <w:sz w:val="16"/>
                    <w:szCs w:val="16"/>
                  </w:rPr>
                  <w:t>BW02</w:t>
                </w:r>
              </w:p>
            </w:tc>
            <w:tc>
              <w:tcPr>
                <w:tcW w:w="661" w:type="pct"/>
                <w:shd w:val="clear" w:color="auto" w:fill="auto"/>
                <w:vAlign w:val="bottom"/>
              </w:tcPr>
              <w:p w:rsidR="008E22B6" w:rsidRDefault="008E22B6">
                <w:pPr>
                  <w:rPr>
                    <w:rFonts w:cs="Arial"/>
                    <w:sz w:val="16"/>
                    <w:szCs w:val="16"/>
                  </w:rPr>
                </w:pPr>
                <w:r>
                  <w:rPr>
                    <w:rFonts w:cs="Arial"/>
                    <w:sz w:val="16"/>
                    <w:szCs w:val="16"/>
                  </w:rPr>
                  <w:t>Energy</w:t>
                </w:r>
              </w:p>
            </w:tc>
            <w:tc>
              <w:tcPr>
                <w:tcW w:w="582" w:type="pct"/>
                <w:shd w:val="clear" w:color="auto" w:fill="auto"/>
                <w:vAlign w:val="bottom"/>
              </w:tcPr>
              <w:p w:rsidR="008E22B6" w:rsidRDefault="008E22B6">
                <w:pPr>
                  <w:jc w:val="right"/>
                  <w:rPr>
                    <w:rFonts w:cs="Arial"/>
                    <w:sz w:val="16"/>
                    <w:szCs w:val="16"/>
                  </w:rPr>
                </w:pPr>
                <w:r>
                  <w:rPr>
                    <w:rFonts w:cs="Arial"/>
                    <w:sz w:val="16"/>
                    <w:szCs w:val="16"/>
                  </w:rPr>
                  <w:t>$92.96</w:t>
                </w:r>
              </w:p>
            </w:tc>
            <w:tc>
              <w:tcPr>
                <w:tcW w:w="544" w:type="pct"/>
                <w:shd w:val="clear" w:color="auto" w:fill="auto"/>
                <w:vAlign w:val="bottom"/>
              </w:tcPr>
              <w:p w:rsidR="008E22B6" w:rsidRDefault="008E22B6">
                <w:pPr>
                  <w:jc w:val="right"/>
                  <w:rPr>
                    <w:rFonts w:cs="Arial"/>
                    <w:sz w:val="16"/>
                    <w:szCs w:val="16"/>
                  </w:rPr>
                </w:pPr>
                <w:r>
                  <w:rPr>
                    <w:rFonts w:cs="Arial"/>
                    <w:sz w:val="16"/>
                    <w:szCs w:val="16"/>
                  </w:rPr>
                  <w:t>0.31</w:t>
                </w:r>
              </w:p>
            </w:tc>
            <w:tc>
              <w:tcPr>
                <w:tcW w:w="762" w:type="pct"/>
                <w:shd w:val="clear" w:color="auto" w:fill="auto"/>
                <w:vAlign w:val="bottom"/>
              </w:tcPr>
              <w:p w:rsidR="008E22B6" w:rsidRDefault="008E22B6">
                <w:pPr>
                  <w:jc w:val="right"/>
                  <w:rPr>
                    <w:rFonts w:cs="Arial"/>
                    <w:sz w:val="16"/>
                    <w:szCs w:val="16"/>
                  </w:rPr>
                </w:pPr>
                <w:r>
                  <w:rPr>
                    <w:rFonts w:cs="Arial"/>
                    <w:sz w:val="16"/>
                    <w:szCs w:val="16"/>
                  </w:rPr>
                  <w:t>$28.82</w:t>
                </w:r>
              </w:p>
            </w:tc>
          </w:tr>
          <w:tr w:rsidR="008E22B6" w:rsidRPr="00247FC3"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8E22B6" w:rsidRDefault="008E22B6">
                <w:pPr>
                  <w:rPr>
                    <w:rFonts w:cs="Arial"/>
                    <w:sz w:val="16"/>
                    <w:szCs w:val="16"/>
                  </w:rPr>
                </w:pPr>
              </w:p>
            </w:tc>
            <w:tc>
              <w:tcPr>
                <w:tcW w:w="583" w:type="pct"/>
                <w:shd w:val="clear" w:color="auto" w:fill="auto"/>
                <w:vAlign w:val="bottom"/>
              </w:tcPr>
              <w:p w:rsidR="008E22B6" w:rsidRDefault="008E22B6">
                <w:pPr>
                  <w:rPr>
                    <w:rFonts w:cs="Arial"/>
                    <w:sz w:val="16"/>
                    <w:szCs w:val="16"/>
                  </w:rPr>
                </w:pPr>
              </w:p>
            </w:tc>
            <w:tc>
              <w:tcPr>
                <w:tcW w:w="799" w:type="pct"/>
                <w:shd w:val="clear" w:color="auto" w:fill="auto"/>
                <w:vAlign w:val="bottom"/>
              </w:tcPr>
              <w:p w:rsidR="008E22B6" w:rsidRDefault="008E22B6">
                <w:pPr>
                  <w:rPr>
                    <w:rFonts w:cs="Arial"/>
                    <w:sz w:val="16"/>
                    <w:szCs w:val="16"/>
                  </w:rPr>
                </w:pPr>
                <w:r>
                  <w:rPr>
                    <w:rFonts w:cs="Arial"/>
                    <w:sz w:val="16"/>
                    <w:szCs w:val="16"/>
                  </w:rPr>
                  <w:t>AGL Energy</w:t>
                </w:r>
              </w:p>
            </w:tc>
            <w:tc>
              <w:tcPr>
                <w:tcW w:w="717" w:type="pct"/>
                <w:shd w:val="clear" w:color="auto" w:fill="auto"/>
                <w:vAlign w:val="bottom"/>
              </w:tcPr>
              <w:p w:rsidR="008E22B6" w:rsidRDefault="008E22B6">
                <w:pPr>
                  <w:rPr>
                    <w:rFonts w:cs="Arial"/>
                    <w:sz w:val="16"/>
                    <w:szCs w:val="16"/>
                  </w:rPr>
                </w:pPr>
                <w:r>
                  <w:rPr>
                    <w:rFonts w:cs="Arial"/>
                    <w:sz w:val="16"/>
                    <w:szCs w:val="16"/>
                  </w:rPr>
                  <w:t>BW04</w:t>
                </w:r>
              </w:p>
            </w:tc>
            <w:tc>
              <w:tcPr>
                <w:tcW w:w="661" w:type="pct"/>
                <w:shd w:val="clear" w:color="auto" w:fill="auto"/>
                <w:vAlign w:val="bottom"/>
              </w:tcPr>
              <w:p w:rsidR="008E22B6" w:rsidRDefault="008E22B6">
                <w:pPr>
                  <w:rPr>
                    <w:rFonts w:cs="Arial"/>
                    <w:sz w:val="16"/>
                    <w:szCs w:val="16"/>
                  </w:rPr>
                </w:pPr>
                <w:r>
                  <w:rPr>
                    <w:rFonts w:cs="Arial"/>
                    <w:sz w:val="16"/>
                    <w:szCs w:val="16"/>
                  </w:rPr>
                  <w:t>Energy</w:t>
                </w:r>
              </w:p>
            </w:tc>
            <w:tc>
              <w:tcPr>
                <w:tcW w:w="582" w:type="pct"/>
                <w:shd w:val="clear" w:color="auto" w:fill="auto"/>
                <w:vAlign w:val="bottom"/>
              </w:tcPr>
              <w:p w:rsidR="008E22B6" w:rsidRDefault="008E22B6">
                <w:pPr>
                  <w:jc w:val="right"/>
                  <w:rPr>
                    <w:rFonts w:cs="Arial"/>
                    <w:sz w:val="16"/>
                    <w:szCs w:val="16"/>
                  </w:rPr>
                </w:pPr>
                <w:r>
                  <w:rPr>
                    <w:rFonts w:cs="Arial"/>
                    <w:sz w:val="16"/>
                    <w:szCs w:val="16"/>
                  </w:rPr>
                  <w:t>$92.96</w:t>
                </w:r>
              </w:p>
            </w:tc>
            <w:tc>
              <w:tcPr>
                <w:tcW w:w="544" w:type="pct"/>
                <w:shd w:val="clear" w:color="auto" w:fill="auto"/>
                <w:vAlign w:val="bottom"/>
              </w:tcPr>
              <w:p w:rsidR="008E22B6" w:rsidRDefault="008E22B6">
                <w:pPr>
                  <w:jc w:val="right"/>
                  <w:rPr>
                    <w:rFonts w:cs="Arial"/>
                    <w:sz w:val="16"/>
                    <w:szCs w:val="16"/>
                  </w:rPr>
                </w:pPr>
                <w:r>
                  <w:rPr>
                    <w:rFonts w:cs="Arial"/>
                    <w:sz w:val="16"/>
                    <w:szCs w:val="16"/>
                  </w:rPr>
                  <w:t>0.20</w:t>
                </w:r>
              </w:p>
            </w:tc>
            <w:tc>
              <w:tcPr>
                <w:tcW w:w="762" w:type="pct"/>
                <w:shd w:val="clear" w:color="auto" w:fill="auto"/>
                <w:vAlign w:val="bottom"/>
              </w:tcPr>
              <w:p w:rsidR="008E22B6" w:rsidRDefault="008E22B6">
                <w:pPr>
                  <w:jc w:val="right"/>
                  <w:rPr>
                    <w:rFonts w:cs="Arial"/>
                    <w:sz w:val="16"/>
                    <w:szCs w:val="16"/>
                  </w:rPr>
                </w:pPr>
                <w:r>
                  <w:rPr>
                    <w:rFonts w:cs="Arial"/>
                    <w:sz w:val="16"/>
                    <w:szCs w:val="16"/>
                  </w:rPr>
                  <w:t>$18.59</w:t>
                </w:r>
              </w:p>
            </w:tc>
          </w:tr>
          <w:tr w:rsidR="008E22B6" w:rsidRPr="00247FC3"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8E22B6" w:rsidRDefault="008E22B6">
                <w:pPr>
                  <w:rPr>
                    <w:rFonts w:cs="Arial"/>
                    <w:sz w:val="16"/>
                    <w:szCs w:val="16"/>
                  </w:rPr>
                </w:pPr>
              </w:p>
            </w:tc>
            <w:tc>
              <w:tcPr>
                <w:tcW w:w="583" w:type="pct"/>
                <w:shd w:val="clear" w:color="auto" w:fill="auto"/>
                <w:vAlign w:val="bottom"/>
              </w:tcPr>
              <w:p w:rsidR="008E22B6" w:rsidRDefault="008E22B6">
                <w:pPr>
                  <w:rPr>
                    <w:rFonts w:cs="Arial"/>
                    <w:sz w:val="16"/>
                    <w:szCs w:val="16"/>
                  </w:rPr>
                </w:pPr>
              </w:p>
            </w:tc>
            <w:tc>
              <w:tcPr>
                <w:tcW w:w="799" w:type="pct"/>
                <w:shd w:val="clear" w:color="auto" w:fill="auto"/>
                <w:vAlign w:val="bottom"/>
              </w:tcPr>
              <w:p w:rsidR="008E22B6" w:rsidRDefault="008E22B6">
                <w:pPr>
                  <w:rPr>
                    <w:rFonts w:cs="Arial"/>
                    <w:sz w:val="16"/>
                    <w:szCs w:val="16"/>
                  </w:rPr>
                </w:pPr>
                <w:r>
                  <w:rPr>
                    <w:rFonts w:cs="Arial"/>
                    <w:sz w:val="16"/>
                    <w:szCs w:val="16"/>
                  </w:rPr>
                  <w:t>Engie</w:t>
                </w:r>
              </w:p>
            </w:tc>
            <w:tc>
              <w:tcPr>
                <w:tcW w:w="717" w:type="pct"/>
                <w:shd w:val="clear" w:color="auto" w:fill="auto"/>
                <w:vAlign w:val="bottom"/>
              </w:tcPr>
              <w:p w:rsidR="008E22B6" w:rsidRDefault="008E22B6">
                <w:pPr>
                  <w:rPr>
                    <w:rFonts w:cs="Arial"/>
                    <w:sz w:val="16"/>
                    <w:szCs w:val="16"/>
                  </w:rPr>
                </w:pPr>
                <w:r>
                  <w:rPr>
                    <w:rFonts w:cs="Arial"/>
                    <w:sz w:val="16"/>
                    <w:szCs w:val="16"/>
                  </w:rPr>
                  <w:t>PPCCGT</w:t>
                </w:r>
              </w:p>
            </w:tc>
            <w:tc>
              <w:tcPr>
                <w:tcW w:w="661" w:type="pct"/>
                <w:shd w:val="clear" w:color="auto" w:fill="auto"/>
                <w:vAlign w:val="bottom"/>
              </w:tcPr>
              <w:p w:rsidR="008E22B6" w:rsidRDefault="008E22B6">
                <w:pPr>
                  <w:rPr>
                    <w:rFonts w:cs="Arial"/>
                    <w:sz w:val="16"/>
                    <w:szCs w:val="16"/>
                  </w:rPr>
                </w:pPr>
                <w:r>
                  <w:rPr>
                    <w:rFonts w:cs="Arial"/>
                    <w:sz w:val="16"/>
                    <w:szCs w:val="16"/>
                  </w:rPr>
                  <w:t>Energy</w:t>
                </w:r>
              </w:p>
            </w:tc>
            <w:tc>
              <w:tcPr>
                <w:tcW w:w="582" w:type="pct"/>
                <w:shd w:val="clear" w:color="auto" w:fill="auto"/>
                <w:vAlign w:val="bottom"/>
              </w:tcPr>
              <w:p w:rsidR="008E22B6" w:rsidRDefault="008E22B6">
                <w:pPr>
                  <w:jc w:val="right"/>
                  <w:rPr>
                    <w:rFonts w:cs="Arial"/>
                    <w:sz w:val="16"/>
                    <w:szCs w:val="16"/>
                  </w:rPr>
                </w:pPr>
                <w:r>
                  <w:rPr>
                    <w:rFonts w:cs="Arial"/>
                    <w:sz w:val="16"/>
                    <w:szCs w:val="16"/>
                  </w:rPr>
                  <w:t>$78.69</w:t>
                </w:r>
              </w:p>
            </w:tc>
            <w:tc>
              <w:tcPr>
                <w:tcW w:w="544" w:type="pct"/>
                <w:shd w:val="clear" w:color="auto" w:fill="auto"/>
                <w:vAlign w:val="bottom"/>
              </w:tcPr>
              <w:p w:rsidR="008E22B6" w:rsidRDefault="008E22B6">
                <w:pPr>
                  <w:jc w:val="right"/>
                  <w:rPr>
                    <w:rFonts w:cs="Arial"/>
                    <w:sz w:val="16"/>
                    <w:szCs w:val="16"/>
                  </w:rPr>
                </w:pPr>
                <w:r>
                  <w:rPr>
                    <w:rFonts w:cs="Arial"/>
                    <w:sz w:val="16"/>
                    <w:szCs w:val="16"/>
                  </w:rPr>
                  <w:t>-1.00</w:t>
                </w:r>
              </w:p>
            </w:tc>
            <w:tc>
              <w:tcPr>
                <w:tcW w:w="762" w:type="pct"/>
                <w:shd w:val="clear" w:color="auto" w:fill="auto"/>
                <w:vAlign w:val="bottom"/>
              </w:tcPr>
              <w:p w:rsidR="008E22B6" w:rsidRDefault="008E22B6">
                <w:pPr>
                  <w:jc w:val="right"/>
                  <w:rPr>
                    <w:rFonts w:cs="Arial"/>
                    <w:sz w:val="16"/>
                    <w:szCs w:val="16"/>
                  </w:rPr>
                </w:pPr>
                <w:r>
                  <w:rPr>
                    <w:rFonts w:cs="Arial"/>
                    <w:sz w:val="16"/>
                    <w:szCs w:val="16"/>
                  </w:rPr>
                  <w:t>-$78.69</w:t>
                </w:r>
              </w:p>
            </w:tc>
          </w:tr>
          <w:tr w:rsidR="00EB7C7B"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rsidP="002D34D3">
                <w:pPr>
                  <w:jc w:val="right"/>
                  <w:rPr>
                    <w:rFonts w:cs="Arial"/>
                    <w:sz w:val="16"/>
                    <w:szCs w:val="16"/>
                  </w:rPr>
                </w:pPr>
                <w:r>
                  <w:rPr>
                    <w:rFonts w:cs="Arial"/>
                    <w:sz w:val="16"/>
                    <w:szCs w:val="16"/>
                  </w:rPr>
                  <w:t>12:25</w:t>
                </w:r>
              </w:p>
            </w:tc>
            <w:tc>
              <w:tcPr>
                <w:tcW w:w="583" w:type="pct"/>
                <w:vAlign w:val="bottom"/>
              </w:tcPr>
              <w:p w:rsidR="00EB7C7B" w:rsidRDefault="00EB7C7B"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775.10</w:t>
                </w:r>
              </w:p>
            </w:tc>
            <w:tc>
              <w:tcPr>
                <w:tcW w:w="799" w:type="pct"/>
                <w:vAlign w:val="bottom"/>
              </w:tcPr>
              <w:p w:rsidR="00EB7C7B" w:rsidRDefault="00EB7C7B" w:rsidP="002D34D3">
                <w:pPr>
                  <w:rPr>
                    <w:rFonts w:cs="Arial"/>
                    <w:sz w:val="16"/>
                    <w:szCs w:val="16"/>
                  </w:rPr>
                </w:pPr>
                <w:r>
                  <w:rPr>
                    <w:rFonts w:cs="Arial"/>
                    <w:sz w:val="16"/>
                    <w:szCs w:val="16"/>
                  </w:rPr>
                  <w:t>Engie</w:t>
                </w:r>
              </w:p>
            </w:tc>
            <w:tc>
              <w:tcPr>
                <w:tcW w:w="717" w:type="pct"/>
                <w:vAlign w:val="bottom"/>
              </w:tcPr>
              <w:p w:rsidR="00EB7C7B" w:rsidRDefault="00EB7C7B" w:rsidP="002D34D3">
                <w:pPr>
                  <w:rPr>
                    <w:rFonts w:cs="Arial"/>
                    <w:sz w:val="16"/>
                    <w:szCs w:val="16"/>
                  </w:rPr>
                </w:pPr>
                <w:r>
                  <w:rPr>
                    <w:rFonts w:cs="Arial"/>
                    <w:sz w:val="16"/>
                    <w:szCs w:val="16"/>
                  </w:rPr>
                  <w:t>PPCCGT</w:t>
                </w:r>
              </w:p>
            </w:tc>
            <w:tc>
              <w:tcPr>
                <w:tcW w:w="661" w:type="pct"/>
                <w:vAlign w:val="bottom"/>
              </w:tcPr>
              <w:p w:rsidR="00EB7C7B" w:rsidRDefault="00EB7C7B" w:rsidP="002D34D3">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EB7C7B" w:rsidRDefault="00EB7C7B"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rsidP="002D34D3">
                <w:pPr>
                  <w:jc w:val="right"/>
                  <w:rPr>
                    <w:rFonts w:cs="Arial"/>
                    <w:sz w:val="16"/>
                    <w:szCs w:val="16"/>
                  </w:rPr>
                </w:pPr>
                <w:r>
                  <w:rPr>
                    <w:rFonts w:cs="Arial"/>
                    <w:sz w:val="16"/>
                    <w:szCs w:val="16"/>
                  </w:rPr>
                  <w:t>-1.00</w:t>
                </w:r>
              </w:p>
            </w:tc>
            <w:tc>
              <w:tcPr>
                <w:tcW w:w="762" w:type="pct"/>
                <w:vAlign w:val="bottom"/>
              </w:tcPr>
              <w:p w:rsidR="00EB7C7B" w:rsidRDefault="00EB7C7B"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B7C7B" w:rsidRDefault="00EB7C7B">
                <w:pPr>
                  <w:jc w:val="right"/>
                  <w:rPr>
                    <w:rFonts w:cs="Arial"/>
                    <w:sz w:val="16"/>
                    <w:szCs w:val="16"/>
                  </w:rPr>
                </w:pPr>
              </w:p>
            </w:tc>
            <w:tc>
              <w:tcPr>
                <w:tcW w:w="583" w:type="pct"/>
                <w:shd w:val="clear" w:color="auto" w:fill="DBE5F1"/>
                <w:vAlign w:val="bottom"/>
              </w:tcPr>
              <w:p w:rsidR="00EB7C7B" w:rsidRDefault="00EB7C7B">
                <w:pPr>
                  <w:jc w:val="right"/>
                  <w:rPr>
                    <w:rFonts w:cs="Arial"/>
                    <w:sz w:val="16"/>
                    <w:szCs w:val="16"/>
                  </w:rPr>
                </w:pPr>
              </w:p>
            </w:tc>
            <w:tc>
              <w:tcPr>
                <w:tcW w:w="799" w:type="pct"/>
                <w:shd w:val="clear" w:color="auto" w:fill="DBE5F1"/>
                <w:vAlign w:val="bottom"/>
              </w:tcPr>
              <w:p w:rsidR="00EB7C7B" w:rsidRDefault="00EB7C7B">
                <w:pPr>
                  <w:rPr>
                    <w:rFonts w:cs="Arial"/>
                    <w:sz w:val="16"/>
                    <w:szCs w:val="16"/>
                  </w:rPr>
                </w:pPr>
                <w:r>
                  <w:rPr>
                    <w:rFonts w:cs="Arial"/>
                    <w:sz w:val="16"/>
                    <w:szCs w:val="16"/>
                  </w:rPr>
                  <w:t>CS Energy</w:t>
                </w:r>
              </w:p>
            </w:tc>
            <w:tc>
              <w:tcPr>
                <w:tcW w:w="717" w:type="pct"/>
                <w:shd w:val="clear" w:color="auto" w:fill="DBE5F1"/>
                <w:vAlign w:val="bottom"/>
              </w:tcPr>
              <w:p w:rsidR="00EB7C7B" w:rsidRDefault="00EB7C7B">
                <w:pPr>
                  <w:rPr>
                    <w:rFonts w:cs="Arial"/>
                    <w:sz w:val="16"/>
                    <w:szCs w:val="16"/>
                  </w:rPr>
                </w:pPr>
                <w:r>
                  <w:rPr>
                    <w:rFonts w:cs="Arial"/>
                    <w:sz w:val="16"/>
                    <w:szCs w:val="16"/>
                  </w:rPr>
                  <w:t>GSTONE1</w:t>
                </w:r>
              </w:p>
            </w:tc>
            <w:tc>
              <w:tcPr>
                <w:tcW w:w="661" w:type="pct"/>
                <w:shd w:val="clear" w:color="auto" w:fill="DBE5F1"/>
                <w:vAlign w:val="bottom"/>
              </w:tcPr>
              <w:p w:rsidR="00EB7C7B" w:rsidRDefault="00EB7C7B">
                <w:pPr>
                  <w:rPr>
                    <w:rFonts w:cs="Arial"/>
                    <w:sz w:val="16"/>
                    <w:szCs w:val="16"/>
                  </w:rPr>
                </w:pPr>
                <w:r>
                  <w:rPr>
                    <w:rFonts w:cs="Arial"/>
                    <w:sz w:val="16"/>
                    <w:szCs w:val="16"/>
                  </w:rPr>
                  <w:t>Energy</w:t>
                </w:r>
              </w:p>
            </w:tc>
            <w:tc>
              <w:tcPr>
                <w:tcW w:w="582" w:type="pct"/>
                <w:shd w:val="clear" w:color="auto" w:fill="DBE5F1"/>
                <w:vAlign w:val="bottom"/>
              </w:tcPr>
              <w:p w:rsidR="00EB7C7B" w:rsidRDefault="00EB7C7B">
                <w:pPr>
                  <w:jc w:val="right"/>
                  <w:rPr>
                    <w:rFonts w:cs="Arial"/>
                    <w:sz w:val="16"/>
                    <w:szCs w:val="16"/>
                  </w:rPr>
                </w:pPr>
                <w:r>
                  <w:rPr>
                    <w:rFonts w:cs="Arial"/>
                    <w:sz w:val="16"/>
                    <w:szCs w:val="16"/>
                  </w:rPr>
                  <w:t>$83.73</w:t>
                </w:r>
              </w:p>
            </w:tc>
            <w:tc>
              <w:tcPr>
                <w:tcW w:w="544" w:type="pct"/>
                <w:shd w:val="clear" w:color="auto" w:fill="DBE5F1"/>
                <w:vAlign w:val="bottom"/>
              </w:tcPr>
              <w:p w:rsidR="00EB7C7B" w:rsidRDefault="00EB7C7B">
                <w:pPr>
                  <w:jc w:val="right"/>
                  <w:rPr>
                    <w:rFonts w:cs="Arial"/>
                    <w:sz w:val="16"/>
                    <w:szCs w:val="16"/>
                  </w:rPr>
                </w:pPr>
                <w:r>
                  <w:rPr>
                    <w:rFonts w:cs="Arial"/>
                    <w:sz w:val="16"/>
                    <w:szCs w:val="16"/>
                  </w:rPr>
                  <w:t>-0.02</w:t>
                </w:r>
              </w:p>
            </w:tc>
            <w:tc>
              <w:tcPr>
                <w:tcW w:w="762" w:type="pct"/>
                <w:shd w:val="clear" w:color="auto" w:fill="DBE5F1"/>
                <w:vAlign w:val="bottom"/>
              </w:tcPr>
              <w:p w:rsidR="00EB7C7B" w:rsidRDefault="00EB7C7B">
                <w:pPr>
                  <w:jc w:val="right"/>
                  <w:rPr>
                    <w:rFonts w:cs="Arial"/>
                    <w:sz w:val="16"/>
                    <w:szCs w:val="16"/>
                  </w:rPr>
                </w:pPr>
                <w:r>
                  <w:rPr>
                    <w:rFonts w:cs="Arial"/>
                    <w:sz w:val="16"/>
                    <w:szCs w:val="16"/>
                  </w:rPr>
                  <w:t>-$1.67</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rPr>
                    <w:rFonts w:cs="Arial"/>
                    <w:sz w:val="16"/>
                    <w:szCs w:val="16"/>
                  </w:rPr>
                </w:pPr>
              </w:p>
            </w:tc>
            <w:tc>
              <w:tcPr>
                <w:tcW w:w="583" w:type="pct"/>
                <w:vAlign w:val="bottom"/>
              </w:tcPr>
              <w:p w:rsidR="00EB7C7B" w:rsidRDefault="00EB7C7B">
                <w:pPr>
                  <w:rPr>
                    <w:rFonts w:cs="Arial"/>
                    <w:sz w:val="16"/>
                    <w:szCs w:val="16"/>
                  </w:rPr>
                </w:pPr>
              </w:p>
            </w:tc>
            <w:tc>
              <w:tcPr>
                <w:tcW w:w="799" w:type="pct"/>
                <w:vAlign w:val="bottom"/>
              </w:tcPr>
              <w:p w:rsidR="00EB7C7B" w:rsidRDefault="00EB7C7B">
                <w:pPr>
                  <w:rPr>
                    <w:rFonts w:cs="Arial"/>
                    <w:sz w:val="16"/>
                    <w:szCs w:val="16"/>
                  </w:rPr>
                </w:pPr>
                <w:r>
                  <w:rPr>
                    <w:rFonts w:cs="Arial"/>
                    <w:sz w:val="16"/>
                    <w:szCs w:val="16"/>
                  </w:rPr>
                  <w:t>CS Energy</w:t>
                </w:r>
              </w:p>
            </w:tc>
            <w:tc>
              <w:tcPr>
                <w:tcW w:w="717" w:type="pct"/>
                <w:vAlign w:val="bottom"/>
              </w:tcPr>
              <w:p w:rsidR="00EB7C7B" w:rsidRDefault="00EB7C7B">
                <w:pPr>
                  <w:rPr>
                    <w:rFonts w:cs="Arial"/>
                    <w:sz w:val="16"/>
                    <w:szCs w:val="16"/>
                  </w:rPr>
                </w:pPr>
                <w:r>
                  <w:rPr>
                    <w:rFonts w:cs="Arial"/>
                    <w:sz w:val="16"/>
                    <w:szCs w:val="16"/>
                  </w:rPr>
                  <w:t>GSTONE2</w:t>
                </w:r>
              </w:p>
            </w:tc>
            <w:tc>
              <w:tcPr>
                <w:tcW w:w="661" w:type="pct"/>
                <w:vAlign w:val="bottom"/>
              </w:tcPr>
              <w:p w:rsidR="00EB7C7B" w:rsidRDefault="00EB7C7B">
                <w:pPr>
                  <w:rPr>
                    <w:rFonts w:cs="Arial"/>
                    <w:sz w:val="16"/>
                    <w:szCs w:val="16"/>
                  </w:rPr>
                </w:pPr>
                <w:r>
                  <w:rPr>
                    <w:rFonts w:cs="Arial"/>
                    <w:sz w:val="16"/>
                    <w:szCs w:val="16"/>
                  </w:rPr>
                  <w:t>Energy</w:t>
                </w:r>
              </w:p>
            </w:tc>
            <w:tc>
              <w:tcPr>
                <w:tcW w:w="582" w:type="pct"/>
                <w:vAlign w:val="bottom"/>
              </w:tcPr>
              <w:p w:rsidR="00EB7C7B" w:rsidRDefault="00EB7C7B">
                <w:pPr>
                  <w:jc w:val="right"/>
                  <w:rPr>
                    <w:rFonts w:cs="Arial"/>
                    <w:sz w:val="16"/>
                    <w:szCs w:val="16"/>
                  </w:rPr>
                </w:pPr>
                <w:r>
                  <w:rPr>
                    <w:rFonts w:cs="Arial"/>
                    <w:sz w:val="16"/>
                    <w:szCs w:val="16"/>
                  </w:rPr>
                  <w:t>$83.73</w:t>
                </w:r>
              </w:p>
            </w:tc>
            <w:tc>
              <w:tcPr>
                <w:tcW w:w="544" w:type="pct"/>
                <w:vAlign w:val="bottom"/>
              </w:tcPr>
              <w:p w:rsidR="00EB7C7B" w:rsidRDefault="00EB7C7B">
                <w:pPr>
                  <w:jc w:val="right"/>
                  <w:rPr>
                    <w:rFonts w:cs="Arial"/>
                    <w:sz w:val="16"/>
                    <w:szCs w:val="16"/>
                  </w:rPr>
                </w:pPr>
                <w:r>
                  <w:rPr>
                    <w:rFonts w:cs="Arial"/>
                    <w:sz w:val="16"/>
                    <w:szCs w:val="16"/>
                  </w:rPr>
                  <w:t>-0.02</w:t>
                </w:r>
              </w:p>
            </w:tc>
            <w:tc>
              <w:tcPr>
                <w:tcW w:w="762" w:type="pct"/>
                <w:vAlign w:val="bottom"/>
              </w:tcPr>
              <w:p w:rsidR="00EB7C7B" w:rsidRDefault="00EB7C7B">
                <w:pPr>
                  <w:jc w:val="right"/>
                  <w:rPr>
                    <w:rFonts w:cs="Arial"/>
                    <w:sz w:val="16"/>
                    <w:szCs w:val="16"/>
                  </w:rPr>
                </w:pPr>
                <w:r>
                  <w:rPr>
                    <w:rFonts w:cs="Arial"/>
                    <w:sz w:val="16"/>
                    <w:szCs w:val="16"/>
                  </w:rPr>
                  <w:t>-$1.67</w:t>
                </w:r>
              </w:p>
            </w:tc>
          </w:tr>
          <w:tr w:rsidR="00EB7C7B"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B7C7B" w:rsidRDefault="00EB7C7B">
                <w:pPr>
                  <w:rPr>
                    <w:rFonts w:cs="Arial"/>
                    <w:sz w:val="16"/>
                    <w:szCs w:val="16"/>
                  </w:rPr>
                </w:pPr>
              </w:p>
            </w:tc>
            <w:tc>
              <w:tcPr>
                <w:tcW w:w="583" w:type="pct"/>
                <w:shd w:val="clear" w:color="auto" w:fill="DBE5F1"/>
                <w:vAlign w:val="bottom"/>
              </w:tcPr>
              <w:p w:rsidR="00EB7C7B" w:rsidRDefault="00EB7C7B">
                <w:pPr>
                  <w:rPr>
                    <w:rFonts w:cs="Arial"/>
                    <w:sz w:val="16"/>
                    <w:szCs w:val="16"/>
                  </w:rPr>
                </w:pPr>
              </w:p>
            </w:tc>
            <w:tc>
              <w:tcPr>
                <w:tcW w:w="799" w:type="pct"/>
                <w:shd w:val="clear" w:color="auto" w:fill="DBE5F1"/>
                <w:vAlign w:val="bottom"/>
              </w:tcPr>
              <w:p w:rsidR="00EB7C7B" w:rsidRDefault="00EB7C7B">
                <w:pPr>
                  <w:rPr>
                    <w:rFonts w:cs="Arial"/>
                    <w:sz w:val="16"/>
                    <w:szCs w:val="16"/>
                  </w:rPr>
                </w:pPr>
                <w:r>
                  <w:rPr>
                    <w:rFonts w:cs="Arial"/>
                    <w:sz w:val="16"/>
                    <w:szCs w:val="16"/>
                  </w:rPr>
                  <w:t>CS Energy</w:t>
                </w:r>
              </w:p>
            </w:tc>
            <w:tc>
              <w:tcPr>
                <w:tcW w:w="717" w:type="pct"/>
                <w:shd w:val="clear" w:color="auto" w:fill="DBE5F1"/>
                <w:vAlign w:val="bottom"/>
              </w:tcPr>
              <w:p w:rsidR="00EB7C7B" w:rsidRDefault="00EB7C7B">
                <w:pPr>
                  <w:rPr>
                    <w:rFonts w:cs="Arial"/>
                    <w:sz w:val="16"/>
                    <w:szCs w:val="16"/>
                  </w:rPr>
                </w:pPr>
                <w:r>
                  <w:rPr>
                    <w:rFonts w:cs="Arial"/>
                    <w:sz w:val="16"/>
                    <w:szCs w:val="16"/>
                  </w:rPr>
                  <w:t>GSTONE3</w:t>
                </w:r>
              </w:p>
            </w:tc>
            <w:tc>
              <w:tcPr>
                <w:tcW w:w="661" w:type="pct"/>
                <w:shd w:val="clear" w:color="auto" w:fill="DBE5F1"/>
                <w:vAlign w:val="bottom"/>
              </w:tcPr>
              <w:p w:rsidR="00EB7C7B" w:rsidRDefault="00EB7C7B">
                <w:pPr>
                  <w:rPr>
                    <w:rFonts w:cs="Arial"/>
                    <w:sz w:val="16"/>
                    <w:szCs w:val="16"/>
                  </w:rPr>
                </w:pPr>
                <w:r>
                  <w:rPr>
                    <w:rFonts w:cs="Arial"/>
                    <w:sz w:val="16"/>
                    <w:szCs w:val="16"/>
                  </w:rPr>
                  <w:t>Energy</w:t>
                </w:r>
              </w:p>
            </w:tc>
            <w:tc>
              <w:tcPr>
                <w:tcW w:w="582" w:type="pct"/>
                <w:shd w:val="clear" w:color="auto" w:fill="DBE5F1"/>
                <w:vAlign w:val="bottom"/>
              </w:tcPr>
              <w:p w:rsidR="00EB7C7B" w:rsidRDefault="00EB7C7B">
                <w:pPr>
                  <w:jc w:val="right"/>
                  <w:rPr>
                    <w:rFonts w:cs="Arial"/>
                    <w:sz w:val="16"/>
                    <w:szCs w:val="16"/>
                  </w:rPr>
                </w:pPr>
                <w:r>
                  <w:rPr>
                    <w:rFonts w:cs="Arial"/>
                    <w:sz w:val="16"/>
                    <w:szCs w:val="16"/>
                  </w:rPr>
                  <w:t>$83.73</w:t>
                </w:r>
              </w:p>
            </w:tc>
            <w:tc>
              <w:tcPr>
                <w:tcW w:w="544" w:type="pct"/>
                <w:shd w:val="clear" w:color="auto" w:fill="DBE5F1"/>
                <w:vAlign w:val="bottom"/>
              </w:tcPr>
              <w:p w:rsidR="00EB7C7B" w:rsidRDefault="00EB7C7B">
                <w:pPr>
                  <w:jc w:val="right"/>
                  <w:rPr>
                    <w:rFonts w:cs="Arial"/>
                    <w:sz w:val="16"/>
                    <w:szCs w:val="16"/>
                  </w:rPr>
                </w:pPr>
                <w:r>
                  <w:rPr>
                    <w:rFonts w:cs="Arial"/>
                    <w:sz w:val="16"/>
                    <w:szCs w:val="16"/>
                  </w:rPr>
                  <w:t>-0.02</w:t>
                </w:r>
              </w:p>
            </w:tc>
            <w:tc>
              <w:tcPr>
                <w:tcW w:w="762" w:type="pct"/>
                <w:shd w:val="clear" w:color="auto" w:fill="DBE5F1"/>
                <w:vAlign w:val="bottom"/>
              </w:tcPr>
              <w:p w:rsidR="00EB7C7B" w:rsidRDefault="00EB7C7B">
                <w:pPr>
                  <w:jc w:val="right"/>
                  <w:rPr>
                    <w:rFonts w:cs="Arial"/>
                    <w:sz w:val="16"/>
                    <w:szCs w:val="16"/>
                  </w:rPr>
                </w:pPr>
                <w:r>
                  <w:rPr>
                    <w:rFonts w:cs="Arial"/>
                    <w:sz w:val="16"/>
                    <w:szCs w:val="16"/>
                  </w:rPr>
                  <w:t>-$1.67</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rPr>
                    <w:rFonts w:cs="Arial"/>
                    <w:sz w:val="16"/>
                    <w:szCs w:val="16"/>
                  </w:rPr>
                </w:pPr>
              </w:p>
            </w:tc>
            <w:tc>
              <w:tcPr>
                <w:tcW w:w="583" w:type="pct"/>
                <w:vAlign w:val="bottom"/>
              </w:tcPr>
              <w:p w:rsidR="00EB7C7B" w:rsidRDefault="00EB7C7B">
                <w:pPr>
                  <w:rPr>
                    <w:rFonts w:cs="Arial"/>
                    <w:sz w:val="16"/>
                    <w:szCs w:val="16"/>
                  </w:rPr>
                </w:pPr>
              </w:p>
            </w:tc>
            <w:tc>
              <w:tcPr>
                <w:tcW w:w="799" w:type="pct"/>
                <w:vAlign w:val="bottom"/>
              </w:tcPr>
              <w:p w:rsidR="00EB7C7B" w:rsidRDefault="00EB7C7B">
                <w:pPr>
                  <w:rPr>
                    <w:rFonts w:cs="Arial"/>
                    <w:sz w:val="16"/>
                    <w:szCs w:val="16"/>
                  </w:rPr>
                </w:pPr>
                <w:r>
                  <w:rPr>
                    <w:rFonts w:cs="Arial"/>
                    <w:sz w:val="16"/>
                    <w:szCs w:val="16"/>
                  </w:rPr>
                  <w:t>CS Energy</w:t>
                </w:r>
              </w:p>
            </w:tc>
            <w:tc>
              <w:tcPr>
                <w:tcW w:w="717" w:type="pct"/>
                <w:vAlign w:val="bottom"/>
              </w:tcPr>
              <w:p w:rsidR="00EB7C7B" w:rsidRDefault="00EB7C7B">
                <w:pPr>
                  <w:rPr>
                    <w:rFonts w:cs="Arial"/>
                    <w:sz w:val="16"/>
                    <w:szCs w:val="16"/>
                  </w:rPr>
                </w:pPr>
                <w:r>
                  <w:rPr>
                    <w:rFonts w:cs="Arial"/>
                    <w:sz w:val="16"/>
                    <w:szCs w:val="16"/>
                  </w:rPr>
                  <w:t>GSTONE5</w:t>
                </w:r>
              </w:p>
            </w:tc>
            <w:tc>
              <w:tcPr>
                <w:tcW w:w="661" w:type="pct"/>
                <w:vAlign w:val="bottom"/>
              </w:tcPr>
              <w:p w:rsidR="00EB7C7B" w:rsidRDefault="00EB7C7B">
                <w:pPr>
                  <w:rPr>
                    <w:rFonts w:cs="Arial"/>
                    <w:sz w:val="16"/>
                    <w:szCs w:val="16"/>
                  </w:rPr>
                </w:pPr>
                <w:r>
                  <w:rPr>
                    <w:rFonts w:cs="Arial"/>
                    <w:sz w:val="16"/>
                    <w:szCs w:val="16"/>
                  </w:rPr>
                  <w:t>Energy</w:t>
                </w:r>
              </w:p>
            </w:tc>
            <w:tc>
              <w:tcPr>
                <w:tcW w:w="582" w:type="pct"/>
                <w:vAlign w:val="bottom"/>
              </w:tcPr>
              <w:p w:rsidR="00EB7C7B" w:rsidRDefault="00EB7C7B">
                <w:pPr>
                  <w:jc w:val="right"/>
                  <w:rPr>
                    <w:rFonts w:cs="Arial"/>
                    <w:sz w:val="16"/>
                    <w:szCs w:val="16"/>
                  </w:rPr>
                </w:pPr>
                <w:r>
                  <w:rPr>
                    <w:rFonts w:cs="Arial"/>
                    <w:sz w:val="16"/>
                    <w:szCs w:val="16"/>
                  </w:rPr>
                  <w:t>$83.73</w:t>
                </w:r>
              </w:p>
            </w:tc>
            <w:tc>
              <w:tcPr>
                <w:tcW w:w="544" w:type="pct"/>
                <w:vAlign w:val="bottom"/>
              </w:tcPr>
              <w:p w:rsidR="00EB7C7B" w:rsidRDefault="00EB7C7B">
                <w:pPr>
                  <w:jc w:val="right"/>
                  <w:rPr>
                    <w:rFonts w:cs="Arial"/>
                    <w:sz w:val="16"/>
                    <w:szCs w:val="16"/>
                  </w:rPr>
                </w:pPr>
                <w:r>
                  <w:rPr>
                    <w:rFonts w:cs="Arial"/>
                    <w:sz w:val="16"/>
                    <w:szCs w:val="16"/>
                  </w:rPr>
                  <w:t>-0.01</w:t>
                </w:r>
              </w:p>
            </w:tc>
            <w:tc>
              <w:tcPr>
                <w:tcW w:w="762" w:type="pct"/>
                <w:vAlign w:val="bottom"/>
              </w:tcPr>
              <w:p w:rsidR="00EB7C7B" w:rsidRDefault="00EB7C7B">
                <w:pPr>
                  <w:jc w:val="right"/>
                  <w:rPr>
                    <w:rFonts w:cs="Arial"/>
                    <w:sz w:val="16"/>
                    <w:szCs w:val="16"/>
                  </w:rPr>
                </w:pPr>
                <w:r>
                  <w:rPr>
                    <w:rFonts w:cs="Arial"/>
                    <w:sz w:val="16"/>
                    <w:szCs w:val="16"/>
                  </w:rPr>
                  <w:t>-$0.84</w:t>
                </w:r>
              </w:p>
            </w:tc>
          </w:tr>
          <w:tr w:rsidR="00EB7C7B"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B7C7B" w:rsidRDefault="00EB7C7B">
                <w:pPr>
                  <w:rPr>
                    <w:rFonts w:cs="Arial"/>
                    <w:sz w:val="16"/>
                    <w:szCs w:val="16"/>
                  </w:rPr>
                </w:pPr>
              </w:p>
            </w:tc>
            <w:tc>
              <w:tcPr>
                <w:tcW w:w="583" w:type="pct"/>
                <w:shd w:val="clear" w:color="auto" w:fill="DBE5F1"/>
                <w:vAlign w:val="bottom"/>
              </w:tcPr>
              <w:p w:rsidR="00EB7C7B" w:rsidRDefault="00EB7C7B">
                <w:pPr>
                  <w:rPr>
                    <w:rFonts w:cs="Arial"/>
                    <w:sz w:val="16"/>
                    <w:szCs w:val="16"/>
                  </w:rPr>
                </w:pPr>
              </w:p>
            </w:tc>
            <w:tc>
              <w:tcPr>
                <w:tcW w:w="799" w:type="pct"/>
                <w:shd w:val="clear" w:color="auto" w:fill="DBE5F1"/>
                <w:vAlign w:val="bottom"/>
              </w:tcPr>
              <w:p w:rsidR="00EB7C7B" w:rsidRDefault="00EB7C7B">
                <w:pPr>
                  <w:rPr>
                    <w:rFonts w:cs="Arial"/>
                    <w:sz w:val="16"/>
                    <w:szCs w:val="16"/>
                  </w:rPr>
                </w:pPr>
                <w:r>
                  <w:rPr>
                    <w:rFonts w:cs="Arial"/>
                    <w:sz w:val="16"/>
                    <w:szCs w:val="16"/>
                  </w:rPr>
                  <w:t>Engie</w:t>
                </w:r>
              </w:p>
            </w:tc>
            <w:tc>
              <w:tcPr>
                <w:tcW w:w="717" w:type="pct"/>
                <w:shd w:val="clear" w:color="auto" w:fill="DBE5F1"/>
                <w:vAlign w:val="bottom"/>
              </w:tcPr>
              <w:p w:rsidR="00EB7C7B" w:rsidRDefault="00EB7C7B">
                <w:pPr>
                  <w:rPr>
                    <w:rFonts w:cs="Arial"/>
                    <w:sz w:val="16"/>
                    <w:szCs w:val="16"/>
                  </w:rPr>
                </w:pPr>
                <w:r>
                  <w:rPr>
                    <w:rFonts w:cs="Arial"/>
                    <w:sz w:val="16"/>
                    <w:szCs w:val="16"/>
                  </w:rPr>
                  <w:t>LOYYB1</w:t>
                </w:r>
              </w:p>
            </w:tc>
            <w:tc>
              <w:tcPr>
                <w:tcW w:w="661" w:type="pct"/>
                <w:shd w:val="clear" w:color="auto" w:fill="DBE5F1"/>
                <w:vAlign w:val="bottom"/>
              </w:tcPr>
              <w:p w:rsidR="00EB7C7B" w:rsidRDefault="00EB7C7B">
                <w:pPr>
                  <w:rPr>
                    <w:rFonts w:cs="Arial"/>
                    <w:sz w:val="16"/>
                    <w:szCs w:val="16"/>
                  </w:rPr>
                </w:pPr>
                <w:r>
                  <w:rPr>
                    <w:rFonts w:cs="Arial"/>
                    <w:sz w:val="16"/>
                    <w:szCs w:val="16"/>
                  </w:rPr>
                  <w:t>Lower 60 sec</w:t>
                </w:r>
              </w:p>
            </w:tc>
            <w:tc>
              <w:tcPr>
                <w:tcW w:w="582" w:type="pct"/>
                <w:shd w:val="clear" w:color="auto" w:fill="DBE5F1"/>
                <w:vAlign w:val="bottom"/>
              </w:tcPr>
              <w:p w:rsidR="00EB7C7B" w:rsidRDefault="00EB7C7B">
                <w:pPr>
                  <w:jc w:val="right"/>
                  <w:rPr>
                    <w:rFonts w:cs="Arial"/>
                    <w:sz w:val="16"/>
                    <w:szCs w:val="16"/>
                  </w:rPr>
                </w:pPr>
                <w:r>
                  <w:rPr>
                    <w:rFonts w:cs="Arial"/>
                    <w:sz w:val="16"/>
                    <w:szCs w:val="16"/>
                  </w:rPr>
                  <w:t>$0.02</w:t>
                </w:r>
              </w:p>
            </w:tc>
            <w:tc>
              <w:tcPr>
                <w:tcW w:w="544" w:type="pct"/>
                <w:shd w:val="clear" w:color="auto" w:fill="DBE5F1"/>
                <w:vAlign w:val="bottom"/>
              </w:tcPr>
              <w:p w:rsidR="00EB7C7B" w:rsidRDefault="00EB7C7B">
                <w:pPr>
                  <w:jc w:val="right"/>
                  <w:rPr>
                    <w:rFonts w:cs="Arial"/>
                    <w:sz w:val="16"/>
                    <w:szCs w:val="16"/>
                  </w:rPr>
                </w:pPr>
                <w:r>
                  <w:rPr>
                    <w:rFonts w:cs="Arial"/>
                    <w:sz w:val="16"/>
                    <w:szCs w:val="16"/>
                  </w:rPr>
                  <w:t>-0.83</w:t>
                </w:r>
              </w:p>
            </w:tc>
            <w:tc>
              <w:tcPr>
                <w:tcW w:w="762" w:type="pct"/>
                <w:shd w:val="clear" w:color="auto" w:fill="DBE5F1"/>
                <w:vAlign w:val="bottom"/>
              </w:tcPr>
              <w:p w:rsidR="00EB7C7B" w:rsidRDefault="00EB7C7B">
                <w:pPr>
                  <w:jc w:val="right"/>
                  <w:rPr>
                    <w:rFonts w:cs="Arial"/>
                    <w:sz w:val="16"/>
                    <w:szCs w:val="16"/>
                  </w:rPr>
                </w:pPr>
                <w:r>
                  <w:rPr>
                    <w:rFonts w:cs="Arial"/>
                    <w:sz w:val="16"/>
                    <w:szCs w:val="16"/>
                  </w:rPr>
                  <w:t>-$0.02</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rPr>
                    <w:rFonts w:cs="Arial"/>
                    <w:sz w:val="16"/>
                    <w:szCs w:val="16"/>
                  </w:rPr>
                </w:pPr>
              </w:p>
            </w:tc>
            <w:tc>
              <w:tcPr>
                <w:tcW w:w="583" w:type="pct"/>
                <w:vAlign w:val="bottom"/>
              </w:tcPr>
              <w:p w:rsidR="00EB7C7B" w:rsidRDefault="00EB7C7B">
                <w:pPr>
                  <w:rPr>
                    <w:rFonts w:cs="Arial"/>
                    <w:sz w:val="16"/>
                    <w:szCs w:val="16"/>
                  </w:rPr>
                </w:pP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LOYYB2</w:t>
                </w:r>
              </w:p>
            </w:tc>
            <w:tc>
              <w:tcPr>
                <w:tcW w:w="661" w:type="pct"/>
                <w:vAlign w:val="bottom"/>
              </w:tcPr>
              <w:p w:rsidR="00EB7C7B" w:rsidRDefault="00EB7C7B">
                <w:pPr>
                  <w:rPr>
                    <w:rFonts w:cs="Arial"/>
                    <w:sz w:val="16"/>
                    <w:szCs w:val="16"/>
                  </w:rPr>
                </w:pPr>
                <w:r>
                  <w:rPr>
                    <w:rFonts w:cs="Arial"/>
                    <w:sz w:val="16"/>
                    <w:szCs w:val="16"/>
                  </w:rPr>
                  <w:t>Lower 6 sec</w:t>
                </w:r>
              </w:p>
            </w:tc>
            <w:tc>
              <w:tcPr>
                <w:tcW w:w="582" w:type="pct"/>
                <w:vAlign w:val="bottom"/>
              </w:tcPr>
              <w:p w:rsidR="00EB7C7B" w:rsidRDefault="00EB7C7B">
                <w:pPr>
                  <w:jc w:val="right"/>
                  <w:rPr>
                    <w:rFonts w:cs="Arial"/>
                    <w:sz w:val="16"/>
                    <w:szCs w:val="16"/>
                  </w:rPr>
                </w:pPr>
                <w:r>
                  <w:rPr>
                    <w:rFonts w:cs="Arial"/>
                    <w:sz w:val="16"/>
                    <w:szCs w:val="16"/>
                  </w:rPr>
                  <w:t>$0.02</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-$0.02</w:t>
                </w:r>
              </w:p>
            </w:tc>
          </w:tr>
          <w:tr w:rsidR="00EB7C7B" w:rsidRPr="00796046" w:rsidTr="00EB7C7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B7C7B" w:rsidRDefault="00EB7C7B">
                <w:pPr>
                  <w:rPr>
                    <w:rFonts w:cs="Arial"/>
                    <w:sz w:val="16"/>
                    <w:szCs w:val="16"/>
                  </w:rPr>
                </w:pPr>
              </w:p>
            </w:tc>
            <w:tc>
              <w:tcPr>
                <w:tcW w:w="583" w:type="pct"/>
                <w:shd w:val="clear" w:color="auto" w:fill="DBE5F1"/>
                <w:vAlign w:val="bottom"/>
              </w:tcPr>
              <w:p w:rsidR="00EB7C7B" w:rsidRDefault="00EB7C7B">
                <w:pPr>
                  <w:rPr>
                    <w:rFonts w:cs="Arial"/>
                    <w:sz w:val="16"/>
                    <w:szCs w:val="16"/>
                  </w:rPr>
                </w:pPr>
              </w:p>
            </w:tc>
            <w:tc>
              <w:tcPr>
                <w:tcW w:w="799" w:type="pct"/>
                <w:shd w:val="clear" w:color="auto" w:fill="DBE5F1"/>
                <w:vAlign w:val="bottom"/>
              </w:tcPr>
              <w:p w:rsidR="00EB7C7B" w:rsidRDefault="00EB7C7B">
                <w:pPr>
                  <w:rPr>
                    <w:rFonts w:cs="Arial"/>
                    <w:sz w:val="16"/>
                    <w:szCs w:val="16"/>
                  </w:rPr>
                </w:pPr>
                <w:r>
                  <w:rPr>
                    <w:rFonts w:cs="Arial"/>
                    <w:sz w:val="16"/>
                    <w:szCs w:val="16"/>
                  </w:rPr>
                  <w:t>Engie</w:t>
                </w:r>
              </w:p>
            </w:tc>
            <w:tc>
              <w:tcPr>
                <w:tcW w:w="717" w:type="pct"/>
                <w:shd w:val="clear" w:color="auto" w:fill="DBE5F1"/>
                <w:vAlign w:val="bottom"/>
              </w:tcPr>
              <w:p w:rsidR="00EB7C7B" w:rsidRDefault="00EB7C7B">
                <w:pPr>
                  <w:rPr>
                    <w:rFonts w:cs="Arial"/>
                    <w:sz w:val="16"/>
                    <w:szCs w:val="16"/>
                  </w:rPr>
                </w:pPr>
                <w:r>
                  <w:rPr>
                    <w:rFonts w:cs="Arial"/>
                    <w:sz w:val="16"/>
                    <w:szCs w:val="16"/>
                  </w:rPr>
                  <w:t>PPCCGT</w:t>
                </w:r>
              </w:p>
            </w:tc>
            <w:tc>
              <w:tcPr>
                <w:tcW w:w="661" w:type="pct"/>
                <w:shd w:val="clear" w:color="auto" w:fill="DBE5F1"/>
                <w:vAlign w:val="bottom"/>
              </w:tcPr>
              <w:p w:rsidR="00EB7C7B" w:rsidRDefault="00EB7C7B">
                <w:pPr>
                  <w:rPr>
                    <w:rFonts w:cs="Arial"/>
                    <w:sz w:val="16"/>
                    <w:szCs w:val="16"/>
                  </w:rPr>
                </w:pPr>
                <w:r>
                  <w:rPr>
                    <w:rFonts w:cs="Arial"/>
                    <w:sz w:val="16"/>
                    <w:szCs w:val="16"/>
                  </w:rPr>
                  <w:t>Lower 60 sec</w:t>
                </w:r>
              </w:p>
            </w:tc>
            <w:tc>
              <w:tcPr>
                <w:tcW w:w="582" w:type="pct"/>
                <w:shd w:val="clear" w:color="auto" w:fill="DBE5F1"/>
                <w:vAlign w:val="bottom"/>
              </w:tcPr>
              <w:p w:rsidR="00EB7C7B" w:rsidRDefault="00EB7C7B">
                <w:pPr>
                  <w:jc w:val="right"/>
                  <w:rPr>
                    <w:rFonts w:cs="Arial"/>
                    <w:sz w:val="16"/>
                    <w:szCs w:val="16"/>
                  </w:rPr>
                </w:pPr>
                <w:r>
                  <w:rPr>
                    <w:rFonts w:cs="Arial"/>
                    <w:sz w:val="16"/>
                    <w:szCs w:val="16"/>
                  </w:rPr>
                  <w:t>$0.03</w:t>
                </w:r>
              </w:p>
            </w:tc>
            <w:tc>
              <w:tcPr>
                <w:tcW w:w="544" w:type="pct"/>
                <w:shd w:val="clear" w:color="auto" w:fill="DBE5F1"/>
                <w:vAlign w:val="bottom"/>
              </w:tcPr>
              <w:p w:rsidR="00EB7C7B" w:rsidRDefault="00EB7C7B">
                <w:pPr>
                  <w:jc w:val="right"/>
                  <w:rPr>
                    <w:rFonts w:cs="Arial"/>
                    <w:sz w:val="16"/>
                    <w:szCs w:val="16"/>
                  </w:rPr>
                </w:pPr>
                <w:r>
                  <w:rPr>
                    <w:rFonts w:cs="Arial"/>
                    <w:sz w:val="16"/>
                    <w:szCs w:val="16"/>
                  </w:rPr>
                  <w:t>1.00</w:t>
                </w:r>
              </w:p>
            </w:tc>
            <w:tc>
              <w:tcPr>
                <w:tcW w:w="762" w:type="pct"/>
                <w:shd w:val="clear" w:color="auto" w:fill="DBE5F1"/>
                <w:vAlign w:val="bottom"/>
              </w:tcPr>
              <w:p w:rsidR="00EB7C7B" w:rsidRDefault="00EB7C7B">
                <w:pPr>
                  <w:jc w:val="right"/>
                  <w:rPr>
                    <w:rFonts w:cs="Arial"/>
                    <w:sz w:val="16"/>
                    <w:szCs w:val="16"/>
                  </w:rPr>
                </w:pPr>
                <w:r>
                  <w:rPr>
                    <w:rFonts w:cs="Arial"/>
                    <w:sz w:val="16"/>
                    <w:szCs w:val="16"/>
                  </w:rPr>
                  <w:t>$0.03</w:t>
                </w:r>
              </w:p>
            </w:tc>
          </w:tr>
          <w:tr w:rsidR="00EB7C7B"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rPr>
                    <w:rFonts w:cs="Arial"/>
                    <w:sz w:val="16"/>
                    <w:szCs w:val="16"/>
                  </w:rPr>
                </w:pPr>
              </w:p>
            </w:tc>
            <w:tc>
              <w:tcPr>
                <w:tcW w:w="583" w:type="pct"/>
                <w:vAlign w:val="bottom"/>
              </w:tcPr>
              <w:p w:rsidR="00EB7C7B" w:rsidRDefault="00EB7C7B">
                <w:pPr>
                  <w:rPr>
                    <w:rFonts w:cs="Arial"/>
                    <w:sz w:val="16"/>
                    <w:szCs w:val="16"/>
                  </w:rPr>
                </w:pP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Lower 6 sec</w:t>
                </w:r>
              </w:p>
            </w:tc>
            <w:tc>
              <w:tcPr>
                <w:tcW w:w="582" w:type="pct"/>
                <w:vAlign w:val="bottom"/>
              </w:tcPr>
              <w:p w:rsidR="00EB7C7B" w:rsidRDefault="00EB7C7B">
                <w:pPr>
                  <w:jc w:val="right"/>
                  <w:rPr>
                    <w:rFonts w:cs="Arial"/>
                    <w:sz w:val="16"/>
                    <w:szCs w:val="16"/>
                  </w:rPr>
                </w:pPr>
                <w:r>
                  <w:rPr>
                    <w:rFonts w:cs="Arial"/>
                    <w:sz w:val="16"/>
                    <w:szCs w:val="16"/>
                  </w:rPr>
                  <w:t>$0.03</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$0.03</w:t>
                </w:r>
              </w:p>
            </w:tc>
          </w:tr>
          <w:tr w:rsidR="00EB7C7B" w:rsidRPr="00796046" w:rsidTr="00EB7C7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EB7C7B" w:rsidRDefault="00EB7C7B">
                <w:pPr>
                  <w:rPr>
                    <w:rFonts w:cs="Arial"/>
                    <w:sz w:val="16"/>
                    <w:szCs w:val="16"/>
                  </w:rPr>
                </w:pPr>
              </w:p>
            </w:tc>
            <w:tc>
              <w:tcPr>
                <w:tcW w:w="583" w:type="pct"/>
                <w:shd w:val="clear" w:color="auto" w:fill="DBE5F1"/>
                <w:vAlign w:val="bottom"/>
              </w:tcPr>
              <w:p w:rsidR="00EB7C7B" w:rsidRDefault="00EB7C7B">
                <w:pPr>
                  <w:rPr>
                    <w:rFonts w:cs="Arial"/>
                    <w:sz w:val="16"/>
                    <w:szCs w:val="16"/>
                  </w:rPr>
                </w:pPr>
              </w:p>
            </w:tc>
            <w:tc>
              <w:tcPr>
                <w:tcW w:w="799" w:type="pct"/>
                <w:shd w:val="clear" w:color="auto" w:fill="DBE5F1"/>
                <w:vAlign w:val="bottom"/>
              </w:tcPr>
              <w:p w:rsidR="00EB7C7B" w:rsidRDefault="00EB7C7B">
                <w:pPr>
                  <w:rPr>
                    <w:rFonts w:cs="Arial"/>
                    <w:sz w:val="16"/>
                    <w:szCs w:val="16"/>
                  </w:rPr>
                </w:pPr>
                <w:r>
                  <w:rPr>
                    <w:rFonts w:cs="Arial"/>
                    <w:sz w:val="16"/>
                    <w:szCs w:val="16"/>
                  </w:rPr>
                  <w:t>AGL (SA)</w:t>
                </w:r>
              </w:p>
            </w:tc>
            <w:tc>
              <w:tcPr>
                <w:tcW w:w="717" w:type="pct"/>
                <w:shd w:val="clear" w:color="auto" w:fill="DBE5F1"/>
                <w:vAlign w:val="bottom"/>
              </w:tcPr>
              <w:p w:rsidR="00EB7C7B" w:rsidRDefault="00EB7C7B">
                <w:pPr>
                  <w:rPr>
                    <w:rFonts w:cs="Arial"/>
                    <w:sz w:val="16"/>
                    <w:szCs w:val="16"/>
                  </w:rPr>
                </w:pPr>
                <w:r>
                  <w:rPr>
                    <w:rFonts w:cs="Arial"/>
                    <w:sz w:val="16"/>
                    <w:szCs w:val="16"/>
                  </w:rPr>
                  <w:t>TORRB1</w:t>
                </w:r>
              </w:p>
            </w:tc>
            <w:tc>
              <w:tcPr>
                <w:tcW w:w="661" w:type="pct"/>
                <w:shd w:val="clear" w:color="auto" w:fill="DBE5F1"/>
                <w:vAlign w:val="bottom"/>
              </w:tcPr>
              <w:p w:rsidR="00EB7C7B" w:rsidRDefault="00EB7C7B">
                <w:pPr>
                  <w:rPr>
                    <w:rFonts w:cs="Arial"/>
                    <w:sz w:val="16"/>
                    <w:szCs w:val="16"/>
                  </w:rPr>
                </w:pPr>
                <w:r>
                  <w:rPr>
                    <w:rFonts w:cs="Arial"/>
                    <w:sz w:val="16"/>
                    <w:szCs w:val="16"/>
                  </w:rPr>
                  <w:t>Lower 60 sec</w:t>
                </w:r>
              </w:p>
            </w:tc>
            <w:tc>
              <w:tcPr>
                <w:tcW w:w="582" w:type="pct"/>
                <w:shd w:val="clear" w:color="auto" w:fill="DBE5F1"/>
                <w:vAlign w:val="bottom"/>
              </w:tcPr>
              <w:p w:rsidR="00EB7C7B" w:rsidRDefault="00EB7C7B">
                <w:pPr>
                  <w:jc w:val="right"/>
                  <w:rPr>
                    <w:rFonts w:cs="Arial"/>
                    <w:sz w:val="16"/>
                    <w:szCs w:val="16"/>
                  </w:rPr>
                </w:pPr>
                <w:r>
                  <w:rPr>
                    <w:rFonts w:cs="Arial"/>
                    <w:sz w:val="16"/>
                    <w:szCs w:val="16"/>
                  </w:rPr>
                  <w:t>$0.03</w:t>
                </w:r>
              </w:p>
            </w:tc>
            <w:tc>
              <w:tcPr>
                <w:tcW w:w="544" w:type="pct"/>
                <w:shd w:val="clear" w:color="auto" w:fill="DBE5F1"/>
                <w:vAlign w:val="bottom"/>
              </w:tcPr>
              <w:p w:rsidR="00EB7C7B" w:rsidRDefault="00EB7C7B">
                <w:pPr>
                  <w:jc w:val="right"/>
                  <w:rPr>
                    <w:rFonts w:cs="Arial"/>
                    <w:sz w:val="16"/>
                    <w:szCs w:val="16"/>
                  </w:rPr>
                </w:pPr>
                <w:r>
                  <w:rPr>
                    <w:rFonts w:cs="Arial"/>
                    <w:sz w:val="16"/>
                    <w:szCs w:val="16"/>
                  </w:rPr>
                  <w:t>-0.17</w:t>
                </w:r>
              </w:p>
            </w:tc>
            <w:tc>
              <w:tcPr>
                <w:tcW w:w="762" w:type="pct"/>
                <w:shd w:val="clear" w:color="auto" w:fill="DBE5F1"/>
                <w:vAlign w:val="bottom"/>
              </w:tcPr>
              <w:p w:rsidR="00EB7C7B" w:rsidRDefault="00EB7C7B">
                <w:pPr>
                  <w:jc w:val="right"/>
                  <w:rPr>
                    <w:rFonts w:cs="Arial"/>
                    <w:sz w:val="16"/>
                    <w:szCs w:val="16"/>
                  </w:rPr>
                </w:pPr>
                <w:r>
                  <w:rPr>
                    <w:rFonts w:cs="Arial"/>
                    <w:sz w:val="16"/>
                    <w:szCs w:val="16"/>
                  </w:rPr>
                  <w:t>-$0.01</w:t>
                </w:r>
              </w:p>
            </w:tc>
          </w:tr>
          <w:tr w:rsidR="00EB7C7B"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EB7C7B" w:rsidRDefault="00EB7C7B">
                <w:pPr>
                  <w:jc w:val="right"/>
                  <w:rPr>
                    <w:rFonts w:cs="Arial"/>
                    <w:sz w:val="16"/>
                    <w:szCs w:val="16"/>
                  </w:rPr>
                </w:pPr>
                <w:r>
                  <w:rPr>
                    <w:rFonts w:cs="Arial"/>
                    <w:sz w:val="16"/>
                    <w:szCs w:val="16"/>
                  </w:rPr>
                  <w:t>12:30</w:t>
                </w:r>
              </w:p>
            </w:tc>
            <w:tc>
              <w:tcPr>
                <w:tcW w:w="583" w:type="pct"/>
                <w:shd w:val="clear" w:color="auto" w:fill="auto"/>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774.78</w:t>
                </w:r>
              </w:p>
            </w:tc>
            <w:tc>
              <w:tcPr>
                <w:tcW w:w="799" w:type="pct"/>
                <w:shd w:val="clear" w:color="auto" w:fill="auto"/>
                <w:vAlign w:val="bottom"/>
              </w:tcPr>
              <w:p w:rsidR="00EB7C7B" w:rsidRDefault="00EB7C7B" w:rsidP="002D34D3">
                <w:pPr>
                  <w:rPr>
                    <w:rFonts w:cs="Arial"/>
                    <w:sz w:val="16"/>
                    <w:szCs w:val="16"/>
                  </w:rPr>
                </w:pPr>
                <w:r>
                  <w:rPr>
                    <w:rFonts w:cs="Arial"/>
                    <w:sz w:val="16"/>
                    <w:szCs w:val="16"/>
                  </w:rPr>
                  <w:t>Engie</w:t>
                </w:r>
              </w:p>
            </w:tc>
            <w:tc>
              <w:tcPr>
                <w:tcW w:w="717" w:type="pct"/>
                <w:shd w:val="clear" w:color="auto" w:fill="auto"/>
                <w:vAlign w:val="bottom"/>
              </w:tcPr>
              <w:p w:rsidR="00EB7C7B" w:rsidRDefault="00EB7C7B" w:rsidP="002D34D3">
                <w:pPr>
                  <w:rPr>
                    <w:rFonts w:cs="Arial"/>
                    <w:sz w:val="16"/>
                    <w:szCs w:val="16"/>
                  </w:rPr>
                </w:pPr>
                <w:r>
                  <w:rPr>
                    <w:rFonts w:cs="Arial"/>
                    <w:sz w:val="16"/>
                    <w:szCs w:val="16"/>
                  </w:rPr>
                  <w:t>PPCCGT</w:t>
                </w:r>
              </w:p>
            </w:tc>
            <w:tc>
              <w:tcPr>
                <w:tcW w:w="661" w:type="pct"/>
                <w:shd w:val="clear" w:color="auto" w:fill="auto"/>
                <w:vAlign w:val="bottom"/>
              </w:tcPr>
              <w:p w:rsidR="00EB7C7B" w:rsidRDefault="00EB7C7B" w:rsidP="002D34D3">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shd w:val="clear" w:color="auto" w:fill="auto"/>
                <w:vAlign w:val="bottom"/>
              </w:tcPr>
              <w:p w:rsidR="00EB7C7B" w:rsidRDefault="00EB7C7B"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shd w:val="clear" w:color="auto" w:fill="auto"/>
                <w:vAlign w:val="bottom"/>
              </w:tcPr>
              <w:p w:rsidR="00EB7C7B" w:rsidRDefault="00EB7C7B" w:rsidP="002D34D3">
                <w:pPr>
                  <w:jc w:val="right"/>
                  <w:rPr>
                    <w:rFonts w:cs="Arial"/>
                    <w:sz w:val="16"/>
                    <w:szCs w:val="16"/>
                  </w:rPr>
                </w:pPr>
                <w:r>
                  <w:rPr>
                    <w:rFonts w:cs="Arial"/>
                    <w:sz w:val="16"/>
                    <w:szCs w:val="16"/>
                  </w:rPr>
                  <w:t>-1.00</w:t>
                </w:r>
              </w:p>
            </w:tc>
            <w:tc>
              <w:tcPr>
                <w:tcW w:w="762" w:type="pct"/>
                <w:shd w:val="clear" w:color="auto" w:fill="auto"/>
                <w:vAlign w:val="bottom"/>
              </w:tcPr>
              <w:p w:rsidR="00EB7C7B" w:rsidRDefault="00EB7C7B"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ER01</w:t>
                </w:r>
              </w:p>
            </w:tc>
            <w:tc>
              <w:tcPr>
                <w:tcW w:w="661" w:type="pct"/>
                <w:shd w:val="clear" w:color="auto" w:fill="auto"/>
                <w:vAlign w:val="bottom"/>
              </w:tcPr>
              <w:p w:rsidR="007D3BEC" w:rsidRDefault="007D3BEC" w:rsidP="00FB35D1">
                <w:pPr>
                  <w:rPr>
                    <w:rFonts w:cs="Arial"/>
                    <w:sz w:val="16"/>
                    <w:szCs w:val="16"/>
                  </w:rPr>
                </w:pPr>
                <w:r>
                  <w:rPr>
                    <w:rFonts w:cs="Arial"/>
                    <w:sz w:val="16"/>
                    <w:szCs w:val="16"/>
                  </w:rPr>
                  <w:t>Energy</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$70.92</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-$2.13</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ER01</w:t>
                </w:r>
              </w:p>
            </w:tc>
            <w:tc>
              <w:tcPr>
                <w:tcW w:w="661" w:type="pct"/>
                <w:shd w:val="clear" w:color="auto" w:fill="auto"/>
                <w:vAlign w:val="bottom"/>
              </w:tcPr>
              <w:p w:rsidR="007D3BEC" w:rsidRDefault="007D3BEC" w:rsidP="00FB35D1">
                <w:pPr>
                  <w:rPr>
                    <w:rFonts w:cs="Arial"/>
                    <w:sz w:val="16"/>
                    <w:szCs w:val="16"/>
                  </w:rPr>
                </w:pPr>
                <w:r>
                  <w:rPr>
                    <w:rFonts w:cs="Arial"/>
                    <w:sz w:val="16"/>
                    <w:szCs w:val="16"/>
                  </w:rPr>
                  <w:t>Energy</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$70.92</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-$2.13</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ER02</w:t>
                </w:r>
              </w:p>
            </w:tc>
            <w:tc>
              <w:tcPr>
                <w:tcW w:w="661" w:type="pct"/>
                <w:shd w:val="clear" w:color="auto" w:fill="auto"/>
                <w:vAlign w:val="bottom"/>
              </w:tcPr>
              <w:p w:rsidR="007D3BEC" w:rsidRDefault="007D3BEC" w:rsidP="00FB35D1">
                <w:pPr>
                  <w:rPr>
                    <w:rFonts w:cs="Arial"/>
                    <w:sz w:val="16"/>
                    <w:szCs w:val="16"/>
                  </w:rPr>
                </w:pPr>
                <w:r>
                  <w:rPr>
                    <w:rFonts w:cs="Arial"/>
                    <w:sz w:val="16"/>
                    <w:szCs w:val="16"/>
                  </w:rPr>
                  <w:t>Energy</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$70.92</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-$2.13</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2D34D3">
                <w:pPr>
                  <w:rPr>
                    <w:rFonts w:cs="Arial"/>
                    <w:sz w:val="16"/>
                    <w:szCs w:val="16"/>
                  </w:rPr>
                </w:pPr>
                <w:r>
                  <w:rPr>
                    <w:rFonts w:cs="Arial"/>
                    <w:sz w:val="16"/>
                    <w:szCs w:val="16"/>
                  </w:rPr>
                  <w:t>CS Energy</w:t>
                </w:r>
              </w:p>
            </w:tc>
            <w:tc>
              <w:tcPr>
                <w:tcW w:w="717" w:type="pct"/>
                <w:shd w:val="clear" w:color="auto" w:fill="auto"/>
                <w:vAlign w:val="bottom"/>
              </w:tcPr>
              <w:p w:rsidR="007D3BEC" w:rsidRDefault="007D3BEC" w:rsidP="002D34D3">
                <w:pPr>
                  <w:rPr>
                    <w:rFonts w:cs="Arial"/>
                    <w:sz w:val="16"/>
                    <w:szCs w:val="16"/>
                  </w:rPr>
                </w:pPr>
                <w:r>
                  <w:rPr>
                    <w:rFonts w:cs="Arial"/>
                    <w:sz w:val="16"/>
                    <w:szCs w:val="16"/>
                  </w:rPr>
                  <w:t>W/HOE#2</w:t>
                </w:r>
              </w:p>
            </w:tc>
            <w:tc>
              <w:tcPr>
                <w:tcW w:w="661" w:type="pct"/>
                <w:shd w:val="clear" w:color="auto" w:fill="auto"/>
                <w:vAlign w:val="bottom"/>
              </w:tcPr>
              <w:p w:rsidR="007D3BEC" w:rsidRDefault="007D3BEC" w:rsidP="002D34D3">
                <w:pPr>
                  <w:rPr>
                    <w:rFonts w:cs="Arial"/>
                    <w:sz w:val="16"/>
                    <w:szCs w:val="16"/>
                  </w:rPr>
                </w:pPr>
                <w:r>
                  <w:rPr>
                    <w:rFonts w:cs="Arial"/>
                    <w:sz w:val="16"/>
                    <w:szCs w:val="16"/>
                  </w:rPr>
                  <w:t>Raise 5 min</w:t>
                </w:r>
              </w:p>
            </w:tc>
            <w:tc>
              <w:tcPr>
                <w:tcW w:w="582" w:type="pct"/>
                <w:shd w:val="clear" w:color="auto" w:fill="auto"/>
                <w:vAlign w:val="bottom"/>
              </w:tcPr>
              <w:p w:rsidR="007D3BEC" w:rsidRDefault="007D3BEC" w:rsidP="002D34D3">
                <w:pPr>
                  <w:jc w:val="right"/>
                  <w:rPr>
                    <w:rFonts w:cs="Arial"/>
                    <w:sz w:val="16"/>
                    <w:szCs w:val="16"/>
                  </w:rPr>
                </w:pPr>
                <w:r>
                  <w:rPr>
                    <w:rFonts w:cs="Arial"/>
                    <w:sz w:val="16"/>
                    <w:szCs w:val="16"/>
                  </w:rPr>
                  <w:t>$9.97</w:t>
                </w:r>
              </w:p>
            </w:tc>
            <w:tc>
              <w:tcPr>
                <w:tcW w:w="544" w:type="pct"/>
                <w:shd w:val="clear" w:color="auto" w:fill="auto"/>
                <w:vAlign w:val="bottom"/>
              </w:tcPr>
              <w:p w:rsidR="007D3BEC" w:rsidRDefault="007D3BEC" w:rsidP="002D34D3">
                <w:pPr>
                  <w:jc w:val="right"/>
                  <w:rPr>
                    <w:rFonts w:cs="Arial"/>
                    <w:sz w:val="16"/>
                    <w:szCs w:val="16"/>
                  </w:rPr>
                </w:pPr>
                <w:r>
                  <w:rPr>
                    <w:rFonts w:cs="Arial"/>
                    <w:sz w:val="16"/>
                    <w:szCs w:val="16"/>
                  </w:rPr>
                  <w:t>-0.06</w:t>
                </w:r>
              </w:p>
            </w:tc>
            <w:tc>
              <w:tcPr>
                <w:tcW w:w="762" w:type="pct"/>
                <w:shd w:val="clear" w:color="auto" w:fill="auto"/>
                <w:vAlign w:val="bottom"/>
              </w:tcPr>
              <w:p w:rsidR="007D3BEC" w:rsidRDefault="007D3BEC" w:rsidP="002D34D3">
                <w:pPr>
                  <w:jc w:val="right"/>
                  <w:rPr>
                    <w:rFonts w:cs="Arial"/>
                    <w:sz w:val="16"/>
                    <w:szCs w:val="16"/>
                  </w:rPr>
                </w:pPr>
                <w:r>
                  <w:rPr>
                    <w:rFonts w:cs="Arial"/>
                    <w:sz w:val="16"/>
                    <w:szCs w:val="16"/>
                  </w:rPr>
                  <w:t>-$0.60</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Hydro Tasmania</w:t>
                </w:r>
              </w:p>
            </w:tc>
            <w:tc>
              <w:tcPr>
                <w:tcW w:w="717" w:type="pct"/>
                <w:shd w:val="clear" w:color="auto" w:fill="auto"/>
                <w:vAlign w:val="bottom"/>
              </w:tcPr>
              <w:p w:rsidR="007D3BEC" w:rsidRDefault="007D3BEC" w:rsidP="00FB35D1">
                <w:pPr>
                  <w:rPr>
                    <w:rFonts w:cs="Arial"/>
                    <w:sz w:val="16"/>
                    <w:szCs w:val="16"/>
                  </w:rPr>
                </w:pPr>
                <w:r>
                  <w:rPr>
                    <w:rFonts w:cs="Arial"/>
                    <w:sz w:val="16"/>
                    <w:szCs w:val="16"/>
                  </w:rPr>
                  <w:t>LEM_WIL</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6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$5.00</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-0.06</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-$0.30</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ER01</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5 min</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$2.79</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$0.08</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ER02</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5 min</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$2.79</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$0.08</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ER01</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60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$1.99</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$0.06</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ER02</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60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$1.99</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-$0.06</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ER01</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6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$1.74</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$0.05</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Origin Energy</w:t>
                </w:r>
              </w:p>
            </w:tc>
            <w:tc>
              <w:tcPr>
                <w:tcW w:w="717" w:type="pct"/>
                <w:shd w:val="clear" w:color="auto" w:fill="auto"/>
                <w:vAlign w:val="bottom"/>
              </w:tcPr>
              <w:p w:rsidR="007D3BEC" w:rsidRDefault="007D3BEC" w:rsidP="00FB35D1">
                <w:pPr>
                  <w:rPr>
                    <w:rFonts w:cs="Arial"/>
                    <w:sz w:val="16"/>
                    <w:szCs w:val="16"/>
                  </w:rPr>
                </w:pPr>
                <w:r>
                  <w:rPr>
                    <w:rFonts w:cs="Arial"/>
                    <w:sz w:val="16"/>
                    <w:szCs w:val="16"/>
                  </w:rPr>
                  <w:t>ER02</w:t>
                </w:r>
              </w:p>
            </w:tc>
            <w:tc>
              <w:tcPr>
                <w:tcW w:w="661" w:type="pct"/>
                <w:shd w:val="clear" w:color="auto" w:fill="auto"/>
                <w:vAlign w:val="bottom"/>
              </w:tcPr>
              <w:p w:rsidR="007D3BEC" w:rsidRDefault="007D3BEC" w:rsidP="00FB35D1">
                <w:pPr>
                  <w:rPr>
                    <w:rFonts w:cs="Arial"/>
                    <w:sz w:val="16"/>
                    <w:szCs w:val="16"/>
                  </w:rPr>
                </w:pPr>
                <w:r>
                  <w:rPr>
                    <w:rFonts w:cs="Arial"/>
                    <w:sz w:val="16"/>
                    <w:szCs w:val="16"/>
                  </w:rPr>
                  <w:t>Raise 6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$1.74</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$0.05</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pPr>
                  <w:rPr>
                    <w:rFonts w:cs="Arial"/>
                    <w:sz w:val="16"/>
                    <w:szCs w:val="16"/>
                  </w:rPr>
                </w:pPr>
                <w:r>
                  <w:rPr>
                    <w:rFonts w:cs="Arial"/>
                    <w:sz w:val="16"/>
                    <w:szCs w:val="16"/>
                  </w:rPr>
                  <w:t>Engie</w:t>
                </w:r>
              </w:p>
            </w:tc>
            <w:tc>
              <w:tcPr>
                <w:tcW w:w="717" w:type="pct"/>
                <w:shd w:val="clear" w:color="auto" w:fill="auto"/>
                <w:vAlign w:val="bottom"/>
              </w:tcPr>
              <w:p w:rsidR="007D3BEC" w:rsidRDefault="007D3BEC">
                <w:pPr>
                  <w:rPr>
                    <w:rFonts w:cs="Arial"/>
                    <w:sz w:val="16"/>
                    <w:szCs w:val="16"/>
                  </w:rPr>
                </w:pPr>
                <w:r>
                  <w:rPr>
                    <w:rFonts w:cs="Arial"/>
                    <w:sz w:val="16"/>
                    <w:szCs w:val="16"/>
                  </w:rPr>
                  <w:t>PPCCGT</w:t>
                </w:r>
              </w:p>
            </w:tc>
            <w:tc>
              <w:tcPr>
                <w:tcW w:w="661" w:type="pct"/>
                <w:shd w:val="clear" w:color="auto" w:fill="auto"/>
                <w:vAlign w:val="bottom"/>
              </w:tcPr>
              <w:p w:rsidR="007D3BEC" w:rsidRDefault="007D3BEC">
                <w:pPr>
                  <w:rPr>
                    <w:rFonts w:cs="Arial"/>
                    <w:sz w:val="16"/>
                    <w:szCs w:val="16"/>
                  </w:rPr>
                </w:pPr>
                <w:r>
                  <w:rPr>
                    <w:rFonts w:cs="Arial"/>
                    <w:sz w:val="16"/>
                    <w:szCs w:val="16"/>
                  </w:rPr>
                  <w:t>Lower 60 sec</w:t>
                </w:r>
              </w:p>
            </w:tc>
            <w:tc>
              <w:tcPr>
                <w:tcW w:w="582" w:type="pct"/>
                <w:shd w:val="clear" w:color="auto" w:fill="auto"/>
                <w:vAlign w:val="bottom"/>
              </w:tcPr>
              <w:p w:rsidR="007D3BEC" w:rsidRDefault="007D3BEC">
                <w:pPr>
                  <w:jc w:val="right"/>
                  <w:rPr>
                    <w:rFonts w:cs="Arial"/>
                    <w:sz w:val="16"/>
                    <w:szCs w:val="16"/>
                  </w:rPr>
                </w:pPr>
                <w:r>
                  <w:rPr>
                    <w:rFonts w:cs="Arial"/>
                    <w:sz w:val="16"/>
                    <w:szCs w:val="16"/>
                  </w:rPr>
                  <w:t>$0.03</w:t>
                </w:r>
              </w:p>
            </w:tc>
            <w:tc>
              <w:tcPr>
                <w:tcW w:w="544" w:type="pct"/>
                <w:shd w:val="clear" w:color="auto" w:fill="auto"/>
                <w:vAlign w:val="bottom"/>
              </w:tcPr>
              <w:p w:rsidR="007D3BEC" w:rsidRDefault="007D3BEC">
                <w:pPr>
                  <w:jc w:val="right"/>
                  <w:rPr>
                    <w:rFonts w:cs="Arial"/>
                    <w:sz w:val="16"/>
                    <w:szCs w:val="16"/>
                  </w:rPr>
                </w:pPr>
                <w:r>
                  <w:rPr>
                    <w:rFonts w:cs="Arial"/>
                    <w:sz w:val="16"/>
                    <w:szCs w:val="16"/>
                  </w:rPr>
                  <w:t>1.00</w:t>
                </w:r>
              </w:p>
            </w:tc>
            <w:tc>
              <w:tcPr>
                <w:tcW w:w="762" w:type="pct"/>
                <w:shd w:val="clear" w:color="auto" w:fill="auto"/>
                <w:vAlign w:val="bottom"/>
              </w:tcPr>
              <w:p w:rsidR="007D3BEC" w:rsidRDefault="007D3BEC">
                <w:pPr>
                  <w:jc w:val="right"/>
                  <w:rPr>
                    <w:rFonts w:cs="Arial"/>
                    <w:sz w:val="16"/>
                    <w:szCs w:val="16"/>
                  </w:rPr>
                </w:pPr>
                <w:r>
                  <w:rPr>
                    <w:rFonts w:cs="Arial"/>
                    <w:sz w:val="16"/>
                    <w:szCs w:val="16"/>
                  </w:rPr>
                  <w:t>$0.03</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pPr>
                  <w:rPr>
                    <w:rFonts w:cs="Arial"/>
                    <w:sz w:val="16"/>
                    <w:szCs w:val="16"/>
                  </w:rPr>
                </w:pPr>
                <w:r>
                  <w:rPr>
                    <w:rFonts w:cs="Arial"/>
                    <w:sz w:val="16"/>
                    <w:szCs w:val="16"/>
                  </w:rPr>
                  <w:t>Engie</w:t>
                </w:r>
              </w:p>
            </w:tc>
            <w:tc>
              <w:tcPr>
                <w:tcW w:w="717" w:type="pct"/>
                <w:shd w:val="clear" w:color="auto" w:fill="auto"/>
                <w:vAlign w:val="bottom"/>
              </w:tcPr>
              <w:p w:rsidR="007D3BEC" w:rsidRDefault="007D3BEC">
                <w:pPr>
                  <w:rPr>
                    <w:rFonts w:cs="Arial"/>
                    <w:sz w:val="16"/>
                    <w:szCs w:val="16"/>
                  </w:rPr>
                </w:pPr>
                <w:r>
                  <w:rPr>
                    <w:rFonts w:cs="Arial"/>
                    <w:sz w:val="16"/>
                    <w:szCs w:val="16"/>
                  </w:rPr>
                  <w:t>PPCCGT</w:t>
                </w:r>
              </w:p>
            </w:tc>
            <w:tc>
              <w:tcPr>
                <w:tcW w:w="661" w:type="pct"/>
                <w:shd w:val="clear" w:color="auto" w:fill="auto"/>
                <w:vAlign w:val="bottom"/>
              </w:tcPr>
              <w:p w:rsidR="007D3BEC" w:rsidRDefault="007D3BEC">
                <w:pPr>
                  <w:rPr>
                    <w:rFonts w:cs="Arial"/>
                    <w:sz w:val="16"/>
                    <w:szCs w:val="16"/>
                  </w:rPr>
                </w:pPr>
                <w:r>
                  <w:rPr>
                    <w:rFonts w:cs="Arial"/>
                    <w:sz w:val="16"/>
                    <w:szCs w:val="16"/>
                  </w:rPr>
                  <w:t>Lower 6 sec</w:t>
                </w:r>
              </w:p>
            </w:tc>
            <w:tc>
              <w:tcPr>
                <w:tcW w:w="582" w:type="pct"/>
                <w:shd w:val="clear" w:color="auto" w:fill="auto"/>
                <w:vAlign w:val="bottom"/>
              </w:tcPr>
              <w:p w:rsidR="007D3BEC" w:rsidRDefault="007D3BEC">
                <w:pPr>
                  <w:jc w:val="right"/>
                  <w:rPr>
                    <w:rFonts w:cs="Arial"/>
                    <w:sz w:val="16"/>
                    <w:szCs w:val="16"/>
                  </w:rPr>
                </w:pPr>
                <w:r>
                  <w:rPr>
                    <w:rFonts w:cs="Arial"/>
                    <w:sz w:val="16"/>
                    <w:szCs w:val="16"/>
                  </w:rPr>
                  <w:t>$0.03</w:t>
                </w:r>
              </w:p>
            </w:tc>
            <w:tc>
              <w:tcPr>
                <w:tcW w:w="544" w:type="pct"/>
                <w:shd w:val="clear" w:color="auto" w:fill="auto"/>
                <w:vAlign w:val="bottom"/>
              </w:tcPr>
              <w:p w:rsidR="007D3BEC" w:rsidRDefault="007D3BEC">
                <w:pPr>
                  <w:jc w:val="right"/>
                  <w:rPr>
                    <w:rFonts w:cs="Arial"/>
                    <w:sz w:val="16"/>
                    <w:szCs w:val="16"/>
                  </w:rPr>
                </w:pPr>
                <w:r>
                  <w:rPr>
                    <w:rFonts w:cs="Arial"/>
                    <w:sz w:val="16"/>
                    <w:szCs w:val="16"/>
                  </w:rPr>
                  <w:t>1.00</w:t>
                </w:r>
              </w:p>
            </w:tc>
            <w:tc>
              <w:tcPr>
                <w:tcW w:w="762" w:type="pct"/>
                <w:shd w:val="clear" w:color="auto" w:fill="auto"/>
                <w:vAlign w:val="bottom"/>
              </w:tcPr>
              <w:p w:rsidR="007D3BEC" w:rsidRDefault="007D3BEC">
                <w:pPr>
                  <w:jc w:val="right"/>
                  <w:rPr>
                    <w:rFonts w:cs="Arial"/>
                    <w:sz w:val="16"/>
                    <w:szCs w:val="16"/>
                  </w:rPr>
                </w:pPr>
                <w:r>
                  <w:rPr>
                    <w:rFonts w:cs="Arial"/>
                    <w:sz w:val="16"/>
                    <w:szCs w:val="16"/>
                  </w:rPr>
                  <w:t>$0.03</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AGL (SA)</w:t>
                </w:r>
              </w:p>
            </w:tc>
            <w:tc>
              <w:tcPr>
                <w:tcW w:w="717" w:type="pct"/>
                <w:shd w:val="clear" w:color="auto" w:fill="auto"/>
                <w:vAlign w:val="bottom"/>
              </w:tcPr>
              <w:p w:rsidR="007D3BEC" w:rsidRDefault="007D3BEC" w:rsidP="00FB35D1">
                <w:pPr>
                  <w:rPr>
                    <w:rFonts w:cs="Arial"/>
                    <w:sz w:val="16"/>
                    <w:szCs w:val="16"/>
                  </w:rPr>
                </w:pPr>
                <w:r>
                  <w:rPr>
                    <w:rFonts w:cs="Arial"/>
                    <w:sz w:val="16"/>
                    <w:szCs w:val="16"/>
                  </w:rPr>
                  <w:t>TORRB4</w:t>
                </w:r>
              </w:p>
            </w:tc>
            <w:tc>
              <w:tcPr>
                <w:tcW w:w="661" w:type="pct"/>
                <w:shd w:val="clear" w:color="auto" w:fill="auto"/>
                <w:vAlign w:val="bottom"/>
              </w:tcPr>
              <w:p w:rsidR="007D3BEC" w:rsidRDefault="007D3BEC" w:rsidP="00FB35D1">
                <w:pPr>
                  <w:rPr>
                    <w:rFonts w:cs="Arial"/>
                    <w:sz w:val="16"/>
                    <w:szCs w:val="16"/>
                  </w:rPr>
                </w:pPr>
                <w:r>
                  <w:rPr>
                    <w:rFonts w:cs="Arial"/>
                    <w:sz w:val="16"/>
                    <w:szCs w:val="16"/>
                  </w:rPr>
                  <w:t>Lower 60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$0.03</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-0.17</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-$0.01</w:t>
                </w:r>
              </w:p>
            </w:tc>
          </w:tr>
          <w:tr w:rsidR="007D3BEC" w:rsidRPr="00796046" w:rsidTr="00E0439B">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Engie</w:t>
                </w:r>
              </w:p>
            </w:tc>
            <w:tc>
              <w:tcPr>
                <w:tcW w:w="717" w:type="pct"/>
                <w:shd w:val="clear" w:color="auto" w:fill="auto"/>
                <w:vAlign w:val="bottom"/>
              </w:tcPr>
              <w:p w:rsidR="007D3BEC" w:rsidRDefault="007D3BEC" w:rsidP="00FB35D1">
                <w:pPr>
                  <w:rPr>
                    <w:rFonts w:cs="Arial"/>
                    <w:sz w:val="16"/>
                    <w:szCs w:val="16"/>
                  </w:rPr>
                </w:pPr>
                <w:r>
                  <w:rPr>
                    <w:rFonts w:cs="Arial"/>
                    <w:sz w:val="16"/>
                    <w:szCs w:val="16"/>
                  </w:rPr>
                  <w:t>LOYYB2</w:t>
                </w:r>
              </w:p>
            </w:tc>
            <w:tc>
              <w:tcPr>
                <w:tcW w:w="661" w:type="pct"/>
                <w:shd w:val="clear" w:color="auto" w:fill="auto"/>
                <w:vAlign w:val="bottom"/>
              </w:tcPr>
              <w:p w:rsidR="007D3BEC" w:rsidRDefault="007D3BEC" w:rsidP="00FB35D1">
                <w:pPr>
                  <w:rPr>
                    <w:rFonts w:cs="Arial"/>
                    <w:sz w:val="16"/>
                    <w:szCs w:val="16"/>
                  </w:rPr>
                </w:pPr>
                <w:r>
                  <w:rPr>
                    <w:rFonts w:cs="Arial"/>
                    <w:sz w:val="16"/>
                    <w:szCs w:val="16"/>
                  </w:rPr>
                  <w:t>Lower 6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$0.02</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-1.00</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-$0.02</w:t>
                </w:r>
              </w:p>
            </w:tc>
          </w:tr>
          <w:tr w:rsidR="007D3BEC" w:rsidRPr="00796046" w:rsidTr="00E0439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FB35D1">
                <w:pPr>
                  <w:rPr>
                    <w:rFonts w:cs="Arial"/>
                    <w:sz w:val="16"/>
                    <w:szCs w:val="16"/>
                  </w:rPr>
                </w:pPr>
                <w:r>
                  <w:rPr>
                    <w:rFonts w:cs="Arial"/>
                    <w:sz w:val="16"/>
                    <w:szCs w:val="16"/>
                  </w:rPr>
                  <w:t>Engie</w:t>
                </w:r>
              </w:p>
            </w:tc>
            <w:tc>
              <w:tcPr>
                <w:tcW w:w="717" w:type="pct"/>
                <w:shd w:val="clear" w:color="auto" w:fill="auto"/>
                <w:vAlign w:val="bottom"/>
              </w:tcPr>
              <w:p w:rsidR="007D3BEC" w:rsidRDefault="007D3BEC" w:rsidP="00FB35D1">
                <w:pPr>
                  <w:rPr>
                    <w:rFonts w:cs="Arial"/>
                    <w:sz w:val="16"/>
                    <w:szCs w:val="16"/>
                  </w:rPr>
                </w:pPr>
                <w:r>
                  <w:rPr>
                    <w:rFonts w:cs="Arial"/>
                    <w:sz w:val="16"/>
                    <w:szCs w:val="16"/>
                  </w:rPr>
                  <w:t>LOYYB2</w:t>
                </w:r>
              </w:p>
            </w:tc>
            <w:tc>
              <w:tcPr>
                <w:tcW w:w="661" w:type="pct"/>
                <w:shd w:val="clear" w:color="auto" w:fill="auto"/>
                <w:vAlign w:val="bottom"/>
              </w:tcPr>
              <w:p w:rsidR="007D3BEC" w:rsidRDefault="007D3BEC" w:rsidP="00FB35D1">
                <w:pPr>
                  <w:rPr>
                    <w:rFonts w:cs="Arial"/>
                    <w:sz w:val="16"/>
                    <w:szCs w:val="16"/>
                  </w:rPr>
                </w:pPr>
                <w:r>
                  <w:rPr>
                    <w:rFonts w:cs="Arial"/>
                    <w:sz w:val="16"/>
                    <w:szCs w:val="16"/>
                  </w:rPr>
                  <w:t>Lower 60 sec</w:t>
                </w:r>
              </w:p>
            </w:tc>
            <w:tc>
              <w:tcPr>
                <w:tcW w:w="582" w:type="pct"/>
                <w:shd w:val="clear" w:color="auto" w:fill="auto"/>
                <w:vAlign w:val="bottom"/>
              </w:tcPr>
              <w:p w:rsidR="007D3BEC" w:rsidRDefault="007D3BEC" w:rsidP="00FB35D1">
                <w:pPr>
                  <w:jc w:val="right"/>
                  <w:rPr>
                    <w:rFonts w:cs="Arial"/>
                    <w:sz w:val="16"/>
                    <w:szCs w:val="16"/>
                  </w:rPr>
                </w:pPr>
                <w:r>
                  <w:rPr>
                    <w:rFonts w:cs="Arial"/>
                    <w:sz w:val="16"/>
                    <w:szCs w:val="16"/>
                  </w:rPr>
                  <w:t>$0.02</w:t>
                </w:r>
              </w:p>
            </w:tc>
            <w:tc>
              <w:tcPr>
                <w:tcW w:w="544" w:type="pct"/>
                <w:shd w:val="clear" w:color="auto" w:fill="auto"/>
                <w:vAlign w:val="bottom"/>
              </w:tcPr>
              <w:p w:rsidR="007D3BEC" w:rsidRDefault="007D3BEC" w:rsidP="00FB35D1">
                <w:pPr>
                  <w:jc w:val="right"/>
                  <w:rPr>
                    <w:rFonts w:cs="Arial"/>
                    <w:sz w:val="16"/>
                    <w:szCs w:val="16"/>
                  </w:rPr>
                </w:pPr>
                <w:r>
                  <w:rPr>
                    <w:rFonts w:cs="Arial"/>
                    <w:sz w:val="16"/>
                    <w:szCs w:val="16"/>
                  </w:rPr>
                  <w:t>-0.83</w:t>
                </w:r>
              </w:p>
            </w:tc>
            <w:tc>
              <w:tcPr>
                <w:tcW w:w="762" w:type="pct"/>
                <w:shd w:val="clear" w:color="auto" w:fill="auto"/>
                <w:vAlign w:val="bottom"/>
              </w:tcPr>
              <w:p w:rsidR="007D3BEC" w:rsidRDefault="007D3BEC" w:rsidP="00FB35D1">
                <w:pPr>
                  <w:jc w:val="right"/>
                  <w:rPr>
                    <w:rFonts w:cs="Arial"/>
                    <w:sz w:val="16"/>
                    <w:szCs w:val="16"/>
                  </w:rPr>
                </w:pPr>
                <w:r>
                  <w:rPr>
                    <w:rFonts w:cs="Arial"/>
                    <w:sz w:val="16"/>
                    <w:szCs w:val="16"/>
                  </w:rPr>
                  <w:t>-$0.02</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7D3BEC" w:rsidRDefault="007D3BEC">
                <w:pPr>
                  <w:jc w:val="right"/>
                  <w:rPr>
                    <w:rFonts w:cs="Arial"/>
                    <w:sz w:val="16"/>
                    <w:szCs w:val="16"/>
                  </w:rPr>
                </w:pPr>
                <w:r>
                  <w:rPr>
                    <w:rFonts w:cs="Arial"/>
                    <w:sz w:val="16"/>
                    <w:szCs w:val="16"/>
                  </w:rPr>
                  <w:t>12:35</w:t>
                </w:r>
              </w:p>
            </w:tc>
            <w:tc>
              <w:tcPr>
                <w:tcW w:w="583" w:type="pct"/>
                <w:shd w:val="clear" w:color="auto" w:fill="DBE5F1"/>
                <w:vAlign w:val="bottom"/>
              </w:tcPr>
              <w:p w:rsidR="007D3BEC" w:rsidRDefault="007D3BEC">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794.80</w:t>
                </w:r>
              </w:p>
            </w:tc>
            <w:tc>
              <w:tcPr>
                <w:tcW w:w="799" w:type="pct"/>
                <w:shd w:val="clear" w:color="auto" w:fill="DBE5F1"/>
                <w:vAlign w:val="bottom"/>
              </w:tcPr>
              <w:p w:rsidR="007D3BEC" w:rsidRDefault="007D3BEC" w:rsidP="002D34D3">
                <w:pPr>
                  <w:rPr>
                    <w:rFonts w:cs="Arial"/>
                    <w:sz w:val="16"/>
                    <w:szCs w:val="16"/>
                  </w:rPr>
                </w:pPr>
                <w:r>
                  <w:rPr>
                    <w:rFonts w:cs="Arial"/>
                    <w:sz w:val="16"/>
                    <w:szCs w:val="16"/>
                  </w:rPr>
                  <w:t>Engie</w:t>
                </w:r>
              </w:p>
            </w:tc>
            <w:tc>
              <w:tcPr>
                <w:tcW w:w="717" w:type="pct"/>
                <w:shd w:val="clear" w:color="auto" w:fill="DBE5F1"/>
                <w:vAlign w:val="bottom"/>
              </w:tcPr>
              <w:p w:rsidR="007D3BEC" w:rsidRDefault="007D3BEC" w:rsidP="002D34D3">
                <w:pPr>
                  <w:rPr>
                    <w:rFonts w:cs="Arial"/>
                    <w:sz w:val="16"/>
                    <w:szCs w:val="16"/>
                  </w:rPr>
                </w:pPr>
                <w:r>
                  <w:rPr>
                    <w:rFonts w:cs="Arial"/>
                    <w:sz w:val="16"/>
                    <w:szCs w:val="16"/>
                  </w:rPr>
                  <w:t>PPCCGT</w:t>
                </w:r>
              </w:p>
            </w:tc>
            <w:tc>
              <w:tcPr>
                <w:tcW w:w="661" w:type="pct"/>
                <w:shd w:val="clear" w:color="auto" w:fill="DBE5F1"/>
                <w:vAlign w:val="bottom"/>
              </w:tcPr>
              <w:p w:rsidR="007D3BEC" w:rsidRDefault="007D3BEC" w:rsidP="002D34D3">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shd w:val="clear" w:color="auto" w:fill="DBE5F1"/>
                <w:vAlign w:val="bottom"/>
              </w:tcPr>
              <w:p w:rsidR="007D3BEC" w:rsidRDefault="007D3BEC"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shd w:val="clear" w:color="auto" w:fill="DBE5F1"/>
                <w:vAlign w:val="bottom"/>
              </w:tcPr>
              <w:p w:rsidR="007D3BEC" w:rsidRDefault="007D3BEC" w:rsidP="002D34D3">
                <w:pPr>
                  <w:jc w:val="right"/>
                  <w:rPr>
                    <w:rFonts w:cs="Arial"/>
                    <w:sz w:val="16"/>
                    <w:szCs w:val="16"/>
                  </w:rPr>
                </w:pPr>
                <w:r>
                  <w:rPr>
                    <w:rFonts w:cs="Arial"/>
                    <w:sz w:val="16"/>
                    <w:szCs w:val="16"/>
                  </w:rPr>
                  <w:t>-1.00</w:t>
                </w:r>
              </w:p>
            </w:tc>
            <w:tc>
              <w:tcPr>
                <w:tcW w:w="762" w:type="pct"/>
                <w:shd w:val="clear" w:color="auto" w:fill="DBE5F1"/>
                <w:vAlign w:val="bottom"/>
              </w:tcPr>
              <w:p w:rsidR="007D3BEC" w:rsidRDefault="007D3BEC" w:rsidP="002D34D3">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7D3BEC" w:rsidRPr="00796046" w:rsidTr="00EB7C7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7D3BEC" w:rsidRDefault="007D3BEC">
                <w:pPr>
                  <w:rPr>
                    <w:rFonts w:cs="Arial"/>
                    <w:sz w:val="16"/>
                    <w:szCs w:val="16"/>
                  </w:rPr>
                </w:pPr>
              </w:p>
            </w:tc>
            <w:tc>
              <w:tcPr>
                <w:tcW w:w="583" w:type="pct"/>
                <w:vAlign w:val="bottom"/>
              </w:tcPr>
              <w:p w:rsidR="007D3BEC" w:rsidRDefault="007D3BEC">
                <w:pPr>
                  <w:rPr>
                    <w:rFonts w:cs="Arial"/>
                    <w:sz w:val="16"/>
                    <w:szCs w:val="16"/>
                  </w:rPr>
                </w:pPr>
              </w:p>
            </w:tc>
            <w:tc>
              <w:tcPr>
                <w:tcW w:w="799" w:type="pct"/>
                <w:vAlign w:val="bottom"/>
              </w:tcPr>
              <w:p w:rsidR="007D3BEC" w:rsidRDefault="007D3BEC" w:rsidP="002D34D3">
                <w:pPr>
                  <w:rPr>
                    <w:rFonts w:cs="Arial"/>
                    <w:sz w:val="16"/>
                    <w:szCs w:val="16"/>
                  </w:rPr>
                </w:pPr>
                <w:r>
                  <w:rPr>
                    <w:rFonts w:cs="Arial"/>
                    <w:sz w:val="16"/>
                    <w:szCs w:val="16"/>
                  </w:rPr>
                  <w:t>Snowy Hydro</w:t>
                </w:r>
              </w:p>
            </w:tc>
            <w:tc>
              <w:tcPr>
                <w:tcW w:w="717" w:type="pct"/>
                <w:vAlign w:val="bottom"/>
              </w:tcPr>
              <w:p w:rsidR="007D3BEC" w:rsidRDefault="007D3BEC" w:rsidP="002D34D3">
                <w:pPr>
                  <w:rPr>
                    <w:rFonts w:cs="Arial"/>
                    <w:sz w:val="16"/>
                    <w:szCs w:val="16"/>
                  </w:rPr>
                </w:pPr>
                <w:r>
                  <w:rPr>
                    <w:rFonts w:cs="Arial"/>
                    <w:sz w:val="16"/>
                    <w:szCs w:val="16"/>
                  </w:rPr>
                  <w:t>MURRAY</w:t>
                </w:r>
              </w:p>
            </w:tc>
            <w:tc>
              <w:tcPr>
                <w:tcW w:w="661" w:type="pct"/>
                <w:vAlign w:val="bottom"/>
              </w:tcPr>
              <w:p w:rsidR="007D3BEC" w:rsidRDefault="007D3BEC" w:rsidP="002D34D3">
                <w:pPr>
                  <w:rPr>
                    <w:rFonts w:cs="Arial"/>
                    <w:sz w:val="16"/>
                    <w:szCs w:val="16"/>
                  </w:rPr>
                </w:pPr>
                <w:r>
                  <w:rPr>
                    <w:rFonts w:cs="Arial"/>
                    <w:sz w:val="16"/>
                    <w:szCs w:val="16"/>
                  </w:rPr>
                  <w:t>Energy</w:t>
                </w:r>
              </w:p>
            </w:tc>
            <w:tc>
              <w:tcPr>
                <w:tcW w:w="582" w:type="pct"/>
                <w:vAlign w:val="bottom"/>
              </w:tcPr>
              <w:p w:rsidR="007D3BEC" w:rsidRDefault="007D3BEC" w:rsidP="002D34D3">
                <w:pPr>
                  <w:jc w:val="right"/>
                  <w:rPr>
                    <w:rFonts w:cs="Arial"/>
                    <w:sz w:val="16"/>
                    <w:szCs w:val="16"/>
                  </w:rPr>
                </w:pPr>
                <w:r>
                  <w:rPr>
                    <w:rFonts w:cs="Arial"/>
                    <w:sz w:val="16"/>
                    <w:szCs w:val="16"/>
                  </w:rPr>
                  <w:t>$74.00</w:t>
                </w:r>
              </w:p>
            </w:tc>
            <w:tc>
              <w:tcPr>
                <w:tcW w:w="544" w:type="pct"/>
                <w:vAlign w:val="bottom"/>
              </w:tcPr>
              <w:p w:rsidR="007D3BEC" w:rsidRDefault="007D3BEC" w:rsidP="002D34D3">
                <w:pPr>
                  <w:jc w:val="right"/>
                  <w:rPr>
                    <w:rFonts w:cs="Arial"/>
                    <w:sz w:val="16"/>
                    <w:szCs w:val="16"/>
                  </w:rPr>
                </w:pPr>
                <w:r>
                  <w:rPr>
                    <w:rFonts w:cs="Arial"/>
                    <w:sz w:val="16"/>
                    <w:szCs w:val="16"/>
                  </w:rPr>
                  <w:t>0.72</w:t>
                </w:r>
              </w:p>
            </w:tc>
            <w:tc>
              <w:tcPr>
                <w:tcW w:w="762" w:type="pct"/>
                <w:vAlign w:val="bottom"/>
              </w:tcPr>
              <w:p w:rsidR="007D3BEC" w:rsidRDefault="007D3BEC" w:rsidP="002D34D3">
                <w:pPr>
                  <w:jc w:val="right"/>
                  <w:rPr>
                    <w:rFonts w:cs="Arial"/>
                    <w:sz w:val="16"/>
                    <w:szCs w:val="16"/>
                  </w:rPr>
                </w:pPr>
                <w:r>
                  <w:rPr>
                    <w:rFonts w:cs="Arial"/>
                    <w:sz w:val="16"/>
                    <w:szCs w:val="16"/>
                  </w:rPr>
                  <w:t>$53.28</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7D3BEC" w:rsidRDefault="007D3BEC">
                <w:pPr>
                  <w:rPr>
                    <w:rFonts w:cs="Arial"/>
                    <w:sz w:val="16"/>
                    <w:szCs w:val="16"/>
                  </w:rPr>
                </w:pPr>
              </w:p>
            </w:tc>
            <w:tc>
              <w:tcPr>
                <w:tcW w:w="583" w:type="pct"/>
                <w:shd w:val="clear" w:color="auto" w:fill="DBE5F1"/>
                <w:vAlign w:val="bottom"/>
              </w:tcPr>
              <w:p w:rsidR="007D3BEC" w:rsidRDefault="007D3BEC">
                <w:pPr>
                  <w:rPr>
                    <w:rFonts w:cs="Arial"/>
                    <w:sz w:val="16"/>
                    <w:szCs w:val="16"/>
                  </w:rPr>
                </w:pPr>
              </w:p>
            </w:tc>
            <w:tc>
              <w:tcPr>
                <w:tcW w:w="799" w:type="pct"/>
                <w:shd w:val="clear" w:color="auto" w:fill="DBE5F1"/>
                <w:vAlign w:val="center"/>
              </w:tcPr>
              <w:p w:rsidR="007D3BEC" w:rsidRPr="00EB7C7B" w:rsidRDefault="007D3BEC">
                <w:pPr>
                  <w:rPr>
                    <w:rFonts w:cs="Arial"/>
                    <w:sz w:val="16"/>
                    <w:szCs w:val="16"/>
                  </w:rPr>
                </w:pPr>
                <w:r w:rsidRPr="00EB7C7B">
                  <w:rPr>
                    <w:rFonts w:cs="Arial"/>
                    <w:sz w:val="16"/>
                    <w:szCs w:val="16"/>
                  </w:rPr>
                  <w:t>Engie</w:t>
                </w:r>
              </w:p>
            </w:tc>
            <w:tc>
              <w:tcPr>
                <w:tcW w:w="717" w:type="pct"/>
                <w:shd w:val="clear" w:color="auto" w:fill="DBE5F1"/>
                <w:vAlign w:val="center"/>
              </w:tcPr>
              <w:p w:rsidR="007D3BEC" w:rsidRPr="00EB7C7B" w:rsidRDefault="007D3BEC">
                <w:pPr>
                  <w:rPr>
                    <w:rFonts w:cs="Arial"/>
                    <w:sz w:val="16"/>
                    <w:szCs w:val="16"/>
                  </w:rPr>
                </w:pPr>
                <w:r w:rsidRPr="00EB7C7B">
                  <w:rPr>
                    <w:rFonts w:cs="Arial"/>
                    <w:sz w:val="16"/>
                    <w:szCs w:val="16"/>
                  </w:rPr>
                  <w:t>PPCCGT</w:t>
                </w:r>
              </w:p>
            </w:tc>
            <w:tc>
              <w:tcPr>
                <w:tcW w:w="661" w:type="pct"/>
                <w:shd w:val="clear" w:color="auto" w:fill="DBE5F1"/>
                <w:vAlign w:val="center"/>
              </w:tcPr>
              <w:p w:rsidR="007D3BEC" w:rsidRPr="00EB7C7B" w:rsidRDefault="007D3BEC">
                <w:pPr>
                  <w:rPr>
                    <w:rFonts w:cs="Arial"/>
                    <w:sz w:val="16"/>
                    <w:szCs w:val="16"/>
                  </w:rPr>
                </w:pPr>
                <w:r w:rsidRPr="00EB7C7B">
                  <w:rPr>
                    <w:rFonts w:cs="Arial"/>
                    <w:sz w:val="16"/>
                    <w:szCs w:val="16"/>
                  </w:rPr>
                  <w:t>Energy</w:t>
                </w:r>
              </w:p>
            </w:tc>
            <w:tc>
              <w:tcPr>
                <w:tcW w:w="582" w:type="pct"/>
                <w:shd w:val="clear" w:color="auto" w:fill="DBE5F1"/>
                <w:vAlign w:val="center"/>
              </w:tcPr>
              <w:p w:rsidR="007D3BEC" w:rsidRPr="00EB7C7B" w:rsidRDefault="007D3BEC">
                <w:pPr>
                  <w:jc w:val="right"/>
                  <w:rPr>
                    <w:rFonts w:cs="Arial"/>
                    <w:sz w:val="16"/>
                    <w:szCs w:val="16"/>
                  </w:rPr>
                </w:pPr>
                <w:r w:rsidRPr="00EB7C7B">
                  <w:rPr>
                    <w:rFonts w:cs="Arial"/>
                    <w:sz w:val="16"/>
                    <w:szCs w:val="16"/>
                  </w:rPr>
                  <w:t>$78.69</w:t>
                </w:r>
              </w:p>
            </w:tc>
            <w:tc>
              <w:tcPr>
                <w:tcW w:w="544" w:type="pct"/>
                <w:shd w:val="clear" w:color="auto" w:fill="DBE5F1"/>
                <w:vAlign w:val="center"/>
              </w:tcPr>
              <w:p w:rsidR="007D3BEC" w:rsidRPr="00EB7C7B" w:rsidRDefault="007D3BEC">
                <w:pPr>
                  <w:jc w:val="right"/>
                  <w:rPr>
                    <w:rFonts w:cs="Arial"/>
                    <w:sz w:val="16"/>
                    <w:szCs w:val="16"/>
                  </w:rPr>
                </w:pPr>
                <w:r w:rsidRPr="00EB7C7B">
                  <w:rPr>
                    <w:rFonts w:cs="Arial"/>
                    <w:sz w:val="16"/>
                    <w:szCs w:val="16"/>
                  </w:rPr>
                  <w:t>-1</w:t>
                </w:r>
              </w:p>
            </w:tc>
            <w:tc>
              <w:tcPr>
                <w:tcW w:w="762" w:type="pct"/>
                <w:shd w:val="clear" w:color="auto" w:fill="DBE5F1"/>
                <w:vAlign w:val="center"/>
              </w:tcPr>
              <w:p w:rsidR="007D3BEC" w:rsidRPr="00EB7C7B" w:rsidRDefault="007D3BEC">
                <w:pPr>
                  <w:jc w:val="right"/>
                  <w:rPr>
                    <w:rFonts w:cs="Arial"/>
                    <w:sz w:val="16"/>
                    <w:szCs w:val="16"/>
                  </w:rPr>
                </w:pPr>
                <w:r w:rsidRPr="00EB7C7B">
                  <w:rPr>
                    <w:rFonts w:cs="Arial"/>
                    <w:sz w:val="16"/>
                    <w:szCs w:val="16"/>
                  </w:rPr>
                  <w:t>-$78.69</w:t>
                </w:r>
              </w:p>
            </w:tc>
          </w:tr>
          <w:tr w:rsidR="007D3BEC" w:rsidRPr="00796046" w:rsidTr="007D3BE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jc w:val="right"/>
                  <w:rPr>
                    <w:rFonts w:cs="Arial"/>
                    <w:sz w:val="16"/>
                    <w:szCs w:val="16"/>
                  </w:rPr>
                </w:pPr>
                <w:r>
                  <w:rPr>
                    <w:rFonts w:cs="Arial"/>
                    <w:sz w:val="16"/>
                    <w:szCs w:val="16"/>
                  </w:rPr>
                  <w:t>12:40</w:t>
                </w:r>
              </w:p>
            </w:tc>
            <w:tc>
              <w:tcPr>
                <w:tcW w:w="583" w:type="pct"/>
                <w:shd w:val="clear" w:color="auto" w:fill="auto"/>
                <w:vAlign w:val="bottom"/>
              </w:tcPr>
              <w:p w:rsidR="007D3BEC" w:rsidRDefault="007D3BEC">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789.46</w:t>
                </w:r>
              </w:p>
            </w:tc>
            <w:tc>
              <w:tcPr>
                <w:tcW w:w="799" w:type="pct"/>
                <w:shd w:val="clear" w:color="auto" w:fill="auto"/>
                <w:vAlign w:val="center"/>
              </w:tcPr>
              <w:p w:rsidR="007D3BEC" w:rsidRPr="00EB7C7B" w:rsidRDefault="007D3BEC">
                <w:pPr>
                  <w:rPr>
                    <w:rFonts w:cs="Arial"/>
                    <w:sz w:val="16"/>
                    <w:szCs w:val="16"/>
                  </w:rPr>
                </w:pPr>
                <w:r w:rsidRPr="00EB7C7B">
                  <w:rPr>
                    <w:rFonts w:cs="Arial"/>
                    <w:sz w:val="16"/>
                    <w:szCs w:val="16"/>
                  </w:rPr>
                  <w:t>Engie</w:t>
                </w:r>
              </w:p>
            </w:tc>
            <w:tc>
              <w:tcPr>
                <w:tcW w:w="717" w:type="pct"/>
                <w:shd w:val="clear" w:color="auto" w:fill="auto"/>
                <w:vAlign w:val="center"/>
              </w:tcPr>
              <w:p w:rsidR="007D3BEC" w:rsidRPr="00EB7C7B" w:rsidRDefault="007D3BEC">
                <w:pPr>
                  <w:rPr>
                    <w:rFonts w:cs="Arial"/>
                    <w:sz w:val="16"/>
                    <w:szCs w:val="16"/>
                  </w:rPr>
                </w:pPr>
                <w:r w:rsidRPr="00EB7C7B">
                  <w:rPr>
                    <w:rFonts w:cs="Arial"/>
                    <w:sz w:val="16"/>
                    <w:szCs w:val="16"/>
                  </w:rPr>
                  <w:t>PPCCGT</w:t>
                </w:r>
              </w:p>
            </w:tc>
            <w:tc>
              <w:tcPr>
                <w:tcW w:w="661" w:type="pct"/>
                <w:shd w:val="clear" w:color="auto" w:fill="auto"/>
                <w:vAlign w:val="center"/>
              </w:tcPr>
              <w:p w:rsidR="007D3BEC" w:rsidRPr="00EB7C7B" w:rsidRDefault="007D3BEC">
                <w:pPr>
                  <w:rPr>
                    <w:rFonts w:cs="Arial"/>
                    <w:sz w:val="16"/>
                    <w:szCs w:val="16"/>
                  </w:rPr>
                </w:pPr>
                <w:r w:rsidRPr="00EB7C7B">
                  <w:rPr>
                    <w:rFonts w:cs="Arial"/>
                    <w:sz w:val="16"/>
                    <w:szCs w:val="16"/>
                  </w:rPr>
                  <w:t xml:space="preserve">Lower </w:t>
                </w:r>
                <w:proofErr w:type="spellStart"/>
                <w:r w:rsidRPr="00EB7C7B">
                  <w:rPr>
                    <w:rFonts w:cs="Arial"/>
                    <w:sz w:val="16"/>
                    <w:szCs w:val="16"/>
                  </w:rPr>
                  <w:t>reg</w:t>
                </w:r>
                <w:proofErr w:type="spellEnd"/>
              </w:p>
            </w:tc>
            <w:tc>
              <w:tcPr>
                <w:tcW w:w="582" w:type="pct"/>
                <w:shd w:val="clear" w:color="auto" w:fill="auto"/>
                <w:vAlign w:val="center"/>
              </w:tcPr>
              <w:p w:rsidR="007D3BEC" w:rsidRPr="00EB7C7B" w:rsidRDefault="00DD1290">
                <w:pPr>
                  <w:jc w:val="right"/>
                  <w:rPr>
                    <w:rFonts w:cs="Arial"/>
                    <w:sz w:val="16"/>
                    <w:szCs w:val="16"/>
                  </w:rPr>
                </w:pPr>
                <w:r>
                  <w:rPr>
                    <w:rFonts w:cs="Arial"/>
                    <w:sz w:val="16"/>
                    <w:szCs w:val="16"/>
                  </w:rPr>
                  <w:t xml:space="preserve">$10 </w:t>
                </w:r>
                <w:r w:rsidR="007D3BEC" w:rsidRPr="00EB7C7B">
                  <w:rPr>
                    <w:rFonts w:cs="Arial"/>
                    <w:sz w:val="16"/>
                    <w:szCs w:val="16"/>
                  </w:rPr>
                  <w:t>769.69</w:t>
                </w:r>
              </w:p>
            </w:tc>
            <w:tc>
              <w:tcPr>
                <w:tcW w:w="544" w:type="pct"/>
                <w:shd w:val="clear" w:color="auto" w:fill="auto"/>
                <w:vAlign w:val="center"/>
              </w:tcPr>
              <w:p w:rsidR="007D3BEC" w:rsidRPr="00EB7C7B" w:rsidRDefault="007D3BEC">
                <w:pPr>
                  <w:jc w:val="right"/>
                  <w:rPr>
                    <w:rFonts w:cs="Arial"/>
                    <w:sz w:val="16"/>
                    <w:szCs w:val="16"/>
                  </w:rPr>
                </w:pPr>
                <w:r w:rsidRPr="00EB7C7B">
                  <w:rPr>
                    <w:rFonts w:cs="Arial"/>
                    <w:sz w:val="16"/>
                    <w:szCs w:val="16"/>
                  </w:rPr>
                  <w:t>-1</w:t>
                </w:r>
              </w:p>
            </w:tc>
            <w:tc>
              <w:tcPr>
                <w:tcW w:w="762" w:type="pct"/>
                <w:shd w:val="clear" w:color="auto" w:fill="auto"/>
                <w:vAlign w:val="center"/>
              </w:tcPr>
              <w:p w:rsidR="007D3BEC" w:rsidRPr="00EB7C7B" w:rsidRDefault="00DD1290">
                <w:pPr>
                  <w:jc w:val="right"/>
                  <w:rPr>
                    <w:rFonts w:cs="Arial"/>
                    <w:sz w:val="16"/>
                    <w:szCs w:val="16"/>
                  </w:rPr>
                </w:pPr>
                <w:r>
                  <w:rPr>
                    <w:rFonts w:cs="Arial"/>
                    <w:sz w:val="16"/>
                    <w:szCs w:val="16"/>
                  </w:rPr>
                  <w:t xml:space="preserve">-$10 </w:t>
                </w:r>
                <w:r w:rsidR="007D3BEC" w:rsidRPr="00EB7C7B">
                  <w:rPr>
                    <w:rFonts w:cs="Arial"/>
                    <w:sz w:val="16"/>
                    <w:szCs w:val="16"/>
                  </w:rPr>
                  <w:t>769.69</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2D34D3">
                <w:pPr>
                  <w:rPr>
                    <w:rFonts w:cs="Arial"/>
                    <w:sz w:val="16"/>
                    <w:szCs w:val="16"/>
                  </w:rPr>
                </w:pPr>
                <w:r>
                  <w:rPr>
                    <w:rFonts w:cs="Arial"/>
                    <w:sz w:val="16"/>
                    <w:szCs w:val="16"/>
                  </w:rPr>
                  <w:t>CS Energy</w:t>
                </w:r>
              </w:p>
            </w:tc>
            <w:tc>
              <w:tcPr>
                <w:tcW w:w="717" w:type="pct"/>
                <w:shd w:val="clear" w:color="auto" w:fill="auto"/>
                <w:vAlign w:val="bottom"/>
              </w:tcPr>
              <w:p w:rsidR="007D3BEC" w:rsidRDefault="007D3BEC" w:rsidP="002D34D3">
                <w:pPr>
                  <w:rPr>
                    <w:rFonts w:cs="Arial"/>
                    <w:sz w:val="16"/>
                    <w:szCs w:val="16"/>
                  </w:rPr>
                </w:pPr>
                <w:r>
                  <w:rPr>
                    <w:rFonts w:cs="Arial"/>
                    <w:sz w:val="16"/>
                    <w:szCs w:val="16"/>
                  </w:rPr>
                  <w:t>GSTONE2</w:t>
                </w:r>
              </w:p>
            </w:tc>
            <w:tc>
              <w:tcPr>
                <w:tcW w:w="661" w:type="pct"/>
                <w:shd w:val="clear" w:color="auto" w:fill="auto"/>
                <w:vAlign w:val="bottom"/>
              </w:tcPr>
              <w:p w:rsidR="007D3BEC" w:rsidRDefault="007D3BEC" w:rsidP="002D34D3">
                <w:pPr>
                  <w:rPr>
                    <w:rFonts w:cs="Arial"/>
                    <w:sz w:val="16"/>
                    <w:szCs w:val="16"/>
                  </w:rPr>
                </w:pPr>
                <w:r>
                  <w:rPr>
                    <w:rFonts w:cs="Arial"/>
                    <w:sz w:val="16"/>
                    <w:szCs w:val="16"/>
                  </w:rPr>
                  <w:t>Energy</w:t>
                </w:r>
              </w:p>
            </w:tc>
            <w:tc>
              <w:tcPr>
                <w:tcW w:w="582" w:type="pct"/>
                <w:shd w:val="clear" w:color="auto" w:fill="auto"/>
                <w:vAlign w:val="bottom"/>
              </w:tcPr>
              <w:p w:rsidR="007D3BEC" w:rsidRDefault="007D3BEC" w:rsidP="002D34D3">
                <w:pPr>
                  <w:jc w:val="right"/>
                  <w:rPr>
                    <w:rFonts w:cs="Arial"/>
                    <w:sz w:val="16"/>
                    <w:szCs w:val="16"/>
                  </w:rPr>
                </w:pPr>
                <w:r>
                  <w:rPr>
                    <w:rFonts w:cs="Arial"/>
                    <w:sz w:val="16"/>
                    <w:szCs w:val="16"/>
                  </w:rPr>
                  <w:t>$83.73</w:t>
                </w:r>
              </w:p>
            </w:tc>
            <w:tc>
              <w:tcPr>
                <w:tcW w:w="544" w:type="pct"/>
                <w:shd w:val="clear" w:color="auto" w:fill="auto"/>
                <w:vAlign w:val="bottom"/>
              </w:tcPr>
              <w:p w:rsidR="007D3BEC" w:rsidRDefault="007D3BEC" w:rsidP="002D34D3">
                <w:pPr>
                  <w:jc w:val="right"/>
                  <w:rPr>
                    <w:rFonts w:cs="Arial"/>
                    <w:sz w:val="16"/>
                    <w:szCs w:val="16"/>
                  </w:rPr>
                </w:pPr>
                <w:r>
                  <w:rPr>
                    <w:rFonts w:cs="Arial"/>
                    <w:sz w:val="16"/>
                    <w:szCs w:val="16"/>
                  </w:rPr>
                  <w:t>0.18</w:t>
                </w:r>
              </w:p>
            </w:tc>
            <w:tc>
              <w:tcPr>
                <w:tcW w:w="762" w:type="pct"/>
                <w:shd w:val="clear" w:color="auto" w:fill="auto"/>
                <w:vAlign w:val="bottom"/>
              </w:tcPr>
              <w:p w:rsidR="007D3BEC" w:rsidRDefault="007D3BEC" w:rsidP="002D34D3">
                <w:pPr>
                  <w:jc w:val="right"/>
                  <w:rPr>
                    <w:rFonts w:cs="Arial"/>
                    <w:sz w:val="16"/>
                    <w:szCs w:val="16"/>
                  </w:rPr>
                </w:pPr>
                <w:r>
                  <w:rPr>
                    <w:rFonts w:cs="Arial"/>
                    <w:sz w:val="16"/>
                    <w:szCs w:val="16"/>
                  </w:rPr>
                  <w:t>$15.07</w:t>
                </w:r>
              </w:p>
            </w:tc>
          </w:tr>
          <w:tr w:rsidR="007D3BEC" w:rsidRPr="00796046" w:rsidTr="007D3BE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2D34D3">
                <w:pPr>
                  <w:rPr>
                    <w:rFonts w:cs="Arial"/>
                    <w:sz w:val="16"/>
                    <w:szCs w:val="16"/>
                  </w:rPr>
                </w:pPr>
                <w:r>
                  <w:rPr>
                    <w:rFonts w:cs="Arial"/>
                    <w:sz w:val="16"/>
                    <w:szCs w:val="16"/>
                  </w:rPr>
                  <w:t>CS Energy</w:t>
                </w:r>
              </w:p>
            </w:tc>
            <w:tc>
              <w:tcPr>
                <w:tcW w:w="717" w:type="pct"/>
                <w:shd w:val="clear" w:color="auto" w:fill="auto"/>
                <w:vAlign w:val="bottom"/>
              </w:tcPr>
              <w:p w:rsidR="007D3BEC" w:rsidRDefault="007D3BEC" w:rsidP="002D34D3">
                <w:pPr>
                  <w:rPr>
                    <w:rFonts w:cs="Arial"/>
                    <w:sz w:val="16"/>
                    <w:szCs w:val="16"/>
                  </w:rPr>
                </w:pPr>
                <w:r>
                  <w:rPr>
                    <w:rFonts w:cs="Arial"/>
                    <w:sz w:val="16"/>
                    <w:szCs w:val="16"/>
                  </w:rPr>
                  <w:t>GSTONE3</w:t>
                </w:r>
              </w:p>
            </w:tc>
            <w:tc>
              <w:tcPr>
                <w:tcW w:w="661" w:type="pct"/>
                <w:shd w:val="clear" w:color="auto" w:fill="auto"/>
                <w:vAlign w:val="bottom"/>
              </w:tcPr>
              <w:p w:rsidR="007D3BEC" w:rsidRDefault="007D3BEC" w:rsidP="002D34D3">
                <w:pPr>
                  <w:rPr>
                    <w:rFonts w:cs="Arial"/>
                    <w:sz w:val="16"/>
                    <w:szCs w:val="16"/>
                  </w:rPr>
                </w:pPr>
                <w:r>
                  <w:rPr>
                    <w:rFonts w:cs="Arial"/>
                    <w:sz w:val="16"/>
                    <w:szCs w:val="16"/>
                  </w:rPr>
                  <w:t>Energy</w:t>
                </w:r>
              </w:p>
            </w:tc>
            <w:tc>
              <w:tcPr>
                <w:tcW w:w="582" w:type="pct"/>
                <w:shd w:val="clear" w:color="auto" w:fill="auto"/>
                <w:vAlign w:val="bottom"/>
              </w:tcPr>
              <w:p w:rsidR="007D3BEC" w:rsidRDefault="007D3BEC" w:rsidP="002D34D3">
                <w:pPr>
                  <w:jc w:val="right"/>
                  <w:rPr>
                    <w:rFonts w:cs="Arial"/>
                    <w:sz w:val="16"/>
                    <w:szCs w:val="16"/>
                  </w:rPr>
                </w:pPr>
                <w:r>
                  <w:rPr>
                    <w:rFonts w:cs="Arial"/>
                    <w:sz w:val="16"/>
                    <w:szCs w:val="16"/>
                  </w:rPr>
                  <w:t>$83.73</w:t>
                </w:r>
              </w:p>
            </w:tc>
            <w:tc>
              <w:tcPr>
                <w:tcW w:w="544" w:type="pct"/>
                <w:shd w:val="clear" w:color="auto" w:fill="auto"/>
                <w:vAlign w:val="bottom"/>
              </w:tcPr>
              <w:p w:rsidR="007D3BEC" w:rsidRDefault="007D3BEC" w:rsidP="002D34D3">
                <w:pPr>
                  <w:jc w:val="right"/>
                  <w:rPr>
                    <w:rFonts w:cs="Arial"/>
                    <w:sz w:val="16"/>
                    <w:szCs w:val="16"/>
                  </w:rPr>
                </w:pPr>
                <w:r>
                  <w:rPr>
                    <w:rFonts w:cs="Arial"/>
                    <w:sz w:val="16"/>
                    <w:szCs w:val="16"/>
                  </w:rPr>
                  <w:t>0.41</w:t>
                </w:r>
              </w:p>
            </w:tc>
            <w:tc>
              <w:tcPr>
                <w:tcW w:w="762" w:type="pct"/>
                <w:shd w:val="clear" w:color="auto" w:fill="auto"/>
                <w:vAlign w:val="bottom"/>
              </w:tcPr>
              <w:p w:rsidR="007D3BEC" w:rsidRDefault="007D3BEC" w:rsidP="002D34D3">
                <w:pPr>
                  <w:jc w:val="right"/>
                  <w:rPr>
                    <w:rFonts w:cs="Arial"/>
                    <w:sz w:val="16"/>
                    <w:szCs w:val="16"/>
                  </w:rPr>
                </w:pPr>
                <w:r>
                  <w:rPr>
                    <w:rFonts w:cs="Arial"/>
                    <w:sz w:val="16"/>
                    <w:szCs w:val="16"/>
                  </w:rPr>
                  <w:t>$34.33</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2D34D3">
                <w:pPr>
                  <w:rPr>
                    <w:rFonts w:cs="Arial"/>
                    <w:sz w:val="16"/>
                    <w:szCs w:val="16"/>
                  </w:rPr>
                </w:pPr>
                <w:r>
                  <w:rPr>
                    <w:rFonts w:cs="Arial"/>
                    <w:sz w:val="16"/>
                    <w:szCs w:val="16"/>
                  </w:rPr>
                  <w:t>CS Energy</w:t>
                </w:r>
              </w:p>
            </w:tc>
            <w:tc>
              <w:tcPr>
                <w:tcW w:w="717" w:type="pct"/>
                <w:shd w:val="clear" w:color="auto" w:fill="auto"/>
                <w:vAlign w:val="bottom"/>
              </w:tcPr>
              <w:p w:rsidR="007D3BEC" w:rsidRDefault="007D3BEC" w:rsidP="002D34D3">
                <w:pPr>
                  <w:rPr>
                    <w:rFonts w:cs="Arial"/>
                    <w:sz w:val="16"/>
                    <w:szCs w:val="16"/>
                  </w:rPr>
                </w:pPr>
                <w:r>
                  <w:rPr>
                    <w:rFonts w:cs="Arial"/>
                    <w:sz w:val="16"/>
                    <w:szCs w:val="16"/>
                  </w:rPr>
                  <w:t>GSTONE5</w:t>
                </w:r>
              </w:p>
            </w:tc>
            <w:tc>
              <w:tcPr>
                <w:tcW w:w="661" w:type="pct"/>
                <w:shd w:val="clear" w:color="auto" w:fill="auto"/>
                <w:vAlign w:val="bottom"/>
              </w:tcPr>
              <w:p w:rsidR="007D3BEC" w:rsidRDefault="007D3BEC" w:rsidP="002D34D3">
                <w:pPr>
                  <w:rPr>
                    <w:rFonts w:cs="Arial"/>
                    <w:sz w:val="16"/>
                    <w:szCs w:val="16"/>
                  </w:rPr>
                </w:pPr>
                <w:r>
                  <w:rPr>
                    <w:rFonts w:cs="Arial"/>
                    <w:sz w:val="16"/>
                    <w:szCs w:val="16"/>
                  </w:rPr>
                  <w:t>Energy</w:t>
                </w:r>
              </w:p>
            </w:tc>
            <w:tc>
              <w:tcPr>
                <w:tcW w:w="582" w:type="pct"/>
                <w:shd w:val="clear" w:color="auto" w:fill="auto"/>
                <w:vAlign w:val="bottom"/>
              </w:tcPr>
              <w:p w:rsidR="007D3BEC" w:rsidRDefault="007D3BEC" w:rsidP="002D34D3">
                <w:pPr>
                  <w:jc w:val="right"/>
                  <w:rPr>
                    <w:rFonts w:cs="Arial"/>
                    <w:sz w:val="16"/>
                    <w:szCs w:val="16"/>
                  </w:rPr>
                </w:pPr>
                <w:r>
                  <w:rPr>
                    <w:rFonts w:cs="Arial"/>
                    <w:sz w:val="16"/>
                    <w:szCs w:val="16"/>
                  </w:rPr>
                  <w:t>$83.73</w:t>
                </w:r>
              </w:p>
            </w:tc>
            <w:tc>
              <w:tcPr>
                <w:tcW w:w="544" w:type="pct"/>
                <w:shd w:val="clear" w:color="auto" w:fill="auto"/>
                <w:vAlign w:val="bottom"/>
              </w:tcPr>
              <w:p w:rsidR="007D3BEC" w:rsidRDefault="007D3BEC" w:rsidP="002D34D3">
                <w:pPr>
                  <w:jc w:val="right"/>
                  <w:rPr>
                    <w:rFonts w:cs="Arial"/>
                    <w:sz w:val="16"/>
                    <w:szCs w:val="16"/>
                  </w:rPr>
                </w:pPr>
                <w:r>
                  <w:rPr>
                    <w:rFonts w:cs="Arial"/>
                    <w:sz w:val="16"/>
                    <w:szCs w:val="16"/>
                  </w:rPr>
                  <w:t>0.12</w:t>
                </w:r>
              </w:p>
            </w:tc>
            <w:tc>
              <w:tcPr>
                <w:tcW w:w="762" w:type="pct"/>
                <w:shd w:val="clear" w:color="auto" w:fill="auto"/>
                <w:vAlign w:val="bottom"/>
              </w:tcPr>
              <w:p w:rsidR="007D3BEC" w:rsidRDefault="007D3BEC" w:rsidP="002D34D3">
                <w:pPr>
                  <w:jc w:val="right"/>
                  <w:rPr>
                    <w:rFonts w:cs="Arial"/>
                    <w:sz w:val="16"/>
                    <w:szCs w:val="16"/>
                  </w:rPr>
                </w:pPr>
                <w:r>
                  <w:rPr>
                    <w:rFonts w:cs="Arial"/>
                    <w:sz w:val="16"/>
                    <w:szCs w:val="16"/>
                  </w:rPr>
                  <w:t>$10.05</w:t>
                </w:r>
              </w:p>
            </w:tc>
          </w:tr>
          <w:tr w:rsidR="007D3BEC" w:rsidRPr="00796046" w:rsidTr="007D3BEC">
            <w:trPr>
              <w:cnfStyle w:val="000000010000" w:firstRow="0" w:lastRow="0" w:firstColumn="0" w:lastColumn="0" w:oddVBand="0" w:evenVBand="0" w:oddHBand="0" w:evenHBand="1" w:firstRowFirstColumn="0" w:firstRowLastColumn="0" w:lastRowFirstColumn="0" w:lastRowLastColumn="0"/>
              <w:trHeight w:hRule="exact" w:val="348"/>
            </w:trPr>
            <w:tc>
              <w:tcPr>
                <w:tcW w:w="351" w:type="pct"/>
                <w:shd w:val="clear" w:color="auto" w:fill="auto"/>
                <w:vAlign w:val="bottom"/>
              </w:tcPr>
              <w:p w:rsidR="007D3BEC" w:rsidRDefault="007D3BEC">
                <w:pPr>
                  <w:rPr>
                    <w:rFonts w:cs="Arial"/>
                    <w:sz w:val="16"/>
                    <w:szCs w:val="16"/>
                  </w:rPr>
                </w:pPr>
              </w:p>
            </w:tc>
            <w:tc>
              <w:tcPr>
                <w:tcW w:w="583" w:type="pct"/>
                <w:shd w:val="clear" w:color="auto" w:fill="auto"/>
                <w:vAlign w:val="bottom"/>
              </w:tcPr>
              <w:p w:rsidR="007D3BEC" w:rsidRDefault="007D3BEC">
                <w:pPr>
                  <w:rPr>
                    <w:rFonts w:cs="Arial"/>
                    <w:sz w:val="16"/>
                    <w:szCs w:val="16"/>
                  </w:rPr>
                </w:pPr>
              </w:p>
            </w:tc>
            <w:tc>
              <w:tcPr>
                <w:tcW w:w="799" w:type="pct"/>
                <w:shd w:val="clear" w:color="auto" w:fill="auto"/>
                <w:vAlign w:val="bottom"/>
              </w:tcPr>
              <w:p w:rsidR="007D3BEC" w:rsidRDefault="007D3BEC" w:rsidP="002D34D3">
                <w:pPr>
                  <w:rPr>
                    <w:rFonts w:cs="Arial"/>
                    <w:sz w:val="16"/>
                    <w:szCs w:val="16"/>
                  </w:rPr>
                </w:pPr>
                <w:r>
                  <w:rPr>
                    <w:rFonts w:cs="Arial"/>
                    <w:sz w:val="16"/>
                    <w:szCs w:val="16"/>
                  </w:rPr>
                  <w:t>Engie</w:t>
                </w:r>
              </w:p>
            </w:tc>
            <w:tc>
              <w:tcPr>
                <w:tcW w:w="717" w:type="pct"/>
                <w:shd w:val="clear" w:color="auto" w:fill="auto"/>
                <w:vAlign w:val="bottom"/>
              </w:tcPr>
              <w:p w:rsidR="007D3BEC" w:rsidRDefault="007D3BEC" w:rsidP="002D34D3">
                <w:pPr>
                  <w:rPr>
                    <w:rFonts w:cs="Arial"/>
                    <w:sz w:val="16"/>
                    <w:szCs w:val="16"/>
                  </w:rPr>
                </w:pPr>
                <w:r>
                  <w:rPr>
                    <w:rFonts w:cs="Arial"/>
                    <w:sz w:val="16"/>
                    <w:szCs w:val="16"/>
                  </w:rPr>
                  <w:t>PPCCGT</w:t>
                </w:r>
              </w:p>
            </w:tc>
            <w:tc>
              <w:tcPr>
                <w:tcW w:w="661" w:type="pct"/>
                <w:shd w:val="clear" w:color="auto" w:fill="auto"/>
                <w:vAlign w:val="bottom"/>
              </w:tcPr>
              <w:p w:rsidR="007D3BEC" w:rsidRDefault="007D3BEC" w:rsidP="002D34D3">
                <w:pPr>
                  <w:rPr>
                    <w:rFonts w:cs="Arial"/>
                    <w:sz w:val="16"/>
                    <w:szCs w:val="16"/>
                  </w:rPr>
                </w:pPr>
                <w:r>
                  <w:rPr>
                    <w:rFonts w:cs="Arial"/>
                    <w:sz w:val="16"/>
                    <w:szCs w:val="16"/>
                  </w:rPr>
                  <w:t>Energy</w:t>
                </w:r>
              </w:p>
            </w:tc>
            <w:tc>
              <w:tcPr>
                <w:tcW w:w="582" w:type="pct"/>
                <w:shd w:val="clear" w:color="auto" w:fill="auto"/>
                <w:vAlign w:val="bottom"/>
              </w:tcPr>
              <w:p w:rsidR="007D3BEC" w:rsidRDefault="007D3BEC" w:rsidP="002D34D3">
                <w:pPr>
                  <w:jc w:val="right"/>
                  <w:rPr>
                    <w:rFonts w:cs="Arial"/>
                    <w:sz w:val="16"/>
                    <w:szCs w:val="16"/>
                  </w:rPr>
                </w:pPr>
                <w:r>
                  <w:rPr>
                    <w:rFonts w:cs="Arial"/>
                    <w:sz w:val="16"/>
                    <w:szCs w:val="16"/>
                  </w:rPr>
                  <w:t>$78.69</w:t>
                </w:r>
              </w:p>
            </w:tc>
            <w:tc>
              <w:tcPr>
                <w:tcW w:w="544" w:type="pct"/>
                <w:shd w:val="clear" w:color="auto" w:fill="auto"/>
                <w:vAlign w:val="bottom"/>
              </w:tcPr>
              <w:p w:rsidR="007D3BEC" w:rsidRDefault="007D3BEC" w:rsidP="002D34D3">
                <w:pPr>
                  <w:jc w:val="right"/>
                  <w:rPr>
                    <w:rFonts w:cs="Arial"/>
                    <w:sz w:val="16"/>
                    <w:szCs w:val="16"/>
                  </w:rPr>
                </w:pPr>
                <w:r>
                  <w:rPr>
                    <w:rFonts w:cs="Arial"/>
                    <w:sz w:val="16"/>
                    <w:szCs w:val="16"/>
                  </w:rPr>
                  <w:t>-1.00</w:t>
                </w:r>
              </w:p>
            </w:tc>
            <w:tc>
              <w:tcPr>
                <w:tcW w:w="762" w:type="pct"/>
                <w:shd w:val="clear" w:color="auto" w:fill="auto"/>
                <w:vAlign w:val="bottom"/>
              </w:tcPr>
              <w:p w:rsidR="007D3BEC" w:rsidRDefault="007D3BEC" w:rsidP="002D34D3">
                <w:pPr>
                  <w:jc w:val="right"/>
                  <w:rPr>
                    <w:rFonts w:cs="Arial"/>
                    <w:sz w:val="16"/>
                    <w:szCs w:val="16"/>
                  </w:rPr>
                </w:pPr>
                <w:r>
                  <w:rPr>
                    <w:rFonts w:cs="Arial"/>
                    <w:sz w:val="16"/>
                    <w:szCs w:val="16"/>
                  </w:rPr>
                  <w:t>-$78.69</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7D3BEC" w:rsidRDefault="007D3BEC">
                <w:pPr>
                  <w:jc w:val="right"/>
                  <w:rPr>
                    <w:rFonts w:cs="Arial"/>
                    <w:sz w:val="16"/>
                    <w:szCs w:val="16"/>
                  </w:rPr>
                </w:pPr>
                <w:r>
                  <w:rPr>
                    <w:rFonts w:cs="Arial"/>
                    <w:sz w:val="16"/>
                    <w:szCs w:val="16"/>
                  </w:rPr>
                  <w:t>12:45</w:t>
                </w:r>
              </w:p>
            </w:tc>
            <w:tc>
              <w:tcPr>
                <w:tcW w:w="583" w:type="pct"/>
                <w:shd w:val="clear" w:color="auto" w:fill="DBE5F1"/>
                <w:vAlign w:val="bottom"/>
              </w:tcPr>
              <w:p w:rsidR="007D3BEC" w:rsidRDefault="007D3BEC">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785.31</w:t>
                </w:r>
              </w:p>
            </w:tc>
            <w:tc>
              <w:tcPr>
                <w:tcW w:w="799" w:type="pct"/>
                <w:shd w:val="clear" w:color="auto" w:fill="DBE5F1"/>
              </w:tcPr>
              <w:p w:rsidR="007D3BEC" w:rsidRPr="00EB7C7B" w:rsidRDefault="007D3BEC" w:rsidP="002D34D3">
                <w:pPr>
                  <w:rPr>
                    <w:rFonts w:cs="Arial"/>
                    <w:sz w:val="16"/>
                    <w:szCs w:val="16"/>
                  </w:rPr>
                </w:pPr>
                <w:r w:rsidRPr="00EB7C7B">
                  <w:rPr>
                    <w:rFonts w:cs="Arial"/>
                    <w:sz w:val="16"/>
                    <w:szCs w:val="16"/>
                  </w:rPr>
                  <w:t>Engie</w:t>
                </w:r>
              </w:p>
            </w:tc>
            <w:tc>
              <w:tcPr>
                <w:tcW w:w="717" w:type="pct"/>
                <w:shd w:val="clear" w:color="auto" w:fill="DBE5F1"/>
              </w:tcPr>
              <w:p w:rsidR="007D3BEC" w:rsidRPr="00EB7C7B" w:rsidRDefault="007D3BEC" w:rsidP="002D34D3">
                <w:pPr>
                  <w:rPr>
                    <w:rFonts w:cs="Arial"/>
                    <w:sz w:val="16"/>
                    <w:szCs w:val="16"/>
                  </w:rPr>
                </w:pPr>
                <w:r w:rsidRPr="00EB7C7B">
                  <w:rPr>
                    <w:rFonts w:cs="Arial"/>
                    <w:sz w:val="16"/>
                    <w:szCs w:val="16"/>
                  </w:rPr>
                  <w:t>PPCCGT</w:t>
                </w:r>
              </w:p>
            </w:tc>
            <w:tc>
              <w:tcPr>
                <w:tcW w:w="661" w:type="pct"/>
                <w:shd w:val="clear" w:color="auto" w:fill="DBE5F1"/>
              </w:tcPr>
              <w:p w:rsidR="007D3BEC" w:rsidRPr="00EB7C7B" w:rsidRDefault="007D3BEC" w:rsidP="002D34D3">
                <w:pPr>
                  <w:rPr>
                    <w:rFonts w:cs="Arial"/>
                    <w:sz w:val="16"/>
                    <w:szCs w:val="16"/>
                  </w:rPr>
                </w:pPr>
                <w:r w:rsidRPr="00EB7C7B">
                  <w:rPr>
                    <w:rFonts w:cs="Arial"/>
                    <w:sz w:val="16"/>
                    <w:szCs w:val="16"/>
                  </w:rPr>
                  <w:t xml:space="preserve">Lower </w:t>
                </w:r>
                <w:proofErr w:type="spellStart"/>
                <w:r w:rsidRPr="00EB7C7B">
                  <w:rPr>
                    <w:rFonts w:cs="Arial"/>
                    <w:sz w:val="16"/>
                    <w:szCs w:val="16"/>
                  </w:rPr>
                  <w:t>reg</w:t>
                </w:r>
                <w:proofErr w:type="spellEnd"/>
              </w:p>
            </w:tc>
            <w:tc>
              <w:tcPr>
                <w:tcW w:w="582" w:type="pct"/>
                <w:shd w:val="clear" w:color="auto" w:fill="DBE5F1"/>
              </w:tcPr>
              <w:p w:rsidR="007D3BEC" w:rsidRPr="00EB7C7B" w:rsidRDefault="007D3BEC" w:rsidP="00DD1290">
                <w:pPr>
                  <w:rPr>
                    <w:rFonts w:cs="Arial"/>
                    <w:sz w:val="16"/>
                    <w:szCs w:val="16"/>
                  </w:rPr>
                </w:pPr>
                <w:r w:rsidRPr="00EB7C7B">
                  <w:rPr>
                    <w:rFonts w:cs="Arial"/>
                    <w:sz w:val="16"/>
                    <w:szCs w:val="16"/>
                  </w:rPr>
                  <w:t>$10</w:t>
                </w:r>
                <w:r w:rsidR="00DD1290">
                  <w:rPr>
                    <w:rFonts w:cs="Arial"/>
                    <w:sz w:val="16"/>
                    <w:szCs w:val="16"/>
                  </w:rPr>
                  <w:t xml:space="preserve"> </w:t>
                </w:r>
                <w:r w:rsidRPr="00EB7C7B">
                  <w:rPr>
                    <w:rFonts w:cs="Arial"/>
                    <w:sz w:val="16"/>
                    <w:szCs w:val="16"/>
                  </w:rPr>
                  <w:t>769.69</w:t>
                </w:r>
              </w:p>
            </w:tc>
            <w:tc>
              <w:tcPr>
                <w:tcW w:w="544" w:type="pct"/>
                <w:shd w:val="clear" w:color="auto" w:fill="DBE5F1"/>
              </w:tcPr>
              <w:p w:rsidR="007D3BEC" w:rsidRPr="00EB7C7B" w:rsidRDefault="007D3BEC" w:rsidP="002C2211">
                <w:pPr>
                  <w:jc w:val="right"/>
                  <w:rPr>
                    <w:rFonts w:cs="Arial"/>
                    <w:sz w:val="16"/>
                    <w:szCs w:val="16"/>
                  </w:rPr>
                </w:pPr>
                <w:r w:rsidRPr="00EB7C7B">
                  <w:rPr>
                    <w:rFonts w:cs="Arial"/>
                    <w:sz w:val="16"/>
                    <w:szCs w:val="16"/>
                  </w:rPr>
                  <w:t>-1</w:t>
                </w:r>
              </w:p>
            </w:tc>
            <w:tc>
              <w:tcPr>
                <w:tcW w:w="762" w:type="pct"/>
                <w:shd w:val="clear" w:color="auto" w:fill="DBE5F1"/>
              </w:tcPr>
              <w:p w:rsidR="007D3BEC" w:rsidRPr="00EB7C7B" w:rsidRDefault="00DD1290" w:rsidP="002C2211">
                <w:pPr>
                  <w:jc w:val="right"/>
                  <w:rPr>
                    <w:rFonts w:cs="Arial"/>
                    <w:sz w:val="16"/>
                    <w:szCs w:val="16"/>
                  </w:rPr>
                </w:pPr>
                <w:r>
                  <w:rPr>
                    <w:rFonts w:cs="Arial"/>
                    <w:sz w:val="16"/>
                    <w:szCs w:val="16"/>
                  </w:rPr>
                  <w:t xml:space="preserve">-$10 </w:t>
                </w:r>
                <w:r w:rsidR="007D3BEC" w:rsidRPr="00EB7C7B">
                  <w:rPr>
                    <w:rFonts w:cs="Arial"/>
                    <w:sz w:val="16"/>
                    <w:szCs w:val="16"/>
                  </w:rPr>
                  <w:t>769.69</w:t>
                </w:r>
              </w:p>
            </w:tc>
          </w:tr>
          <w:tr w:rsidR="007D3BEC" w:rsidRPr="00796046" w:rsidTr="00EB7C7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7D3BEC" w:rsidRDefault="007D3BEC">
                <w:pPr>
                  <w:rPr>
                    <w:rFonts w:cs="Arial"/>
                    <w:sz w:val="16"/>
                    <w:szCs w:val="16"/>
                  </w:rPr>
                </w:pPr>
              </w:p>
            </w:tc>
            <w:tc>
              <w:tcPr>
                <w:tcW w:w="583" w:type="pct"/>
                <w:vAlign w:val="bottom"/>
              </w:tcPr>
              <w:p w:rsidR="007D3BEC" w:rsidRDefault="007D3BEC">
                <w:pPr>
                  <w:rPr>
                    <w:rFonts w:cs="Arial"/>
                    <w:sz w:val="16"/>
                    <w:szCs w:val="16"/>
                  </w:rPr>
                </w:pPr>
              </w:p>
            </w:tc>
            <w:tc>
              <w:tcPr>
                <w:tcW w:w="799" w:type="pct"/>
                <w:vAlign w:val="bottom"/>
              </w:tcPr>
              <w:p w:rsidR="007D3BEC" w:rsidRDefault="007D3BEC" w:rsidP="002D34D3">
                <w:pPr>
                  <w:rPr>
                    <w:rFonts w:cs="Arial"/>
                    <w:sz w:val="16"/>
                    <w:szCs w:val="16"/>
                  </w:rPr>
                </w:pPr>
                <w:r>
                  <w:rPr>
                    <w:rFonts w:cs="Arial"/>
                    <w:sz w:val="16"/>
                    <w:szCs w:val="16"/>
                  </w:rPr>
                  <w:t>Delta Electricity</w:t>
                </w:r>
              </w:p>
            </w:tc>
            <w:tc>
              <w:tcPr>
                <w:tcW w:w="717" w:type="pct"/>
                <w:vAlign w:val="bottom"/>
              </w:tcPr>
              <w:p w:rsidR="007D3BEC" w:rsidRDefault="007D3BEC" w:rsidP="002D34D3">
                <w:pPr>
                  <w:rPr>
                    <w:rFonts w:cs="Arial"/>
                    <w:sz w:val="16"/>
                    <w:szCs w:val="16"/>
                  </w:rPr>
                </w:pPr>
                <w:r>
                  <w:rPr>
                    <w:rFonts w:cs="Arial"/>
                    <w:sz w:val="16"/>
                    <w:szCs w:val="16"/>
                  </w:rPr>
                  <w:t>VP5</w:t>
                </w:r>
              </w:p>
            </w:tc>
            <w:tc>
              <w:tcPr>
                <w:tcW w:w="661" w:type="pct"/>
                <w:vAlign w:val="bottom"/>
              </w:tcPr>
              <w:p w:rsidR="007D3BEC" w:rsidRDefault="007D3BEC" w:rsidP="002D34D3">
                <w:pPr>
                  <w:rPr>
                    <w:rFonts w:cs="Arial"/>
                    <w:sz w:val="16"/>
                    <w:szCs w:val="16"/>
                  </w:rPr>
                </w:pPr>
                <w:r>
                  <w:rPr>
                    <w:rFonts w:cs="Arial"/>
                    <w:sz w:val="16"/>
                    <w:szCs w:val="16"/>
                  </w:rPr>
                  <w:t>Energy</w:t>
                </w:r>
              </w:p>
            </w:tc>
            <w:tc>
              <w:tcPr>
                <w:tcW w:w="582" w:type="pct"/>
                <w:vAlign w:val="bottom"/>
              </w:tcPr>
              <w:p w:rsidR="007D3BEC" w:rsidRDefault="007D3BEC" w:rsidP="002D34D3">
                <w:pPr>
                  <w:jc w:val="right"/>
                  <w:rPr>
                    <w:rFonts w:cs="Arial"/>
                    <w:sz w:val="16"/>
                    <w:szCs w:val="16"/>
                  </w:rPr>
                </w:pPr>
                <w:r>
                  <w:rPr>
                    <w:rFonts w:cs="Arial"/>
                    <w:sz w:val="16"/>
                    <w:szCs w:val="16"/>
                  </w:rPr>
                  <w:t>$85.00</w:t>
                </w:r>
              </w:p>
            </w:tc>
            <w:tc>
              <w:tcPr>
                <w:tcW w:w="544" w:type="pct"/>
                <w:vAlign w:val="bottom"/>
              </w:tcPr>
              <w:p w:rsidR="007D3BEC" w:rsidRDefault="007D3BEC" w:rsidP="002D34D3">
                <w:pPr>
                  <w:jc w:val="right"/>
                  <w:rPr>
                    <w:rFonts w:cs="Arial"/>
                    <w:sz w:val="16"/>
                    <w:szCs w:val="16"/>
                  </w:rPr>
                </w:pPr>
                <w:r>
                  <w:rPr>
                    <w:rFonts w:cs="Arial"/>
                    <w:sz w:val="16"/>
                    <w:szCs w:val="16"/>
                  </w:rPr>
                  <w:t>0.37</w:t>
                </w:r>
              </w:p>
            </w:tc>
            <w:tc>
              <w:tcPr>
                <w:tcW w:w="762" w:type="pct"/>
                <w:vAlign w:val="bottom"/>
              </w:tcPr>
              <w:p w:rsidR="007D3BEC" w:rsidRDefault="007D3BEC" w:rsidP="002D34D3">
                <w:pPr>
                  <w:jc w:val="right"/>
                  <w:rPr>
                    <w:rFonts w:cs="Arial"/>
                    <w:sz w:val="16"/>
                    <w:szCs w:val="16"/>
                  </w:rPr>
                </w:pPr>
                <w:r>
                  <w:rPr>
                    <w:rFonts w:cs="Arial"/>
                    <w:sz w:val="16"/>
                    <w:szCs w:val="16"/>
                  </w:rPr>
                  <w:t>$31.45</w:t>
                </w:r>
              </w:p>
            </w:tc>
          </w:tr>
          <w:tr w:rsidR="007D3BEC" w:rsidRPr="00796046" w:rsidTr="007D3BEC">
            <w:trPr>
              <w:cnfStyle w:val="000000100000" w:firstRow="0" w:lastRow="0" w:firstColumn="0" w:lastColumn="0" w:oddVBand="0" w:evenVBand="0" w:oddHBand="1" w:evenHBand="0" w:firstRowFirstColumn="0" w:firstRowLastColumn="0" w:lastRowFirstColumn="0" w:lastRowLastColumn="0"/>
              <w:trHeight w:hRule="exact" w:val="348"/>
            </w:trPr>
            <w:tc>
              <w:tcPr>
                <w:tcW w:w="351" w:type="pct"/>
                <w:shd w:val="clear" w:color="auto" w:fill="DBE5F1"/>
                <w:vAlign w:val="bottom"/>
              </w:tcPr>
              <w:p w:rsidR="007D3BEC" w:rsidRDefault="007D3BEC">
                <w:pPr>
                  <w:rPr>
                    <w:rFonts w:cs="Arial"/>
                    <w:sz w:val="16"/>
                    <w:szCs w:val="16"/>
                  </w:rPr>
                </w:pPr>
              </w:p>
            </w:tc>
            <w:tc>
              <w:tcPr>
                <w:tcW w:w="583" w:type="pct"/>
                <w:shd w:val="clear" w:color="auto" w:fill="DBE5F1"/>
                <w:vAlign w:val="bottom"/>
              </w:tcPr>
              <w:p w:rsidR="007D3BEC" w:rsidRDefault="007D3BEC">
                <w:pPr>
                  <w:rPr>
                    <w:rFonts w:cs="Arial"/>
                    <w:sz w:val="16"/>
                    <w:szCs w:val="16"/>
                  </w:rPr>
                </w:pPr>
              </w:p>
            </w:tc>
            <w:tc>
              <w:tcPr>
                <w:tcW w:w="799" w:type="pct"/>
                <w:shd w:val="clear" w:color="auto" w:fill="DBE5F1"/>
                <w:vAlign w:val="bottom"/>
              </w:tcPr>
              <w:p w:rsidR="007D3BEC" w:rsidRDefault="007D3BEC" w:rsidP="002D34D3">
                <w:pPr>
                  <w:rPr>
                    <w:rFonts w:cs="Arial"/>
                    <w:sz w:val="16"/>
                    <w:szCs w:val="16"/>
                  </w:rPr>
                </w:pPr>
                <w:r>
                  <w:rPr>
                    <w:rFonts w:cs="Arial"/>
                    <w:sz w:val="16"/>
                    <w:szCs w:val="16"/>
                  </w:rPr>
                  <w:t>Delta Electricity</w:t>
                </w:r>
              </w:p>
            </w:tc>
            <w:tc>
              <w:tcPr>
                <w:tcW w:w="717" w:type="pct"/>
                <w:shd w:val="clear" w:color="auto" w:fill="DBE5F1"/>
                <w:vAlign w:val="bottom"/>
              </w:tcPr>
              <w:p w:rsidR="007D3BEC" w:rsidRDefault="007D3BEC" w:rsidP="002D34D3">
                <w:pPr>
                  <w:rPr>
                    <w:rFonts w:cs="Arial"/>
                    <w:sz w:val="16"/>
                    <w:szCs w:val="16"/>
                  </w:rPr>
                </w:pPr>
                <w:r>
                  <w:rPr>
                    <w:rFonts w:cs="Arial"/>
                    <w:sz w:val="16"/>
                    <w:szCs w:val="16"/>
                  </w:rPr>
                  <w:t>VP6</w:t>
                </w:r>
              </w:p>
            </w:tc>
            <w:tc>
              <w:tcPr>
                <w:tcW w:w="661" w:type="pct"/>
                <w:shd w:val="clear" w:color="auto" w:fill="DBE5F1"/>
                <w:vAlign w:val="bottom"/>
              </w:tcPr>
              <w:p w:rsidR="007D3BEC" w:rsidRDefault="007D3BEC" w:rsidP="002D34D3">
                <w:pPr>
                  <w:rPr>
                    <w:rFonts w:cs="Arial"/>
                    <w:sz w:val="16"/>
                    <w:szCs w:val="16"/>
                  </w:rPr>
                </w:pPr>
                <w:r>
                  <w:rPr>
                    <w:rFonts w:cs="Arial"/>
                    <w:sz w:val="16"/>
                    <w:szCs w:val="16"/>
                  </w:rPr>
                  <w:t>Energy</w:t>
                </w:r>
              </w:p>
            </w:tc>
            <w:tc>
              <w:tcPr>
                <w:tcW w:w="582" w:type="pct"/>
                <w:shd w:val="clear" w:color="auto" w:fill="DBE5F1"/>
                <w:vAlign w:val="bottom"/>
              </w:tcPr>
              <w:p w:rsidR="007D3BEC" w:rsidRDefault="007D3BEC" w:rsidP="002D34D3">
                <w:pPr>
                  <w:jc w:val="right"/>
                  <w:rPr>
                    <w:rFonts w:cs="Arial"/>
                    <w:sz w:val="16"/>
                    <w:szCs w:val="16"/>
                  </w:rPr>
                </w:pPr>
                <w:r>
                  <w:rPr>
                    <w:rFonts w:cs="Arial"/>
                    <w:sz w:val="16"/>
                    <w:szCs w:val="16"/>
                  </w:rPr>
                  <w:t>$85.00</w:t>
                </w:r>
              </w:p>
            </w:tc>
            <w:tc>
              <w:tcPr>
                <w:tcW w:w="544" w:type="pct"/>
                <w:shd w:val="clear" w:color="auto" w:fill="DBE5F1"/>
                <w:vAlign w:val="bottom"/>
              </w:tcPr>
              <w:p w:rsidR="007D3BEC" w:rsidRDefault="007D3BEC" w:rsidP="002D34D3">
                <w:pPr>
                  <w:jc w:val="right"/>
                  <w:rPr>
                    <w:rFonts w:cs="Arial"/>
                    <w:sz w:val="16"/>
                    <w:szCs w:val="16"/>
                  </w:rPr>
                </w:pPr>
                <w:r>
                  <w:rPr>
                    <w:rFonts w:cs="Arial"/>
                    <w:sz w:val="16"/>
                    <w:szCs w:val="16"/>
                  </w:rPr>
                  <w:t>0.37</w:t>
                </w:r>
              </w:p>
            </w:tc>
            <w:tc>
              <w:tcPr>
                <w:tcW w:w="762" w:type="pct"/>
                <w:shd w:val="clear" w:color="auto" w:fill="DBE5F1"/>
                <w:vAlign w:val="bottom"/>
              </w:tcPr>
              <w:p w:rsidR="007D3BEC" w:rsidRDefault="007D3BEC" w:rsidP="002D34D3">
                <w:pPr>
                  <w:jc w:val="right"/>
                  <w:rPr>
                    <w:rFonts w:cs="Arial"/>
                    <w:sz w:val="16"/>
                    <w:szCs w:val="16"/>
                  </w:rPr>
                </w:pPr>
                <w:r>
                  <w:rPr>
                    <w:rFonts w:cs="Arial"/>
                    <w:sz w:val="16"/>
                    <w:szCs w:val="16"/>
                  </w:rPr>
                  <w:t>$31.45</w:t>
                </w:r>
              </w:p>
            </w:tc>
          </w:tr>
          <w:tr w:rsidR="007D3BEC" w:rsidRPr="00796046" w:rsidTr="00EB7C7B">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7D3BEC" w:rsidRDefault="007D3BEC">
                <w:pPr>
                  <w:rPr>
                    <w:rFonts w:cs="Arial"/>
                    <w:sz w:val="16"/>
                    <w:szCs w:val="16"/>
                  </w:rPr>
                </w:pPr>
              </w:p>
            </w:tc>
            <w:tc>
              <w:tcPr>
                <w:tcW w:w="583" w:type="pct"/>
                <w:vAlign w:val="bottom"/>
              </w:tcPr>
              <w:p w:rsidR="007D3BEC" w:rsidRDefault="007D3BEC">
                <w:pPr>
                  <w:rPr>
                    <w:rFonts w:cs="Arial"/>
                    <w:sz w:val="16"/>
                    <w:szCs w:val="16"/>
                  </w:rPr>
                </w:pPr>
              </w:p>
            </w:tc>
            <w:tc>
              <w:tcPr>
                <w:tcW w:w="799" w:type="pct"/>
                <w:vAlign w:val="bottom"/>
              </w:tcPr>
              <w:p w:rsidR="007D3BEC" w:rsidRDefault="007D3BEC" w:rsidP="002D34D3">
                <w:pPr>
                  <w:rPr>
                    <w:rFonts w:cs="Arial"/>
                    <w:sz w:val="16"/>
                    <w:szCs w:val="16"/>
                  </w:rPr>
                </w:pPr>
                <w:r>
                  <w:rPr>
                    <w:rFonts w:cs="Arial"/>
                    <w:sz w:val="16"/>
                    <w:szCs w:val="16"/>
                  </w:rPr>
                  <w:t>Engie</w:t>
                </w:r>
              </w:p>
            </w:tc>
            <w:tc>
              <w:tcPr>
                <w:tcW w:w="717" w:type="pct"/>
                <w:vAlign w:val="bottom"/>
              </w:tcPr>
              <w:p w:rsidR="007D3BEC" w:rsidRDefault="007D3BEC" w:rsidP="002D34D3">
                <w:pPr>
                  <w:rPr>
                    <w:rFonts w:cs="Arial"/>
                    <w:sz w:val="16"/>
                    <w:szCs w:val="16"/>
                  </w:rPr>
                </w:pPr>
                <w:r>
                  <w:rPr>
                    <w:rFonts w:cs="Arial"/>
                    <w:sz w:val="16"/>
                    <w:szCs w:val="16"/>
                  </w:rPr>
                  <w:t>PPCCGT</w:t>
                </w:r>
              </w:p>
            </w:tc>
            <w:tc>
              <w:tcPr>
                <w:tcW w:w="661" w:type="pct"/>
                <w:vAlign w:val="bottom"/>
              </w:tcPr>
              <w:p w:rsidR="007D3BEC" w:rsidRDefault="007D3BEC" w:rsidP="002D34D3">
                <w:pPr>
                  <w:rPr>
                    <w:rFonts w:cs="Arial"/>
                    <w:sz w:val="16"/>
                    <w:szCs w:val="16"/>
                  </w:rPr>
                </w:pPr>
                <w:r>
                  <w:rPr>
                    <w:rFonts w:cs="Arial"/>
                    <w:sz w:val="16"/>
                    <w:szCs w:val="16"/>
                  </w:rPr>
                  <w:t>Energy</w:t>
                </w:r>
              </w:p>
            </w:tc>
            <w:tc>
              <w:tcPr>
                <w:tcW w:w="582" w:type="pct"/>
                <w:vAlign w:val="bottom"/>
              </w:tcPr>
              <w:p w:rsidR="007D3BEC" w:rsidRDefault="007D3BEC" w:rsidP="002D34D3">
                <w:pPr>
                  <w:jc w:val="right"/>
                  <w:rPr>
                    <w:rFonts w:cs="Arial"/>
                    <w:sz w:val="16"/>
                    <w:szCs w:val="16"/>
                  </w:rPr>
                </w:pPr>
                <w:r>
                  <w:rPr>
                    <w:rFonts w:cs="Arial"/>
                    <w:sz w:val="16"/>
                    <w:szCs w:val="16"/>
                  </w:rPr>
                  <w:t>$78.69</w:t>
                </w:r>
              </w:p>
            </w:tc>
            <w:tc>
              <w:tcPr>
                <w:tcW w:w="544" w:type="pct"/>
                <w:vAlign w:val="bottom"/>
              </w:tcPr>
              <w:p w:rsidR="007D3BEC" w:rsidRDefault="007D3BEC" w:rsidP="002D34D3">
                <w:pPr>
                  <w:jc w:val="right"/>
                  <w:rPr>
                    <w:rFonts w:cs="Arial"/>
                    <w:sz w:val="16"/>
                    <w:szCs w:val="16"/>
                  </w:rPr>
                </w:pPr>
                <w:r>
                  <w:rPr>
                    <w:rFonts w:cs="Arial"/>
                    <w:sz w:val="16"/>
                    <w:szCs w:val="16"/>
                  </w:rPr>
                  <w:t>-1.00</w:t>
                </w:r>
              </w:p>
            </w:tc>
            <w:tc>
              <w:tcPr>
                <w:tcW w:w="762" w:type="pct"/>
                <w:vAlign w:val="bottom"/>
              </w:tcPr>
              <w:p w:rsidR="007D3BEC" w:rsidRDefault="007D3BEC" w:rsidP="002D34D3">
                <w:pPr>
                  <w:jc w:val="right"/>
                  <w:rPr>
                    <w:rFonts w:cs="Arial"/>
                    <w:sz w:val="16"/>
                    <w:szCs w:val="16"/>
                  </w:rPr>
                </w:pPr>
                <w:r>
                  <w:rPr>
                    <w:rFonts w:cs="Arial"/>
                    <w:sz w:val="16"/>
                    <w:szCs w:val="16"/>
                  </w:rPr>
                  <w:t>-$78.69</w:t>
                </w:r>
              </w:p>
            </w:tc>
          </w:tr>
        </w:tbl>
        <w:p w:rsidR="000F720B" w:rsidRDefault="000F720B" w:rsidP="00A66985">
          <w:pPr>
            <w:pStyle w:val="Tabletitle"/>
            <w:keepNext/>
          </w:pPr>
          <w:r>
            <w:t xml:space="preserve">Raise regulation </w:t>
          </w:r>
          <w:r w:rsidR="004B49F6">
            <w:t>2</w:t>
          </w:r>
          <w:r w:rsidR="00EB7C7B">
            <w:t>2</w:t>
          </w:r>
          <w:r w:rsidR="004B49F6">
            <w:t xml:space="preserve"> Ma</w:t>
          </w:r>
          <w:r w:rsidR="00EB7C7B">
            <w:t>y</w:t>
          </w:r>
        </w:p>
      </w:sdtContent>
    </w:sdt>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413ED7" w:rsidRPr="00DD0001" w:rsidTr="00496961">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413ED7" w:rsidRPr="00010B1A" w:rsidRDefault="00413ED7" w:rsidP="00413ED7">
            <w:pPr>
              <w:pStyle w:val="tabletext0"/>
            </w:pPr>
            <w:r>
              <w:t>DI</w:t>
            </w:r>
          </w:p>
        </w:tc>
        <w:tc>
          <w:tcPr>
            <w:tcW w:w="583" w:type="pct"/>
          </w:tcPr>
          <w:p w:rsidR="00413ED7" w:rsidRPr="00010B1A" w:rsidRDefault="00413ED7" w:rsidP="00413ED7">
            <w:pPr>
              <w:pStyle w:val="tabletext0"/>
            </w:pPr>
            <w:r w:rsidRPr="00010B1A">
              <w:t>Dispatch Price</w:t>
            </w:r>
            <w:r>
              <w:t xml:space="preserve"> ($/MW)</w:t>
            </w:r>
          </w:p>
        </w:tc>
        <w:tc>
          <w:tcPr>
            <w:tcW w:w="799" w:type="pct"/>
          </w:tcPr>
          <w:p w:rsidR="00413ED7" w:rsidRPr="00010B1A" w:rsidRDefault="00413ED7" w:rsidP="00413ED7">
            <w:pPr>
              <w:pStyle w:val="tabletext0"/>
            </w:pPr>
            <w:r w:rsidRPr="00010B1A">
              <w:t>Participant</w:t>
            </w:r>
          </w:p>
        </w:tc>
        <w:tc>
          <w:tcPr>
            <w:tcW w:w="717" w:type="pct"/>
          </w:tcPr>
          <w:p w:rsidR="00413ED7" w:rsidRPr="00010B1A" w:rsidRDefault="00413ED7" w:rsidP="00413ED7">
            <w:pPr>
              <w:pStyle w:val="tabletext0"/>
            </w:pPr>
            <w:r w:rsidRPr="00010B1A">
              <w:t>Unit</w:t>
            </w:r>
          </w:p>
        </w:tc>
        <w:tc>
          <w:tcPr>
            <w:tcW w:w="661" w:type="pct"/>
          </w:tcPr>
          <w:p w:rsidR="00413ED7" w:rsidRPr="00010B1A" w:rsidRDefault="00413ED7" w:rsidP="00413ED7">
            <w:pPr>
              <w:pStyle w:val="tabletext0"/>
            </w:pPr>
            <w:r w:rsidRPr="00010B1A">
              <w:t>Service</w:t>
            </w:r>
          </w:p>
        </w:tc>
        <w:tc>
          <w:tcPr>
            <w:tcW w:w="582" w:type="pct"/>
          </w:tcPr>
          <w:p w:rsidR="00413ED7" w:rsidRPr="00010B1A" w:rsidRDefault="00413ED7" w:rsidP="00413ED7">
            <w:pPr>
              <w:pStyle w:val="tabletext0"/>
            </w:pPr>
            <w:r>
              <w:t>Offer price ($/MW)</w:t>
            </w:r>
          </w:p>
        </w:tc>
        <w:tc>
          <w:tcPr>
            <w:tcW w:w="544" w:type="pct"/>
          </w:tcPr>
          <w:p w:rsidR="00413ED7" w:rsidRPr="00010B1A" w:rsidRDefault="00413ED7" w:rsidP="00413ED7">
            <w:pPr>
              <w:pStyle w:val="tabletext0"/>
            </w:pPr>
            <w:r w:rsidRPr="00010B1A">
              <w:t>Margi</w:t>
            </w:r>
            <w:r>
              <w:t>nal</w:t>
            </w:r>
            <w:r w:rsidRPr="00010B1A">
              <w:t xml:space="preserve"> change</w:t>
            </w:r>
          </w:p>
        </w:tc>
        <w:tc>
          <w:tcPr>
            <w:tcW w:w="762" w:type="pct"/>
          </w:tcPr>
          <w:p w:rsidR="00413ED7" w:rsidRPr="00010B1A" w:rsidRDefault="00413ED7" w:rsidP="00413ED7">
            <w:pPr>
              <w:pStyle w:val="tabletext0"/>
            </w:pPr>
            <w:r>
              <w:t>Contribution</w:t>
            </w:r>
          </w:p>
        </w:tc>
      </w:tr>
      <w:tr w:rsidR="00EB7C7B" w:rsidRPr="00247FC3"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12:20</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12:25</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247FC3"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12:30</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247FC3"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12:35</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12:40</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12:45</w:t>
            </w:r>
          </w:p>
        </w:tc>
        <w:tc>
          <w:tcPr>
            <w:tcW w:w="583"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799" w:type="pct"/>
            <w:vAlign w:val="bottom"/>
          </w:tcPr>
          <w:p w:rsidR="00EB7C7B" w:rsidRDefault="00EB7C7B">
            <w:pPr>
              <w:rPr>
                <w:rFonts w:cs="Arial"/>
                <w:sz w:val="16"/>
                <w:szCs w:val="16"/>
              </w:rPr>
            </w:pPr>
            <w:r>
              <w:rPr>
                <w:rFonts w:cs="Arial"/>
                <w:sz w:val="16"/>
                <w:szCs w:val="16"/>
              </w:rPr>
              <w:t>Engie</w:t>
            </w:r>
          </w:p>
        </w:tc>
        <w:tc>
          <w:tcPr>
            <w:tcW w:w="717" w:type="pct"/>
            <w:vAlign w:val="bottom"/>
          </w:tcPr>
          <w:p w:rsidR="00EB7C7B" w:rsidRDefault="00EB7C7B">
            <w:pPr>
              <w:rPr>
                <w:rFonts w:cs="Arial"/>
                <w:sz w:val="16"/>
                <w:szCs w:val="16"/>
              </w:rPr>
            </w:pPr>
            <w:r>
              <w:rPr>
                <w:rFonts w:cs="Arial"/>
                <w:sz w:val="16"/>
                <w:szCs w:val="16"/>
              </w:rPr>
              <w:t>PPCCGT</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-$10</w:t>
            </w:r>
            <w:r w:rsidR="00DD1290">
              <w:rPr>
                <w:rFonts w:cs="Arial"/>
                <w:sz w:val="16"/>
                <w:szCs w:val="16"/>
              </w:rPr>
              <w:t xml:space="preserve"> </w:t>
            </w:r>
            <w:r>
              <w:rPr>
                <w:rFonts w:cs="Arial"/>
                <w:sz w:val="16"/>
                <w:szCs w:val="16"/>
              </w:rPr>
              <w:t>769.69</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17:35</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17:40</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17:45</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17:50</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17:55</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18:00</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18:05</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t>18:10</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r w:rsidR="00EB7C7B" w:rsidRPr="00796046" w:rsidTr="00413ED7">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EB7C7B" w:rsidRDefault="00EB7C7B">
            <w:pPr>
              <w:jc w:val="right"/>
              <w:rPr>
                <w:rFonts w:cs="Arial"/>
                <w:sz w:val="16"/>
                <w:szCs w:val="16"/>
              </w:rPr>
            </w:pPr>
            <w:r>
              <w:rPr>
                <w:rFonts w:cs="Arial"/>
                <w:sz w:val="16"/>
                <w:szCs w:val="16"/>
              </w:rPr>
              <w:lastRenderedPageBreak/>
              <w:t>18:15</w:t>
            </w:r>
          </w:p>
        </w:tc>
        <w:tc>
          <w:tcPr>
            <w:tcW w:w="583" w:type="pct"/>
            <w:vAlign w:val="bottom"/>
          </w:tcPr>
          <w:p w:rsidR="00EB7C7B" w:rsidRDefault="00EB7C7B">
            <w:pPr>
              <w:jc w:val="right"/>
              <w:rPr>
                <w:rFonts w:cs="Arial"/>
                <w:sz w:val="16"/>
                <w:szCs w:val="16"/>
              </w:rPr>
            </w:pPr>
            <w:r>
              <w:rPr>
                <w:rFonts w:cs="Arial"/>
                <w:sz w:val="16"/>
                <w:szCs w:val="16"/>
              </w:rPr>
              <w:t>$7689.75</w:t>
            </w:r>
          </w:p>
        </w:tc>
        <w:tc>
          <w:tcPr>
            <w:tcW w:w="799" w:type="pct"/>
            <w:vAlign w:val="bottom"/>
          </w:tcPr>
          <w:p w:rsidR="00EB7C7B" w:rsidRDefault="00EB7C7B">
            <w:pPr>
              <w:rPr>
                <w:rFonts w:cs="Arial"/>
                <w:sz w:val="16"/>
                <w:szCs w:val="16"/>
              </w:rPr>
            </w:pPr>
            <w:r>
              <w:rPr>
                <w:rFonts w:cs="Arial"/>
                <w:sz w:val="16"/>
                <w:szCs w:val="16"/>
              </w:rPr>
              <w:t>Origin Energy</w:t>
            </w:r>
          </w:p>
        </w:tc>
        <w:tc>
          <w:tcPr>
            <w:tcW w:w="717" w:type="pct"/>
            <w:vAlign w:val="bottom"/>
          </w:tcPr>
          <w:p w:rsidR="00EB7C7B" w:rsidRDefault="00EB7C7B">
            <w:pPr>
              <w:rPr>
                <w:rFonts w:cs="Arial"/>
                <w:sz w:val="16"/>
                <w:szCs w:val="16"/>
              </w:rPr>
            </w:pPr>
            <w:r>
              <w:rPr>
                <w:rFonts w:cs="Arial"/>
                <w:sz w:val="16"/>
                <w:szCs w:val="16"/>
              </w:rPr>
              <w:t>QPS5</w:t>
            </w:r>
          </w:p>
        </w:tc>
        <w:tc>
          <w:tcPr>
            <w:tcW w:w="661" w:type="pct"/>
            <w:vAlign w:val="bottom"/>
          </w:tcPr>
          <w:p w:rsidR="00EB7C7B" w:rsidRDefault="00EB7C7B">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EB7C7B" w:rsidRDefault="00EB7C7B">
            <w:pPr>
              <w:jc w:val="right"/>
              <w:rPr>
                <w:rFonts w:cs="Arial"/>
                <w:sz w:val="16"/>
                <w:szCs w:val="16"/>
              </w:rPr>
            </w:pPr>
            <w:r>
              <w:rPr>
                <w:rFonts w:cs="Arial"/>
                <w:sz w:val="16"/>
                <w:szCs w:val="16"/>
              </w:rPr>
              <w:t>$7689.75</w:t>
            </w:r>
          </w:p>
        </w:tc>
        <w:tc>
          <w:tcPr>
            <w:tcW w:w="544" w:type="pct"/>
            <w:vAlign w:val="bottom"/>
          </w:tcPr>
          <w:p w:rsidR="00EB7C7B" w:rsidRDefault="00EB7C7B">
            <w:pPr>
              <w:jc w:val="right"/>
              <w:rPr>
                <w:rFonts w:cs="Arial"/>
                <w:sz w:val="16"/>
                <w:szCs w:val="16"/>
              </w:rPr>
            </w:pPr>
            <w:r>
              <w:rPr>
                <w:rFonts w:cs="Arial"/>
                <w:sz w:val="16"/>
                <w:szCs w:val="16"/>
              </w:rPr>
              <w:t>-1.00</w:t>
            </w:r>
          </w:p>
        </w:tc>
        <w:tc>
          <w:tcPr>
            <w:tcW w:w="762" w:type="pct"/>
            <w:vAlign w:val="bottom"/>
          </w:tcPr>
          <w:p w:rsidR="00EB7C7B" w:rsidRDefault="00EB7C7B">
            <w:pPr>
              <w:jc w:val="right"/>
              <w:rPr>
                <w:rFonts w:cs="Arial"/>
                <w:sz w:val="16"/>
                <w:szCs w:val="16"/>
              </w:rPr>
            </w:pPr>
            <w:r>
              <w:rPr>
                <w:rFonts w:cs="Arial"/>
                <w:sz w:val="16"/>
                <w:szCs w:val="16"/>
              </w:rPr>
              <w:t>-$7689.75</w:t>
            </w:r>
          </w:p>
        </w:tc>
      </w:tr>
    </w:tbl>
    <w:p w:rsidR="004D0B56" w:rsidRDefault="004D0B56" w:rsidP="00DD1290">
      <w:pPr>
        <w:pStyle w:val="AERBody0"/>
      </w:pPr>
    </w:p>
    <w:sectPr w:rsidR="004D0B56" w:rsidSect="00F71B0D">
      <w:headerReference w:type="even" r:id="rId42"/>
      <w:headerReference w:type="default" r:id="rId43"/>
      <w:footerReference w:type="even" r:id="rId44"/>
      <w:footerReference w:type="default" r:id="rId45"/>
      <w:headerReference w:type="first" r:id="rId46"/>
      <w:footerReference w:type="first" r:id="rId47"/>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94" w:rsidRDefault="00860E94">
      <w:pPr>
        <w:spacing w:before="0" w:line="240" w:lineRule="auto"/>
      </w:pPr>
      <w:r>
        <w:separator/>
      </w:r>
    </w:p>
  </w:endnote>
  <w:endnote w:type="continuationSeparator" w:id="0">
    <w:p w:rsidR="00860E94" w:rsidRDefault="00860E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94" w:rsidRPr="007A4D1F" w:rsidRDefault="00860E94"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1D4108" w:rsidRPr="001D4108">
      <w:rPr>
        <w:rFonts w:eastAsia="Arial" w:cs="Times New Roman"/>
        <w:b/>
        <w:bCs/>
        <w:noProof/>
        <w:color w:val="076A92" w:themeColor="text1"/>
        <w:sz w:val="18"/>
        <w:lang w:val="en-US"/>
      </w:rPr>
      <w:t>Report</w:t>
    </w:r>
    <w:r w:rsidR="001D4108">
      <w:rPr>
        <w:rFonts w:eastAsia="Arial" w:cs="Times New Roman"/>
        <w:noProof/>
        <w:color w:val="076A92" w:themeColor="text1"/>
        <w:sz w:val="18"/>
      </w:rPr>
      <w:t xml:space="preserve"> into market ancillary service prices above $5000/MW</w:t>
    </w:r>
    <w:r>
      <w:rPr>
        <w:rFonts w:eastAsia="Arial" w:cs="Times New Roman"/>
        <w:color w:val="076A92" w:themeColor="text1"/>
        <w:sz w:val="18"/>
      </w:rPr>
      <w:fldChar w:fldCharType="end"/>
    </w:r>
    <w:r>
      <w:rPr>
        <w:rFonts w:eastAsia="Arial" w:cs="Times New Roman"/>
        <w:color w:val="076A92" w:themeColor="text1"/>
        <w:sz w:val="18"/>
      </w:rPr>
      <w:t xml:space="preserve"> – South Australia: 22 May 2017</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1D4108">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60E94" w:rsidRDefault="00860E94"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94" w:rsidRPr="00A91A9E" w:rsidRDefault="00860E94"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60E94" w:rsidRDefault="00860E94"/>
  <w:p w:rsidR="00860E94" w:rsidRDefault="00860E9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94" w:rsidRDefault="00EA79B8" w:rsidP="003610D1">
    <w:pPr>
      <w:pStyle w:val="Footer"/>
      <w:tabs>
        <w:tab w:val="clear" w:pos="9026"/>
        <w:tab w:val="right" w:pos="8505"/>
      </w:tabs>
    </w:pPr>
    <w:fldSimple w:instr=" STYLEREF  &quot;Report Title&quot;  \* MERGEFORMAT ">
      <w:r w:rsidR="001D4108" w:rsidRPr="001D4108">
        <w:rPr>
          <w:b/>
          <w:bCs/>
          <w:noProof/>
          <w:lang w:val="en-US"/>
        </w:rPr>
        <w:t xml:space="preserve">Report into market ancillary service prices </w:t>
      </w:r>
      <w:r w:rsidR="001D4108">
        <w:rPr>
          <w:noProof/>
        </w:rPr>
        <w:t>above $5000/MW</w:t>
      </w:r>
    </w:fldSimple>
    <w:r w:rsidR="00860E94">
      <w:rPr>
        <w:rFonts w:eastAsia="Arial" w:cs="Times New Roman"/>
      </w:rPr>
      <w:t xml:space="preserve"> – South Australia: 22 May 2017</w:t>
    </w:r>
    <w:r w:rsidR="00860E94">
      <w:tab/>
    </w:r>
    <w:r w:rsidR="00860E94">
      <w:tab/>
    </w:r>
    <w:r w:rsidR="00860E94">
      <w:fldChar w:fldCharType="begin"/>
    </w:r>
    <w:r w:rsidR="00860E94">
      <w:instrText xml:space="preserve"> PAGE   \* MERGEFORMAT </w:instrText>
    </w:r>
    <w:r w:rsidR="00860E94">
      <w:fldChar w:fldCharType="separate"/>
    </w:r>
    <w:r w:rsidR="001D4108">
      <w:rPr>
        <w:noProof/>
      </w:rPr>
      <w:t>11</w:t>
    </w:r>
    <w:r w:rsidR="00860E94">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94" w:rsidRDefault="00EA79B8" w:rsidP="003610D1">
    <w:pPr>
      <w:pStyle w:val="Footer"/>
      <w:tabs>
        <w:tab w:val="clear" w:pos="9026"/>
        <w:tab w:val="right" w:pos="8505"/>
      </w:tabs>
    </w:pPr>
    <w:fldSimple w:instr=" STYLEREF  &quot;Report Title&quot;  \* MERGEFORMAT ">
      <w:r w:rsidR="00B24B6B">
        <w:rPr>
          <w:noProof/>
        </w:rPr>
        <w:t>Report into market ancillary service prices above $5000/MW</w:t>
      </w:r>
    </w:fldSimple>
    <w:r w:rsidR="00860E94">
      <w:tab/>
    </w:r>
    <w:r w:rsidR="00860E94">
      <w:tab/>
    </w:r>
    <w:r w:rsidR="00860E94">
      <w:fldChar w:fldCharType="begin"/>
    </w:r>
    <w:r w:rsidR="00860E94">
      <w:instrText xml:space="preserve"> PAGE   \* MERGEFORMAT </w:instrText>
    </w:r>
    <w:r w:rsidR="00860E94">
      <w:fldChar w:fldCharType="separate"/>
    </w:r>
    <w:r w:rsidR="00860E94">
      <w:rPr>
        <w:noProof/>
      </w:rPr>
      <w:t>1</w:t>
    </w:r>
    <w:r w:rsidR="00860E94">
      <w:fldChar w:fldCharType="end"/>
    </w:r>
  </w:p>
  <w:p w:rsidR="00860E94" w:rsidRDefault="00860E94">
    <w:pPr>
      <w:pStyle w:val="Footer"/>
    </w:pPr>
  </w:p>
  <w:p w:rsidR="00860E94" w:rsidRDefault="00860E94"/>
  <w:p w:rsidR="00860E94" w:rsidRDefault="00860E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94" w:rsidRDefault="00860E94">
      <w:pPr>
        <w:spacing w:before="0" w:line="240" w:lineRule="auto"/>
      </w:pPr>
      <w:r>
        <w:separator/>
      </w:r>
    </w:p>
  </w:footnote>
  <w:footnote w:type="continuationSeparator" w:id="0">
    <w:p w:rsidR="00860E94" w:rsidRDefault="00860E94">
      <w:pPr>
        <w:spacing w:before="0" w:line="240" w:lineRule="auto"/>
      </w:pPr>
      <w:r>
        <w:continuationSeparator/>
      </w:r>
    </w:p>
  </w:footnote>
  <w:footnote w:id="1">
    <w:p w:rsidR="00860E94" w:rsidRDefault="00860E94" w:rsidP="00540A1E">
      <w:pPr>
        <w:pStyle w:val="FootnoteText"/>
      </w:pPr>
      <w:r>
        <w:rPr>
          <w:rStyle w:val="FootnoteReference"/>
        </w:rPr>
        <w:footnoteRef/>
      </w:r>
      <w:r>
        <w:t xml:space="preserve"> </w:t>
      </w:r>
      <w:r>
        <w:tab/>
      </w:r>
      <w:r w:rsidRPr="00404CEA">
        <w:t>Individual prices are contained i</w:t>
      </w:r>
      <w:r>
        <w:t>n the Price Setter at Appendix F</w:t>
      </w:r>
    </w:p>
  </w:footnote>
  <w:footnote w:id="2">
    <w:p w:rsidR="00860E94" w:rsidRDefault="00860E94" w:rsidP="002A0E48">
      <w:pPr>
        <w:pStyle w:val="FootnoteText"/>
      </w:pPr>
      <w:r>
        <w:rPr>
          <w:rStyle w:val="FootnoteReference"/>
        </w:rPr>
        <w:footnoteRef/>
      </w:r>
      <w:r>
        <w:t xml:space="preserve"> </w:t>
      </w:r>
      <w:r>
        <w:tab/>
        <w:t xml:space="preserve">For a full description go to </w:t>
      </w:r>
      <w:hyperlink r:id="rId1" w:tgtFrame="_blank" w:history="1">
        <w:r w:rsidR="00DD1290">
          <w:rPr>
            <w:color w:val="0000FF"/>
            <w:u w:val="single"/>
            <w:lang w:eastAsia="en-AU"/>
          </w:rPr>
          <w:t>https://www.aemo.com.au/Electricity/National-Electricity-Market-NEM/Data/Ancillary-Services/Ancillary-Services-Payments-and-Recovery</w:t>
        </w:r>
      </w:hyperlink>
    </w:p>
  </w:footnote>
  <w:footnote w:id="3">
    <w:p w:rsidR="00860E94" w:rsidRDefault="00860E94" w:rsidP="002A0E48">
      <w:pPr>
        <w:pStyle w:val="FootnoteText"/>
      </w:pPr>
      <w:r>
        <w:rPr>
          <w:rStyle w:val="FootnoteReference"/>
        </w:rPr>
        <w:footnoteRef/>
      </w:r>
      <w:r>
        <w:tab/>
        <w:t xml:space="preserve">For a full description go to </w:t>
      </w:r>
      <w:hyperlink r:id="rId2" w:history="1">
        <w:r w:rsidR="00DD1290">
          <w:rPr>
            <w:rStyle w:val="Hyperlink"/>
            <w:sz w:val="16"/>
          </w:rPr>
          <w:t>https://www.aemo.com.au/Electricity/National-Electricity-Market-NEM/Security-and-reliability/Ancillary-services/Ancillary-services-causer-pays-contribution-factors</w:t>
        </w:r>
      </w:hyperlink>
    </w:p>
  </w:footnote>
  <w:footnote w:id="4">
    <w:p w:rsidR="00860E94" w:rsidRPr="004D709E" w:rsidRDefault="00860E94"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3" w:history="1">
        <w:r w:rsidRPr="00E125B3">
          <w:rPr>
            <w:rStyle w:val="Hyperlink"/>
            <w:sz w:val="16"/>
            <w:szCs w:val="16"/>
          </w:rPr>
          <w:t>www.aemo.com.au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30" w:rsidRDefault="00705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C6842A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D485270"/>
    <w:multiLevelType w:val="hybridMultilevel"/>
    <w:tmpl w:val="8DD4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3">
    <w:nsid w:val="68D61594"/>
    <w:multiLevelType w:val="hybridMultilevel"/>
    <w:tmpl w:val="0C9A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819EC"/>
    <w:multiLevelType w:val="multilevel"/>
    <w:tmpl w:val="3124786A"/>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12"/>
  </w:num>
  <w:num w:numId="15">
    <w:abstractNumId w:val="15"/>
  </w:num>
  <w:num w:numId="16">
    <w:abstractNumId w:val="19"/>
  </w:num>
  <w:num w:numId="17">
    <w:abstractNumId w:val="11"/>
  </w:num>
  <w:num w:numId="18">
    <w:abstractNumId w:val="16"/>
  </w:num>
  <w:num w:numId="19">
    <w:abstractNumId w:val="20"/>
  </w:num>
  <w:num w:numId="20">
    <w:abstractNumId w:val="24"/>
  </w:num>
  <w:num w:numId="21">
    <w:abstractNumId w:val="21"/>
  </w:num>
  <w:num w:numId="22">
    <w:abstractNumId w:val="9"/>
  </w:num>
  <w:num w:numId="23">
    <w:abstractNumId w:val="14"/>
  </w:num>
  <w:num w:numId="24">
    <w:abstractNumId w:val="10"/>
  </w:num>
  <w:num w:numId="25">
    <w:abstractNumId w:val="23"/>
  </w:num>
  <w:num w:numId="26">
    <w:abstractNumId w:val="17"/>
  </w:num>
  <w:num w:numId="27">
    <w:abstractNumId w:val="16"/>
    <w:lvlOverride w:ilvl="0">
      <w:startOverride w:val="1"/>
    </w:lvlOverride>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25953">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adday\Wholesale\FCAS\20170522 sa fcas $5000.docx"/>
  </w:docVars>
  <w:rsids>
    <w:rsidRoot w:val="003610D1"/>
    <w:rsid w:val="00001779"/>
    <w:rsid w:val="0000387E"/>
    <w:rsid w:val="000050CA"/>
    <w:rsid w:val="00010B1A"/>
    <w:rsid w:val="00013CDB"/>
    <w:rsid w:val="00013D02"/>
    <w:rsid w:val="000142FA"/>
    <w:rsid w:val="00017AD6"/>
    <w:rsid w:val="00017BF7"/>
    <w:rsid w:val="00021644"/>
    <w:rsid w:val="00021956"/>
    <w:rsid w:val="000221E2"/>
    <w:rsid w:val="00023B62"/>
    <w:rsid w:val="00024297"/>
    <w:rsid w:val="00031177"/>
    <w:rsid w:val="00031DCC"/>
    <w:rsid w:val="000342CE"/>
    <w:rsid w:val="00040692"/>
    <w:rsid w:val="00041065"/>
    <w:rsid w:val="00043F8E"/>
    <w:rsid w:val="0004626C"/>
    <w:rsid w:val="00046BFB"/>
    <w:rsid w:val="00046C8D"/>
    <w:rsid w:val="00050420"/>
    <w:rsid w:val="00050825"/>
    <w:rsid w:val="000508E0"/>
    <w:rsid w:val="00051289"/>
    <w:rsid w:val="0005162D"/>
    <w:rsid w:val="00051AA5"/>
    <w:rsid w:val="00053B10"/>
    <w:rsid w:val="000545DD"/>
    <w:rsid w:val="00055385"/>
    <w:rsid w:val="000554BB"/>
    <w:rsid w:val="00055C0F"/>
    <w:rsid w:val="00056EEB"/>
    <w:rsid w:val="000570C9"/>
    <w:rsid w:val="00061447"/>
    <w:rsid w:val="00061A48"/>
    <w:rsid w:val="000635D7"/>
    <w:rsid w:val="000645B9"/>
    <w:rsid w:val="000708CF"/>
    <w:rsid w:val="00072223"/>
    <w:rsid w:val="0007263E"/>
    <w:rsid w:val="00073748"/>
    <w:rsid w:val="000738E9"/>
    <w:rsid w:val="00077A54"/>
    <w:rsid w:val="00077E0F"/>
    <w:rsid w:val="000801EF"/>
    <w:rsid w:val="00080C63"/>
    <w:rsid w:val="0008378E"/>
    <w:rsid w:val="00083FB8"/>
    <w:rsid w:val="000844CC"/>
    <w:rsid w:val="000851EA"/>
    <w:rsid w:val="00085C6B"/>
    <w:rsid w:val="000872A0"/>
    <w:rsid w:val="00090DE0"/>
    <w:rsid w:val="00090E9D"/>
    <w:rsid w:val="00092959"/>
    <w:rsid w:val="0009349D"/>
    <w:rsid w:val="000940D0"/>
    <w:rsid w:val="00094459"/>
    <w:rsid w:val="0009515B"/>
    <w:rsid w:val="00097FF0"/>
    <w:rsid w:val="000A05FE"/>
    <w:rsid w:val="000A131B"/>
    <w:rsid w:val="000A2B37"/>
    <w:rsid w:val="000A434F"/>
    <w:rsid w:val="000A5BD1"/>
    <w:rsid w:val="000A5EF3"/>
    <w:rsid w:val="000A6DEE"/>
    <w:rsid w:val="000B1671"/>
    <w:rsid w:val="000B3942"/>
    <w:rsid w:val="000B3B13"/>
    <w:rsid w:val="000B510F"/>
    <w:rsid w:val="000B5557"/>
    <w:rsid w:val="000B5C64"/>
    <w:rsid w:val="000C0941"/>
    <w:rsid w:val="000C0E4B"/>
    <w:rsid w:val="000C2878"/>
    <w:rsid w:val="000C3347"/>
    <w:rsid w:val="000C461D"/>
    <w:rsid w:val="000C550C"/>
    <w:rsid w:val="000C55AE"/>
    <w:rsid w:val="000C6CDD"/>
    <w:rsid w:val="000C75B9"/>
    <w:rsid w:val="000C7E61"/>
    <w:rsid w:val="000D0554"/>
    <w:rsid w:val="000D107C"/>
    <w:rsid w:val="000D1F5D"/>
    <w:rsid w:val="000D4EAE"/>
    <w:rsid w:val="000D557D"/>
    <w:rsid w:val="000D6E65"/>
    <w:rsid w:val="000D78B9"/>
    <w:rsid w:val="000E0460"/>
    <w:rsid w:val="000E1548"/>
    <w:rsid w:val="000E1867"/>
    <w:rsid w:val="000E32A2"/>
    <w:rsid w:val="000E3FA1"/>
    <w:rsid w:val="000F15E7"/>
    <w:rsid w:val="000F4D76"/>
    <w:rsid w:val="000F5D51"/>
    <w:rsid w:val="000F6F30"/>
    <w:rsid w:val="000F720B"/>
    <w:rsid w:val="000F761B"/>
    <w:rsid w:val="00101A55"/>
    <w:rsid w:val="00103088"/>
    <w:rsid w:val="00103C36"/>
    <w:rsid w:val="00103D3D"/>
    <w:rsid w:val="00103E2E"/>
    <w:rsid w:val="00104563"/>
    <w:rsid w:val="00104687"/>
    <w:rsid w:val="001060D2"/>
    <w:rsid w:val="001067B7"/>
    <w:rsid w:val="00107D12"/>
    <w:rsid w:val="00111FF2"/>
    <w:rsid w:val="00112012"/>
    <w:rsid w:val="00113CC5"/>
    <w:rsid w:val="00114196"/>
    <w:rsid w:val="00114347"/>
    <w:rsid w:val="001143C4"/>
    <w:rsid w:val="00114564"/>
    <w:rsid w:val="0011518C"/>
    <w:rsid w:val="0012004B"/>
    <w:rsid w:val="00120555"/>
    <w:rsid w:val="00123B79"/>
    <w:rsid w:val="001251A8"/>
    <w:rsid w:val="00130C12"/>
    <w:rsid w:val="001316A7"/>
    <w:rsid w:val="00132517"/>
    <w:rsid w:val="00132B65"/>
    <w:rsid w:val="00133C31"/>
    <w:rsid w:val="00134063"/>
    <w:rsid w:val="00135BE4"/>
    <w:rsid w:val="00136AF6"/>
    <w:rsid w:val="0014060D"/>
    <w:rsid w:val="00140C95"/>
    <w:rsid w:val="00141D53"/>
    <w:rsid w:val="00144712"/>
    <w:rsid w:val="00144763"/>
    <w:rsid w:val="00144FBA"/>
    <w:rsid w:val="00145A16"/>
    <w:rsid w:val="00146823"/>
    <w:rsid w:val="00146D5D"/>
    <w:rsid w:val="001470DA"/>
    <w:rsid w:val="00147AD2"/>
    <w:rsid w:val="00151193"/>
    <w:rsid w:val="00151CC0"/>
    <w:rsid w:val="00155CFA"/>
    <w:rsid w:val="0015715D"/>
    <w:rsid w:val="001571AB"/>
    <w:rsid w:val="00157982"/>
    <w:rsid w:val="00157A8F"/>
    <w:rsid w:val="00157B32"/>
    <w:rsid w:val="001640AB"/>
    <w:rsid w:val="0016468E"/>
    <w:rsid w:val="001651C0"/>
    <w:rsid w:val="001653F0"/>
    <w:rsid w:val="00165ABF"/>
    <w:rsid w:val="00165EF5"/>
    <w:rsid w:val="001716FC"/>
    <w:rsid w:val="00174796"/>
    <w:rsid w:val="00176C8B"/>
    <w:rsid w:val="00183F81"/>
    <w:rsid w:val="00183F9A"/>
    <w:rsid w:val="001841B5"/>
    <w:rsid w:val="00185629"/>
    <w:rsid w:val="0019021C"/>
    <w:rsid w:val="00190C05"/>
    <w:rsid w:val="00191238"/>
    <w:rsid w:val="00192A76"/>
    <w:rsid w:val="001954F5"/>
    <w:rsid w:val="00197545"/>
    <w:rsid w:val="001A2CD9"/>
    <w:rsid w:val="001A34CC"/>
    <w:rsid w:val="001A3B38"/>
    <w:rsid w:val="001A622E"/>
    <w:rsid w:val="001B0767"/>
    <w:rsid w:val="001B26A5"/>
    <w:rsid w:val="001B311E"/>
    <w:rsid w:val="001B37EC"/>
    <w:rsid w:val="001B70FC"/>
    <w:rsid w:val="001C0114"/>
    <w:rsid w:val="001C0805"/>
    <w:rsid w:val="001C2CEA"/>
    <w:rsid w:val="001C4856"/>
    <w:rsid w:val="001C5A6F"/>
    <w:rsid w:val="001C5EAA"/>
    <w:rsid w:val="001C6D91"/>
    <w:rsid w:val="001C7099"/>
    <w:rsid w:val="001C7724"/>
    <w:rsid w:val="001C79CE"/>
    <w:rsid w:val="001D1B18"/>
    <w:rsid w:val="001D2398"/>
    <w:rsid w:val="001D287B"/>
    <w:rsid w:val="001D33BE"/>
    <w:rsid w:val="001D35F5"/>
    <w:rsid w:val="001D3866"/>
    <w:rsid w:val="001D4108"/>
    <w:rsid w:val="001D4279"/>
    <w:rsid w:val="001D4960"/>
    <w:rsid w:val="001E1DEB"/>
    <w:rsid w:val="001E4327"/>
    <w:rsid w:val="001E50C3"/>
    <w:rsid w:val="001E5BF5"/>
    <w:rsid w:val="001E75EC"/>
    <w:rsid w:val="001E78DB"/>
    <w:rsid w:val="001E7B48"/>
    <w:rsid w:val="001E7E6E"/>
    <w:rsid w:val="001F36AA"/>
    <w:rsid w:val="001F3727"/>
    <w:rsid w:val="001F37F7"/>
    <w:rsid w:val="001F4B37"/>
    <w:rsid w:val="001F6C30"/>
    <w:rsid w:val="0020041F"/>
    <w:rsid w:val="0020088C"/>
    <w:rsid w:val="00200F0A"/>
    <w:rsid w:val="0020179E"/>
    <w:rsid w:val="00201DDC"/>
    <w:rsid w:val="00201E4D"/>
    <w:rsid w:val="00203A30"/>
    <w:rsid w:val="00206817"/>
    <w:rsid w:val="00207783"/>
    <w:rsid w:val="00207F3E"/>
    <w:rsid w:val="00210172"/>
    <w:rsid w:val="002102A7"/>
    <w:rsid w:val="00210568"/>
    <w:rsid w:val="002114E0"/>
    <w:rsid w:val="002114E4"/>
    <w:rsid w:val="002122ED"/>
    <w:rsid w:val="00215179"/>
    <w:rsid w:val="00220318"/>
    <w:rsid w:val="00220337"/>
    <w:rsid w:val="00220C4F"/>
    <w:rsid w:val="00220F4B"/>
    <w:rsid w:val="00221530"/>
    <w:rsid w:val="002219E5"/>
    <w:rsid w:val="00221FCE"/>
    <w:rsid w:val="00222B21"/>
    <w:rsid w:val="00223022"/>
    <w:rsid w:val="002239C4"/>
    <w:rsid w:val="00224629"/>
    <w:rsid w:val="00224DCB"/>
    <w:rsid w:val="002261C0"/>
    <w:rsid w:val="00231330"/>
    <w:rsid w:val="00232088"/>
    <w:rsid w:val="00233351"/>
    <w:rsid w:val="002337E0"/>
    <w:rsid w:val="002355BD"/>
    <w:rsid w:val="0023561D"/>
    <w:rsid w:val="00235D6C"/>
    <w:rsid w:val="00241828"/>
    <w:rsid w:val="002460B2"/>
    <w:rsid w:val="00247FC3"/>
    <w:rsid w:val="00250E46"/>
    <w:rsid w:val="00251131"/>
    <w:rsid w:val="002518B4"/>
    <w:rsid w:val="00251D61"/>
    <w:rsid w:val="00253135"/>
    <w:rsid w:val="00254B38"/>
    <w:rsid w:val="002553E5"/>
    <w:rsid w:val="00255EEF"/>
    <w:rsid w:val="00257E31"/>
    <w:rsid w:val="002614FF"/>
    <w:rsid w:val="00262461"/>
    <w:rsid w:val="00264398"/>
    <w:rsid w:val="00265658"/>
    <w:rsid w:val="002658C0"/>
    <w:rsid w:val="002667D4"/>
    <w:rsid w:val="00267DA3"/>
    <w:rsid w:val="002743BE"/>
    <w:rsid w:val="00277918"/>
    <w:rsid w:val="0028085B"/>
    <w:rsid w:val="0028094F"/>
    <w:rsid w:val="002812C2"/>
    <w:rsid w:val="00281333"/>
    <w:rsid w:val="002813D7"/>
    <w:rsid w:val="002817AA"/>
    <w:rsid w:val="00282EAC"/>
    <w:rsid w:val="0028532A"/>
    <w:rsid w:val="0028723C"/>
    <w:rsid w:val="00291DA0"/>
    <w:rsid w:val="002926AC"/>
    <w:rsid w:val="00292726"/>
    <w:rsid w:val="00292A25"/>
    <w:rsid w:val="002931DC"/>
    <w:rsid w:val="00293A0A"/>
    <w:rsid w:val="0029452B"/>
    <w:rsid w:val="00296D34"/>
    <w:rsid w:val="00297821"/>
    <w:rsid w:val="00297D01"/>
    <w:rsid w:val="002A0696"/>
    <w:rsid w:val="002A0E48"/>
    <w:rsid w:val="002A1142"/>
    <w:rsid w:val="002A5CF9"/>
    <w:rsid w:val="002A6276"/>
    <w:rsid w:val="002A62A8"/>
    <w:rsid w:val="002A68C4"/>
    <w:rsid w:val="002B20BA"/>
    <w:rsid w:val="002B2896"/>
    <w:rsid w:val="002B2938"/>
    <w:rsid w:val="002B4F2D"/>
    <w:rsid w:val="002B6D54"/>
    <w:rsid w:val="002B6EDD"/>
    <w:rsid w:val="002B701C"/>
    <w:rsid w:val="002C001F"/>
    <w:rsid w:val="002C1A2B"/>
    <w:rsid w:val="002C2211"/>
    <w:rsid w:val="002C332B"/>
    <w:rsid w:val="002C4E55"/>
    <w:rsid w:val="002C7394"/>
    <w:rsid w:val="002D0F6E"/>
    <w:rsid w:val="002D15C7"/>
    <w:rsid w:val="002D19F1"/>
    <w:rsid w:val="002D2BAB"/>
    <w:rsid w:val="002D2E44"/>
    <w:rsid w:val="002D34D3"/>
    <w:rsid w:val="002D3A96"/>
    <w:rsid w:val="002D41EB"/>
    <w:rsid w:val="002D4EE4"/>
    <w:rsid w:val="002D5D79"/>
    <w:rsid w:val="002D7C49"/>
    <w:rsid w:val="002E08EA"/>
    <w:rsid w:val="002E0AF3"/>
    <w:rsid w:val="002E2EB1"/>
    <w:rsid w:val="002E5340"/>
    <w:rsid w:val="002E5E14"/>
    <w:rsid w:val="002E6ABC"/>
    <w:rsid w:val="002F025A"/>
    <w:rsid w:val="002F48D5"/>
    <w:rsid w:val="002F59A8"/>
    <w:rsid w:val="002F5EE3"/>
    <w:rsid w:val="002F60BE"/>
    <w:rsid w:val="002F63F2"/>
    <w:rsid w:val="0030268F"/>
    <w:rsid w:val="00302CCE"/>
    <w:rsid w:val="00303A93"/>
    <w:rsid w:val="00303D4A"/>
    <w:rsid w:val="0030786B"/>
    <w:rsid w:val="00311066"/>
    <w:rsid w:val="003110AB"/>
    <w:rsid w:val="0031159B"/>
    <w:rsid w:val="00311893"/>
    <w:rsid w:val="00312394"/>
    <w:rsid w:val="00313B2B"/>
    <w:rsid w:val="003168F1"/>
    <w:rsid w:val="00321D5A"/>
    <w:rsid w:val="00324878"/>
    <w:rsid w:val="00324CCF"/>
    <w:rsid w:val="00327518"/>
    <w:rsid w:val="00332AAD"/>
    <w:rsid w:val="003339F5"/>
    <w:rsid w:val="003362DA"/>
    <w:rsid w:val="003364FF"/>
    <w:rsid w:val="00341719"/>
    <w:rsid w:val="00342210"/>
    <w:rsid w:val="00346649"/>
    <w:rsid w:val="00346FE8"/>
    <w:rsid w:val="0035174A"/>
    <w:rsid w:val="00353322"/>
    <w:rsid w:val="00353C34"/>
    <w:rsid w:val="003570BD"/>
    <w:rsid w:val="00357F15"/>
    <w:rsid w:val="003610D1"/>
    <w:rsid w:val="00363B79"/>
    <w:rsid w:val="00364D58"/>
    <w:rsid w:val="00370110"/>
    <w:rsid w:val="00370288"/>
    <w:rsid w:val="0037052A"/>
    <w:rsid w:val="003712DE"/>
    <w:rsid w:val="00372443"/>
    <w:rsid w:val="003745C3"/>
    <w:rsid w:val="00374671"/>
    <w:rsid w:val="00374AB0"/>
    <w:rsid w:val="003766D7"/>
    <w:rsid w:val="00381538"/>
    <w:rsid w:val="003815F1"/>
    <w:rsid w:val="00381976"/>
    <w:rsid w:val="00386951"/>
    <w:rsid w:val="003874BC"/>
    <w:rsid w:val="00387974"/>
    <w:rsid w:val="00390216"/>
    <w:rsid w:val="00390B79"/>
    <w:rsid w:val="003913F5"/>
    <w:rsid w:val="00391818"/>
    <w:rsid w:val="003924AD"/>
    <w:rsid w:val="00393A49"/>
    <w:rsid w:val="003A01CC"/>
    <w:rsid w:val="003A3C41"/>
    <w:rsid w:val="003A4880"/>
    <w:rsid w:val="003A4D9C"/>
    <w:rsid w:val="003B07C1"/>
    <w:rsid w:val="003B0B60"/>
    <w:rsid w:val="003B1642"/>
    <w:rsid w:val="003B2283"/>
    <w:rsid w:val="003B2F44"/>
    <w:rsid w:val="003B33B4"/>
    <w:rsid w:val="003B37A3"/>
    <w:rsid w:val="003B3E3C"/>
    <w:rsid w:val="003B4D22"/>
    <w:rsid w:val="003B6009"/>
    <w:rsid w:val="003B68A8"/>
    <w:rsid w:val="003B755B"/>
    <w:rsid w:val="003B7586"/>
    <w:rsid w:val="003C1AEF"/>
    <w:rsid w:val="003C2ADB"/>
    <w:rsid w:val="003C2B11"/>
    <w:rsid w:val="003C4056"/>
    <w:rsid w:val="003C4833"/>
    <w:rsid w:val="003C5EB7"/>
    <w:rsid w:val="003C5F95"/>
    <w:rsid w:val="003D2AB2"/>
    <w:rsid w:val="003D32A1"/>
    <w:rsid w:val="003D360E"/>
    <w:rsid w:val="003D3B6F"/>
    <w:rsid w:val="003D4E76"/>
    <w:rsid w:val="003D5496"/>
    <w:rsid w:val="003D6109"/>
    <w:rsid w:val="003E0018"/>
    <w:rsid w:val="003E0E48"/>
    <w:rsid w:val="003E1FC5"/>
    <w:rsid w:val="003E569C"/>
    <w:rsid w:val="003E5F2A"/>
    <w:rsid w:val="003E6DD4"/>
    <w:rsid w:val="003E78F9"/>
    <w:rsid w:val="003F21E0"/>
    <w:rsid w:val="003F3477"/>
    <w:rsid w:val="003F4971"/>
    <w:rsid w:val="003F4BAB"/>
    <w:rsid w:val="003F4D4E"/>
    <w:rsid w:val="00400746"/>
    <w:rsid w:val="0040128E"/>
    <w:rsid w:val="00401D11"/>
    <w:rsid w:val="00403950"/>
    <w:rsid w:val="00405DEA"/>
    <w:rsid w:val="00406ECD"/>
    <w:rsid w:val="004075BD"/>
    <w:rsid w:val="0040796C"/>
    <w:rsid w:val="004079A7"/>
    <w:rsid w:val="00407B22"/>
    <w:rsid w:val="00407D90"/>
    <w:rsid w:val="004104D8"/>
    <w:rsid w:val="004106E9"/>
    <w:rsid w:val="00411EE1"/>
    <w:rsid w:val="00413568"/>
    <w:rsid w:val="00413CE7"/>
    <w:rsid w:val="00413ED7"/>
    <w:rsid w:val="00416B89"/>
    <w:rsid w:val="004225A4"/>
    <w:rsid w:val="00422B77"/>
    <w:rsid w:val="00425E4D"/>
    <w:rsid w:val="004300F1"/>
    <w:rsid w:val="00430FFC"/>
    <w:rsid w:val="00431500"/>
    <w:rsid w:val="004317B9"/>
    <w:rsid w:val="004319DA"/>
    <w:rsid w:val="00432771"/>
    <w:rsid w:val="00432CD6"/>
    <w:rsid w:val="00432F60"/>
    <w:rsid w:val="00433746"/>
    <w:rsid w:val="00437D8B"/>
    <w:rsid w:val="00440F08"/>
    <w:rsid w:val="00441C6B"/>
    <w:rsid w:val="00441D81"/>
    <w:rsid w:val="004442C5"/>
    <w:rsid w:val="00445B07"/>
    <w:rsid w:val="00446037"/>
    <w:rsid w:val="00446C33"/>
    <w:rsid w:val="004523FB"/>
    <w:rsid w:val="00461394"/>
    <w:rsid w:val="00461F4E"/>
    <w:rsid w:val="004655C5"/>
    <w:rsid w:val="00465F35"/>
    <w:rsid w:val="004710D5"/>
    <w:rsid w:val="00471C35"/>
    <w:rsid w:val="00473483"/>
    <w:rsid w:val="0047378D"/>
    <w:rsid w:val="00473A13"/>
    <w:rsid w:val="00473AAF"/>
    <w:rsid w:val="00473E87"/>
    <w:rsid w:val="0047444E"/>
    <w:rsid w:val="00475ED4"/>
    <w:rsid w:val="004766FB"/>
    <w:rsid w:val="0048005B"/>
    <w:rsid w:val="0048046D"/>
    <w:rsid w:val="0048065E"/>
    <w:rsid w:val="004812E7"/>
    <w:rsid w:val="004818A9"/>
    <w:rsid w:val="0048191E"/>
    <w:rsid w:val="004825FE"/>
    <w:rsid w:val="004843FB"/>
    <w:rsid w:val="00485BF1"/>
    <w:rsid w:val="00485C9C"/>
    <w:rsid w:val="004876F0"/>
    <w:rsid w:val="004905F1"/>
    <w:rsid w:val="0049123B"/>
    <w:rsid w:val="00491930"/>
    <w:rsid w:val="00491EA4"/>
    <w:rsid w:val="00494F70"/>
    <w:rsid w:val="004954EE"/>
    <w:rsid w:val="0049588F"/>
    <w:rsid w:val="00496961"/>
    <w:rsid w:val="00497C17"/>
    <w:rsid w:val="004A0304"/>
    <w:rsid w:val="004A0D3E"/>
    <w:rsid w:val="004A7E7D"/>
    <w:rsid w:val="004B0A01"/>
    <w:rsid w:val="004B1673"/>
    <w:rsid w:val="004B2310"/>
    <w:rsid w:val="004B2A65"/>
    <w:rsid w:val="004B49F6"/>
    <w:rsid w:val="004B4E19"/>
    <w:rsid w:val="004B56EF"/>
    <w:rsid w:val="004B78C6"/>
    <w:rsid w:val="004C6120"/>
    <w:rsid w:val="004C61C9"/>
    <w:rsid w:val="004C6FFD"/>
    <w:rsid w:val="004C76E6"/>
    <w:rsid w:val="004D0B56"/>
    <w:rsid w:val="004D22ED"/>
    <w:rsid w:val="004D2432"/>
    <w:rsid w:val="004D2D89"/>
    <w:rsid w:val="004D438D"/>
    <w:rsid w:val="004D50E7"/>
    <w:rsid w:val="004D51D9"/>
    <w:rsid w:val="004D5600"/>
    <w:rsid w:val="004D7BFF"/>
    <w:rsid w:val="004E5C29"/>
    <w:rsid w:val="004E6FA8"/>
    <w:rsid w:val="004F5584"/>
    <w:rsid w:val="005009B4"/>
    <w:rsid w:val="00505844"/>
    <w:rsid w:val="00507290"/>
    <w:rsid w:val="00514317"/>
    <w:rsid w:val="00514C37"/>
    <w:rsid w:val="005171A9"/>
    <w:rsid w:val="005174A6"/>
    <w:rsid w:val="00517C7C"/>
    <w:rsid w:val="005204BA"/>
    <w:rsid w:val="00521033"/>
    <w:rsid w:val="00521216"/>
    <w:rsid w:val="00521A3F"/>
    <w:rsid w:val="00522217"/>
    <w:rsid w:val="00523159"/>
    <w:rsid w:val="005244F6"/>
    <w:rsid w:val="00526214"/>
    <w:rsid w:val="00530533"/>
    <w:rsid w:val="0053115A"/>
    <w:rsid w:val="00531519"/>
    <w:rsid w:val="00532402"/>
    <w:rsid w:val="00532549"/>
    <w:rsid w:val="005366CC"/>
    <w:rsid w:val="0054028F"/>
    <w:rsid w:val="00540A1E"/>
    <w:rsid w:val="005412A6"/>
    <w:rsid w:val="005421D6"/>
    <w:rsid w:val="0054243F"/>
    <w:rsid w:val="00542497"/>
    <w:rsid w:val="00542CA9"/>
    <w:rsid w:val="00543D9D"/>
    <w:rsid w:val="0054547A"/>
    <w:rsid w:val="00545DEE"/>
    <w:rsid w:val="005467C2"/>
    <w:rsid w:val="00547484"/>
    <w:rsid w:val="00547A1A"/>
    <w:rsid w:val="005519F7"/>
    <w:rsid w:val="00551FD3"/>
    <w:rsid w:val="0055566B"/>
    <w:rsid w:val="00555EC5"/>
    <w:rsid w:val="00562CBF"/>
    <w:rsid w:val="00564052"/>
    <w:rsid w:val="00564100"/>
    <w:rsid w:val="00565294"/>
    <w:rsid w:val="005668D7"/>
    <w:rsid w:val="00566B28"/>
    <w:rsid w:val="005673F8"/>
    <w:rsid w:val="00567980"/>
    <w:rsid w:val="00570971"/>
    <w:rsid w:val="00571067"/>
    <w:rsid w:val="00571963"/>
    <w:rsid w:val="00572A42"/>
    <w:rsid w:val="00573C41"/>
    <w:rsid w:val="0057454A"/>
    <w:rsid w:val="0057589A"/>
    <w:rsid w:val="00575C5C"/>
    <w:rsid w:val="0057715F"/>
    <w:rsid w:val="0058041C"/>
    <w:rsid w:val="00581454"/>
    <w:rsid w:val="005860BC"/>
    <w:rsid w:val="00586DCB"/>
    <w:rsid w:val="00593798"/>
    <w:rsid w:val="00594B99"/>
    <w:rsid w:val="00595738"/>
    <w:rsid w:val="00595C43"/>
    <w:rsid w:val="005961E9"/>
    <w:rsid w:val="00597926"/>
    <w:rsid w:val="005A0009"/>
    <w:rsid w:val="005A1498"/>
    <w:rsid w:val="005A2081"/>
    <w:rsid w:val="005A2778"/>
    <w:rsid w:val="005A33ED"/>
    <w:rsid w:val="005A79CC"/>
    <w:rsid w:val="005A7DD4"/>
    <w:rsid w:val="005B115B"/>
    <w:rsid w:val="005B12BB"/>
    <w:rsid w:val="005B2491"/>
    <w:rsid w:val="005B2572"/>
    <w:rsid w:val="005B494B"/>
    <w:rsid w:val="005B6B0F"/>
    <w:rsid w:val="005B7075"/>
    <w:rsid w:val="005B7713"/>
    <w:rsid w:val="005C1074"/>
    <w:rsid w:val="005C10DA"/>
    <w:rsid w:val="005C139A"/>
    <w:rsid w:val="005C167B"/>
    <w:rsid w:val="005C2E42"/>
    <w:rsid w:val="005C3E6D"/>
    <w:rsid w:val="005C3EC3"/>
    <w:rsid w:val="005C3F69"/>
    <w:rsid w:val="005C68D8"/>
    <w:rsid w:val="005D0F29"/>
    <w:rsid w:val="005D15E3"/>
    <w:rsid w:val="005D259F"/>
    <w:rsid w:val="005D4B85"/>
    <w:rsid w:val="005D502B"/>
    <w:rsid w:val="005D581A"/>
    <w:rsid w:val="005E2507"/>
    <w:rsid w:val="005E2AB8"/>
    <w:rsid w:val="005E3561"/>
    <w:rsid w:val="005E385C"/>
    <w:rsid w:val="005E415A"/>
    <w:rsid w:val="005E49B6"/>
    <w:rsid w:val="005E51B2"/>
    <w:rsid w:val="005E7A4B"/>
    <w:rsid w:val="005F0117"/>
    <w:rsid w:val="005F05B1"/>
    <w:rsid w:val="005F52A5"/>
    <w:rsid w:val="005F5C0D"/>
    <w:rsid w:val="005F6137"/>
    <w:rsid w:val="005F6785"/>
    <w:rsid w:val="005F6B0F"/>
    <w:rsid w:val="006002DB"/>
    <w:rsid w:val="006025EE"/>
    <w:rsid w:val="00606422"/>
    <w:rsid w:val="0060759D"/>
    <w:rsid w:val="006105D9"/>
    <w:rsid w:val="00611A92"/>
    <w:rsid w:val="00612500"/>
    <w:rsid w:val="00616C07"/>
    <w:rsid w:val="00621217"/>
    <w:rsid w:val="00624E14"/>
    <w:rsid w:val="00625E5E"/>
    <w:rsid w:val="00626BA2"/>
    <w:rsid w:val="00627307"/>
    <w:rsid w:val="00630789"/>
    <w:rsid w:val="00631126"/>
    <w:rsid w:val="006315B3"/>
    <w:rsid w:val="00631B64"/>
    <w:rsid w:val="00631FA3"/>
    <w:rsid w:val="00633BFF"/>
    <w:rsid w:val="006356B7"/>
    <w:rsid w:val="00635929"/>
    <w:rsid w:val="006364BE"/>
    <w:rsid w:val="0063775E"/>
    <w:rsid w:val="006412A3"/>
    <w:rsid w:val="00643B62"/>
    <w:rsid w:val="00646207"/>
    <w:rsid w:val="00647695"/>
    <w:rsid w:val="00647F47"/>
    <w:rsid w:val="00651659"/>
    <w:rsid w:val="0065235C"/>
    <w:rsid w:val="00652C6E"/>
    <w:rsid w:val="0065426A"/>
    <w:rsid w:val="006551E0"/>
    <w:rsid w:val="00655E33"/>
    <w:rsid w:val="006602A2"/>
    <w:rsid w:val="00661113"/>
    <w:rsid w:val="00663313"/>
    <w:rsid w:val="00665553"/>
    <w:rsid w:val="0067052C"/>
    <w:rsid w:val="00670EA6"/>
    <w:rsid w:val="00674962"/>
    <w:rsid w:val="006755F7"/>
    <w:rsid w:val="006756DD"/>
    <w:rsid w:val="00682D9A"/>
    <w:rsid w:val="00683EDD"/>
    <w:rsid w:val="00685F9B"/>
    <w:rsid w:val="006869C4"/>
    <w:rsid w:val="006869FA"/>
    <w:rsid w:val="00694E92"/>
    <w:rsid w:val="00695458"/>
    <w:rsid w:val="00695C84"/>
    <w:rsid w:val="00695F0C"/>
    <w:rsid w:val="00695FA0"/>
    <w:rsid w:val="006978F9"/>
    <w:rsid w:val="006A0160"/>
    <w:rsid w:val="006A3351"/>
    <w:rsid w:val="006A438F"/>
    <w:rsid w:val="006A6208"/>
    <w:rsid w:val="006A6BDB"/>
    <w:rsid w:val="006B0099"/>
    <w:rsid w:val="006B038C"/>
    <w:rsid w:val="006B13D3"/>
    <w:rsid w:val="006B3137"/>
    <w:rsid w:val="006B37CF"/>
    <w:rsid w:val="006B68F8"/>
    <w:rsid w:val="006B7DB5"/>
    <w:rsid w:val="006C1FFB"/>
    <w:rsid w:val="006C3023"/>
    <w:rsid w:val="006D15A7"/>
    <w:rsid w:val="006D37BC"/>
    <w:rsid w:val="006D45CA"/>
    <w:rsid w:val="006D58EA"/>
    <w:rsid w:val="006D79CD"/>
    <w:rsid w:val="006E186E"/>
    <w:rsid w:val="006E3E3B"/>
    <w:rsid w:val="006E3FF1"/>
    <w:rsid w:val="006E5418"/>
    <w:rsid w:val="006E553C"/>
    <w:rsid w:val="006F0224"/>
    <w:rsid w:val="006F1720"/>
    <w:rsid w:val="006F2091"/>
    <w:rsid w:val="006F2861"/>
    <w:rsid w:val="006F2875"/>
    <w:rsid w:val="006F3333"/>
    <w:rsid w:val="006F5018"/>
    <w:rsid w:val="006F527D"/>
    <w:rsid w:val="006F5343"/>
    <w:rsid w:val="006F6E4E"/>
    <w:rsid w:val="00700FDA"/>
    <w:rsid w:val="007010BE"/>
    <w:rsid w:val="00701F11"/>
    <w:rsid w:val="00703233"/>
    <w:rsid w:val="00703669"/>
    <w:rsid w:val="00704A70"/>
    <w:rsid w:val="00704FF1"/>
    <w:rsid w:val="00705130"/>
    <w:rsid w:val="00712C6A"/>
    <w:rsid w:val="00714C8C"/>
    <w:rsid w:val="007151A3"/>
    <w:rsid w:val="00716EED"/>
    <w:rsid w:val="00717ACE"/>
    <w:rsid w:val="00721FCC"/>
    <w:rsid w:val="00726D9E"/>
    <w:rsid w:val="007307B0"/>
    <w:rsid w:val="0073081F"/>
    <w:rsid w:val="00730CF1"/>
    <w:rsid w:val="0073312A"/>
    <w:rsid w:val="007409BD"/>
    <w:rsid w:val="00740C0E"/>
    <w:rsid w:val="007431CB"/>
    <w:rsid w:val="00743311"/>
    <w:rsid w:val="00743AA7"/>
    <w:rsid w:val="00745D8E"/>
    <w:rsid w:val="0074623E"/>
    <w:rsid w:val="007462CD"/>
    <w:rsid w:val="00747D9E"/>
    <w:rsid w:val="00751A5F"/>
    <w:rsid w:val="0075399C"/>
    <w:rsid w:val="007566A7"/>
    <w:rsid w:val="00756B95"/>
    <w:rsid w:val="00757C4B"/>
    <w:rsid w:val="00760D5B"/>
    <w:rsid w:val="00761539"/>
    <w:rsid w:val="00766519"/>
    <w:rsid w:val="00767E58"/>
    <w:rsid w:val="0077094F"/>
    <w:rsid w:val="00770A8B"/>
    <w:rsid w:val="00772F4B"/>
    <w:rsid w:val="00774131"/>
    <w:rsid w:val="00775925"/>
    <w:rsid w:val="007762CF"/>
    <w:rsid w:val="00776DF6"/>
    <w:rsid w:val="00777DEE"/>
    <w:rsid w:val="00782108"/>
    <w:rsid w:val="007821EC"/>
    <w:rsid w:val="00783AF0"/>
    <w:rsid w:val="007853D7"/>
    <w:rsid w:val="00787961"/>
    <w:rsid w:val="007A0814"/>
    <w:rsid w:val="007A0D71"/>
    <w:rsid w:val="007A210A"/>
    <w:rsid w:val="007A223D"/>
    <w:rsid w:val="007A23C8"/>
    <w:rsid w:val="007A315C"/>
    <w:rsid w:val="007A3970"/>
    <w:rsid w:val="007A49B9"/>
    <w:rsid w:val="007A5C64"/>
    <w:rsid w:val="007A70FB"/>
    <w:rsid w:val="007A7C6D"/>
    <w:rsid w:val="007B1D4F"/>
    <w:rsid w:val="007B231C"/>
    <w:rsid w:val="007B2DB3"/>
    <w:rsid w:val="007B3FCA"/>
    <w:rsid w:val="007B5014"/>
    <w:rsid w:val="007B6758"/>
    <w:rsid w:val="007B7BBD"/>
    <w:rsid w:val="007C005E"/>
    <w:rsid w:val="007C1E58"/>
    <w:rsid w:val="007C31DF"/>
    <w:rsid w:val="007C4AAD"/>
    <w:rsid w:val="007C51E1"/>
    <w:rsid w:val="007C66BE"/>
    <w:rsid w:val="007C6B3F"/>
    <w:rsid w:val="007C7FCB"/>
    <w:rsid w:val="007D189D"/>
    <w:rsid w:val="007D1E14"/>
    <w:rsid w:val="007D3BEC"/>
    <w:rsid w:val="007D5B7A"/>
    <w:rsid w:val="007D65A0"/>
    <w:rsid w:val="007E24B2"/>
    <w:rsid w:val="007E29C4"/>
    <w:rsid w:val="007E5792"/>
    <w:rsid w:val="007E7313"/>
    <w:rsid w:val="007E7E05"/>
    <w:rsid w:val="007F0A38"/>
    <w:rsid w:val="007F12FB"/>
    <w:rsid w:val="007F4415"/>
    <w:rsid w:val="007F6F9E"/>
    <w:rsid w:val="00800E60"/>
    <w:rsid w:val="008021AA"/>
    <w:rsid w:val="00803B61"/>
    <w:rsid w:val="00803E40"/>
    <w:rsid w:val="00810A0D"/>
    <w:rsid w:val="00810A9C"/>
    <w:rsid w:val="00814E82"/>
    <w:rsid w:val="0081551A"/>
    <w:rsid w:val="00817300"/>
    <w:rsid w:val="00820444"/>
    <w:rsid w:val="008204FE"/>
    <w:rsid w:val="00822B1B"/>
    <w:rsid w:val="00830F39"/>
    <w:rsid w:val="008315BA"/>
    <w:rsid w:val="00831976"/>
    <w:rsid w:val="00832067"/>
    <w:rsid w:val="00832689"/>
    <w:rsid w:val="00835A3D"/>
    <w:rsid w:val="00843BA8"/>
    <w:rsid w:val="00850300"/>
    <w:rsid w:val="00850F12"/>
    <w:rsid w:val="00852168"/>
    <w:rsid w:val="0085477B"/>
    <w:rsid w:val="00855153"/>
    <w:rsid w:val="008551CE"/>
    <w:rsid w:val="00860E94"/>
    <w:rsid w:val="00862328"/>
    <w:rsid w:val="00862769"/>
    <w:rsid w:val="0086284F"/>
    <w:rsid w:val="008634F6"/>
    <w:rsid w:val="0086371A"/>
    <w:rsid w:val="008651C6"/>
    <w:rsid w:val="00867568"/>
    <w:rsid w:val="0086797B"/>
    <w:rsid w:val="00867A64"/>
    <w:rsid w:val="00870107"/>
    <w:rsid w:val="00872C3A"/>
    <w:rsid w:val="00874BA5"/>
    <w:rsid w:val="00874E50"/>
    <w:rsid w:val="0087771D"/>
    <w:rsid w:val="00877FE3"/>
    <w:rsid w:val="008850C7"/>
    <w:rsid w:val="0088523D"/>
    <w:rsid w:val="0088534B"/>
    <w:rsid w:val="00886B8A"/>
    <w:rsid w:val="00887470"/>
    <w:rsid w:val="008875D2"/>
    <w:rsid w:val="00887A78"/>
    <w:rsid w:val="00892119"/>
    <w:rsid w:val="0089215D"/>
    <w:rsid w:val="008928BC"/>
    <w:rsid w:val="00892FEA"/>
    <w:rsid w:val="00895102"/>
    <w:rsid w:val="00895669"/>
    <w:rsid w:val="00895B6A"/>
    <w:rsid w:val="00896B0F"/>
    <w:rsid w:val="008A11D3"/>
    <w:rsid w:val="008A2174"/>
    <w:rsid w:val="008A28E4"/>
    <w:rsid w:val="008A2B2A"/>
    <w:rsid w:val="008A481E"/>
    <w:rsid w:val="008A556A"/>
    <w:rsid w:val="008A5AC2"/>
    <w:rsid w:val="008A7300"/>
    <w:rsid w:val="008A7820"/>
    <w:rsid w:val="008B4C96"/>
    <w:rsid w:val="008B4D01"/>
    <w:rsid w:val="008B66AF"/>
    <w:rsid w:val="008C2CF2"/>
    <w:rsid w:val="008C3C9E"/>
    <w:rsid w:val="008C3E60"/>
    <w:rsid w:val="008D0F8B"/>
    <w:rsid w:val="008D16C0"/>
    <w:rsid w:val="008D189C"/>
    <w:rsid w:val="008D19D9"/>
    <w:rsid w:val="008D1FFC"/>
    <w:rsid w:val="008D2C93"/>
    <w:rsid w:val="008D5231"/>
    <w:rsid w:val="008D7D4B"/>
    <w:rsid w:val="008E00B5"/>
    <w:rsid w:val="008E0A89"/>
    <w:rsid w:val="008E22B6"/>
    <w:rsid w:val="008E3267"/>
    <w:rsid w:val="008E53EA"/>
    <w:rsid w:val="008E5AED"/>
    <w:rsid w:val="008E626F"/>
    <w:rsid w:val="008E75CB"/>
    <w:rsid w:val="008F0410"/>
    <w:rsid w:val="008F3083"/>
    <w:rsid w:val="008F3779"/>
    <w:rsid w:val="008F4AE1"/>
    <w:rsid w:val="008F53DD"/>
    <w:rsid w:val="008F56DA"/>
    <w:rsid w:val="008F6E20"/>
    <w:rsid w:val="00901619"/>
    <w:rsid w:val="00902C1B"/>
    <w:rsid w:val="0090551D"/>
    <w:rsid w:val="00905A72"/>
    <w:rsid w:val="00905E95"/>
    <w:rsid w:val="0090736F"/>
    <w:rsid w:val="00907A32"/>
    <w:rsid w:val="009100EB"/>
    <w:rsid w:val="0091281D"/>
    <w:rsid w:val="00912D36"/>
    <w:rsid w:val="00913476"/>
    <w:rsid w:val="00916989"/>
    <w:rsid w:val="0092042A"/>
    <w:rsid w:val="009213C6"/>
    <w:rsid w:val="0092228D"/>
    <w:rsid w:val="00931A04"/>
    <w:rsid w:val="00932DA9"/>
    <w:rsid w:val="009337EB"/>
    <w:rsid w:val="009343DA"/>
    <w:rsid w:val="00936D6A"/>
    <w:rsid w:val="00936DE7"/>
    <w:rsid w:val="00937BE5"/>
    <w:rsid w:val="00937D26"/>
    <w:rsid w:val="00942051"/>
    <w:rsid w:val="0094213A"/>
    <w:rsid w:val="00943D11"/>
    <w:rsid w:val="009444FF"/>
    <w:rsid w:val="00950032"/>
    <w:rsid w:val="00950C3B"/>
    <w:rsid w:val="00953E25"/>
    <w:rsid w:val="009558FE"/>
    <w:rsid w:val="00956522"/>
    <w:rsid w:val="00956FFA"/>
    <w:rsid w:val="00961F65"/>
    <w:rsid w:val="00962DE8"/>
    <w:rsid w:val="0096495B"/>
    <w:rsid w:val="00965C10"/>
    <w:rsid w:val="00965E82"/>
    <w:rsid w:val="00971493"/>
    <w:rsid w:val="0097161B"/>
    <w:rsid w:val="00972127"/>
    <w:rsid w:val="00973577"/>
    <w:rsid w:val="00975AFF"/>
    <w:rsid w:val="00976DD4"/>
    <w:rsid w:val="00981107"/>
    <w:rsid w:val="00981F50"/>
    <w:rsid w:val="00981FF2"/>
    <w:rsid w:val="00984FC9"/>
    <w:rsid w:val="0098584D"/>
    <w:rsid w:val="00986C57"/>
    <w:rsid w:val="0098706B"/>
    <w:rsid w:val="009903BA"/>
    <w:rsid w:val="00991247"/>
    <w:rsid w:val="00992010"/>
    <w:rsid w:val="00992754"/>
    <w:rsid w:val="0099408E"/>
    <w:rsid w:val="009952EF"/>
    <w:rsid w:val="00996408"/>
    <w:rsid w:val="009A0E05"/>
    <w:rsid w:val="009A10F8"/>
    <w:rsid w:val="009A3422"/>
    <w:rsid w:val="009A3BE6"/>
    <w:rsid w:val="009A4BCA"/>
    <w:rsid w:val="009A50EF"/>
    <w:rsid w:val="009A548B"/>
    <w:rsid w:val="009A5732"/>
    <w:rsid w:val="009A6124"/>
    <w:rsid w:val="009A703B"/>
    <w:rsid w:val="009B00F3"/>
    <w:rsid w:val="009B028C"/>
    <w:rsid w:val="009B2617"/>
    <w:rsid w:val="009B4746"/>
    <w:rsid w:val="009B4EEA"/>
    <w:rsid w:val="009B5488"/>
    <w:rsid w:val="009B5D0A"/>
    <w:rsid w:val="009B5D66"/>
    <w:rsid w:val="009B7798"/>
    <w:rsid w:val="009B77DD"/>
    <w:rsid w:val="009C0533"/>
    <w:rsid w:val="009C06A3"/>
    <w:rsid w:val="009C454F"/>
    <w:rsid w:val="009C5D8F"/>
    <w:rsid w:val="009C6724"/>
    <w:rsid w:val="009C6AA8"/>
    <w:rsid w:val="009C6AAF"/>
    <w:rsid w:val="009D1002"/>
    <w:rsid w:val="009D3582"/>
    <w:rsid w:val="009D44E3"/>
    <w:rsid w:val="009D5039"/>
    <w:rsid w:val="009D5746"/>
    <w:rsid w:val="009D59C9"/>
    <w:rsid w:val="009E027D"/>
    <w:rsid w:val="009E02C3"/>
    <w:rsid w:val="009E13C1"/>
    <w:rsid w:val="009E1941"/>
    <w:rsid w:val="009E2558"/>
    <w:rsid w:val="009E58E4"/>
    <w:rsid w:val="009E6B56"/>
    <w:rsid w:val="009E7D16"/>
    <w:rsid w:val="009F037A"/>
    <w:rsid w:val="009F095A"/>
    <w:rsid w:val="009F54F8"/>
    <w:rsid w:val="009F7A8E"/>
    <w:rsid w:val="00A019E6"/>
    <w:rsid w:val="00A021A9"/>
    <w:rsid w:val="00A03107"/>
    <w:rsid w:val="00A033A8"/>
    <w:rsid w:val="00A044AE"/>
    <w:rsid w:val="00A05C26"/>
    <w:rsid w:val="00A10689"/>
    <w:rsid w:val="00A10C65"/>
    <w:rsid w:val="00A11DDF"/>
    <w:rsid w:val="00A12CAE"/>
    <w:rsid w:val="00A1352F"/>
    <w:rsid w:val="00A1398F"/>
    <w:rsid w:val="00A14EDE"/>
    <w:rsid w:val="00A15502"/>
    <w:rsid w:val="00A20C10"/>
    <w:rsid w:val="00A23B15"/>
    <w:rsid w:val="00A2412B"/>
    <w:rsid w:val="00A26B7E"/>
    <w:rsid w:val="00A30BBF"/>
    <w:rsid w:val="00A320A3"/>
    <w:rsid w:val="00A344AC"/>
    <w:rsid w:val="00A34B9B"/>
    <w:rsid w:val="00A36187"/>
    <w:rsid w:val="00A370D8"/>
    <w:rsid w:val="00A375C9"/>
    <w:rsid w:val="00A41576"/>
    <w:rsid w:val="00A4427B"/>
    <w:rsid w:val="00A4769C"/>
    <w:rsid w:val="00A50591"/>
    <w:rsid w:val="00A50632"/>
    <w:rsid w:val="00A514B2"/>
    <w:rsid w:val="00A53A0A"/>
    <w:rsid w:val="00A56B13"/>
    <w:rsid w:val="00A61060"/>
    <w:rsid w:val="00A618DE"/>
    <w:rsid w:val="00A61E01"/>
    <w:rsid w:val="00A62205"/>
    <w:rsid w:val="00A62AFE"/>
    <w:rsid w:val="00A6326C"/>
    <w:rsid w:val="00A64DAB"/>
    <w:rsid w:val="00A66985"/>
    <w:rsid w:val="00A67D50"/>
    <w:rsid w:val="00A70456"/>
    <w:rsid w:val="00A7077C"/>
    <w:rsid w:val="00A771CD"/>
    <w:rsid w:val="00A86749"/>
    <w:rsid w:val="00A912E6"/>
    <w:rsid w:val="00A9163E"/>
    <w:rsid w:val="00A9530C"/>
    <w:rsid w:val="00A9591D"/>
    <w:rsid w:val="00A962C3"/>
    <w:rsid w:val="00A9661C"/>
    <w:rsid w:val="00AA2D90"/>
    <w:rsid w:val="00AA36A0"/>
    <w:rsid w:val="00AA40BA"/>
    <w:rsid w:val="00AA44B4"/>
    <w:rsid w:val="00AA546B"/>
    <w:rsid w:val="00AA55ED"/>
    <w:rsid w:val="00AA5DD7"/>
    <w:rsid w:val="00AA7AD8"/>
    <w:rsid w:val="00AA7CD1"/>
    <w:rsid w:val="00AB0647"/>
    <w:rsid w:val="00AB494E"/>
    <w:rsid w:val="00AB58CB"/>
    <w:rsid w:val="00AB6A90"/>
    <w:rsid w:val="00AC06B3"/>
    <w:rsid w:val="00AC2770"/>
    <w:rsid w:val="00AC32DB"/>
    <w:rsid w:val="00AC4901"/>
    <w:rsid w:val="00AC57AB"/>
    <w:rsid w:val="00AC6FC9"/>
    <w:rsid w:val="00AC72E5"/>
    <w:rsid w:val="00AC75BC"/>
    <w:rsid w:val="00AD1D34"/>
    <w:rsid w:val="00AD285D"/>
    <w:rsid w:val="00AD2AFD"/>
    <w:rsid w:val="00AD3071"/>
    <w:rsid w:val="00AD3A94"/>
    <w:rsid w:val="00AD3DAC"/>
    <w:rsid w:val="00AD477A"/>
    <w:rsid w:val="00AD5494"/>
    <w:rsid w:val="00AD7592"/>
    <w:rsid w:val="00AD79DD"/>
    <w:rsid w:val="00AE0565"/>
    <w:rsid w:val="00AE09CE"/>
    <w:rsid w:val="00AE12B4"/>
    <w:rsid w:val="00AE1E9B"/>
    <w:rsid w:val="00AE2502"/>
    <w:rsid w:val="00AE6347"/>
    <w:rsid w:val="00AE641A"/>
    <w:rsid w:val="00AE6710"/>
    <w:rsid w:val="00AE79C3"/>
    <w:rsid w:val="00AE7C54"/>
    <w:rsid w:val="00AF09C5"/>
    <w:rsid w:val="00AF1F59"/>
    <w:rsid w:val="00AF2317"/>
    <w:rsid w:val="00AF32A4"/>
    <w:rsid w:val="00AF48D4"/>
    <w:rsid w:val="00AF4D75"/>
    <w:rsid w:val="00B010B8"/>
    <w:rsid w:val="00B01218"/>
    <w:rsid w:val="00B01FE1"/>
    <w:rsid w:val="00B04C51"/>
    <w:rsid w:val="00B05AC0"/>
    <w:rsid w:val="00B05AF8"/>
    <w:rsid w:val="00B0644A"/>
    <w:rsid w:val="00B10674"/>
    <w:rsid w:val="00B10A5A"/>
    <w:rsid w:val="00B10EDC"/>
    <w:rsid w:val="00B11B1C"/>
    <w:rsid w:val="00B11DA3"/>
    <w:rsid w:val="00B11FAE"/>
    <w:rsid w:val="00B133B4"/>
    <w:rsid w:val="00B15946"/>
    <w:rsid w:val="00B16708"/>
    <w:rsid w:val="00B16BC8"/>
    <w:rsid w:val="00B219C8"/>
    <w:rsid w:val="00B21C95"/>
    <w:rsid w:val="00B21F58"/>
    <w:rsid w:val="00B24B6B"/>
    <w:rsid w:val="00B26225"/>
    <w:rsid w:val="00B27E58"/>
    <w:rsid w:val="00B30077"/>
    <w:rsid w:val="00B319BB"/>
    <w:rsid w:val="00B35883"/>
    <w:rsid w:val="00B35AE4"/>
    <w:rsid w:val="00B37072"/>
    <w:rsid w:val="00B37F2C"/>
    <w:rsid w:val="00B37F64"/>
    <w:rsid w:val="00B40C1B"/>
    <w:rsid w:val="00B41F75"/>
    <w:rsid w:val="00B43A06"/>
    <w:rsid w:val="00B46D3C"/>
    <w:rsid w:val="00B46F0C"/>
    <w:rsid w:val="00B472EC"/>
    <w:rsid w:val="00B479E9"/>
    <w:rsid w:val="00B47D8C"/>
    <w:rsid w:val="00B506A6"/>
    <w:rsid w:val="00B55407"/>
    <w:rsid w:val="00B564E8"/>
    <w:rsid w:val="00B57905"/>
    <w:rsid w:val="00B640E6"/>
    <w:rsid w:val="00B65A1B"/>
    <w:rsid w:val="00B65E5B"/>
    <w:rsid w:val="00B67430"/>
    <w:rsid w:val="00B67DAD"/>
    <w:rsid w:val="00B70ECC"/>
    <w:rsid w:val="00B7149D"/>
    <w:rsid w:val="00B718C2"/>
    <w:rsid w:val="00B72D11"/>
    <w:rsid w:val="00B72D5C"/>
    <w:rsid w:val="00B73881"/>
    <w:rsid w:val="00B76E1A"/>
    <w:rsid w:val="00B77FC4"/>
    <w:rsid w:val="00B80409"/>
    <w:rsid w:val="00B808F9"/>
    <w:rsid w:val="00B825A6"/>
    <w:rsid w:val="00B82784"/>
    <w:rsid w:val="00B8287F"/>
    <w:rsid w:val="00B82F0C"/>
    <w:rsid w:val="00B83164"/>
    <w:rsid w:val="00B85679"/>
    <w:rsid w:val="00B861B8"/>
    <w:rsid w:val="00B8689A"/>
    <w:rsid w:val="00B93231"/>
    <w:rsid w:val="00B93D30"/>
    <w:rsid w:val="00BA7044"/>
    <w:rsid w:val="00BA741E"/>
    <w:rsid w:val="00BA7B3B"/>
    <w:rsid w:val="00BA7E0F"/>
    <w:rsid w:val="00BB19EB"/>
    <w:rsid w:val="00BB3C3E"/>
    <w:rsid w:val="00BB4025"/>
    <w:rsid w:val="00BB4B69"/>
    <w:rsid w:val="00BB54EA"/>
    <w:rsid w:val="00BB6777"/>
    <w:rsid w:val="00BB7A3A"/>
    <w:rsid w:val="00BC036D"/>
    <w:rsid w:val="00BC15D5"/>
    <w:rsid w:val="00BC3278"/>
    <w:rsid w:val="00BC4389"/>
    <w:rsid w:val="00BC452D"/>
    <w:rsid w:val="00BC4C6E"/>
    <w:rsid w:val="00BC7039"/>
    <w:rsid w:val="00BC794B"/>
    <w:rsid w:val="00BC7EB6"/>
    <w:rsid w:val="00BD0C00"/>
    <w:rsid w:val="00BD11E5"/>
    <w:rsid w:val="00BD2D8A"/>
    <w:rsid w:val="00BD3D5C"/>
    <w:rsid w:val="00BD3E81"/>
    <w:rsid w:val="00BD3EFA"/>
    <w:rsid w:val="00BD4037"/>
    <w:rsid w:val="00BD5367"/>
    <w:rsid w:val="00BD58B9"/>
    <w:rsid w:val="00BD593D"/>
    <w:rsid w:val="00BD7141"/>
    <w:rsid w:val="00BD7D9F"/>
    <w:rsid w:val="00BE09C6"/>
    <w:rsid w:val="00BE0D8B"/>
    <w:rsid w:val="00BE168A"/>
    <w:rsid w:val="00BE3D09"/>
    <w:rsid w:val="00BE3FA9"/>
    <w:rsid w:val="00BE4456"/>
    <w:rsid w:val="00BE49AA"/>
    <w:rsid w:val="00BE5B26"/>
    <w:rsid w:val="00BE78A2"/>
    <w:rsid w:val="00BF0EA9"/>
    <w:rsid w:val="00BF1DDC"/>
    <w:rsid w:val="00BF49B4"/>
    <w:rsid w:val="00BF51F4"/>
    <w:rsid w:val="00BF5A4B"/>
    <w:rsid w:val="00BF6310"/>
    <w:rsid w:val="00C0059B"/>
    <w:rsid w:val="00C0159F"/>
    <w:rsid w:val="00C030F7"/>
    <w:rsid w:val="00C045E9"/>
    <w:rsid w:val="00C0477C"/>
    <w:rsid w:val="00C05C2C"/>
    <w:rsid w:val="00C05F4E"/>
    <w:rsid w:val="00C06A9C"/>
    <w:rsid w:val="00C146F1"/>
    <w:rsid w:val="00C15B58"/>
    <w:rsid w:val="00C16089"/>
    <w:rsid w:val="00C16F77"/>
    <w:rsid w:val="00C171E5"/>
    <w:rsid w:val="00C2594F"/>
    <w:rsid w:val="00C27A73"/>
    <w:rsid w:val="00C27FBD"/>
    <w:rsid w:val="00C301DC"/>
    <w:rsid w:val="00C30A3A"/>
    <w:rsid w:val="00C30ACC"/>
    <w:rsid w:val="00C30B5C"/>
    <w:rsid w:val="00C34D33"/>
    <w:rsid w:val="00C3548C"/>
    <w:rsid w:val="00C362FF"/>
    <w:rsid w:val="00C36729"/>
    <w:rsid w:val="00C376CD"/>
    <w:rsid w:val="00C379CE"/>
    <w:rsid w:val="00C402F8"/>
    <w:rsid w:val="00C424C5"/>
    <w:rsid w:val="00C45908"/>
    <w:rsid w:val="00C47E86"/>
    <w:rsid w:val="00C47F61"/>
    <w:rsid w:val="00C501BE"/>
    <w:rsid w:val="00C505AE"/>
    <w:rsid w:val="00C50D21"/>
    <w:rsid w:val="00C50FE2"/>
    <w:rsid w:val="00C5408F"/>
    <w:rsid w:val="00C54490"/>
    <w:rsid w:val="00C545EB"/>
    <w:rsid w:val="00C557F5"/>
    <w:rsid w:val="00C56D7F"/>
    <w:rsid w:val="00C628B0"/>
    <w:rsid w:val="00C656FD"/>
    <w:rsid w:val="00C66E57"/>
    <w:rsid w:val="00C67A44"/>
    <w:rsid w:val="00C701C4"/>
    <w:rsid w:val="00C7068C"/>
    <w:rsid w:val="00C7072B"/>
    <w:rsid w:val="00C71C07"/>
    <w:rsid w:val="00C724CA"/>
    <w:rsid w:val="00C73AEA"/>
    <w:rsid w:val="00C76187"/>
    <w:rsid w:val="00C76F8E"/>
    <w:rsid w:val="00C77963"/>
    <w:rsid w:val="00C808D9"/>
    <w:rsid w:val="00C821CE"/>
    <w:rsid w:val="00C82235"/>
    <w:rsid w:val="00C92A5C"/>
    <w:rsid w:val="00C9343E"/>
    <w:rsid w:val="00C945B1"/>
    <w:rsid w:val="00C95114"/>
    <w:rsid w:val="00C95BC7"/>
    <w:rsid w:val="00C979BA"/>
    <w:rsid w:val="00CA2626"/>
    <w:rsid w:val="00CA467B"/>
    <w:rsid w:val="00CA7CEA"/>
    <w:rsid w:val="00CA7EAF"/>
    <w:rsid w:val="00CB2BEB"/>
    <w:rsid w:val="00CC29E6"/>
    <w:rsid w:val="00CC3154"/>
    <w:rsid w:val="00CC35B8"/>
    <w:rsid w:val="00CC63CD"/>
    <w:rsid w:val="00CC65AF"/>
    <w:rsid w:val="00CC7EB2"/>
    <w:rsid w:val="00CD0D1C"/>
    <w:rsid w:val="00CD2D44"/>
    <w:rsid w:val="00CD2FDB"/>
    <w:rsid w:val="00CD47AF"/>
    <w:rsid w:val="00CE341D"/>
    <w:rsid w:val="00CE3937"/>
    <w:rsid w:val="00CE3BF3"/>
    <w:rsid w:val="00CE4343"/>
    <w:rsid w:val="00CE4B44"/>
    <w:rsid w:val="00CE4E16"/>
    <w:rsid w:val="00CE634A"/>
    <w:rsid w:val="00CF0BC0"/>
    <w:rsid w:val="00CF208D"/>
    <w:rsid w:val="00CF2FAC"/>
    <w:rsid w:val="00CF34E2"/>
    <w:rsid w:val="00CF538C"/>
    <w:rsid w:val="00CF5D44"/>
    <w:rsid w:val="00CF69BC"/>
    <w:rsid w:val="00CF7345"/>
    <w:rsid w:val="00D024E1"/>
    <w:rsid w:val="00D02FD5"/>
    <w:rsid w:val="00D03922"/>
    <w:rsid w:val="00D057E0"/>
    <w:rsid w:val="00D06269"/>
    <w:rsid w:val="00D10573"/>
    <w:rsid w:val="00D10DCA"/>
    <w:rsid w:val="00D10E33"/>
    <w:rsid w:val="00D12A43"/>
    <w:rsid w:val="00D20646"/>
    <w:rsid w:val="00D20EFE"/>
    <w:rsid w:val="00D21BD1"/>
    <w:rsid w:val="00D229F3"/>
    <w:rsid w:val="00D23B84"/>
    <w:rsid w:val="00D246EF"/>
    <w:rsid w:val="00D24C4B"/>
    <w:rsid w:val="00D256E9"/>
    <w:rsid w:val="00D26D2A"/>
    <w:rsid w:val="00D31A28"/>
    <w:rsid w:val="00D31B41"/>
    <w:rsid w:val="00D332B9"/>
    <w:rsid w:val="00D33AA3"/>
    <w:rsid w:val="00D34940"/>
    <w:rsid w:val="00D34B6B"/>
    <w:rsid w:val="00D34CBC"/>
    <w:rsid w:val="00D3547A"/>
    <w:rsid w:val="00D40124"/>
    <w:rsid w:val="00D408C7"/>
    <w:rsid w:val="00D42B1C"/>
    <w:rsid w:val="00D438E0"/>
    <w:rsid w:val="00D44110"/>
    <w:rsid w:val="00D460A3"/>
    <w:rsid w:val="00D46AA7"/>
    <w:rsid w:val="00D47BB3"/>
    <w:rsid w:val="00D501EE"/>
    <w:rsid w:val="00D51183"/>
    <w:rsid w:val="00D53207"/>
    <w:rsid w:val="00D54CFD"/>
    <w:rsid w:val="00D5707F"/>
    <w:rsid w:val="00D57396"/>
    <w:rsid w:val="00D605DC"/>
    <w:rsid w:val="00D6069F"/>
    <w:rsid w:val="00D60A95"/>
    <w:rsid w:val="00D623D8"/>
    <w:rsid w:val="00D64AB7"/>
    <w:rsid w:val="00D65547"/>
    <w:rsid w:val="00D66141"/>
    <w:rsid w:val="00D67C0C"/>
    <w:rsid w:val="00D72A23"/>
    <w:rsid w:val="00D74CD8"/>
    <w:rsid w:val="00D75A98"/>
    <w:rsid w:val="00D75AEF"/>
    <w:rsid w:val="00D770AB"/>
    <w:rsid w:val="00D77286"/>
    <w:rsid w:val="00D779F0"/>
    <w:rsid w:val="00D816CB"/>
    <w:rsid w:val="00D82F40"/>
    <w:rsid w:val="00D83055"/>
    <w:rsid w:val="00D8359D"/>
    <w:rsid w:val="00D85AB0"/>
    <w:rsid w:val="00D879DC"/>
    <w:rsid w:val="00D92E7C"/>
    <w:rsid w:val="00D932C2"/>
    <w:rsid w:val="00D9491D"/>
    <w:rsid w:val="00D96949"/>
    <w:rsid w:val="00DA0766"/>
    <w:rsid w:val="00DA5553"/>
    <w:rsid w:val="00DA5EEB"/>
    <w:rsid w:val="00DA7635"/>
    <w:rsid w:val="00DB297C"/>
    <w:rsid w:val="00DB4344"/>
    <w:rsid w:val="00DB53D6"/>
    <w:rsid w:val="00DB684E"/>
    <w:rsid w:val="00DB7186"/>
    <w:rsid w:val="00DC0086"/>
    <w:rsid w:val="00DC0473"/>
    <w:rsid w:val="00DC2146"/>
    <w:rsid w:val="00DC51AB"/>
    <w:rsid w:val="00DC5B89"/>
    <w:rsid w:val="00DC5CE8"/>
    <w:rsid w:val="00DC5D0F"/>
    <w:rsid w:val="00DC6A2F"/>
    <w:rsid w:val="00DC6E15"/>
    <w:rsid w:val="00DD1290"/>
    <w:rsid w:val="00DD1440"/>
    <w:rsid w:val="00DD1C3C"/>
    <w:rsid w:val="00DD20E9"/>
    <w:rsid w:val="00DD5EEB"/>
    <w:rsid w:val="00DD7079"/>
    <w:rsid w:val="00DE02DB"/>
    <w:rsid w:val="00DE1655"/>
    <w:rsid w:val="00DE165D"/>
    <w:rsid w:val="00DE377F"/>
    <w:rsid w:val="00DE5761"/>
    <w:rsid w:val="00DE6540"/>
    <w:rsid w:val="00DE7ED9"/>
    <w:rsid w:val="00DF05A0"/>
    <w:rsid w:val="00DF247C"/>
    <w:rsid w:val="00DF47DA"/>
    <w:rsid w:val="00DF4B4A"/>
    <w:rsid w:val="00DF50B3"/>
    <w:rsid w:val="00DF52BE"/>
    <w:rsid w:val="00DF5E1F"/>
    <w:rsid w:val="00DF70D3"/>
    <w:rsid w:val="00DF7368"/>
    <w:rsid w:val="00E0036B"/>
    <w:rsid w:val="00E019E6"/>
    <w:rsid w:val="00E01FC2"/>
    <w:rsid w:val="00E034B3"/>
    <w:rsid w:val="00E0439B"/>
    <w:rsid w:val="00E052D4"/>
    <w:rsid w:val="00E11C68"/>
    <w:rsid w:val="00E1222B"/>
    <w:rsid w:val="00E125B3"/>
    <w:rsid w:val="00E126C3"/>
    <w:rsid w:val="00E12746"/>
    <w:rsid w:val="00E12F97"/>
    <w:rsid w:val="00E1378E"/>
    <w:rsid w:val="00E13C7D"/>
    <w:rsid w:val="00E13FA6"/>
    <w:rsid w:val="00E150A1"/>
    <w:rsid w:val="00E17A74"/>
    <w:rsid w:val="00E206D2"/>
    <w:rsid w:val="00E20E4D"/>
    <w:rsid w:val="00E2254B"/>
    <w:rsid w:val="00E225C8"/>
    <w:rsid w:val="00E26226"/>
    <w:rsid w:val="00E307D1"/>
    <w:rsid w:val="00E32E3F"/>
    <w:rsid w:val="00E33279"/>
    <w:rsid w:val="00E34012"/>
    <w:rsid w:val="00E34093"/>
    <w:rsid w:val="00E34784"/>
    <w:rsid w:val="00E36CA0"/>
    <w:rsid w:val="00E42071"/>
    <w:rsid w:val="00E42DF8"/>
    <w:rsid w:val="00E4508C"/>
    <w:rsid w:val="00E46574"/>
    <w:rsid w:val="00E5211B"/>
    <w:rsid w:val="00E524CD"/>
    <w:rsid w:val="00E54160"/>
    <w:rsid w:val="00E54195"/>
    <w:rsid w:val="00E5528A"/>
    <w:rsid w:val="00E55476"/>
    <w:rsid w:val="00E55BCC"/>
    <w:rsid w:val="00E5677D"/>
    <w:rsid w:val="00E56961"/>
    <w:rsid w:val="00E62B0D"/>
    <w:rsid w:val="00E64375"/>
    <w:rsid w:val="00E64F4D"/>
    <w:rsid w:val="00E6564C"/>
    <w:rsid w:val="00E6653D"/>
    <w:rsid w:val="00E66FD8"/>
    <w:rsid w:val="00E715BB"/>
    <w:rsid w:val="00E73F72"/>
    <w:rsid w:val="00E7634D"/>
    <w:rsid w:val="00E77196"/>
    <w:rsid w:val="00E80185"/>
    <w:rsid w:val="00E801A1"/>
    <w:rsid w:val="00E811A4"/>
    <w:rsid w:val="00E83371"/>
    <w:rsid w:val="00E8559E"/>
    <w:rsid w:val="00E90FB3"/>
    <w:rsid w:val="00E914FA"/>
    <w:rsid w:val="00E916C4"/>
    <w:rsid w:val="00E964BA"/>
    <w:rsid w:val="00EA0C2B"/>
    <w:rsid w:val="00EA16D6"/>
    <w:rsid w:val="00EA2A70"/>
    <w:rsid w:val="00EA67B9"/>
    <w:rsid w:val="00EA6B2F"/>
    <w:rsid w:val="00EA79B8"/>
    <w:rsid w:val="00EB02BE"/>
    <w:rsid w:val="00EB0409"/>
    <w:rsid w:val="00EB2A7A"/>
    <w:rsid w:val="00EB389D"/>
    <w:rsid w:val="00EB421C"/>
    <w:rsid w:val="00EB50FC"/>
    <w:rsid w:val="00EB551D"/>
    <w:rsid w:val="00EB55A1"/>
    <w:rsid w:val="00EB57A0"/>
    <w:rsid w:val="00EB5C89"/>
    <w:rsid w:val="00EB620E"/>
    <w:rsid w:val="00EB7C7B"/>
    <w:rsid w:val="00EB7F7E"/>
    <w:rsid w:val="00EC15D6"/>
    <w:rsid w:val="00EC2107"/>
    <w:rsid w:val="00EC4A12"/>
    <w:rsid w:val="00ED1616"/>
    <w:rsid w:val="00ED1A40"/>
    <w:rsid w:val="00ED1C1B"/>
    <w:rsid w:val="00ED6060"/>
    <w:rsid w:val="00ED6CBD"/>
    <w:rsid w:val="00ED6D5A"/>
    <w:rsid w:val="00EE1A85"/>
    <w:rsid w:val="00EE2EBF"/>
    <w:rsid w:val="00EE3C5B"/>
    <w:rsid w:val="00EE60CF"/>
    <w:rsid w:val="00EE6E03"/>
    <w:rsid w:val="00EE718B"/>
    <w:rsid w:val="00EE71EE"/>
    <w:rsid w:val="00EF0482"/>
    <w:rsid w:val="00EF2FCA"/>
    <w:rsid w:val="00EF3490"/>
    <w:rsid w:val="00EF4A47"/>
    <w:rsid w:val="00EF5A84"/>
    <w:rsid w:val="00F00212"/>
    <w:rsid w:val="00F003BE"/>
    <w:rsid w:val="00F003EA"/>
    <w:rsid w:val="00F004F3"/>
    <w:rsid w:val="00F014DC"/>
    <w:rsid w:val="00F01F21"/>
    <w:rsid w:val="00F0248A"/>
    <w:rsid w:val="00F05C2E"/>
    <w:rsid w:val="00F07940"/>
    <w:rsid w:val="00F10069"/>
    <w:rsid w:val="00F11DDE"/>
    <w:rsid w:val="00F12B6C"/>
    <w:rsid w:val="00F1360A"/>
    <w:rsid w:val="00F1391C"/>
    <w:rsid w:val="00F14138"/>
    <w:rsid w:val="00F141C6"/>
    <w:rsid w:val="00F14A68"/>
    <w:rsid w:val="00F161D2"/>
    <w:rsid w:val="00F23835"/>
    <w:rsid w:val="00F23DD9"/>
    <w:rsid w:val="00F25465"/>
    <w:rsid w:val="00F26021"/>
    <w:rsid w:val="00F266D1"/>
    <w:rsid w:val="00F26E06"/>
    <w:rsid w:val="00F33BB6"/>
    <w:rsid w:val="00F33BCB"/>
    <w:rsid w:val="00F34D89"/>
    <w:rsid w:val="00F37732"/>
    <w:rsid w:val="00F37B51"/>
    <w:rsid w:val="00F40DC1"/>
    <w:rsid w:val="00F449DD"/>
    <w:rsid w:val="00F46007"/>
    <w:rsid w:val="00F468BE"/>
    <w:rsid w:val="00F47F72"/>
    <w:rsid w:val="00F52189"/>
    <w:rsid w:val="00F54B00"/>
    <w:rsid w:val="00F55F3E"/>
    <w:rsid w:val="00F5632B"/>
    <w:rsid w:val="00F56B0F"/>
    <w:rsid w:val="00F57A15"/>
    <w:rsid w:val="00F6329E"/>
    <w:rsid w:val="00F6401E"/>
    <w:rsid w:val="00F659DE"/>
    <w:rsid w:val="00F67E33"/>
    <w:rsid w:val="00F70DD1"/>
    <w:rsid w:val="00F71B0D"/>
    <w:rsid w:val="00F72ECD"/>
    <w:rsid w:val="00F75714"/>
    <w:rsid w:val="00F758CE"/>
    <w:rsid w:val="00F77349"/>
    <w:rsid w:val="00F815D2"/>
    <w:rsid w:val="00F841AF"/>
    <w:rsid w:val="00F85920"/>
    <w:rsid w:val="00F87A7C"/>
    <w:rsid w:val="00F9096B"/>
    <w:rsid w:val="00F92702"/>
    <w:rsid w:val="00F93E26"/>
    <w:rsid w:val="00F943CF"/>
    <w:rsid w:val="00F946AC"/>
    <w:rsid w:val="00F95AE5"/>
    <w:rsid w:val="00F977CC"/>
    <w:rsid w:val="00F97A85"/>
    <w:rsid w:val="00FA334C"/>
    <w:rsid w:val="00FA3BD7"/>
    <w:rsid w:val="00FA43D3"/>
    <w:rsid w:val="00FA5670"/>
    <w:rsid w:val="00FA6096"/>
    <w:rsid w:val="00FA78BF"/>
    <w:rsid w:val="00FA79D1"/>
    <w:rsid w:val="00FB08F6"/>
    <w:rsid w:val="00FB1E4E"/>
    <w:rsid w:val="00FB2950"/>
    <w:rsid w:val="00FB35D1"/>
    <w:rsid w:val="00FB57D9"/>
    <w:rsid w:val="00FB7A65"/>
    <w:rsid w:val="00FC08E8"/>
    <w:rsid w:val="00FC1A2C"/>
    <w:rsid w:val="00FC2E83"/>
    <w:rsid w:val="00FC3514"/>
    <w:rsid w:val="00FC49DC"/>
    <w:rsid w:val="00FC49E6"/>
    <w:rsid w:val="00FC571A"/>
    <w:rsid w:val="00FC687D"/>
    <w:rsid w:val="00FC77CC"/>
    <w:rsid w:val="00FD1F7F"/>
    <w:rsid w:val="00FD331D"/>
    <w:rsid w:val="00FD51B7"/>
    <w:rsid w:val="00FD5F26"/>
    <w:rsid w:val="00FD6991"/>
    <w:rsid w:val="00FD6B42"/>
    <w:rsid w:val="00FD7A4D"/>
    <w:rsid w:val="00FD7A58"/>
    <w:rsid w:val="00FE1648"/>
    <w:rsid w:val="00FE1F33"/>
    <w:rsid w:val="00FE21D8"/>
    <w:rsid w:val="00FE2CF9"/>
    <w:rsid w:val="00FE3312"/>
    <w:rsid w:val="00FE396E"/>
    <w:rsid w:val="00FE5583"/>
    <w:rsid w:val="00FE5784"/>
    <w:rsid w:val="00FE6075"/>
    <w:rsid w:val="00FE6F18"/>
    <w:rsid w:val="00FE7816"/>
    <w:rsid w:val="00FE7BD4"/>
    <w:rsid w:val="00FF0A2D"/>
    <w:rsid w:val="00FF1093"/>
    <w:rsid w:val="00FF2BBB"/>
    <w:rsid w:val="00FF2EA5"/>
    <w:rsid w:val="00FF3E5B"/>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2D7C49"/>
    <w:pPr>
      <w:keepNext/>
      <w:spacing w:before="60" w:after="6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D7C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 w:type="character" w:customStyle="1" w:styleId="displayonly">
    <w:name w:val="display_only"/>
    <w:basedOn w:val="DefaultParagraphFont"/>
    <w:rsid w:val="006F527D"/>
  </w:style>
  <w:style w:type="paragraph" w:customStyle="1" w:styleId="Numbered1">
    <w:name w:val="Numbered 1"/>
    <w:basedOn w:val="Heading1"/>
    <w:next w:val="Normal"/>
    <w:qFormat/>
    <w:rsid w:val="00021956"/>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02195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021956"/>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021956"/>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02195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021956"/>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021956"/>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021956"/>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021956"/>
    <w:pPr>
      <w:numPr>
        <w:ilvl w:val="0"/>
        <w:numId w:val="0"/>
      </w:numPr>
      <w:tabs>
        <w:tab w:val="clear" w:pos="1701"/>
        <w:tab w:val="left" w:pos="340"/>
        <w:tab w:val="left" w:pos="2381"/>
      </w:tabs>
      <w:spacing w:after="120"/>
      <w:ind w:left="2381" w:hanging="2381"/>
    </w:pPr>
    <w:rPr>
      <w:b/>
      <w:i w:val="0"/>
      <w:color w:val="076A92" w:themeColor="text1"/>
      <w:sz w:val="24"/>
    </w:rPr>
  </w:style>
  <w:style w:type="paragraph" w:customStyle="1" w:styleId="AERBody0">
    <w:name w:val="AER Body"/>
    <w:basedOn w:val="Normal"/>
    <w:link w:val="AERBodyChar0"/>
    <w:qFormat/>
    <w:rsid w:val="00BA7B3B"/>
    <w:pPr>
      <w:spacing w:before="120" w:after="120"/>
    </w:pPr>
  </w:style>
  <w:style w:type="character" w:customStyle="1" w:styleId="AERBodyChar0">
    <w:name w:val="AER Body Char"/>
    <w:basedOn w:val="DefaultParagraphFont"/>
    <w:link w:val="AERBody0"/>
    <w:rsid w:val="00BA7B3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2D7C49"/>
    <w:pPr>
      <w:keepNext/>
      <w:spacing w:before="60" w:after="6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2D7C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rsid w:val="009952EF"/>
  </w:style>
  <w:style w:type="character" w:customStyle="1" w:styleId="AERbodyChar">
    <w:name w:val="AER body Char"/>
    <w:basedOn w:val="DefaultParagraphFont"/>
    <w:link w:val="AERbody"/>
    <w:rsid w:val="009952EF"/>
    <w:rPr>
      <w:rFonts w:ascii="Arial" w:hAnsi="Arial"/>
    </w:rPr>
  </w:style>
  <w:style w:type="paragraph" w:customStyle="1" w:styleId="Bullet2">
    <w:name w:val="Bullet 2"/>
    <w:basedOn w:val="Bulletpoint"/>
    <w:link w:val="Bullet2Char"/>
    <w:qFormat/>
    <w:rsid w:val="00190C05"/>
    <w:pPr>
      <w:numPr>
        <w:numId w:val="0"/>
      </w:numPr>
      <w:ind w:left="792" w:hanging="432"/>
    </w:pPr>
  </w:style>
  <w:style w:type="character" w:customStyle="1" w:styleId="Bullet2Char">
    <w:name w:val="Bullet 2 Char"/>
    <w:basedOn w:val="DefaultParagraphFont"/>
    <w:link w:val="Bullet2"/>
    <w:rsid w:val="00190C05"/>
    <w:rPr>
      <w:rFonts w:ascii="Arial" w:hAnsi="Arial" w:cs="Times New Roman"/>
    </w:rPr>
  </w:style>
  <w:style w:type="character" w:customStyle="1" w:styleId="BulletpointChar">
    <w:name w:val="Bullet point Char"/>
    <w:basedOn w:val="DefaultParagraphFont"/>
    <w:link w:val="Bulletpoint"/>
    <w:rsid w:val="009337EB"/>
    <w:rPr>
      <w:rFonts w:ascii="Arial" w:hAnsi="Arial" w:cs="Times New Roman"/>
    </w:rPr>
  </w:style>
  <w:style w:type="character" w:customStyle="1" w:styleId="displayonly">
    <w:name w:val="display_only"/>
    <w:basedOn w:val="DefaultParagraphFont"/>
    <w:rsid w:val="006F527D"/>
  </w:style>
  <w:style w:type="paragraph" w:customStyle="1" w:styleId="Numbered1">
    <w:name w:val="Numbered 1"/>
    <w:basedOn w:val="Heading1"/>
    <w:next w:val="Normal"/>
    <w:qFormat/>
    <w:rsid w:val="00021956"/>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021956"/>
    <w:pPr>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021956"/>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021956"/>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021956"/>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021956"/>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021956"/>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021956"/>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021956"/>
    <w:pPr>
      <w:numPr>
        <w:ilvl w:val="0"/>
        <w:numId w:val="0"/>
      </w:numPr>
      <w:tabs>
        <w:tab w:val="clear" w:pos="1701"/>
        <w:tab w:val="left" w:pos="340"/>
        <w:tab w:val="left" w:pos="2381"/>
      </w:tabs>
      <w:spacing w:after="120"/>
      <w:ind w:left="2381" w:hanging="2381"/>
    </w:pPr>
    <w:rPr>
      <w:b/>
      <w:i w:val="0"/>
      <w:color w:val="076A92" w:themeColor="text1"/>
      <w:sz w:val="24"/>
    </w:rPr>
  </w:style>
  <w:style w:type="paragraph" w:customStyle="1" w:styleId="AERBody0">
    <w:name w:val="AER Body"/>
    <w:basedOn w:val="Normal"/>
    <w:link w:val="AERBodyChar0"/>
    <w:qFormat/>
    <w:rsid w:val="00BA7B3B"/>
    <w:pPr>
      <w:spacing w:before="120" w:after="120"/>
    </w:pPr>
  </w:style>
  <w:style w:type="character" w:customStyle="1" w:styleId="AERBodyChar0">
    <w:name w:val="AER Body Char"/>
    <w:basedOn w:val="DefaultParagraphFont"/>
    <w:link w:val="AERBody0"/>
    <w:rsid w:val="00BA7B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173224752">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15203826">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384446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571115962">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image" Target="media/image7.emf"/><Relationship Id="rId39"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image" Target="media/image30.wmf"/><Relationship Id="rId34" Type="http://schemas.openxmlformats.org/officeDocument/2006/relationships/image" Target="media/image15.emf"/><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image" Target="media/image10.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40.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0.wmf"/><Relationship Id="rId31" Type="http://schemas.openxmlformats.org/officeDocument/2006/relationships/image" Target="media/image12.emf"/><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 TargetMode="External"/><Relationship Id="rId2" Type="http://schemas.openxmlformats.org/officeDocument/2006/relationships/hyperlink" Target="https://www.aemo.com.au/Electricity/National-Electricity-Market-NEM/Security-and-reliability/Ancillary-services/Ancillary-services-causer-pays-contribution-factors" TargetMode="External"/><Relationship Id="rId1" Type="http://schemas.openxmlformats.org/officeDocument/2006/relationships/hyperlink" Target="https://www.aemo.com.au/Electricity/National-Electricity-Market-NEM/Data/Ancillary-Services/Ancillary-Services-Payments-and-Recovery"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AE809D-F638-411D-B747-A66687A9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9C6300A9</Template>
  <TotalTime>0</TotalTime>
  <Pages>30</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2017-08-31T23:27:00Z</dcterms:created>
  <dcterms:modified xsi:type="dcterms:W3CDTF">2017-08-31T23:27:00Z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\\homesharecl\HomeDrives\adday\20170522 sa fcas $5000 (final) (D2017-00114193).docx</vt:lpwstr>
  </property>
</Properties>
</file>