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A011" w14:textId="77777777" w:rsidR="00F04EEF" w:rsidRPr="00AB15CD" w:rsidRDefault="00F04EEF" w:rsidP="00743A3F">
      <w:pPr>
        <w:rPr>
          <w:rFonts w:ascii="Calibri Light" w:hAnsi="Calibri Light" w:cs="Calibri Light"/>
          <w:sz w:val="36"/>
          <w:szCs w:val="36"/>
          <w:lang w:val="en-US"/>
        </w:rPr>
      </w:pPr>
      <w:r w:rsidRPr="00AB15CD">
        <w:rPr>
          <w:rFonts w:ascii="Calibri Light" w:hAnsi="Calibri Light" w:cs="Calibri Light"/>
          <w:sz w:val="56"/>
          <w:szCs w:val="56"/>
          <w:lang w:val="en-US"/>
        </w:rPr>
        <w:t>Errata and corrections</w:t>
      </w:r>
    </w:p>
    <w:p w14:paraId="46669FCC" w14:textId="7931431F" w:rsidR="00F04EEF" w:rsidRPr="00AB15CD" w:rsidRDefault="00F04EEF" w:rsidP="00743A3F">
      <w:pPr>
        <w:spacing w:line="192" w:lineRule="auto"/>
        <w:rPr>
          <w:rFonts w:ascii="Calibri" w:hAnsi="Calibri" w:cs="Calibri"/>
          <w:color w:val="5A5A5A"/>
          <w:spacing w:val="15"/>
          <w:sz w:val="24"/>
          <w:szCs w:val="24"/>
          <w14:textFill>
            <w14:solidFill>
              <w14:srgbClr w14:val="5A5A5A">
                <w14:lumMod w14:val="75000"/>
              </w14:srgbClr>
            </w14:solidFill>
          </w14:textFill>
        </w:rPr>
      </w:pPr>
      <w:r w:rsidRPr="00AB15CD">
        <w:rPr>
          <w:rFonts w:ascii="Calibri" w:hAnsi="Calibri" w:cs="Calibri"/>
          <w:color w:val="5A5A5A"/>
          <w:spacing w:val="15"/>
          <w:sz w:val="24"/>
          <w:szCs w:val="24"/>
          <w14:textFill>
            <w14:solidFill>
              <w14:srgbClr w14:val="5A5A5A">
                <w14:lumMod w14:val="75000"/>
              </w14:srgbClr>
            </w14:solidFill>
          </w14:textFill>
        </w:rPr>
        <w:t xml:space="preserve">Wholesale markets quarterly </w:t>
      </w:r>
      <w:r w:rsidR="00A94968" w:rsidRPr="00AB15CD">
        <w:rPr>
          <w:rFonts w:ascii="Calibri" w:hAnsi="Calibri" w:cs="Calibri"/>
          <w:color w:val="5A5A5A"/>
          <w:spacing w:val="15"/>
          <w:sz w:val="24"/>
          <w:szCs w:val="24"/>
          <w14:textFill>
            <w14:solidFill>
              <w14:srgbClr w14:val="5A5A5A">
                <w14:lumMod w14:val="75000"/>
              </w14:srgbClr>
            </w14:solidFill>
          </w14:textFill>
        </w:rPr>
        <w:t xml:space="preserve">- </w:t>
      </w:r>
      <w:r w:rsidRPr="00AB15CD">
        <w:rPr>
          <w:rFonts w:ascii="Calibri" w:hAnsi="Calibri" w:cs="Calibri"/>
          <w:color w:val="5A5A5A"/>
          <w:spacing w:val="15"/>
          <w:sz w:val="24"/>
          <w:szCs w:val="24"/>
          <w14:textFill>
            <w14:solidFill>
              <w14:srgbClr w14:val="5A5A5A">
                <w14:lumMod w14:val="75000"/>
              </w14:srgbClr>
            </w14:solidFill>
          </w14:textFill>
        </w:rPr>
        <w:t xml:space="preserve">Q1 2025 </w:t>
      </w:r>
      <w:r w:rsidR="00A94968" w:rsidRPr="00AB15CD">
        <w:rPr>
          <w:rFonts w:ascii="Calibri" w:hAnsi="Calibri" w:cs="Calibri"/>
          <w:color w:val="5A5A5A"/>
          <w:spacing w:val="15"/>
          <w:sz w:val="24"/>
          <w:szCs w:val="24"/>
          <w14:textFill>
            <w14:solidFill>
              <w14:srgbClr w14:val="5A5A5A">
                <w14:lumMod w14:val="75000"/>
              </w14:srgbClr>
            </w14:solidFill>
          </w14:textFill>
        </w:rPr>
        <w:t>(</w:t>
      </w:r>
      <w:r w:rsidRPr="00AB15CD">
        <w:rPr>
          <w:rFonts w:ascii="Calibri" w:hAnsi="Calibri" w:cs="Calibri"/>
          <w:color w:val="5A5A5A"/>
          <w:spacing w:val="15"/>
          <w:sz w:val="24"/>
          <w:szCs w:val="24"/>
          <w14:textFill>
            <w14:solidFill>
              <w14:srgbClr w14:val="5A5A5A">
                <w14:lumMod w14:val="75000"/>
              </w14:srgbClr>
            </w14:solidFill>
          </w14:textFill>
        </w:rPr>
        <w:t xml:space="preserve">January </w:t>
      </w:r>
      <w:r w:rsidR="00A94968" w:rsidRPr="00AB15CD">
        <w:rPr>
          <w:rFonts w:ascii="Calibri" w:hAnsi="Calibri" w:cs="Calibri"/>
          <w:color w:val="5A5A5A"/>
          <w:spacing w:val="15"/>
          <w:sz w:val="24"/>
          <w:szCs w:val="24"/>
          <w14:textFill>
            <w14:solidFill>
              <w14:srgbClr w14:val="5A5A5A">
                <w14:lumMod w14:val="75000"/>
              </w14:srgbClr>
            </w14:solidFill>
          </w14:textFill>
        </w:rPr>
        <w:t>–</w:t>
      </w:r>
      <w:r w:rsidRPr="00AB15CD">
        <w:rPr>
          <w:rFonts w:ascii="Calibri" w:hAnsi="Calibri" w:cs="Calibri"/>
          <w:color w:val="5A5A5A"/>
          <w:spacing w:val="15"/>
          <w:sz w:val="24"/>
          <w:szCs w:val="24"/>
          <w14:textFill>
            <w14:solidFill>
              <w14:srgbClr w14:val="5A5A5A">
                <w14:lumMod w14:val="75000"/>
              </w14:srgbClr>
            </w14:solidFill>
          </w14:textFill>
        </w:rPr>
        <w:t xml:space="preserve"> March</w:t>
      </w:r>
      <w:r w:rsidR="00A94968" w:rsidRPr="00AB15CD">
        <w:rPr>
          <w:rFonts w:ascii="Calibri" w:hAnsi="Calibri" w:cs="Calibri"/>
          <w:color w:val="5A5A5A"/>
          <w:spacing w:val="15"/>
          <w:sz w:val="24"/>
          <w:szCs w:val="24"/>
          <w14:textFill>
            <w14:solidFill>
              <w14:srgbClr w14:val="5A5A5A">
                <w14:lumMod w14:val="75000"/>
              </w14:srgbClr>
            </w14:solidFill>
          </w14:textFill>
        </w:rPr>
        <w:t>)</w:t>
      </w:r>
    </w:p>
    <w:p w14:paraId="4D4A7B2F" w14:textId="2D0475AB" w:rsidR="00664227" w:rsidRDefault="00664227" w:rsidP="00AB15C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 the cover page, the date of the Wholesale markets quarterly </w:t>
      </w:r>
      <w:r w:rsidRPr="00AB15CD">
        <w:rPr>
          <w:rFonts w:ascii="Calibri" w:hAnsi="Calibri" w:cs="Calibri"/>
        </w:rPr>
        <w:t xml:space="preserve">- Q1 2025 </w:t>
      </w:r>
      <w:r w:rsidR="00471942">
        <w:rPr>
          <w:rFonts w:ascii="Calibri" w:hAnsi="Calibri" w:cs="Calibri"/>
        </w:rPr>
        <w:t>report</w:t>
      </w:r>
      <w:r w:rsidR="008D633E">
        <w:rPr>
          <w:rFonts w:ascii="Calibri" w:hAnsi="Calibri" w:cs="Calibri"/>
        </w:rPr>
        <w:t xml:space="preserve"> </w:t>
      </w:r>
      <w:r w:rsidR="001A4949">
        <w:rPr>
          <w:rFonts w:ascii="Calibri" w:hAnsi="Calibri" w:cs="Calibri"/>
        </w:rPr>
        <w:t>(the report)</w:t>
      </w:r>
      <w:r w:rsidR="004719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has been amended as follows:</w:t>
      </w:r>
    </w:p>
    <w:p w14:paraId="0EFB9397" w14:textId="6296A8D1" w:rsidR="00664227" w:rsidRDefault="00664227" w:rsidP="00AB15CD">
      <w:pPr>
        <w:rPr>
          <w:rFonts w:ascii="Calibri" w:hAnsi="Calibri" w:cs="Calibri"/>
        </w:rPr>
      </w:pPr>
      <w:r>
        <w:rPr>
          <w:rFonts w:ascii="Calibri" w:hAnsi="Calibri" w:cs="Calibri"/>
        </w:rPr>
        <w:t>Original date:</w:t>
      </w:r>
    </w:p>
    <w:p w14:paraId="154DAAD5" w14:textId="2041CF0F" w:rsidR="00664227" w:rsidRDefault="00664227" w:rsidP="00AB15CD">
      <w:pPr>
        <w:rPr>
          <w:rFonts w:ascii="Calibri" w:hAnsi="Calibri" w:cs="Calibri"/>
        </w:rPr>
      </w:pPr>
      <w:r>
        <w:rPr>
          <w:rFonts w:ascii="Calibri" w:hAnsi="Calibri" w:cs="Calibri"/>
        </w:rPr>
        <w:t>April 2025</w:t>
      </w:r>
    </w:p>
    <w:p w14:paraId="2D39E82C" w14:textId="4AC8D806" w:rsidR="00664227" w:rsidRDefault="00664227" w:rsidP="00AB15CD">
      <w:pPr>
        <w:rPr>
          <w:rFonts w:ascii="Calibri" w:hAnsi="Calibri" w:cs="Calibri"/>
        </w:rPr>
      </w:pPr>
      <w:r>
        <w:rPr>
          <w:rFonts w:ascii="Calibri" w:hAnsi="Calibri" w:cs="Calibri"/>
        </w:rPr>
        <w:t>Has been amended to:</w:t>
      </w:r>
    </w:p>
    <w:p w14:paraId="553123E0" w14:textId="2CD2E85F" w:rsidR="00664227" w:rsidRDefault="00743A3F" w:rsidP="00AB15CD">
      <w:pPr>
        <w:rPr>
          <w:rFonts w:ascii="Calibri" w:hAnsi="Calibri" w:cs="Calibri"/>
        </w:rPr>
      </w:pPr>
      <w:r>
        <w:rPr>
          <w:rFonts w:ascii="Calibri" w:hAnsi="Calibri" w:cs="Calibri"/>
        </w:rPr>
        <w:t>June</w:t>
      </w:r>
      <w:r w:rsidR="00664227">
        <w:rPr>
          <w:rFonts w:ascii="Calibri" w:hAnsi="Calibri" w:cs="Calibri"/>
        </w:rPr>
        <w:t xml:space="preserve"> 2025</w:t>
      </w:r>
    </w:p>
    <w:p w14:paraId="2D5E328A" w14:textId="668A92CF" w:rsidR="006A500B" w:rsidRPr="00AB15CD" w:rsidRDefault="00F04EEF" w:rsidP="00AB15CD">
      <w:pPr>
        <w:rPr>
          <w:rFonts w:ascii="Calibri" w:hAnsi="Calibri" w:cs="Calibri"/>
        </w:rPr>
      </w:pPr>
      <w:r w:rsidRPr="00AB15CD">
        <w:rPr>
          <w:rFonts w:ascii="Calibri" w:hAnsi="Calibri" w:cs="Calibri"/>
        </w:rPr>
        <w:t xml:space="preserve">An error </w:t>
      </w:r>
      <w:r w:rsidR="00DD2552" w:rsidRPr="00AB15CD">
        <w:rPr>
          <w:rFonts w:ascii="Calibri" w:hAnsi="Calibri" w:cs="Calibri"/>
        </w:rPr>
        <w:t xml:space="preserve">has been </w:t>
      </w:r>
      <w:r w:rsidRPr="00AB15CD">
        <w:rPr>
          <w:rFonts w:ascii="Calibri" w:hAnsi="Calibri" w:cs="Calibri"/>
        </w:rPr>
        <w:t xml:space="preserve">identified in </w:t>
      </w:r>
      <w:r w:rsidR="000A0171" w:rsidRPr="00AB15CD">
        <w:rPr>
          <w:rFonts w:ascii="Calibri" w:hAnsi="Calibri" w:cs="Calibri"/>
        </w:rPr>
        <w:t xml:space="preserve">the </w:t>
      </w:r>
      <w:r w:rsidR="00E00877" w:rsidRPr="00AB15CD">
        <w:rPr>
          <w:rFonts w:ascii="Calibri" w:hAnsi="Calibri" w:cs="Calibri"/>
        </w:rPr>
        <w:t>report</w:t>
      </w:r>
      <w:r w:rsidR="00DD2552" w:rsidRPr="00AB15CD">
        <w:rPr>
          <w:rFonts w:ascii="Calibri" w:hAnsi="Calibri" w:cs="Calibri"/>
        </w:rPr>
        <w:t xml:space="preserve">. </w:t>
      </w:r>
      <w:r w:rsidR="00E00877" w:rsidRPr="00AB15CD">
        <w:rPr>
          <w:rFonts w:ascii="Calibri" w:hAnsi="Calibri" w:cs="Calibri"/>
        </w:rPr>
        <w:t xml:space="preserve"> </w:t>
      </w:r>
      <w:r w:rsidR="00A94968" w:rsidRPr="00AB15CD">
        <w:rPr>
          <w:rFonts w:ascii="Calibri" w:hAnsi="Calibri" w:cs="Calibri"/>
        </w:rPr>
        <w:t>C</w:t>
      </w:r>
      <w:r w:rsidR="003769EB" w:rsidRPr="00AB15CD">
        <w:rPr>
          <w:rFonts w:ascii="Calibri" w:hAnsi="Calibri" w:cs="Calibri"/>
        </w:rPr>
        <w:t xml:space="preserve">orrections have been made to </w:t>
      </w:r>
      <w:r w:rsidRPr="00AB15CD">
        <w:rPr>
          <w:rFonts w:ascii="Calibri" w:hAnsi="Calibri" w:cs="Calibri"/>
        </w:rPr>
        <w:t>one sentence in section 1.1</w:t>
      </w:r>
      <w:r w:rsidR="00C229A8" w:rsidRPr="00AB15CD">
        <w:rPr>
          <w:rFonts w:ascii="Calibri" w:hAnsi="Calibri" w:cs="Calibri"/>
        </w:rPr>
        <w:t xml:space="preserve"> and </w:t>
      </w:r>
      <w:r w:rsidR="000A0171" w:rsidRPr="00AB15CD">
        <w:rPr>
          <w:rFonts w:ascii="Calibri" w:hAnsi="Calibri" w:cs="Calibri"/>
        </w:rPr>
        <w:t>the corres</w:t>
      </w:r>
      <w:r w:rsidR="003769EB" w:rsidRPr="00AB15CD">
        <w:rPr>
          <w:rFonts w:ascii="Calibri" w:hAnsi="Calibri" w:cs="Calibri"/>
        </w:rPr>
        <w:t>pond</w:t>
      </w:r>
      <w:r w:rsidR="00A94968" w:rsidRPr="00AB15CD">
        <w:rPr>
          <w:rFonts w:ascii="Calibri" w:hAnsi="Calibri" w:cs="Calibri"/>
        </w:rPr>
        <w:t>ing</w:t>
      </w:r>
      <w:r w:rsidR="003769EB" w:rsidRPr="00AB15CD">
        <w:rPr>
          <w:rFonts w:ascii="Calibri" w:hAnsi="Calibri" w:cs="Calibri"/>
        </w:rPr>
        <w:t xml:space="preserve"> chart in </w:t>
      </w:r>
      <w:r w:rsidR="009C03E6" w:rsidRPr="00AB15CD">
        <w:rPr>
          <w:rFonts w:ascii="Calibri" w:hAnsi="Calibri" w:cs="Calibri"/>
        </w:rPr>
        <w:t>F</w:t>
      </w:r>
      <w:r w:rsidR="00C229A8" w:rsidRPr="00AB15CD">
        <w:rPr>
          <w:rFonts w:ascii="Calibri" w:hAnsi="Calibri" w:cs="Calibri"/>
        </w:rPr>
        <w:t>igure</w:t>
      </w:r>
      <w:r w:rsidR="009C03E6" w:rsidRPr="00AB15CD">
        <w:rPr>
          <w:rFonts w:ascii="Calibri" w:hAnsi="Calibri" w:cs="Calibri"/>
        </w:rPr>
        <w:t xml:space="preserve"> 2</w:t>
      </w:r>
      <w:r w:rsidR="005F72ED" w:rsidRPr="00AB15CD">
        <w:rPr>
          <w:rFonts w:ascii="Calibri" w:hAnsi="Calibri" w:cs="Calibri"/>
        </w:rPr>
        <w:t xml:space="preserve">. </w:t>
      </w:r>
      <w:r w:rsidRPr="00AB15CD">
        <w:rPr>
          <w:rFonts w:ascii="Calibri" w:hAnsi="Calibri" w:cs="Calibri"/>
        </w:rPr>
        <w:t xml:space="preserve">The error </w:t>
      </w:r>
      <w:r w:rsidR="0095467F">
        <w:rPr>
          <w:rFonts w:ascii="Calibri" w:hAnsi="Calibri" w:cs="Calibri"/>
        </w:rPr>
        <w:t>was the transposition of</w:t>
      </w:r>
      <w:r w:rsidR="008C781F" w:rsidRPr="00AB15CD">
        <w:rPr>
          <w:rFonts w:ascii="Calibri" w:hAnsi="Calibri" w:cs="Calibri"/>
        </w:rPr>
        <w:t xml:space="preserve"> </w:t>
      </w:r>
      <w:r w:rsidRPr="00AB15CD">
        <w:rPr>
          <w:rFonts w:ascii="Calibri" w:hAnsi="Calibri" w:cs="Calibri"/>
        </w:rPr>
        <w:t xml:space="preserve">negative prices for </w:t>
      </w:r>
      <w:r w:rsidR="009C03E6" w:rsidRPr="00AB15CD">
        <w:rPr>
          <w:rFonts w:ascii="Calibri" w:hAnsi="Calibri" w:cs="Calibri"/>
        </w:rPr>
        <w:t>Queensland</w:t>
      </w:r>
      <w:r w:rsidR="008C781F" w:rsidRPr="00AB15CD">
        <w:rPr>
          <w:rFonts w:ascii="Calibri" w:hAnsi="Calibri" w:cs="Calibri"/>
        </w:rPr>
        <w:t xml:space="preserve"> and NSW</w:t>
      </w:r>
      <w:r w:rsidR="0095467F">
        <w:rPr>
          <w:rFonts w:ascii="Calibri" w:hAnsi="Calibri" w:cs="Calibri"/>
        </w:rPr>
        <w:t>, resulting in incorrect figures for each state</w:t>
      </w:r>
      <w:r w:rsidRPr="00AB15CD">
        <w:rPr>
          <w:rFonts w:ascii="Calibri" w:hAnsi="Calibri" w:cs="Calibri"/>
        </w:rPr>
        <w:t xml:space="preserve">. </w:t>
      </w:r>
    </w:p>
    <w:p w14:paraId="4789639E" w14:textId="7C503DC2" w:rsidR="00F04EEF" w:rsidRPr="00AB15CD" w:rsidRDefault="00F04EEF" w:rsidP="00F04EEF">
      <w:pPr>
        <w:rPr>
          <w:rFonts w:ascii="Calibri" w:hAnsi="Calibri" w:cs="Calibri"/>
        </w:rPr>
      </w:pPr>
      <w:r w:rsidRPr="00AB15CD">
        <w:rPr>
          <w:rFonts w:ascii="Calibri" w:hAnsi="Calibri" w:cs="Calibri"/>
        </w:rPr>
        <w:t>On p.1</w:t>
      </w:r>
      <w:r w:rsidR="007C4F86" w:rsidRPr="00AB15CD">
        <w:rPr>
          <w:rFonts w:ascii="Calibri" w:hAnsi="Calibri" w:cs="Calibri"/>
        </w:rPr>
        <w:t xml:space="preserve"> of the report</w:t>
      </w:r>
      <w:r w:rsidR="009C03E6" w:rsidRPr="00AB15CD">
        <w:rPr>
          <w:rFonts w:ascii="Calibri" w:hAnsi="Calibri" w:cs="Calibri"/>
        </w:rPr>
        <w:t>,</w:t>
      </w:r>
      <w:r w:rsidRPr="00AB15CD">
        <w:rPr>
          <w:rFonts w:ascii="Calibri" w:hAnsi="Calibri" w:cs="Calibri"/>
        </w:rPr>
        <w:t xml:space="preserve"> the following sentence has been amended as follows:</w:t>
      </w:r>
    </w:p>
    <w:p w14:paraId="1CC83BF2" w14:textId="1CDB6838" w:rsidR="007C4F86" w:rsidRPr="00AB15CD" w:rsidRDefault="007C4F86" w:rsidP="00F04EEF">
      <w:pPr>
        <w:rPr>
          <w:rFonts w:ascii="Calibri" w:hAnsi="Calibri" w:cs="Calibri"/>
        </w:rPr>
      </w:pPr>
      <w:r w:rsidRPr="00AB15CD">
        <w:rPr>
          <w:rFonts w:ascii="Calibri" w:hAnsi="Calibri" w:cs="Calibri"/>
        </w:rPr>
        <w:t>Original sentence:</w:t>
      </w:r>
    </w:p>
    <w:p w14:paraId="381A757E" w14:textId="1C78B84A" w:rsidR="00C229A8" w:rsidRPr="00AB15CD" w:rsidRDefault="00C229A8" w:rsidP="00F446AA">
      <w:pPr>
        <w:pStyle w:val="ListBullet"/>
        <w:numPr>
          <w:ilvl w:val="0"/>
          <w:numId w:val="20"/>
        </w:numPr>
        <w:tabs>
          <w:tab w:val="clear" w:pos="340"/>
        </w:tabs>
        <w:spacing w:after="120" w:line="276" w:lineRule="auto"/>
        <w:ind w:left="357" w:hanging="357"/>
        <w:rPr>
          <w:rFonts w:ascii="Calibri" w:hAnsi="Calibri" w:cs="Calibri"/>
          <w:lang w:eastAsia="ja-JP"/>
        </w:rPr>
      </w:pPr>
      <w:r w:rsidRPr="00AB15CD">
        <w:rPr>
          <w:rFonts w:ascii="Calibri" w:hAnsi="Calibri" w:cs="Calibri"/>
          <w:lang w:eastAsia="ja-JP"/>
        </w:rPr>
        <w:t xml:space="preserve">This quarter saw an increase in negative-priced 30-minute periods for the NEM compared with the same quarter last year, with significant increases in Queensland and NSW. </w:t>
      </w:r>
      <w:r w:rsidR="00A20DF1" w:rsidRPr="00AB15CD">
        <w:rPr>
          <w:rFonts w:ascii="Calibri" w:hAnsi="Calibri" w:cs="Calibri"/>
          <w:lang w:eastAsia="ja-JP"/>
        </w:rPr>
        <w:t>A new record of 699 negative prices was set for NSW in this quarter, driven by large-scale solar and wind setting the price more often.</w:t>
      </w:r>
    </w:p>
    <w:p w14:paraId="589184E2" w14:textId="77777777" w:rsidR="00F04EEF" w:rsidRPr="00AB15CD" w:rsidRDefault="00F04EEF" w:rsidP="00F04EEF">
      <w:pPr>
        <w:rPr>
          <w:rFonts w:ascii="Calibri" w:hAnsi="Calibri" w:cs="Calibri"/>
        </w:rPr>
      </w:pPr>
      <w:r w:rsidRPr="00AB15CD">
        <w:rPr>
          <w:rFonts w:ascii="Calibri" w:hAnsi="Calibri" w:cs="Calibri"/>
        </w:rPr>
        <w:t xml:space="preserve">Has been amended to: </w:t>
      </w:r>
    </w:p>
    <w:p w14:paraId="5EE3140B" w14:textId="77777777" w:rsidR="00C229A8" w:rsidRPr="00AB15CD" w:rsidRDefault="00C229A8" w:rsidP="00F446AA">
      <w:pPr>
        <w:pStyle w:val="ListBullet"/>
        <w:numPr>
          <w:ilvl w:val="0"/>
          <w:numId w:val="20"/>
        </w:numPr>
        <w:tabs>
          <w:tab w:val="clear" w:pos="340"/>
        </w:tabs>
        <w:spacing w:after="120" w:line="276" w:lineRule="auto"/>
        <w:ind w:left="357" w:hanging="357"/>
        <w:rPr>
          <w:rFonts w:ascii="Calibri" w:hAnsi="Calibri" w:cs="Calibri"/>
          <w:lang w:eastAsia="ja-JP"/>
        </w:rPr>
      </w:pPr>
      <w:r w:rsidRPr="00AB15CD">
        <w:rPr>
          <w:rFonts w:ascii="Calibri" w:hAnsi="Calibri" w:cs="Calibri"/>
          <w:lang w:eastAsia="ja-JP"/>
        </w:rPr>
        <w:t xml:space="preserve">This quarter saw an increase in negative-priced 30-minute periods for the NEM compared with the same quarter last year, with significant increases in Queensland and NSW. </w:t>
      </w:r>
    </w:p>
    <w:p w14:paraId="734F85B2" w14:textId="6F7544EC" w:rsidR="00C229A8" w:rsidRDefault="00A20DF1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  <w:r w:rsidRPr="00AB15CD">
        <w:rPr>
          <w:rFonts w:ascii="Calibri" w:hAnsi="Calibri" w:cs="Calibri"/>
        </w:rPr>
        <w:t>On p.6</w:t>
      </w:r>
      <w:r w:rsidR="00E00877" w:rsidRPr="00AB15CD">
        <w:rPr>
          <w:rFonts w:ascii="Calibri" w:hAnsi="Calibri" w:cs="Calibri"/>
        </w:rPr>
        <w:t xml:space="preserve"> of the report</w:t>
      </w:r>
      <w:r w:rsidRPr="00AB15CD">
        <w:rPr>
          <w:rFonts w:ascii="Calibri" w:hAnsi="Calibri" w:cs="Calibri"/>
        </w:rPr>
        <w:t>, Figure 2 has been updated to reflect the correct number of negative prices for</w:t>
      </w:r>
      <w:r w:rsidR="007C4F86" w:rsidRPr="00AB15CD">
        <w:rPr>
          <w:rFonts w:ascii="Calibri" w:hAnsi="Calibri" w:cs="Calibri"/>
        </w:rPr>
        <w:t xml:space="preserve"> </w:t>
      </w:r>
      <w:r w:rsidRPr="00AB15CD">
        <w:rPr>
          <w:rFonts w:ascii="Calibri" w:hAnsi="Calibri" w:cs="Calibri"/>
        </w:rPr>
        <w:t>Queensland</w:t>
      </w:r>
      <w:r w:rsidR="007C4F86" w:rsidRPr="00AB15CD">
        <w:rPr>
          <w:rFonts w:ascii="Calibri" w:hAnsi="Calibri" w:cs="Calibri"/>
        </w:rPr>
        <w:t xml:space="preserve"> and NSW</w:t>
      </w:r>
      <w:r w:rsidRPr="00AB15CD">
        <w:rPr>
          <w:rFonts w:ascii="Calibri" w:hAnsi="Calibri" w:cs="Calibri"/>
        </w:rPr>
        <w:t xml:space="preserve">. </w:t>
      </w:r>
      <w:r w:rsidR="003506D4">
        <w:rPr>
          <w:rFonts w:ascii="Calibri" w:hAnsi="Calibri" w:cs="Calibri"/>
        </w:rPr>
        <w:t xml:space="preserve">In Q1 2025, it was 496 for Queensland and 699 for NSW and is now 699 for Queensland and 496 for NSW. </w:t>
      </w:r>
    </w:p>
    <w:p w14:paraId="389C759E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5C37C458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4DB0655F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493BAF69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2B59BAE4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3C7391CF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7135DE05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44BAD9F1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710D1A7A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443E5066" w14:textId="77777777" w:rsidR="00F510C6" w:rsidRDefault="00F510C6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</w:p>
    <w:p w14:paraId="35D7DAC4" w14:textId="6A97890B" w:rsidR="00F510C6" w:rsidRDefault="003C3927" w:rsidP="00A20DF1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="00221C0E">
        <w:rPr>
          <w:rFonts w:ascii="Calibri" w:hAnsi="Calibri" w:cs="Calibri"/>
        </w:rPr>
        <w:t>riginal chart:</w:t>
      </w:r>
      <w:r w:rsidR="00F0639F">
        <w:rPr>
          <w:rFonts w:ascii="Calibri" w:hAnsi="Calibri" w:cs="Calibri"/>
        </w:rPr>
        <w:t xml:space="preserve">                                                                New chart:</w:t>
      </w:r>
    </w:p>
    <w:p w14:paraId="1B48CADF" w14:textId="049655F7" w:rsidR="003C3927" w:rsidRPr="00743A3F" w:rsidRDefault="003C3927" w:rsidP="00743A3F">
      <w:pPr>
        <w:rPr>
          <w:rFonts w:ascii="Calibri" w:hAnsi="Calibri" w:cs="Calibri"/>
          <w:b/>
          <w:bCs/>
          <w:color w:val="F4611F"/>
          <w:sz w:val="18"/>
          <w:szCs w:val="18"/>
        </w:rPr>
      </w:pPr>
      <w:r w:rsidRPr="00743A3F">
        <w:rPr>
          <w:rFonts w:ascii="Calibri" w:hAnsi="Calibri" w:cs="Calibri"/>
          <w:b/>
          <w:bCs/>
          <w:color w:val="F4611F"/>
          <w:sz w:val="18"/>
          <w:szCs w:val="18"/>
        </w:rPr>
        <w:t>Figure 2</w:t>
      </w:r>
      <w:r w:rsidRPr="00743A3F">
        <w:rPr>
          <w:rFonts w:ascii="Calibri" w:hAnsi="Calibri" w:cs="Calibri"/>
          <w:b/>
          <w:bCs/>
          <w:color w:val="F4611F"/>
          <w:sz w:val="18"/>
          <w:szCs w:val="18"/>
        </w:rPr>
        <w:tab/>
        <w:t>Count of 30-minute negative prices per quarter</w:t>
      </w:r>
      <w:r w:rsidR="001C5982" w:rsidRPr="00743A3F">
        <w:rPr>
          <w:rFonts w:ascii="Calibri" w:hAnsi="Calibri" w:cs="Calibri"/>
          <w:b/>
          <w:bCs/>
          <w:color w:val="F4611F"/>
          <w:sz w:val="18"/>
          <w:szCs w:val="18"/>
        </w:rPr>
        <w:t xml:space="preserve">       Figure 2</w:t>
      </w:r>
      <w:r w:rsidR="001C5982" w:rsidRPr="00743A3F">
        <w:rPr>
          <w:rFonts w:ascii="Calibri" w:hAnsi="Calibri" w:cs="Calibri"/>
          <w:b/>
          <w:bCs/>
          <w:color w:val="F4611F"/>
          <w:sz w:val="18"/>
          <w:szCs w:val="18"/>
        </w:rPr>
        <w:tab/>
        <w:t>Count of 30-minute negative prices per quarter</w:t>
      </w:r>
    </w:p>
    <w:p w14:paraId="2D664B86" w14:textId="49B5B9F7" w:rsidR="00327A44" w:rsidRDefault="00D833FC" w:rsidP="00F510C6">
      <w:pPr>
        <w:rPr>
          <w:sz w:val="18"/>
          <w:lang w:eastAsia="ja-JP"/>
        </w:rPr>
      </w:pPr>
      <w:r w:rsidRPr="00D833FC">
        <w:rPr>
          <w:noProof/>
        </w:rPr>
        <w:drawing>
          <wp:inline distT="0" distB="0" distL="0" distR="0" wp14:anchorId="5BAC07A1" wp14:editId="0EDFB5BC">
            <wp:extent cx="2857500" cy="2734310"/>
            <wp:effectExtent l="0" t="0" r="0" b="8890"/>
            <wp:docPr id="80908084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83" cy="276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C8A" w:rsidRPr="00412C8A">
        <w:rPr>
          <w:noProof/>
        </w:rPr>
        <w:drawing>
          <wp:inline distT="0" distB="0" distL="0" distR="0" wp14:anchorId="179EB38E" wp14:editId="2C1EC80A">
            <wp:extent cx="2854325" cy="2734809"/>
            <wp:effectExtent l="0" t="0" r="3175" b="8890"/>
            <wp:docPr id="14294573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51" cy="274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963E" w14:textId="6DF8F86F" w:rsidR="00F510C6" w:rsidRPr="008A6084" w:rsidRDefault="00F510C6" w:rsidP="00F510C6">
      <w:pPr>
        <w:rPr>
          <w:sz w:val="18"/>
          <w:lang w:eastAsia="ja-JP"/>
        </w:rPr>
      </w:pPr>
      <w:r w:rsidRPr="008A6084">
        <w:rPr>
          <w:sz w:val="18"/>
          <w:lang w:eastAsia="ja-JP"/>
        </w:rPr>
        <w:t xml:space="preserve">Note: </w:t>
      </w:r>
      <w:r>
        <w:rPr>
          <w:sz w:val="18"/>
          <w:lang w:eastAsia="ja-JP"/>
        </w:rPr>
        <w:t xml:space="preserve">    </w:t>
      </w:r>
      <w:r w:rsidRPr="008A6084">
        <w:rPr>
          <w:sz w:val="18"/>
          <w:lang w:eastAsia="ja-JP"/>
        </w:rPr>
        <w:t xml:space="preserve">This chart illustrates the number of 30-minute prices under $0 for each quarter. </w:t>
      </w:r>
    </w:p>
    <w:p w14:paraId="1343245F" w14:textId="7CCC2EB2" w:rsidR="00F510C6" w:rsidRPr="00AB15CD" w:rsidRDefault="00F510C6" w:rsidP="00743A3F">
      <w:pPr>
        <w:rPr>
          <w:rFonts w:ascii="Calibri" w:hAnsi="Calibri" w:cs="Calibri"/>
          <w:highlight w:val="yellow"/>
          <w:lang w:eastAsia="ja-JP"/>
        </w:rPr>
      </w:pPr>
      <w:r w:rsidRPr="008A6084">
        <w:rPr>
          <w:sz w:val="18"/>
          <w:lang w:eastAsia="ja-JP"/>
        </w:rPr>
        <w:t>Source: AER analysis using NEM data</w:t>
      </w:r>
      <w:r>
        <w:t>.</w:t>
      </w:r>
    </w:p>
    <w:p w14:paraId="31ABDC6F" w14:textId="7783AA9A" w:rsidR="003C3927" w:rsidRPr="00AB15CD" w:rsidRDefault="00F04EEF" w:rsidP="00AB15CD">
      <w:pPr>
        <w:rPr>
          <w:rFonts w:ascii="Calibri" w:hAnsi="Calibri" w:cs="Calibri"/>
        </w:rPr>
      </w:pPr>
      <w:r w:rsidRPr="00AB15CD">
        <w:rPr>
          <w:rFonts w:ascii="Calibri" w:hAnsi="Calibri" w:cs="Calibri"/>
        </w:rPr>
        <w:t>On p.</w:t>
      </w:r>
      <w:r w:rsidR="00202D7F" w:rsidRPr="00AB15CD">
        <w:rPr>
          <w:rFonts w:ascii="Calibri" w:hAnsi="Calibri" w:cs="Calibri"/>
        </w:rPr>
        <w:t>8</w:t>
      </w:r>
      <w:r w:rsidR="00971F25" w:rsidRPr="00AB15CD">
        <w:rPr>
          <w:rFonts w:ascii="Calibri" w:hAnsi="Calibri" w:cs="Calibri"/>
        </w:rPr>
        <w:t xml:space="preserve"> of the report</w:t>
      </w:r>
      <w:r w:rsidR="005F72ED" w:rsidRPr="00AB15CD">
        <w:rPr>
          <w:rFonts w:ascii="Calibri" w:hAnsi="Calibri" w:cs="Calibri"/>
        </w:rPr>
        <w:t xml:space="preserve">, Figure </w:t>
      </w:r>
      <w:r w:rsidR="007E070B" w:rsidRPr="00AB15CD">
        <w:rPr>
          <w:rFonts w:ascii="Calibri" w:hAnsi="Calibri" w:cs="Calibri"/>
        </w:rPr>
        <w:t>2</w:t>
      </w:r>
      <w:r w:rsidR="005F72ED" w:rsidRPr="00AB15CD">
        <w:rPr>
          <w:rFonts w:ascii="Calibri" w:hAnsi="Calibri" w:cs="Calibri"/>
        </w:rPr>
        <w:t xml:space="preserve"> </w:t>
      </w:r>
      <w:r w:rsidR="004572A1" w:rsidRPr="00AB15CD">
        <w:rPr>
          <w:rFonts w:ascii="Calibri" w:hAnsi="Calibri" w:cs="Calibri"/>
        </w:rPr>
        <w:t>was</w:t>
      </w:r>
      <w:r w:rsidR="005C04F4" w:rsidRPr="00AB15CD">
        <w:rPr>
          <w:rFonts w:ascii="Calibri" w:hAnsi="Calibri" w:cs="Calibri"/>
        </w:rPr>
        <w:t xml:space="preserve"> numbered incorrectly </w:t>
      </w:r>
      <w:r w:rsidR="004572A1" w:rsidRPr="00AB15CD">
        <w:rPr>
          <w:rFonts w:ascii="Calibri" w:hAnsi="Calibri" w:cs="Calibri"/>
        </w:rPr>
        <w:t>(</w:t>
      </w:r>
      <w:r w:rsidR="00D07728" w:rsidRPr="00AB15CD">
        <w:rPr>
          <w:rFonts w:ascii="Calibri" w:hAnsi="Calibri" w:cs="Calibri"/>
        </w:rPr>
        <w:t xml:space="preserve">it </w:t>
      </w:r>
      <w:r w:rsidR="004572A1" w:rsidRPr="00AB15CD">
        <w:rPr>
          <w:rFonts w:ascii="Calibri" w:hAnsi="Calibri" w:cs="Calibri"/>
        </w:rPr>
        <w:t xml:space="preserve">should be Figure 4) and didn’t have all 5 regions in the legend. </w:t>
      </w:r>
      <w:r w:rsidR="00F510C6">
        <w:rPr>
          <w:rFonts w:ascii="Calibri" w:hAnsi="Calibri" w:cs="Calibri"/>
        </w:rPr>
        <w:t xml:space="preserve">Victoria, South Australia and Tasmania are now added in the legend </w:t>
      </w:r>
      <w:r w:rsidR="004572A1" w:rsidRPr="00AB15CD">
        <w:rPr>
          <w:rFonts w:ascii="Calibri" w:hAnsi="Calibri" w:cs="Calibri"/>
        </w:rPr>
        <w:t>as follows:</w:t>
      </w:r>
    </w:p>
    <w:p w14:paraId="1D694355" w14:textId="1134D1E1" w:rsidR="003C3927" w:rsidRPr="00743A3F" w:rsidRDefault="005D40CA" w:rsidP="00743A3F">
      <w:pPr>
        <w:pStyle w:val="ListBullet"/>
        <w:numPr>
          <w:ilvl w:val="0"/>
          <w:numId w:val="0"/>
        </w:numPr>
        <w:ind w:left="340" w:hanging="340"/>
        <w:rPr>
          <w:rFonts w:ascii="Calibri" w:hAnsi="Calibri" w:cs="Calibri"/>
        </w:rPr>
      </w:pPr>
      <w:r>
        <w:rPr>
          <w:rFonts w:ascii="Calibri" w:hAnsi="Calibri" w:cs="Calibri"/>
        </w:rPr>
        <w:t>Original chart:                                                               New chart:</w:t>
      </w:r>
    </w:p>
    <w:p w14:paraId="3B0C2716" w14:textId="490717D8" w:rsidR="00983C2F" w:rsidRDefault="00983C2F" w:rsidP="00983C2F">
      <w:pPr>
        <w:rPr>
          <w:rFonts w:ascii="Calibri" w:hAnsi="Calibri" w:cs="Calibri"/>
          <w:b/>
          <w:bCs/>
          <w:color w:val="F4611F"/>
          <w:sz w:val="20"/>
          <w:szCs w:val="20"/>
        </w:rPr>
      </w:pPr>
      <w:r w:rsidRPr="00743A3F">
        <w:rPr>
          <w:rFonts w:ascii="Calibri" w:hAnsi="Calibri" w:cs="Calibri"/>
          <w:b/>
          <w:bCs/>
          <w:color w:val="F4611F"/>
          <w:sz w:val="20"/>
          <w:szCs w:val="20"/>
        </w:rPr>
        <w:t xml:space="preserve">Figure </w:t>
      </w:r>
      <w:r w:rsidR="00F510C6" w:rsidRPr="00743A3F">
        <w:rPr>
          <w:rFonts w:ascii="Calibri" w:hAnsi="Calibri" w:cs="Calibri"/>
          <w:b/>
          <w:bCs/>
          <w:color w:val="F4611F"/>
          <w:sz w:val="20"/>
          <w:szCs w:val="20"/>
        </w:rPr>
        <w:t>2</w:t>
      </w:r>
      <w:r w:rsidRPr="00743A3F">
        <w:rPr>
          <w:rFonts w:ascii="Calibri" w:hAnsi="Calibri" w:cs="Calibri"/>
          <w:b/>
          <w:bCs/>
          <w:color w:val="F4611F"/>
          <w:sz w:val="20"/>
          <w:szCs w:val="20"/>
        </w:rPr>
        <w:tab/>
        <w:t>Quarterly average rooftop solar output</w:t>
      </w:r>
      <w:r w:rsidR="005D40CA" w:rsidRPr="005D40CA">
        <w:rPr>
          <w:rFonts w:ascii="Calibri" w:hAnsi="Calibri" w:cs="Calibri"/>
          <w:b/>
          <w:bCs/>
          <w:color w:val="F4611F"/>
          <w:sz w:val="20"/>
          <w:szCs w:val="20"/>
        </w:rPr>
        <w:t xml:space="preserve"> </w:t>
      </w:r>
      <w:r w:rsidR="005D40CA">
        <w:rPr>
          <w:rFonts w:ascii="Calibri" w:hAnsi="Calibri" w:cs="Calibri"/>
          <w:b/>
          <w:bCs/>
          <w:color w:val="F4611F"/>
          <w:sz w:val="20"/>
          <w:szCs w:val="20"/>
        </w:rPr>
        <w:t xml:space="preserve">         </w:t>
      </w:r>
      <w:r w:rsidR="00D93CA6">
        <w:rPr>
          <w:rFonts w:ascii="Calibri" w:hAnsi="Calibri" w:cs="Calibri"/>
          <w:b/>
          <w:bCs/>
          <w:color w:val="F4611F"/>
          <w:sz w:val="20"/>
          <w:szCs w:val="20"/>
        </w:rPr>
        <w:t xml:space="preserve"> </w:t>
      </w:r>
      <w:r w:rsidR="005D40CA" w:rsidRPr="006C7869">
        <w:rPr>
          <w:rFonts w:ascii="Calibri" w:hAnsi="Calibri" w:cs="Calibri"/>
          <w:b/>
          <w:bCs/>
          <w:color w:val="F4611F"/>
          <w:sz w:val="20"/>
          <w:szCs w:val="20"/>
        </w:rPr>
        <w:t xml:space="preserve">Figure </w:t>
      </w:r>
      <w:r w:rsidR="005D40CA">
        <w:rPr>
          <w:rFonts w:ascii="Calibri" w:hAnsi="Calibri" w:cs="Calibri"/>
          <w:b/>
          <w:bCs/>
          <w:color w:val="F4611F"/>
          <w:sz w:val="20"/>
          <w:szCs w:val="20"/>
        </w:rPr>
        <w:t>4</w:t>
      </w:r>
      <w:r w:rsidR="005D40CA" w:rsidRPr="006C7869">
        <w:rPr>
          <w:rFonts w:ascii="Calibri" w:hAnsi="Calibri" w:cs="Calibri"/>
          <w:b/>
          <w:bCs/>
          <w:color w:val="F4611F"/>
          <w:sz w:val="20"/>
          <w:szCs w:val="20"/>
        </w:rPr>
        <w:tab/>
      </w:r>
      <w:r w:rsidR="00D93CA6">
        <w:rPr>
          <w:rFonts w:ascii="Calibri" w:hAnsi="Calibri" w:cs="Calibri"/>
          <w:b/>
          <w:bCs/>
          <w:color w:val="F4611F"/>
          <w:sz w:val="20"/>
          <w:szCs w:val="20"/>
        </w:rPr>
        <w:t xml:space="preserve"> </w:t>
      </w:r>
      <w:r w:rsidR="005D40CA" w:rsidRPr="006C7869">
        <w:rPr>
          <w:rFonts w:ascii="Calibri" w:hAnsi="Calibri" w:cs="Calibri"/>
          <w:b/>
          <w:bCs/>
          <w:color w:val="F4611F"/>
          <w:sz w:val="20"/>
          <w:szCs w:val="20"/>
        </w:rPr>
        <w:t>Quarterly average rooftop solar output</w:t>
      </w:r>
    </w:p>
    <w:p w14:paraId="5C443ABA" w14:textId="3ADAE741" w:rsidR="00983C2F" w:rsidRPr="00743A3F" w:rsidRDefault="00E73DBA" w:rsidP="00983C2F">
      <w:pPr>
        <w:rPr>
          <w:rFonts w:ascii="Calibri" w:hAnsi="Calibri" w:cs="Calibri"/>
          <w:b/>
          <w:bCs/>
          <w:color w:val="F4611F"/>
          <w:sz w:val="20"/>
          <w:szCs w:val="20"/>
        </w:rPr>
      </w:pPr>
      <w:r w:rsidRPr="00E73DBA">
        <w:rPr>
          <w:noProof/>
        </w:rPr>
        <w:drawing>
          <wp:inline distT="0" distB="0" distL="0" distR="0" wp14:anchorId="04AD2A56" wp14:editId="0033A30F">
            <wp:extent cx="2813685" cy="2703444"/>
            <wp:effectExtent l="0" t="0" r="5715" b="1905"/>
            <wp:docPr id="1008816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15" cy="273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65A" w:rsidRPr="0098265A">
        <w:rPr>
          <w:rFonts w:ascii="Calibri" w:hAnsi="Calibri" w:cs="Calibri"/>
          <w:b/>
          <w:bCs/>
          <w:color w:val="F4611F"/>
          <w:sz w:val="20"/>
          <w:szCs w:val="20"/>
        </w:rPr>
        <w:t xml:space="preserve"> </w:t>
      </w:r>
      <w:r w:rsidR="0098265A" w:rsidRPr="0098265A">
        <w:rPr>
          <w:noProof/>
        </w:rPr>
        <w:drawing>
          <wp:inline distT="0" distB="0" distL="0" distR="0" wp14:anchorId="21D7E1FB" wp14:editId="57D5DC07">
            <wp:extent cx="2757805" cy="2711395"/>
            <wp:effectExtent l="0" t="0" r="4445" b="0"/>
            <wp:docPr id="6763237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47" cy="273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D334" w14:textId="77777777" w:rsidR="00983C2F" w:rsidRPr="00765C9B" w:rsidRDefault="00983C2F" w:rsidP="00983C2F">
      <w:pPr>
        <w:rPr>
          <w:sz w:val="18"/>
          <w:lang w:eastAsia="ja-JP"/>
        </w:rPr>
      </w:pPr>
      <w:r w:rsidRPr="00765C9B">
        <w:rPr>
          <w:sz w:val="18"/>
          <w:lang w:eastAsia="ja-JP"/>
        </w:rPr>
        <w:t>Note:</w:t>
      </w:r>
      <w:r w:rsidRPr="00765C9B">
        <w:rPr>
          <w:sz w:val="18"/>
          <w:lang w:eastAsia="ja-JP"/>
        </w:rPr>
        <w:tab/>
      </w:r>
      <w:r>
        <w:rPr>
          <w:sz w:val="18"/>
          <w:lang w:eastAsia="ja-JP"/>
        </w:rPr>
        <w:t>Shows average rooftop solar output by region and quarter. Due to the time-of-day pattern of solar output, maximum output can be several times higher than average output.</w:t>
      </w:r>
    </w:p>
    <w:p w14:paraId="0BEB8E48" w14:textId="7AE68EF6" w:rsidR="00983C2F" w:rsidRDefault="00983C2F" w:rsidP="005C04F4">
      <w:r w:rsidRPr="00765C9B">
        <w:rPr>
          <w:sz w:val="18"/>
          <w:lang w:eastAsia="ja-JP"/>
        </w:rPr>
        <w:t>Source:</w:t>
      </w:r>
      <w:r>
        <w:rPr>
          <w:sz w:val="18"/>
          <w:lang w:eastAsia="ja-JP"/>
        </w:rPr>
        <w:tab/>
        <w:t>AER analysis using AEMO rooftop PV data.</w:t>
      </w:r>
    </w:p>
    <w:p w14:paraId="302F6463" w14:textId="77777777" w:rsidR="003506D4" w:rsidRDefault="003506D4" w:rsidP="005C04F4">
      <w:pPr>
        <w:rPr>
          <w:rFonts w:ascii="Calibri" w:hAnsi="Calibri" w:cs="Calibri"/>
        </w:rPr>
      </w:pPr>
    </w:p>
    <w:p w14:paraId="118F0296" w14:textId="403C4FA2" w:rsidR="006751D4" w:rsidRPr="00AB15CD" w:rsidRDefault="00D2435C" w:rsidP="00D51607">
      <w:pPr>
        <w:rPr>
          <w:rFonts w:ascii="Calibri" w:hAnsi="Calibri" w:cs="Calibri"/>
          <w:b/>
          <w:bCs/>
        </w:rPr>
      </w:pPr>
      <w:r w:rsidRPr="00AB15CD">
        <w:rPr>
          <w:rFonts w:ascii="Calibri" w:hAnsi="Calibri" w:cs="Calibri"/>
          <w:b/>
          <w:bCs/>
        </w:rPr>
        <w:lastRenderedPageBreak/>
        <w:t>Q1 2025 Wholesale ma</w:t>
      </w:r>
      <w:r w:rsidR="008F55C3" w:rsidRPr="00AB15CD">
        <w:rPr>
          <w:rFonts w:ascii="Calibri" w:hAnsi="Calibri" w:cs="Calibri"/>
          <w:b/>
          <w:bCs/>
        </w:rPr>
        <w:t>rkets quarterly report data</w:t>
      </w:r>
    </w:p>
    <w:p w14:paraId="27F404D6" w14:textId="77FDCB40" w:rsidR="008F55C3" w:rsidRPr="00AB15CD" w:rsidRDefault="00284E8F" w:rsidP="00D51607">
      <w:pPr>
        <w:rPr>
          <w:rFonts w:ascii="Calibri" w:hAnsi="Calibri" w:cs="Calibri"/>
        </w:rPr>
      </w:pPr>
      <w:r w:rsidRPr="00AB15CD">
        <w:rPr>
          <w:rFonts w:ascii="Calibri" w:hAnsi="Calibri" w:cs="Calibri"/>
        </w:rPr>
        <w:t xml:space="preserve">The same error was also identified in the </w:t>
      </w:r>
      <w:r w:rsidR="00405CC0" w:rsidRPr="00AB15CD">
        <w:rPr>
          <w:rFonts w:ascii="Calibri" w:hAnsi="Calibri" w:cs="Calibri"/>
        </w:rPr>
        <w:t>Wholesale markets quarterly - Q1 2025 report</w:t>
      </w:r>
      <w:r w:rsidR="00405CC0" w:rsidRPr="00AB15CD" w:rsidDel="00405CC0">
        <w:rPr>
          <w:rFonts w:ascii="Calibri" w:hAnsi="Calibri" w:cs="Calibri"/>
        </w:rPr>
        <w:t xml:space="preserve"> </w:t>
      </w:r>
      <w:r w:rsidR="009134DB" w:rsidRPr="00AB15CD">
        <w:rPr>
          <w:rFonts w:ascii="Calibri" w:hAnsi="Calibri" w:cs="Calibri"/>
        </w:rPr>
        <w:t xml:space="preserve">data. </w:t>
      </w:r>
      <w:r w:rsidR="00F510C6">
        <w:rPr>
          <w:rFonts w:ascii="Calibri" w:hAnsi="Calibri" w:cs="Calibri"/>
        </w:rPr>
        <w:t xml:space="preserve">In Q1 2025, it was 496 for Queensland and 699 for NSW and is now 699 for Queensland and 496 for NSW. </w:t>
      </w:r>
      <w:r w:rsidR="00405CC0" w:rsidRPr="00AB15CD">
        <w:rPr>
          <w:rFonts w:ascii="Calibri" w:hAnsi="Calibri" w:cs="Calibri"/>
        </w:rPr>
        <w:t>The d</w:t>
      </w:r>
      <w:r w:rsidR="008F55C3" w:rsidRPr="00AB15CD">
        <w:rPr>
          <w:rFonts w:ascii="Calibri" w:hAnsi="Calibri" w:cs="Calibri"/>
        </w:rPr>
        <w:t xml:space="preserve">ata and </w:t>
      </w:r>
      <w:r w:rsidR="00896CC2" w:rsidRPr="00AB15CD">
        <w:rPr>
          <w:rFonts w:ascii="Calibri" w:hAnsi="Calibri" w:cs="Calibri"/>
        </w:rPr>
        <w:t xml:space="preserve">the </w:t>
      </w:r>
      <w:r w:rsidR="008D2966" w:rsidRPr="00AB15CD">
        <w:rPr>
          <w:rFonts w:ascii="Calibri" w:hAnsi="Calibri" w:cs="Calibri"/>
        </w:rPr>
        <w:t>chart in Figure 2 ha</w:t>
      </w:r>
      <w:r w:rsidR="00896CC2" w:rsidRPr="00AB15CD">
        <w:rPr>
          <w:rFonts w:ascii="Calibri" w:hAnsi="Calibri" w:cs="Calibri"/>
        </w:rPr>
        <w:t>ve</w:t>
      </w:r>
      <w:r w:rsidR="008D2966" w:rsidRPr="00AB15CD">
        <w:rPr>
          <w:rFonts w:ascii="Calibri" w:hAnsi="Calibri" w:cs="Calibri"/>
        </w:rPr>
        <w:t xml:space="preserve"> been updated</w:t>
      </w:r>
      <w:r w:rsidR="00442F2B" w:rsidRPr="00AB15CD">
        <w:rPr>
          <w:rFonts w:ascii="Calibri" w:hAnsi="Calibri" w:cs="Calibri"/>
        </w:rPr>
        <w:t xml:space="preserve"> </w:t>
      </w:r>
      <w:r w:rsidR="00983C2F">
        <w:rPr>
          <w:rFonts w:ascii="Calibri" w:hAnsi="Calibri" w:cs="Calibri"/>
        </w:rPr>
        <w:t>as follows</w:t>
      </w:r>
      <w:r w:rsidR="00442F2B" w:rsidRPr="00AB15CD">
        <w:rPr>
          <w:rFonts w:ascii="Calibri" w:hAnsi="Calibri" w:cs="Calibri"/>
        </w:rPr>
        <w:t>:</w:t>
      </w:r>
    </w:p>
    <w:p w14:paraId="1EC54F2C" w14:textId="5E6B5627" w:rsidR="00983C2F" w:rsidRDefault="00983C2F" w:rsidP="00D51607">
      <w:pPr>
        <w:rPr>
          <w:rFonts w:ascii="Calibri" w:hAnsi="Calibri" w:cs="Calibri"/>
        </w:rPr>
      </w:pPr>
      <w:r>
        <w:rPr>
          <w:rFonts w:ascii="Calibri" w:hAnsi="Calibri" w:cs="Calibri"/>
        </w:rPr>
        <w:t>Original data:</w:t>
      </w:r>
    </w:p>
    <w:p w14:paraId="583872B5" w14:textId="77777777" w:rsidR="00983C2F" w:rsidRPr="00AB15CD" w:rsidRDefault="00983C2F" w:rsidP="00743A3F">
      <w:pPr>
        <w:rPr>
          <w:rFonts w:ascii="Calibri" w:eastAsia="Times New Roman" w:hAnsi="Calibri" w:cs="Calibri"/>
          <w:b/>
          <w:bCs/>
          <w:color w:val="4472C4"/>
        </w:rPr>
      </w:pPr>
      <w:r w:rsidRPr="00AB15CD">
        <w:rPr>
          <w:rFonts w:ascii="Calibri" w:eastAsia="Times New Roman" w:hAnsi="Calibri" w:cs="Calibri"/>
          <w:b/>
          <w:bCs/>
          <w:color w:val="4472C4"/>
        </w:rPr>
        <w:t>Figure 2 - Count of 30-minute negative prices per quarter</w:t>
      </w:r>
    </w:p>
    <w:p w14:paraId="08957DD2" w14:textId="77777777" w:rsidR="00983C2F" w:rsidRPr="00AB15CD" w:rsidRDefault="00983C2F" w:rsidP="00983C2F">
      <w:pPr>
        <w:spacing w:before="0"/>
        <w:rPr>
          <w:rFonts w:ascii="Calibri" w:eastAsia="Times New Roman" w:hAnsi="Calibri" w:cs="Calibri"/>
          <w:b/>
          <w:bCs/>
          <w:color w:val="4472C4"/>
        </w:rPr>
      </w:pPr>
    </w:p>
    <w:tbl>
      <w:tblPr>
        <w:tblW w:w="8032" w:type="dxa"/>
        <w:tblLook w:val="04A0" w:firstRow="1" w:lastRow="0" w:firstColumn="1" w:lastColumn="0" w:noHBand="0" w:noVBand="1"/>
      </w:tblPr>
      <w:tblGrid>
        <w:gridCol w:w="880"/>
        <w:gridCol w:w="880"/>
        <w:gridCol w:w="1312"/>
        <w:gridCol w:w="1240"/>
        <w:gridCol w:w="1240"/>
        <w:gridCol w:w="1240"/>
        <w:gridCol w:w="1240"/>
      </w:tblGrid>
      <w:tr w:rsidR="00983C2F" w:rsidRPr="005441AD" w14:paraId="3A2D2476" w14:textId="77777777" w:rsidTr="00DD32FB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A08A2A0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6853BCF3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6F849489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Queensland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4C4338F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NSW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49EC420D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Victoria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07AED806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South Australia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59A215DA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Tasmania</w:t>
            </w:r>
          </w:p>
        </w:tc>
      </w:tr>
      <w:tr w:rsidR="00983C2F" w:rsidRPr="005441AD" w14:paraId="6D096E54" w14:textId="77777777" w:rsidTr="00DD32FB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9BA8" w14:textId="77777777" w:rsidR="00983C2F" w:rsidRPr="00AB15CD" w:rsidRDefault="00983C2F" w:rsidP="00DD32F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C5F3C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E6D85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C504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14A4E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C4BE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E3C2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983C2F" w:rsidRPr="005441AD" w14:paraId="3B5446CD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7917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2279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B61D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60FF5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F1E7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FB93B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E0A7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</w:tr>
      <w:tr w:rsidR="00983C2F" w:rsidRPr="005441AD" w14:paraId="7E226D32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D0209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3EBC2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85F2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7F1D4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5197F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001EA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539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855</w:t>
            </w:r>
          </w:p>
        </w:tc>
      </w:tr>
      <w:tr w:rsidR="00983C2F" w:rsidRPr="005441AD" w14:paraId="263C155A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1C2A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93A9E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AA48E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7974E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45C43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243069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FD38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639</w:t>
            </w:r>
          </w:p>
        </w:tc>
      </w:tr>
      <w:tr w:rsidR="00983C2F" w:rsidRPr="005441AD" w14:paraId="23596989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BE686" w14:textId="77777777" w:rsidR="00983C2F" w:rsidRPr="00AB15CD" w:rsidRDefault="00983C2F" w:rsidP="00DD32F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791CC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12744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BFB3F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28BC9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97E14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699D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983C2F" w:rsidRPr="005441AD" w14:paraId="4542259C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73BA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80F0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52CEA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8C98D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90E14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CDBF73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82B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983C2F" w:rsidRPr="005441AD" w14:paraId="3B87EC64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BE2C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15210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5EC8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EEFA7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C8488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504F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1E80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983C2F" w:rsidRPr="005441AD" w14:paraId="7B70BA64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94A3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2907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DB607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D052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AB3F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77ABB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038B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983C2F" w:rsidRPr="005441AD" w14:paraId="56626107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98CC" w14:textId="77777777" w:rsidR="00983C2F" w:rsidRPr="00AB15CD" w:rsidRDefault="00983C2F" w:rsidP="00DD32F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975D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888AE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03009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FA549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49718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48AF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983C2F" w:rsidRPr="005441AD" w14:paraId="67F83099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2243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1A36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67A76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4C979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2012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3C323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DA80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</w:tr>
      <w:tr w:rsidR="00983C2F" w:rsidRPr="005441AD" w14:paraId="41B4DA29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3E17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D065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E9CF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792E8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BA173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DAA73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9FF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797</w:t>
            </w:r>
          </w:p>
        </w:tc>
      </w:tr>
      <w:tr w:rsidR="00983C2F" w:rsidRPr="005441AD" w14:paraId="046556FE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402B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49355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4D1F5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7990B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70A32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EF9C8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2A6D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983C2F" w:rsidRPr="005441AD" w14:paraId="38059499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6F503" w14:textId="77777777" w:rsidR="00983C2F" w:rsidRPr="00AB15CD" w:rsidRDefault="00983C2F" w:rsidP="00DD32F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24A68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D5B36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101F4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4D797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F8F8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E9F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</w:tr>
      <w:tr w:rsidR="00983C2F" w:rsidRPr="005441AD" w14:paraId="7A8D2456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8773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26C3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2D478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DB9F7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3FF5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67DF3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A9D9B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983C2F" w:rsidRPr="005441AD" w14:paraId="6697D65F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0010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335E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A508E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0FBEE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D909C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17E85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A9F4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983C2F" w:rsidRPr="005441AD" w14:paraId="52B99E2E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E775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75163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A33A8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C9511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F6945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64978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4C6D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</w:tr>
      <w:tr w:rsidR="00983C2F" w:rsidRPr="005441AD" w14:paraId="63D8DBC1" w14:textId="77777777" w:rsidTr="00DD32F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62779" w14:textId="77777777" w:rsidR="00983C2F" w:rsidRPr="00AB15CD" w:rsidRDefault="00983C2F" w:rsidP="00DD32F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21DA" w14:textId="77777777" w:rsidR="00983C2F" w:rsidRPr="00AB15CD" w:rsidRDefault="00983C2F" w:rsidP="00DD32F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07A51" w14:textId="3FEE5B03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AB15CD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15242" w14:textId="24DF215B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B15CD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DB034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D890B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F2FC9" w14:textId="77777777" w:rsidR="00983C2F" w:rsidRPr="00AB15CD" w:rsidRDefault="00983C2F" w:rsidP="00DD32F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</w:tbl>
    <w:p w14:paraId="641CA2BD" w14:textId="77777777" w:rsidR="00C174A1" w:rsidRDefault="00C174A1" w:rsidP="00983C2F">
      <w:pPr>
        <w:rPr>
          <w:rFonts w:ascii="Calibri" w:hAnsi="Calibri" w:cs="Calibri"/>
        </w:rPr>
      </w:pPr>
    </w:p>
    <w:p w14:paraId="4E110631" w14:textId="77777777" w:rsidR="00C174A1" w:rsidRDefault="00C174A1" w:rsidP="00983C2F">
      <w:pPr>
        <w:rPr>
          <w:rFonts w:ascii="Calibri" w:hAnsi="Calibri" w:cs="Calibri"/>
        </w:rPr>
      </w:pPr>
    </w:p>
    <w:p w14:paraId="3787078E" w14:textId="77777777" w:rsidR="00C174A1" w:rsidRDefault="00C174A1" w:rsidP="00983C2F">
      <w:pPr>
        <w:rPr>
          <w:rFonts w:ascii="Calibri" w:hAnsi="Calibri" w:cs="Calibri"/>
        </w:rPr>
      </w:pPr>
    </w:p>
    <w:p w14:paraId="6D49E120" w14:textId="77777777" w:rsidR="00C174A1" w:rsidRDefault="00C174A1" w:rsidP="00983C2F">
      <w:pPr>
        <w:rPr>
          <w:rFonts w:ascii="Calibri" w:hAnsi="Calibri" w:cs="Calibri"/>
        </w:rPr>
      </w:pPr>
    </w:p>
    <w:p w14:paraId="4854ADBD" w14:textId="77777777" w:rsidR="00C174A1" w:rsidRDefault="00C174A1" w:rsidP="00983C2F">
      <w:pPr>
        <w:rPr>
          <w:rFonts w:ascii="Calibri" w:hAnsi="Calibri" w:cs="Calibri"/>
        </w:rPr>
      </w:pPr>
    </w:p>
    <w:p w14:paraId="2CB9AB96" w14:textId="77777777" w:rsidR="00C174A1" w:rsidRDefault="00C174A1" w:rsidP="00983C2F">
      <w:pPr>
        <w:rPr>
          <w:rFonts w:ascii="Calibri" w:hAnsi="Calibri" w:cs="Calibri"/>
        </w:rPr>
      </w:pPr>
    </w:p>
    <w:p w14:paraId="74D6A56A" w14:textId="77777777" w:rsidR="00C174A1" w:rsidRDefault="00C174A1" w:rsidP="00983C2F">
      <w:pPr>
        <w:rPr>
          <w:rFonts w:ascii="Calibri" w:hAnsi="Calibri" w:cs="Calibri"/>
        </w:rPr>
      </w:pPr>
    </w:p>
    <w:p w14:paraId="2EC5367E" w14:textId="77777777" w:rsidR="00C174A1" w:rsidRDefault="00C174A1" w:rsidP="00983C2F">
      <w:pPr>
        <w:rPr>
          <w:rFonts w:ascii="Calibri" w:hAnsi="Calibri" w:cs="Calibri"/>
        </w:rPr>
      </w:pPr>
    </w:p>
    <w:p w14:paraId="53F2070C" w14:textId="77777777" w:rsidR="00C174A1" w:rsidRDefault="00C174A1" w:rsidP="00983C2F">
      <w:pPr>
        <w:rPr>
          <w:rFonts w:ascii="Calibri" w:hAnsi="Calibri" w:cs="Calibri"/>
        </w:rPr>
      </w:pPr>
    </w:p>
    <w:p w14:paraId="584A069E" w14:textId="77777777" w:rsidR="00C174A1" w:rsidRDefault="00C174A1" w:rsidP="00983C2F">
      <w:pPr>
        <w:rPr>
          <w:rFonts w:ascii="Calibri" w:hAnsi="Calibri" w:cs="Calibri"/>
        </w:rPr>
      </w:pPr>
    </w:p>
    <w:p w14:paraId="2A291B52" w14:textId="77777777" w:rsidR="00C174A1" w:rsidRDefault="00C174A1" w:rsidP="00983C2F">
      <w:pPr>
        <w:rPr>
          <w:rFonts w:ascii="Calibri" w:hAnsi="Calibri" w:cs="Calibri"/>
        </w:rPr>
      </w:pPr>
    </w:p>
    <w:p w14:paraId="00BF60D6" w14:textId="77777777" w:rsidR="00743A3F" w:rsidRDefault="00743A3F" w:rsidP="00983C2F">
      <w:pPr>
        <w:rPr>
          <w:rFonts w:ascii="Calibri" w:hAnsi="Calibri" w:cs="Calibri"/>
        </w:rPr>
      </w:pPr>
    </w:p>
    <w:p w14:paraId="0C114B00" w14:textId="1D632CEE" w:rsidR="00983C2F" w:rsidRPr="00AB15CD" w:rsidRDefault="00983C2F" w:rsidP="00983C2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Has been amended to:</w:t>
      </w:r>
    </w:p>
    <w:p w14:paraId="378CEF0C" w14:textId="52C60085" w:rsidR="00442F2B" w:rsidRPr="00AB15CD" w:rsidRDefault="009134DB" w:rsidP="00743A3F">
      <w:pPr>
        <w:rPr>
          <w:rFonts w:ascii="Calibri" w:eastAsia="Times New Roman" w:hAnsi="Calibri" w:cs="Calibri"/>
          <w:b/>
          <w:bCs/>
          <w:color w:val="4472C4"/>
        </w:rPr>
      </w:pPr>
      <w:r w:rsidRPr="00AB15CD">
        <w:rPr>
          <w:rFonts w:ascii="Calibri" w:eastAsia="Times New Roman" w:hAnsi="Calibri" w:cs="Calibri"/>
          <w:b/>
          <w:bCs/>
          <w:color w:val="4472C4"/>
        </w:rPr>
        <w:t>Figure 2 - Count of 30-minute negative prices per quarter</w:t>
      </w:r>
    </w:p>
    <w:p w14:paraId="018090C1" w14:textId="77777777" w:rsidR="009134DB" w:rsidRPr="00AB15CD" w:rsidRDefault="009134DB" w:rsidP="009134DB">
      <w:pPr>
        <w:spacing w:before="0"/>
        <w:rPr>
          <w:rFonts w:ascii="Calibri" w:eastAsia="Times New Roman" w:hAnsi="Calibri" w:cs="Calibri"/>
          <w:b/>
          <w:bCs/>
          <w:color w:val="4472C4"/>
        </w:rPr>
      </w:pPr>
    </w:p>
    <w:tbl>
      <w:tblPr>
        <w:tblW w:w="8032" w:type="dxa"/>
        <w:tblLook w:val="04A0" w:firstRow="1" w:lastRow="0" w:firstColumn="1" w:lastColumn="0" w:noHBand="0" w:noVBand="1"/>
      </w:tblPr>
      <w:tblGrid>
        <w:gridCol w:w="880"/>
        <w:gridCol w:w="880"/>
        <w:gridCol w:w="1312"/>
        <w:gridCol w:w="1240"/>
        <w:gridCol w:w="1240"/>
        <w:gridCol w:w="1240"/>
        <w:gridCol w:w="1240"/>
      </w:tblGrid>
      <w:tr w:rsidR="00442F2B" w:rsidRPr="005441AD" w14:paraId="2A876AE8" w14:textId="77777777" w:rsidTr="00896CC2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5AE5D9F2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3EE70137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3F266ED3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Queensland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4076784F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NSW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1BF23882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Victoria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366E837B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South Australia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48B6DEA0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Tasmania</w:t>
            </w:r>
          </w:p>
        </w:tc>
      </w:tr>
      <w:tr w:rsidR="00442F2B" w:rsidRPr="005441AD" w14:paraId="31B92AA4" w14:textId="77777777" w:rsidTr="00896CC2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0466" w14:textId="77777777" w:rsidR="00442F2B" w:rsidRPr="00AB15CD" w:rsidRDefault="00442F2B" w:rsidP="00442F2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86C8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59CAC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82943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F39A58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52C36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F267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442F2B" w:rsidRPr="005441AD" w14:paraId="4343C005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5AB86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1F445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4C492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5F625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0D2DD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65800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F19D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</w:tr>
      <w:tr w:rsidR="00442F2B" w:rsidRPr="005441AD" w14:paraId="2145E1E7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4B32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38CAB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824E1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FBC4C0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7BAA2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FE498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16BEB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855</w:t>
            </w:r>
          </w:p>
        </w:tc>
      </w:tr>
      <w:tr w:rsidR="00442F2B" w:rsidRPr="005441AD" w14:paraId="3D30B2BE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811FE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70429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745EE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2754F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B13DD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60005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87AC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639</w:t>
            </w:r>
          </w:p>
        </w:tc>
      </w:tr>
      <w:tr w:rsidR="00442F2B" w:rsidRPr="005441AD" w14:paraId="09950A18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F406" w14:textId="77777777" w:rsidR="00442F2B" w:rsidRPr="00AB15CD" w:rsidRDefault="00442F2B" w:rsidP="00442F2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4B37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5704B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1DBFE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164BB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24262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98B62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442F2B" w:rsidRPr="005441AD" w14:paraId="6D757B3E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E5E1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B431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09244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82C12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F81A2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D0E8D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03E0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442F2B" w:rsidRPr="005441AD" w14:paraId="7D90A62B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F5AE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ED4D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27BAF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FEB2C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DE7E7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6587E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AFDD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42F2B" w:rsidRPr="005441AD" w14:paraId="6F8A10B8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CD9D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BB9B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0EC4C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5E1ED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8EB10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E6D80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932E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442F2B" w:rsidRPr="005441AD" w14:paraId="604CCD3E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47D9" w14:textId="77777777" w:rsidR="00442F2B" w:rsidRPr="00AB15CD" w:rsidRDefault="00442F2B" w:rsidP="00442F2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23F9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E06FC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AED161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35C5E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B4BBA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06A5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442F2B" w:rsidRPr="005441AD" w14:paraId="4DD419E5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B38A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A42E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533AE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C722D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51719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3B92E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DBCD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</w:tr>
      <w:tr w:rsidR="00442F2B" w:rsidRPr="005441AD" w14:paraId="357259C1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23889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D183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55E18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7677B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9AC55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4F9C5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B995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797</w:t>
            </w:r>
          </w:p>
        </w:tc>
      </w:tr>
      <w:tr w:rsidR="00442F2B" w:rsidRPr="005441AD" w14:paraId="617F3671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A05AB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790A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861A7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72899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D42C3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6E9C3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BD26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442F2B" w:rsidRPr="005441AD" w14:paraId="2488AEE2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86C82" w14:textId="77777777" w:rsidR="00442F2B" w:rsidRPr="00AB15CD" w:rsidRDefault="00442F2B" w:rsidP="00442F2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7A0CD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0AFB1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0DD42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52384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04010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A018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</w:tr>
      <w:tr w:rsidR="00442F2B" w:rsidRPr="005441AD" w14:paraId="6179E7EF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9D8BD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8CD2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33D0B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97FED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D7206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C4299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3A913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442F2B" w:rsidRPr="005441AD" w14:paraId="6547BF51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3B836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EA7D1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8B93E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761D5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0E7D8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B1D8A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0955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442F2B" w:rsidRPr="005441AD" w14:paraId="495567A8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38489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23C8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98958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46DF10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870CF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C82C1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D985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</w:tr>
      <w:tr w:rsidR="00442F2B" w:rsidRPr="005441AD" w14:paraId="5B52CEA8" w14:textId="77777777" w:rsidTr="00896CC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6810A" w14:textId="77777777" w:rsidR="00442F2B" w:rsidRPr="00AB15CD" w:rsidRDefault="00442F2B" w:rsidP="00442F2B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15F76" w14:textId="77777777" w:rsidR="00442F2B" w:rsidRPr="00AB15CD" w:rsidRDefault="00442F2B" w:rsidP="00442F2B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5CD"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7EB09" w14:textId="54CE34AD" w:rsidR="00442F2B" w:rsidRPr="00AB15CD" w:rsidRDefault="00CC4AA2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0A8CF" w14:textId="05F53556" w:rsidR="00442F2B" w:rsidRPr="00AB15CD" w:rsidRDefault="00CC4AA2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906CF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7058C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1305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973C" w14:textId="77777777" w:rsidR="00442F2B" w:rsidRPr="00AB15CD" w:rsidRDefault="00442F2B" w:rsidP="00442F2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5CD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</w:tbl>
    <w:p w14:paraId="087B92FD" w14:textId="4BDD9C31" w:rsidR="00A25268" w:rsidRDefault="00A25268" w:rsidP="00A25268">
      <w:pPr>
        <w:pStyle w:val="ListBullet"/>
        <w:numPr>
          <w:ilvl w:val="0"/>
          <w:numId w:val="0"/>
        </w:numPr>
        <w:tabs>
          <w:tab w:val="clear" w:pos="340"/>
        </w:tabs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Original chart:                                                                 New chart:</w:t>
      </w:r>
    </w:p>
    <w:p w14:paraId="07C2B7CD" w14:textId="122BCAB9" w:rsidR="00A25268" w:rsidRPr="006C7869" w:rsidRDefault="00A25268" w:rsidP="00A25268">
      <w:pPr>
        <w:rPr>
          <w:rFonts w:ascii="Calibri" w:hAnsi="Calibri" w:cs="Calibri"/>
          <w:b/>
          <w:bCs/>
          <w:color w:val="F4611F"/>
          <w:sz w:val="18"/>
          <w:szCs w:val="18"/>
        </w:rPr>
      </w:pPr>
      <w:r w:rsidRPr="006C7869">
        <w:rPr>
          <w:rFonts w:ascii="Calibri" w:hAnsi="Calibri" w:cs="Calibri"/>
          <w:b/>
          <w:bCs/>
          <w:color w:val="F4611F"/>
          <w:sz w:val="18"/>
          <w:szCs w:val="18"/>
        </w:rPr>
        <w:t>Figure 2</w:t>
      </w:r>
      <w:r w:rsidRPr="006C7869">
        <w:rPr>
          <w:rFonts w:ascii="Calibri" w:hAnsi="Calibri" w:cs="Calibri"/>
          <w:b/>
          <w:bCs/>
          <w:color w:val="F4611F"/>
          <w:sz w:val="18"/>
          <w:szCs w:val="18"/>
        </w:rPr>
        <w:tab/>
        <w:t>Count of 30-minute negative prices per quarter       Figure 2</w:t>
      </w:r>
      <w:r w:rsidRPr="006C7869">
        <w:rPr>
          <w:rFonts w:ascii="Calibri" w:hAnsi="Calibri" w:cs="Calibri"/>
          <w:b/>
          <w:bCs/>
          <w:color w:val="F4611F"/>
          <w:sz w:val="18"/>
          <w:szCs w:val="18"/>
        </w:rPr>
        <w:tab/>
        <w:t>Count of 30-minute negative prices per quarter</w:t>
      </w:r>
    </w:p>
    <w:p w14:paraId="685F4E73" w14:textId="77777777" w:rsidR="00C174A1" w:rsidRDefault="00A25268" w:rsidP="00C174A1">
      <w:pPr>
        <w:rPr>
          <w:sz w:val="18"/>
          <w:lang w:eastAsia="ja-JP"/>
        </w:rPr>
      </w:pPr>
      <w:r w:rsidRPr="00D833FC">
        <w:rPr>
          <w:noProof/>
        </w:rPr>
        <w:drawing>
          <wp:inline distT="0" distB="0" distL="0" distR="0" wp14:anchorId="4B57A6A9" wp14:editId="7CA174F0">
            <wp:extent cx="2857500" cy="2734310"/>
            <wp:effectExtent l="0" t="0" r="0" b="8890"/>
            <wp:docPr id="11946952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83" cy="276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C8A">
        <w:rPr>
          <w:noProof/>
        </w:rPr>
        <w:drawing>
          <wp:inline distT="0" distB="0" distL="0" distR="0" wp14:anchorId="59100955" wp14:editId="5742DC51">
            <wp:extent cx="2854325" cy="2734809"/>
            <wp:effectExtent l="0" t="0" r="3175" b="8890"/>
            <wp:docPr id="100125346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51" cy="274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4A1" w:rsidRPr="00C174A1">
        <w:rPr>
          <w:sz w:val="18"/>
          <w:lang w:eastAsia="ja-JP"/>
        </w:rPr>
        <w:t xml:space="preserve"> </w:t>
      </w:r>
    </w:p>
    <w:p w14:paraId="06F96973" w14:textId="7602E6DB" w:rsidR="00C174A1" w:rsidRPr="008A6084" w:rsidRDefault="00C174A1" w:rsidP="00C174A1">
      <w:pPr>
        <w:rPr>
          <w:sz w:val="18"/>
          <w:lang w:eastAsia="ja-JP"/>
        </w:rPr>
      </w:pPr>
      <w:r w:rsidRPr="008A6084">
        <w:rPr>
          <w:sz w:val="18"/>
          <w:lang w:eastAsia="ja-JP"/>
        </w:rPr>
        <w:t xml:space="preserve">Note: </w:t>
      </w:r>
      <w:r>
        <w:rPr>
          <w:sz w:val="18"/>
          <w:lang w:eastAsia="ja-JP"/>
        </w:rPr>
        <w:t xml:space="preserve">    </w:t>
      </w:r>
      <w:r w:rsidRPr="008A6084">
        <w:rPr>
          <w:sz w:val="18"/>
          <w:lang w:eastAsia="ja-JP"/>
        </w:rPr>
        <w:t xml:space="preserve">This chart illustrates the number of 30-minute prices under $0 for each quarter. </w:t>
      </w:r>
    </w:p>
    <w:p w14:paraId="4A438EA5" w14:textId="79F08DE7" w:rsidR="00405CC0" w:rsidRPr="00AB15CD" w:rsidRDefault="00C174A1" w:rsidP="00743A3F">
      <w:pPr>
        <w:rPr>
          <w:rFonts w:ascii="Calibri" w:hAnsi="Calibri" w:cs="Calibri"/>
        </w:rPr>
      </w:pPr>
      <w:r w:rsidRPr="008A6084">
        <w:rPr>
          <w:sz w:val="18"/>
          <w:lang w:eastAsia="ja-JP"/>
        </w:rPr>
        <w:t>Source: AER analysis using NEM data</w:t>
      </w:r>
      <w:r>
        <w:t>.</w:t>
      </w:r>
    </w:p>
    <w:sectPr w:rsidR="00405CC0" w:rsidRPr="00AB15CD" w:rsidSect="00C067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2E0B" w14:textId="77777777" w:rsidR="00186C94" w:rsidRDefault="00186C94" w:rsidP="004B4412">
      <w:pPr>
        <w:spacing w:before="0"/>
      </w:pPr>
      <w:r>
        <w:separator/>
      </w:r>
    </w:p>
  </w:endnote>
  <w:endnote w:type="continuationSeparator" w:id="0">
    <w:p w14:paraId="322CD8AA" w14:textId="77777777" w:rsidR="00186C94" w:rsidRDefault="00186C94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5DF4" w14:textId="77777777" w:rsidR="00A936A6" w:rsidRDefault="00A93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9A5B" w14:textId="54D80943" w:rsidR="00132BA7" w:rsidRPr="00B229D7" w:rsidRDefault="00132BA7" w:rsidP="00B229D7">
    <w:pPr>
      <w:tabs>
        <w:tab w:val="center" w:pos="4513"/>
        <w:tab w:val="right" w:pos="8505"/>
      </w:tabs>
      <w:spacing w:after="120" w:line="276" w:lineRule="auto"/>
      <w:rPr>
        <w:sz w:val="18"/>
      </w:rPr>
    </w:pPr>
    <w:r w:rsidRPr="00671AE7">
      <w:rPr>
        <w:sz w:val="18"/>
      </w:rPr>
      <w:tab/>
    </w:r>
    <w:r w:rsidRPr="00671AE7">
      <w:rPr>
        <w:sz w:val="18"/>
      </w:rPr>
      <w:tab/>
    </w:r>
    <w:r w:rsidRPr="00671AE7">
      <w:rPr>
        <w:sz w:val="18"/>
      </w:rPr>
      <w:fldChar w:fldCharType="begin"/>
    </w:r>
    <w:r w:rsidRPr="00671AE7">
      <w:rPr>
        <w:sz w:val="18"/>
      </w:rPr>
      <w:instrText xml:space="preserve"> PAGE   \* MERGEFORMAT </w:instrText>
    </w:r>
    <w:r w:rsidRPr="00671AE7">
      <w:rPr>
        <w:sz w:val="18"/>
      </w:rPr>
      <w:fldChar w:fldCharType="separate"/>
    </w:r>
    <w:r>
      <w:rPr>
        <w:noProof/>
        <w:sz w:val="18"/>
      </w:rPr>
      <w:t>2</w:t>
    </w:r>
    <w:r w:rsidRPr="00671AE7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EAEC" w14:textId="77777777" w:rsidR="00A936A6" w:rsidRDefault="00A93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AC9D" w14:textId="77777777" w:rsidR="00186C94" w:rsidRDefault="00186C94" w:rsidP="004B4412">
      <w:pPr>
        <w:spacing w:before="0"/>
      </w:pPr>
      <w:r>
        <w:separator/>
      </w:r>
    </w:p>
  </w:footnote>
  <w:footnote w:type="continuationSeparator" w:id="0">
    <w:p w14:paraId="563D3952" w14:textId="77777777" w:rsidR="00186C94" w:rsidRDefault="00186C94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E56F" w14:textId="77777777" w:rsidR="00A936A6" w:rsidRDefault="00A93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3E69" w14:textId="77777777" w:rsidR="00A936A6" w:rsidRDefault="00A93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4F2D" w14:textId="77777777" w:rsidR="00A936A6" w:rsidRDefault="00A93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621E791C"/>
    <w:lvl w:ilvl="0">
      <w:start w:val="1"/>
      <w:numFmt w:val="bullet"/>
      <w:pStyle w:val="ListBullet3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7C96F1D6"/>
    <w:lvl w:ilvl="0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06E4D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D95162"/>
    <w:multiLevelType w:val="hybridMultilevel"/>
    <w:tmpl w:val="C918283A"/>
    <w:lvl w:ilvl="0" w:tplc="25A0CB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2D8C" w:themeColor="accen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F519CE"/>
    <w:multiLevelType w:val="multilevel"/>
    <w:tmpl w:val="65B8C7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E48E3"/>
    <w:multiLevelType w:val="hybridMultilevel"/>
    <w:tmpl w:val="585E8502"/>
    <w:lvl w:ilvl="0" w:tplc="06C2B67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3923347D"/>
    <w:multiLevelType w:val="hybridMultilevel"/>
    <w:tmpl w:val="7B4E0586"/>
    <w:lvl w:ilvl="0" w:tplc="CF1ABB3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238FE"/>
    <w:multiLevelType w:val="hybridMultilevel"/>
    <w:tmpl w:val="4C70F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A69E2"/>
    <w:multiLevelType w:val="hybridMultilevel"/>
    <w:tmpl w:val="9CEC99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C36EF8"/>
    <w:multiLevelType w:val="hybridMultilevel"/>
    <w:tmpl w:val="FED6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multilevel"/>
    <w:tmpl w:val="F8CC5C92"/>
    <w:lvl w:ilvl="0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726588A"/>
    <w:multiLevelType w:val="hybridMultilevel"/>
    <w:tmpl w:val="A5E6F114"/>
    <w:lvl w:ilvl="0" w:tplc="6E784FEC">
      <w:start w:val="1"/>
      <w:numFmt w:val="bullet"/>
      <w:pStyle w:val="Bulletpoin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7E2819EC"/>
    <w:multiLevelType w:val="multilevel"/>
    <w:tmpl w:val="0EDEA8A2"/>
    <w:lvl w:ilvl="0">
      <w:start w:val="1"/>
      <w:numFmt w:val="bullet"/>
      <w:pStyle w:val="Bulletpoi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2753016">
    <w:abstractNumId w:val="8"/>
  </w:num>
  <w:num w:numId="2" w16cid:durableId="528371507">
    <w:abstractNumId w:val="24"/>
  </w:num>
  <w:num w:numId="3" w16cid:durableId="204217542">
    <w:abstractNumId w:val="3"/>
  </w:num>
  <w:num w:numId="4" w16cid:durableId="1019159029">
    <w:abstractNumId w:val="2"/>
  </w:num>
  <w:num w:numId="5" w16cid:durableId="2004042372">
    <w:abstractNumId w:val="21"/>
  </w:num>
  <w:num w:numId="6" w16cid:durableId="755513228">
    <w:abstractNumId w:val="13"/>
  </w:num>
  <w:num w:numId="7" w16cid:durableId="370424007">
    <w:abstractNumId w:val="7"/>
  </w:num>
  <w:num w:numId="8" w16cid:durableId="1878927316">
    <w:abstractNumId w:val="9"/>
  </w:num>
  <w:num w:numId="9" w16cid:durableId="2095932259">
    <w:abstractNumId w:val="12"/>
  </w:num>
  <w:num w:numId="10" w16cid:durableId="137500921">
    <w:abstractNumId w:val="0"/>
  </w:num>
  <w:num w:numId="11" w16cid:durableId="1004405211">
    <w:abstractNumId w:val="22"/>
  </w:num>
  <w:num w:numId="12" w16cid:durableId="1891382519">
    <w:abstractNumId w:val="23"/>
  </w:num>
  <w:num w:numId="13" w16cid:durableId="2043244423">
    <w:abstractNumId w:val="18"/>
  </w:num>
  <w:num w:numId="14" w16cid:durableId="1379160820">
    <w:abstractNumId w:val="11"/>
  </w:num>
  <w:num w:numId="15" w16cid:durableId="682903714">
    <w:abstractNumId w:val="19"/>
  </w:num>
  <w:num w:numId="16" w16cid:durableId="943418531">
    <w:abstractNumId w:val="4"/>
  </w:num>
  <w:num w:numId="17" w16cid:durableId="244536913">
    <w:abstractNumId w:val="1"/>
  </w:num>
  <w:num w:numId="18" w16cid:durableId="1836676840">
    <w:abstractNumId w:val="15"/>
  </w:num>
  <w:num w:numId="19" w16cid:durableId="2024821743">
    <w:abstractNumId w:val="20"/>
  </w:num>
  <w:num w:numId="20" w16cid:durableId="835999676">
    <w:abstractNumId w:val="6"/>
  </w:num>
  <w:num w:numId="21" w16cid:durableId="1181626132">
    <w:abstractNumId w:val="17"/>
  </w:num>
  <w:num w:numId="22" w16cid:durableId="2098790588">
    <w:abstractNumId w:val="16"/>
  </w:num>
  <w:num w:numId="23" w16cid:durableId="1527519403">
    <w:abstractNumId w:val="5"/>
  </w:num>
  <w:num w:numId="24" w16cid:durableId="1239634383">
    <w:abstractNumId w:val="14"/>
  </w:num>
  <w:num w:numId="25" w16cid:durableId="107743656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T:\Strat_Comms\Pubs_Design\Templates\ACCC\In Progress\ACCC\ACCC Report Template_04.dotm"/>
  </w:docVars>
  <w:rsids>
    <w:rsidRoot w:val="00F04EEF"/>
    <w:rsid w:val="0000544B"/>
    <w:rsid w:val="00005623"/>
    <w:rsid w:val="00006789"/>
    <w:rsid w:val="000158A1"/>
    <w:rsid w:val="0002115F"/>
    <w:rsid w:val="00021202"/>
    <w:rsid w:val="000219D5"/>
    <w:rsid w:val="000225C4"/>
    <w:rsid w:val="000309A4"/>
    <w:rsid w:val="00030C78"/>
    <w:rsid w:val="0003100C"/>
    <w:rsid w:val="000316FC"/>
    <w:rsid w:val="0003578C"/>
    <w:rsid w:val="0003748B"/>
    <w:rsid w:val="000410DE"/>
    <w:rsid w:val="0004416F"/>
    <w:rsid w:val="000549D5"/>
    <w:rsid w:val="00056C97"/>
    <w:rsid w:val="00057DAF"/>
    <w:rsid w:val="000608BE"/>
    <w:rsid w:val="00062041"/>
    <w:rsid w:val="00063247"/>
    <w:rsid w:val="00070C0C"/>
    <w:rsid w:val="00070F9F"/>
    <w:rsid w:val="0007137B"/>
    <w:rsid w:val="00075F8B"/>
    <w:rsid w:val="00081536"/>
    <w:rsid w:val="0008319C"/>
    <w:rsid w:val="00085663"/>
    <w:rsid w:val="000858B1"/>
    <w:rsid w:val="00085EBF"/>
    <w:rsid w:val="00087AF0"/>
    <w:rsid w:val="000933F6"/>
    <w:rsid w:val="000A0171"/>
    <w:rsid w:val="000A3598"/>
    <w:rsid w:val="000A4206"/>
    <w:rsid w:val="000B2626"/>
    <w:rsid w:val="000B28F6"/>
    <w:rsid w:val="000B60A1"/>
    <w:rsid w:val="000B7FA9"/>
    <w:rsid w:val="000C0FB7"/>
    <w:rsid w:val="000C26CC"/>
    <w:rsid w:val="000C7125"/>
    <w:rsid w:val="000D122C"/>
    <w:rsid w:val="000D6E58"/>
    <w:rsid w:val="000D722C"/>
    <w:rsid w:val="000E1819"/>
    <w:rsid w:val="000E3A2E"/>
    <w:rsid w:val="000E6C72"/>
    <w:rsid w:val="000F2368"/>
    <w:rsid w:val="0010720F"/>
    <w:rsid w:val="001161F2"/>
    <w:rsid w:val="00116EB2"/>
    <w:rsid w:val="00124609"/>
    <w:rsid w:val="00127FCF"/>
    <w:rsid w:val="00132BA7"/>
    <w:rsid w:val="00133D45"/>
    <w:rsid w:val="0014101E"/>
    <w:rsid w:val="0014426C"/>
    <w:rsid w:val="001513C0"/>
    <w:rsid w:val="001526D9"/>
    <w:rsid w:val="00156189"/>
    <w:rsid w:val="001573E4"/>
    <w:rsid w:val="00160756"/>
    <w:rsid w:val="00162580"/>
    <w:rsid w:val="0017232E"/>
    <w:rsid w:val="00174102"/>
    <w:rsid w:val="001766DD"/>
    <w:rsid w:val="00180157"/>
    <w:rsid w:val="00181223"/>
    <w:rsid w:val="00186C94"/>
    <w:rsid w:val="00186F77"/>
    <w:rsid w:val="00190383"/>
    <w:rsid w:val="001926A4"/>
    <w:rsid w:val="001929F8"/>
    <w:rsid w:val="001948CA"/>
    <w:rsid w:val="001A38B5"/>
    <w:rsid w:val="001A4949"/>
    <w:rsid w:val="001A6981"/>
    <w:rsid w:val="001B45A0"/>
    <w:rsid w:val="001B544F"/>
    <w:rsid w:val="001C18EE"/>
    <w:rsid w:val="001C4E84"/>
    <w:rsid w:val="001C5982"/>
    <w:rsid w:val="001D055E"/>
    <w:rsid w:val="001D0E06"/>
    <w:rsid w:val="001E2654"/>
    <w:rsid w:val="001F2685"/>
    <w:rsid w:val="001F3D58"/>
    <w:rsid w:val="001F436D"/>
    <w:rsid w:val="001F492E"/>
    <w:rsid w:val="001F6DA3"/>
    <w:rsid w:val="002026CD"/>
    <w:rsid w:val="00202D7F"/>
    <w:rsid w:val="0021064C"/>
    <w:rsid w:val="00212737"/>
    <w:rsid w:val="00221C0E"/>
    <w:rsid w:val="0022467B"/>
    <w:rsid w:val="00224DB9"/>
    <w:rsid w:val="00251745"/>
    <w:rsid w:val="00251A4F"/>
    <w:rsid w:val="002524EB"/>
    <w:rsid w:val="00256778"/>
    <w:rsid w:val="00263AC0"/>
    <w:rsid w:val="00264472"/>
    <w:rsid w:val="00266D14"/>
    <w:rsid w:val="0026772D"/>
    <w:rsid w:val="00271DE8"/>
    <w:rsid w:val="002721A5"/>
    <w:rsid w:val="002730B3"/>
    <w:rsid w:val="0028103B"/>
    <w:rsid w:val="00284E8F"/>
    <w:rsid w:val="0028677E"/>
    <w:rsid w:val="00286874"/>
    <w:rsid w:val="002915D1"/>
    <w:rsid w:val="00296B65"/>
    <w:rsid w:val="002A07DB"/>
    <w:rsid w:val="002A7DEF"/>
    <w:rsid w:val="002C46C8"/>
    <w:rsid w:val="002C7D40"/>
    <w:rsid w:val="002D7472"/>
    <w:rsid w:val="002F0DA1"/>
    <w:rsid w:val="002F294A"/>
    <w:rsid w:val="002F7986"/>
    <w:rsid w:val="00303C4A"/>
    <w:rsid w:val="003062CC"/>
    <w:rsid w:val="00307F6D"/>
    <w:rsid w:val="00312766"/>
    <w:rsid w:val="003129FF"/>
    <w:rsid w:val="00317140"/>
    <w:rsid w:val="003177A2"/>
    <w:rsid w:val="003221EB"/>
    <w:rsid w:val="003271B5"/>
    <w:rsid w:val="00327A44"/>
    <w:rsid w:val="00327E04"/>
    <w:rsid w:val="00331264"/>
    <w:rsid w:val="003324F1"/>
    <w:rsid w:val="00334C8D"/>
    <w:rsid w:val="00340655"/>
    <w:rsid w:val="003459E6"/>
    <w:rsid w:val="003506D4"/>
    <w:rsid w:val="003518B3"/>
    <w:rsid w:val="00355E94"/>
    <w:rsid w:val="00363926"/>
    <w:rsid w:val="003642F5"/>
    <w:rsid w:val="00367E3B"/>
    <w:rsid w:val="003709E7"/>
    <w:rsid w:val="00372E11"/>
    <w:rsid w:val="00374C60"/>
    <w:rsid w:val="003769EB"/>
    <w:rsid w:val="003846F1"/>
    <w:rsid w:val="0039291E"/>
    <w:rsid w:val="003966EF"/>
    <w:rsid w:val="003A0496"/>
    <w:rsid w:val="003A0A5F"/>
    <w:rsid w:val="003A2139"/>
    <w:rsid w:val="003A671F"/>
    <w:rsid w:val="003A673F"/>
    <w:rsid w:val="003B5A70"/>
    <w:rsid w:val="003C3927"/>
    <w:rsid w:val="003C5E0A"/>
    <w:rsid w:val="003C6B26"/>
    <w:rsid w:val="003D2907"/>
    <w:rsid w:val="003D5061"/>
    <w:rsid w:val="003E5E42"/>
    <w:rsid w:val="003F0FBF"/>
    <w:rsid w:val="003F76BC"/>
    <w:rsid w:val="00401913"/>
    <w:rsid w:val="00405CC0"/>
    <w:rsid w:val="004111BA"/>
    <w:rsid w:val="00412C8A"/>
    <w:rsid w:val="004158BC"/>
    <w:rsid w:val="0044224D"/>
    <w:rsid w:val="00442F2B"/>
    <w:rsid w:val="00443703"/>
    <w:rsid w:val="00443F72"/>
    <w:rsid w:val="00447B6D"/>
    <w:rsid w:val="00451A99"/>
    <w:rsid w:val="004572A1"/>
    <w:rsid w:val="00462352"/>
    <w:rsid w:val="0047153E"/>
    <w:rsid w:val="00471942"/>
    <w:rsid w:val="0047298B"/>
    <w:rsid w:val="00475209"/>
    <w:rsid w:val="00475D2B"/>
    <w:rsid w:val="00475DDE"/>
    <w:rsid w:val="0047684B"/>
    <w:rsid w:val="00477E77"/>
    <w:rsid w:val="00480B4B"/>
    <w:rsid w:val="00482318"/>
    <w:rsid w:val="00485DC4"/>
    <w:rsid w:val="004909AA"/>
    <w:rsid w:val="00492598"/>
    <w:rsid w:val="004A2055"/>
    <w:rsid w:val="004A732F"/>
    <w:rsid w:val="004B2624"/>
    <w:rsid w:val="004B4412"/>
    <w:rsid w:val="004C348C"/>
    <w:rsid w:val="004C7F0F"/>
    <w:rsid w:val="004D55BA"/>
    <w:rsid w:val="004D7F94"/>
    <w:rsid w:val="004F2EB5"/>
    <w:rsid w:val="00503002"/>
    <w:rsid w:val="005038DB"/>
    <w:rsid w:val="00505F28"/>
    <w:rsid w:val="0050632A"/>
    <w:rsid w:val="005067C7"/>
    <w:rsid w:val="00507084"/>
    <w:rsid w:val="0051489F"/>
    <w:rsid w:val="00530128"/>
    <w:rsid w:val="00532467"/>
    <w:rsid w:val="005329BA"/>
    <w:rsid w:val="005441AD"/>
    <w:rsid w:val="00546761"/>
    <w:rsid w:val="00547CCF"/>
    <w:rsid w:val="00550F68"/>
    <w:rsid w:val="00552139"/>
    <w:rsid w:val="005522A3"/>
    <w:rsid w:val="00553DC8"/>
    <w:rsid w:val="0055520C"/>
    <w:rsid w:val="00555CA4"/>
    <w:rsid w:val="00561A58"/>
    <w:rsid w:val="00563787"/>
    <w:rsid w:val="00564A4D"/>
    <w:rsid w:val="00565C7F"/>
    <w:rsid w:val="00567FFB"/>
    <w:rsid w:val="00571B35"/>
    <w:rsid w:val="00571C9F"/>
    <w:rsid w:val="005770B9"/>
    <w:rsid w:val="00577A09"/>
    <w:rsid w:val="00584D8F"/>
    <w:rsid w:val="0059289A"/>
    <w:rsid w:val="0059292A"/>
    <w:rsid w:val="00592C27"/>
    <w:rsid w:val="00593492"/>
    <w:rsid w:val="00596D42"/>
    <w:rsid w:val="005A3CC7"/>
    <w:rsid w:val="005A404D"/>
    <w:rsid w:val="005B08C7"/>
    <w:rsid w:val="005B1E3C"/>
    <w:rsid w:val="005B2118"/>
    <w:rsid w:val="005B6355"/>
    <w:rsid w:val="005C04F4"/>
    <w:rsid w:val="005C26CC"/>
    <w:rsid w:val="005D1401"/>
    <w:rsid w:val="005D1D9B"/>
    <w:rsid w:val="005D40CA"/>
    <w:rsid w:val="005D5515"/>
    <w:rsid w:val="005D5DB5"/>
    <w:rsid w:val="005E5B61"/>
    <w:rsid w:val="005E5C5B"/>
    <w:rsid w:val="005E6C0E"/>
    <w:rsid w:val="005F72ED"/>
    <w:rsid w:val="00601C69"/>
    <w:rsid w:val="006146F4"/>
    <w:rsid w:val="00614F15"/>
    <w:rsid w:val="00615C6B"/>
    <w:rsid w:val="00616614"/>
    <w:rsid w:val="006213B8"/>
    <w:rsid w:val="0062158E"/>
    <w:rsid w:val="00632D6D"/>
    <w:rsid w:val="00632E83"/>
    <w:rsid w:val="00635FEF"/>
    <w:rsid w:val="00642C3E"/>
    <w:rsid w:val="00642F8C"/>
    <w:rsid w:val="00650503"/>
    <w:rsid w:val="00663DAD"/>
    <w:rsid w:val="00664227"/>
    <w:rsid w:val="00664554"/>
    <w:rsid w:val="0066478D"/>
    <w:rsid w:val="00671AE7"/>
    <w:rsid w:val="006751D4"/>
    <w:rsid w:val="00676679"/>
    <w:rsid w:val="00685508"/>
    <w:rsid w:val="0068645C"/>
    <w:rsid w:val="00687F39"/>
    <w:rsid w:val="00692337"/>
    <w:rsid w:val="00692C43"/>
    <w:rsid w:val="00696334"/>
    <w:rsid w:val="006A500B"/>
    <w:rsid w:val="006A5493"/>
    <w:rsid w:val="006A6F1E"/>
    <w:rsid w:val="006B1EA5"/>
    <w:rsid w:val="006B1F08"/>
    <w:rsid w:val="006B4CF9"/>
    <w:rsid w:val="006B7AC8"/>
    <w:rsid w:val="006B7E97"/>
    <w:rsid w:val="006C0B8C"/>
    <w:rsid w:val="006C232C"/>
    <w:rsid w:val="006C7312"/>
    <w:rsid w:val="006D550F"/>
    <w:rsid w:val="006D5787"/>
    <w:rsid w:val="006D77F3"/>
    <w:rsid w:val="006E01A3"/>
    <w:rsid w:val="006E0AEC"/>
    <w:rsid w:val="006E5E8A"/>
    <w:rsid w:val="006F15C9"/>
    <w:rsid w:val="00701CAB"/>
    <w:rsid w:val="0070527F"/>
    <w:rsid w:val="00707563"/>
    <w:rsid w:val="007101A5"/>
    <w:rsid w:val="007128ED"/>
    <w:rsid w:val="00712AA6"/>
    <w:rsid w:val="007140E9"/>
    <w:rsid w:val="00721E25"/>
    <w:rsid w:val="0072348C"/>
    <w:rsid w:val="00724254"/>
    <w:rsid w:val="00724A37"/>
    <w:rsid w:val="00724E56"/>
    <w:rsid w:val="007303C3"/>
    <w:rsid w:val="00731972"/>
    <w:rsid w:val="00743223"/>
    <w:rsid w:val="00743A3F"/>
    <w:rsid w:val="00746E01"/>
    <w:rsid w:val="007543B0"/>
    <w:rsid w:val="00760270"/>
    <w:rsid w:val="00761BD9"/>
    <w:rsid w:val="00763008"/>
    <w:rsid w:val="00763E5D"/>
    <w:rsid w:val="00767740"/>
    <w:rsid w:val="00777EE6"/>
    <w:rsid w:val="00782EEA"/>
    <w:rsid w:val="00783041"/>
    <w:rsid w:val="007840E8"/>
    <w:rsid w:val="00785952"/>
    <w:rsid w:val="00786E92"/>
    <w:rsid w:val="00792606"/>
    <w:rsid w:val="0079686F"/>
    <w:rsid w:val="00797B0E"/>
    <w:rsid w:val="007A36C2"/>
    <w:rsid w:val="007B1E94"/>
    <w:rsid w:val="007B2C72"/>
    <w:rsid w:val="007C1C53"/>
    <w:rsid w:val="007C4F86"/>
    <w:rsid w:val="007C5708"/>
    <w:rsid w:val="007C6994"/>
    <w:rsid w:val="007C79EF"/>
    <w:rsid w:val="007D0D13"/>
    <w:rsid w:val="007D1A6E"/>
    <w:rsid w:val="007D2F09"/>
    <w:rsid w:val="007D3FAE"/>
    <w:rsid w:val="007D6B1A"/>
    <w:rsid w:val="007E070B"/>
    <w:rsid w:val="007E24C9"/>
    <w:rsid w:val="007E26A9"/>
    <w:rsid w:val="007E4904"/>
    <w:rsid w:val="007E4CB5"/>
    <w:rsid w:val="007F066B"/>
    <w:rsid w:val="007F254F"/>
    <w:rsid w:val="007F287D"/>
    <w:rsid w:val="008033C4"/>
    <w:rsid w:val="00804A78"/>
    <w:rsid w:val="00806C88"/>
    <w:rsid w:val="0081034E"/>
    <w:rsid w:val="00810AB9"/>
    <w:rsid w:val="008115C7"/>
    <w:rsid w:val="00814126"/>
    <w:rsid w:val="008304BF"/>
    <w:rsid w:val="008344F6"/>
    <w:rsid w:val="0083510F"/>
    <w:rsid w:val="00844E8F"/>
    <w:rsid w:val="00851209"/>
    <w:rsid w:val="0086712E"/>
    <w:rsid w:val="00870400"/>
    <w:rsid w:val="00872C8E"/>
    <w:rsid w:val="0087307A"/>
    <w:rsid w:val="00874C94"/>
    <w:rsid w:val="0088007E"/>
    <w:rsid w:val="00882D60"/>
    <w:rsid w:val="008837AC"/>
    <w:rsid w:val="00883A6F"/>
    <w:rsid w:val="008861DF"/>
    <w:rsid w:val="008908F0"/>
    <w:rsid w:val="008945B4"/>
    <w:rsid w:val="00896CC2"/>
    <w:rsid w:val="008A587D"/>
    <w:rsid w:val="008B6617"/>
    <w:rsid w:val="008B6F19"/>
    <w:rsid w:val="008C100D"/>
    <w:rsid w:val="008C460E"/>
    <w:rsid w:val="008C5486"/>
    <w:rsid w:val="008C781F"/>
    <w:rsid w:val="008D2966"/>
    <w:rsid w:val="008D633E"/>
    <w:rsid w:val="008E0C82"/>
    <w:rsid w:val="008E538C"/>
    <w:rsid w:val="008E7031"/>
    <w:rsid w:val="008F00D8"/>
    <w:rsid w:val="008F55C3"/>
    <w:rsid w:val="009134DB"/>
    <w:rsid w:val="00917127"/>
    <w:rsid w:val="00917166"/>
    <w:rsid w:val="00917F8D"/>
    <w:rsid w:val="00922A90"/>
    <w:rsid w:val="00922C95"/>
    <w:rsid w:val="009233EE"/>
    <w:rsid w:val="0093301E"/>
    <w:rsid w:val="00933B14"/>
    <w:rsid w:val="00935F0A"/>
    <w:rsid w:val="0095467F"/>
    <w:rsid w:val="009546B1"/>
    <w:rsid w:val="00963B45"/>
    <w:rsid w:val="009661DE"/>
    <w:rsid w:val="00971F25"/>
    <w:rsid w:val="0098265A"/>
    <w:rsid w:val="00983C2F"/>
    <w:rsid w:val="00984CFC"/>
    <w:rsid w:val="009856B7"/>
    <w:rsid w:val="0098602B"/>
    <w:rsid w:val="00991B3B"/>
    <w:rsid w:val="009962BA"/>
    <w:rsid w:val="009A0540"/>
    <w:rsid w:val="009A13A3"/>
    <w:rsid w:val="009A4F19"/>
    <w:rsid w:val="009B0C64"/>
    <w:rsid w:val="009B74B0"/>
    <w:rsid w:val="009C02B1"/>
    <w:rsid w:val="009C03E6"/>
    <w:rsid w:val="009D14ED"/>
    <w:rsid w:val="009D4414"/>
    <w:rsid w:val="009D6B46"/>
    <w:rsid w:val="009D6FEB"/>
    <w:rsid w:val="009F1673"/>
    <w:rsid w:val="009F2BE5"/>
    <w:rsid w:val="009F47A1"/>
    <w:rsid w:val="009F4940"/>
    <w:rsid w:val="009F75EB"/>
    <w:rsid w:val="009F7BE4"/>
    <w:rsid w:val="00A1665B"/>
    <w:rsid w:val="00A16A80"/>
    <w:rsid w:val="00A20DF1"/>
    <w:rsid w:val="00A25268"/>
    <w:rsid w:val="00A2597E"/>
    <w:rsid w:val="00A3638B"/>
    <w:rsid w:val="00A44728"/>
    <w:rsid w:val="00A4478A"/>
    <w:rsid w:val="00A44852"/>
    <w:rsid w:val="00A44EBF"/>
    <w:rsid w:val="00A4732A"/>
    <w:rsid w:val="00A521B1"/>
    <w:rsid w:val="00A57D04"/>
    <w:rsid w:val="00A60A26"/>
    <w:rsid w:val="00A61598"/>
    <w:rsid w:val="00A66DDA"/>
    <w:rsid w:val="00A7027E"/>
    <w:rsid w:val="00A743F8"/>
    <w:rsid w:val="00A76F5C"/>
    <w:rsid w:val="00A812C1"/>
    <w:rsid w:val="00A81A4C"/>
    <w:rsid w:val="00A82967"/>
    <w:rsid w:val="00A82C39"/>
    <w:rsid w:val="00A84E3A"/>
    <w:rsid w:val="00A84F46"/>
    <w:rsid w:val="00A871F4"/>
    <w:rsid w:val="00A90A07"/>
    <w:rsid w:val="00A90D79"/>
    <w:rsid w:val="00A936A6"/>
    <w:rsid w:val="00A94968"/>
    <w:rsid w:val="00AA13DB"/>
    <w:rsid w:val="00AA14A4"/>
    <w:rsid w:val="00AB0A0A"/>
    <w:rsid w:val="00AB15CD"/>
    <w:rsid w:val="00AB76E4"/>
    <w:rsid w:val="00AB7DE5"/>
    <w:rsid w:val="00AC0201"/>
    <w:rsid w:val="00AC0A16"/>
    <w:rsid w:val="00AC1B2C"/>
    <w:rsid w:val="00AC3264"/>
    <w:rsid w:val="00AC6F01"/>
    <w:rsid w:val="00AE0FE2"/>
    <w:rsid w:val="00AE1BF1"/>
    <w:rsid w:val="00AE5DED"/>
    <w:rsid w:val="00AF0DD2"/>
    <w:rsid w:val="00AF1692"/>
    <w:rsid w:val="00AF1AC2"/>
    <w:rsid w:val="00B05B30"/>
    <w:rsid w:val="00B10314"/>
    <w:rsid w:val="00B13048"/>
    <w:rsid w:val="00B15998"/>
    <w:rsid w:val="00B1716D"/>
    <w:rsid w:val="00B17A1D"/>
    <w:rsid w:val="00B207A0"/>
    <w:rsid w:val="00B229D7"/>
    <w:rsid w:val="00B24717"/>
    <w:rsid w:val="00B25D38"/>
    <w:rsid w:val="00B31F29"/>
    <w:rsid w:val="00B32EB8"/>
    <w:rsid w:val="00B40D5B"/>
    <w:rsid w:val="00B56E03"/>
    <w:rsid w:val="00B60D3B"/>
    <w:rsid w:val="00B60F5D"/>
    <w:rsid w:val="00B67E91"/>
    <w:rsid w:val="00B8080B"/>
    <w:rsid w:val="00B83EE3"/>
    <w:rsid w:val="00B87C39"/>
    <w:rsid w:val="00BA4665"/>
    <w:rsid w:val="00BB2FB2"/>
    <w:rsid w:val="00BB3304"/>
    <w:rsid w:val="00BC2D9B"/>
    <w:rsid w:val="00BD3446"/>
    <w:rsid w:val="00BD58DB"/>
    <w:rsid w:val="00BE038A"/>
    <w:rsid w:val="00BE1F1B"/>
    <w:rsid w:val="00BE47B5"/>
    <w:rsid w:val="00BE4C99"/>
    <w:rsid w:val="00BF3F18"/>
    <w:rsid w:val="00C011F3"/>
    <w:rsid w:val="00C058AB"/>
    <w:rsid w:val="00C06739"/>
    <w:rsid w:val="00C16707"/>
    <w:rsid w:val="00C174A1"/>
    <w:rsid w:val="00C17A4F"/>
    <w:rsid w:val="00C17E33"/>
    <w:rsid w:val="00C2067A"/>
    <w:rsid w:val="00C229A8"/>
    <w:rsid w:val="00C2315A"/>
    <w:rsid w:val="00C232AD"/>
    <w:rsid w:val="00C33BD2"/>
    <w:rsid w:val="00C4117B"/>
    <w:rsid w:val="00C41521"/>
    <w:rsid w:val="00C4326D"/>
    <w:rsid w:val="00C46F1C"/>
    <w:rsid w:val="00C508D9"/>
    <w:rsid w:val="00C538A9"/>
    <w:rsid w:val="00C53B5A"/>
    <w:rsid w:val="00C54F5A"/>
    <w:rsid w:val="00C552FA"/>
    <w:rsid w:val="00C62C31"/>
    <w:rsid w:val="00C755AD"/>
    <w:rsid w:val="00C82B2D"/>
    <w:rsid w:val="00C86679"/>
    <w:rsid w:val="00C900CD"/>
    <w:rsid w:val="00C94BD6"/>
    <w:rsid w:val="00CA4DA3"/>
    <w:rsid w:val="00CB0D48"/>
    <w:rsid w:val="00CB45C5"/>
    <w:rsid w:val="00CB666B"/>
    <w:rsid w:val="00CC4AA2"/>
    <w:rsid w:val="00CD14F8"/>
    <w:rsid w:val="00CD1F42"/>
    <w:rsid w:val="00CD6CD4"/>
    <w:rsid w:val="00CF04FE"/>
    <w:rsid w:val="00CF799E"/>
    <w:rsid w:val="00D00EFD"/>
    <w:rsid w:val="00D01CF0"/>
    <w:rsid w:val="00D0358B"/>
    <w:rsid w:val="00D0442A"/>
    <w:rsid w:val="00D07728"/>
    <w:rsid w:val="00D1042A"/>
    <w:rsid w:val="00D13C1B"/>
    <w:rsid w:val="00D203E1"/>
    <w:rsid w:val="00D237E3"/>
    <w:rsid w:val="00D2435C"/>
    <w:rsid w:val="00D36376"/>
    <w:rsid w:val="00D44969"/>
    <w:rsid w:val="00D46519"/>
    <w:rsid w:val="00D51607"/>
    <w:rsid w:val="00D544B8"/>
    <w:rsid w:val="00D60F9B"/>
    <w:rsid w:val="00D61388"/>
    <w:rsid w:val="00D61A54"/>
    <w:rsid w:val="00D63846"/>
    <w:rsid w:val="00D64AF7"/>
    <w:rsid w:val="00D64DEA"/>
    <w:rsid w:val="00D706D9"/>
    <w:rsid w:val="00D73D5F"/>
    <w:rsid w:val="00D75682"/>
    <w:rsid w:val="00D76E10"/>
    <w:rsid w:val="00D80866"/>
    <w:rsid w:val="00D80893"/>
    <w:rsid w:val="00D8155B"/>
    <w:rsid w:val="00D81627"/>
    <w:rsid w:val="00D833FC"/>
    <w:rsid w:val="00D83618"/>
    <w:rsid w:val="00D9237C"/>
    <w:rsid w:val="00D92CF1"/>
    <w:rsid w:val="00D92D38"/>
    <w:rsid w:val="00D93CA6"/>
    <w:rsid w:val="00D9479B"/>
    <w:rsid w:val="00D950F5"/>
    <w:rsid w:val="00DB0F93"/>
    <w:rsid w:val="00DB3269"/>
    <w:rsid w:val="00DB5491"/>
    <w:rsid w:val="00DB6836"/>
    <w:rsid w:val="00DC2AF2"/>
    <w:rsid w:val="00DC542F"/>
    <w:rsid w:val="00DC7981"/>
    <w:rsid w:val="00DD2552"/>
    <w:rsid w:val="00DD78A7"/>
    <w:rsid w:val="00DE4EFA"/>
    <w:rsid w:val="00DE5520"/>
    <w:rsid w:val="00DF2E5B"/>
    <w:rsid w:val="00DF73AD"/>
    <w:rsid w:val="00E00877"/>
    <w:rsid w:val="00E039A0"/>
    <w:rsid w:val="00E04380"/>
    <w:rsid w:val="00E04818"/>
    <w:rsid w:val="00E04A0A"/>
    <w:rsid w:val="00E04A85"/>
    <w:rsid w:val="00E06442"/>
    <w:rsid w:val="00E11E4C"/>
    <w:rsid w:val="00E13089"/>
    <w:rsid w:val="00E160A4"/>
    <w:rsid w:val="00E20A21"/>
    <w:rsid w:val="00E23993"/>
    <w:rsid w:val="00E253DC"/>
    <w:rsid w:val="00E25B8C"/>
    <w:rsid w:val="00E30F6E"/>
    <w:rsid w:val="00E368CB"/>
    <w:rsid w:val="00E370FD"/>
    <w:rsid w:val="00E4674F"/>
    <w:rsid w:val="00E53075"/>
    <w:rsid w:val="00E618AC"/>
    <w:rsid w:val="00E63639"/>
    <w:rsid w:val="00E63D4A"/>
    <w:rsid w:val="00E65C85"/>
    <w:rsid w:val="00E66199"/>
    <w:rsid w:val="00E700ED"/>
    <w:rsid w:val="00E73DBA"/>
    <w:rsid w:val="00E742CF"/>
    <w:rsid w:val="00E755EC"/>
    <w:rsid w:val="00E7624D"/>
    <w:rsid w:val="00E87A15"/>
    <w:rsid w:val="00EA3D42"/>
    <w:rsid w:val="00EA4D3B"/>
    <w:rsid w:val="00EA5F4A"/>
    <w:rsid w:val="00EA6B1B"/>
    <w:rsid w:val="00EB1898"/>
    <w:rsid w:val="00EB3A1C"/>
    <w:rsid w:val="00EC2720"/>
    <w:rsid w:val="00EC2824"/>
    <w:rsid w:val="00ED33F4"/>
    <w:rsid w:val="00ED68B9"/>
    <w:rsid w:val="00EE28F3"/>
    <w:rsid w:val="00EF0EA8"/>
    <w:rsid w:val="00EF5110"/>
    <w:rsid w:val="00F035D1"/>
    <w:rsid w:val="00F04EEF"/>
    <w:rsid w:val="00F0639F"/>
    <w:rsid w:val="00F11496"/>
    <w:rsid w:val="00F15882"/>
    <w:rsid w:val="00F20BD3"/>
    <w:rsid w:val="00F325ED"/>
    <w:rsid w:val="00F373A5"/>
    <w:rsid w:val="00F4150D"/>
    <w:rsid w:val="00F426D2"/>
    <w:rsid w:val="00F446AA"/>
    <w:rsid w:val="00F47559"/>
    <w:rsid w:val="00F502A3"/>
    <w:rsid w:val="00F510C6"/>
    <w:rsid w:val="00F5403D"/>
    <w:rsid w:val="00F55C1E"/>
    <w:rsid w:val="00F60BE4"/>
    <w:rsid w:val="00F61A9E"/>
    <w:rsid w:val="00F61B84"/>
    <w:rsid w:val="00F62762"/>
    <w:rsid w:val="00F64C7B"/>
    <w:rsid w:val="00F676DD"/>
    <w:rsid w:val="00F71729"/>
    <w:rsid w:val="00F72B7A"/>
    <w:rsid w:val="00F75A26"/>
    <w:rsid w:val="00F81D20"/>
    <w:rsid w:val="00F83E0F"/>
    <w:rsid w:val="00F83FAD"/>
    <w:rsid w:val="00F843E1"/>
    <w:rsid w:val="00F91DC6"/>
    <w:rsid w:val="00F952A0"/>
    <w:rsid w:val="00FA3C7F"/>
    <w:rsid w:val="00FA6CA4"/>
    <w:rsid w:val="00FA7772"/>
    <w:rsid w:val="00FB32E5"/>
    <w:rsid w:val="00FB52D7"/>
    <w:rsid w:val="00FB74E2"/>
    <w:rsid w:val="00FC3208"/>
    <w:rsid w:val="00FC3C4E"/>
    <w:rsid w:val="00FD4006"/>
    <w:rsid w:val="00FD5614"/>
    <w:rsid w:val="00FD5EB0"/>
    <w:rsid w:val="00FE0BE1"/>
    <w:rsid w:val="00FE17B5"/>
    <w:rsid w:val="00FE1DE9"/>
    <w:rsid w:val="00FE39C2"/>
    <w:rsid w:val="00FE64AE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7CE3"/>
  <w15:chartTrackingRefBased/>
  <w15:docId w15:val="{FB5F6080-F91F-45DE-87E6-EB340843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0A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qFormat/>
    <w:rsid w:val="00B32EB8"/>
    <w:pPr>
      <w:keepNext/>
      <w:spacing w:before="360"/>
      <w:outlineLvl w:val="0"/>
    </w:pPr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paragraph" w:styleId="Heading2">
    <w:name w:val="heading 2"/>
    <w:next w:val="Normal"/>
    <w:link w:val="Heading2Char"/>
    <w:qFormat/>
    <w:rsid w:val="00B32EB8"/>
    <w:pPr>
      <w:keepNext/>
      <w:spacing w:before="360" w:line="240" w:lineRule="atLeast"/>
      <w:outlineLvl w:val="1"/>
    </w:pPr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qFormat/>
    <w:rsid w:val="00B32EB8"/>
    <w:pPr>
      <w:keepNext/>
      <w:spacing w:before="340"/>
      <w:outlineLvl w:val="2"/>
    </w:pPr>
    <w:rPr>
      <w:rFonts w:eastAsiaTheme="majorEastAsia" w:cstheme="majorBidi"/>
      <w:b/>
      <w:bCs/>
      <w:sz w:val="30"/>
    </w:rPr>
  </w:style>
  <w:style w:type="paragraph" w:styleId="Heading4">
    <w:name w:val="heading 4"/>
    <w:basedOn w:val="Normal"/>
    <w:next w:val="Normal"/>
    <w:link w:val="Heading4Char"/>
    <w:qFormat/>
    <w:rsid w:val="00B32EB8"/>
    <w:pPr>
      <w:spacing w:before="280"/>
      <w:outlineLvl w:val="3"/>
    </w:pPr>
    <w:rPr>
      <w:rFonts w:eastAsiaTheme="majorEastAsia" w:cstheme="majorBidi"/>
      <w:bCs/>
      <w:iCs/>
      <w:color w:val="000000" w:themeColor="text1"/>
      <w:sz w:val="28"/>
    </w:rPr>
  </w:style>
  <w:style w:type="paragraph" w:styleId="Heading5">
    <w:name w:val="heading 5"/>
    <w:next w:val="Normal"/>
    <w:link w:val="Heading5Char"/>
    <w:uiPriority w:val="2"/>
    <w:qFormat/>
    <w:rsid w:val="00C232AD"/>
    <w:pPr>
      <w:spacing w:line="240" w:lineRule="atLeast"/>
      <w:outlineLvl w:val="4"/>
    </w:pPr>
    <w:rPr>
      <w:rFonts w:ascii="Roboto" w:eastAsiaTheme="majorEastAsia" w:hAnsi="Roboto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qFormat/>
    <w:rsid w:val="00C232AD"/>
    <w:pPr>
      <w:spacing w:before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2"/>
    <w:rsid w:val="00C232AD"/>
    <w:pPr>
      <w:spacing w:before="240"/>
      <w:outlineLvl w:val="6"/>
    </w:pPr>
    <w:rPr>
      <w:rFonts w:eastAsiaTheme="majorEastAsia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2"/>
    <w:rsid w:val="004158BC"/>
    <w:pPr>
      <w:spacing w:before="240"/>
      <w:outlineLvl w:val="7"/>
    </w:pPr>
    <w:rPr>
      <w:rFonts w:eastAsiaTheme="majorEastAsia" w:cstheme="majorBidi"/>
      <w:color w:val="726BCF" w:themeColor="accent1" w:themeTint="99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D64AF7"/>
    <w:pPr>
      <w:numPr>
        <w:numId w:val="19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EB8"/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character" w:customStyle="1" w:styleId="Heading2Char">
    <w:name w:val="Heading 2 Char"/>
    <w:basedOn w:val="DefaultParagraphFont"/>
    <w:link w:val="Heading2"/>
    <w:rsid w:val="00B32EB8"/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character" w:customStyle="1" w:styleId="Heading3Char">
    <w:name w:val="Heading 3 Char"/>
    <w:basedOn w:val="DefaultParagraphFont"/>
    <w:link w:val="Heading3"/>
    <w:rsid w:val="00B32EB8"/>
    <w:rPr>
      <w:rFonts w:ascii="Roboto" w:eastAsiaTheme="majorEastAsia" w:hAnsi="Roboto" w:cstheme="majorBidi"/>
      <w:b/>
      <w:bCs/>
      <w:sz w:val="30"/>
    </w:rPr>
  </w:style>
  <w:style w:type="character" w:customStyle="1" w:styleId="Heading4Char">
    <w:name w:val="Heading 4 Char"/>
    <w:basedOn w:val="DefaultParagraphFont"/>
    <w:link w:val="Heading4"/>
    <w:rsid w:val="00B32EB8"/>
    <w:rPr>
      <w:rFonts w:ascii="Roboto" w:eastAsiaTheme="majorEastAsia" w:hAnsi="Roboto" w:cstheme="majorBidi"/>
      <w:bCs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C232AD"/>
    <w:rPr>
      <w:rFonts w:ascii="Roboto" w:eastAsiaTheme="majorEastAsia" w:hAnsi="Roboto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C232AD"/>
    <w:rPr>
      <w:rFonts w:ascii="Roboto" w:eastAsiaTheme="majorEastAsia" w:hAnsi="Roboto" w:cstheme="majorBidi"/>
      <w:i/>
      <w:iCs/>
    </w:rPr>
  </w:style>
  <w:style w:type="paragraph" w:customStyle="1" w:styleId="Chaptertitle">
    <w:name w:val="Chapter title"/>
    <w:basedOn w:val="Normal"/>
    <w:link w:val="ChaptertitleChar"/>
    <w:rsid w:val="00A84E3A"/>
    <w:pPr>
      <w:spacing w:before="520" w:after="120"/>
    </w:pPr>
    <w:rPr>
      <w:rFonts w:ascii="Bitter" w:hAnsi="Bitter"/>
      <w:color w:val="342D8C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A84E3A"/>
    <w:rPr>
      <w:rFonts w:ascii="Bitter" w:hAnsi="Bitter"/>
      <w:color w:val="342D8C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370FD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370FD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219D5"/>
    <w:pPr>
      <w:numPr>
        <w:numId w:val="8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0E3A2E"/>
    <w:pPr>
      <w:numPr>
        <w:ilvl w:val="1"/>
        <w:numId w:val="8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9F2BE5"/>
    <w:pPr>
      <w:numPr>
        <w:ilvl w:val="2"/>
        <w:numId w:val="8"/>
      </w:numPr>
      <w:tabs>
        <w:tab w:val="left" w:pos="1361"/>
      </w:tabs>
      <w:ind w:left="1021" w:hanging="102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8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8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8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370FD"/>
    <w:rPr>
      <w:rFonts w:ascii="Arial" w:hAnsi="Arial"/>
      <w:sz w:val="18"/>
    </w:rPr>
  </w:style>
  <w:style w:type="paragraph" w:styleId="NoSpacing">
    <w:name w:val="No Spacing"/>
    <w:uiPriority w:val="1"/>
    <w:qFormat/>
    <w:rsid w:val="00F843E1"/>
    <w:pPr>
      <w:spacing w:before="0"/>
    </w:pPr>
    <w:rPr>
      <w:rFonts w:ascii="Roboto" w:hAnsi="Roboto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7C79EF"/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TableColumnHeading">
    <w:name w:val="Table Column Heading"/>
    <w:qFormat/>
    <w:rsid w:val="00BC2D9B"/>
    <w:pPr>
      <w:spacing w:before="120" w:after="120"/>
    </w:pPr>
    <w:rPr>
      <w:rFonts w:ascii="Roboto" w:hAnsi="Roboto"/>
      <w:sz w:val="20"/>
    </w:rPr>
  </w:style>
  <w:style w:type="paragraph" w:customStyle="1" w:styleId="Pullquoteheading">
    <w:name w:val="Pull quote heading"/>
    <w:basedOn w:val="Normal"/>
    <w:link w:val="PullquoteheadingChar"/>
    <w:uiPriority w:val="1"/>
    <w:rsid w:val="00F843E1"/>
    <w:pPr>
      <w:spacing w:after="120"/>
      <w:contextualSpacing/>
    </w:pPr>
    <w:rPr>
      <w:rFonts w:ascii="Bitter" w:hAnsi="Bitter"/>
      <w:b/>
      <w:color w:val="342D8C" w:themeColor="accent1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F843E1"/>
    <w:rPr>
      <w:rFonts w:ascii="Bitter" w:hAnsi="Bitter"/>
      <w:b/>
      <w:color w:val="342D8C" w:themeColor="accent1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F843E1"/>
    <w:pPr>
      <w:spacing w:before="120"/>
    </w:pPr>
    <w:rPr>
      <w:rFonts w:ascii="Bitter" w:hAnsi="Bitter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F843E1"/>
    <w:rPr>
      <w:rFonts w:ascii="Bitter" w:hAnsi="Bitter"/>
      <w:b w:val="0"/>
      <w:color w:val="342D8C" w:themeColor="accent1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3062CC"/>
    <w:pPr>
      <w:keepLines/>
    </w:pPr>
  </w:style>
  <w:style w:type="character" w:customStyle="1" w:styleId="FootnotesChar">
    <w:name w:val="Footnotes Char"/>
    <w:basedOn w:val="DefaultParagraphFont"/>
    <w:link w:val="Footnotes"/>
    <w:uiPriority w:val="4"/>
    <w:semiHidden/>
    <w:rsid w:val="003062CC"/>
    <w:rPr>
      <w:rFonts w:ascii="Arial" w:hAnsi="Arial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rsid w:val="005770B9"/>
    <w:pPr>
      <w:ind w:left="737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70B9"/>
    <w:rPr>
      <w:rFonts w:ascii="Arial" w:hAnsi="Arial"/>
      <w:iCs/>
      <w:color w:val="000000" w:themeColor="text1"/>
    </w:rPr>
  </w:style>
  <w:style w:type="paragraph" w:customStyle="1" w:styleId="Bulletpoint">
    <w:name w:val="Bullet point"/>
    <w:basedOn w:val="ListBullet"/>
    <w:qFormat/>
    <w:rsid w:val="0008319C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qFormat/>
    <w:rsid w:val="00935F0A"/>
    <w:pPr>
      <w:numPr>
        <w:numId w:val="6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08319C"/>
    <w:pPr>
      <w:numPr>
        <w:numId w:val="5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16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935F0A"/>
    <w:pPr>
      <w:numPr>
        <w:numId w:val="3"/>
      </w:numPr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7140E9"/>
    <w:pPr>
      <w:spacing w:before="480" w:after="120" w:line="276" w:lineRule="auto"/>
    </w:pPr>
    <w:rPr>
      <w:rFonts w:ascii="Bitter" w:eastAsiaTheme="majorEastAsia" w:hAnsi="Bitter" w:cstheme="majorBidi"/>
      <w:bCs/>
      <w:color w:val="342D8C" w:themeColor="accent1"/>
      <w:sz w:val="60"/>
      <w:szCs w:val="28"/>
      <w:lang w:val="en-US" w:eastAsia="ja-JP"/>
    </w:rPr>
  </w:style>
  <w:style w:type="paragraph" w:styleId="ListNumber2">
    <w:name w:val="List Number 2"/>
    <w:next w:val="Normal"/>
    <w:uiPriority w:val="99"/>
    <w:rsid w:val="00F843E1"/>
    <w:pPr>
      <w:numPr>
        <w:numId w:val="17"/>
      </w:numPr>
      <w:tabs>
        <w:tab w:val="left" w:pos="680"/>
      </w:tabs>
      <w:spacing w:before="120"/>
    </w:pPr>
    <w:rPr>
      <w:rFonts w:ascii="Roboto" w:hAnsi="Roboto"/>
    </w:rPr>
  </w:style>
  <w:style w:type="character" w:styleId="Hyperlink">
    <w:name w:val="Hyperlink"/>
    <w:basedOn w:val="DefaultParagraphFont"/>
    <w:uiPriority w:val="99"/>
    <w:qFormat/>
    <w:rsid w:val="005D5515"/>
    <w:rPr>
      <w:rFonts w:ascii="Roboto" w:hAnsi="Roboto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3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3E"/>
    <w:rPr>
      <w:rFonts w:ascii="Roboto" w:hAnsi="Roboto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370FD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F61B84"/>
    <w:pPr>
      <w:numPr>
        <w:numId w:val="7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C232AD"/>
    <w:rPr>
      <w:rFonts w:ascii="Roboto" w:eastAsiaTheme="majorEastAsia" w:hAnsi="Roboto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2"/>
    <w:rsid w:val="004158BC"/>
    <w:rPr>
      <w:rFonts w:ascii="Roboto" w:eastAsiaTheme="majorEastAsia" w:hAnsi="Roboto" w:cstheme="majorBidi"/>
      <w:color w:val="726BCF" w:themeColor="accent1" w:themeTint="99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D64AF7"/>
    <w:rPr>
      <w:rFonts w:ascii="Roboto" w:eastAsiaTheme="majorEastAsia" w:hAnsi="Roboto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8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8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B0D48"/>
    <w:pPr>
      <w:spacing w:before="120" w:after="120"/>
    </w:pPr>
    <w:rPr>
      <w:rFonts w:ascii="Roboto" w:hAnsi="Roboto"/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CB0D48"/>
    <w:pPr>
      <w:spacing w:before="0"/>
    </w:pPr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B0D48"/>
    <w:pPr>
      <w:spacing w:before="0"/>
    </w:pPr>
    <w:rPr>
      <w:rFonts w:ascii="Roboto" w:hAnsi="Roboto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E85D72" w:themeColor="accent5"/>
        <w:insideV w:val="single" w:sz="4" w:space="0" w:color="E85D7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CB0D48"/>
    <w:pPr>
      <w:spacing w:before="0"/>
    </w:pPr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  <w:insideH w:val="single" w:sz="8" w:space="0" w:color="008098" w:themeColor="accent6"/>
        <w:insideV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1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  <w:shd w:val="clear" w:color="auto" w:fill="A6F0FF" w:themeFill="accent6" w:themeFillTint="3F"/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  <w:shd w:val="clear" w:color="auto" w:fill="A6F0FF" w:themeFill="accent6" w:themeFillTint="3F"/>
      </w:tcPr>
    </w:tblStylePr>
    <w:tblStylePr w:type="band2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2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B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6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CB0D48"/>
    <w:pPr>
      <w:spacing w:before="0"/>
    </w:pPr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  <w:insideH w:val="single" w:sz="8" w:space="0" w:color="38862E" w:themeColor="accent3"/>
        <w:insideV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1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  <w:shd w:val="clear" w:color="auto" w:fill="C6EAC2" w:themeFill="accent3" w:themeFillTint="3F"/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  <w:shd w:val="clear" w:color="auto" w:fill="C6EAC2" w:themeFill="accent3" w:themeFillTint="3F"/>
      </w:tcPr>
    </w:tblStylePr>
    <w:tblStylePr w:type="band2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61A58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51489F"/>
    <w:pPr>
      <w:spacing w:before="720" w:after="120"/>
      <w:contextualSpacing/>
      <w:outlineLvl w:val="0"/>
    </w:pPr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89F"/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paragraph" w:customStyle="1" w:styleId="CoverDate">
    <w:name w:val="Cover Date"/>
    <w:rsid w:val="00A81A4C"/>
    <w:rPr>
      <w:rFonts w:ascii="Roboto" w:hAnsi="Roboto"/>
      <w:color w:val="000000" w:themeColor="text1"/>
      <w:sz w:val="24"/>
      <w:szCs w:val="24"/>
    </w:rPr>
  </w:style>
  <w:style w:type="character" w:styleId="BookTitle">
    <w:name w:val="Book Title"/>
    <w:uiPriority w:val="33"/>
    <w:rsid w:val="00A84E3A"/>
    <w:rPr>
      <w:rFonts w:ascii="Roboto" w:hAnsi="Roboto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D73D5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D73D5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A81A4C"/>
    <w:pPr>
      <w:spacing w:before="360" w:after="120"/>
    </w:pPr>
    <w:rPr>
      <w:rFonts w:ascii="Roboto" w:hAnsi="Roboto"/>
      <w:b/>
      <w:color w:val="000000" w:themeColor="text1"/>
      <w:sz w:val="3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81A4C"/>
    <w:rPr>
      <w:rFonts w:ascii="Roboto" w:hAnsi="Roboto"/>
      <w:b/>
      <w:color w:val="000000" w:themeColor="text1"/>
      <w:sz w:val="36"/>
      <w:szCs w:val="52"/>
    </w:rPr>
  </w:style>
  <w:style w:type="table" w:styleId="LightShading-Accent4">
    <w:name w:val="Light Shading Accent 4"/>
    <w:basedOn w:val="TableNormal"/>
    <w:uiPriority w:val="60"/>
    <w:rsid w:val="00CB0D48"/>
    <w:pPr>
      <w:spacing w:before="0"/>
    </w:pPr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CB0D48"/>
    <w:pPr>
      <w:spacing w:before="0"/>
    </w:pPr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table" w:customStyle="1" w:styleId="ACCCTable2">
    <w:name w:val="ACCC Table 2"/>
    <w:basedOn w:val="TableNormal"/>
    <w:next w:val="LightShading"/>
    <w:uiPriority w:val="60"/>
    <w:rsid w:val="00CB0D48"/>
    <w:pPr>
      <w:spacing w:before="120" w:after="120"/>
    </w:pPr>
    <w:rPr>
      <w:rFonts w:ascii="Roboto" w:hAnsi="Roboto"/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</w:style>
  <w:style w:type="table" w:styleId="LightGrid">
    <w:name w:val="Light Grid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  <w:insideH w:val="single" w:sz="8" w:space="0" w:color="342D8C" w:themeColor="accent1"/>
        <w:insideV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1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  <w:shd w:val="clear" w:color="auto" w:fill="C5C2EB" w:themeFill="accent1" w:themeFillTint="3F"/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  <w:shd w:val="clear" w:color="auto" w:fill="C5C2EB" w:themeFill="accent1" w:themeFillTint="3F"/>
      </w:tcPr>
    </w:tblStylePr>
    <w:tblStylePr w:type="band2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  <w:insideH w:val="single" w:sz="8" w:space="0" w:color="D5A70B" w:themeColor="accent4"/>
        <w:insideV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1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  <w:shd w:val="clear" w:color="auto" w:fill="FBECBB" w:themeFill="accent4" w:themeFillTint="3F"/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  <w:shd w:val="clear" w:color="auto" w:fill="FBECBB" w:themeFill="accent4" w:themeFillTint="3F"/>
      </w:tcPr>
    </w:tblStylePr>
    <w:tblStylePr w:type="band2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  <w:insideH w:val="single" w:sz="8" w:space="0" w:color="E85D72" w:themeColor="accent5"/>
        <w:insideV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1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  <w:shd w:val="clear" w:color="auto" w:fill="F9D6DB" w:themeFill="accent5" w:themeFillTint="3F"/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  <w:shd w:val="clear" w:color="auto" w:fill="F9D6DB" w:themeFill="accent5" w:themeFillTint="3F"/>
      </w:tcPr>
    </w:tblStylePr>
    <w:tblStylePr w:type="band2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E370FD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ED33F4"/>
    <w:pPr>
      <w:numPr>
        <w:ilvl w:val="8"/>
        <w:numId w:val="8"/>
      </w:numPr>
      <w:tabs>
        <w:tab w:val="left" w:pos="2381"/>
      </w:tabs>
      <w:ind w:left="2381" w:hanging="2381"/>
    </w:pPr>
    <w:rPr>
      <w:b w:val="0"/>
      <w:color w:val="5B6AC7" w:themeColor="text2" w:themeTint="80"/>
      <w:sz w:val="22"/>
    </w:rPr>
  </w:style>
  <w:style w:type="paragraph" w:styleId="Caption">
    <w:name w:val="caption"/>
    <w:basedOn w:val="Normal"/>
    <w:next w:val="Normal"/>
    <w:uiPriority w:val="12"/>
    <w:unhideWhenUsed/>
    <w:qFormat/>
    <w:rsid w:val="00D00EFD"/>
    <w:pPr>
      <w:spacing w:before="240" w:after="120"/>
    </w:pPr>
    <w:rPr>
      <w:b/>
      <w:bCs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5329BA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table" w:styleId="TableList6">
    <w:name w:val="Table List 6"/>
    <w:basedOn w:val="TableNormal"/>
    <w:uiPriority w:val="99"/>
    <w:semiHidden/>
    <w:unhideWhenUsed/>
    <w:rsid w:val="00814126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41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ListBullet3">
    <w:name w:val="List Bullet 3"/>
    <w:basedOn w:val="Normal"/>
    <w:uiPriority w:val="99"/>
    <w:rsid w:val="00935F0A"/>
    <w:pPr>
      <w:numPr>
        <w:numId w:val="4"/>
      </w:numPr>
      <w:spacing w:before="120"/>
      <w:ind w:left="1020" w:hanging="340"/>
    </w:pPr>
  </w:style>
  <w:style w:type="table" w:styleId="TableProfessional">
    <w:name w:val="Table Professional"/>
    <w:basedOn w:val="TableNormal"/>
    <w:uiPriority w:val="99"/>
    <w:semiHidden/>
    <w:unhideWhenUsed/>
    <w:rsid w:val="008141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uiPriority w:val="99"/>
    <w:semiHidden/>
    <w:unhideWhenUsed/>
    <w:rsid w:val="008141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table" w:styleId="TableTheme">
    <w:name w:val="Table Theme"/>
    <w:basedOn w:val="TableNormal"/>
    <w:uiPriority w:val="99"/>
    <w:semiHidden/>
    <w:unhideWhenUsed/>
    <w:rsid w:val="008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rsid w:val="00BE4C99"/>
    <w:pPr>
      <w:numPr>
        <w:numId w:val="10"/>
      </w:numPr>
      <w:tabs>
        <w:tab w:val="left" w:pos="1021"/>
      </w:tabs>
      <w:spacing w:before="120"/>
    </w:pPr>
  </w:style>
  <w:style w:type="table" w:customStyle="1" w:styleId="ACCCTable1">
    <w:name w:val="ACCC Table1"/>
    <w:basedOn w:val="TableNormal"/>
    <w:next w:val="TableGrid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ColoumnHeading-right">
    <w:name w:val="Table Coloumn Heading - right"/>
    <w:basedOn w:val="TableColumnHeading"/>
    <w:link w:val="TableColoumnHeading-rightChar"/>
    <w:rsid w:val="00BC2D9B"/>
    <w:pPr>
      <w:tabs>
        <w:tab w:val="left" w:pos="680"/>
      </w:tabs>
      <w:jc w:val="right"/>
      <w:outlineLvl w:val="0"/>
    </w:pPr>
    <w:rPr>
      <w:rFonts w:eastAsia="Times New Roman" w:cs="Times New Roman"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ColoumnHeading-rightChar">
    <w:name w:val="Table Coloumn Heading - right Char"/>
    <w:basedOn w:val="DefaultParagraphFont"/>
    <w:link w:val="TableColoumnHeading-right"/>
    <w:rsid w:val="00BC2D9B"/>
    <w:rPr>
      <w:rFonts w:ascii="Roboto" w:eastAsia="Times New Roman" w:hAnsi="Roboto" w:cs="Times New Roman"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ColumnHeading-centred">
    <w:name w:val="Table Column Heading - centred"/>
    <w:basedOn w:val="TableColumnHeading"/>
    <w:rsid w:val="00BC2D9B"/>
    <w:pPr>
      <w:tabs>
        <w:tab w:val="left" w:pos="680"/>
      </w:tabs>
      <w:jc w:val="center"/>
      <w:outlineLvl w:val="0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table" w:customStyle="1" w:styleId="ACCCTable3">
    <w:name w:val="ACCC Table 3"/>
    <w:basedOn w:val="TableNormal"/>
    <w:uiPriority w:val="99"/>
    <w:rsid w:val="0047153E"/>
    <w:pPr>
      <w:spacing w:before="0"/>
    </w:pPr>
    <w:rPr>
      <w:rFonts w:ascii="Roboto" w:hAnsi="Roboto"/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A84E3A"/>
    <w:rPr>
      <w:rFonts w:ascii="Roboto" w:hAnsi="Roboto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D81627"/>
    <w:pPr>
      <w:ind w:left="680" w:hanging="680"/>
      <w:outlineLvl w:val="9"/>
    </w:pPr>
    <w:rPr>
      <w:rFonts w:ascii="Roboto" w:hAnsi="Roboto"/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219D5"/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A84E3A"/>
    <w:pPr>
      <w:numPr>
        <w:numId w:val="9"/>
      </w:numPr>
      <w:tabs>
        <w:tab w:val="left" w:pos="680"/>
      </w:tabs>
      <w:spacing w:before="120"/>
    </w:pPr>
    <w:rPr>
      <w:rFonts w:ascii="Roboto" w:hAnsi="Roboto"/>
    </w:rPr>
  </w:style>
  <w:style w:type="paragraph" w:customStyle="1" w:styleId="Listalphabet3">
    <w:name w:val="List alphabet 3"/>
    <w:rsid w:val="00A84E3A"/>
    <w:pPr>
      <w:numPr>
        <w:numId w:val="14"/>
      </w:numPr>
      <w:tabs>
        <w:tab w:val="left" w:pos="1021"/>
      </w:tabs>
      <w:spacing w:before="120"/>
    </w:pPr>
    <w:rPr>
      <w:rFonts w:ascii="Roboto" w:hAnsi="Roboto"/>
    </w:rPr>
  </w:style>
  <w:style w:type="paragraph" w:customStyle="1" w:styleId="Listalphabet">
    <w:name w:val="List alphabet"/>
    <w:qFormat/>
    <w:rsid w:val="00A84E3A"/>
    <w:pPr>
      <w:numPr>
        <w:numId w:val="15"/>
      </w:numPr>
      <w:tabs>
        <w:tab w:val="left" w:pos="340"/>
      </w:tabs>
      <w:spacing w:before="120"/>
    </w:pPr>
    <w:rPr>
      <w:rFonts w:ascii="Roboto" w:hAnsi="Robo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370FD"/>
    <w:rPr>
      <w:smallCaps/>
      <w:color w:val="auto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18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2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1"/>
      </w:numPr>
      <w:tabs>
        <w:tab w:val="clear" w:pos="1021"/>
        <w:tab w:val="left" w:pos="136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3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3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B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BA7"/>
    <w:rPr>
      <w:rFonts w:ascii="Arial" w:hAnsi="Arial"/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3DD9C" w:themeColor="accent3" w:themeTint="66"/>
        <w:left w:val="single" w:sz="4" w:space="0" w:color="A3DD9C" w:themeColor="accent3" w:themeTint="66"/>
        <w:bottom w:val="single" w:sz="4" w:space="0" w:color="A3DD9C" w:themeColor="accent3" w:themeTint="66"/>
        <w:right w:val="single" w:sz="4" w:space="0" w:color="A3DD9C" w:themeColor="accent3" w:themeTint="66"/>
        <w:insideH w:val="single" w:sz="4" w:space="0" w:color="A3DD9C" w:themeColor="accent3" w:themeTint="66"/>
        <w:insideV w:val="single" w:sz="4" w:space="0" w:color="A3DD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47153E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14426C"/>
    <w:pPr>
      <w:spacing w:before="0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46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3B8"/>
    <w:rPr>
      <w:color w:val="800080" w:themeColor="followedHyperlink"/>
      <w:u w:val="single"/>
    </w:rPr>
  </w:style>
  <w:style w:type="table" w:customStyle="1" w:styleId="ACCCGreybox">
    <w:name w:val="ACCC Grey box"/>
    <w:basedOn w:val="TableNormal"/>
    <w:uiPriority w:val="99"/>
    <w:rsid w:val="007D6B1A"/>
    <w:pPr>
      <w:spacing w:before="120" w:after="120"/>
    </w:pPr>
    <w:rPr>
      <w:rFonts w:ascii="Roboto" w:hAnsi="Roboto"/>
    </w:rPr>
    <w:tblPr/>
    <w:tcPr>
      <w:shd w:val="clear" w:color="auto" w:fill="D9D9D9" w:themeFill="background1" w:themeFillShade="D9"/>
    </w:tcPr>
  </w:style>
  <w:style w:type="paragraph" w:styleId="BlockText">
    <w:name w:val="Block Text"/>
    <w:basedOn w:val="Normal"/>
    <w:uiPriority w:val="99"/>
    <w:semiHidden/>
    <w:unhideWhenUsed/>
    <w:rsid w:val="0047153E"/>
    <w:pPr>
      <w:pBdr>
        <w:top w:val="single" w:sz="2" w:space="10" w:color="342D8C" w:themeColor="accent1"/>
        <w:left w:val="single" w:sz="2" w:space="10" w:color="342D8C" w:themeColor="accent1"/>
        <w:bottom w:val="single" w:sz="2" w:space="10" w:color="342D8C" w:themeColor="accent1"/>
        <w:right w:val="single" w:sz="2" w:space="10" w:color="342D8C" w:themeColor="accent1"/>
      </w:pBdr>
      <w:ind w:left="1152" w:right="1152"/>
    </w:pPr>
    <w:rPr>
      <w:iCs/>
      <w:color w:val="342D8C" w:themeColor="accent1"/>
    </w:rPr>
  </w:style>
  <w:style w:type="table" w:styleId="ColorfulGrid">
    <w:name w:val="Colorful Grid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</w:rPr>
      <w:tblPr/>
      <w:tcPr>
        <w:shd w:val="clear" w:color="auto" w:fill="A19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9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</w:rPr>
      <w:tblPr/>
      <w:tcPr>
        <w:shd w:val="clear" w:color="auto" w:fill="9EF2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F2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</w:rPr>
      <w:tblPr/>
      <w:tcPr>
        <w:shd w:val="clear" w:color="auto" w:fill="A3DD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D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</w:rPr>
      <w:tblPr/>
      <w:tcPr>
        <w:shd w:val="clear" w:color="auto" w:fill="F9E19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9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</w:rPr>
      <w:tblPr/>
      <w:tcPr>
        <w:shd w:val="clear" w:color="auto" w:fill="F5BE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E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</w:rPr>
      <w:tblPr/>
      <w:tcPr>
        <w:shd w:val="clear" w:color="auto" w:fill="6FE7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E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E6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7F5" w:themeFill="accent2" w:themeFillTint="3F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8F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408" w:themeFill="accent4" w:themeFillShade="CC"/>
      </w:tcPr>
    </w:tblStylePr>
    <w:tblStylePr w:type="lastRow">
      <w:rPr>
        <w:b/>
        <w:bCs/>
        <w:color w:val="AA84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DF7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6B24" w:themeFill="accent3" w:themeFillShade="CC"/>
      </w:tcPr>
    </w:tblStylePr>
    <w:tblStylePr w:type="lastRow">
      <w:rPr>
        <w:b/>
        <w:bCs/>
        <w:color w:val="2C6B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CEE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579" w:themeFill="accent6" w:themeFillShade="CC"/>
      </w:tcPr>
    </w:tblStylePr>
    <w:tblStylePr w:type="lastRow">
      <w:rPr>
        <w:b/>
        <w:bCs/>
        <w:color w:val="00657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DB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2440" w:themeFill="accent5" w:themeFillShade="CC"/>
      </w:tcPr>
    </w:tblStylePr>
    <w:tblStylePr w:type="lastRow">
      <w:rPr>
        <w:b/>
        <w:bCs/>
        <w:color w:val="E0244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6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1B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1B53" w:themeColor="accent1" w:themeShade="99"/>
          <w:insideV w:val="nil"/>
        </w:tcBorders>
        <w:shd w:val="clear" w:color="auto" w:fill="1F1B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1B53" w:themeFill="accent1" w:themeFillShade="99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8A84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C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C78" w:themeColor="accent2" w:themeShade="99"/>
          <w:insideV w:val="nil"/>
        </w:tcBorders>
        <w:shd w:val="clear" w:color="auto" w:fill="107C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C78" w:themeFill="accent2" w:themeFillShade="99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86EEE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D5A70B" w:themeColor="accent4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A70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0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01B" w:themeColor="accent3" w:themeShade="99"/>
          <w:insideV w:val="nil"/>
        </w:tcBorders>
        <w:shd w:val="clear" w:color="auto" w:fill="2150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01B" w:themeFill="accent3" w:themeFillShade="99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38862E" w:themeColor="accent3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86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3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306" w:themeColor="accent4" w:themeShade="99"/>
          <w:insideV w:val="nil"/>
        </w:tcBorders>
        <w:shd w:val="clear" w:color="auto" w:fill="7F63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06" w:themeFill="accent4" w:themeFillShade="99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8DA7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008098" w:themeColor="accent6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0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18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182E" w:themeColor="accent5" w:themeShade="99"/>
          <w:insideV w:val="nil"/>
        </w:tcBorders>
        <w:shd w:val="clear" w:color="auto" w:fill="AA18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182E" w:themeFill="accent5" w:themeFillShade="99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3AEB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E85D72" w:themeColor="accent5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5D7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B" w:themeColor="accent6" w:themeShade="99"/>
          <w:insideV w:val="nil"/>
        </w:tcBorders>
        <w:shd w:val="clear" w:color="auto" w:fill="004C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B" w:themeFill="accent6" w:themeFillShade="99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4CE2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6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67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9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42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64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52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7C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14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1E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F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19CDF" w:themeColor="accent1" w:themeTint="66"/>
        <w:left w:val="single" w:sz="4" w:space="0" w:color="A19CDF" w:themeColor="accent1" w:themeTint="66"/>
        <w:bottom w:val="single" w:sz="4" w:space="0" w:color="A19CDF" w:themeColor="accent1" w:themeTint="66"/>
        <w:right w:val="single" w:sz="4" w:space="0" w:color="A19CDF" w:themeColor="accent1" w:themeTint="66"/>
        <w:insideH w:val="single" w:sz="4" w:space="0" w:color="A19CDF" w:themeColor="accent1" w:themeTint="66"/>
        <w:insideV w:val="single" w:sz="4" w:space="0" w:color="A19C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EF2EF" w:themeColor="accent2" w:themeTint="66"/>
        <w:left w:val="single" w:sz="4" w:space="0" w:color="9EF2EF" w:themeColor="accent2" w:themeTint="66"/>
        <w:bottom w:val="single" w:sz="4" w:space="0" w:color="9EF2EF" w:themeColor="accent2" w:themeTint="66"/>
        <w:right w:val="single" w:sz="4" w:space="0" w:color="9EF2EF" w:themeColor="accent2" w:themeTint="66"/>
        <w:insideH w:val="single" w:sz="4" w:space="0" w:color="9EF2EF" w:themeColor="accent2" w:themeTint="66"/>
        <w:insideV w:val="single" w:sz="4" w:space="0" w:color="9EF2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9E191" w:themeColor="accent4" w:themeTint="66"/>
        <w:left w:val="single" w:sz="4" w:space="0" w:color="F9E191" w:themeColor="accent4" w:themeTint="66"/>
        <w:bottom w:val="single" w:sz="4" w:space="0" w:color="F9E191" w:themeColor="accent4" w:themeTint="66"/>
        <w:right w:val="single" w:sz="4" w:space="0" w:color="F9E191" w:themeColor="accent4" w:themeTint="66"/>
        <w:insideH w:val="single" w:sz="4" w:space="0" w:color="F9E191" w:themeColor="accent4" w:themeTint="66"/>
        <w:insideV w:val="single" w:sz="4" w:space="0" w:color="F9E19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5BEC6" w:themeColor="accent5" w:themeTint="66"/>
        <w:left w:val="single" w:sz="4" w:space="0" w:color="F5BEC6" w:themeColor="accent5" w:themeTint="66"/>
        <w:bottom w:val="single" w:sz="4" w:space="0" w:color="F5BEC6" w:themeColor="accent5" w:themeTint="66"/>
        <w:right w:val="single" w:sz="4" w:space="0" w:color="F5BEC6" w:themeColor="accent5" w:themeTint="66"/>
        <w:insideH w:val="single" w:sz="4" w:space="0" w:color="F5BEC6" w:themeColor="accent5" w:themeTint="66"/>
        <w:insideV w:val="single" w:sz="4" w:space="0" w:color="F5BE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FE7FF" w:themeColor="accent6" w:themeTint="66"/>
        <w:left w:val="single" w:sz="4" w:space="0" w:color="6FE7FF" w:themeColor="accent6" w:themeTint="66"/>
        <w:bottom w:val="single" w:sz="4" w:space="0" w:color="6FE7FF" w:themeColor="accent6" w:themeTint="66"/>
        <w:right w:val="single" w:sz="4" w:space="0" w:color="6FE7FF" w:themeColor="accent6" w:themeTint="66"/>
        <w:insideH w:val="single" w:sz="4" w:space="0" w:color="6FE7FF" w:themeColor="accent6" w:themeTint="66"/>
        <w:insideV w:val="single" w:sz="4" w:space="0" w:color="6FE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26BCF" w:themeColor="accent1" w:themeTint="99"/>
        <w:bottom w:val="single" w:sz="2" w:space="0" w:color="726BCF" w:themeColor="accent1" w:themeTint="99"/>
        <w:insideH w:val="single" w:sz="2" w:space="0" w:color="726BCF" w:themeColor="accent1" w:themeTint="99"/>
        <w:insideV w:val="single" w:sz="2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6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DEBE6" w:themeColor="accent2" w:themeTint="99"/>
        <w:bottom w:val="single" w:sz="2" w:space="0" w:color="6DEBE6" w:themeColor="accent2" w:themeTint="99"/>
        <w:insideH w:val="single" w:sz="2" w:space="0" w:color="6DEBE6" w:themeColor="accent2" w:themeTint="99"/>
        <w:insideV w:val="single" w:sz="2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EBE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6CC6B" w:themeColor="accent3" w:themeTint="99"/>
        <w:bottom w:val="single" w:sz="2" w:space="0" w:color="76CC6B" w:themeColor="accent3" w:themeTint="99"/>
        <w:insideH w:val="single" w:sz="2" w:space="0" w:color="76CC6B" w:themeColor="accent3" w:themeTint="99"/>
        <w:insideV w:val="single" w:sz="2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C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6D25B" w:themeColor="accent4" w:themeTint="99"/>
        <w:bottom w:val="single" w:sz="2" w:space="0" w:color="F6D25B" w:themeColor="accent4" w:themeTint="99"/>
        <w:insideH w:val="single" w:sz="2" w:space="0" w:color="F6D25B" w:themeColor="accent4" w:themeTint="99"/>
        <w:insideV w:val="single" w:sz="2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5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19DAA" w:themeColor="accent5" w:themeTint="99"/>
        <w:bottom w:val="single" w:sz="2" w:space="0" w:color="F19DAA" w:themeColor="accent5" w:themeTint="99"/>
        <w:insideH w:val="single" w:sz="2" w:space="0" w:color="F19DAA" w:themeColor="accent5" w:themeTint="99"/>
        <w:insideV w:val="single" w:sz="2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28DCFF" w:themeColor="accent6" w:themeTint="99"/>
        <w:bottom w:val="single" w:sz="2" w:space="0" w:color="28DCFF" w:themeColor="accent6" w:themeTint="99"/>
        <w:insideH w:val="single" w:sz="2" w:space="0" w:color="28DCFF" w:themeColor="accent6" w:themeTint="99"/>
        <w:insideV w:val="single" w:sz="2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D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3">
    <w:name w:val="Grid Table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A19C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9EF2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A3DD9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9E19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5BE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6FE7FF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7153E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161F2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161F2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2">
    <w:name w:val="List Table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bottom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bottom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bottom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bottom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bottom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bottom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3">
    <w:name w:val="List Table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42D8C" w:themeColor="accent1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2D8C" w:themeColor="accent1"/>
          <w:right w:val="single" w:sz="4" w:space="0" w:color="342D8C" w:themeColor="accent1"/>
        </w:tcBorders>
      </w:tcPr>
    </w:tblStylePr>
    <w:tblStylePr w:type="band1Horz">
      <w:tblPr/>
      <w:tcPr>
        <w:tcBorders>
          <w:top w:val="single" w:sz="4" w:space="0" w:color="342D8C" w:themeColor="accent1"/>
          <w:bottom w:val="single" w:sz="4" w:space="0" w:color="342D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2D8C" w:themeColor="accent1"/>
          <w:left w:val="nil"/>
        </w:tcBorders>
      </w:tcPr>
    </w:tblStylePr>
    <w:tblStylePr w:type="swCell">
      <w:tblPr/>
      <w:tcPr>
        <w:tcBorders>
          <w:top w:val="double" w:sz="4" w:space="0" w:color="342D8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CFC9" w:themeColor="accent2"/>
          <w:right w:val="single" w:sz="4" w:space="0" w:color="1CCFC9" w:themeColor="accent2"/>
        </w:tcBorders>
      </w:tcPr>
    </w:tblStylePr>
    <w:tblStylePr w:type="band1Horz">
      <w:tblPr/>
      <w:tcPr>
        <w:tcBorders>
          <w:top w:val="single" w:sz="4" w:space="0" w:color="1CCFC9" w:themeColor="accent2"/>
          <w:bottom w:val="single" w:sz="4" w:space="0" w:color="1CCFC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CFC9" w:themeColor="accent2"/>
          <w:left w:val="nil"/>
        </w:tcBorders>
      </w:tcPr>
    </w:tblStylePr>
    <w:tblStylePr w:type="swCell">
      <w:tblPr/>
      <w:tcPr>
        <w:tcBorders>
          <w:top w:val="double" w:sz="4" w:space="0" w:color="1CCFC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8862E" w:themeColor="accent3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862E" w:themeColor="accent3"/>
          <w:right w:val="single" w:sz="4" w:space="0" w:color="38862E" w:themeColor="accent3"/>
        </w:tcBorders>
      </w:tcPr>
    </w:tblStylePr>
    <w:tblStylePr w:type="band1Horz">
      <w:tblPr/>
      <w:tcPr>
        <w:tcBorders>
          <w:top w:val="single" w:sz="4" w:space="0" w:color="38862E" w:themeColor="accent3"/>
          <w:bottom w:val="single" w:sz="4" w:space="0" w:color="3886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862E" w:themeColor="accent3"/>
          <w:left w:val="nil"/>
        </w:tcBorders>
      </w:tcPr>
    </w:tblStylePr>
    <w:tblStylePr w:type="swCell">
      <w:tblPr/>
      <w:tcPr>
        <w:tcBorders>
          <w:top w:val="double" w:sz="4" w:space="0" w:color="38862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D5A70B" w:themeColor="accent4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A70B" w:themeColor="accent4"/>
          <w:right w:val="single" w:sz="4" w:space="0" w:color="D5A70B" w:themeColor="accent4"/>
        </w:tcBorders>
      </w:tcPr>
    </w:tblStylePr>
    <w:tblStylePr w:type="band1Horz">
      <w:tblPr/>
      <w:tcPr>
        <w:tcBorders>
          <w:top w:val="single" w:sz="4" w:space="0" w:color="D5A70B" w:themeColor="accent4"/>
          <w:bottom w:val="single" w:sz="4" w:space="0" w:color="D5A70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A70B" w:themeColor="accent4"/>
          <w:left w:val="nil"/>
        </w:tcBorders>
      </w:tcPr>
    </w:tblStylePr>
    <w:tblStylePr w:type="swCell">
      <w:tblPr/>
      <w:tcPr>
        <w:tcBorders>
          <w:top w:val="double" w:sz="4" w:space="0" w:color="D5A70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5D72" w:themeColor="accent5"/>
          <w:right w:val="single" w:sz="4" w:space="0" w:color="E85D72" w:themeColor="accent5"/>
        </w:tcBorders>
      </w:tcPr>
    </w:tblStylePr>
    <w:tblStylePr w:type="band1Horz">
      <w:tblPr/>
      <w:tcPr>
        <w:tcBorders>
          <w:top w:val="single" w:sz="4" w:space="0" w:color="E85D72" w:themeColor="accent5"/>
          <w:bottom w:val="single" w:sz="4" w:space="0" w:color="E85D7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5D72" w:themeColor="accent5"/>
          <w:left w:val="nil"/>
        </w:tcBorders>
      </w:tcPr>
    </w:tblStylePr>
    <w:tblStylePr w:type="swCell">
      <w:tblPr/>
      <w:tcPr>
        <w:tcBorders>
          <w:top w:val="double" w:sz="4" w:space="0" w:color="E85D7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8098" w:themeColor="accent6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098" w:themeColor="accent6"/>
          <w:right w:val="single" w:sz="4" w:space="0" w:color="008098" w:themeColor="accent6"/>
        </w:tcBorders>
      </w:tcPr>
    </w:tblStylePr>
    <w:tblStylePr w:type="band1Horz">
      <w:tblPr/>
      <w:tcPr>
        <w:tcBorders>
          <w:top w:val="single" w:sz="4" w:space="0" w:color="008098" w:themeColor="accent6"/>
          <w:bottom w:val="single" w:sz="4" w:space="0" w:color="00809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098" w:themeColor="accent6"/>
          <w:left w:val="nil"/>
        </w:tcBorders>
      </w:tcPr>
    </w:tblStylePr>
    <w:tblStylePr w:type="swCell">
      <w:tblPr/>
      <w:tcPr>
        <w:tcBorders>
          <w:top w:val="double" w:sz="4" w:space="0" w:color="00809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42D8C" w:themeColor="accent1"/>
        <w:left w:val="single" w:sz="24" w:space="0" w:color="342D8C" w:themeColor="accent1"/>
        <w:bottom w:val="single" w:sz="24" w:space="0" w:color="342D8C" w:themeColor="accent1"/>
        <w:right w:val="single" w:sz="24" w:space="0" w:color="342D8C" w:themeColor="accent1"/>
      </w:tblBorders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1CCFC9" w:themeColor="accent2"/>
        <w:left w:val="single" w:sz="24" w:space="0" w:color="1CCFC9" w:themeColor="accent2"/>
        <w:bottom w:val="single" w:sz="24" w:space="0" w:color="1CCFC9" w:themeColor="accent2"/>
        <w:right w:val="single" w:sz="24" w:space="0" w:color="1CCFC9" w:themeColor="accent2"/>
      </w:tblBorders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8862E" w:themeColor="accent3"/>
        <w:left w:val="single" w:sz="24" w:space="0" w:color="38862E" w:themeColor="accent3"/>
        <w:bottom w:val="single" w:sz="24" w:space="0" w:color="38862E" w:themeColor="accent3"/>
        <w:right w:val="single" w:sz="24" w:space="0" w:color="38862E" w:themeColor="accent3"/>
      </w:tblBorders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D5A70B" w:themeColor="accent4"/>
        <w:left w:val="single" w:sz="24" w:space="0" w:color="D5A70B" w:themeColor="accent4"/>
        <w:bottom w:val="single" w:sz="24" w:space="0" w:color="D5A70B" w:themeColor="accent4"/>
        <w:right w:val="single" w:sz="24" w:space="0" w:color="D5A70B" w:themeColor="accent4"/>
      </w:tblBorders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E85D72" w:themeColor="accent5"/>
        <w:left w:val="single" w:sz="24" w:space="0" w:color="E85D72" w:themeColor="accent5"/>
        <w:bottom w:val="single" w:sz="24" w:space="0" w:color="E85D72" w:themeColor="accent5"/>
        <w:right w:val="single" w:sz="24" w:space="0" w:color="E85D72" w:themeColor="accent5"/>
      </w:tblBorders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8098" w:themeColor="accent6"/>
        <w:left w:val="single" w:sz="24" w:space="0" w:color="008098" w:themeColor="accent6"/>
        <w:bottom w:val="single" w:sz="24" w:space="0" w:color="008098" w:themeColor="accent6"/>
        <w:right w:val="single" w:sz="24" w:space="0" w:color="008098" w:themeColor="accent6"/>
      </w:tblBorders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B0D48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342D8C" w:themeColor="accent1"/>
        <w:bottom w:val="single" w:sz="4" w:space="0" w:color="342D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2D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1CCFC9" w:themeColor="accent2"/>
        <w:bottom w:val="single" w:sz="4" w:space="0" w:color="1CCFC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CCFC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38862E" w:themeColor="accent3"/>
        <w:bottom w:val="single" w:sz="4" w:space="0" w:color="3886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86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D5A70B" w:themeColor="accent4"/>
        <w:bottom w:val="single" w:sz="4" w:space="0" w:color="D5A70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A70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E85D72" w:themeColor="accent5"/>
        <w:bottom w:val="single" w:sz="4" w:space="0" w:color="E85D7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5D7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008098" w:themeColor="accent6"/>
        <w:bottom w:val="single" w:sz="4" w:space="0" w:color="00809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809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B0D48"/>
    <w:rPr>
      <w:rFonts w:ascii="Roboto" w:hAnsi="Roboto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2D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2D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2D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2D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CFC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CFC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CFC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CFC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86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86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86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86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A70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A70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A70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A70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5D7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5D7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5D7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5D7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09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09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09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09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  <w:insideV w:val="single" w:sz="8" w:space="0" w:color="4F46C3" w:themeColor="accent1" w:themeTint="BF"/>
      </w:tblBorders>
    </w:tblPr>
    <w:tcPr>
      <w:shd w:val="clear" w:color="auto" w:fill="C5C2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46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TableList8">
    <w:name w:val="Table List 8"/>
    <w:basedOn w:val="TableNormal"/>
    <w:uiPriority w:val="99"/>
    <w:semiHidden/>
    <w:unhideWhenUsed/>
    <w:rsid w:val="00CB0D48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  <w:insideV w:val="single" w:sz="8" w:space="0" w:color="49E6E0" w:themeColor="accent2" w:themeTint="BF"/>
      </w:tblBorders>
    </w:tblPr>
    <w:tcPr>
      <w:shd w:val="clear" w:color="auto" w:fill="C3F7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E6E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  <w:insideV w:val="single" w:sz="8" w:space="0" w:color="54BF46" w:themeColor="accent3" w:themeTint="BF"/>
      </w:tblBorders>
    </w:tblPr>
    <w:tcPr>
      <w:shd w:val="clear" w:color="auto" w:fill="C6EA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BF4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  <w:insideV w:val="single" w:sz="8" w:space="0" w:color="F4C733" w:themeColor="accent4" w:themeTint="BF"/>
      </w:tblBorders>
    </w:tblPr>
    <w:tcPr>
      <w:shd w:val="clear" w:color="auto" w:fill="FBECB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3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  <w:insideV w:val="single" w:sz="8" w:space="0" w:color="ED8595" w:themeColor="accent5" w:themeTint="BF"/>
      </w:tblBorders>
    </w:tblPr>
    <w:tcPr>
      <w:shd w:val="clear" w:color="auto" w:fill="F9D6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59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  <w:insideV w:val="single" w:sz="8" w:space="0" w:color="00CAF1" w:themeColor="accent6" w:themeTint="BF"/>
      </w:tblBorders>
    </w:tblPr>
    <w:tcPr>
      <w:shd w:val="clear" w:color="auto" w:fill="A6F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A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B0D4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2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84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84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F7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EE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EEE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8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B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7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7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6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EB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EB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2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2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2D8C" w:themeColor="accen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shd w:val="clear" w:color="auto" w:fill="C5C2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1CCFC9" w:themeColor="accent2"/>
        <w:bottom w:val="single" w:sz="8" w:space="0" w:color="1CCFC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CFC9" w:themeColor="accent2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shd w:val="clear" w:color="auto" w:fill="C3F7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862E" w:themeColor="accent3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shd w:val="clear" w:color="auto" w:fill="C6EAC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A70B" w:themeColor="accent4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shd w:val="clear" w:color="auto" w:fill="FBECB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5D72" w:themeColor="accent5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shd w:val="clear" w:color="auto" w:fill="F9D6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098" w:themeColor="accent6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shd w:val="clear" w:color="auto" w:fill="A6F0FF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B0D48"/>
    <w:rPr>
      <w:rFonts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D78A7"/>
    <w:rPr>
      <w:rFonts w:ascii="Roboto" w:hAnsi="Robo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78A7"/>
    <w:rPr>
      <w:rFonts w:ascii="Roboto" w:hAnsi="Roboto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78A7"/>
    <w:rPr>
      <w:rFonts w:ascii="Roboto" w:hAnsi="Roboto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78A7"/>
    <w:rPr>
      <w:rFonts w:ascii="Roboto" w:hAnsi="Robo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78A7"/>
    <w:rPr>
      <w:rFonts w:ascii="Roboto" w:hAnsi="Robo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78A7"/>
    <w:rPr>
      <w:rFonts w:ascii="Roboto" w:hAnsi="Robo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78A7"/>
    <w:rPr>
      <w:rFonts w:ascii="Roboto" w:hAnsi="Roboto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78A7"/>
    <w:rPr>
      <w:rFonts w:ascii="Roboto" w:hAnsi="Robo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78A7"/>
    <w:rPr>
      <w:rFonts w:ascii="Roboto" w:hAnsi="Robo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4006"/>
    <w:rPr>
      <w:rFonts w:ascii="Roboto" w:hAnsi="Roboto"/>
    </w:rPr>
  </w:style>
  <w:style w:type="character" w:styleId="IntenseEmphasis">
    <w:name w:val="Intense Emphasis"/>
    <w:basedOn w:val="DefaultParagraphFont"/>
    <w:uiPriority w:val="21"/>
    <w:rsid w:val="00F04EEF"/>
    <w:rPr>
      <w:i/>
      <w:iCs/>
      <w:color w:val="26216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F04EEF"/>
    <w:pPr>
      <w:pBdr>
        <w:top w:val="single" w:sz="4" w:space="10" w:color="262168" w:themeColor="accent1" w:themeShade="BF"/>
        <w:bottom w:val="single" w:sz="4" w:space="10" w:color="262168" w:themeColor="accent1" w:themeShade="BF"/>
      </w:pBdr>
      <w:spacing w:before="360" w:after="360"/>
      <w:ind w:left="864" w:right="864"/>
      <w:jc w:val="center"/>
    </w:pPr>
    <w:rPr>
      <w:i/>
      <w:iCs/>
      <w:color w:val="26216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EEF"/>
    <w:rPr>
      <w:rFonts w:ascii="Roboto" w:hAnsi="Roboto"/>
      <w:i/>
      <w:iCs/>
      <w:color w:val="262168" w:themeColor="accent1" w:themeShade="BF"/>
    </w:rPr>
  </w:style>
  <w:style w:type="character" w:styleId="IntenseReference">
    <w:name w:val="Intense Reference"/>
    <w:basedOn w:val="DefaultParagraphFont"/>
    <w:uiPriority w:val="32"/>
    <w:rsid w:val="00F04EEF"/>
    <w:rPr>
      <w:b/>
      <w:bCs/>
      <w:smallCaps/>
      <w:color w:val="262168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227"/>
  </w:style>
  <w:style w:type="character" w:customStyle="1" w:styleId="DateChar">
    <w:name w:val="Date Char"/>
    <w:basedOn w:val="DefaultParagraphFont"/>
    <w:link w:val="Date"/>
    <w:uiPriority w:val="99"/>
    <w:semiHidden/>
    <w:rsid w:val="00664227"/>
    <w:rPr>
      <w:rFonts w:ascii="Roboto" w:hAnsi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CCC Theme">
  <a:themeElements>
    <a:clrScheme name="ACCC">
      <a:dk1>
        <a:sysClr val="windowText" lastClr="000000"/>
      </a:dk1>
      <a:lt1>
        <a:sysClr val="window" lastClr="FFFFFF"/>
      </a:lt1>
      <a:dk2>
        <a:srgbClr val="131838"/>
      </a:dk2>
      <a:lt2>
        <a:srgbClr val="D5D6D2"/>
      </a:lt2>
      <a:accent1>
        <a:srgbClr val="342D8C"/>
      </a:accent1>
      <a:accent2>
        <a:srgbClr val="1CCFC9"/>
      </a:accent2>
      <a:accent3>
        <a:srgbClr val="38862E"/>
      </a:accent3>
      <a:accent4>
        <a:srgbClr val="D5A70B"/>
      </a:accent4>
      <a:accent5>
        <a:srgbClr val="E85D72"/>
      </a:accent5>
      <a:accent6>
        <a:srgbClr val="008098"/>
      </a:accent6>
      <a:hlink>
        <a:srgbClr val="0000FF"/>
      </a:hlink>
      <a:folHlink>
        <a:srgbClr val="800080"/>
      </a:folHlink>
    </a:clrScheme>
    <a:fontScheme name="accc">
      <a:majorFont>
        <a:latin typeface="Bitter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A3F34C6CF7D439C71A25B6DD8BD4B" ma:contentTypeVersion="12" ma:contentTypeDescription="Create a new document." ma:contentTypeScope="" ma:versionID="20ad86117b0ecb42dd6e14e3f2b25974">
  <xsd:schema xmlns:xsd="http://www.w3.org/2001/XMLSchema" xmlns:xs="http://www.w3.org/2001/XMLSchema" xmlns:p="http://schemas.microsoft.com/office/2006/metadata/properties" xmlns:ns2="28046d96-a28f-4bbc-ad90-d0e9bf35e1a8" xmlns:ns3="c246f20c-641d-4da4-82c4-be06dbc04e62" targetNamespace="http://schemas.microsoft.com/office/2006/metadata/properties" ma:root="true" ma:fieldsID="2141e6a11d300789e2a8eed9ec6c6366" ns2:_="" ns3:_="">
    <xsd:import namespace="28046d96-a28f-4bbc-ad90-d0e9bf35e1a8"/>
    <xsd:import namespace="c246f20c-641d-4da4-82c4-be06dbc04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6d96-a28f-4bbc-ad90-d0e9bf35e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f20c-641d-4da4-82c4-be06dbc04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3ABA2F-F47E-4F6D-B1C9-CE17E453C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7D3D1-A6A7-427A-BA79-4F0EA5096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48DA7-5FAA-4DB8-89C9-FCACC378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6d96-a28f-4bbc-ad90-d0e9bf35e1a8"/>
    <ds:schemaRef ds:uri="c246f20c-641d-4da4-82c4-be06dbc04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DF1EC8-72CE-446D-8870-26D10EE69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648</Words>
  <Characters>3515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Veronica Warne</dc:creator>
  <cp:keywords/>
  <dc:description/>
  <cp:lastModifiedBy>Fergus Pope</cp:lastModifiedBy>
  <cp:revision>38</cp:revision>
  <cp:lastPrinted>2022-05-26T00:23:00Z</cp:lastPrinted>
  <dcterms:created xsi:type="dcterms:W3CDTF">2025-05-28T01:45:00Z</dcterms:created>
  <dcterms:modified xsi:type="dcterms:W3CDTF">2025-06-02T01:49:00Z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2025-05-26T06:40:00Z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fbadabc7-1fbb-46e4-87d8-0b94fb85d3bf</vt:lpwstr>
  </property>
  <property fmtid="{D5CDD505-2E9C-101B-9397-08002B2CF9AE}" pid="8" name="MSIP_Label_d9d5a995-dfdf-4407-9a97-edbbc68c9f53_ContentBits">
    <vt:lpwstr>0</vt:lpwstr>
  </property>
</Properties>
</file>