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62400" w14:textId="6E3DB8B1" w:rsidR="00B05C45" w:rsidRPr="00EF03A9" w:rsidRDefault="00B81331" w:rsidP="003228DC">
      <w:pPr>
        <w:pStyle w:val="Heading1"/>
        <w:tabs>
          <w:tab w:val="left" w:pos="4678"/>
        </w:tabs>
        <w:spacing w:before="800"/>
        <w:ind w:left="0" w:firstLine="0"/>
        <w:rPr>
          <w:sz w:val="96"/>
          <w:szCs w:val="96"/>
        </w:rPr>
      </w:pPr>
      <w:r w:rsidRPr="00680ADA">
        <w:rPr>
          <w:noProof/>
          <w:sz w:val="72"/>
          <w:szCs w:val="72"/>
        </w:rPr>
        <w:drawing>
          <wp:anchor distT="0" distB="0" distL="114300" distR="114300" simplePos="0" relativeHeight="251659264" behindDoc="1" locked="0" layoutInCell="1" allowOverlap="1" wp14:anchorId="54466DB2" wp14:editId="3A5448CF">
            <wp:simplePos x="0" y="0"/>
            <wp:positionH relativeFrom="page">
              <wp:align>center</wp:align>
            </wp:positionH>
            <wp:positionV relativeFrom="margin">
              <wp:posOffset>-1050316</wp:posOffset>
            </wp:positionV>
            <wp:extent cx="8058150" cy="8817139"/>
            <wp:effectExtent l="0" t="0" r="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ver-image-templat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58150" cy="8817139"/>
                    </a:xfrm>
                    <a:prstGeom prst="rect">
                      <a:avLst/>
                    </a:prstGeom>
                  </pic:spPr>
                </pic:pic>
              </a:graphicData>
            </a:graphic>
            <wp14:sizeRelH relativeFrom="page">
              <wp14:pctWidth>0</wp14:pctWidth>
            </wp14:sizeRelH>
            <wp14:sizeRelV relativeFrom="page">
              <wp14:pctHeight>0</wp14:pctHeight>
            </wp14:sizeRelV>
          </wp:anchor>
        </w:drawing>
      </w:r>
      <w:r w:rsidR="00B05C45" w:rsidRPr="00EF03A9">
        <w:rPr>
          <w:sz w:val="96"/>
          <w:szCs w:val="96"/>
        </w:rPr>
        <w:t>Annual</w:t>
      </w:r>
      <w:r w:rsidR="00803CBF" w:rsidRPr="00EF03A9">
        <w:rPr>
          <w:sz w:val="96"/>
          <w:szCs w:val="96"/>
        </w:rPr>
        <w:t xml:space="preserve"> Information</w:t>
      </w:r>
      <w:r w:rsidR="00B05C45" w:rsidRPr="00EF03A9">
        <w:rPr>
          <w:sz w:val="96"/>
          <w:szCs w:val="96"/>
        </w:rPr>
        <w:t xml:space="preserve"> Order</w:t>
      </w:r>
      <w:r w:rsidR="003D482F" w:rsidRPr="00EF03A9">
        <w:rPr>
          <w:sz w:val="96"/>
          <w:szCs w:val="96"/>
        </w:rPr>
        <w:t xml:space="preserve"> -</w:t>
      </w:r>
    </w:p>
    <w:p w14:paraId="1565984E" w14:textId="77777777" w:rsidR="00805614" w:rsidRDefault="00805614" w:rsidP="00805614">
      <w:pPr>
        <w:pStyle w:val="Heading1"/>
        <w:tabs>
          <w:tab w:val="left" w:pos="4678"/>
        </w:tabs>
        <w:ind w:left="0" w:firstLine="0"/>
        <w:rPr>
          <w:sz w:val="96"/>
          <w:szCs w:val="96"/>
        </w:rPr>
      </w:pPr>
      <w:r>
        <w:rPr>
          <w:sz w:val="96"/>
          <w:szCs w:val="96"/>
        </w:rPr>
        <w:t xml:space="preserve">Electricity </w:t>
      </w:r>
      <w:r w:rsidR="00B05C45" w:rsidRPr="00EF03A9">
        <w:rPr>
          <w:sz w:val="96"/>
          <w:szCs w:val="96"/>
        </w:rPr>
        <w:t>T</w:t>
      </w:r>
      <w:r>
        <w:rPr>
          <w:sz w:val="96"/>
          <w:szCs w:val="96"/>
        </w:rPr>
        <w:t>NSPs</w:t>
      </w:r>
      <w:r w:rsidR="00F3361B" w:rsidRPr="00EF03A9">
        <w:rPr>
          <w:sz w:val="96"/>
          <w:szCs w:val="96"/>
        </w:rPr>
        <w:t xml:space="preserve"> </w:t>
      </w:r>
    </w:p>
    <w:p w14:paraId="46561D15" w14:textId="19F98B66" w:rsidR="00F64E43" w:rsidRDefault="00680ADA" w:rsidP="00805614">
      <w:pPr>
        <w:pStyle w:val="Heading1"/>
        <w:tabs>
          <w:tab w:val="left" w:pos="4678"/>
        </w:tabs>
        <w:ind w:left="0" w:firstLine="0"/>
      </w:pPr>
      <w:r w:rsidRPr="00680ADA">
        <w:t xml:space="preserve"> </w:t>
      </w:r>
    </w:p>
    <w:p w14:paraId="30C1E5F8" w14:textId="5061AA89" w:rsidR="007C187C" w:rsidRPr="00680ADA" w:rsidRDefault="00680ADA" w:rsidP="007C187C">
      <w:pPr>
        <w:pStyle w:val="Heading1"/>
        <w:tabs>
          <w:tab w:val="left" w:pos="4678"/>
        </w:tabs>
        <w:ind w:left="0" w:firstLine="0"/>
        <w:rPr>
          <w:sz w:val="72"/>
          <w:szCs w:val="72"/>
        </w:rPr>
      </w:pPr>
      <w:r w:rsidRPr="00680ADA">
        <w:rPr>
          <w:sz w:val="72"/>
          <w:szCs w:val="72"/>
        </w:rPr>
        <w:t xml:space="preserve">Appendix A </w:t>
      </w:r>
      <w:r w:rsidR="00B05C45">
        <w:rPr>
          <w:sz w:val="72"/>
          <w:szCs w:val="72"/>
        </w:rPr>
        <w:t>–</w:t>
      </w:r>
      <w:r w:rsidR="00F64E43">
        <w:rPr>
          <w:sz w:val="72"/>
          <w:szCs w:val="72"/>
        </w:rPr>
        <w:t xml:space="preserve"> </w:t>
      </w:r>
      <w:r w:rsidR="00B05C45">
        <w:rPr>
          <w:sz w:val="72"/>
          <w:szCs w:val="72"/>
        </w:rPr>
        <w:t>Data workbook</w:t>
      </w:r>
      <w:r w:rsidR="00805614">
        <w:rPr>
          <w:sz w:val="72"/>
          <w:szCs w:val="72"/>
        </w:rPr>
        <w:t>s</w:t>
      </w:r>
      <w:r w:rsidR="00F64E43">
        <w:rPr>
          <w:sz w:val="72"/>
          <w:szCs w:val="72"/>
        </w:rPr>
        <w:t xml:space="preserve"> i</w:t>
      </w:r>
      <w:r w:rsidRPr="00680ADA">
        <w:rPr>
          <w:sz w:val="72"/>
          <w:szCs w:val="72"/>
        </w:rPr>
        <w:t>nstructions</w:t>
      </w:r>
    </w:p>
    <w:p w14:paraId="2E4192DB" w14:textId="1190F059" w:rsidR="007C187C" w:rsidRDefault="007C187C" w:rsidP="007C187C"/>
    <w:p w14:paraId="10E99564" w14:textId="6C14D213" w:rsidR="007C187C" w:rsidRDefault="007C187C" w:rsidP="007C187C"/>
    <w:p w14:paraId="74CF3460" w14:textId="77777777" w:rsidR="0022696E" w:rsidRDefault="0022696E" w:rsidP="00B05C45">
      <w:pPr>
        <w:pStyle w:val="Date"/>
      </w:pPr>
    </w:p>
    <w:p w14:paraId="0038E27C" w14:textId="77777777" w:rsidR="0022696E" w:rsidRDefault="0022696E" w:rsidP="00B05C45">
      <w:pPr>
        <w:pStyle w:val="Date"/>
      </w:pPr>
    </w:p>
    <w:p w14:paraId="610DFEBE" w14:textId="77777777" w:rsidR="0022696E" w:rsidRDefault="0022696E" w:rsidP="00B05C45">
      <w:pPr>
        <w:pStyle w:val="Date"/>
      </w:pPr>
    </w:p>
    <w:p w14:paraId="73A2458A" w14:textId="71010E0E" w:rsidR="00B05C45" w:rsidRDefault="007E18FB" w:rsidP="00805614">
      <w:pPr>
        <w:pStyle w:val="Date"/>
        <w:spacing w:before="600"/>
      </w:pPr>
      <w:r>
        <w:t xml:space="preserve">April </w:t>
      </w:r>
      <w:r w:rsidR="003228DC">
        <w:t>2024</w:t>
      </w:r>
    </w:p>
    <w:p w14:paraId="13FD7E34" w14:textId="77777777" w:rsidR="003D482F" w:rsidRPr="003D482F" w:rsidRDefault="003D482F" w:rsidP="003D482F"/>
    <w:p w14:paraId="7B52D3C3" w14:textId="3FA38BEE" w:rsidR="00764D6A" w:rsidRPr="00933198" w:rsidRDefault="00353A22" w:rsidP="002858C3">
      <w:pPr>
        <w:pStyle w:val="Date"/>
        <w:spacing w:before="480"/>
        <w:ind w:left="-142"/>
      </w:pPr>
      <w:r>
        <w:rPr>
          <w:noProof/>
          <w:lang w:eastAsia="en-AU"/>
        </w:rPr>
        <w:drawing>
          <wp:inline distT="0" distB="0" distL="0" distR="0" wp14:anchorId="63DA98A1" wp14:editId="00472757">
            <wp:extent cx="3003550" cy="136348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01748" cy="1408065"/>
                    </a:xfrm>
                    <a:prstGeom prst="rect">
                      <a:avLst/>
                    </a:prstGeom>
                    <a:noFill/>
                  </pic:spPr>
                </pic:pic>
              </a:graphicData>
            </a:graphic>
          </wp:inline>
        </w:drawing>
      </w:r>
      <w:r w:rsidR="00E91D72" w:rsidRPr="00B837B8">
        <w:br w:type="page"/>
      </w:r>
      <w:r w:rsidR="00E91D72" w:rsidRPr="003D482F">
        <w:rPr>
          <w:b w:val="0"/>
          <w:bCs/>
          <w:sz w:val="20"/>
          <w:szCs w:val="20"/>
        </w:rPr>
        <w:lastRenderedPageBreak/>
        <w:t xml:space="preserve">© Commonwealth of Australia </w:t>
      </w:r>
      <w:r w:rsidR="00B97E61" w:rsidRPr="003D482F">
        <w:rPr>
          <w:b w:val="0"/>
          <w:bCs/>
          <w:sz w:val="20"/>
          <w:szCs w:val="20"/>
        </w:rPr>
        <w:t>202</w:t>
      </w:r>
      <w:r w:rsidR="002E64D3">
        <w:rPr>
          <w:b w:val="0"/>
          <w:bCs/>
          <w:sz w:val="20"/>
          <w:szCs w:val="20"/>
        </w:rPr>
        <w:t>4</w:t>
      </w:r>
    </w:p>
    <w:p w14:paraId="3392E3F1" w14:textId="77777777" w:rsidR="008D4F75" w:rsidRPr="004C0444" w:rsidRDefault="008D4F75" w:rsidP="00933198">
      <w:pPr>
        <w:pStyle w:val="Normalsmall"/>
      </w:pPr>
      <w:r w:rsidRPr="004C0444">
        <w:t xml:space="preserve">This work is copyright. In addition to any use permitted under the </w:t>
      </w:r>
      <w:r w:rsidRPr="004C0444">
        <w:rPr>
          <w:rStyle w:val="Emphasis"/>
        </w:rPr>
        <w:t>Copyright Act 1968</w:t>
      </w:r>
      <w:r w:rsidRPr="004C0444">
        <w:t xml:space="preserve"> all material contained within this work is provided under a Creative Commons Attributions 3.0 Australia licence </w:t>
      </w:r>
      <w:proofErr w:type="gramStart"/>
      <w:r w:rsidRPr="004C0444">
        <w:t>with the exception of</w:t>
      </w:r>
      <w:proofErr w:type="gramEnd"/>
      <w:r w:rsidRPr="004C0444">
        <w:t>:</w:t>
      </w:r>
    </w:p>
    <w:p w14:paraId="253F5105" w14:textId="77777777" w:rsidR="008D4F75" w:rsidRPr="004C0444" w:rsidRDefault="008D4F75" w:rsidP="00933198">
      <w:pPr>
        <w:pStyle w:val="Normalsmall"/>
        <w:ind w:left="567" w:hanging="567"/>
      </w:pPr>
      <w:r w:rsidRPr="004C0444">
        <w:t>•</w:t>
      </w:r>
      <w:r w:rsidRPr="004C0444">
        <w:tab/>
        <w:t>the Commonwealth Coat of Arms</w:t>
      </w:r>
    </w:p>
    <w:p w14:paraId="0913F6B3" w14:textId="020A9562" w:rsidR="008D4F75" w:rsidRPr="004C0444" w:rsidRDefault="008D4F75" w:rsidP="00933198">
      <w:pPr>
        <w:pStyle w:val="Normalsmall"/>
        <w:ind w:left="567" w:hanging="567"/>
      </w:pPr>
      <w:r w:rsidRPr="004C0444">
        <w:t>•</w:t>
      </w:r>
      <w:r w:rsidRPr="004C0444">
        <w:tab/>
        <w:t xml:space="preserve">the ACCC and </w:t>
      </w:r>
      <w:r w:rsidR="00375AB1" w:rsidRPr="002F448A">
        <w:rPr>
          <w:iCs/>
        </w:rPr>
        <w:t>AER</w:t>
      </w:r>
      <w:r w:rsidRPr="004C0444">
        <w:t xml:space="preserve"> logos</w:t>
      </w:r>
    </w:p>
    <w:p w14:paraId="5DEBE83F" w14:textId="77777777" w:rsidR="008D4F75" w:rsidRPr="004C0444" w:rsidRDefault="008D4F75" w:rsidP="00933198">
      <w:pPr>
        <w:pStyle w:val="Normalsmall"/>
        <w:ind w:left="567" w:hanging="567"/>
      </w:pPr>
      <w:r w:rsidRPr="004C0444">
        <w:t>•</w:t>
      </w:r>
      <w:r w:rsidRPr="004C0444">
        <w:tab/>
        <w:t xml:space="preserve">any illustration diagram, photograph or graphic over which the Australian Competition and Consumer Commission does not hold </w:t>
      </w:r>
      <w:proofErr w:type="gramStart"/>
      <w:r w:rsidRPr="004C0444">
        <w:t>copyright</w:t>
      </w:r>
      <w:proofErr w:type="gramEnd"/>
      <w:r w:rsidRPr="004C0444">
        <w:t xml:space="preserve"> but which may be part of or contained within this publication. </w:t>
      </w:r>
    </w:p>
    <w:p w14:paraId="45A43E09" w14:textId="77777777" w:rsidR="003C4026" w:rsidRPr="003B7467" w:rsidRDefault="003C4026" w:rsidP="003C4026">
      <w:pPr>
        <w:pStyle w:val="Normalsmall"/>
      </w:pPr>
      <w:r w:rsidRPr="003B7467">
        <w:t>The details of the relevant licence conditions are available on the Creative Commons website as is the full legal code for the CC BY 3.0 AU licence.</w:t>
      </w:r>
    </w:p>
    <w:p w14:paraId="48ECA853" w14:textId="77777777" w:rsidR="003C4026" w:rsidRPr="00933198" w:rsidRDefault="003C4026" w:rsidP="003C4026">
      <w:pPr>
        <w:pStyle w:val="Normalsmall"/>
      </w:pPr>
      <w:r w:rsidRPr="00933198">
        <w:t>Inquiries about this publication should be addressed to:</w:t>
      </w:r>
    </w:p>
    <w:p w14:paraId="3A0255D0" w14:textId="77777777" w:rsidR="003C4026" w:rsidRPr="00933198" w:rsidRDefault="003C4026" w:rsidP="003C4026">
      <w:pPr>
        <w:pStyle w:val="Normalsmall"/>
        <w:spacing w:after="0"/>
      </w:pPr>
      <w:r w:rsidRPr="00933198">
        <w:t>Australian Energy Regulator</w:t>
      </w:r>
    </w:p>
    <w:p w14:paraId="06A2E85A" w14:textId="77777777" w:rsidR="003C4026" w:rsidRDefault="003C4026" w:rsidP="003C4026">
      <w:pPr>
        <w:pStyle w:val="Normalsmall"/>
        <w:spacing w:after="0"/>
      </w:pPr>
      <w:r>
        <w:t>GPO Box 3131</w:t>
      </w:r>
    </w:p>
    <w:p w14:paraId="32B88BBA" w14:textId="77777777" w:rsidR="003C4026" w:rsidRDefault="003C4026" w:rsidP="003C4026">
      <w:pPr>
        <w:pStyle w:val="Normalsmall"/>
        <w:spacing w:after="0"/>
      </w:pPr>
      <w:r>
        <w:t>Canberra ACT 2601</w:t>
      </w:r>
    </w:p>
    <w:p w14:paraId="6CD53FE6" w14:textId="77777777" w:rsidR="003C4026" w:rsidRDefault="003C4026" w:rsidP="003C4026">
      <w:pPr>
        <w:pStyle w:val="Normalsmall"/>
      </w:pPr>
      <w:r w:rsidRPr="00933198">
        <w:t>Tel: 1300 585 165</w:t>
      </w:r>
    </w:p>
    <w:p w14:paraId="4C0158E2" w14:textId="77777777" w:rsidR="003C4026" w:rsidRDefault="003C4026" w:rsidP="003C4026">
      <w:pPr>
        <w:pStyle w:val="Normalsmall"/>
      </w:pPr>
      <w:r>
        <w:t xml:space="preserve">Email: </w:t>
      </w:r>
      <w:hyperlink r:id="rId13" w:history="1">
        <w:r w:rsidRPr="008312EE">
          <w:rPr>
            <w:rStyle w:val="Hyperlink"/>
          </w:rPr>
          <w:t>networksinformation@aer.gov.au</w:t>
        </w:r>
      </w:hyperlink>
    </w:p>
    <w:p w14:paraId="6ABBB987" w14:textId="77777777" w:rsidR="003C4026" w:rsidRPr="00933198" w:rsidRDefault="003C4026" w:rsidP="003C4026">
      <w:pPr>
        <w:pStyle w:val="Normalsmall"/>
      </w:pPr>
    </w:p>
    <w:p w14:paraId="3EC971AB" w14:textId="77777777" w:rsidR="003C4026" w:rsidRDefault="003C4026" w:rsidP="003C4026">
      <w:pPr>
        <w:pStyle w:val="Normalsmall"/>
      </w:pPr>
      <w:r w:rsidRPr="001369A6">
        <w:t xml:space="preserve">AER </w:t>
      </w:r>
      <w:r>
        <w:t>r</w:t>
      </w:r>
      <w:r w:rsidRPr="001369A6">
        <w:t xml:space="preserve">eference: </w:t>
      </w:r>
      <w:r>
        <w:t>AER213511</w:t>
      </w:r>
    </w:p>
    <w:p w14:paraId="6C7A0882" w14:textId="77777777" w:rsidR="00805614" w:rsidRDefault="00805614" w:rsidP="00805614">
      <w:pPr>
        <w:pStyle w:val="Normalsmall"/>
      </w:pPr>
      <w:r w:rsidRPr="00A131BE">
        <w:rPr>
          <w:rStyle w:val="Strong"/>
        </w:rPr>
        <w:t xml:space="preserve">Amendment </w:t>
      </w:r>
      <w:r>
        <w:rPr>
          <w:rStyle w:val="Strong"/>
        </w:rPr>
        <w:t>r</w:t>
      </w:r>
      <w:r w:rsidRPr="00A131BE">
        <w:rPr>
          <w:rStyle w:val="Strong"/>
        </w:rPr>
        <w:t>ecord</w:t>
      </w:r>
    </w:p>
    <w:tbl>
      <w:tblPr>
        <w:tblStyle w:val="TableGrid"/>
        <w:tblW w:w="0" w:type="auto"/>
        <w:tblLook w:val="04A0" w:firstRow="1" w:lastRow="0" w:firstColumn="1" w:lastColumn="0" w:noHBand="0" w:noVBand="1"/>
      </w:tblPr>
      <w:tblGrid>
        <w:gridCol w:w="3020"/>
        <w:gridCol w:w="3020"/>
        <w:gridCol w:w="3020"/>
      </w:tblGrid>
      <w:tr w:rsidR="00805614" w:rsidRPr="00DC66FB" w14:paraId="68CE3557" w14:textId="77777777" w:rsidTr="00343AA1">
        <w:tc>
          <w:tcPr>
            <w:tcW w:w="3020" w:type="dxa"/>
            <w:shd w:val="clear" w:color="auto" w:fill="303F51"/>
          </w:tcPr>
          <w:p w14:paraId="20A55379" w14:textId="77777777" w:rsidR="00805614" w:rsidRPr="00A131BE" w:rsidRDefault="00805614" w:rsidP="00343AA1">
            <w:pPr>
              <w:pStyle w:val="TableHeading"/>
            </w:pPr>
            <w:bookmarkStart w:id="0" w:name="_Toc430782148"/>
            <w:r w:rsidRPr="00A131BE">
              <w:t>Version</w:t>
            </w:r>
          </w:p>
        </w:tc>
        <w:tc>
          <w:tcPr>
            <w:tcW w:w="3020" w:type="dxa"/>
            <w:shd w:val="clear" w:color="auto" w:fill="303F51"/>
          </w:tcPr>
          <w:p w14:paraId="01800055" w14:textId="77777777" w:rsidR="00805614" w:rsidRPr="00A131BE" w:rsidRDefault="00805614" w:rsidP="00343AA1">
            <w:pPr>
              <w:pStyle w:val="TableHeading"/>
            </w:pPr>
            <w:r w:rsidRPr="00A131BE">
              <w:t>Date</w:t>
            </w:r>
          </w:p>
        </w:tc>
        <w:tc>
          <w:tcPr>
            <w:tcW w:w="3020" w:type="dxa"/>
            <w:shd w:val="clear" w:color="auto" w:fill="303F51"/>
          </w:tcPr>
          <w:p w14:paraId="26997946" w14:textId="77777777" w:rsidR="00805614" w:rsidRPr="00A131BE" w:rsidRDefault="00805614" w:rsidP="00343AA1">
            <w:pPr>
              <w:pStyle w:val="TableHeading"/>
            </w:pPr>
            <w:r w:rsidRPr="00A131BE">
              <w:t>Pages</w:t>
            </w:r>
          </w:p>
        </w:tc>
      </w:tr>
      <w:tr w:rsidR="00805614" w:rsidRPr="00DC66FB" w14:paraId="6B6DC94B" w14:textId="77777777" w:rsidTr="00343AA1">
        <w:tc>
          <w:tcPr>
            <w:tcW w:w="3020" w:type="dxa"/>
          </w:tcPr>
          <w:p w14:paraId="49E137D0" w14:textId="77777777" w:rsidR="00805614" w:rsidRPr="00DC66FB" w:rsidRDefault="00805614" w:rsidP="00343AA1">
            <w:pPr>
              <w:pStyle w:val="TableText"/>
            </w:pPr>
            <w:r>
              <w:t>Preliminary</w:t>
            </w:r>
          </w:p>
        </w:tc>
        <w:tc>
          <w:tcPr>
            <w:tcW w:w="3020" w:type="dxa"/>
          </w:tcPr>
          <w:p w14:paraId="6027099E" w14:textId="77777777" w:rsidR="00805614" w:rsidRPr="00BC0C3E" w:rsidRDefault="00805614" w:rsidP="00343AA1">
            <w:pPr>
              <w:pStyle w:val="TableText"/>
            </w:pPr>
            <w:r w:rsidRPr="00BC0C3E">
              <w:t>25 January 2023</w:t>
            </w:r>
          </w:p>
        </w:tc>
        <w:tc>
          <w:tcPr>
            <w:tcW w:w="3020" w:type="dxa"/>
          </w:tcPr>
          <w:p w14:paraId="54A8D12F" w14:textId="0C3DA71F" w:rsidR="00805614" w:rsidRPr="00DC66FB" w:rsidRDefault="00135261" w:rsidP="00343AA1">
            <w:pPr>
              <w:pStyle w:val="TableText"/>
            </w:pPr>
            <w:r>
              <w:t>32</w:t>
            </w:r>
          </w:p>
        </w:tc>
      </w:tr>
      <w:tr w:rsidR="00805614" w:rsidRPr="00DC66FB" w14:paraId="1ABA5F11" w14:textId="77777777" w:rsidTr="00343AA1">
        <w:tc>
          <w:tcPr>
            <w:tcW w:w="3020" w:type="dxa"/>
          </w:tcPr>
          <w:p w14:paraId="6DD03E8D" w14:textId="77777777" w:rsidR="00805614" w:rsidRPr="00DC66FB" w:rsidRDefault="00805614" w:rsidP="00343AA1">
            <w:pPr>
              <w:pStyle w:val="TableText"/>
            </w:pPr>
            <w:r>
              <w:t>Draft</w:t>
            </w:r>
          </w:p>
        </w:tc>
        <w:tc>
          <w:tcPr>
            <w:tcW w:w="3020" w:type="dxa"/>
          </w:tcPr>
          <w:p w14:paraId="68FC8E3F" w14:textId="77777777" w:rsidR="00805614" w:rsidRPr="00DC66FB" w:rsidRDefault="00805614" w:rsidP="00343AA1">
            <w:pPr>
              <w:pStyle w:val="TableText"/>
            </w:pPr>
            <w:r>
              <w:t>7 December 2023</w:t>
            </w:r>
          </w:p>
        </w:tc>
        <w:tc>
          <w:tcPr>
            <w:tcW w:w="3020" w:type="dxa"/>
          </w:tcPr>
          <w:p w14:paraId="3BE9FDCC" w14:textId="3B1713E8" w:rsidR="00805614" w:rsidRPr="00DC66FB" w:rsidRDefault="00135261" w:rsidP="00343AA1">
            <w:pPr>
              <w:pStyle w:val="TableText"/>
            </w:pPr>
            <w:r>
              <w:t>33</w:t>
            </w:r>
          </w:p>
        </w:tc>
      </w:tr>
      <w:tr w:rsidR="00805614" w:rsidRPr="00DC66FB" w14:paraId="495300E6" w14:textId="77777777" w:rsidTr="00343AA1">
        <w:tc>
          <w:tcPr>
            <w:tcW w:w="3020" w:type="dxa"/>
          </w:tcPr>
          <w:p w14:paraId="7ADDCE7D" w14:textId="77777777" w:rsidR="00805614" w:rsidRDefault="00805614" w:rsidP="00343AA1">
            <w:pPr>
              <w:pStyle w:val="TableText"/>
            </w:pPr>
            <w:r>
              <w:t>Final</w:t>
            </w:r>
          </w:p>
        </w:tc>
        <w:tc>
          <w:tcPr>
            <w:tcW w:w="3020" w:type="dxa"/>
          </w:tcPr>
          <w:p w14:paraId="2A477DE8" w14:textId="77777777" w:rsidR="00805614" w:rsidRDefault="00805614" w:rsidP="00343AA1">
            <w:pPr>
              <w:pStyle w:val="TableText"/>
            </w:pPr>
            <w:r>
              <w:t>5 April 2024</w:t>
            </w:r>
          </w:p>
        </w:tc>
        <w:tc>
          <w:tcPr>
            <w:tcW w:w="3020" w:type="dxa"/>
          </w:tcPr>
          <w:p w14:paraId="13B607B9" w14:textId="5AED8324" w:rsidR="00805614" w:rsidRDefault="00790CA7" w:rsidP="00343AA1">
            <w:pPr>
              <w:pStyle w:val="TableText"/>
            </w:pPr>
            <w:r>
              <w:t>29</w:t>
            </w:r>
          </w:p>
        </w:tc>
      </w:tr>
      <w:bookmarkEnd w:id="0"/>
    </w:tbl>
    <w:p w14:paraId="10565658" w14:textId="77777777" w:rsidR="00805614" w:rsidRDefault="00805614" w:rsidP="00805614">
      <w:pPr>
        <w:spacing w:after="0" w:line="240" w:lineRule="auto"/>
      </w:pPr>
    </w:p>
    <w:p w14:paraId="5B3B18D4" w14:textId="77777777" w:rsidR="00805614" w:rsidRDefault="00805614" w:rsidP="00805614">
      <w:pPr>
        <w:spacing w:after="0" w:line="240" w:lineRule="auto"/>
      </w:pPr>
    </w:p>
    <w:p w14:paraId="22653260" w14:textId="7F31A740" w:rsidR="00805614" w:rsidRDefault="00E91D72">
      <w:pPr>
        <w:spacing w:after="0" w:line="240" w:lineRule="auto"/>
      </w:pPr>
      <w:r>
        <w:br w:type="page"/>
      </w:r>
    </w:p>
    <w:bookmarkStart w:id="1" w:name="_Hlk96420507" w:displacedByCustomXml="next"/>
    <w:bookmarkStart w:id="2" w:name="_Hlk93576558" w:displacedByCustomXml="next"/>
    <w:sdt>
      <w:sdtPr>
        <w:rPr>
          <w:rFonts w:ascii="Cambria" w:eastAsiaTheme="minorHAnsi" w:hAnsi="Cambria"/>
          <w:b w:val="0"/>
          <w:bCs w:val="0"/>
          <w:color w:val="auto"/>
          <w:sz w:val="22"/>
          <w:szCs w:val="22"/>
          <w:lang w:eastAsia="en-US"/>
        </w:rPr>
        <w:id w:val="-760297017"/>
        <w:docPartObj>
          <w:docPartGallery w:val="Table of Contents"/>
          <w:docPartUnique/>
        </w:docPartObj>
      </w:sdtPr>
      <w:sdtEndPr>
        <w:rPr>
          <w:rFonts w:ascii="Arial" w:hAnsi="Arial"/>
          <w:noProof/>
        </w:rPr>
      </w:sdtEndPr>
      <w:sdtContent>
        <w:p w14:paraId="5EA339D5" w14:textId="72BC95E4" w:rsidR="00764D6A" w:rsidRDefault="008D4F75" w:rsidP="00BF1E19">
          <w:pPr>
            <w:pStyle w:val="TOCHeading"/>
            <w:tabs>
              <w:tab w:val="left" w:pos="2850"/>
              <w:tab w:val="left" w:pos="4406"/>
            </w:tabs>
          </w:pPr>
          <w:r>
            <w:t>Contents</w:t>
          </w:r>
        </w:p>
        <w:p w14:paraId="0FA9AB1D" w14:textId="1B7E51CD" w:rsidR="00135261" w:rsidRDefault="00E91D72">
          <w:pPr>
            <w:pStyle w:val="TOC1"/>
            <w:rPr>
              <w:rFonts w:asciiTheme="minorHAnsi" w:eastAsiaTheme="minorEastAsia" w:hAnsiTheme="minorHAnsi"/>
              <w:b w:val="0"/>
              <w:color w:val="auto"/>
              <w:kern w:val="2"/>
              <w:lang w:eastAsia="en-AU"/>
              <w14:ligatures w14:val="standardContextual"/>
            </w:rPr>
          </w:pPr>
          <w:r>
            <w:rPr>
              <w:b w:val="0"/>
            </w:rPr>
            <w:fldChar w:fldCharType="begin"/>
          </w:r>
          <w:r>
            <w:rPr>
              <w:b w:val="0"/>
            </w:rPr>
            <w:instrText xml:space="preserve"> TOC \h \z \u \t "Heading 2,1,Heading 3,2,Style1,2,TOA Heading,1" </w:instrText>
          </w:r>
          <w:r>
            <w:rPr>
              <w:b w:val="0"/>
            </w:rPr>
            <w:fldChar w:fldCharType="separate"/>
          </w:r>
          <w:hyperlink w:anchor="_Toc162703531" w:history="1">
            <w:r w:rsidR="00135261" w:rsidRPr="002B0A1F">
              <w:rPr>
                <w:rStyle w:val="Hyperlink"/>
              </w:rPr>
              <w:t>1</w:t>
            </w:r>
            <w:r w:rsidR="00135261">
              <w:rPr>
                <w:rFonts w:asciiTheme="minorHAnsi" w:eastAsiaTheme="minorEastAsia" w:hAnsiTheme="minorHAnsi"/>
                <w:b w:val="0"/>
                <w:color w:val="auto"/>
                <w:kern w:val="2"/>
                <w:lang w:eastAsia="en-AU"/>
                <w14:ligatures w14:val="standardContextual"/>
              </w:rPr>
              <w:tab/>
            </w:r>
            <w:r w:rsidR="00135261" w:rsidRPr="002B0A1F">
              <w:rPr>
                <w:rStyle w:val="Hyperlink"/>
              </w:rPr>
              <w:t>General instructions</w:t>
            </w:r>
            <w:r w:rsidR="00135261">
              <w:rPr>
                <w:webHidden/>
              </w:rPr>
              <w:tab/>
            </w:r>
            <w:r w:rsidR="00135261">
              <w:rPr>
                <w:webHidden/>
              </w:rPr>
              <w:fldChar w:fldCharType="begin"/>
            </w:r>
            <w:r w:rsidR="00135261">
              <w:rPr>
                <w:webHidden/>
              </w:rPr>
              <w:instrText xml:space="preserve"> PAGEREF _Toc162703531 \h </w:instrText>
            </w:r>
            <w:r w:rsidR="00135261">
              <w:rPr>
                <w:webHidden/>
              </w:rPr>
            </w:r>
            <w:r w:rsidR="00135261">
              <w:rPr>
                <w:webHidden/>
              </w:rPr>
              <w:fldChar w:fldCharType="separate"/>
            </w:r>
            <w:r w:rsidR="00135261">
              <w:rPr>
                <w:webHidden/>
              </w:rPr>
              <w:t>1</w:t>
            </w:r>
            <w:r w:rsidR="00135261">
              <w:rPr>
                <w:webHidden/>
              </w:rPr>
              <w:fldChar w:fldCharType="end"/>
            </w:r>
          </w:hyperlink>
        </w:p>
        <w:p w14:paraId="7B162F6E" w14:textId="1DB51D3A" w:rsidR="00135261" w:rsidRDefault="00EA4403">
          <w:pPr>
            <w:pStyle w:val="TOC2"/>
            <w:tabs>
              <w:tab w:val="left" w:pos="1276"/>
            </w:tabs>
            <w:rPr>
              <w:rFonts w:asciiTheme="minorHAnsi" w:eastAsiaTheme="minorEastAsia" w:hAnsiTheme="minorHAnsi"/>
              <w:color w:val="auto"/>
              <w:kern w:val="2"/>
              <w:lang w:eastAsia="en-AU"/>
              <w14:ligatures w14:val="standardContextual"/>
            </w:rPr>
          </w:pPr>
          <w:hyperlink w:anchor="_Toc162703532" w:history="1">
            <w:r w:rsidR="00135261" w:rsidRPr="002B0A1F">
              <w:rPr>
                <w:rStyle w:val="Hyperlink"/>
                <w:lang w:eastAsia="ja-JP"/>
              </w:rPr>
              <w:t>1.1</w:t>
            </w:r>
            <w:r w:rsidR="00135261">
              <w:rPr>
                <w:rFonts w:asciiTheme="minorHAnsi" w:eastAsiaTheme="minorEastAsia" w:hAnsiTheme="minorHAnsi"/>
                <w:color w:val="auto"/>
                <w:kern w:val="2"/>
                <w:lang w:eastAsia="en-AU"/>
                <w14:ligatures w14:val="standardContextual"/>
              </w:rPr>
              <w:tab/>
            </w:r>
            <w:r w:rsidR="00135261" w:rsidRPr="002B0A1F">
              <w:rPr>
                <w:rStyle w:val="Hyperlink"/>
                <w:lang w:eastAsia="ja-JP"/>
              </w:rPr>
              <w:t>Data requirements</w:t>
            </w:r>
            <w:r w:rsidR="00135261">
              <w:rPr>
                <w:webHidden/>
              </w:rPr>
              <w:tab/>
            </w:r>
            <w:r w:rsidR="00135261">
              <w:rPr>
                <w:webHidden/>
              </w:rPr>
              <w:fldChar w:fldCharType="begin"/>
            </w:r>
            <w:r w:rsidR="00135261">
              <w:rPr>
                <w:webHidden/>
              </w:rPr>
              <w:instrText xml:space="preserve"> PAGEREF _Toc162703532 \h </w:instrText>
            </w:r>
            <w:r w:rsidR="00135261">
              <w:rPr>
                <w:webHidden/>
              </w:rPr>
            </w:r>
            <w:r w:rsidR="00135261">
              <w:rPr>
                <w:webHidden/>
              </w:rPr>
              <w:fldChar w:fldCharType="separate"/>
            </w:r>
            <w:r w:rsidR="00135261">
              <w:rPr>
                <w:webHidden/>
              </w:rPr>
              <w:t>1</w:t>
            </w:r>
            <w:r w:rsidR="00135261">
              <w:rPr>
                <w:webHidden/>
              </w:rPr>
              <w:fldChar w:fldCharType="end"/>
            </w:r>
          </w:hyperlink>
        </w:p>
        <w:p w14:paraId="1D267C22" w14:textId="5C68DB7C" w:rsidR="00135261" w:rsidRDefault="00EA4403">
          <w:pPr>
            <w:pStyle w:val="TOC2"/>
            <w:tabs>
              <w:tab w:val="left" w:pos="1276"/>
            </w:tabs>
            <w:rPr>
              <w:rFonts w:asciiTheme="minorHAnsi" w:eastAsiaTheme="minorEastAsia" w:hAnsiTheme="minorHAnsi"/>
              <w:color w:val="auto"/>
              <w:kern w:val="2"/>
              <w:lang w:eastAsia="en-AU"/>
              <w14:ligatures w14:val="standardContextual"/>
            </w:rPr>
          </w:pPr>
          <w:hyperlink w:anchor="_Toc162703533" w:history="1">
            <w:r w:rsidR="00135261" w:rsidRPr="002B0A1F">
              <w:rPr>
                <w:rStyle w:val="Hyperlink"/>
                <w:lang w:eastAsia="ja-JP"/>
              </w:rPr>
              <w:t>1.2</w:t>
            </w:r>
            <w:r w:rsidR="00135261">
              <w:rPr>
                <w:rFonts w:asciiTheme="minorHAnsi" w:eastAsiaTheme="minorEastAsia" w:hAnsiTheme="minorHAnsi"/>
                <w:color w:val="auto"/>
                <w:kern w:val="2"/>
                <w:lang w:eastAsia="en-AU"/>
                <w14:ligatures w14:val="standardContextual"/>
              </w:rPr>
              <w:tab/>
            </w:r>
            <w:r w:rsidR="00135261" w:rsidRPr="002B0A1F">
              <w:rPr>
                <w:rStyle w:val="Hyperlink"/>
                <w:lang w:eastAsia="ja-JP"/>
              </w:rPr>
              <w:t>Reporting framework</w:t>
            </w:r>
            <w:r w:rsidR="00135261">
              <w:rPr>
                <w:webHidden/>
              </w:rPr>
              <w:tab/>
            </w:r>
            <w:r w:rsidR="00135261">
              <w:rPr>
                <w:webHidden/>
              </w:rPr>
              <w:fldChar w:fldCharType="begin"/>
            </w:r>
            <w:r w:rsidR="00135261">
              <w:rPr>
                <w:webHidden/>
              </w:rPr>
              <w:instrText xml:space="preserve"> PAGEREF _Toc162703533 \h </w:instrText>
            </w:r>
            <w:r w:rsidR="00135261">
              <w:rPr>
                <w:webHidden/>
              </w:rPr>
            </w:r>
            <w:r w:rsidR="00135261">
              <w:rPr>
                <w:webHidden/>
              </w:rPr>
              <w:fldChar w:fldCharType="separate"/>
            </w:r>
            <w:r w:rsidR="00135261">
              <w:rPr>
                <w:webHidden/>
              </w:rPr>
              <w:t>1</w:t>
            </w:r>
            <w:r w:rsidR="00135261">
              <w:rPr>
                <w:webHidden/>
              </w:rPr>
              <w:fldChar w:fldCharType="end"/>
            </w:r>
          </w:hyperlink>
        </w:p>
        <w:p w14:paraId="6874F0DA" w14:textId="26C48C81" w:rsidR="00135261" w:rsidRDefault="00EA4403">
          <w:pPr>
            <w:pStyle w:val="TOC2"/>
            <w:tabs>
              <w:tab w:val="left" w:pos="1276"/>
            </w:tabs>
            <w:rPr>
              <w:rFonts w:asciiTheme="minorHAnsi" w:eastAsiaTheme="minorEastAsia" w:hAnsiTheme="minorHAnsi"/>
              <w:color w:val="auto"/>
              <w:kern w:val="2"/>
              <w:lang w:eastAsia="en-AU"/>
              <w14:ligatures w14:val="standardContextual"/>
            </w:rPr>
          </w:pPr>
          <w:hyperlink w:anchor="_Toc162703534" w:history="1">
            <w:r w:rsidR="00135261" w:rsidRPr="002B0A1F">
              <w:rPr>
                <w:rStyle w:val="Hyperlink"/>
                <w:lang w:eastAsia="ja-JP"/>
              </w:rPr>
              <w:t>1.3</w:t>
            </w:r>
            <w:r w:rsidR="00135261">
              <w:rPr>
                <w:rFonts w:asciiTheme="minorHAnsi" w:eastAsiaTheme="minorEastAsia" w:hAnsiTheme="minorHAnsi"/>
                <w:color w:val="auto"/>
                <w:kern w:val="2"/>
                <w:lang w:eastAsia="en-AU"/>
                <w14:ligatures w14:val="standardContextual"/>
              </w:rPr>
              <w:tab/>
            </w:r>
            <w:r w:rsidR="00135261" w:rsidRPr="002B0A1F">
              <w:rPr>
                <w:rStyle w:val="Hyperlink"/>
                <w:lang w:eastAsia="ja-JP"/>
              </w:rPr>
              <w:t>Cost allocation</w:t>
            </w:r>
            <w:r w:rsidR="00135261">
              <w:rPr>
                <w:webHidden/>
              </w:rPr>
              <w:tab/>
            </w:r>
            <w:r w:rsidR="00135261">
              <w:rPr>
                <w:webHidden/>
              </w:rPr>
              <w:fldChar w:fldCharType="begin"/>
            </w:r>
            <w:r w:rsidR="00135261">
              <w:rPr>
                <w:webHidden/>
              </w:rPr>
              <w:instrText xml:space="preserve"> PAGEREF _Toc162703534 \h </w:instrText>
            </w:r>
            <w:r w:rsidR="00135261">
              <w:rPr>
                <w:webHidden/>
              </w:rPr>
            </w:r>
            <w:r w:rsidR="00135261">
              <w:rPr>
                <w:webHidden/>
              </w:rPr>
              <w:fldChar w:fldCharType="separate"/>
            </w:r>
            <w:r w:rsidR="00135261">
              <w:rPr>
                <w:webHidden/>
              </w:rPr>
              <w:t>2</w:t>
            </w:r>
            <w:r w:rsidR="00135261">
              <w:rPr>
                <w:webHidden/>
              </w:rPr>
              <w:fldChar w:fldCharType="end"/>
            </w:r>
          </w:hyperlink>
        </w:p>
        <w:p w14:paraId="6948C67E" w14:textId="0DC955E4" w:rsidR="00135261" w:rsidRDefault="00EA4403">
          <w:pPr>
            <w:pStyle w:val="TOC2"/>
            <w:tabs>
              <w:tab w:val="left" w:pos="1276"/>
            </w:tabs>
            <w:rPr>
              <w:rFonts w:asciiTheme="minorHAnsi" w:eastAsiaTheme="minorEastAsia" w:hAnsiTheme="minorHAnsi"/>
              <w:color w:val="auto"/>
              <w:kern w:val="2"/>
              <w:lang w:eastAsia="en-AU"/>
              <w14:ligatures w14:val="standardContextual"/>
            </w:rPr>
          </w:pPr>
          <w:hyperlink w:anchor="_Toc162703535" w:history="1">
            <w:r w:rsidR="00135261" w:rsidRPr="002B0A1F">
              <w:rPr>
                <w:rStyle w:val="Hyperlink"/>
                <w:lang w:eastAsia="ja-JP"/>
              </w:rPr>
              <w:t>1.4</w:t>
            </w:r>
            <w:r w:rsidR="00135261">
              <w:rPr>
                <w:rFonts w:asciiTheme="minorHAnsi" w:eastAsiaTheme="minorEastAsia" w:hAnsiTheme="minorHAnsi"/>
                <w:color w:val="auto"/>
                <w:kern w:val="2"/>
                <w:lang w:eastAsia="en-AU"/>
                <w14:ligatures w14:val="standardContextual"/>
              </w:rPr>
              <w:tab/>
            </w:r>
            <w:r w:rsidR="00135261" w:rsidRPr="002B0A1F">
              <w:rPr>
                <w:rStyle w:val="Hyperlink"/>
                <w:lang w:eastAsia="ja-JP"/>
              </w:rPr>
              <w:t>Customer and government contributions</w:t>
            </w:r>
            <w:r w:rsidR="00135261">
              <w:rPr>
                <w:webHidden/>
              </w:rPr>
              <w:tab/>
            </w:r>
            <w:r w:rsidR="00135261">
              <w:rPr>
                <w:webHidden/>
              </w:rPr>
              <w:fldChar w:fldCharType="begin"/>
            </w:r>
            <w:r w:rsidR="00135261">
              <w:rPr>
                <w:webHidden/>
              </w:rPr>
              <w:instrText xml:space="preserve"> PAGEREF _Toc162703535 \h </w:instrText>
            </w:r>
            <w:r w:rsidR="00135261">
              <w:rPr>
                <w:webHidden/>
              </w:rPr>
            </w:r>
            <w:r w:rsidR="00135261">
              <w:rPr>
                <w:webHidden/>
              </w:rPr>
              <w:fldChar w:fldCharType="separate"/>
            </w:r>
            <w:r w:rsidR="00135261">
              <w:rPr>
                <w:webHidden/>
              </w:rPr>
              <w:t>2</w:t>
            </w:r>
            <w:r w:rsidR="00135261">
              <w:rPr>
                <w:webHidden/>
              </w:rPr>
              <w:fldChar w:fldCharType="end"/>
            </w:r>
          </w:hyperlink>
        </w:p>
        <w:p w14:paraId="27F3ADCF" w14:textId="10F77697" w:rsidR="00135261" w:rsidRDefault="00EA4403">
          <w:pPr>
            <w:pStyle w:val="TOC2"/>
            <w:tabs>
              <w:tab w:val="left" w:pos="1276"/>
            </w:tabs>
            <w:rPr>
              <w:rFonts w:asciiTheme="minorHAnsi" w:eastAsiaTheme="minorEastAsia" w:hAnsiTheme="minorHAnsi"/>
              <w:color w:val="auto"/>
              <w:kern w:val="2"/>
              <w:lang w:eastAsia="en-AU"/>
              <w14:ligatures w14:val="standardContextual"/>
            </w:rPr>
          </w:pPr>
          <w:hyperlink w:anchor="_Toc162703536" w:history="1">
            <w:r w:rsidR="00135261" w:rsidRPr="002B0A1F">
              <w:rPr>
                <w:rStyle w:val="Hyperlink"/>
                <w:lang w:eastAsia="ja-JP"/>
              </w:rPr>
              <w:t>1.5</w:t>
            </w:r>
            <w:r w:rsidR="00135261">
              <w:rPr>
                <w:rFonts w:asciiTheme="minorHAnsi" w:eastAsiaTheme="minorEastAsia" w:hAnsiTheme="minorHAnsi"/>
                <w:color w:val="auto"/>
                <w:kern w:val="2"/>
                <w:lang w:eastAsia="en-AU"/>
                <w14:ligatures w14:val="standardContextual"/>
              </w:rPr>
              <w:tab/>
            </w:r>
            <w:r w:rsidR="00135261" w:rsidRPr="002B0A1F">
              <w:rPr>
                <w:rStyle w:val="Hyperlink"/>
                <w:lang w:eastAsia="ja-JP"/>
              </w:rPr>
              <w:t>Asset base</w:t>
            </w:r>
            <w:r w:rsidR="00135261">
              <w:rPr>
                <w:webHidden/>
              </w:rPr>
              <w:tab/>
            </w:r>
            <w:r w:rsidR="00135261">
              <w:rPr>
                <w:webHidden/>
              </w:rPr>
              <w:fldChar w:fldCharType="begin"/>
            </w:r>
            <w:r w:rsidR="00135261">
              <w:rPr>
                <w:webHidden/>
              </w:rPr>
              <w:instrText xml:space="preserve"> PAGEREF _Toc162703536 \h </w:instrText>
            </w:r>
            <w:r w:rsidR="00135261">
              <w:rPr>
                <w:webHidden/>
              </w:rPr>
            </w:r>
            <w:r w:rsidR="00135261">
              <w:rPr>
                <w:webHidden/>
              </w:rPr>
              <w:fldChar w:fldCharType="separate"/>
            </w:r>
            <w:r w:rsidR="00135261">
              <w:rPr>
                <w:webHidden/>
              </w:rPr>
              <w:t>2</w:t>
            </w:r>
            <w:r w:rsidR="00135261">
              <w:rPr>
                <w:webHidden/>
              </w:rPr>
              <w:fldChar w:fldCharType="end"/>
            </w:r>
          </w:hyperlink>
        </w:p>
        <w:p w14:paraId="4A5FB677" w14:textId="62CA0258" w:rsidR="00135261" w:rsidRDefault="00EA4403">
          <w:pPr>
            <w:pStyle w:val="TOC2"/>
            <w:tabs>
              <w:tab w:val="left" w:pos="1276"/>
            </w:tabs>
            <w:rPr>
              <w:rFonts w:asciiTheme="minorHAnsi" w:eastAsiaTheme="minorEastAsia" w:hAnsiTheme="minorHAnsi"/>
              <w:color w:val="auto"/>
              <w:kern w:val="2"/>
              <w:lang w:eastAsia="en-AU"/>
              <w14:ligatures w14:val="standardContextual"/>
            </w:rPr>
          </w:pPr>
          <w:hyperlink w:anchor="_Toc162703537" w:history="1">
            <w:r w:rsidR="00135261" w:rsidRPr="002B0A1F">
              <w:rPr>
                <w:rStyle w:val="Hyperlink"/>
                <w:lang w:eastAsia="ja-JP"/>
              </w:rPr>
              <w:t>1.6</w:t>
            </w:r>
            <w:r w:rsidR="00135261">
              <w:rPr>
                <w:rFonts w:asciiTheme="minorHAnsi" w:eastAsiaTheme="minorEastAsia" w:hAnsiTheme="minorHAnsi"/>
                <w:color w:val="auto"/>
                <w:kern w:val="2"/>
                <w:lang w:eastAsia="en-AU"/>
                <w14:ligatures w14:val="standardContextual"/>
              </w:rPr>
              <w:tab/>
            </w:r>
            <w:r w:rsidR="00135261" w:rsidRPr="002B0A1F">
              <w:rPr>
                <w:rStyle w:val="Hyperlink"/>
                <w:lang w:eastAsia="ja-JP"/>
              </w:rPr>
              <w:t>Regulatory accounting principles and policies</w:t>
            </w:r>
            <w:r w:rsidR="00135261">
              <w:rPr>
                <w:webHidden/>
              </w:rPr>
              <w:tab/>
            </w:r>
            <w:r w:rsidR="00135261">
              <w:rPr>
                <w:webHidden/>
              </w:rPr>
              <w:fldChar w:fldCharType="begin"/>
            </w:r>
            <w:r w:rsidR="00135261">
              <w:rPr>
                <w:webHidden/>
              </w:rPr>
              <w:instrText xml:space="preserve"> PAGEREF _Toc162703537 \h </w:instrText>
            </w:r>
            <w:r w:rsidR="00135261">
              <w:rPr>
                <w:webHidden/>
              </w:rPr>
            </w:r>
            <w:r w:rsidR="00135261">
              <w:rPr>
                <w:webHidden/>
              </w:rPr>
              <w:fldChar w:fldCharType="separate"/>
            </w:r>
            <w:r w:rsidR="00135261">
              <w:rPr>
                <w:webHidden/>
              </w:rPr>
              <w:t>3</w:t>
            </w:r>
            <w:r w:rsidR="00135261">
              <w:rPr>
                <w:webHidden/>
              </w:rPr>
              <w:fldChar w:fldCharType="end"/>
            </w:r>
          </w:hyperlink>
        </w:p>
        <w:p w14:paraId="54E7CC05" w14:textId="1858005F" w:rsidR="00135261" w:rsidRDefault="00EA4403">
          <w:pPr>
            <w:pStyle w:val="TOC1"/>
            <w:rPr>
              <w:rFonts w:asciiTheme="minorHAnsi" w:eastAsiaTheme="minorEastAsia" w:hAnsiTheme="minorHAnsi"/>
              <w:b w:val="0"/>
              <w:color w:val="auto"/>
              <w:kern w:val="2"/>
              <w:lang w:eastAsia="en-AU"/>
              <w14:ligatures w14:val="standardContextual"/>
            </w:rPr>
          </w:pPr>
          <w:hyperlink w:anchor="_Toc162703538" w:history="1">
            <w:r w:rsidR="00135261" w:rsidRPr="002B0A1F">
              <w:rPr>
                <w:rStyle w:val="Hyperlink"/>
              </w:rPr>
              <w:t>2</w:t>
            </w:r>
            <w:r w:rsidR="00135261">
              <w:rPr>
                <w:rFonts w:asciiTheme="minorHAnsi" w:eastAsiaTheme="minorEastAsia" w:hAnsiTheme="minorHAnsi"/>
                <w:b w:val="0"/>
                <w:color w:val="auto"/>
                <w:kern w:val="2"/>
                <w:lang w:eastAsia="en-AU"/>
                <w14:ligatures w14:val="standardContextual"/>
              </w:rPr>
              <w:tab/>
            </w:r>
            <w:r w:rsidR="00135261" w:rsidRPr="002B0A1F">
              <w:rPr>
                <w:rStyle w:val="Hyperlink"/>
              </w:rPr>
              <w:t>Workbook 02 – Operational outputs</w:t>
            </w:r>
            <w:r w:rsidR="00135261">
              <w:rPr>
                <w:webHidden/>
              </w:rPr>
              <w:tab/>
            </w:r>
            <w:r w:rsidR="00135261">
              <w:rPr>
                <w:webHidden/>
              </w:rPr>
              <w:fldChar w:fldCharType="begin"/>
            </w:r>
            <w:r w:rsidR="00135261">
              <w:rPr>
                <w:webHidden/>
              </w:rPr>
              <w:instrText xml:space="preserve"> PAGEREF _Toc162703538 \h </w:instrText>
            </w:r>
            <w:r w:rsidR="00135261">
              <w:rPr>
                <w:webHidden/>
              </w:rPr>
            </w:r>
            <w:r w:rsidR="00135261">
              <w:rPr>
                <w:webHidden/>
              </w:rPr>
              <w:fldChar w:fldCharType="separate"/>
            </w:r>
            <w:r w:rsidR="00135261">
              <w:rPr>
                <w:webHidden/>
              </w:rPr>
              <w:t>4</w:t>
            </w:r>
            <w:r w:rsidR="00135261">
              <w:rPr>
                <w:webHidden/>
              </w:rPr>
              <w:fldChar w:fldCharType="end"/>
            </w:r>
          </w:hyperlink>
        </w:p>
        <w:p w14:paraId="5B8ABF05" w14:textId="03FA8CC5" w:rsidR="00135261" w:rsidRDefault="00EA4403">
          <w:pPr>
            <w:pStyle w:val="TOC2"/>
            <w:tabs>
              <w:tab w:val="left" w:pos="1276"/>
            </w:tabs>
            <w:rPr>
              <w:rFonts w:asciiTheme="minorHAnsi" w:eastAsiaTheme="minorEastAsia" w:hAnsiTheme="minorHAnsi"/>
              <w:color w:val="auto"/>
              <w:kern w:val="2"/>
              <w:lang w:eastAsia="en-AU"/>
              <w14:ligatures w14:val="standardContextual"/>
            </w:rPr>
          </w:pPr>
          <w:hyperlink w:anchor="_Toc162703539" w:history="1">
            <w:r w:rsidR="00135261" w:rsidRPr="002B0A1F">
              <w:rPr>
                <w:rStyle w:val="Hyperlink"/>
                <w:lang w:eastAsia="ja-JP"/>
              </w:rPr>
              <w:t>2.1</w:t>
            </w:r>
            <w:r w:rsidR="00135261">
              <w:rPr>
                <w:rFonts w:asciiTheme="minorHAnsi" w:eastAsiaTheme="minorEastAsia" w:hAnsiTheme="minorHAnsi"/>
                <w:color w:val="auto"/>
                <w:kern w:val="2"/>
                <w:lang w:eastAsia="en-AU"/>
                <w14:ligatures w14:val="standardContextual"/>
              </w:rPr>
              <w:tab/>
            </w:r>
            <w:r w:rsidR="00135261" w:rsidRPr="002B0A1F">
              <w:rPr>
                <w:rStyle w:val="Hyperlink"/>
                <w:lang w:eastAsia="ja-JP"/>
              </w:rPr>
              <w:t>Energy delivered</w:t>
            </w:r>
            <w:r w:rsidR="00135261">
              <w:rPr>
                <w:webHidden/>
              </w:rPr>
              <w:tab/>
            </w:r>
            <w:r w:rsidR="00135261">
              <w:rPr>
                <w:webHidden/>
              </w:rPr>
              <w:fldChar w:fldCharType="begin"/>
            </w:r>
            <w:r w:rsidR="00135261">
              <w:rPr>
                <w:webHidden/>
              </w:rPr>
              <w:instrText xml:space="preserve"> PAGEREF _Toc162703539 \h </w:instrText>
            </w:r>
            <w:r w:rsidR="00135261">
              <w:rPr>
                <w:webHidden/>
              </w:rPr>
            </w:r>
            <w:r w:rsidR="00135261">
              <w:rPr>
                <w:webHidden/>
              </w:rPr>
              <w:fldChar w:fldCharType="separate"/>
            </w:r>
            <w:r w:rsidR="00135261">
              <w:rPr>
                <w:webHidden/>
              </w:rPr>
              <w:t>4</w:t>
            </w:r>
            <w:r w:rsidR="00135261">
              <w:rPr>
                <w:webHidden/>
              </w:rPr>
              <w:fldChar w:fldCharType="end"/>
            </w:r>
          </w:hyperlink>
        </w:p>
        <w:p w14:paraId="74CF0F89" w14:textId="0ACED9D5" w:rsidR="00135261" w:rsidRDefault="00EA4403">
          <w:pPr>
            <w:pStyle w:val="TOC2"/>
            <w:tabs>
              <w:tab w:val="left" w:pos="1276"/>
            </w:tabs>
            <w:rPr>
              <w:rFonts w:asciiTheme="minorHAnsi" w:eastAsiaTheme="minorEastAsia" w:hAnsiTheme="minorHAnsi"/>
              <w:color w:val="auto"/>
              <w:kern w:val="2"/>
              <w:lang w:eastAsia="en-AU"/>
              <w14:ligatures w14:val="standardContextual"/>
            </w:rPr>
          </w:pPr>
          <w:hyperlink w:anchor="_Toc162703540" w:history="1">
            <w:r w:rsidR="00135261" w:rsidRPr="002B0A1F">
              <w:rPr>
                <w:rStyle w:val="Hyperlink"/>
                <w:lang w:eastAsia="ja-JP"/>
              </w:rPr>
              <w:t>2.2</w:t>
            </w:r>
            <w:r w:rsidR="00135261">
              <w:rPr>
                <w:rFonts w:asciiTheme="minorHAnsi" w:eastAsiaTheme="minorEastAsia" w:hAnsiTheme="minorHAnsi"/>
                <w:color w:val="auto"/>
                <w:kern w:val="2"/>
                <w:lang w:eastAsia="en-AU"/>
                <w14:ligatures w14:val="standardContextual"/>
              </w:rPr>
              <w:tab/>
            </w:r>
            <w:r w:rsidR="00135261" w:rsidRPr="002B0A1F">
              <w:rPr>
                <w:rStyle w:val="Hyperlink"/>
                <w:lang w:eastAsia="ja-JP"/>
              </w:rPr>
              <w:t>Maximum Demand</w:t>
            </w:r>
            <w:r w:rsidR="00135261">
              <w:rPr>
                <w:webHidden/>
              </w:rPr>
              <w:tab/>
            </w:r>
            <w:r w:rsidR="00135261">
              <w:rPr>
                <w:webHidden/>
              </w:rPr>
              <w:fldChar w:fldCharType="begin"/>
            </w:r>
            <w:r w:rsidR="00135261">
              <w:rPr>
                <w:webHidden/>
              </w:rPr>
              <w:instrText xml:space="preserve"> PAGEREF _Toc162703540 \h </w:instrText>
            </w:r>
            <w:r w:rsidR="00135261">
              <w:rPr>
                <w:webHidden/>
              </w:rPr>
            </w:r>
            <w:r w:rsidR="00135261">
              <w:rPr>
                <w:webHidden/>
              </w:rPr>
              <w:fldChar w:fldCharType="separate"/>
            </w:r>
            <w:r w:rsidR="00135261">
              <w:rPr>
                <w:webHidden/>
              </w:rPr>
              <w:t>4</w:t>
            </w:r>
            <w:r w:rsidR="00135261">
              <w:rPr>
                <w:webHidden/>
              </w:rPr>
              <w:fldChar w:fldCharType="end"/>
            </w:r>
          </w:hyperlink>
        </w:p>
        <w:p w14:paraId="4693EA1D" w14:textId="6AD53D4E" w:rsidR="00135261" w:rsidRDefault="00EA4403">
          <w:pPr>
            <w:pStyle w:val="TOC2"/>
            <w:tabs>
              <w:tab w:val="left" w:pos="1276"/>
            </w:tabs>
            <w:rPr>
              <w:rFonts w:asciiTheme="minorHAnsi" w:eastAsiaTheme="minorEastAsia" w:hAnsiTheme="minorHAnsi"/>
              <w:color w:val="auto"/>
              <w:kern w:val="2"/>
              <w:lang w:eastAsia="en-AU"/>
              <w14:ligatures w14:val="standardContextual"/>
            </w:rPr>
          </w:pPr>
          <w:hyperlink w:anchor="_Toc162703541" w:history="1">
            <w:r w:rsidR="00135261" w:rsidRPr="002B0A1F">
              <w:rPr>
                <w:rStyle w:val="Hyperlink"/>
                <w:lang w:eastAsia="ja-JP"/>
              </w:rPr>
              <w:t>2.3</w:t>
            </w:r>
            <w:r w:rsidR="00135261">
              <w:rPr>
                <w:rFonts w:asciiTheme="minorHAnsi" w:eastAsiaTheme="minorEastAsia" w:hAnsiTheme="minorHAnsi"/>
                <w:color w:val="auto"/>
                <w:kern w:val="2"/>
                <w:lang w:eastAsia="en-AU"/>
                <w14:ligatures w14:val="standardContextual"/>
              </w:rPr>
              <w:tab/>
            </w:r>
            <w:r w:rsidR="00135261" w:rsidRPr="002B0A1F">
              <w:rPr>
                <w:rStyle w:val="Hyperlink"/>
                <w:lang w:eastAsia="ja-JP"/>
              </w:rPr>
              <w:t>Connections (transmission)</w:t>
            </w:r>
            <w:r w:rsidR="00135261">
              <w:rPr>
                <w:webHidden/>
              </w:rPr>
              <w:tab/>
            </w:r>
            <w:r w:rsidR="00135261">
              <w:rPr>
                <w:webHidden/>
              </w:rPr>
              <w:fldChar w:fldCharType="begin"/>
            </w:r>
            <w:r w:rsidR="00135261">
              <w:rPr>
                <w:webHidden/>
              </w:rPr>
              <w:instrText xml:space="preserve"> PAGEREF _Toc162703541 \h </w:instrText>
            </w:r>
            <w:r w:rsidR="00135261">
              <w:rPr>
                <w:webHidden/>
              </w:rPr>
            </w:r>
            <w:r w:rsidR="00135261">
              <w:rPr>
                <w:webHidden/>
              </w:rPr>
              <w:fldChar w:fldCharType="separate"/>
            </w:r>
            <w:r w:rsidR="00135261">
              <w:rPr>
                <w:webHidden/>
              </w:rPr>
              <w:t>6</w:t>
            </w:r>
            <w:r w:rsidR="00135261">
              <w:rPr>
                <w:webHidden/>
              </w:rPr>
              <w:fldChar w:fldCharType="end"/>
            </w:r>
          </w:hyperlink>
        </w:p>
        <w:p w14:paraId="33893161" w14:textId="21533376" w:rsidR="00135261" w:rsidRDefault="00EA4403">
          <w:pPr>
            <w:pStyle w:val="TOC2"/>
            <w:tabs>
              <w:tab w:val="left" w:pos="1276"/>
            </w:tabs>
            <w:rPr>
              <w:rFonts w:asciiTheme="minorHAnsi" w:eastAsiaTheme="minorEastAsia" w:hAnsiTheme="minorHAnsi"/>
              <w:color w:val="auto"/>
              <w:kern w:val="2"/>
              <w:lang w:eastAsia="en-AU"/>
              <w14:ligatures w14:val="standardContextual"/>
            </w:rPr>
          </w:pPr>
          <w:hyperlink w:anchor="_Toc162703542" w:history="1">
            <w:r w:rsidR="00135261" w:rsidRPr="002B0A1F">
              <w:rPr>
                <w:rStyle w:val="Hyperlink"/>
                <w:lang w:eastAsia="ja-JP"/>
              </w:rPr>
              <w:t>2.4</w:t>
            </w:r>
            <w:r w:rsidR="00135261">
              <w:rPr>
                <w:rFonts w:asciiTheme="minorHAnsi" w:eastAsiaTheme="minorEastAsia" w:hAnsiTheme="minorHAnsi"/>
                <w:color w:val="auto"/>
                <w:kern w:val="2"/>
                <w:lang w:eastAsia="en-AU"/>
                <w14:ligatures w14:val="standardContextual"/>
              </w:rPr>
              <w:tab/>
            </w:r>
            <w:r w:rsidR="00135261" w:rsidRPr="002B0A1F">
              <w:rPr>
                <w:rStyle w:val="Hyperlink"/>
                <w:lang w:eastAsia="ja-JP"/>
              </w:rPr>
              <w:t>Asset replacement activities</w:t>
            </w:r>
            <w:r w:rsidR="00135261">
              <w:rPr>
                <w:webHidden/>
              </w:rPr>
              <w:tab/>
            </w:r>
            <w:r w:rsidR="00135261">
              <w:rPr>
                <w:webHidden/>
              </w:rPr>
              <w:fldChar w:fldCharType="begin"/>
            </w:r>
            <w:r w:rsidR="00135261">
              <w:rPr>
                <w:webHidden/>
              </w:rPr>
              <w:instrText xml:space="preserve"> PAGEREF _Toc162703542 \h </w:instrText>
            </w:r>
            <w:r w:rsidR="00135261">
              <w:rPr>
                <w:webHidden/>
              </w:rPr>
            </w:r>
            <w:r w:rsidR="00135261">
              <w:rPr>
                <w:webHidden/>
              </w:rPr>
              <w:fldChar w:fldCharType="separate"/>
            </w:r>
            <w:r w:rsidR="00135261">
              <w:rPr>
                <w:webHidden/>
              </w:rPr>
              <w:t>6</w:t>
            </w:r>
            <w:r w:rsidR="00135261">
              <w:rPr>
                <w:webHidden/>
              </w:rPr>
              <w:fldChar w:fldCharType="end"/>
            </w:r>
          </w:hyperlink>
        </w:p>
        <w:p w14:paraId="31381DB9" w14:textId="116B4699" w:rsidR="00135261" w:rsidRDefault="00EA4403">
          <w:pPr>
            <w:pStyle w:val="TOC2"/>
            <w:tabs>
              <w:tab w:val="left" w:pos="1276"/>
            </w:tabs>
            <w:rPr>
              <w:rFonts w:asciiTheme="minorHAnsi" w:eastAsiaTheme="minorEastAsia" w:hAnsiTheme="minorHAnsi"/>
              <w:color w:val="auto"/>
              <w:kern w:val="2"/>
              <w:lang w:eastAsia="en-AU"/>
              <w14:ligatures w14:val="standardContextual"/>
            </w:rPr>
          </w:pPr>
          <w:hyperlink w:anchor="_Toc162703543" w:history="1">
            <w:r w:rsidR="00135261" w:rsidRPr="002B0A1F">
              <w:rPr>
                <w:rStyle w:val="Hyperlink"/>
                <w:lang w:eastAsia="ja-JP"/>
              </w:rPr>
              <w:t>2.5</w:t>
            </w:r>
            <w:r w:rsidR="00135261">
              <w:rPr>
                <w:rFonts w:asciiTheme="minorHAnsi" w:eastAsiaTheme="minorEastAsia" w:hAnsiTheme="minorHAnsi"/>
                <w:color w:val="auto"/>
                <w:kern w:val="2"/>
                <w:lang w:eastAsia="en-AU"/>
                <w14:ligatures w14:val="standardContextual"/>
              </w:rPr>
              <w:tab/>
            </w:r>
            <w:r w:rsidR="00135261" w:rsidRPr="002B0A1F">
              <w:rPr>
                <w:rStyle w:val="Hyperlink"/>
                <w:lang w:eastAsia="ja-JP"/>
              </w:rPr>
              <w:t>Other outputs</w:t>
            </w:r>
            <w:r w:rsidR="00135261">
              <w:rPr>
                <w:webHidden/>
              </w:rPr>
              <w:tab/>
            </w:r>
            <w:r w:rsidR="00135261">
              <w:rPr>
                <w:webHidden/>
              </w:rPr>
              <w:fldChar w:fldCharType="begin"/>
            </w:r>
            <w:r w:rsidR="00135261">
              <w:rPr>
                <w:webHidden/>
              </w:rPr>
              <w:instrText xml:space="preserve"> PAGEREF _Toc162703543 \h </w:instrText>
            </w:r>
            <w:r w:rsidR="00135261">
              <w:rPr>
                <w:webHidden/>
              </w:rPr>
            </w:r>
            <w:r w:rsidR="00135261">
              <w:rPr>
                <w:webHidden/>
              </w:rPr>
              <w:fldChar w:fldCharType="separate"/>
            </w:r>
            <w:r w:rsidR="00135261">
              <w:rPr>
                <w:webHidden/>
              </w:rPr>
              <w:t>7</w:t>
            </w:r>
            <w:r w:rsidR="00135261">
              <w:rPr>
                <w:webHidden/>
              </w:rPr>
              <w:fldChar w:fldCharType="end"/>
            </w:r>
          </w:hyperlink>
        </w:p>
        <w:p w14:paraId="50D9009F" w14:textId="22100FBC" w:rsidR="00135261" w:rsidRDefault="00EA4403">
          <w:pPr>
            <w:pStyle w:val="TOC1"/>
            <w:rPr>
              <w:rFonts w:asciiTheme="minorHAnsi" w:eastAsiaTheme="minorEastAsia" w:hAnsiTheme="minorHAnsi"/>
              <w:b w:val="0"/>
              <w:color w:val="auto"/>
              <w:kern w:val="2"/>
              <w:lang w:eastAsia="en-AU"/>
              <w14:ligatures w14:val="standardContextual"/>
            </w:rPr>
          </w:pPr>
          <w:hyperlink w:anchor="_Toc162703544" w:history="1">
            <w:r w:rsidR="00135261" w:rsidRPr="002B0A1F">
              <w:rPr>
                <w:rStyle w:val="Hyperlink"/>
              </w:rPr>
              <w:t>3</w:t>
            </w:r>
            <w:r w:rsidR="00135261">
              <w:rPr>
                <w:rFonts w:asciiTheme="minorHAnsi" w:eastAsiaTheme="minorEastAsia" w:hAnsiTheme="minorHAnsi"/>
                <w:b w:val="0"/>
                <w:color w:val="auto"/>
                <w:kern w:val="2"/>
                <w:lang w:eastAsia="en-AU"/>
                <w14:ligatures w14:val="standardContextual"/>
              </w:rPr>
              <w:tab/>
            </w:r>
            <w:r w:rsidR="00135261" w:rsidRPr="002B0A1F">
              <w:rPr>
                <w:rStyle w:val="Hyperlink"/>
              </w:rPr>
              <w:t>Workbook 03 – Network metrics</w:t>
            </w:r>
            <w:r w:rsidR="00135261">
              <w:rPr>
                <w:webHidden/>
              </w:rPr>
              <w:tab/>
            </w:r>
            <w:r w:rsidR="00135261">
              <w:rPr>
                <w:webHidden/>
              </w:rPr>
              <w:fldChar w:fldCharType="begin"/>
            </w:r>
            <w:r w:rsidR="00135261">
              <w:rPr>
                <w:webHidden/>
              </w:rPr>
              <w:instrText xml:space="preserve"> PAGEREF _Toc162703544 \h </w:instrText>
            </w:r>
            <w:r w:rsidR="00135261">
              <w:rPr>
                <w:webHidden/>
              </w:rPr>
            </w:r>
            <w:r w:rsidR="00135261">
              <w:rPr>
                <w:webHidden/>
              </w:rPr>
              <w:fldChar w:fldCharType="separate"/>
            </w:r>
            <w:r w:rsidR="00135261">
              <w:rPr>
                <w:webHidden/>
              </w:rPr>
              <w:t>8</w:t>
            </w:r>
            <w:r w:rsidR="00135261">
              <w:rPr>
                <w:webHidden/>
              </w:rPr>
              <w:fldChar w:fldCharType="end"/>
            </w:r>
          </w:hyperlink>
        </w:p>
        <w:p w14:paraId="2FF9B95E" w14:textId="6324ACAE" w:rsidR="00135261" w:rsidRDefault="00EA4403">
          <w:pPr>
            <w:pStyle w:val="TOC2"/>
            <w:tabs>
              <w:tab w:val="left" w:pos="1276"/>
            </w:tabs>
            <w:rPr>
              <w:rFonts w:asciiTheme="minorHAnsi" w:eastAsiaTheme="minorEastAsia" w:hAnsiTheme="minorHAnsi"/>
              <w:color w:val="auto"/>
              <w:kern w:val="2"/>
              <w:lang w:eastAsia="en-AU"/>
              <w14:ligatures w14:val="standardContextual"/>
            </w:rPr>
          </w:pPr>
          <w:hyperlink w:anchor="_Toc162703545" w:history="1">
            <w:r w:rsidR="00135261" w:rsidRPr="002B0A1F">
              <w:rPr>
                <w:rStyle w:val="Hyperlink"/>
                <w:lang w:eastAsia="ja-JP"/>
              </w:rPr>
              <w:t>3.1</w:t>
            </w:r>
            <w:r w:rsidR="00135261">
              <w:rPr>
                <w:rFonts w:asciiTheme="minorHAnsi" w:eastAsiaTheme="minorEastAsia" w:hAnsiTheme="minorHAnsi"/>
                <w:color w:val="auto"/>
                <w:kern w:val="2"/>
                <w:lang w:eastAsia="en-AU"/>
                <w14:ligatures w14:val="standardContextual"/>
              </w:rPr>
              <w:tab/>
            </w:r>
            <w:r w:rsidR="00135261" w:rsidRPr="002B0A1F">
              <w:rPr>
                <w:rStyle w:val="Hyperlink"/>
                <w:lang w:eastAsia="ja-JP"/>
              </w:rPr>
              <w:t>Network assets – volume</w:t>
            </w:r>
            <w:r w:rsidR="00135261">
              <w:rPr>
                <w:webHidden/>
              </w:rPr>
              <w:tab/>
            </w:r>
            <w:r w:rsidR="00135261">
              <w:rPr>
                <w:webHidden/>
              </w:rPr>
              <w:fldChar w:fldCharType="begin"/>
            </w:r>
            <w:r w:rsidR="00135261">
              <w:rPr>
                <w:webHidden/>
              </w:rPr>
              <w:instrText xml:space="preserve"> PAGEREF _Toc162703545 \h </w:instrText>
            </w:r>
            <w:r w:rsidR="00135261">
              <w:rPr>
                <w:webHidden/>
              </w:rPr>
            </w:r>
            <w:r w:rsidR="00135261">
              <w:rPr>
                <w:webHidden/>
              </w:rPr>
              <w:fldChar w:fldCharType="separate"/>
            </w:r>
            <w:r w:rsidR="00135261">
              <w:rPr>
                <w:webHidden/>
              </w:rPr>
              <w:t>8</w:t>
            </w:r>
            <w:r w:rsidR="00135261">
              <w:rPr>
                <w:webHidden/>
              </w:rPr>
              <w:fldChar w:fldCharType="end"/>
            </w:r>
          </w:hyperlink>
        </w:p>
        <w:p w14:paraId="1A490A51" w14:textId="5BD449C2" w:rsidR="00135261" w:rsidRDefault="00EA4403">
          <w:pPr>
            <w:pStyle w:val="TOC2"/>
            <w:tabs>
              <w:tab w:val="left" w:pos="1276"/>
            </w:tabs>
            <w:rPr>
              <w:rFonts w:asciiTheme="minorHAnsi" w:eastAsiaTheme="minorEastAsia" w:hAnsiTheme="minorHAnsi"/>
              <w:color w:val="auto"/>
              <w:kern w:val="2"/>
              <w:lang w:eastAsia="en-AU"/>
              <w14:ligatures w14:val="standardContextual"/>
            </w:rPr>
          </w:pPr>
          <w:hyperlink w:anchor="_Toc162703546" w:history="1">
            <w:r w:rsidR="00135261" w:rsidRPr="002B0A1F">
              <w:rPr>
                <w:rStyle w:val="Hyperlink"/>
                <w:lang w:eastAsia="ja-JP"/>
              </w:rPr>
              <w:t>3.2</w:t>
            </w:r>
            <w:r w:rsidR="00135261">
              <w:rPr>
                <w:rFonts w:asciiTheme="minorHAnsi" w:eastAsiaTheme="minorEastAsia" w:hAnsiTheme="minorHAnsi"/>
                <w:color w:val="auto"/>
                <w:kern w:val="2"/>
                <w:lang w:eastAsia="en-AU"/>
                <w14:ligatures w14:val="standardContextual"/>
              </w:rPr>
              <w:tab/>
            </w:r>
            <w:r w:rsidR="00135261" w:rsidRPr="002B0A1F">
              <w:rPr>
                <w:rStyle w:val="Hyperlink"/>
                <w:lang w:eastAsia="ja-JP"/>
              </w:rPr>
              <w:t>Non-network assets – volume</w:t>
            </w:r>
            <w:r w:rsidR="00135261">
              <w:rPr>
                <w:webHidden/>
              </w:rPr>
              <w:tab/>
            </w:r>
            <w:r w:rsidR="00135261">
              <w:rPr>
                <w:webHidden/>
              </w:rPr>
              <w:fldChar w:fldCharType="begin"/>
            </w:r>
            <w:r w:rsidR="00135261">
              <w:rPr>
                <w:webHidden/>
              </w:rPr>
              <w:instrText xml:space="preserve"> PAGEREF _Toc162703546 \h </w:instrText>
            </w:r>
            <w:r w:rsidR="00135261">
              <w:rPr>
                <w:webHidden/>
              </w:rPr>
            </w:r>
            <w:r w:rsidR="00135261">
              <w:rPr>
                <w:webHidden/>
              </w:rPr>
              <w:fldChar w:fldCharType="separate"/>
            </w:r>
            <w:r w:rsidR="00135261">
              <w:rPr>
                <w:webHidden/>
              </w:rPr>
              <w:t>8</w:t>
            </w:r>
            <w:r w:rsidR="00135261">
              <w:rPr>
                <w:webHidden/>
              </w:rPr>
              <w:fldChar w:fldCharType="end"/>
            </w:r>
          </w:hyperlink>
        </w:p>
        <w:p w14:paraId="7F1D7D9E" w14:textId="00B2A01F" w:rsidR="00135261" w:rsidRDefault="00EA4403">
          <w:pPr>
            <w:pStyle w:val="TOC2"/>
            <w:tabs>
              <w:tab w:val="left" w:pos="1276"/>
            </w:tabs>
            <w:rPr>
              <w:rFonts w:asciiTheme="minorHAnsi" w:eastAsiaTheme="minorEastAsia" w:hAnsiTheme="minorHAnsi"/>
              <w:color w:val="auto"/>
              <w:kern w:val="2"/>
              <w:lang w:eastAsia="en-AU"/>
              <w14:ligatures w14:val="standardContextual"/>
            </w:rPr>
          </w:pPr>
          <w:hyperlink w:anchor="_Toc162703547" w:history="1">
            <w:r w:rsidR="00135261" w:rsidRPr="002B0A1F">
              <w:rPr>
                <w:rStyle w:val="Hyperlink"/>
                <w:lang w:eastAsia="ja-JP"/>
              </w:rPr>
              <w:t>3.3</w:t>
            </w:r>
            <w:r w:rsidR="00135261">
              <w:rPr>
                <w:rFonts w:asciiTheme="minorHAnsi" w:eastAsiaTheme="minorEastAsia" w:hAnsiTheme="minorHAnsi"/>
                <w:color w:val="auto"/>
                <w:kern w:val="2"/>
                <w:lang w:eastAsia="en-AU"/>
                <w14:ligatures w14:val="standardContextual"/>
              </w:rPr>
              <w:tab/>
            </w:r>
            <w:r w:rsidR="00135261" w:rsidRPr="002B0A1F">
              <w:rPr>
                <w:rStyle w:val="Hyperlink"/>
                <w:lang w:eastAsia="ja-JP"/>
              </w:rPr>
              <w:t>Length</w:t>
            </w:r>
            <w:r w:rsidR="00135261">
              <w:rPr>
                <w:webHidden/>
              </w:rPr>
              <w:tab/>
            </w:r>
            <w:r w:rsidR="00135261">
              <w:rPr>
                <w:webHidden/>
              </w:rPr>
              <w:fldChar w:fldCharType="begin"/>
            </w:r>
            <w:r w:rsidR="00135261">
              <w:rPr>
                <w:webHidden/>
              </w:rPr>
              <w:instrText xml:space="preserve"> PAGEREF _Toc162703547 \h </w:instrText>
            </w:r>
            <w:r w:rsidR="00135261">
              <w:rPr>
                <w:webHidden/>
              </w:rPr>
            </w:r>
            <w:r w:rsidR="00135261">
              <w:rPr>
                <w:webHidden/>
              </w:rPr>
              <w:fldChar w:fldCharType="separate"/>
            </w:r>
            <w:r w:rsidR="00135261">
              <w:rPr>
                <w:webHidden/>
              </w:rPr>
              <w:t>8</w:t>
            </w:r>
            <w:r w:rsidR="00135261">
              <w:rPr>
                <w:webHidden/>
              </w:rPr>
              <w:fldChar w:fldCharType="end"/>
            </w:r>
          </w:hyperlink>
        </w:p>
        <w:p w14:paraId="29691F72" w14:textId="793A681E" w:rsidR="00135261" w:rsidRDefault="00EA4403">
          <w:pPr>
            <w:pStyle w:val="TOC2"/>
            <w:tabs>
              <w:tab w:val="left" w:pos="1276"/>
            </w:tabs>
            <w:rPr>
              <w:rFonts w:asciiTheme="minorHAnsi" w:eastAsiaTheme="minorEastAsia" w:hAnsiTheme="minorHAnsi"/>
              <w:color w:val="auto"/>
              <w:kern w:val="2"/>
              <w:lang w:eastAsia="en-AU"/>
              <w14:ligatures w14:val="standardContextual"/>
            </w:rPr>
          </w:pPr>
          <w:hyperlink w:anchor="_Toc162703548" w:history="1">
            <w:r w:rsidR="00135261" w:rsidRPr="002B0A1F">
              <w:rPr>
                <w:rStyle w:val="Hyperlink"/>
                <w:lang w:eastAsia="ja-JP"/>
              </w:rPr>
              <w:t>3.4</w:t>
            </w:r>
            <w:r w:rsidR="00135261">
              <w:rPr>
                <w:rFonts w:asciiTheme="minorHAnsi" w:eastAsiaTheme="minorEastAsia" w:hAnsiTheme="minorHAnsi"/>
                <w:color w:val="auto"/>
                <w:kern w:val="2"/>
                <w:lang w:eastAsia="en-AU"/>
                <w14:ligatures w14:val="standardContextual"/>
              </w:rPr>
              <w:tab/>
            </w:r>
            <w:r w:rsidR="00135261" w:rsidRPr="002B0A1F">
              <w:rPr>
                <w:rStyle w:val="Hyperlink"/>
                <w:lang w:eastAsia="ja-JP"/>
              </w:rPr>
              <w:t>Capacity</w:t>
            </w:r>
            <w:r w:rsidR="00135261">
              <w:rPr>
                <w:webHidden/>
              </w:rPr>
              <w:tab/>
            </w:r>
            <w:r w:rsidR="00135261">
              <w:rPr>
                <w:webHidden/>
              </w:rPr>
              <w:fldChar w:fldCharType="begin"/>
            </w:r>
            <w:r w:rsidR="00135261">
              <w:rPr>
                <w:webHidden/>
              </w:rPr>
              <w:instrText xml:space="preserve"> PAGEREF _Toc162703548 \h </w:instrText>
            </w:r>
            <w:r w:rsidR="00135261">
              <w:rPr>
                <w:webHidden/>
              </w:rPr>
            </w:r>
            <w:r w:rsidR="00135261">
              <w:rPr>
                <w:webHidden/>
              </w:rPr>
              <w:fldChar w:fldCharType="separate"/>
            </w:r>
            <w:r w:rsidR="00135261">
              <w:rPr>
                <w:webHidden/>
              </w:rPr>
              <w:t>9</w:t>
            </w:r>
            <w:r w:rsidR="00135261">
              <w:rPr>
                <w:webHidden/>
              </w:rPr>
              <w:fldChar w:fldCharType="end"/>
            </w:r>
          </w:hyperlink>
        </w:p>
        <w:p w14:paraId="40E8146F" w14:textId="6A189C16" w:rsidR="00135261" w:rsidRDefault="00EA4403">
          <w:pPr>
            <w:pStyle w:val="TOC2"/>
            <w:tabs>
              <w:tab w:val="left" w:pos="1276"/>
            </w:tabs>
            <w:rPr>
              <w:rFonts w:asciiTheme="minorHAnsi" w:eastAsiaTheme="minorEastAsia" w:hAnsiTheme="minorHAnsi"/>
              <w:color w:val="auto"/>
              <w:kern w:val="2"/>
              <w:lang w:eastAsia="en-AU"/>
              <w14:ligatures w14:val="standardContextual"/>
            </w:rPr>
          </w:pPr>
          <w:hyperlink w:anchor="_Toc162703549" w:history="1">
            <w:r w:rsidR="00135261" w:rsidRPr="002B0A1F">
              <w:rPr>
                <w:rStyle w:val="Hyperlink"/>
                <w:lang w:eastAsia="ja-JP"/>
              </w:rPr>
              <w:t>3.5</w:t>
            </w:r>
            <w:r w:rsidR="00135261">
              <w:rPr>
                <w:rFonts w:asciiTheme="minorHAnsi" w:eastAsiaTheme="minorEastAsia" w:hAnsiTheme="minorHAnsi"/>
                <w:color w:val="auto"/>
                <w:kern w:val="2"/>
                <w:lang w:eastAsia="en-AU"/>
                <w14:ligatures w14:val="standardContextual"/>
              </w:rPr>
              <w:tab/>
            </w:r>
            <w:r w:rsidR="00135261" w:rsidRPr="002B0A1F">
              <w:rPr>
                <w:rStyle w:val="Hyperlink"/>
                <w:lang w:eastAsia="ja-JP"/>
              </w:rPr>
              <w:t>Asset age</w:t>
            </w:r>
            <w:r w:rsidR="00135261">
              <w:rPr>
                <w:webHidden/>
              </w:rPr>
              <w:tab/>
            </w:r>
            <w:r w:rsidR="00135261">
              <w:rPr>
                <w:webHidden/>
              </w:rPr>
              <w:fldChar w:fldCharType="begin"/>
            </w:r>
            <w:r w:rsidR="00135261">
              <w:rPr>
                <w:webHidden/>
              </w:rPr>
              <w:instrText xml:space="preserve"> PAGEREF _Toc162703549 \h </w:instrText>
            </w:r>
            <w:r w:rsidR="00135261">
              <w:rPr>
                <w:webHidden/>
              </w:rPr>
            </w:r>
            <w:r w:rsidR="00135261">
              <w:rPr>
                <w:webHidden/>
              </w:rPr>
              <w:fldChar w:fldCharType="separate"/>
            </w:r>
            <w:r w:rsidR="00135261">
              <w:rPr>
                <w:webHidden/>
              </w:rPr>
              <w:t>10</w:t>
            </w:r>
            <w:r w:rsidR="00135261">
              <w:rPr>
                <w:webHidden/>
              </w:rPr>
              <w:fldChar w:fldCharType="end"/>
            </w:r>
          </w:hyperlink>
        </w:p>
        <w:p w14:paraId="2264ACC2" w14:textId="1870AE92" w:rsidR="00135261" w:rsidRDefault="00EA4403">
          <w:pPr>
            <w:pStyle w:val="TOC2"/>
            <w:tabs>
              <w:tab w:val="left" w:pos="1276"/>
            </w:tabs>
            <w:rPr>
              <w:rFonts w:asciiTheme="minorHAnsi" w:eastAsiaTheme="minorEastAsia" w:hAnsiTheme="minorHAnsi"/>
              <w:color w:val="auto"/>
              <w:kern w:val="2"/>
              <w:lang w:eastAsia="en-AU"/>
              <w14:ligatures w14:val="standardContextual"/>
            </w:rPr>
          </w:pPr>
          <w:hyperlink w:anchor="_Toc162703550" w:history="1">
            <w:r w:rsidR="00135261" w:rsidRPr="002B0A1F">
              <w:rPr>
                <w:rStyle w:val="Hyperlink"/>
                <w:lang w:eastAsia="ja-JP"/>
              </w:rPr>
              <w:t>3.6</w:t>
            </w:r>
            <w:r w:rsidR="00135261">
              <w:rPr>
                <w:rFonts w:asciiTheme="minorHAnsi" w:eastAsiaTheme="minorEastAsia" w:hAnsiTheme="minorHAnsi"/>
                <w:color w:val="auto"/>
                <w:kern w:val="2"/>
                <w:lang w:eastAsia="en-AU"/>
                <w14:ligatures w14:val="standardContextual"/>
              </w:rPr>
              <w:tab/>
            </w:r>
            <w:r w:rsidR="00135261" w:rsidRPr="002B0A1F">
              <w:rPr>
                <w:rStyle w:val="Hyperlink"/>
                <w:lang w:eastAsia="ja-JP"/>
              </w:rPr>
              <w:t>Terrain</w:t>
            </w:r>
            <w:r w:rsidR="00135261">
              <w:rPr>
                <w:webHidden/>
              </w:rPr>
              <w:tab/>
            </w:r>
            <w:r w:rsidR="00135261">
              <w:rPr>
                <w:webHidden/>
              </w:rPr>
              <w:fldChar w:fldCharType="begin"/>
            </w:r>
            <w:r w:rsidR="00135261">
              <w:rPr>
                <w:webHidden/>
              </w:rPr>
              <w:instrText xml:space="preserve"> PAGEREF _Toc162703550 \h </w:instrText>
            </w:r>
            <w:r w:rsidR="00135261">
              <w:rPr>
                <w:webHidden/>
              </w:rPr>
            </w:r>
            <w:r w:rsidR="00135261">
              <w:rPr>
                <w:webHidden/>
              </w:rPr>
              <w:fldChar w:fldCharType="separate"/>
            </w:r>
            <w:r w:rsidR="00135261">
              <w:rPr>
                <w:webHidden/>
              </w:rPr>
              <w:t>11</w:t>
            </w:r>
            <w:r w:rsidR="00135261">
              <w:rPr>
                <w:webHidden/>
              </w:rPr>
              <w:fldChar w:fldCharType="end"/>
            </w:r>
          </w:hyperlink>
        </w:p>
        <w:p w14:paraId="0B445E6E" w14:textId="24F167AB" w:rsidR="00135261" w:rsidRDefault="00EA4403">
          <w:pPr>
            <w:pStyle w:val="TOC1"/>
            <w:rPr>
              <w:rFonts w:asciiTheme="minorHAnsi" w:eastAsiaTheme="minorEastAsia" w:hAnsiTheme="minorHAnsi"/>
              <w:b w:val="0"/>
              <w:color w:val="auto"/>
              <w:kern w:val="2"/>
              <w:lang w:eastAsia="en-AU"/>
              <w14:ligatures w14:val="standardContextual"/>
            </w:rPr>
          </w:pPr>
          <w:hyperlink w:anchor="_Toc162703551" w:history="1">
            <w:r w:rsidR="00135261" w:rsidRPr="002B0A1F">
              <w:rPr>
                <w:rStyle w:val="Hyperlink"/>
              </w:rPr>
              <w:t>4</w:t>
            </w:r>
            <w:r w:rsidR="00135261">
              <w:rPr>
                <w:rFonts w:asciiTheme="minorHAnsi" w:eastAsiaTheme="minorEastAsia" w:hAnsiTheme="minorHAnsi"/>
                <w:b w:val="0"/>
                <w:color w:val="auto"/>
                <w:kern w:val="2"/>
                <w:lang w:eastAsia="en-AU"/>
                <w14:ligatures w14:val="standardContextual"/>
              </w:rPr>
              <w:tab/>
            </w:r>
            <w:r w:rsidR="00135261" w:rsidRPr="002B0A1F">
              <w:rPr>
                <w:rStyle w:val="Hyperlink"/>
              </w:rPr>
              <w:t>Workbook 05 – Service performance</w:t>
            </w:r>
            <w:r w:rsidR="00135261">
              <w:rPr>
                <w:webHidden/>
              </w:rPr>
              <w:tab/>
            </w:r>
            <w:r w:rsidR="00135261">
              <w:rPr>
                <w:webHidden/>
              </w:rPr>
              <w:fldChar w:fldCharType="begin"/>
            </w:r>
            <w:r w:rsidR="00135261">
              <w:rPr>
                <w:webHidden/>
              </w:rPr>
              <w:instrText xml:space="preserve"> PAGEREF _Toc162703551 \h </w:instrText>
            </w:r>
            <w:r w:rsidR="00135261">
              <w:rPr>
                <w:webHidden/>
              </w:rPr>
            </w:r>
            <w:r w:rsidR="00135261">
              <w:rPr>
                <w:webHidden/>
              </w:rPr>
              <w:fldChar w:fldCharType="separate"/>
            </w:r>
            <w:r w:rsidR="00135261">
              <w:rPr>
                <w:webHidden/>
              </w:rPr>
              <w:t>13</w:t>
            </w:r>
            <w:r w:rsidR="00135261">
              <w:rPr>
                <w:webHidden/>
              </w:rPr>
              <w:fldChar w:fldCharType="end"/>
            </w:r>
          </w:hyperlink>
        </w:p>
        <w:p w14:paraId="58E74E2B" w14:textId="7C2774AD" w:rsidR="00135261" w:rsidRDefault="00EA4403">
          <w:pPr>
            <w:pStyle w:val="TOC2"/>
            <w:tabs>
              <w:tab w:val="left" w:pos="1276"/>
            </w:tabs>
            <w:rPr>
              <w:rFonts w:asciiTheme="minorHAnsi" w:eastAsiaTheme="minorEastAsia" w:hAnsiTheme="minorHAnsi"/>
              <w:color w:val="auto"/>
              <w:kern w:val="2"/>
              <w:lang w:eastAsia="en-AU"/>
              <w14:ligatures w14:val="standardContextual"/>
            </w:rPr>
          </w:pPr>
          <w:hyperlink w:anchor="_Toc162703552" w:history="1">
            <w:r w:rsidR="00135261" w:rsidRPr="002B0A1F">
              <w:rPr>
                <w:rStyle w:val="Hyperlink"/>
                <w:lang w:eastAsia="ja-JP"/>
              </w:rPr>
              <w:t>4.1</w:t>
            </w:r>
            <w:r w:rsidR="00135261">
              <w:rPr>
                <w:rFonts w:asciiTheme="minorHAnsi" w:eastAsiaTheme="minorEastAsia" w:hAnsiTheme="minorHAnsi"/>
                <w:color w:val="auto"/>
                <w:kern w:val="2"/>
                <w:lang w:eastAsia="en-AU"/>
                <w14:ligatures w14:val="standardContextual"/>
              </w:rPr>
              <w:tab/>
            </w:r>
            <w:r w:rsidR="00135261" w:rsidRPr="002B0A1F">
              <w:rPr>
                <w:rStyle w:val="Hyperlink"/>
                <w:lang w:eastAsia="ja-JP"/>
              </w:rPr>
              <w:t>Market impact component</w:t>
            </w:r>
            <w:r w:rsidR="00135261">
              <w:rPr>
                <w:webHidden/>
              </w:rPr>
              <w:tab/>
            </w:r>
            <w:r w:rsidR="00135261">
              <w:rPr>
                <w:webHidden/>
              </w:rPr>
              <w:fldChar w:fldCharType="begin"/>
            </w:r>
            <w:r w:rsidR="00135261">
              <w:rPr>
                <w:webHidden/>
              </w:rPr>
              <w:instrText xml:space="preserve"> PAGEREF _Toc162703552 \h </w:instrText>
            </w:r>
            <w:r w:rsidR="00135261">
              <w:rPr>
                <w:webHidden/>
              </w:rPr>
            </w:r>
            <w:r w:rsidR="00135261">
              <w:rPr>
                <w:webHidden/>
              </w:rPr>
              <w:fldChar w:fldCharType="separate"/>
            </w:r>
            <w:r w:rsidR="00135261">
              <w:rPr>
                <w:webHidden/>
              </w:rPr>
              <w:t>13</w:t>
            </w:r>
            <w:r w:rsidR="00135261">
              <w:rPr>
                <w:webHidden/>
              </w:rPr>
              <w:fldChar w:fldCharType="end"/>
            </w:r>
          </w:hyperlink>
        </w:p>
        <w:p w14:paraId="3CAEA7E8" w14:textId="2CA2C30D" w:rsidR="00135261" w:rsidRDefault="00EA4403">
          <w:pPr>
            <w:pStyle w:val="TOC2"/>
            <w:tabs>
              <w:tab w:val="left" w:pos="1276"/>
            </w:tabs>
            <w:rPr>
              <w:rFonts w:asciiTheme="minorHAnsi" w:eastAsiaTheme="minorEastAsia" w:hAnsiTheme="minorHAnsi"/>
              <w:color w:val="auto"/>
              <w:kern w:val="2"/>
              <w:lang w:eastAsia="en-AU"/>
              <w14:ligatures w14:val="standardContextual"/>
            </w:rPr>
          </w:pPr>
          <w:hyperlink w:anchor="_Toc162703553" w:history="1">
            <w:r w:rsidR="00135261" w:rsidRPr="002B0A1F">
              <w:rPr>
                <w:rStyle w:val="Hyperlink"/>
                <w:lang w:eastAsia="ja-JP"/>
              </w:rPr>
              <w:t>4.2</w:t>
            </w:r>
            <w:r w:rsidR="00135261">
              <w:rPr>
                <w:rFonts w:asciiTheme="minorHAnsi" w:eastAsiaTheme="minorEastAsia" w:hAnsiTheme="minorHAnsi"/>
                <w:color w:val="auto"/>
                <w:kern w:val="2"/>
                <w:lang w:eastAsia="en-AU"/>
                <w14:ligatures w14:val="standardContextual"/>
              </w:rPr>
              <w:tab/>
            </w:r>
            <w:r w:rsidR="00135261" w:rsidRPr="002B0A1F">
              <w:rPr>
                <w:rStyle w:val="Hyperlink"/>
                <w:lang w:eastAsia="ja-JP"/>
              </w:rPr>
              <w:t>Service component performance</w:t>
            </w:r>
            <w:r w:rsidR="00135261">
              <w:rPr>
                <w:webHidden/>
              </w:rPr>
              <w:tab/>
            </w:r>
            <w:r w:rsidR="00135261">
              <w:rPr>
                <w:webHidden/>
              </w:rPr>
              <w:fldChar w:fldCharType="begin"/>
            </w:r>
            <w:r w:rsidR="00135261">
              <w:rPr>
                <w:webHidden/>
              </w:rPr>
              <w:instrText xml:space="preserve"> PAGEREF _Toc162703553 \h </w:instrText>
            </w:r>
            <w:r w:rsidR="00135261">
              <w:rPr>
                <w:webHidden/>
              </w:rPr>
            </w:r>
            <w:r w:rsidR="00135261">
              <w:rPr>
                <w:webHidden/>
              </w:rPr>
              <w:fldChar w:fldCharType="separate"/>
            </w:r>
            <w:r w:rsidR="00135261">
              <w:rPr>
                <w:webHidden/>
              </w:rPr>
              <w:t>13</w:t>
            </w:r>
            <w:r w:rsidR="00135261">
              <w:rPr>
                <w:webHidden/>
              </w:rPr>
              <w:fldChar w:fldCharType="end"/>
            </w:r>
          </w:hyperlink>
        </w:p>
        <w:p w14:paraId="136C326C" w14:textId="2FC69F16" w:rsidR="00135261" w:rsidRDefault="00EA4403">
          <w:pPr>
            <w:pStyle w:val="TOC2"/>
            <w:tabs>
              <w:tab w:val="left" w:pos="1276"/>
            </w:tabs>
            <w:rPr>
              <w:rFonts w:asciiTheme="minorHAnsi" w:eastAsiaTheme="minorEastAsia" w:hAnsiTheme="minorHAnsi"/>
              <w:color w:val="auto"/>
              <w:kern w:val="2"/>
              <w:lang w:eastAsia="en-AU"/>
              <w14:ligatures w14:val="standardContextual"/>
            </w:rPr>
          </w:pPr>
          <w:hyperlink w:anchor="_Toc162703554" w:history="1">
            <w:r w:rsidR="00135261" w:rsidRPr="002B0A1F">
              <w:rPr>
                <w:rStyle w:val="Hyperlink"/>
                <w:lang w:eastAsia="ja-JP"/>
              </w:rPr>
              <w:t>4.3</w:t>
            </w:r>
            <w:r w:rsidR="00135261">
              <w:rPr>
                <w:rFonts w:asciiTheme="minorHAnsi" w:eastAsiaTheme="minorEastAsia" w:hAnsiTheme="minorHAnsi"/>
                <w:color w:val="auto"/>
                <w:kern w:val="2"/>
                <w:lang w:eastAsia="en-AU"/>
                <w14:ligatures w14:val="standardContextual"/>
              </w:rPr>
              <w:tab/>
            </w:r>
            <w:r w:rsidR="00135261" w:rsidRPr="002B0A1F">
              <w:rPr>
                <w:rStyle w:val="Hyperlink"/>
                <w:lang w:eastAsia="ja-JP"/>
              </w:rPr>
              <w:t>System losses</w:t>
            </w:r>
            <w:r w:rsidR="00135261">
              <w:rPr>
                <w:webHidden/>
              </w:rPr>
              <w:tab/>
            </w:r>
            <w:r w:rsidR="00135261">
              <w:rPr>
                <w:webHidden/>
              </w:rPr>
              <w:fldChar w:fldCharType="begin"/>
            </w:r>
            <w:r w:rsidR="00135261">
              <w:rPr>
                <w:webHidden/>
              </w:rPr>
              <w:instrText xml:space="preserve"> PAGEREF _Toc162703554 \h </w:instrText>
            </w:r>
            <w:r w:rsidR="00135261">
              <w:rPr>
                <w:webHidden/>
              </w:rPr>
            </w:r>
            <w:r w:rsidR="00135261">
              <w:rPr>
                <w:webHidden/>
              </w:rPr>
              <w:fldChar w:fldCharType="separate"/>
            </w:r>
            <w:r w:rsidR="00135261">
              <w:rPr>
                <w:webHidden/>
              </w:rPr>
              <w:t>13</w:t>
            </w:r>
            <w:r w:rsidR="00135261">
              <w:rPr>
                <w:webHidden/>
              </w:rPr>
              <w:fldChar w:fldCharType="end"/>
            </w:r>
          </w:hyperlink>
        </w:p>
        <w:p w14:paraId="38D7031F" w14:textId="592EBEEC" w:rsidR="00135261" w:rsidRDefault="00EA4403">
          <w:pPr>
            <w:pStyle w:val="TOC2"/>
            <w:tabs>
              <w:tab w:val="left" w:pos="1276"/>
            </w:tabs>
            <w:rPr>
              <w:rFonts w:asciiTheme="minorHAnsi" w:eastAsiaTheme="minorEastAsia" w:hAnsiTheme="minorHAnsi"/>
              <w:color w:val="auto"/>
              <w:kern w:val="2"/>
              <w:lang w:eastAsia="en-AU"/>
              <w14:ligatures w14:val="standardContextual"/>
            </w:rPr>
          </w:pPr>
          <w:hyperlink w:anchor="_Toc162703555" w:history="1">
            <w:r w:rsidR="00135261" w:rsidRPr="002B0A1F">
              <w:rPr>
                <w:rStyle w:val="Hyperlink"/>
                <w:lang w:eastAsia="ja-JP"/>
              </w:rPr>
              <w:t>4.4</w:t>
            </w:r>
            <w:r w:rsidR="00135261">
              <w:rPr>
                <w:rFonts w:asciiTheme="minorHAnsi" w:eastAsiaTheme="minorEastAsia" w:hAnsiTheme="minorHAnsi"/>
                <w:color w:val="auto"/>
                <w:kern w:val="2"/>
                <w:lang w:eastAsia="en-AU"/>
                <w14:ligatures w14:val="standardContextual"/>
              </w:rPr>
              <w:tab/>
            </w:r>
            <w:r w:rsidR="00135261" w:rsidRPr="002B0A1F">
              <w:rPr>
                <w:rStyle w:val="Hyperlink"/>
                <w:lang w:eastAsia="ja-JP"/>
              </w:rPr>
              <w:t>Energy not supplied</w:t>
            </w:r>
            <w:r w:rsidR="00135261">
              <w:rPr>
                <w:webHidden/>
              </w:rPr>
              <w:tab/>
            </w:r>
            <w:r w:rsidR="00135261">
              <w:rPr>
                <w:webHidden/>
              </w:rPr>
              <w:fldChar w:fldCharType="begin"/>
            </w:r>
            <w:r w:rsidR="00135261">
              <w:rPr>
                <w:webHidden/>
              </w:rPr>
              <w:instrText xml:space="preserve"> PAGEREF _Toc162703555 \h </w:instrText>
            </w:r>
            <w:r w:rsidR="00135261">
              <w:rPr>
                <w:webHidden/>
              </w:rPr>
            </w:r>
            <w:r w:rsidR="00135261">
              <w:rPr>
                <w:webHidden/>
              </w:rPr>
              <w:fldChar w:fldCharType="separate"/>
            </w:r>
            <w:r w:rsidR="00135261">
              <w:rPr>
                <w:webHidden/>
              </w:rPr>
              <w:t>13</w:t>
            </w:r>
            <w:r w:rsidR="00135261">
              <w:rPr>
                <w:webHidden/>
              </w:rPr>
              <w:fldChar w:fldCharType="end"/>
            </w:r>
          </w:hyperlink>
        </w:p>
        <w:p w14:paraId="2B9F8458" w14:textId="44536FD3" w:rsidR="00135261" w:rsidRDefault="00EA4403">
          <w:pPr>
            <w:pStyle w:val="TOC1"/>
            <w:rPr>
              <w:rFonts w:asciiTheme="minorHAnsi" w:eastAsiaTheme="minorEastAsia" w:hAnsiTheme="minorHAnsi"/>
              <w:b w:val="0"/>
              <w:color w:val="auto"/>
              <w:kern w:val="2"/>
              <w:lang w:eastAsia="en-AU"/>
              <w14:ligatures w14:val="standardContextual"/>
            </w:rPr>
          </w:pPr>
          <w:hyperlink w:anchor="_Toc162703557" w:history="1">
            <w:r w:rsidR="00135261" w:rsidRPr="002B0A1F">
              <w:rPr>
                <w:rStyle w:val="Hyperlink"/>
              </w:rPr>
              <w:t>5</w:t>
            </w:r>
            <w:r w:rsidR="00135261">
              <w:rPr>
                <w:rFonts w:asciiTheme="minorHAnsi" w:eastAsiaTheme="minorEastAsia" w:hAnsiTheme="minorHAnsi"/>
                <w:b w:val="0"/>
                <w:color w:val="auto"/>
                <w:kern w:val="2"/>
                <w:lang w:eastAsia="en-AU"/>
                <w14:ligatures w14:val="standardContextual"/>
              </w:rPr>
              <w:tab/>
            </w:r>
            <w:r w:rsidR="00135261" w:rsidRPr="002B0A1F">
              <w:rPr>
                <w:rStyle w:val="Hyperlink"/>
              </w:rPr>
              <w:t>Workbook 06 – Operating expenditure</w:t>
            </w:r>
            <w:r w:rsidR="00135261">
              <w:rPr>
                <w:webHidden/>
              </w:rPr>
              <w:tab/>
            </w:r>
            <w:r w:rsidR="00135261">
              <w:rPr>
                <w:webHidden/>
              </w:rPr>
              <w:fldChar w:fldCharType="begin"/>
            </w:r>
            <w:r w:rsidR="00135261">
              <w:rPr>
                <w:webHidden/>
              </w:rPr>
              <w:instrText xml:space="preserve"> PAGEREF _Toc162703557 \h </w:instrText>
            </w:r>
            <w:r w:rsidR="00135261">
              <w:rPr>
                <w:webHidden/>
              </w:rPr>
            </w:r>
            <w:r w:rsidR="00135261">
              <w:rPr>
                <w:webHidden/>
              </w:rPr>
              <w:fldChar w:fldCharType="separate"/>
            </w:r>
            <w:r w:rsidR="00135261">
              <w:rPr>
                <w:webHidden/>
              </w:rPr>
              <w:t>15</w:t>
            </w:r>
            <w:r w:rsidR="00135261">
              <w:rPr>
                <w:webHidden/>
              </w:rPr>
              <w:fldChar w:fldCharType="end"/>
            </w:r>
          </w:hyperlink>
        </w:p>
        <w:p w14:paraId="21A4F3C5" w14:textId="7F5D66BE" w:rsidR="00135261" w:rsidRDefault="00EA4403">
          <w:pPr>
            <w:pStyle w:val="TOC2"/>
            <w:tabs>
              <w:tab w:val="left" w:pos="1276"/>
            </w:tabs>
            <w:rPr>
              <w:rFonts w:asciiTheme="minorHAnsi" w:eastAsiaTheme="minorEastAsia" w:hAnsiTheme="minorHAnsi"/>
              <w:color w:val="auto"/>
              <w:kern w:val="2"/>
              <w:lang w:eastAsia="en-AU"/>
              <w14:ligatures w14:val="standardContextual"/>
            </w:rPr>
          </w:pPr>
          <w:hyperlink w:anchor="_Toc162703558" w:history="1">
            <w:r w:rsidR="00135261" w:rsidRPr="002B0A1F">
              <w:rPr>
                <w:rStyle w:val="Hyperlink"/>
                <w:lang w:eastAsia="ja-JP"/>
              </w:rPr>
              <w:t>5.1</w:t>
            </w:r>
            <w:r w:rsidR="00135261">
              <w:rPr>
                <w:rFonts w:asciiTheme="minorHAnsi" w:eastAsiaTheme="minorEastAsia" w:hAnsiTheme="minorHAnsi"/>
                <w:color w:val="auto"/>
                <w:kern w:val="2"/>
                <w:lang w:eastAsia="en-AU"/>
                <w14:ligatures w14:val="standardContextual"/>
              </w:rPr>
              <w:tab/>
            </w:r>
            <w:r w:rsidR="00135261" w:rsidRPr="002B0A1F">
              <w:rPr>
                <w:rStyle w:val="Hyperlink"/>
                <w:lang w:eastAsia="ja-JP"/>
              </w:rPr>
              <w:t>Audited statutory accounts</w:t>
            </w:r>
            <w:r w:rsidR="00135261">
              <w:rPr>
                <w:webHidden/>
              </w:rPr>
              <w:tab/>
            </w:r>
            <w:r w:rsidR="00135261">
              <w:rPr>
                <w:webHidden/>
              </w:rPr>
              <w:fldChar w:fldCharType="begin"/>
            </w:r>
            <w:r w:rsidR="00135261">
              <w:rPr>
                <w:webHidden/>
              </w:rPr>
              <w:instrText xml:space="preserve"> PAGEREF _Toc162703558 \h </w:instrText>
            </w:r>
            <w:r w:rsidR="00135261">
              <w:rPr>
                <w:webHidden/>
              </w:rPr>
            </w:r>
            <w:r w:rsidR="00135261">
              <w:rPr>
                <w:webHidden/>
              </w:rPr>
              <w:fldChar w:fldCharType="separate"/>
            </w:r>
            <w:r w:rsidR="00135261">
              <w:rPr>
                <w:webHidden/>
              </w:rPr>
              <w:t>15</w:t>
            </w:r>
            <w:r w:rsidR="00135261">
              <w:rPr>
                <w:webHidden/>
              </w:rPr>
              <w:fldChar w:fldCharType="end"/>
            </w:r>
          </w:hyperlink>
        </w:p>
        <w:p w14:paraId="50289133" w14:textId="37BDEC0C" w:rsidR="00135261" w:rsidRDefault="00EA4403">
          <w:pPr>
            <w:pStyle w:val="TOC2"/>
            <w:tabs>
              <w:tab w:val="left" w:pos="1276"/>
            </w:tabs>
            <w:rPr>
              <w:rFonts w:asciiTheme="minorHAnsi" w:eastAsiaTheme="minorEastAsia" w:hAnsiTheme="minorHAnsi"/>
              <w:color w:val="auto"/>
              <w:kern w:val="2"/>
              <w:lang w:eastAsia="en-AU"/>
              <w14:ligatures w14:val="standardContextual"/>
            </w:rPr>
          </w:pPr>
          <w:hyperlink w:anchor="_Toc162703559" w:history="1">
            <w:r w:rsidR="00135261" w:rsidRPr="002B0A1F">
              <w:rPr>
                <w:rStyle w:val="Hyperlink"/>
                <w:lang w:eastAsia="ja-JP"/>
              </w:rPr>
              <w:t>5.2</w:t>
            </w:r>
            <w:r w:rsidR="00135261">
              <w:rPr>
                <w:rFonts w:asciiTheme="minorHAnsi" w:eastAsiaTheme="minorEastAsia" w:hAnsiTheme="minorHAnsi"/>
                <w:color w:val="auto"/>
                <w:kern w:val="2"/>
                <w:lang w:eastAsia="en-AU"/>
                <w14:ligatures w14:val="standardContextual"/>
              </w:rPr>
              <w:tab/>
            </w:r>
            <w:r w:rsidR="00135261" w:rsidRPr="002B0A1F">
              <w:rPr>
                <w:rStyle w:val="Hyperlink"/>
                <w:lang w:eastAsia="ja-JP"/>
              </w:rPr>
              <w:t>Regulatory accounts (PTS)</w:t>
            </w:r>
            <w:r w:rsidR="00135261">
              <w:rPr>
                <w:webHidden/>
              </w:rPr>
              <w:tab/>
            </w:r>
            <w:r w:rsidR="00135261">
              <w:rPr>
                <w:webHidden/>
              </w:rPr>
              <w:fldChar w:fldCharType="begin"/>
            </w:r>
            <w:r w:rsidR="00135261">
              <w:rPr>
                <w:webHidden/>
              </w:rPr>
              <w:instrText xml:space="preserve"> PAGEREF _Toc162703559 \h </w:instrText>
            </w:r>
            <w:r w:rsidR="00135261">
              <w:rPr>
                <w:webHidden/>
              </w:rPr>
            </w:r>
            <w:r w:rsidR="00135261">
              <w:rPr>
                <w:webHidden/>
              </w:rPr>
              <w:fldChar w:fldCharType="separate"/>
            </w:r>
            <w:r w:rsidR="00135261">
              <w:rPr>
                <w:webHidden/>
              </w:rPr>
              <w:t>15</w:t>
            </w:r>
            <w:r w:rsidR="00135261">
              <w:rPr>
                <w:webHidden/>
              </w:rPr>
              <w:fldChar w:fldCharType="end"/>
            </w:r>
          </w:hyperlink>
        </w:p>
        <w:p w14:paraId="3F573A0D" w14:textId="5D82A411" w:rsidR="00135261" w:rsidRDefault="00EA4403">
          <w:pPr>
            <w:pStyle w:val="TOC2"/>
            <w:tabs>
              <w:tab w:val="left" w:pos="1276"/>
            </w:tabs>
            <w:rPr>
              <w:rFonts w:asciiTheme="minorHAnsi" w:eastAsiaTheme="minorEastAsia" w:hAnsiTheme="minorHAnsi"/>
              <w:color w:val="auto"/>
              <w:kern w:val="2"/>
              <w:lang w:eastAsia="en-AU"/>
              <w14:ligatures w14:val="standardContextual"/>
            </w:rPr>
          </w:pPr>
          <w:hyperlink w:anchor="_Toc162703560" w:history="1">
            <w:r w:rsidR="00135261" w:rsidRPr="002B0A1F">
              <w:rPr>
                <w:rStyle w:val="Hyperlink"/>
                <w:lang w:eastAsia="ja-JP"/>
              </w:rPr>
              <w:t>5.3</w:t>
            </w:r>
            <w:r w:rsidR="00135261">
              <w:rPr>
                <w:rFonts w:asciiTheme="minorHAnsi" w:eastAsiaTheme="minorEastAsia" w:hAnsiTheme="minorHAnsi"/>
                <w:color w:val="auto"/>
                <w:kern w:val="2"/>
                <w:lang w:eastAsia="en-AU"/>
                <w14:ligatures w14:val="standardContextual"/>
              </w:rPr>
              <w:tab/>
            </w:r>
            <w:r w:rsidR="00135261" w:rsidRPr="002B0A1F">
              <w:rPr>
                <w:rStyle w:val="Hyperlink"/>
                <w:lang w:eastAsia="ja-JP"/>
              </w:rPr>
              <w:t>Large projects</w:t>
            </w:r>
            <w:r w:rsidR="00135261">
              <w:rPr>
                <w:webHidden/>
              </w:rPr>
              <w:tab/>
            </w:r>
            <w:r w:rsidR="00135261">
              <w:rPr>
                <w:webHidden/>
              </w:rPr>
              <w:fldChar w:fldCharType="begin"/>
            </w:r>
            <w:r w:rsidR="00135261">
              <w:rPr>
                <w:webHidden/>
              </w:rPr>
              <w:instrText xml:space="preserve"> PAGEREF _Toc162703560 \h </w:instrText>
            </w:r>
            <w:r w:rsidR="00135261">
              <w:rPr>
                <w:webHidden/>
              </w:rPr>
            </w:r>
            <w:r w:rsidR="00135261">
              <w:rPr>
                <w:webHidden/>
              </w:rPr>
              <w:fldChar w:fldCharType="separate"/>
            </w:r>
            <w:r w:rsidR="00135261">
              <w:rPr>
                <w:webHidden/>
              </w:rPr>
              <w:t>16</w:t>
            </w:r>
            <w:r w:rsidR="00135261">
              <w:rPr>
                <w:webHidden/>
              </w:rPr>
              <w:fldChar w:fldCharType="end"/>
            </w:r>
          </w:hyperlink>
        </w:p>
        <w:p w14:paraId="105AED7A" w14:textId="009FEFD4" w:rsidR="00135261" w:rsidRDefault="00EA4403">
          <w:pPr>
            <w:pStyle w:val="TOC1"/>
            <w:rPr>
              <w:rFonts w:asciiTheme="minorHAnsi" w:eastAsiaTheme="minorEastAsia" w:hAnsiTheme="minorHAnsi"/>
              <w:b w:val="0"/>
              <w:color w:val="auto"/>
              <w:kern w:val="2"/>
              <w:lang w:eastAsia="en-AU"/>
              <w14:ligatures w14:val="standardContextual"/>
            </w:rPr>
          </w:pPr>
          <w:hyperlink w:anchor="_Toc162703561" w:history="1">
            <w:r w:rsidR="00135261" w:rsidRPr="002B0A1F">
              <w:rPr>
                <w:rStyle w:val="Hyperlink"/>
              </w:rPr>
              <w:t>6</w:t>
            </w:r>
            <w:r w:rsidR="00135261">
              <w:rPr>
                <w:rFonts w:asciiTheme="minorHAnsi" w:eastAsiaTheme="minorEastAsia" w:hAnsiTheme="minorHAnsi"/>
                <w:b w:val="0"/>
                <w:color w:val="auto"/>
                <w:kern w:val="2"/>
                <w:lang w:eastAsia="en-AU"/>
                <w14:ligatures w14:val="standardContextual"/>
              </w:rPr>
              <w:tab/>
            </w:r>
            <w:r w:rsidR="00135261" w:rsidRPr="002B0A1F">
              <w:rPr>
                <w:rStyle w:val="Hyperlink"/>
              </w:rPr>
              <w:t>Workbook 07 – Capital expenditure</w:t>
            </w:r>
            <w:r w:rsidR="00135261">
              <w:rPr>
                <w:webHidden/>
              </w:rPr>
              <w:tab/>
            </w:r>
            <w:r w:rsidR="00135261">
              <w:rPr>
                <w:webHidden/>
              </w:rPr>
              <w:fldChar w:fldCharType="begin"/>
            </w:r>
            <w:r w:rsidR="00135261">
              <w:rPr>
                <w:webHidden/>
              </w:rPr>
              <w:instrText xml:space="preserve"> PAGEREF _Toc162703561 \h </w:instrText>
            </w:r>
            <w:r w:rsidR="00135261">
              <w:rPr>
                <w:webHidden/>
              </w:rPr>
            </w:r>
            <w:r w:rsidR="00135261">
              <w:rPr>
                <w:webHidden/>
              </w:rPr>
              <w:fldChar w:fldCharType="separate"/>
            </w:r>
            <w:r w:rsidR="00135261">
              <w:rPr>
                <w:webHidden/>
              </w:rPr>
              <w:t>17</w:t>
            </w:r>
            <w:r w:rsidR="00135261">
              <w:rPr>
                <w:webHidden/>
              </w:rPr>
              <w:fldChar w:fldCharType="end"/>
            </w:r>
          </w:hyperlink>
        </w:p>
        <w:p w14:paraId="0B551241" w14:textId="086951A8" w:rsidR="00135261" w:rsidRDefault="00EA4403">
          <w:pPr>
            <w:pStyle w:val="TOC2"/>
            <w:tabs>
              <w:tab w:val="left" w:pos="1276"/>
            </w:tabs>
            <w:rPr>
              <w:rFonts w:asciiTheme="minorHAnsi" w:eastAsiaTheme="minorEastAsia" w:hAnsiTheme="minorHAnsi"/>
              <w:color w:val="auto"/>
              <w:kern w:val="2"/>
              <w:lang w:eastAsia="en-AU"/>
              <w14:ligatures w14:val="standardContextual"/>
            </w:rPr>
          </w:pPr>
          <w:hyperlink w:anchor="_Toc162703562" w:history="1">
            <w:r w:rsidR="00135261" w:rsidRPr="002B0A1F">
              <w:rPr>
                <w:rStyle w:val="Hyperlink"/>
                <w:lang w:eastAsia="ja-JP"/>
              </w:rPr>
              <w:t>6.1</w:t>
            </w:r>
            <w:r w:rsidR="00135261">
              <w:rPr>
                <w:rFonts w:asciiTheme="minorHAnsi" w:eastAsiaTheme="minorEastAsia" w:hAnsiTheme="minorHAnsi"/>
                <w:color w:val="auto"/>
                <w:kern w:val="2"/>
                <w:lang w:eastAsia="en-AU"/>
                <w14:ligatures w14:val="standardContextual"/>
              </w:rPr>
              <w:tab/>
            </w:r>
            <w:r w:rsidR="00135261" w:rsidRPr="002B0A1F">
              <w:rPr>
                <w:rStyle w:val="Hyperlink"/>
                <w:lang w:eastAsia="ja-JP"/>
              </w:rPr>
              <w:t>Audited statutory accounts</w:t>
            </w:r>
            <w:r w:rsidR="00135261">
              <w:rPr>
                <w:webHidden/>
              </w:rPr>
              <w:tab/>
            </w:r>
            <w:r w:rsidR="00135261">
              <w:rPr>
                <w:webHidden/>
              </w:rPr>
              <w:fldChar w:fldCharType="begin"/>
            </w:r>
            <w:r w:rsidR="00135261">
              <w:rPr>
                <w:webHidden/>
              </w:rPr>
              <w:instrText xml:space="preserve"> PAGEREF _Toc162703562 \h </w:instrText>
            </w:r>
            <w:r w:rsidR="00135261">
              <w:rPr>
                <w:webHidden/>
              </w:rPr>
            </w:r>
            <w:r w:rsidR="00135261">
              <w:rPr>
                <w:webHidden/>
              </w:rPr>
              <w:fldChar w:fldCharType="separate"/>
            </w:r>
            <w:r w:rsidR="00135261">
              <w:rPr>
                <w:webHidden/>
              </w:rPr>
              <w:t>17</w:t>
            </w:r>
            <w:r w:rsidR="00135261">
              <w:rPr>
                <w:webHidden/>
              </w:rPr>
              <w:fldChar w:fldCharType="end"/>
            </w:r>
          </w:hyperlink>
        </w:p>
        <w:p w14:paraId="59A9EC2D" w14:textId="03A91C15" w:rsidR="00135261" w:rsidRDefault="00EA4403">
          <w:pPr>
            <w:pStyle w:val="TOC2"/>
            <w:tabs>
              <w:tab w:val="left" w:pos="1276"/>
            </w:tabs>
            <w:rPr>
              <w:rFonts w:asciiTheme="minorHAnsi" w:eastAsiaTheme="minorEastAsia" w:hAnsiTheme="minorHAnsi"/>
              <w:color w:val="auto"/>
              <w:kern w:val="2"/>
              <w:lang w:eastAsia="en-AU"/>
              <w14:ligatures w14:val="standardContextual"/>
            </w:rPr>
          </w:pPr>
          <w:hyperlink w:anchor="_Toc162703563" w:history="1">
            <w:r w:rsidR="00135261" w:rsidRPr="002B0A1F">
              <w:rPr>
                <w:rStyle w:val="Hyperlink"/>
                <w:lang w:eastAsia="ja-JP"/>
              </w:rPr>
              <w:t>6.2</w:t>
            </w:r>
            <w:r w:rsidR="00135261">
              <w:rPr>
                <w:rFonts w:asciiTheme="minorHAnsi" w:eastAsiaTheme="minorEastAsia" w:hAnsiTheme="minorHAnsi"/>
                <w:color w:val="auto"/>
                <w:kern w:val="2"/>
                <w:lang w:eastAsia="en-AU"/>
                <w14:ligatures w14:val="standardContextual"/>
              </w:rPr>
              <w:tab/>
            </w:r>
            <w:r w:rsidR="00135261" w:rsidRPr="002B0A1F">
              <w:rPr>
                <w:rStyle w:val="Hyperlink"/>
                <w:lang w:eastAsia="ja-JP"/>
              </w:rPr>
              <w:t>Regulatory accounts (PTS)</w:t>
            </w:r>
            <w:r w:rsidR="00135261">
              <w:rPr>
                <w:webHidden/>
              </w:rPr>
              <w:tab/>
            </w:r>
            <w:r w:rsidR="00135261">
              <w:rPr>
                <w:webHidden/>
              </w:rPr>
              <w:fldChar w:fldCharType="begin"/>
            </w:r>
            <w:r w:rsidR="00135261">
              <w:rPr>
                <w:webHidden/>
              </w:rPr>
              <w:instrText xml:space="preserve"> PAGEREF _Toc162703563 \h </w:instrText>
            </w:r>
            <w:r w:rsidR="00135261">
              <w:rPr>
                <w:webHidden/>
              </w:rPr>
            </w:r>
            <w:r w:rsidR="00135261">
              <w:rPr>
                <w:webHidden/>
              </w:rPr>
              <w:fldChar w:fldCharType="separate"/>
            </w:r>
            <w:r w:rsidR="00135261">
              <w:rPr>
                <w:webHidden/>
              </w:rPr>
              <w:t>17</w:t>
            </w:r>
            <w:r w:rsidR="00135261">
              <w:rPr>
                <w:webHidden/>
              </w:rPr>
              <w:fldChar w:fldCharType="end"/>
            </w:r>
          </w:hyperlink>
        </w:p>
        <w:p w14:paraId="66D66CC3" w14:textId="73A573A4" w:rsidR="00135261" w:rsidRDefault="00EA4403">
          <w:pPr>
            <w:pStyle w:val="TOC2"/>
            <w:tabs>
              <w:tab w:val="left" w:pos="1276"/>
            </w:tabs>
            <w:rPr>
              <w:rFonts w:asciiTheme="minorHAnsi" w:eastAsiaTheme="minorEastAsia" w:hAnsiTheme="minorHAnsi"/>
              <w:color w:val="auto"/>
              <w:kern w:val="2"/>
              <w:lang w:eastAsia="en-AU"/>
              <w14:ligatures w14:val="standardContextual"/>
            </w:rPr>
          </w:pPr>
          <w:hyperlink w:anchor="_Toc162703564" w:history="1">
            <w:r w:rsidR="00135261" w:rsidRPr="002B0A1F">
              <w:rPr>
                <w:rStyle w:val="Hyperlink"/>
                <w:lang w:eastAsia="ja-JP"/>
              </w:rPr>
              <w:t>6.3</w:t>
            </w:r>
            <w:r w:rsidR="00135261">
              <w:rPr>
                <w:rFonts w:asciiTheme="minorHAnsi" w:eastAsiaTheme="minorEastAsia" w:hAnsiTheme="minorHAnsi"/>
                <w:color w:val="auto"/>
                <w:kern w:val="2"/>
                <w:lang w:eastAsia="en-AU"/>
                <w14:ligatures w14:val="standardContextual"/>
              </w:rPr>
              <w:tab/>
            </w:r>
            <w:r w:rsidR="00135261" w:rsidRPr="002B0A1F">
              <w:rPr>
                <w:rStyle w:val="Hyperlink"/>
                <w:lang w:eastAsia="ja-JP"/>
              </w:rPr>
              <w:t>Capex by purpose</w:t>
            </w:r>
            <w:r w:rsidR="00135261">
              <w:rPr>
                <w:webHidden/>
              </w:rPr>
              <w:tab/>
            </w:r>
            <w:r w:rsidR="00135261">
              <w:rPr>
                <w:webHidden/>
              </w:rPr>
              <w:fldChar w:fldCharType="begin"/>
            </w:r>
            <w:r w:rsidR="00135261">
              <w:rPr>
                <w:webHidden/>
              </w:rPr>
              <w:instrText xml:space="preserve"> PAGEREF _Toc162703564 \h </w:instrText>
            </w:r>
            <w:r w:rsidR="00135261">
              <w:rPr>
                <w:webHidden/>
              </w:rPr>
            </w:r>
            <w:r w:rsidR="00135261">
              <w:rPr>
                <w:webHidden/>
              </w:rPr>
              <w:fldChar w:fldCharType="separate"/>
            </w:r>
            <w:r w:rsidR="00135261">
              <w:rPr>
                <w:webHidden/>
              </w:rPr>
              <w:t>17</w:t>
            </w:r>
            <w:r w:rsidR="00135261">
              <w:rPr>
                <w:webHidden/>
              </w:rPr>
              <w:fldChar w:fldCharType="end"/>
            </w:r>
          </w:hyperlink>
        </w:p>
        <w:p w14:paraId="4B175CB1" w14:textId="28979A9F" w:rsidR="00135261" w:rsidRDefault="00EA4403">
          <w:pPr>
            <w:pStyle w:val="TOC2"/>
            <w:tabs>
              <w:tab w:val="left" w:pos="1276"/>
            </w:tabs>
            <w:rPr>
              <w:rFonts w:asciiTheme="minorHAnsi" w:eastAsiaTheme="minorEastAsia" w:hAnsiTheme="minorHAnsi"/>
              <w:color w:val="auto"/>
              <w:kern w:val="2"/>
              <w:lang w:eastAsia="en-AU"/>
              <w14:ligatures w14:val="standardContextual"/>
            </w:rPr>
          </w:pPr>
          <w:hyperlink w:anchor="_Toc162703565" w:history="1">
            <w:r w:rsidR="00135261" w:rsidRPr="002B0A1F">
              <w:rPr>
                <w:rStyle w:val="Hyperlink"/>
                <w:lang w:eastAsia="ja-JP"/>
              </w:rPr>
              <w:t>6.4</w:t>
            </w:r>
            <w:r w:rsidR="00135261">
              <w:rPr>
                <w:rFonts w:asciiTheme="minorHAnsi" w:eastAsiaTheme="minorEastAsia" w:hAnsiTheme="minorHAnsi"/>
                <w:color w:val="auto"/>
                <w:kern w:val="2"/>
                <w:lang w:eastAsia="en-AU"/>
                <w14:ligatures w14:val="standardContextual"/>
              </w:rPr>
              <w:tab/>
            </w:r>
            <w:r w:rsidR="00135261" w:rsidRPr="002B0A1F">
              <w:rPr>
                <w:rStyle w:val="Hyperlink"/>
                <w:lang w:eastAsia="ja-JP"/>
              </w:rPr>
              <w:t>Capex by asset class</w:t>
            </w:r>
            <w:r w:rsidR="00135261">
              <w:rPr>
                <w:webHidden/>
              </w:rPr>
              <w:tab/>
            </w:r>
            <w:r w:rsidR="00135261">
              <w:rPr>
                <w:webHidden/>
              </w:rPr>
              <w:fldChar w:fldCharType="begin"/>
            </w:r>
            <w:r w:rsidR="00135261">
              <w:rPr>
                <w:webHidden/>
              </w:rPr>
              <w:instrText xml:space="preserve"> PAGEREF _Toc162703565 \h </w:instrText>
            </w:r>
            <w:r w:rsidR="00135261">
              <w:rPr>
                <w:webHidden/>
              </w:rPr>
            </w:r>
            <w:r w:rsidR="00135261">
              <w:rPr>
                <w:webHidden/>
              </w:rPr>
              <w:fldChar w:fldCharType="separate"/>
            </w:r>
            <w:r w:rsidR="00135261">
              <w:rPr>
                <w:webHidden/>
              </w:rPr>
              <w:t>18</w:t>
            </w:r>
            <w:r w:rsidR="00135261">
              <w:rPr>
                <w:webHidden/>
              </w:rPr>
              <w:fldChar w:fldCharType="end"/>
            </w:r>
          </w:hyperlink>
        </w:p>
        <w:p w14:paraId="5A4BC2B3" w14:textId="7572EBF6" w:rsidR="00135261" w:rsidRDefault="00EA4403">
          <w:pPr>
            <w:pStyle w:val="TOC2"/>
            <w:tabs>
              <w:tab w:val="left" w:pos="1276"/>
            </w:tabs>
            <w:rPr>
              <w:rFonts w:asciiTheme="minorHAnsi" w:eastAsiaTheme="minorEastAsia" w:hAnsiTheme="minorHAnsi"/>
              <w:color w:val="auto"/>
              <w:kern w:val="2"/>
              <w:lang w:eastAsia="en-AU"/>
              <w14:ligatures w14:val="standardContextual"/>
            </w:rPr>
          </w:pPr>
          <w:hyperlink w:anchor="_Toc162703566" w:history="1">
            <w:r w:rsidR="00135261" w:rsidRPr="002B0A1F">
              <w:rPr>
                <w:rStyle w:val="Hyperlink"/>
                <w:lang w:eastAsia="ja-JP"/>
              </w:rPr>
              <w:t>6.5</w:t>
            </w:r>
            <w:r w:rsidR="00135261">
              <w:rPr>
                <w:rFonts w:asciiTheme="minorHAnsi" w:eastAsiaTheme="minorEastAsia" w:hAnsiTheme="minorHAnsi"/>
                <w:color w:val="auto"/>
                <w:kern w:val="2"/>
                <w:lang w:eastAsia="en-AU"/>
                <w14:ligatures w14:val="standardContextual"/>
              </w:rPr>
              <w:tab/>
            </w:r>
            <w:r w:rsidR="00135261" w:rsidRPr="002B0A1F">
              <w:rPr>
                <w:rStyle w:val="Hyperlink"/>
                <w:lang w:eastAsia="ja-JP"/>
              </w:rPr>
              <w:t>Augex - lines</w:t>
            </w:r>
            <w:r w:rsidR="00135261">
              <w:rPr>
                <w:webHidden/>
              </w:rPr>
              <w:tab/>
            </w:r>
            <w:r w:rsidR="00135261">
              <w:rPr>
                <w:webHidden/>
              </w:rPr>
              <w:fldChar w:fldCharType="begin"/>
            </w:r>
            <w:r w:rsidR="00135261">
              <w:rPr>
                <w:webHidden/>
              </w:rPr>
              <w:instrText xml:space="preserve"> PAGEREF _Toc162703566 \h </w:instrText>
            </w:r>
            <w:r w:rsidR="00135261">
              <w:rPr>
                <w:webHidden/>
              </w:rPr>
            </w:r>
            <w:r w:rsidR="00135261">
              <w:rPr>
                <w:webHidden/>
              </w:rPr>
              <w:fldChar w:fldCharType="separate"/>
            </w:r>
            <w:r w:rsidR="00135261">
              <w:rPr>
                <w:webHidden/>
              </w:rPr>
              <w:t>19</w:t>
            </w:r>
            <w:r w:rsidR="00135261">
              <w:rPr>
                <w:webHidden/>
              </w:rPr>
              <w:fldChar w:fldCharType="end"/>
            </w:r>
          </w:hyperlink>
        </w:p>
        <w:p w14:paraId="2779230C" w14:textId="0496F264" w:rsidR="00135261" w:rsidRDefault="00EA4403">
          <w:pPr>
            <w:pStyle w:val="TOC1"/>
            <w:rPr>
              <w:rFonts w:asciiTheme="minorHAnsi" w:eastAsiaTheme="minorEastAsia" w:hAnsiTheme="minorHAnsi"/>
              <w:b w:val="0"/>
              <w:color w:val="auto"/>
              <w:kern w:val="2"/>
              <w:lang w:eastAsia="en-AU"/>
              <w14:ligatures w14:val="standardContextual"/>
            </w:rPr>
          </w:pPr>
          <w:hyperlink w:anchor="_Toc162703567" w:history="1">
            <w:r w:rsidR="00135261" w:rsidRPr="002B0A1F">
              <w:rPr>
                <w:rStyle w:val="Hyperlink"/>
              </w:rPr>
              <w:t>7</w:t>
            </w:r>
            <w:r w:rsidR="00135261">
              <w:rPr>
                <w:rFonts w:asciiTheme="minorHAnsi" w:eastAsiaTheme="minorEastAsia" w:hAnsiTheme="minorHAnsi"/>
                <w:b w:val="0"/>
                <w:color w:val="auto"/>
                <w:kern w:val="2"/>
                <w:lang w:eastAsia="en-AU"/>
                <w14:ligatures w14:val="standardContextual"/>
              </w:rPr>
              <w:tab/>
            </w:r>
            <w:r w:rsidR="00135261" w:rsidRPr="002B0A1F">
              <w:rPr>
                <w:rStyle w:val="Hyperlink"/>
              </w:rPr>
              <w:t>Workbook 08 – Asset base values</w:t>
            </w:r>
            <w:r w:rsidR="00135261">
              <w:rPr>
                <w:webHidden/>
              </w:rPr>
              <w:tab/>
            </w:r>
            <w:r w:rsidR="00135261">
              <w:rPr>
                <w:webHidden/>
              </w:rPr>
              <w:fldChar w:fldCharType="begin"/>
            </w:r>
            <w:r w:rsidR="00135261">
              <w:rPr>
                <w:webHidden/>
              </w:rPr>
              <w:instrText xml:space="preserve"> PAGEREF _Toc162703567 \h </w:instrText>
            </w:r>
            <w:r w:rsidR="00135261">
              <w:rPr>
                <w:webHidden/>
              </w:rPr>
            </w:r>
            <w:r w:rsidR="00135261">
              <w:rPr>
                <w:webHidden/>
              </w:rPr>
              <w:fldChar w:fldCharType="separate"/>
            </w:r>
            <w:r w:rsidR="00135261">
              <w:rPr>
                <w:webHidden/>
              </w:rPr>
              <w:t>21</w:t>
            </w:r>
            <w:r w:rsidR="00135261">
              <w:rPr>
                <w:webHidden/>
              </w:rPr>
              <w:fldChar w:fldCharType="end"/>
            </w:r>
          </w:hyperlink>
        </w:p>
        <w:p w14:paraId="6D424AEA" w14:textId="0B34E105" w:rsidR="00135261" w:rsidRDefault="00EA4403">
          <w:pPr>
            <w:pStyle w:val="TOC2"/>
            <w:tabs>
              <w:tab w:val="left" w:pos="1276"/>
            </w:tabs>
            <w:rPr>
              <w:rFonts w:asciiTheme="minorHAnsi" w:eastAsiaTheme="minorEastAsia" w:hAnsiTheme="minorHAnsi"/>
              <w:color w:val="auto"/>
              <w:kern w:val="2"/>
              <w:lang w:eastAsia="en-AU"/>
              <w14:ligatures w14:val="standardContextual"/>
            </w:rPr>
          </w:pPr>
          <w:hyperlink w:anchor="_Toc162703568" w:history="1">
            <w:r w:rsidR="00135261" w:rsidRPr="002B0A1F">
              <w:rPr>
                <w:rStyle w:val="Hyperlink"/>
                <w:lang w:eastAsia="ja-JP"/>
              </w:rPr>
              <w:t>7.1</w:t>
            </w:r>
            <w:r w:rsidR="00135261">
              <w:rPr>
                <w:rFonts w:asciiTheme="minorHAnsi" w:eastAsiaTheme="minorEastAsia" w:hAnsiTheme="minorHAnsi"/>
                <w:color w:val="auto"/>
                <w:kern w:val="2"/>
                <w:lang w:eastAsia="en-AU"/>
                <w14:ligatures w14:val="standardContextual"/>
              </w:rPr>
              <w:tab/>
            </w:r>
            <w:r w:rsidR="00135261" w:rsidRPr="002B0A1F">
              <w:rPr>
                <w:rStyle w:val="Hyperlink"/>
                <w:lang w:eastAsia="ja-JP"/>
              </w:rPr>
              <w:t>Regulatory accounts</w:t>
            </w:r>
            <w:r w:rsidR="00135261">
              <w:rPr>
                <w:webHidden/>
              </w:rPr>
              <w:tab/>
            </w:r>
            <w:r w:rsidR="00135261">
              <w:rPr>
                <w:webHidden/>
              </w:rPr>
              <w:fldChar w:fldCharType="begin"/>
            </w:r>
            <w:r w:rsidR="00135261">
              <w:rPr>
                <w:webHidden/>
              </w:rPr>
              <w:instrText xml:space="preserve"> PAGEREF _Toc162703568 \h </w:instrText>
            </w:r>
            <w:r w:rsidR="00135261">
              <w:rPr>
                <w:webHidden/>
              </w:rPr>
            </w:r>
            <w:r w:rsidR="00135261">
              <w:rPr>
                <w:webHidden/>
              </w:rPr>
              <w:fldChar w:fldCharType="separate"/>
            </w:r>
            <w:r w:rsidR="00135261">
              <w:rPr>
                <w:webHidden/>
              </w:rPr>
              <w:t>21</w:t>
            </w:r>
            <w:r w:rsidR="00135261">
              <w:rPr>
                <w:webHidden/>
              </w:rPr>
              <w:fldChar w:fldCharType="end"/>
            </w:r>
          </w:hyperlink>
        </w:p>
        <w:p w14:paraId="2340DEC2" w14:textId="62FEB2BC" w:rsidR="00135261" w:rsidRDefault="00EA4403">
          <w:pPr>
            <w:pStyle w:val="TOC1"/>
            <w:rPr>
              <w:rFonts w:asciiTheme="minorHAnsi" w:eastAsiaTheme="minorEastAsia" w:hAnsiTheme="minorHAnsi"/>
              <w:b w:val="0"/>
              <w:color w:val="auto"/>
              <w:kern w:val="2"/>
              <w:lang w:eastAsia="en-AU"/>
              <w14:ligatures w14:val="standardContextual"/>
            </w:rPr>
          </w:pPr>
          <w:hyperlink w:anchor="_Toc162703569" w:history="1">
            <w:r w:rsidR="00135261" w:rsidRPr="002B0A1F">
              <w:rPr>
                <w:rStyle w:val="Hyperlink"/>
              </w:rPr>
              <w:t>8</w:t>
            </w:r>
            <w:r w:rsidR="00135261">
              <w:rPr>
                <w:rFonts w:asciiTheme="minorHAnsi" w:eastAsiaTheme="minorEastAsia" w:hAnsiTheme="minorHAnsi"/>
                <w:b w:val="0"/>
                <w:color w:val="auto"/>
                <w:kern w:val="2"/>
                <w:lang w:eastAsia="en-AU"/>
                <w14:ligatures w14:val="standardContextual"/>
              </w:rPr>
              <w:tab/>
            </w:r>
            <w:r w:rsidR="00135261" w:rsidRPr="002B0A1F">
              <w:rPr>
                <w:rStyle w:val="Hyperlink"/>
              </w:rPr>
              <w:t>Workbook 09 – Revenue and financial statements</w:t>
            </w:r>
            <w:r w:rsidR="00135261">
              <w:rPr>
                <w:webHidden/>
              </w:rPr>
              <w:tab/>
            </w:r>
            <w:r w:rsidR="00135261">
              <w:rPr>
                <w:webHidden/>
              </w:rPr>
              <w:fldChar w:fldCharType="begin"/>
            </w:r>
            <w:r w:rsidR="00135261">
              <w:rPr>
                <w:webHidden/>
              </w:rPr>
              <w:instrText xml:space="preserve"> PAGEREF _Toc162703569 \h </w:instrText>
            </w:r>
            <w:r w:rsidR="00135261">
              <w:rPr>
                <w:webHidden/>
              </w:rPr>
            </w:r>
            <w:r w:rsidR="00135261">
              <w:rPr>
                <w:webHidden/>
              </w:rPr>
              <w:fldChar w:fldCharType="separate"/>
            </w:r>
            <w:r w:rsidR="00135261">
              <w:rPr>
                <w:webHidden/>
              </w:rPr>
              <w:t>24</w:t>
            </w:r>
            <w:r w:rsidR="00135261">
              <w:rPr>
                <w:webHidden/>
              </w:rPr>
              <w:fldChar w:fldCharType="end"/>
            </w:r>
          </w:hyperlink>
        </w:p>
        <w:p w14:paraId="0AAE73C0" w14:textId="4D24363E" w:rsidR="00135261" w:rsidRDefault="00EA4403">
          <w:pPr>
            <w:pStyle w:val="TOC2"/>
            <w:tabs>
              <w:tab w:val="left" w:pos="1276"/>
            </w:tabs>
            <w:rPr>
              <w:rFonts w:asciiTheme="minorHAnsi" w:eastAsiaTheme="minorEastAsia" w:hAnsiTheme="minorHAnsi"/>
              <w:color w:val="auto"/>
              <w:kern w:val="2"/>
              <w:lang w:eastAsia="en-AU"/>
              <w14:ligatures w14:val="standardContextual"/>
            </w:rPr>
          </w:pPr>
          <w:hyperlink w:anchor="_Toc162703570" w:history="1">
            <w:r w:rsidR="00135261" w:rsidRPr="002B0A1F">
              <w:rPr>
                <w:rStyle w:val="Hyperlink"/>
                <w:lang w:eastAsia="ja-JP"/>
              </w:rPr>
              <w:t>8.1</w:t>
            </w:r>
            <w:r w:rsidR="00135261">
              <w:rPr>
                <w:rFonts w:asciiTheme="minorHAnsi" w:eastAsiaTheme="minorEastAsia" w:hAnsiTheme="minorHAnsi"/>
                <w:color w:val="auto"/>
                <w:kern w:val="2"/>
                <w:lang w:eastAsia="en-AU"/>
                <w14:ligatures w14:val="standardContextual"/>
              </w:rPr>
              <w:tab/>
            </w:r>
            <w:r w:rsidR="00135261" w:rsidRPr="002B0A1F">
              <w:rPr>
                <w:rStyle w:val="Hyperlink"/>
                <w:lang w:eastAsia="ja-JP"/>
              </w:rPr>
              <w:t>Audited statutory accounts</w:t>
            </w:r>
            <w:r w:rsidR="00135261">
              <w:rPr>
                <w:webHidden/>
              </w:rPr>
              <w:tab/>
            </w:r>
            <w:r w:rsidR="00135261">
              <w:rPr>
                <w:webHidden/>
              </w:rPr>
              <w:fldChar w:fldCharType="begin"/>
            </w:r>
            <w:r w:rsidR="00135261">
              <w:rPr>
                <w:webHidden/>
              </w:rPr>
              <w:instrText xml:space="preserve"> PAGEREF _Toc162703570 \h </w:instrText>
            </w:r>
            <w:r w:rsidR="00135261">
              <w:rPr>
                <w:webHidden/>
              </w:rPr>
            </w:r>
            <w:r w:rsidR="00135261">
              <w:rPr>
                <w:webHidden/>
              </w:rPr>
              <w:fldChar w:fldCharType="separate"/>
            </w:r>
            <w:r w:rsidR="00135261">
              <w:rPr>
                <w:webHidden/>
              </w:rPr>
              <w:t>24</w:t>
            </w:r>
            <w:r w:rsidR="00135261">
              <w:rPr>
                <w:webHidden/>
              </w:rPr>
              <w:fldChar w:fldCharType="end"/>
            </w:r>
          </w:hyperlink>
        </w:p>
        <w:p w14:paraId="619B33DC" w14:textId="1D53FE3B" w:rsidR="00135261" w:rsidRDefault="00EA4403">
          <w:pPr>
            <w:pStyle w:val="TOC2"/>
            <w:tabs>
              <w:tab w:val="left" w:pos="1276"/>
            </w:tabs>
            <w:rPr>
              <w:rFonts w:asciiTheme="minorHAnsi" w:eastAsiaTheme="minorEastAsia" w:hAnsiTheme="minorHAnsi"/>
              <w:color w:val="auto"/>
              <w:kern w:val="2"/>
              <w:lang w:eastAsia="en-AU"/>
              <w14:ligatures w14:val="standardContextual"/>
            </w:rPr>
          </w:pPr>
          <w:hyperlink w:anchor="_Toc162703571" w:history="1">
            <w:r w:rsidR="00135261" w:rsidRPr="002B0A1F">
              <w:rPr>
                <w:rStyle w:val="Hyperlink"/>
                <w:lang w:eastAsia="ja-JP"/>
              </w:rPr>
              <w:t>8.2</w:t>
            </w:r>
            <w:r w:rsidR="00135261">
              <w:rPr>
                <w:rFonts w:asciiTheme="minorHAnsi" w:eastAsiaTheme="minorEastAsia" w:hAnsiTheme="minorHAnsi"/>
                <w:color w:val="auto"/>
                <w:kern w:val="2"/>
                <w:lang w:eastAsia="en-AU"/>
                <w14:ligatures w14:val="standardContextual"/>
              </w:rPr>
              <w:tab/>
            </w:r>
            <w:r w:rsidR="00135261" w:rsidRPr="002B0A1F">
              <w:rPr>
                <w:rStyle w:val="Hyperlink"/>
                <w:lang w:eastAsia="ja-JP"/>
              </w:rPr>
              <w:t>Regulatory accounts (PTS)</w:t>
            </w:r>
            <w:r w:rsidR="00135261">
              <w:rPr>
                <w:webHidden/>
              </w:rPr>
              <w:tab/>
            </w:r>
            <w:r w:rsidR="00135261">
              <w:rPr>
                <w:webHidden/>
              </w:rPr>
              <w:fldChar w:fldCharType="begin"/>
            </w:r>
            <w:r w:rsidR="00135261">
              <w:rPr>
                <w:webHidden/>
              </w:rPr>
              <w:instrText xml:space="preserve"> PAGEREF _Toc162703571 \h </w:instrText>
            </w:r>
            <w:r w:rsidR="00135261">
              <w:rPr>
                <w:webHidden/>
              </w:rPr>
            </w:r>
            <w:r w:rsidR="00135261">
              <w:rPr>
                <w:webHidden/>
              </w:rPr>
              <w:fldChar w:fldCharType="separate"/>
            </w:r>
            <w:r w:rsidR="00135261">
              <w:rPr>
                <w:webHidden/>
              </w:rPr>
              <w:t>24</w:t>
            </w:r>
            <w:r w:rsidR="00135261">
              <w:rPr>
                <w:webHidden/>
              </w:rPr>
              <w:fldChar w:fldCharType="end"/>
            </w:r>
          </w:hyperlink>
        </w:p>
        <w:p w14:paraId="1A217815" w14:textId="65C3DFB0" w:rsidR="00135261" w:rsidRDefault="00EA4403">
          <w:pPr>
            <w:pStyle w:val="TOC2"/>
            <w:tabs>
              <w:tab w:val="left" w:pos="1276"/>
            </w:tabs>
            <w:rPr>
              <w:rFonts w:asciiTheme="minorHAnsi" w:eastAsiaTheme="minorEastAsia" w:hAnsiTheme="minorHAnsi"/>
              <w:color w:val="auto"/>
              <w:kern w:val="2"/>
              <w:lang w:eastAsia="en-AU"/>
              <w14:ligatures w14:val="standardContextual"/>
            </w:rPr>
          </w:pPr>
          <w:hyperlink w:anchor="_Toc162703572" w:history="1">
            <w:r w:rsidR="00135261" w:rsidRPr="002B0A1F">
              <w:rPr>
                <w:rStyle w:val="Hyperlink"/>
                <w:lang w:eastAsia="ja-JP"/>
              </w:rPr>
              <w:t>8.3</w:t>
            </w:r>
            <w:r w:rsidR="00135261">
              <w:rPr>
                <w:rFonts w:asciiTheme="minorHAnsi" w:eastAsiaTheme="minorEastAsia" w:hAnsiTheme="minorHAnsi"/>
                <w:color w:val="auto"/>
                <w:kern w:val="2"/>
                <w:lang w:eastAsia="en-AU"/>
                <w14:ligatures w14:val="standardContextual"/>
              </w:rPr>
              <w:tab/>
            </w:r>
            <w:r w:rsidR="00135261" w:rsidRPr="002B0A1F">
              <w:rPr>
                <w:rStyle w:val="Hyperlink"/>
                <w:lang w:eastAsia="ja-JP"/>
              </w:rPr>
              <w:t>Provisions</w:t>
            </w:r>
            <w:r w:rsidR="00135261">
              <w:rPr>
                <w:webHidden/>
              </w:rPr>
              <w:tab/>
            </w:r>
            <w:r w:rsidR="00135261">
              <w:rPr>
                <w:webHidden/>
              </w:rPr>
              <w:fldChar w:fldCharType="begin"/>
            </w:r>
            <w:r w:rsidR="00135261">
              <w:rPr>
                <w:webHidden/>
              </w:rPr>
              <w:instrText xml:space="preserve"> PAGEREF _Toc162703572 \h </w:instrText>
            </w:r>
            <w:r w:rsidR="00135261">
              <w:rPr>
                <w:webHidden/>
              </w:rPr>
            </w:r>
            <w:r w:rsidR="00135261">
              <w:rPr>
                <w:webHidden/>
              </w:rPr>
              <w:fldChar w:fldCharType="separate"/>
            </w:r>
            <w:r w:rsidR="00135261">
              <w:rPr>
                <w:webHidden/>
              </w:rPr>
              <w:t>27</w:t>
            </w:r>
            <w:r w:rsidR="00135261">
              <w:rPr>
                <w:webHidden/>
              </w:rPr>
              <w:fldChar w:fldCharType="end"/>
            </w:r>
          </w:hyperlink>
        </w:p>
        <w:p w14:paraId="11088C75" w14:textId="4B6D1D63" w:rsidR="00135261" w:rsidRDefault="00EA4403">
          <w:pPr>
            <w:pStyle w:val="TOC2"/>
            <w:tabs>
              <w:tab w:val="left" w:pos="1276"/>
            </w:tabs>
            <w:rPr>
              <w:rFonts w:asciiTheme="minorHAnsi" w:eastAsiaTheme="minorEastAsia" w:hAnsiTheme="minorHAnsi"/>
              <w:color w:val="auto"/>
              <w:kern w:val="2"/>
              <w:lang w:eastAsia="en-AU"/>
              <w14:ligatures w14:val="standardContextual"/>
            </w:rPr>
          </w:pPr>
          <w:hyperlink w:anchor="_Toc162703573" w:history="1">
            <w:r w:rsidR="00135261" w:rsidRPr="002B0A1F">
              <w:rPr>
                <w:rStyle w:val="Hyperlink"/>
                <w:lang w:eastAsia="ja-JP"/>
              </w:rPr>
              <w:t>8.4</w:t>
            </w:r>
            <w:r w:rsidR="00135261">
              <w:rPr>
                <w:rFonts w:asciiTheme="minorHAnsi" w:eastAsiaTheme="minorEastAsia" w:hAnsiTheme="minorHAnsi"/>
                <w:color w:val="auto"/>
                <w:kern w:val="2"/>
                <w:lang w:eastAsia="en-AU"/>
                <w14:ligatures w14:val="standardContextual"/>
              </w:rPr>
              <w:tab/>
            </w:r>
            <w:r w:rsidR="00135261" w:rsidRPr="002B0A1F">
              <w:rPr>
                <w:rStyle w:val="Hyperlink"/>
                <w:lang w:eastAsia="ja-JP"/>
              </w:rPr>
              <w:t>Other financial information</w:t>
            </w:r>
            <w:r w:rsidR="00135261">
              <w:rPr>
                <w:webHidden/>
              </w:rPr>
              <w:tab/>
            </w:r>
            <w:r w:rsidR="00135261">
              <w:rPr>
                <w:webHidden/>
              </w:rPr>
              <w:fldChar w:fldCharType="begin"/>
            </w:r>
            <w:r w:rsidR="00135261">
              <w:rPr>
                <w:webHidden/>
              </w:rPr>
              <w:instrText xml:space="preserve"> PAGEREF _Toc162703573 \h </w:instrText>
            </w:r>
            <w:r w:rsidR="00135261">
              <w:rPr>
                <w:webHidden/>
              </w:rPr>
            </w:r>
            <w:r w:rsidR="00135261">
              <w:rPr>
                <w:webHidden/>
              </w:rPr>
              <w:fldChar w:fldCharType="separate"/>
            </w:r>
            <w:r w:rsidR="00135261">
              <w:rPr>
                <w:webHidden/>
              </w:rPr>
              <w:t>27</w:t>
            </w:r>
            <w:r w:rsidR="00135261">
              <w:rPr>
                <w:webHidden/>
              </w:rPr>
              <w:fldChar w:fldCharType="end"/>
            </w:r>
          </w:hyperlink>
        </w:p>
        <w:p w14:paraId="2AB1E631" w14:textId="10011B48" w:rsidR="00764D6A" w:rsidRDefault="00E91D72">
          <w:r>
            <w:rPr>
              <w:b/>
              <w:noProof/>
            </w:rPr>
            <w:fldChar w:fldCharType="end"/>
          </w:r>
        </w:p>
      </w:sdtContent>
    </w:sdt>
    <w:bookmarkEnd w:id="1" w:displacedByCustomXml="prev"/>
    <w:bookmarkEnd w:id="2"/>
    <w:p w14:paraId="6623206C" w14:textId="77777777" w:rsidR="001369A6" w:rsidRDefault="001369A6"/>
    <w:p w14:paraId="6C9FCB80" w14:textId="77777777" w:rsidR="00764D6A" w:rsidRDefault="00764D6A">
      <w:pPr>
        <w:sectPr w:rsidR="00764D6A" w:rsidSect="003228DC">
          <w:headerReference w:type="even" r:id="rId14"/>
          <w:headerReference w:type="default" r:id="rId15"/>
          <w:footerReference w:type="even" r:id="rId16"/>
          <w:footerReference w:type="default" r:id="rId17"/>
          <w:headerReference w:type="first" r:id="rId18"/>
          <w:footerReference w:type="first" r:id="rId19"/>
          <w:pgSz w:w="11906" w:h="16838"/>
          <w:pgMar w:top="1418" w:right="1418" w:bottom="709" w:left="1134" w:header="567" w:footer="94" w:gutter="0"/>
          <w:pgNumType w:fmt="lowerRoman" w:start="1"/>
          <w:cols w:space="708"/>
          <w:titlePg/>
          <w:docGrid w:linePitch="360"/>
        </w:sectPr>
      </w:pPr>
    </w:p>
    <w:p w14:paraId="494EE430" w14:textId="427D7749" w:rsidR="00764D6A" w:rsidRPr="00B04006" w:rsidRDefault="00F279CF" w:rsidP="00142937">
      <w:pPr>
        <w:pStyle w:val="Heading2"/>
        <w:rPr>
          <w:szCs w:val="36"/>
        </w:rPr>
      </w:pPr>
      <w:bookmarkStart w:id="3" w:name="_Toc162703531"/>
      <w:r>
        <w:rPr>
          <w:szCs w:val="36"/>
        </w:rPr>
        <w:lastRenderedPageBreak/>
        <w:t>General i</w:t>
      </w:r>
      <w:r w:rsidRPr="00B04006">
        <w:rPr>
          <w:szCs w:val="36"/>
        </w:rPr>
        <w:t>nstructions</w:t>
      </w:r>
      <w:bookmarkEnd w:id="3"/>
    </w:p>
    <w:p w14:paraId="1E0293A4" w14:textId="3E798CB4" w:rsidR="00BF1E19" w:rsidRPr="00D96F7D" w:rsidRDefault="00600A7D" w:rsidP="00BF1E19">
      <w:pPr>
        <w:pStyle w:val="Heading3"/>
        <w:spacing w:before="240" w:after="240"/>
        <w:ind w:left="578" w:hanging="578"/>
        <w:rPr>
          <w:lang w:eastAsia="ja-JP"/>
        </w:rPr>
      </w:pPr>
      <w:bookmarkStart w:id="4" w:name="_Toc162703532"/>
      <w:r>
        <w:rPr>
          <w:lang w:eastAsia="ja-JP"/>
        </w:rPr>
        <w:t xml:space="preserve">Data </w:t>
      </w:r>
      <w:r w:rsidR="00F279CF">
        <w:rPr>
          <w:lang w:eastAsia="ja-JP"/>
        </w:rPr>
        <w:t>requirements</w:t>
      </w:r>
      <w:bookmarkEnd w:id="4"/>
    </w:p>
    <w:p w14:paraId="7AB17720" w14:textId="4399E606" w:rsidR="00836FDE" w:rsidRDefault="00836FDE" w:rsidP="00836FDE">
      <w:pPr>
        <w:pStyle w:val="Noparagraph"/>
        <w:ind w:left="567" w:hanging="567"/>
      </w:pPr>
      <w:r>
        <w:t xml:space="preserve">General instructions relevant to the completion of the </w:t>
      </w:r>
      <w:r>
        <w:rPr>
          <w:i/>
          <w:iCs w:val="0"/>
        </w:rPr>
        <w:t>data workbooks</w:t>
      </w:r>
      <w:r>
        <w:t xml:space="preserve"> are contained in each of the </w:t>
      </w:r>
      <w:r>
        <w:rPr>
          <w:i/>
          <w:iCs w:val="0"/>
        </w:rPr>
        <w:t xml:space="preserve">data workbooks </w:t>
      </w:r>
      <w:r w:rsidRPr="0047394F">
        <w:t>attached at</w:t>
      </w:r>
      <w:r w:rsidR="00034166">
        <w:t xml:space="preserve"> this</w:t>
      </w:r>
      <w:r>
        <w:rPr>
          <w:i/>
          <w:iCs w:val="0"/>
        </w:rPr>
        <w:t xml:space="preserve"> Appendix A</w:t>
      </w:r>
      <w:r>
        <w:t xml:space="preserve">. </w:t>
      </w:r>
    </w:p>
    <w:p w14:paraId="6F390467" w14:textId="665D9052" w:rsidR="00836FDE" w:rsidRDefault="00600A7D" w:rsidP="00836FDE">
      <w:pPr>
        <w:pStyle w:val="Noparagraph"/>
        <w:ind w:left="567" w:hanging="567"/>
      </w:pPr>
      <w:r>
        <w:t xml:space="preserve">Data </w:t>
      </w:r>
      <w:r w:rsidR="00836FDE">
        <w:t xml:space="preserve">requirements are identified by reference to table headings, row descriptors and column headings. They are represented as input cells </w:t>
      </w:r>
      <w:r w:rsidR="007E18FB">
        <w:t>–</w:t>
      </w:r>
      <w:r w:rsidR="00836FDE">
        <w:t xml:space="preserve"> shaded green in the </w:t>
      </w:r>
      <w:r w:rsidR="00836FDE" w:rsidRPr="00BA4310">
        <w:rPr>
          <w:i/>
          <w:iCs w:val="0"/>
        </w:rPr>
        <w:t>data workbooks</w:t>
      </w:r>
      <w:r w:rsidR="00836FDE">
        <w:t xml:space="preserve">. </w:t>
      </w:r>
    </w:p>
    <w:p w14:paraId="796AE21E" w14:textId="2E4AB050" w:rsidR="00836FDE" w:rsidRDefault="00696EC2" w:rsidP="00836FDE">
      <w:pPr>
        <w:pStyle w:val="Noparagraph"/>
        <w:ind w:left="567" w:hanging="567"/>
      </w:pPr>
      <w:bookmarkStart w:id="5" w:name="_Hlk125114623"/>
      <w:r>
        <w:t xml:space="preserve">Reported </w:t>
      </w:r>
      <w:bookmarkEnd w:id="5"/>
      <w:r w:rsidR="00600A7D">
        <w:t xml:space="preserve">data </w:t>
      </w:r>
      <w:r w:rsidR="00836FDE">
        <w:t xml:space="preserve">(inputs) must meet validation rules and consistency cross checks, as </w:t>
      </w:r>
      <w:r w:rsidR="00034166">
        <w:t>specified</w:t>
      </w:r>
      <w:r w:rsidR="00836FDE">
        <w:t xml:space="preserve"> in the </w:t>
      </w:r>
      <w:r w:rsidR="00836FDE" w:rsidRPr="00BA4310">
        <w:rPr>
          <w:i/>
          <w:iCs w:val="0"/>
        </w:rPr>
        <w:t>data workbooks</w:t>
      </w:r>
      <w:r w:rsidR="00836FDE">
        <w:t>.</w:t>
      </w:r>
    </w:p>
    <w:p w14:paraId="4533A25B" w14:textId="77777777" w:rsidR="00696EC2" w:rsidRDefault="00836FDE" w:rsidP="00836FDE">
      <w:pPr>
        <w:pStyle w:val="Noparagraph"/>
        <w:ind w:left="567" w:hanging="567"/>
      </w:pPr>
      <w:bookmarkStart w:id="6" w:name="_Hlk125114449"/>
      <w:r>
        <w:t xml:space="preserve">Where a NULL response is </w:t>
      </w:r>
      <w:r w:rsidR="00135C46">
        <w:t xml:space="preserve">specified as </w:t>
      </w:r>
      <w:r>
        <w:t xml:space="preserve">valid </w:t>
      </w:r>
      <w:r w:rsidR="00696EC2">
        <w:t>a</w:t>
      </w:r>
      <w:r>
        <w:t xml:space="preserve"> response to the </w:t>
      </w:r>
      <w:r w:rsidR="00112486">
        <w:t>data</w:t>
      </w:r>
      <w:r w:rsidR="00034166">
        <w:t xml:space="preserve"> </w:t>
      </w:r>
      <w:r>
        <w:t>requirement is not mandatory</w:t>
      </w:r>
      <w:r w:rsidR="00696EC2">
        <w:t>.</w:t>
      </w:r>
    </w:p>
    <w:bookmarkEnd w:id="6"/>
    <w:p w14:paraId="14719F19" w14:textId="40FC6883" w:rsidR="00836FDE" w:rsidRDefault="00696EC2" w:rsidP="00836FDE">
      <w:pPr>
        <w:pStyle w:val="Noparagraph"/>
        <w:ind w:left="567" w:hanging="567"/>
      </w:pPr>
      <w:r>
        <w:t>T</w:t>
      </w:r>
      <w:r w:rsidR="00836FDE">
        <w:t xml:space="preserve">he </w:t>
      </w:r>
      <w:r w:rsidR="00375AB1" w:rsidRPr="00375AB1">
        <w:rPr>
          <w:i/>
          <w:iCs w:val="0"/>
        </w:rPr>
        <w:t>TNSP</w:t>
      </w:r>
      <w:r w:rsidR="00836FDE">
        <w:t xml:space="preserve"> must identify and explain each NULL response in its </w:t>
      </w:r>
      <w:r w:rsidR="00836FDE" w:rsidRPr="004B5938">
        <w:rPr>
          <w:i/>
          <w:iCs w:val="0"/>
        </w:rPr>
        <w:t>basis of preparation</w:t>
      </w:r>
      <w:r w:rsidR="00836FDE">
        <w:t>.</w:t>
      </w:r>
    </w:p>
    <w:p w14:paraId="65F141D8" w14:textId="157FC674" w:rsidR="00836FDE" w:rsidRDefault="00836FDE" w:rsidP="00836FDE">
      <w:pPr>
        <w:pStyle w:val="Noparagraph"/>
        <w:ind w:left="567" w:hanging="567"/>
      </w:pPr>
      <w:r>
        <w:t xml:space="preserve">Where a NULL response is </w:t>
      </w:r>
      <w:r w:rsidR="00955574">
        <w:t xml:space="preserve">specified as </w:t>
      </w:r>
      <w:r>
        <w:t>not valid</w:t>
      </w:r>
      <w:r w:rsidR="00955574">
        <w:t xml:space="preserve"> </w:t>
      </w:r>
      <w:bookmarkStart w:id="7" w:name="_Hlk125114557"/>
      <w:r w:rsidR="00600A7D">
        <w:t>(that is</w:t>
      </w:r>
      <w:r w:rsidR="00C305A9">
        <w:t>,</w:t>
      </w:r>
      <w:r w:rsidR="00600A7D">
        <w:t xml:space="preserve"> </w:t>
      </w:r>
      <w:r w:rsidR="00C305A9">
        <w:t>a</w:t>
      </w:r>
      <w:r w:rsidR="00600A7D">
        <w:t xml:space="preserve"> response to the data requirement is mandatory) </w:t>
      </w:r>
      <w:bookmarkEnd w:id="7"/>
      <w:r w:rsidR="00955574">
        <w:t>and</w:t>
      </w:r>
      <w:r>
        <w:t xml:space="preserve"> the </w:t>
      </w:r>
      <w:r w:rsidR="00955574">
        <w:t xml:space="preserve">data </w:t>
      </w:r>
      <w:r>
        <w:t xml:space="preserve">requirement is not relevant to the </w:t>
      </w:r>
      <w:r w:rsidR="00375AB1" w:rsidRPr="00375AB1">
        <w:rPr>
          <w:i/>
        </w:rPr>
        <w:t>TNSP</w:t>
      </w:r>
      <w:r>
        <w:t xml:space="preserve"> in the </w:t>
      </w:r>
      <w:r w:rsidRPr="003C71B6">
        <w:rPr>
          <w:i/>
          <w:iCs w:val="0"/>
        </w:rPr>
        <w:t>reporting period</w:t>
      </w:r>
      <w:r w:rsidR="00955574">
        <w:t>,</w:t>
      </w:r>
      <w:r>
        <w:t xml:space="preserve"> it must report ‘0’.</w:t>
      </w:r>
    </w:p>
    <w:p w14:paraId="7377EB69" w14:textId="14C2DC65" w:rsidR="00836FDE" w:rsidRPr="00D96F7D" w:rsidRDefault="00F279CF" w:rsidP="002A5B95">
      <w:pPr>
        <w:pStyle w:val="Heading3"/>
        <w:spacing w:before="240" w:after="240"/>
        <w:ind w:left="578" w:hanging="578"/>
        <w:rPr>
          <w:lang w:eastAsia="ja-JP"/>
        </w:rPr>
      </w:pPr>
      <w:bookmarkStart w:id="8" w:name="_Toc162703533"/>
      <w:r>
        <w:rPr>
          <w:lang w:eastAsia="ja-JP"/>
        </w:rPr>
        <w:t>Reporting framework</w:t>
      </w:r>
      <w:bookmarkEnd w:id="8"/>
    </w:p>
    <w:p w14:paraId="5A8F0338" w14:textId="42D4C4A1" w:rsidR="00836FDE" w:rsidRPr="007B2E85" w:rsidRDefault="00375AB1" w:rsidP="00836FDE">
      <w:pPr>
        <w:pStyle w:val="Noparagraph"/>
        <w:ind w:left="567" w:hanging="567"/>
        <w:rPr>
          <w:b/>
          <w:i/>
        </w:rPr>
      </w:pPr>
      <w:r w:rsidRPr="00375AB1">
        <w:rPr>
          <w:i/>
          <w:noProof/>
        </w:rPr>
        <w:t>TNSP</w:t>
      </w:r>
      <w:r w:rsidR="00836FDE" w:rsidRPr="007B2E85">
        <w:rPr>
          <w:i/>
          <w:noProof/>
        </w:rPr>
        <w:t xml:space="preserve">s </w:t>
      </w:r>
      <w:bookmarkStart w:id="9" w:name="_Hlk103668540"/>
      <w:r w:rsidR="00836FDE">
        <w:t xml:space="preserve">must prepare and </w:t>
      </w:r>
      <w:r w:rsidR="000E6368">
        <w:t xml:space="preserve">report </w:t>
      </w:r>
      <w:r w:rsidR="00836FDE">
        <w:t xml:space="preserve">the </w:t>
      </w:r>
      <w:r w:rsidR="00E07BB0">
        <w:t>data</w:t>
      </w:r>
      <w:r w:rsidR="00836FDE">
        <w:t xml:space="preserve"> </w:t>
      </w:r>
      <w:bookmarkEnd w:id="9"/>
      <w:r w:rsidR="00836FDE">
        <w:t xml:space="preserve">in </w:t>
      </w:r>
      <w:r w:rsidR="00836FDE" w:rsidRPr="007B2E85">
        <w:t xml:space="preserve">the </w:t>
      </w:r>
      <w:r w:rsidR="00836FDE">
        <w:rPr>
          <w:i/>
          <w:iCs w:val="0"/>
        </w:rPr>
        <w:t>data workbooks</w:t>
      </w:r>
      <w:r w:rsidR="00836FDE" w:rsidRPr="007B2E85">
        <w:t xml:space="preserve"> in accordance with:</w:t>
      </w:r>
    </w:p>
    <w:p w14:paraId="3B7B60B9" w14:textId="6544ABFF" w:rsidR="00836FDE" w:rsidRPr="00EB5063" w:rsidRDefault="00836FDE" w:rsidP="00B0496A">
      <w:pPr>
        <w:pStyle w:val="Numberlist2"/>
        <w:numPr>
          <w:ilvl w:val="0"/>
          <w:numId w:val="41"/>
        </w:numPr>
        <w:ind w:left="1134" w:hanging="567"/>
        <w:rPr>
          <w:rFonts w:cs="Arial"/>
          <w:szCs w:val="22"/>
        </w:rPr>
      </w:pPr>
      <w:r w:rsidRPr="00C6040A">
        <w:t>the</w:t>
      </w:r>
      <w:r w:rsidRPr="00EB5063">
        <w:rPr>
          <w:rFonts w:cs="Arial"/>
          <w:szCs w:val="22"/>
        </w:rPr>
        <w:t xml:space="preserve"> service classifications </w:t>
      </w:r>
      <w:r w:rsidR="00F15BA2">
        <w:rPr>
          <w:rFonts w:cs="Arial"/>
          <w:szCs w:val="22"/>
        </w:rPr>
        <w:t>that apply or applied</w:t>
      </w:r>
      <w:r w:rsidRPr="00EB5063">
        <w:rPr>
          <w:rFonts w:cs="Arial"/>
          <w:szCs w:val="22"/>
        </w:rPr>
        <w:t xml:space="preserve"> </w:t>
      </w:r>
      <w:r>
        <w:rPr>
          <w:rFonts w:cs="Arial"/>
          <w:szCs w:val="22"/>
        </w:rPr>
        <w:t>in</w:t>
      </w:r>
      <w:r w:rsidRPr="00EB5063">
        <w:rPr>
          <w:rFonts w:cs="Arial"/>
          <w:szCs w:val="22"/>
        </w:rPr>
        <w:t xml:space="preserve"> the </w:t>
      </w:r>
      <w:r>
        <w:rPr>
          <w:rFonts w:cs="Arial"/>
          <w:i/>
          <w:szCs w:val="22"/>
        </w:rPr>
        <w:t>reporting period</w:t>
      </w:r>
      <w:r w:rsidRPr="00EB5063">
        <w:rPr>
          <w:rFonts w:cs="Arial"/>
          <w:i/>
          <w:szCs w:val="22"/>
        </w:rPr>
        <w:t xml:space="preserve">; </w:t>
      </w:r>
      <w:r w:rsidRPr="00EB5063">
        <w:rPr>
          <w:rFonts w:cs="Arial"/>
          <w:szCs w:val="22"/>
        </w:rPr>
        <w:t>and</w:t>
      </w:r>
    </w:p>
    <w:p w14:paraId="073A69D5" w14:textId="250B406C" w:rsidR="00836FDE" w:rsidRPr="00EB5063" w:rsidRDefault="00836FDE" w:rsidP="00B0496A">
      <w:pPr>
        <w:pStyle w:val="Numberlist2"/>
        <w:numPr>
          <w:ilvl w:val="0"/>
          <w:numId w:val="41"/>
        </w:numPr>
        <w:ind w:left="1134" w:hanging="567"/>
        <w:rPr>
          <w:rFonts w:cs="Arial"/>
          <w:szCs w:val="22"/>
        </w:rPr>
      </w:pPr>
      <w:bookmarkStart w:id="10" w:name="_Hlk125114699"/>
      <w:r>
        <w:rPr>
          <w:rFonts w:cs="Arial"/>
          <w:szCs w:val="22"/>
        </w:rPr>
        <w:t xml:space="preserve">the </w:t>
      </w:r>
      <w:r w:rsidRPr="00EB5063">
        <w:rPr>
          <w:rFonts w:cs="Arial"/>
          <w:i/>
          <w:szCs w:val="22"/>
        </w:rPr>
        <w:t>cost allocation method</w:t>
      </w:r>
      <w:r>
        <w:rPr>
          <w:rFonts w:cs="Arial"/>
          <w:i/>
          <w:szCs w:val="22"/>
        </w:rPr>
        <w:t xml:space="preserve"> </w:t>
      </w:r>
      <w:r w:rsidR="008E29A6" w:rsidRPr="00EB5063">
        <w:rPr>
          <w:rFonts w:cs="Arial"/>
          <w:szCs w:val="22"/>
        </w:rPr>
        <w:t xml:space="preserve">approved </w:t>
      </w:r>
      <w:r w:rsidR="00F15BA2">
        <w:rPr>
          <w:rFonts w:cs="Arial"/>
          <w:szCs w:val="22"/>
        </w:rPr>
        <w:t xml:space="preserve">by the AER </w:t>
      </w:r>
      <w:r w:rsidR="008E29A6">
        <w:rPr>
          <w:rFonts w:cs="Arial"/>
          <w:szCs w:val="22"/>
        </w:rPr>
        <w:t>for</w:t>
      </w:r>
      <w:r w:rsidRPr="0010385C">
        <w:rPr>
          <w:rFonts w:cs="Arial"/>
          <w:szCs w:val="22"/>
        </w:rPr>
        <w:t xml:space="preserve"> the </w:t>
      </w:r>
      <w:r>
        <w:rPr>
          <w:rFonts w:cs="Arial"/>
          <w:i/>
          <w:szCs w:val="22"/>
        </w:rPr>
        <w:t>reporting period</w:t>
      </w:r>
      <w:bookmarkEnd w:id="10"/>
      <w:r w:rsidRPr="00EB5063">
        <w:rPr>
          <w:rFonts w:cs="Arial"/>
          <w:szCs w:val="22"/>
        </w:rPr>
        <w:t>.</w:t>
      </w:r>
    </w:p>
    <w:p w14:paraId="66FAD4F0" w14:textId="747754F0" w:rsidR="00836FDE" w:rsidRPr="00995FA4" w:rsidRDefault="00836FDE" w:rsidP="00836FDE">
      <w:pPr>
        <w:pStyle w:val="Noparagraph"/>
        <w:ind w:left="567" w:hanging="567"/>
        <w:rPr>
          <w:rFonts w:cs="Arial"/>
        </w:rPr>
      </w:pPr>
      <w:r w:rsidRPr="00995FA4">
        <w:rPr>
          <w:rFonts w:cs="Arial"/>
        </w:rPr>
        <w:t>The</w:t>
      </w:r>
      <w:r w:rsidR="00BD791D">
        <w:rPr>
          <w:rFonts w:cs="Arial"/>
        </w:rPr>
        <w:t xml:space="preserve"> </w:t>
      </w:r>
      <w:r w:rsidR="00BD791D" w:rsidRPr="00E07BB0">
        <w:rPr>
          <w:rFonts w:cs="Arial"/>
          <w:i/>
          <w:iCs w:val="0"/>
        </w:rPr>
        <w:t>TNSP</w:t>
      </w:r>
      <w:r w:rsidR="00BD791D">
        <w:rPr>
          <w:rFonts w:cs="Arial"/>
        </w:rPr>
        <w:t xml:space="preserve"> must report</w:t>
      </w:r>
      <w:r w:rsidRPr="00995FA4">
        <w:rPr>
          <w:rFonts w:cs="Arial"/>
        </w:rPr>
        <w:t xml:space="preserve"> </w:t>
      </w:r>
      <w:r w:rsidRPr="00C56E01">
        <w:rPr>
          <w:rFonts w:cs="Arial"/>
          <w:i/>
          <w:iCs w:val="0"/>
        </w:rPr>
        <w:t>financial information</w:t>
      </w:r>
      <w:r>
        <w:rPr>
          <w:rFonts w:cs="Arial"/>
        </w:rPr>
        <w:t xml:space="preserve"> in the </w:t>
      </w:r>
      <w:r w:rsidRPr="00550D12">
        <w:rPr>
          <w:rFonts w:cs="Arial"/>
          <w:i/>
          <w:iCs w:val="0"/>
        </w:rPr>
        <w:t>data workbooks</w:t>
      </w:r>
      <w:r>
        <w:rPr>
          <w:rFonts w:cs="Arial"/>
        </w:rPr>
        <w:t xml:space="preserve"> </w:t>
      </w:r>
      <w:r w:rsidR="00BD791D">
        <w:rPr>
          <w:rFonts w:cs="Arial"/>
        </w:rPr>
        <w:t>that</w:t>
      </w:r>
      <w:r w:rsidRPr="00995FA4">
        <w:rPr>
          <w:rFonts w:cs="Arial"/>
        </w:rPr>
        <w:t>:</w:t>
      </w:r>
    </w:p>
    <w:p w14:paraId="3FC7DCBF" w14:textId="7FDA7516" w:rsidR="00836FDE" w:rsidRPr="00995FA4" w:rsidRDefault="00B1744C" w:rsidP="00792BDB">
      <w:pPr>
        <w:pStyle w:val="Numberlist2"/>
        <w:numPr>
          <w:ilvl w:val="0"/>
          <w:numId w:val="67"/>
        </w:numPr>
        <w:ind w:left="1134" w:hanging="567"/>
        <w:rPr>
          <w:rFonts w:cs="Arial"/>
        </w:rPr>
      </w:pPr>
      <w:r>
        <w:rPr>
          <w:rFonts w:cs="Arial"/>
        </w:rPr>
        <w:t xml:space="preserve">is </w:t>
      </w:r>
      <w:r w:rsidR="00836FDE" w:rsidRPr="00995FA4">
        <w:rPr>
          <w:rFonts w:cs="Arial"/>
        </w:rPr>
        <w:t xml:space="preserve">derived from the </w:t>
      </w:r>
      <w:r w:rsidR="00836FDE" w:rsidRPr="00995FA4">
        <w:rPr>
          <w:rFonts w:cs="Arial"/>
          <w:i/>
        </w:rPr>
        <w:t>audited</w:t>
      </w:r>
      <w:r w:rsidR="00836FDE" w:rsidRPr="00995FA4">
        <w:rPr>
          <w:rFonts w:cs="Arial"/>
        </w:rPr>
        <w:t xml:space="preserve"> </w:t>
      </w:r>
      <w:r w:rsidR="00836FDE" w:rsidRPr="00995FA4">
        <w:rPr>
          <w:rFonts w:cs="Arial"/>
          <w:i/>
        </w:rPr>
        <w:t xml:space="preserve">statutory </w:t>
      </w:r>
      <w:proofErr w:type="gramStart"/>
      <w:r w:rsidR="00836FDE" w:rsidRPr="00995FA4">
        <w:rPr>
          <w:rFonts w:cs="Arial"/>
          <w:i/>
        </w:rPr>
        <w:t>accounts</w:t>
      </w:r>
      <w:r w:rsidR="00836FDE" w:rsidRPr="00995FA4">
        <w:rPr>
          <w:rFonts w:cs="Arial"/>
        </w:rPr>
        <w:t>;</w:t>
      </w:r>
      <w:proofErr w:type="gramEnd"/>
    </w:p>
    <w:p w14:paraId="716C51E4" w14:textId="7ACAD821" w:rsidR="00836FDE" w:rsidRPr="00995FA4" w:rsidRDefault="00B1744C" w:rsidP="00792BDB">
      <w:pPr>
        <w:pStyle w:val="Numberlist2"/>
        <w:numPr>
          <w:ilvl w:val="0"/>
          <w:numId w:val="67"/>
        </w:numPr>
        <w:ind w:left="1134" w:hanging="567"/>
        <w:rPr>
          <w:rFonts w:cs="Arial"/>
        </w:rPr>
      </w:pPr>
      <w:r>
        <w:rPr>
          <w:rFonts w:cs="Arial"/>
        </w:rPr>
        <w:t xml:space="preserve">is </w:t>
      </w:r>
      <w:r w:rsidR="00836FDE" w:rsidRPr="00995FA4">
        <w:rPr>
          <w:rFonts w:cs="Arial"/>
        </w:rPr>
        <w:t xml:space="preserve">verifiable by reference to the </w:t>
      </w:r>
      <w:r w:rsidR="00836FDE" w:rsidRPr="00394DE4">
        <w:rPr>
          <w:rFonts w:cs="Arial"/>
          <w:i/>
          <w:iCs/>
        </w:rPr>
        <w:t xml:space="preserve">audited statutory </w:t>
      </w:r>
      <w:proofErr w:type="gramStart"/>
      <w:r w:rsidR="00836FDE" w:rsidRPr="00394DE4">
        <w:rPr>
          <w:rFonts w:cs="Arial"/>
          <w:i/>
          <w:iCs/>
        </w:rPr>
        <w:t>accounts</w:t>
      </w:r>
      <w:r w:rsidR="00836FDE" w:rsidRPr="00995FA4">
        <w:rPr>
          <w:rFonts w:cs="Arial"/>
        </w:rPr>
        <w:t>;</w:t>
      </w:r>
      <w:proofErr w:type="gramEnd"/>
    </w:p>
    <w:p w14:paraId="638E951B" w14:textId="20A00574" w:rsidR="00836FDE" w:rsidRPr="00995FA4" w:rsidRDefault="00B1744C" w:rsidP="00792BDB">
      <w:pPr>
        <w:pStyle w:val="Numberlist2"/>
        <w:numPr>
          <w:ilvl w:val="0"/>
          <w:numId w:val="67"/>
        </w:numPr>
        <w:ind w:left="1134" w:hanging="567"/>
        <w:rPr>
          <w:rFonts w:cs="Arial"/>
        </w:rPr>
      </w:pPr>
      <w:r>
        <w:rPr>
          <w:rFonts w:cs="Arial"/>
        </w:rPr>
        <w:t xml:space="preserve">is </w:t>
      </w:r>
      <w:r w:rsidR="005E7FCB" w:rsidRPr="00995FA4">
        <w:rPr>
          <w:rFonts w:cs="Arial"/>
        </w:rPr>
        <w:t xml:space="preserve">generally </w:t>
      </w:r>
      <w:r w:rsidR="00836FDE" w:rsidRPr="00995FA4">
        <w:rPr>
          <w:rFonts w:cs="Arial"/>
        </w:rPr>
        <w:t xml:space="preserve">prepared using the accrual basis of </w:t>
      </w:r>
      <w:proofErr w:type="gramStart"/>
      <w:r w:rsidR="00836FDE" w:rsidRPr="00995FA4">
        <w:rPr>
          <w:rFonts w:cs="Arial"/>
        </w:rPr>
        <w:t>accounting;</w:t>
      </w:r>
      <w:proofErr w:type="gramEnd"/>
      <w:r w:rsidR="00836FDE" w:rsidRPr="00995FA4">
        <w:rPr>
          <w:rFonts w:cs="Arial"/>
        </w:rPr>
        <w:t xml:space="preserve"> </w:t>
      </w:r>
    </w:p>
    <w:p w14:paraId="6FFB219F" w14:textId="6F06D71D" w:rsidR="00836FDE" w:rsidRPr="00995FA4" w:rsidRDefault="00B1744C" w:rsidP="00792BDB">
      <w:pPr>
        <w:pStyle w:val="Numberlist2"/>
        <w:numPr>
          <w:ilvl w:val="0"/>
          <w:numId w:val="67"/>
        </w:numPr>
        <w:ind w:left="1134" w:hanging="567"/>
        <w:rPr>
          <w:rFonts w:cs="Arial"/>
        </w:rPr>
      </w:pPr>
      <w:r>
        <w:rPr>
          <w:rFonts w:cs="Arial"/>
        </w:rPr>
        <w:t xml:space="preserve">is </w:t>
      </w:r>
      <w:r w:rsidR="00836FDE" w:rsidRPr="00995FA4">
        <w:rPr>
          <w:rFonts w:cs="Arial"/>
        </w:rPr>
        <w:t xml:space="preserve">presented on a fair and consistent basis, from the </w:t>
      </w:r>
      <w:r w:rsidR="00836FDE" w:rsidRPr="00792BDB">
        <w:rPr>
          <w:rFonts w:cs="Arial"/>
        </w:rPr>
        <w:t>accounting records</w:t>
      </w:r>
      <w:r w:rsidR="00836FDE" w:rsidRPr="00995FA4">
        <w:rPr>
          <w:rFonts w:cs="Arial"/>
        </w:rPr>
        <w:t xml:space="preserve"> that underlie the costs, revenue, assets and liabilities that may be reasonably attributed to </w:t>
      </w:r>
      <w:r w:rsidR="00836FDE" w:rsidRPr="00792BDB">
        <w:rPr>
          <w:rFonts w:cs="Arial"/>
        </w:rPr>
        <w:t xml:space="preserve">the </w:t>
      </w:r>
      <w:proofErr w:type="gramStart"/>
      <w:r w:rsidR="00375AB1" w:rsidRPr="00792BDB">
        <w:rPr>
          <w:rFonts w:cs="Arial"/>
        </w:rPr>
        <w:t>TNSP</w:t>
      </w:r>
      <w:r w:rsidR="00836FDE" w:rsidRPr="00995FA4">
        <w:rPr>
          <w:rFonts w:cs="Arial"/>
        </w:rPr>
        <w:t>;</w:t>
      </w:r>
      <w:proofErr w:type="gramEnd"/>
    </w:p>
    <w:p w14:paraId="1045B16C" w14:textId="2F82FFFF" w:rsidR="00836FDE" w:rsidRPr="00995FA4" w:rsidRDefault="00836FDE" w:rsidP="00792BDB">
      <w:pPr>
        <w:pStyle w:val="Numberlist2"/>
        <w:numPr>
          <w:ilvl w:val="0"/>
          <w:numId w:val="67"/>
        </w:numPr>
        <w:ind w:left="1134" w:hanging="567"/>
        <w:rPr>
          <w:rFonts w:cs="Arial"/>
        </w:rPr>
      </w:pPr>
      <w:r w:rsidRPr="00995FA4">
        <w:rPr>
          <w:rFonts w:cs="Arial"/>
        </w:rPr>
        <w:t xml:space="preserve">in so far as is reasonably practicable, </w:t>
      </w:r>
      <w:r w:rsidR="00B1744C">
        <w:rPr>
          <w:rFonts w:cs="Arial"/>
        </w:rPr>
        <w:t xml:space="preserve">is </w:t>
      </w:r>
      <w:r w:rsidRPr="00995FA4">
        <w:rPr>
          <w:rFonts w:cs="Arial"/>
        </w:rPr>
        <w:t>prepared in accordance with the general rules and format</w:t>
      </w:r>
      <w:r w:rsidR="005E7FCB">
        <w:rPr>
          <w:rFonts w:cs="Arial"/>
        </w:rPr>
        <w:t xml:space="preserve"> </w:t>
      </w:r>
      <w:bookmarkStart w:id="11" w:name="_Hlk125114821"/>
      <w:r w:rsidR="005E7FCB">
        <w:rPr>
          <w:rFonts w:cs="Arial"/>
        </w:rPr>
        <w:t xml:space="preserve">of the </w:t>
      </w:r>
      <w:r w:rsidR="005E7FCB" w:rsidRPr="00E2710D">
        <w:rPr>
          <w:rFonts w:cs="Arial"/>
          <w:i/>
          <w:iCs/>
        </w:rPr>
        <w:t>audited statutory accounts</w:t>
      </w:r>
      <w:bookmarkEnd w:id="11"/>
      <w:r w:rsidRPr="00995FA4">
        <w:rPr>
          <w:rFonts w:cs="Arial"/>
        </w:rPr>
        <w:t xml:space="preserve">, and use the accounting principles and policies applicable to the </w:t>
      </w:r>
      <w:r w:rsidRPr="00E2710D">
        <w:rPr>
          <w:rFonts w:cs="Arial"/>
          <w:i/>
          <w:iCs/>
        </w:rPr>
        <w:t>audited statutory accounts</w:t>
      </w:r>
      <w:r w:rsidRPr="00995FA4">
        <w:rPr>
          <w:rFonts w:cs="Arial"/>
        </w:rPr>
        <w:t xml:space="preserve"> except as otherwise required by this </w:t>
      </w:r>
      <w:proofErr w:type="gramStart"/>
      <w:r w:rsidRPr="00792BDB">
        <w:rPr>
          <w:rFonts w:cs="Arial"/>
        </w:rPr>
        <w:t>Order</w:t>
      </w:r>
      <w:r w:rsidRPr="00995FA4">
        <w:rPr>
          <w:rFonts w:cs="Arial"/>
        </w:rPr>
        <w:t>;</w:t>
      </w:r>
      <w:proofErr w:type="gramEnd"/>
    </w:p>
    <w:p w14:paraId="5CB43BFF" w14:textId="7807F447" w:rsidR="00836FDE" w:rsidRPr="00792BDB" w:rsidRDefault="00B1744C" w:rsidP="00792BDB">
      <w:pPr>
        <w:pStyle w:val="Numberlist2"/>
        <w:numPr>
          <w:ilvl w:val="0"/>
          <w:numId w:val="67"/>
        </w:numPr>
        <w:ind w:left="1134" w:hanging="567"/>
        <w:rPr>
          <w:rFonts w:cs="Arial"/>
        </w:rPr>
      </w:pPr>
      <w:r>
        <w:rPr>
          <w:rFonts w:cs="Arial"/>
        </w:rPr>
        <w:t xml:space="preserve">is </w:t>
      </w:r>
      <w:r w:rsidR="00836FDE" w:rsidRPr="00995FA4">
        <w:rPr>
          <w:rFonts w:cs="Arial"/>
        </w:rPr>
        <w:t>presented in an understandable manner, without sacrificing relevance or reliability;</w:t>
      </w:r>
      <w:r w:rsidR="00836FDE">
        <w:rPr>
          <w:rFonts w:cs="Arial"/>
        </w:rPr>
        <w:t xml:space="preserve"> and</w:t>
      </w:r>
    </w:p>
    <w:p w14:paraId="096E9595" w14:textId="464DB02A" w:rsidR="00836FDE" w:rsidRPr="00995FA4" w:rsidRDefault="00836FDE" w:rsidP="00792BDB">
      <w:pPr>
        <w:pStyle w:val="Numberlist2"/>
        <w:numPr>
          <w:ilvl w:val="0"/>
          <w:numId w:val="67"/>
        </w:numPr>
        <w:ind w:left="1134" w:hanging="567"/>
        <w:rPr>
          <w:rFonts w:cs="Arial"/>
        </w:rPr>
      </w:pPr>
      <w:r w:rsidRPr="00995FA4">
        <w:rPr>
          <w:rFonts w:cs="Arial"/>
        </w:rPr>
        <w:t>state</w:t>
      </w:r>
      <w:r w:rsidR="00B1744C">
        <w:rPr>
          <w:rFonts w:cs="Arial"/>
        </w:rPr>
        <w:t>s</w:t>
      </w:r>
      <w:r w:rsidRPr="00995FA4">
        <w:rPr>
          <w:rFonts w:cs="Arial"/>
        </w:rPr>
        <w:t xml:space="preserve"> fairly the financial performance of </w:t>
      </w:r>
      <w:r>
        <w:rPr>
          <w:rFonts w:cs="Arial"/>
        </w:rPr>
        <w:t xml:space="preserve">the </w:t>
      </w:r>
      <w:r w:rsidR="00375AB1" w:rsidRPr="00792BDB">
        <w:rPr>
          <w:rFonts w:cs="Arial"/>
        </w:rPr>
        <w:t>TNSP</w:t>
      </w:r>
      <w:r>
        <w:rPr>
          <w:rFonts w:cs="Arial"/>
        </w:rPr>
        <w:t>.</w:t>
      </w:r>
    </w:p>
    <w:p w14:paraId="726D36D7" w14:textId="77777777" w:rsidR="00836FDE" w:rsidRPr="00AA089B" w:rsidRDefault="00836FDE" w:rsidP="002A5B95">
      <w:pPr>
        <w:pStyle w:val="Heading3"/>
        <w:spacing w:before="240" w:after="240"/>
        <w:ind w:left="578" w:hanging="578"/>
        <w:rPr>
          <w:lang w:eastAsia="ja-JP"/>
        </w:rPr>
      </w:pPr>
      <w:bookmarkStart w:id="12" w:name="_Toc121724686"/>
      <w:bookmarkStart w:id="13" w:name="_Toc162703534"/>
      <w:r w:rsidRPr="00AA089B">
        <w:rPr>
          <w:lang w:eastAsia="ja-JP"/>
        </w:rPr>
        <w:lastRenderedPageBreak/>
        <w:t>C</w:t>
      </w:r>
      <w:r>
        <w:rPr>
          <w:lang w:eastAsia="ja-JP"/>
        </w:rPr>
        <w:t>ost allocation</w:t>
      </w:r>
      <w:bookmarkEnd w:id="12"/>
      <w:bookmarkEnd w:id="13"/>
      <w:r w:rsidRPr="00AA089B">
        <w:rPr>
          <w:lang w:eastAsia="ja-JP"/>
        </w:rPr>
        <w:t xml:space="preserve"> </w:t>
      </w:r>
    </w:p>
    <w:p w14:paraId="62DDBB68" w14:textId="2FDCE513" w:rsidR="00836FDE" w:rsidRPr="00995FA4" w:rsidRDefault="00075A2F" w:rsidP="00836FDE">
      <w:pPr>
        <w:pStyle w:val="Noparagraph"/>
        <w:ind w:left="567" w:hanging="567"/>
        <w:rPr>
          <w:rFonts w:cs="Arial"/>
        </w:rPr>
      </w:pPr>
      <w:r>
        <w:rPr>
          <w:rFonts w:cs="Arial"/>
        </w:rPr>
        <w:t xml:space="preserve">The </w:t>
      </w:r>
      <w:r w:rsidR="00E07BB0" w:rsidRPr="00E07BB0">
        <w:rPr>
          <w:rFonts w:cs="Arial"/>
          <w:i/>
        </w:rPr>
        <w:t>TNSP</w:t>
      </w:r>
      <w:r>
        <w:rPr>
          <w:rFonts w:cs="Arial"/>
        </w:rPr>
        <w:t xml:space="preserve"> must allocate a</w:t>
      </w:r>
      <w:r w:rsidR="00836FDE" w:rsidRPr="00995FA4">
        <w:rPr>
          <w:rFonts w:cs="Arial"/>
        </w:rPr>
        <w:t xml:space="preserve">ll costs that relate to or are incurred in the provision of </w:t>
      </w:r>
      <w:r w:rsidR="00A60265">
        <w:rPr>
          <w:rFonts w:cs="Arial"/>
          <w:i/>
        </w:rPr>
        <w:t>prescribed transmission</w:t>
      </w:r>
      <w:r w:rsidR="00836FDE" w:rsidRPr="00995FA4">
        <w:rPr>
          <w:rFonts w:cs="Arial"/>
        </w:rPr>
        <w:t xml:space="preserve"> </w:t>
      </w:r>
      <w:r w:rsidR="00836FDE" w:rsidRPr="00995FA4">
        <w:rPr>
          <w:rFonts w:cs="Arial"/>
          <w:i/>
        </w:rPr>
        <w:t>services</w:t>
      </w:r>
      <w:r w:rsidR="00836FDE" w:rsidRPr="00995FA4">
        <w:rPr>
          <w:rFonts w:cs="Arial"/>
        </w:rPr>
        <w:t xml:space="preserve"> in the </w:t>
      </w:r>
      <w:r w:rsidR="00836FDE" w:rsidRPr="00995FA4">
        <w:rPr>
          <w:rFonts w:cs="Arial"/>
          <w:i/>
        </w:rPr>
        <w:t>audited</w:t>
      </w:r>
      <w:r w:rsidR="00836FDE" w:rsidRPr="00995FA4">
        <w:rPr>
          <w:rFonts w:cs="Arial"/>
        </w:rPr>
        <w:t xml:space="preserve"> </w:t>
      </w:r>
      <w:r w:rsidR="00836FDE" w:rsidRPr="00995FA4">
        <w:rPr>
          <w:rFonts w:cs="Arial"/>
          <w:i/>
        </w:rPr>
        <w:t>statutory accounts</w:t>
      </w:r>
      <w:r w:rsidR="00836FDE" w:rsidRPr="00995FA4">
        <w:rPr>
          <w:rFonts w:cs="Arial"/>
        </w:rPr>
        <w:t>, to</w:t>
      </w:r>
      <w:r w:rsidR="00836FDE">
        <w:rPr>
          <w:rFonts w:cs="Arial"/>
        </w:rPr>
        <w:t xml:space="preserve"> the </w:t>
      </w:r>
      <w:r w:rsidR="00375AB1" w:rsidRPr="00375AB1">
        <w:rPr>
          <w:rFonts w:cs="Arial"/>
          <w:i/>
          <w:iCs w:val="0"/>
        </w:rPr>
        <w:t>TNSP</w:t>
      </w:r>
      <w:r w:rsidR="00836FDE" w:rsidRPr="00995FA4">
        <w:rPr>
          <w:rFonts w:cs="Arial"/>
        </w:rPr>
        <w:t xml:space="preserve"> in accordance with </w:t>
      </w:r>
      <w:r w:rsidR="00836FDE">
        <w:rPr>
          <w:rFonts w:cs="Arial"/>
        </w:rPr>
        <w:t>section 1.3.3</w:t>
      </w:r>
      <w:r w:rsidR="00836FDE" w:rsidRPr="00995FA4">
        <w:rPr>
          <w:rFonts w:cs="Arial"/>
        </w:rPr>
        <w:t>.</w:t>
      </w:r>
    </w:p>
    <w:p w14:paraId="6F6B74CC" w14:textId="24494F21" w:rsidR="00836FDE" w:rsidRPr="00995FA4" w:rsidRDefault="00836FDE" w:rsidP="00836FDE">
      <w:pPr>
        <w:pStyle w:val="Noparagraph"/>
        <w:ind w:left="567" w:hanging="567"/>
        <w:rPr>
          <w:rFonts w:cs="Arial"/>
        </w:rPr>
      </w:pPr>
      <w:r w:rsidRPr="00995FA4">
        <w:rPr>
          <w:rFonts w:cs="Arial"/>
        </w:rPr>
        <w:t xml:space="preserve">All costs allocated to </w:t>
      </w:r>
      <w:r>
        <w:rPr>
          <w:rFonts w:cs="Arial"/>
        </w:rPr>
        <w:t xml:space="preserve">the </w:t>
      </w:r>
      <w:r w:rsidR="00375AB1" w:rsidRPr="00375AB1">
        <w:rPr>
          <w:rFonts w:cs="Arial"/>
          <w:i/>
          <w:iCs w:val="0"/>
        </w:rPr>
        <w:t>TNSP</w:t>
      </w:r>
      <w:r w:rsidRPr="00995FA4">
        <w:rPr>
          <w:rFonts w:cs="Arial"/>
        </w:rPr>
        <w:t xml:space="preserve"> in the response to</w:t>
      </w:r>
      <w:r>
        <w:rPr>
          <w:rFonts w:cs="Arial"/>
        </w:rPr>
        <w:t xml:space="preserve"> section 1.3.1</w:t>
      </w:r>
      <w:r w:rsidRPr="00995FA4">
        <w:rPr>
          <w:rFonts w:cs="Arial"/>
        </w:rPr>
        <w:t xml:space="preserve"> must in turn be allocated in accordance with </w:t>
      </w:r>
      <w:r>
        <w:rPr>
          <w:rFonts w:cs="Arial"/>
        </w:rPr>
        <w:t>section 1.3.3</w:t>
      </w:r>
      <w:r w:rsidRPr="00995FA4">
        <w:rPr>
          <w:rFonts w:cs="Arial"/>
        </w:rPr>
        <w:t xml:space="preserve"> to:</w:t>
      </w:r>
    </w:p>
    <w:p w14:paraId="086CA528" w14:textId="1E6B14E5" w:rsidR="00836FDE" w:rsidRPr="00995FA4" w:rsidRDefault="00836FDE" w:rsidP="00B0496A">
      <w:pPr>
        <w:numPr>
          <w:ilvl w:val="2"/>
          <w:numId w:val="34"/>
        </w:numPr>
        <w:spacing w:before="120" w:after="120" w:line="288" w:lineRule="auto"/>
        <w:jc w:val="both"/>
        <w:rPr>
          <w:rFonts w:cs="Arial"/>
        </w:rPr>
      </w:pPr>
      <w:r w:rsidRPr="00995FA4">
        <w:rPr>
          <w:rFonts w:cs="Arial"/>
        </w:rPr>
        <w:t xml:space="preserve">a </w:t>
      </w:r>
      <w:r w:rsidR="002A5B95">
        <w:rPr>
          <w:rFonts w:cs="Arial"/>
          <w:i/>
        </w:rPr>
        <w:t xml:space="preserve">prescribed transmission </w:t>
      </w:r>
      <w:proofErr w:type="gramStart"/>
      <w:r w:rsidR="002A5B95">
        <w:rPr>
          <w:rFonts w:cs="Arial"/>
          <w:i/>
        </w:rPr>
        <w:t>service</w:t>
      </w:r>
      <w:r w:rsidRPr="00995FA4">
        <w:rPr>
          <w:rFonts w:cs="Arial"/>
        </w:rPr>
        <w:t>;</w:t>
      </w:r>
      <w:proofErr w:type="gramEnd"/>
    </w:p>
    <w:p w14:paraId="2681C878" w14:textId="77777777" w:rsidR="00836FDE" w:rsidRPr="00995FA4" w:rsidRDefault="00836FDE" w:rsidP="00B0496A">
      <w:pPr>
        <w:numPr>
          <w:ilvl w:val="2"/>
          <w:numId w:val="34"/>
        </w:numPr>
        <w:spacing w:before="120" w:after="120" w:line="288" w:lineRule="auto"/>
        <w:jc w:val="both"/>
        <w:rPr>
          <w:rFonts w:cs="Arial"/>
        </w:rPr>
      </w:pPr>
      <w:r w:rsidRPr="00995FA4">
        <w:rPr>
          <w:rFonts w:cs="Arial"/>
        </w:rPr>
        <w:t xml:space="preserve">a </w:t>
      </w:r>
      <w:r w:rsidRPr="00995FA4">
        <w:rPr>
          <w:rFonts w:cs="Arial"/>
          <w:i/>
        </w:rPr>
        <w:t>negotiated</w:t>
      </w:r>
      <w:r w:rsidRPr="00995FA4">
        <w:rPr>
          <w:rFonts w:cs="Arial"/>
        </w:rPr>
        <w:t xml:space="preserve"> </w:t>
      </w:r>
      <w:r w:rsidRPr="00995FA4">
        <w:rPr>
          <w:rFonts w:cs="Arial"/>
          <w:i/>
        </w:rPr>
        <w:t xml:space="preserve">service; </w:t>
      </w:r>
      <w:r w:rsidRPr="00995FA4">
        <w:rPr>
          <w:rFonts w:cs="Arial"/>
        </w:rPr>
        <w:t>or</w:t>
      </w:r>
    </w:p>
    <w:p w14:paraId="5BF46082" w14:textId="77777777" w:rsidR="00836FDE" w:rsidRPr="00995FA4" w:rsidRDefault="00836FDE" w:rsidP="00B0496A">
      <w:pPr>
        <w:numPr>
          <w:ilvl w:val="2"/>
          <w:numId w:val="34"/>
        </w:numPr>
        <w:spacing w:before="120" w:after="120" w:line="288" w:lineRule="auto"/>
        <w:jc w:val="both"/>
        <w:rPr>
          <w:rFonts w:cs="Arial"/>
        </w:rPr>
      </w:pPr>
      <w:r w:rsidRPr="00995FA4">
        <w:rPr>
          <w:rFonts w:cs="Arial"/>
        </w:rPr>
        <w:t>an</w:t>
      </w:r>
      <w:r w:rsidRPr="00995FA4">
        <w:rPr>
          <w:rFonts w:cs="Arial"/>
          <w:i/>
        </w:rPr>
        <w:t xml:space="preserve"> </w:t>
      </w:r>
      <w:r>
        <w:rPr>
          <w:rFonts w:cs="Arial"/>
          <w:i/>
        </w:rPr>
        <w:t xml:space="preserve">unclassified or </w:t>
      </w:r>
      <w:r w:rsidRPr="00995FA4">
        <w:rPr>
          <w:rFonts w:cs="Arial"/>
          <w:i/>
        </w:rPr>
        <w:t>unregulated service.</w:t>
      </w:r>
    </w:p>
    <w:p w14:paraId="49274EEA" w14:textId="7EAEC15E" w:rsidR="00836FDE" w:rsidRPr="00995FA4" w:rsidRDefault="00836FDE" w:rsidP="00836FDE">
      <w:pPr>
        <w:pStyle w:val="Noparagraph"/>
        <w:ind w:left="567" w:hanging="567"/>
        <w:rPr>
          <w:rFonts w:cs="Arial"/>
        </w:rPr>
      </w:pPr>
      <w:r w:rsidRPr="00995FA4">
        <w:rPr>
          <w:rFonts w:cs="Arial"/>
        </w:rPr>
        <w:t>A cost allocated to</w:t>
      </w:r>
      <w:r>
        <w:rPr>
          <w:rFonts w:cs="Arial"/>
        </w:rPr>
        <w:t xml:space="preserve"> the</w:t>
      </w:r>
      <w:r w:rsidRPr="00812739">
        <w:rPr>
          <w:rFonts w:cs="Arial"/>
          <w:i/>
          <w:iCs w:val="0"/>
        </w:rPr>
        <w:t xml:space="preserve"> </w:t>
      </w:r>
      <w:r w:rsidR="00375AB1" w:rsidRPr="00375AB1">
        <w:rPr>
          <w:rFonts w:cs="Arial"/>
          <w:i/>
          <w:iCs w:val="0"/>
        </w:rPr>
        <w:t>TNSP</w:t>
      </w:r>
      <w:r w:rsidRPr="00995FA4">
        <w:rPr>
          <w:rFonts w:cs="Arial"/>
        </w:rPr>
        <w:t xml:space="preserve"> that is:</w:t>
      </w:r>
    </w:p>
    <w:p w14:paraId="040B523C" w14:textId="287427F8" w:rsidR="00836FDE" w:rsidRPr="00995FA4" w:rsidRDefault="00836FDE" w:rsidP="00B0496A">
      <w:pPr>
        <w:numPr>
          <w:ilvl w:val="2"/>
          <w:numId w:val="33"/>
        </w:numPr>
        <w:spacing w:after="240" w:line="288" w:lineRule="auto"/>
        <w:jc w:val="both"/>
        <w:rPr>
          <w:rFonts w:cs="Arial"/>
        </w:rPr>
      </w:pPr>
      <w:r w:rsidRPr="00995FA4">
        <w:rPr>
          <w:rFonts w:cs="Arial"/>
          <w:i/>
        </w:rPr>
        <w:t>directly attributable</w:t>
      </w:r>
      <w:r w:rsidRPr="00995FA4">
        <w:rPr>
          <w:rFonts w:cs="Arial"/>
        </w:rPr>
        <w:t xml:space="preserve"> to </w:t>
      </w:r>
      <w:r>
        <w:rPr>
          <w:rFonts w:cs="Arial"/>
        </w:rPr>
        <w:t>the</w:t>
      </w:r>
      <w:r w:rsidRPr="00812739">
        <w:rPr>
          <w:rFonts w:cs="Arial"/>
          <w:i/>
          <w:iCs/>
        </w:rPr>
        <w:t xml:space="preserve"> </w:t>
      </w:r>
      <w:r w:rsidR="00375AB1" w:rsidRPr="00375AB1">
        <w:rPr>
          <w:rFonts w:cs="Arial"/>
          <w:i/>
          <w:iCs/>
        </w:rPr>
        <w:t>TNSP</w:t>
      </w:r>
      <w:r w:rsidRPr="00995FA4">
        <w:rPr>
          <w:rFonts w:cs="Arial"/>
        </w:rPr>
        <w:t xml:space="preserve"> </w:t>
      </w:r>
      <w:r w:rsidR="008E29A6">
        <w:rPr>
          <w:rFonts w:cs="Arial"/>
        </w:rPr>
        <w:t>must</w:t>
      </w:r>
      <w:r w:rsidRPr="00995FA4">
        <w:rPr>
          <w:rFonts w:cs="Arial"/>
        </w:rPr>
        <w:t xml:space="preserve"> be allocated to </w:t>
      </w:r>
      <w:r>
        <w:rPr>
          <w:rFonts w:cs="Arial"/>
        </w:rPr>
        <w:t>the</w:t>
      </w:r>
      <w:r w:rsidRPr="00812739">
        <w:rPr>
          <w:rFonts w:cs="Arial"/>
          <w:i/>
          <w:iCs/>
        </w:rPr>
        <w:t xml:space="preserve"> </w:t>
      </w:r>
      <w:proofErr w:type="gramStart"/>
      <w:r w:rsidR="00375AB1" w:rsidRPr="00375AB1">
        <w:rPr>
          <w:rFonts w:cs="Arial"/>
          <w:i/>
          <w:iCs/>
        </w:rPr>
        <w:t>TNSP</w:t>
      </w:r>
      <w:r w:rsidRPr="00995FA4">
        <w:rPr>
          <w:rFonts w:cs="Arial"/>
        </w:rPr>
        <w:t>;</w:t>
      </w:r>
      <w:proofErr w:type="gramEnd"/>
    </w:p>
    <w:p w14:paraId="415E7880" w14:textId="6311C9D8" w:rsidR="00836FDE" w:rsidRPr="00995FA4" w:rsidRDefault="00836FDE" w:rsidP="00B0496A">
      <w:pPr>
        <w:numPr>
          <w:ilvl w:val="2"/>
          <w:numId w:val="33"/>
        </w:numPr>
        <w:spacing w:after="240" w:line="288" w:lineRule="auto"/>
        <w:jc w:val="both"/>
        <w:rPr>
          <w:rFonts w:cs="Arial"/>
        </w:rPr>
      </w:pPr>
      <w:r w:rsidRPr="00995FA4">
        <w:rPr>
          <w:rFonts w:cs="Arial"/>
        </w:rPr>
        <w:t xml:space="preserve">not </w:t>
      </w:r>
      <w:r w:rsidRPr="00995FA4">
        <w:rPr>
          <w:rFonts w:cs="Arial"/>
          <w:i/>
        </w:rPr>
        <w:t>directly attributable</w:t>
      </w:r>
      <w:r w:rsidRPr="00995FA4">
        <w:rPr>
          <w:rFonts w:cs="Arial"/>
        </w:rPr>
        <w:t xml:space="preserve"> to </w:t>
      </w:r>
      <w:r>
        <w:rPr>
          <w:rFonts w:cs="Arial"/>
        </w:rPr>
        <w:t>the</w:t>
      </w:r>
      <w:r w:rsidRPr="00812739">
        <w:rPr>
          <w:rFonts w:cs="Arial"/>
          <w:i/>
          <w:iCs/>
        </w:rPr>
        <w:t xml:space="preserve"> </w:t>
      </w:r>
      <w:r w:rsidR="00375AB1" w:rsidRPr="00375AB1">
        <w:rPr>
          <w:rFonts w:cs="Arial"/>
          <w:i/>
          <w:iCs/>
        </w:rPr>
        <w:t>TNSP</w:t>
      </w:r>
      <w:r>
        <w:rPr>
          <w:rFonts w:cs="Arial"/>
          <w:i/>
          <w:iCs/>
        </w:rPr>
        <w:t xml:space="preserve"> </w:t>
      </w:r>
      <w:r w:rsidR="008E29A6">
        <w:rPr>
          <w:rFonts w:cs="Arial"/>
        </w:rPr>
        <w:t>must</w:t>
      </w:r>
      <w:r w:rsidRPr="00995FA4">
        <w:rPr>
          <w:rFonts w:cs="Arial"/>
        </w:rPr>
        <w:t xml:space="preserve"> be allocated to </w:t>
      </w:r>
      <w:r>
        <w:rPr>
          <w:rFonts w:cs="Arial"/>
        </w:rPr>
        <w:t>the</w:t>
      </w:r>
      <w:r w:rsidRPr="00812739">
        <w:rPr>
          <w:rFonts w:cs="Arial"/>
          <w:i/>
          <w:iCs/>
        </w:rPr>
        <w:t xml:space="preserve"> </w:t>
      </w:r>
      <w:r w:rsidR="00375AB1" w:rsidRPr="00375AB1">
        <w:rPr>
          <w:rFonts w:cs="Arial"/>
          <w:i/>
          <w:iCs/>
        </w:rPr>
        <w:t>TNSP</w:t>
      </w:r>
      <w:r w:rsidRPr="00995FA4">
        <w:rPr>
          <w:rFonts w:cs="Arial"/>
        </w:rPr>
        <w:t xml:space="preserve"> on a causation basis using an appropriate allocator, determined in accordance with </w:t>
      </w:r>
      <w:r w:rsidRPr="00644E24">
        <w:rPr>
          <w:rFonts w:cs="Arial"/>
        </w:rPr>
        <w:t>section 4.</w:t>
      </w:r>
      <w:r w:rsidR="00F91B6E">
        <w:rPr>
          <w:rFonts w:cs="Arial"/>
        </w:rPr>
        <w:t>5</w:t>
      </w:r>
      <w:r>
        <w:rPr>
          <w:rFonts w:cs="Arial"/>
        </w:rPr>
        <w:t xml:space="preserve"> of the </w:t>
      </w:r>
      <w:r w:rsidRPr="00A40973">
        <w:rPr>
          <w:rFonts w:cs="Arial"/>
          <w:i/>
          <w:iCs/>
        </w:rPr>
        <w:t>Order</w:t>
      </w:r>
      <w:r w:rsidR="00F97613">
        <w:rPr>
          <w:rFonts w:cs="Arial"/>
          <w:i/>
          <w:iCs/>
        </w:rPr>
        <w:t xml:space="preserve">, </w:t>
      </w:r>
      <w:r w:rsidR="00F97613" w:rsidRPr="00995FA4">
        <w:rPr>
          <w:rFonts w:cs="Arial"/>
        </w:rPr>
        <w:t xml:space="preserve">unless the </w:t>
      </w:r>
      <w:r w:rsidR="00F97613" w:rsidRPr="00995FA4">
        <w:rPr>
          <w:rFonts w:cs="Arial"/>
          <w:i/>
        </w:rPr>
        <w:t>item</w:t>
      </w:r>
      <w:r w:rsidR="00F97613" w:rsidRPr="00995FA4">
        <w:rPr>
          <w:rFonts w:cs="Arial"/>
        </w:rPr>
        <w:t xml:space="preserve"> is not </w:t>
      </w:r>
      <w:proofErr w:type="gramStart"/>
      <w:r w:rsidR="00F97613" w:rsidRPr="00995FA4">
        <w:rPr>
          <w:rFonts w:cs="Arial"/>
          <w:i/>
        </w:rPr>
        <w:t>material</w:t>
      </w:r>
      <w:r w:rsidRPr="00995FA4">
        <w:rPr>
          <w:rFonts w:cs="Arial"/>
        </w:rPr>
        <w:t>;</w:t>
      </w:r>
      <w:proofErr w:type="gramEnd"/>
    </w:p>
    <w:p w14:paraId="6041A2E3" w14:textId="084972E9" w:rsidR="00836FDE" w:rsidRPr="00995FA4" w:rsidRDefault="00836FDE" w:rsidP="00B0496A">
      <w:pPr>
        <w:numPr>
          <w:ilvl w:val="2"/>
          <w:numId w:val="33"/>
        </w:numPr>
        <w:spacing w:after="240" w:line="288" w:lineRule="auto"/>
        <w:jc w:val="both"/>
        <w:rPr>
          <w:rFonts w:cs="Arial"/>
        </w:rPr>
      </w:pPr>
      <w:r w:rsidRPr="00995FA4">
        <w:rPr>
          <w:rFonts w:cs="Arial"/>
          <w:i/>
        </w:rPr>
        <w:t>directly attributable</w:t>
      </w:r>
      <w:r w:rsidRPr="00995FA4">
        <w:rPr>
          <w:rFonts w:cs="Arial"/>
        </w:rPr>
        <w:t xml:space="preserve"> to </w:t>
      </w:r>
      <w:r>
        <w:rPr>
          <w:rFonts w:cs="Arial"/>
        </w:rPr>
        <w:t>the</w:t>
      </w:r>
      <w:r w:rsidRPr="00812739">
        <w:rPr>
          <w:rFonts w:cs="Arial"/>
          <w:i/>
          <w:iCs/>
        </w:rPr>
        <w:t xml:space="preserve"> </w:t>
      </w:r>
      <w:r w:rsidR="00375AB1" w:rsidRPr="00375AB1">
        <w:rPr>
          <w:rFonts w:cs="Arial"/>
          <w:i/>
          <w:iCs/>
        </w:rPr>
        <w:t>TNSP</w:t>
      </w:r>
      <w:r w:rsidRPr="00995FA4">
        <w:rPr>
          <w:rFonts w:cs="Arial"/>
        </w:rPr>
        <w:t xml:space="preserve"> but not </w:t>
      </w:r>
      <w:r w:rsidRPr="00995FA4">
        <w:rPr>
          <w:rFonts w:cs="Arial"/>
          <w:i/>
        </w:rPr>
        <w:t>directly attributable</w:t>
      </w:r>
      <w:r w:rsidRPr="00995FA4">
        <w:rPr>
          <w:rFonts w:cs="Arial"/>
        </w:rPr>
        <w:t xml:space="preserve"> to a </w:t>
      </w:r>
      <w:r w:rsidR="002A5B95">
        <w:rPr>
          <w:rFonts w:cs="Arial"/>
          <w:i/>
        </w:rPr>
        <w:t>prescribed transmission</w:t>
      </w:r>
      <w:r w:rsidRPr="00995FA4">
        <w:rPr>
          <w:rFonts w:cs="Arial"/>
          <w:i/>
        </w:rPr>
        <w:t xml:space="preserve"> service</w:t>
      </w:r>
      <w:r w:rsidRPr="00995FA4">
        <w:rPr>
          <w:rFonts w:cs="Arial"/>
        </w:rPr>
        <w:t xml:space="preserve">, a </w:t>
      </w:r>
      <w:r w:rsidRPr="00995FA4">
        <w:rPr>
          <w:rFonts w:cs="Arial"/>
          <w:i/>
        </w:rPr>
        <w:t>negotiated service</w:t>
      </w:r>
      <w:r w:rsidRPr="00995FA4">
        <w:rPr>
          <w:rFonts w:cs="Arial"/>
        </w:rPr>
        <w:t xml:space="preserve"> or an </w:t>
      </w:r>
      <w:r w:rsidRPr="0032079F">
        <w:rPr>
          <w:rFonts w:cs="Arial"/>
          <w:i/>
        </w:rPr>
        <w:t xml:space="preserve">unclassified </w:t>
      </w:r>
      <w:r>
        <w:rPr>
          <w:rFonts w:cs="Arial"/>
        </w:rPr>
        <w:t xml:space="preserve">or </w:t>
      </w:r>
      <w:r w:rsidRPr="00995FA4">
        <w:rPr>
          <w:rFonts w:cs="Arial"/>
          <w:i/>
        </w:rPr>
        <w:t>unregulated service</w:t>
      </w:r>
      <w:r>
        <w:rPr>
          <w:rFonts w:cs="Arial"/>
          <w:i/>
        </w:rPr>
        <w:t>,</w:t>
      </w:r>
      <w:r w:rsidRPr="00995FA4">
        <w:rPr>
          <w:rFonts w:cs="Arial"/>
          <w:i/>
        </w:rPr>
        <w:t xml:space="preserve"> </w:t>
      </w:r>
      <w:r w:rsidR="00A77B63">
        <w:rPr>
          <w:rFonts w:cs="Arial"/>
        </w:rPr>
        <w:t>must</w:t>
      </w:r>
      <w:r w:rsidRPr="00995FA4">
        <w:rPr>
          <w:rFonts w:cs="Arial"/>
        </w:rPr>
        <w:t xml:space="preserve"> be allocated in accordance with the approved </w:t>
      </w:r>
      <w:r w:rsidRPr="00995FA4">
        <w:rPr>
          <w:rFonts w:cs="Arial"/>
          <w:i/>
        </w:rPr>
        <w:t xml:space="preserve">cost allocation </w:t>
      </w:r>
      <w:proofErr w:type="gramStart"/>
      <w:r w:rsidRPr="00995FA4">
        <w:rPr>
          <w:rFonts w:cs="Arial"/>
          <w:i/>
        </w:rPr>
        <w:t>method</w:t>
      </w:r>
      <w:r w:rsidRPr="00995FA4">
        <w:rPr>
          <w:rFonts w:cs="Arial"/>
        </w:rPr>
        <w:t>;</w:t>
      </w:r>
      <w:proofErr w:type="gramEnd"/>
    </w:p>
    <w:p w14:paraId="5112B6E1" w14:textId="7D1F8573" w:rsidR="00836FDE" w:rsidRPr="00995FA4" w:rsidRDefault="00836FDE" w:rsidP="00B0496A">
      <w:pPr>
        <w:numPr>
          <w:ilvl w:val="2"/>
          <w:numId w:val="33"/>
        </w:numPr>
        <w:spacing w:after="240" w:line="288" w:lineRule="auto"/>
        <w:jc w:val="both"/>
        <w:rPr>
          <w:rFonts w:cs="Arial"/>
          <w:b/>
        </w:rPr>
      </w:pPr>
      <w:r w:rsidRPr="00995FA4">
        <w:rPr>
          <w:rFonts w:cs="Arial"/>
          <w:i/>
        </w:rPr>
        <w:t>capital expenditure</w:t>
      </w:r>
      <w:r w:rsidRPr="00995FA4">
        <w:rPr>
          <w:rFonts w:cs="Arial"/>
        </w:rPr>
        <w:t xml:space="preserve"> </w:t>
      </w:r>
      <w:r w:rsidR="00A77B63">
        <w:rPr>
          <w:rFonts w:cs="Arial"/>
        </w:rPr>
        <w:t>must</w:t>
      </w:r>
      <w:r w:rsidRPr="00995FA4">
        <w:rPr>
          <w:rFonts w:cs="Arial"/>
        </w:rPr>
        <w:t xml:space="preserve"> be allocated to an a</w:t>
      </w:r>
      <w:r w:rsidRPr="00995FA4">
        <w:rPr>
          <w:rFonts w:cs="Arial"/>
          <w:i/>
        </w:rPr>
        <w:t>sset class</w:t>
      </w:r>
      <w:r w:rsidRPr="00995FA4">
        <w:rPr>
          <w:rFonts w:cs="Arial"/>
        </w:rPr>
        <w:t xml:space="preserve"> on a </w:t>
      </w:r>
      <w:r w:rsidRPr="00995FA4">
        <w:rPr>
          <w:rFonts w:cs="Arial"/>
          <w:i/>
        </w:rPr>
        <w:t>directly attributable</w:t>
      </w:r>
      <w:r w:rsidRPr="00995FA4">
        <w:rPr>
          <w:rFonts w:cs="Arial"/>
        </w:rPr>
        <w:t xml:space="preserve"> basis or a causation basis using an appropriate allocator; and</w:t>
      </w:r>
    </w:p>
    <w:p w14:paraId="55FEBC77" w14:textId="018D6BFB" w:rsidR="00836FDE" w:rsidRPr="00995FA4" w:rsidRDefault="00836FDE" w:rsidP="00B0496A">
      <w:pPr>
        <w:numPr>
          <w:ilvl w:val="2"/>
          <w:numId w:val="33"/>
        </w:numPr>
        <w:spacing w:after="240" w:line="288" w:lineRule="auto"/>
        <w:jc w:val="both"/>
        <w:rPr>
          <w:rFonts w:cs="Arial"/>
          <w:b/>
        </w:rPr>
      </w:pPr>
      <w:r w:rsidRPr="00995FA4">
        <w:rPr>
          <w:rFonts w:cs="Arial"/>
          <w:i/>
        </w:rPr>
        <w:t xml:space="preserve">operating expenditure </w:t>
      </w:r>
      <w:r w:rsidR="00A77B63">
        <w:rPr>
          <w:rFonts w:cs="Arial"/>
        </w:rPr>
        <w:t>must</w:t>
      </w:r>
      <w:r w:rsidRPr="00995FA4">
        <w:rPr>
          <w:rFonts w:cs="Arial"/>
        </w:rPr>
        <w:t xml:space="preserve"> be allocated to an </w:t>
      </w:r>
      <w:r w:rsidR="005D526D" w:rsidRPr="005D526D">
        <w:rPr>
          <w:rFonts w:cs="Arial"/>
          <w:i/>
        </w:rPr>
        <w:t>operating expenditure</w:t>
      </w:r>
      <w:r w:rsidRPr="00995FA4">
        <w:rPr>
          <w:rFonts w:cs="Arial"/>
          <w:i/>
        </w:rPr>
        <w:t xml:space="preserve"> category </w:t>
      </w:r>
      <w:r w:rsidRPr="00995FA4">
        <w:rPr>
          <w:rFonts w:cs="Arial"/>
        </w:rPr>
        <w:t xml:space="preserve">on a </w:t>
      </w:r>
      <w:r w:rsidRPr="00995FA4">
        <w:rPr>
          <w:rFonts w:cs="Arial"/>
          <w:i/>
        </w:rPr>
        <w:t>directly attributable</w:t>
      </w:r>
      <w:r w:rsidRPr="00995FA4">
        <w:rPr>
          <w:rFonts w:cs="Arial"/>
        </w:rPr>
        <w:t xml:space="preserve"> basis or a causation basis using an appropriate allocator.</w:t>
      </w:r>
    </w:p>
    <w:p w14:paraId="2890FC32" w14:textId="6AF537BC" w:rsidR="00836FDE" w:rsidRPr="00FD0689" w:rsidRDefault="00836FDE" w:rsidP="00836FDE">
      <w:pPr>
        <w:spacing w:after="240" w:line="288" w:lineRule="auto"/>
        <w:ind w:left="567"/>
        <w:jc w:val="both"/>
        <w:rPr>
          <w:rFonts w:cs="Arial"/>
          <w:bCs/>
        </w:rPr>
      </w:pPr>
      <w:r w:rsidRPr="00F91B6E">
        <w:rPr>
          <w:rFonts w:cs="Arial"/>
          <w:b/>
        </w:rPr>
        <w:t xml:space="preserve">Note: </w:t>
      </w:r>
      <w:r w:rsidRPr="00F91B6E">
        <w:rPr>
          <w:rFonts w:cs="Arial"/>
          <w:bCs/>
        </w:rPr>
        <w:t xml:space="preserve">See </w:t>
      </w:r>
      <w:r w:rsidR="00F91B6E">
        <w:rPr>
          <w:rFonts w:cs="Arial"/>
          <w:bCs/>
        </w:rPr>
        <w:t>section</w:t>
      </w:r>
      <w:r w:rsidRPr="00F91B6E">
        <w:rPr>
          <w:rFonts w:cs="Arial"/>
          <w:bCs/>
        </w:rPr>
        <w:t xml:space="preserve"> 4.5 of the </w:t>
      </w:r>
      <w:r w:rsidRPr="00F91B6E">
        <w:rPr>
          <w:rFonts w:cs="Arial"/>
          <w:bCs/>
          <w:i/>
          <w:iCs/>
        </w:rPr>
        <w:t>Order</w:t>
      </w:r>
      <w:r w:rsidRPr="00F91B6E">
        <w:rPr>
          <w:rFonts w:cs="Arial"/>
          <w:bCs/>
        </w:rPr>
        <w:t>.</w:t>
      </w:r>
    </w:p>
    <w:p w14:paraId="5D27D145" w14:textId="77777777" w:rsidR="00836FDE" w:rsidRPr="00FD0689" w:rsidRDefault="00836FDE" w:rsidP="00836FDE">
      <w:pPr>
        <w:pStyle w:val="Heading3"/>
        <w:spacing w:after="240"/>
        <w:ind w:left="578" w:hanging="578"/>
        <w:rPr>
          <w:lang w:eastAsia="ja-JP"/>
        </w:rPr>
      </w:pPr>
      <w:bookmarkStart w:id="14" w:name="_Toc121724687"/>
      <w:bookmarkStart w:id="15" w:name="_Toc162703535"/>
      <w:r>
        <w:rPr>
          <w:lang w:eastAsia="ja-JP"/>
        </w:rPr>
        <w:t>C</w:t>
      </w:r>
      <w:r w:rsidRPr="00FD0689">
        <w:rPr>
          <w:lang w:eastAsia="ja-JP"/>
        </w:rPr>
        <w:t>ustomer and government contributions</w:t>
      </w:r>
      <w:bookmarkEnd w:id="14"/>
      <w:bookmarkEnd w:id="15"/>
    </w:p>
    <w:p w14:paraId="5B942C5D" w14:textId="12FE6067" w:rsidR="00836FDE" w:rsidRPr="00995FA4" w:rsidRDefault="00075A2F" w:rsidP="00836FDE">
      <w:pPr>
        <w:pStyle w:val="Noparagraph"/>
        <w:ind w:left="567" w:hanging="567"/>
        <w:rPr>
          <w:rFonts w:cs="Arial"/>
        </w:rPr>
      </w:pPr>
      <w:r>
        <w:rPr>
          <w:rFonts w:cs="Arial"/>
          <w:iCs w:val="0"/>
        </w:rPr>
        <w:t>The</w:t>
      </w:r>
      <w:r w:rsidR="00F97613">
        <w:rPr>
          <w:rFonts w:cs="Arial"/>
          <w:iCs w:val="0"/>
        </w:rPr>
        <w:t xml:space="preserve"> </w:t>
      </w:r>
      <w:r w:rsidR="00F97613">
        <w:rPr>
          <w:rFonts w:cs="Arial"/>
          <w:i/>
        </w:rPr>
        <w:t xml:space="preserve">TNSP </w:t>
      </w:r>
      <w:bookmarkStart w:id="16" w:name="_Hlk124504965"/>
      <w:r w:rsidR="00EB244C">
        <w:rPr>
          <w:rFonts w:cs="Arial"/>
          <w:iCs w:val="0"/>
        </w:rPr>
        <w:t xml:space="preserve">must not carry forward into the asset base </w:t>
      </w:r>
      <w:r w:rsidR="00836FDE" w:rsidRPr="00995FA4">
        <w:rPr>
          <w:rFonts w:cs="Arial"/>
          <w:i/>
        </w:rPr>
        <w:t>C</w:t>
      </w:r>
      <w:r w:rsidR="00836FDE">
        <w:rPr>
          <w:rFonts w:cs="Arial"/>
          <w:i/>
        </w:rPr>
        <w:t xml:space="preserve">apital </w:t>
      </w:r>
      <w:r w:rsidR="00836FDE" w:rsidRPr="00995FA4">
        <w:rPr>
          <w:rFonts w:cs="Arial"/>
          <w:i/>
        </w:rPr>
        <w:t>contributions</w:t>
      </w:r>
      <w:r w:rsidR="00836FDE">
        <w:rPr>
          <w:rFonts w:cs="Arial"/>
          <w:i/>
        </w:rPr>
        <w:t xml:space="preserve"> </w:t>
      </w:r>
      <w:r w:rsidR="00836FDE" w:rsidRPr="00995FA4">
        <w:rPr>
          <w:rFonts w:cs="Arial"/>
        </w:rPr>
        <w:t xml:space="preserve">treated as revenues in </w:t>
      </w:r>
      <w:r w:rsidR="00836FDE" w:rsidRPr="00995FA4">
        <w:rPr>
          <w:rFonts w:cs="Arial"/>
          <w:i/>
        </w:rPr>
        <w:t xml:space="preserve">audited statutory </w:t>
      </w:r>
      <w:r w:rsidR="000C599B" w:rsidRPr="00995FA4">
        <w:rPr>
          <w:rFonts w:cs="Arial"/>
          <w:i/>
        </w:rPr>
        <w:t>accounts</w:t>
      </w:r>
      <w:r w:rsidR="000C599B">
        <w:rPr>
          <w:rFonts w:cs="Arial"/>
          <w:i/>
        </w:rPr>
        <w:t xml:space="preserve"> and</w:t>
      </w:r>
      <w:r w:rsidR="00836FDE" w:rsidRPr="00995FA4">
        <w:rPr>
          <w:rFonts w:cs="Arial"/>
        </w:rPr>
        <w:t xml:space="preserve"> included in the value of assets</w:t>
      </w:r>
      <w:r w:rsidR="00EB244C">
        <w:rPr>
          <w:rFonts w:cs="Arial"/>
        </w:rPr>
        <w:t xml:space="preserve"> in those accounts</w:t>
      </w:r>
      <w:bookmarkEnd w:id="16"/>
      <w:r w:rsidR="00836FDE" w:rsidRPr="00995FA4">
        <w:rPr>
          <w:rFonts w:cs="Arial"/>
        </w:rPr>
        <w:t>.</w:t>
      </w:r>
    </w:p>
    <w:p w14:paraId="5E76E5FE" w14:textId="487B5902" w:rsidR="00836FDE" w:rsidRPr="00995FA4" w:rsidRDefault="00315F4D" w:rsidP="00836FDE">
      <w:pPr>
        <w:pStyle w:val="Noparagraph"/>
        <w:ind w:left="567" w:hanging="567"/>
        <w:rPr>
          <w:rFonts w:cs="Arial"/>
        </w:rPr>
      </w:pPr>
      <w:r>
        <w:rPr>
          <w:rFonts w:cs="Arial"/>
          <w:iCs w:val="0"/>
        </w:rPr>
        <w:t>The</w:t>
      </w:r>
      <w:r w:rsidR="00EB244C">
        <w:rPr>
          <w:rFonts w:cs="Arial"/>
          <w:iCs w:val="0"/>
        </w:rPr>
        <w:t xml:space="preserve"> </w:t>
      </w:r>
      <w:r w:rsidR="00EB244C">
        <w:rPr>
          <w:rFonts w:cs="Arial"/>
          <w:i/>
        </w:rPr>
        <w:t xml:space="preserve">TNSP </w:t>
      </w:r>
      <w:bookmarkStart w:id="17" w:name="_Hlk124505011"/>
      <w:r w:rsidR="00EB244C">
        <w:rPr>
          <w:rFonts w:cs="Arial"/>
          <w:iCs w:val="0"/>
        </w:rPr>
        <w:t xml:space="preserve">must treat </w:t>
      </w:r>
      <w:r w:rsidR="00836FDE" w:rsidRPr="00995FA4">
        <w:rPr>
          <w:rFonts w:cs="Arial"/>
          <w:i/>
        </w:rPr>
        <w:t>Capital contributions</w:t>
      </w:r>
      <w:r w:rsidR="00836FDE" w:rsidRPr="00995FA4">
        <w:rPr>
          <w:rFonts w:cs="Arial"/>
        </w:rPr>
        <w:t xml:space="preserve"> in accordance with the method approved in the </w:t>
      </w:r>
      <w:r w:rsidR="00375AB1" w:rsidRPr="00375AB1">
        <w:rPr>
          <w:rFonts w:cs="Arial"/>
          <w:i/>
          <w:iCs w:val="0"/>
        </w:rPr>
        <w:t>TNSP’s</w:t>
      </w:r>
      <w:r w:rsidR="00836FDE" w:rsidRPr="00FD0689">
        <w:rPr>
          <w:rFonts w:cs="Arial"/>
          <w:i/>
          <w:iCs w:val="0"/>
        </w:rPr>
        <w:t xml:space="preserve"> </w:t>
      </w:r>
      <w:r w:rsidR="00836FDE">
        <w:rPr>
          <w:rFonts w:cs="Arial"/>
        </w:rPr>
        <w:t xml:space="preserve">current </w:t>
      </w:r>
      <w:r w:rsidR="000F4112">
        <w:rPr>
          <w:rFonts w:cs="Arial"/>
          <w:i/>
          <w:iCs w:val="0"/>
        </w:rPr>
        <w:t>revenue</w:t>
      </w:r>
      <w:r w:rsidR="00836FDE" w:rsidRPr="0069451A">
        <w:rPr>
          <w:rFonts w:cs="Arial"/>
          <w:i/>
        </w:rPr>
        <w:t xml:space="preserve"> </w:t>
      </w:r>
      <w:r w:rsidR="00836FDE">
        <w:rPr>
          <w:rFonts w:cs="Arial"/>
          <w:i/>
        </w:rPr>
        <w:t>d</w:t>
      </w:r>
      <w:r w:rsidR="00836FDE" w:rsidRPr="0069451A">
        <w:rPr>
          <w:rFonts w:cs="Arial"/>
          <w:i/>
        </w:rPr>
        <w:t>etermination</w:t>
      </w:r>
      <w:r w:rsidR="00836FDE" w:rsidRPr="00995FA4">
        <w:rPr>
          <w:rFonts w:cs="Arial"/>
        </w:rPr>
        <w:t>.</w:t>
      </w:r>
    </w:p>
    <w:p w14:paraId="126224EE" w14:textId="77777777" w:rsidR="00836FDE" w:rsidRPr="006A569A" w:rsidRDefault="00836FDE" w:rsidP="002A5B95">
      <w:pPr>
        <w:pStyle w:val="Heading3"/>
        <w:spacing w:before="240" w:after="240"/>
        <w:ind w:left="578" w:hanging="578"/>
        <w:rPr>
          <w:lang w:eastAsia="ja-JP"/>
        </w:rPr>
      </w:pPr>
      <w:bookmarkStart w:id="18" w:name="_Toc121724688"/>
      <w:bookmarkStart w:id="19" w:name="_Toc162703536"/>
      <w:bookmarkEnd w:id="17"/>
      <w:r>
        <w:rPr>
          <w:lang w:eastAsia="ja-JP"/>
        </w:rPr>
        <w:t>A</w:t>
      </w:r>
      <w:r w:rsidRPr="006A569A">
        <w:rPr>
          <w:lang w:eastAsia="ja-JP"/>
        </w:rPr>
        <w:t>sset base</w:t>
      </w:r>
      <w:bookmarkEnd w:id="18"/>
      <w:bookmarkEnd w:id="19"/>
    </w:p>
    <w:p w14:paraId="5A2F8844" w14:textId="019CC514" w:rsidR="00836FDE" w:rsidRPr="00995FA4" w:rsidRDefault="00836FDE" w:rsidP="00836FDE">
      <w:pPr>
        <w:pStyle w:val="Noparagraph"/>
        <w:ind w:left="567" w:hanging="567"/>
        <w:rPr>
          <w:rFonts w:cs="Arial"/>
        </w:rPr>
      </w:pPr>
      <w:r w:rsidRPr="00995FA4">
        <w:rPr>
          <w:rFonts w:cs="Arial"/>
        </w:rPr>
        <w:t xml:space="preserve">Asset revaluations or </w:t>
      </w:r>
      <w:r w:rsidRPr="00C41A76">
        <w:rPr>
          <w:rFonts w:cs="Arial"/>
        </w:rPr>
        <w:t>adjustments</w:t>
      </w:r>
      <w:r w:rsidRPr="00995FA4">
        <w:rPr>
          <w:rFonts w:cs="Arial"/>
        </w:rPr>
        <w:t xml:space="preserve"> for impairment are not permitted unless agreed to or required by the </w:t>
      </w:r>
      <w:r w:rsidR="00375AB1" w:rsidRPr="00375AB1">
        <w:rPr>
          <w:rFonts w:cs="Arial"/>
          <w:i/>
        </w:rPr>
        <w:t>AER</w:t>
      </w:r>
      <w:r w:rsidRPr="00995FA4">
        <w:rPr>
          <w:rFonts w:cs="Arial"/>
        </w:rPr>
        <w:t>.</w:t>
      </w:r>
    </w:p>
    <w:p w14:paraId="6C8B6F51" w14:textId="15089A4B" w:rsidR="00836FDE" w:rsidRPr="00995FA4" w:rsidRDefault="007B135F" w:rsidP="00836FDE">
      <w:pPr>
        <w:pStyle w:val="Noparagraph"/>
        <w:ind w:left="567" w:hanging="567"/>
        <w:rPr>
          <w:rFonts w:cs="Arial"/>
        </w:rPr>
      </w:pPr>
      <w:r>
        <w:rPr>
          <w:rFonts w:cs="Arial"/>
        </w:rPr>
        <w:t xml:space="preserve">The </w:t>
      </w:r>
      <w:r w:rsidRPr="007B135F">
        <w:rPr>
          <w:rFonts w:cs="Arial"/>
          <w:i/>
          <w:iCs w:val="0"/>
        </w:rPr>
        <w:t>TNSP</w:t>
      </w:r>
      <w:r>
        <w:rPr>
          <w:rFonts w:cs="Arial"/>
        </w:rPr>
        <w:t xml:space="preserve"> must report r</w:t>
      </w:r>
      <w:r w:rsidRPr="00995FA4">
        <w:rPr>
          <w:rFonts w:cs="Arial"/>
        </w:rPr>
        <w:t xml:space="preserve">evaluations or </w:t>
      </w:r>
      <w:r w:rsidRPr="00C41A76">
        <w:rPr>
          <w:rFonts w:cs="Arial"/>
        </w:rPr>
        <w:t>adjustments</w:t>
      </w:r>
      <w:r w:rsidRPr="00995FA4">
        <w:rPr>
          <w:rFonts w:cs="Arial"/>
        </w:rPr>
        <w:t xml:space="preserve"> for impairment made in the </w:t>
      </w:r>
      <w:r w:rsidRPr="00995FA4">
        <w:rPr>
          <w:rFonts w:cs="Arial"/>
          <w:i/>
        </w:rPr>
        <w:t>audited statutory accounts</w:t>
      </w:r>
      <w:r>
        <w:rPr>
          <w:rFonts w:cs="Arial"/>
          <w:i/>
        </w:rPr>
        <w:t xml:space="preserve"> </w:t>
      </w:r>
      <w:r w:rsidRPr="00995FA4">
        <w:rPr>
          <w:rFonts w:cs="Arial"/>
        </w:rPr>
        <w:t xml:space="preserve">in the </w:t>
      </w:r>
      <w:r>
        <w:rPr>
          <w:rFonts w:cs="Arial"/>
          <w:i/>
        </w:rPr>
        <w:t>A</w:t>
      </w:r>
      <w:r w:rsidRPr="00995FA4">
        <w:rPr>
          <w:rFonts w:cs="Arial"/>
          <w:i/>
        </w:rPr>
        <w:t>djustments</w:t>
      </w:r>
      <w:r w:rsidRPr="00995FA4">
        <w:rPr>
          <w:rFonts w:cs="Arial"/>
        </w:rPr>
        <w:t xml:space="preserve"> column in </w:t>
      </w:r>
      <w:r>
        <w:rPr>
          <w:rFonts w:cs="Arial"/>
          <w:i/>
        </w:rPr>
        <w:t>Workbook 09 – Revenue and financial information</w:t>
      </w:r>
      <w:r w:rsidR="00836FDE" w:rsidRPr="00995FA4">
        <w:rPr>
          <w:rFonts w:cs="Arial"/>
        </w:rPr>
        <w:t>.</w:t>
      </w:r>
      <w:r w:rsidR="00CC4EF3">
        <w:rPr>
          <w:rFonts w:cs="Arial"/>
        </w:rPr>
        <w:t xml:space="preserve"> </w:t>
      </w:r>
      <w:r w:rsidR="00CC4EF3" w:rsidRPr="00A8737D">
        <w:rPr>
          <w:rFonts w:cs="Arial"/>
          <w:color w:val="0000CC"/>
        </w:rPr>
        <w:t>(</w:t>
      </w:r>
      <w:r w:rsidR="00BB0C7C">
        <w:rPr>
          <w:rFonts w:cs="Arial"/>
          <w:color w:val="0000CC"/>
        </w:rPr>
        <w:t xml:space="preserve">Table </w:t>
      </w:r>
      <w:r w:rsidR="00192E31">
        <w:rPr>
          <w:rFonts w:cs="Arial"/>
          <w:color w:val="0000CC"/>
        </w:rPr>
        <w:t>9.2.1</w:t>
      </w:r>
      <w:r w:rsidR="00CC4EF3" w:rsidRPr="00A8737D">
        <w:rPr>
          <w:rFonts w:cs="Arial"/>
          <w:color w:val="0000CC"/>
        </w:rPr>
        <w:t>)</w:t>
      </w:r>
    </w:p>
    <w:p w14:paraId="3C3A75BB" w14:textId="6CE035C3" w:rsidR="00836FDE" w:rsidRPr="00995FA4" w:rsidRDefault="00B64D73" w:rsidP="00836FDE">
      <w:pPr>
        <w:pStyle w:val="Noparagraph"/>
        <w:ind w:left="567" w:hanging="567"/>
        <w:rPr>
          <w:rFonts w:cs="Arial"/>
        </w:rPr>
      </w:pPr>
      <w:r>
        <w:rPr>
          <w:rFonts w:cs="Arial"/>
        </w:rPr>
        <w:lastRenderedPageBreak/>
        <w:t xml:space="preserve">The </w:t>
      </w:r>
      <w:r>
        <w:rPr>
          <w:rFonts w:cs="Arial"/>
          <w:i/>
          <w:iCs w:val="0"/>
        </w:rPr>
        <w:t xml:space="preserve">TNSP </w:t>
      </w:r>
      <w:bookmarkStart w:id="20" w:name="_Hlk124505308"/>
      <w:r>
        <w:rPr>
          <w:rFonts w:cs="Arial"/>
        </w:rPr>
        <w:t xml:space="preserve">must allocate </w:t>
      </w:r>
      <w:r>
        <w:rPr>
          <w:rFonts w:cs="Arial"/>
          <w:i/>
          <w:iCs w:val="0"/>
        </w:rPr>
        <w:t>c</w:t>
      </w:r>
      <w:r w:rsidR="00836FDE" w:rsidRPr="00B64D73">
        <w:rPr>
          <w:rFonts w:cs="Arial"/>
          <w:i/>
          <w:iCs w:val="0"/>
        </w:rPr>
        <w:t>apital expenditure</w:t>
      </w:r>
      <w:r w:rsidR="00836FDE" w:rsidRPr="00995FA4">
        <w:rPr>
          <w:rFonts w:cs="Arial"/>
        </w:rPr>
        <w:t xml:space="preserve"> to an </w:t>
      </w:r>
      <w:r w:rsidR="00836FDE" w:rsidRPr="00995FA4">
        <w:rPr>
          <w:rFonts w:cs="Arial"/>
          <w:i/>
        </w:rPr>
        <w:t>asset class</w:t>
      </w:r>
      <w:r w:rsidR="00836FDE" w:rsidRPr="00995FA4">
        <w:rPr>
          <w:rFonts w:cs="Arial"/>
        </w:rPr>
        <w:t xml:space="preserve"> and </w:t>
      </w:r>
      <w:r w:rsidR="00CF7852">
        <w:rPr>
          <w:rFonts w:cs="Arial"/>
        </w:rPr>
        <w:t xml:space="preserve">not </w:t>
      </w:r>
      <w:r w:rsidR="00836FDE" w:rsidRPr="00995FA4">
        <w:rPr>
          <w:rFonts w:cs="Arial"/>
        </w:rPr>
        <w:t>show</w:t>
      </w:r>
      <w:r>
        <w:rPr>
          <w:rFonts w:cs="Arial"/>
        </w:rPr>
        <w:t xml:space="preserve"> it</w:t>
      </w:r>
      <w:r w:rsidR="00836FDE" w:rsidRPr="00995FA4">
        <w:rPr>
          <w:rFonts w:cs="Arial"/>
        </w:rPr>
        <w:t xml:space="preserve"> under a work in progress heading</w:t>
      </w:r>
      <w:r w:rsidR="00836FDE" w:rsidRPr="00995FA4">
        <w:rPr>
          <w:rFonts w:cs="Arial"/>
          <w:i/>
        </w:rPr>
        <w:t>.</w:t>
      </w:r>
      <w:bookmarkEnd w:id="20"/>
    </w:p>
    <w:p w14:paraId="29C351CA" w14:textId="49FD813A" w:rsidR="00836FDE" w:rsidRPr="00995FA4" w:rsidRDefault="00CF7852" w:rsidP="00836FDE">
      <w:pPr>
        <w:pStyle w:val="Noparagraph"/>
        <w:ind w:left="567" w:hanging="567"/>
        <w:rPr>
          <w:rFonts w:cs="Arial"/>
        </w:rPr>
      </w:pPr>
      <w:r>
        <w:rPr>
          <w:rFonts w:cs="Arial"/>
        </w:rPr>
        <w:t xml:space="preserve">The </w:t>
      </w:r>
      <w:r>
        <w:rPr>
          <w:rFonts w:cs="Arial"/>
          <w:i/>
          <w:iCs w:val="0"/>
        </w:rPr>
        <w:t xml:space="preserve">TNSP </w:t>
      </w:r>
      <w:r>
        <w:rPr>
          <w:rFonts w:cs="Arial"/>
        </w:rPr>
        <w:t>must not include g</w:t>
      </w:r>
      <w:r w:rsidR="00836FDE" w:rsidRPr="00995FA4">
        <w:rPr>
          <w:rFonts w:cs="Arial"/>
        </w:rPr>
        <w:t xml:space="preserve">oodwill and any related impairments in the </w:t>
      </w:r>
      <w:r w:rsidR="00836FDE">
        <w:rPr>
          <w:rFonts w:cs="Arial"/>
          <w:i/>
        </w:rPr>
        <w:t>financial information</w:t>
      </w:r>
      <w:r w:rsidR="00836FDE" w:rsidRPr="00995FA4">
        <w:rPr>
          <w:rFonts w:cs="Arial"/>
        </w:rPr>
        <w:t>.</w:t>
      </w:r>
    </w:p>
    <w:p w14:paraId="45257777" w14:textId="77777777" w:rsidR="00836FDE" w:rsidRPr="006B4E92" w:rsidRDefault="00836FDE" w:rsidP="00836FDE">
      <w:pPr>
        <w:pStyle w:val="Heading3"/>
        <w:spacing w:after="240"/>
        <w:ind w:left="578" w:hanging="578"/>
        <w:rPr>
          <w:lang w:eastAsia="ja-JP"/>
        </w:rPr>
      </w:pPr>
      <w:bookmarkStart w:id="21" w:name="_Toc121724689"/>
      <w:bookmarkStart w:id="22" w:name="_Toc162703537"/>
      <w:r>
        <w:rPr>
          <w:lang w:eastAsia="ja-JP"/>
        </w:rPr>
        <w:t>R</w:t>
      </w:r>
      <w:r w:rsidRPr="006B4E92">
        <w:rPr>
          <w:lang w:eastAsia="ja-JP"/>
        </w:rPr>
        <w:t>egulatory accounting principles and policies</w:t>
      </w:r>
      <w:bookmarkEnd w:id="21"/>
      <w:bookmarkEnd w:id="22"/>
    </w:p>
    <w:p w14:paraId="4964FC34" w14:textId="477C1519" w:rsidR="00836FDE" w:rsidRPr="00995FA4" w:rsidRDefault="00836FDE" w:rsidP="00836FDE">
      <w:pPr>
        <w:pStyle w:val="Noparagraph"/>
        <w:ind w:left="567" w:hanging="567"/>
        <w:rPr>
          <w:rFonts w:cs="Arial"/>
        </w:rPr>
      </w:pPr>
      <w:r w:rsidRPr="00995FA4">
        <w:rPr>
          <w:rFonts w:cs="Arial"/>
        </w:rPr>
        <w:t xml:space="preserve">The </w:t>
      </w:r>
      <w:r w:rsidRPr="00995FA4">
        <w:rPr>
          <w:rFonts w:cs="Arial"/>
          <w:i/>
        </w:rPr>
        <w:t>regulatory accounting principles and policies</w:t>
      </w:r>
      <w:r w:rsidRPr="00995FA4">
        <w:rPr>
          <w:rFonts w:cs="Arial"/>
        </w:rPr>
        <w:t xml:space="preserve"> </w:t>
      </w:r>
      <w:r w:rsidR="00421AC5">
        <w:rPr>
          <w:rFonts w:cs="Arial"/>
        </w:rPr>
        <w:t xml:space="preserve">applied by the </w:t>
      </w:r>
      <w:r w:rsidR="00421AC5" w:rsidRPr="00421AC5">
        <w:rPr>
          <w:rFonts w:cs="Arial"/>
          <w:i/>
          <w:iCs w:val="0"/>
        </w:rPr>
        <w:t>TNSP</w:t>
      </w:r>
      <w:r w:rsidR="00421AC5">
        <w:rPr>
          <w:rFonts w:cs="Arial"/>
        </w:rPr>
        <w:t xml:space="preserve"> </w:t>
      </w:r>
      <w:r w:rsidRPr="00995FA4">
        <w:rPr>
          <w:rFonts w:cs="Arial"/>
        </w:rPr>
        <w:t>must:</w:t>
      </w:r>
    </w:p>
    <w:p w14:paraId="422C26EA" w14:textId="77777777" w:rsidR="00836FDE" w:rsidRPr="00995FA4" w:rsidRDefault="00836FDE" w:rsidP="00B0496A">
      <w:pPr>
        <w:numPr>
          <w:ilvl w:val="0"/>
          <w:numId w:val="32"/>
        </w:numPr>
        <w:spacing w:before="120" w:after="120" w:line="288" w:lineRule="auto"/>
        <w:ind w:left="1134" w:hanging="567"/>
        <w:rPr>
          <w:rFonts w:cs="Arial"/>
        </w:rPr>
      </w:pPr>
      <w:r w:rsidRPr="00995FA4">
        <w:rPr>
          <w:rFonts w:cs="Arial"/>
        </w:rPr>
        <w:t xml:space="preserve">be based on a recognisable and rational economic </w:t>
      </w:r>
      <w:proofErr w:type="gramStart"/>
      <w:r w:rsidRPr="00995FA4">
        <w:rPr>
          <w:rFonts w:cs="Arial"/>
        </w:rPr>
        <w:t>basis;</w:t>
      </w:r>
      <w:proofErr w:type="gramEnd"/>
    </w:p>
    <w:p w14:paraId="32DDB88C" w14:textId="77777777" w:rsidR="00836FDE" w:rsidRPr="00995FA4" w:rsidRDefault="00836FDE" w:rsidP="00B0496A">
      <w:pPr>
        <w:numPr>
          <w:ilvl w:val="0"/>
          <w:numId w:val="32"/>
        </w:numPr>
        <w:spacing w:before="120" w:after="120" w:line="288" w:lineRule="auto"/>
        <w:ind w:left="1134" w:hanging="567"/>
        <w:rPr>
          <w:rFonts w:cs="Arial"/>
        </w:rPr>
      </w:pPr>
      <w:r w:rsidRPr="00995FA4">
        <w:rPr>
          <w:rFonts w:cs="Arial"/>
        </w:rPr>
        <w:t xml:space="preserve">ensure that the resultant </w:t>
      </w:r>
      <w:r w:rsidRPr="00995FA4">
        <w:rPr>
          <w:rFonts w:cs="Arial"/>
          <w:i/>
        </w:rPr>
        <w:t>financial information</w:t>
      </w:r>
      <w:r w:rsidRPr="00995FA4">
        <w:rPr>
          <w:rFonts w:cs="Arial"/>
        </w:rPr>
        <w:t xml:space="preserve"> satisfies the concepts of relevance and </w:t>
      </w:r>
      <w:proofErr w:type="gramStart"/>
      <w:r w:rsidRPr="00995FA4">
        <w:rPr>
          <w:rFonts w:cs="Arial"/>
        </w:rPr>
        <w:t>reliability;</w:t>
      </w:r>
      <w:proofErr w:type="gramEnd"/>
    </w:p>
    <w:p w14:paraId="7EFDAF05" w14:textId="77777777" w:rsidR="00836FDE" w:rsidRPr="00995FA4" w:rsidRDefault="00836FDE" w:rsidP="00B0496A">
      <w:pPr>
        <w:numPr>
          <w:ilvl w:val="0"/>
          <w:numId w:val="32"/>
        </w:numPr>
        <w:spacing w:before="120" w:after="120" w:line="288" w:lineRule="auto"/>
        <w:ind w:left="1134" w:hanging="567"/>
        <w:rPr>
          <w:rFonts w:cs="Arial"/>
        </w:rPr>
      </w:pPr>
      <w:r w:rsidRPr="00995FA4">
        <w:rPr>
          <w:rFonts w:cs="Arial"/>
        </w:rPr>
        <w:t xml:space="preserve">ensure that the substance of the underlying transactions and events is reported in the </w:t>
      </w:r>
      <w:r w:rsidRPr="00995FA4">
        <w:rPr>
          <w:rFonts w:cs="Arial"/>
          <w:i/>
        </w:rPr>
        <w:t xml:space="preserve">financial </w:t>
      </w:r>
      <w:proofErr w:type="gramStart"/>
      <w:r w:rsidRPr="00995FA4">
        <w:rPr>
          <w:rFonts w:cs="Arial"/>
          <w:i/>
        </w:rPr>
        <w:t>information</w:t>
      </w:r>
      <w:r w:rsidRPr="00995FA4">
        <w:rPr>
          <w:rFonts w:cs="Arial"/>
        </w:rPr>
        <w:t>;</w:t>
      </w:r>
      <w:proofErr w:type="gramEnd"/>
    </w:p>
    <w:p w14:paraId="65303CB0" w14:textId="77777777" w:rsidR="00836FDE" w:rsidRPr="00995FA4" w:rsidRDefault="00836FDE" w:rsidP="00B0496A">
      <w:pPr>
        <w:numPr>
          <w:ilvl w:val="0"/>
          <w:numId w:val="32"/>
        </w:numPr>
        <w:spacing w:before="120" w:after="120" w:line="288" w:lineRule="auto"/>
        <w:ind w:left="1134" w:hanging="567"/>
        <w:rPr>
          <w:rFonts w:cs="Arial"/>
        </w:rPr>
      </w:pPr>
      <w:r w:rsidRPr="00995FA4">
        <w:rPr>
          <w:rFonts w:cs="Arial"/>
        </w:rPr>
        <w:t xml:space="preserve">ensure that the </w:t>
      </w:r>
      <w:r w:rsidRPr="00995FA4">
        <w:rPr>
          <w:rFonts w:cs="Arial"/>
          <w:i/>
        </w:rPr>
        <w:t>financial information</w:t>
      </w:r>
      <w:r w:rsidRPr="00995FA4">
        <w:rPr>
          <w:rFonts w:cs="Arial"/>
        </w:rPr>
        <w:t xml:space="preserve"> can be </w:t>
      </w:r>
      <w:proofErr w:type="gramStart"/>
      <w:r w:rsidRPr="00995FA4">
        <w:rPr>
          <w:rFonts w:cs="Arial"/>
        </w:rPr>
        <w:t>understood;</w:t>
      </w:r>
      <w:proofErr w:type="gramEnd"/>
    </w:p>
    <w:p w14:paraId="06951F1B" w14:textId="77777777" w:rsidR="00836FDE" w:rsidRPr="00995FA4" w:rsidRDefault="00836FDE" w:rsidP="00B0496A">
      <w:pPr>
        <w:numPr>
          <w:ilvl w:val="0"/>
          <w:numId w:val="32"/>
        </w:numPr>
        <w:spacing w:before="120" w:after="120" w:line="288" w:lineRule="auto"/>
        <w:ind w:left="1134" w:hanging="567"/>
        <w:rPr>
          <w:rFonts w:cs="Arial"/>
        </w:rPr>
      </w:pPr>
      <w:r w:rsidRPr="00995FA4">
        <w:rPr>
          <w:rFonts w:cs="Arial"/>
        </w:rPr>
        <w:t xml:space="preserve">allow for comparisons to be made over time; and </w:t>
      </w:r>
    </w:p>
    <w:p w14:paraId="21D70941" w14:textId="77777777" w:rsidR="00836FDE" w:rsidRPr="00995FA4" w:rsidRDefault="00836FDE" w:rsidP="00B0496A">
      <w:pPr>
        <w:numPr>
          <w:ilvl w:val="0"/>
          <w:numId w:val="32"/>
        </w:numPr>
        <w:spacing w:before="120" w:after="120" w:line="288" w:lineRule="auto"/>
        <w:ind w:left="1134" w:hanging="567"/>
        <w:rPr>
          <w:rFonts w:cs="Arial"/>
        </w:rPr>
      </w:pPr>
      <w:r w:rsidRPr="00995FA4">
        <w:rPr>
          <w:rFonts w:cs="Arial"/>
        </w:rPr>
        <w:t>conform to the recognition and measurement principles of the Australian Accounting Standards.</w:t>
      </w:r>
    </w:p>
    <w:p w14:paraId="518AD02A" w14:textId="137A8317" w:rsidR="00836FDE" w:rsidRDefault="00836FDE" w:rsidP="00836FDE">
      <w:pPr>
        <w:pStyle w:val="Noparagraph"/>
        <w:ind w:left="567" w:hanging="567"/>
      </w:pPr>
      <w:r>
        <w:t>Unless otherwise required by this</w:t>
      </w:r>
      <w:r w:rsidRPr="00C47E12">
        <w:rPr>
          <w:i/>
          <w:iCs w:val="0"/>
        </w:rPr>
        <w:t xml:space="preserve"> </w:t>
      </w:r>
      <w:r w:rsidRPr="00A40973">
        <w:rPr>
          <w:i/>
          <w:iCs w:val="0"/>
        </w:rPr>
        <w:t>Order</w:t>
      </w:r>
      <w:r>
        <w:t xml:space="preserve">, </w:t>
      </w:r>
      <w:r w:rsidR="00B81687">
        <w:t xml:space="preserve">the </w:t>
      </w:r>
      <w:r w:rsidR="00B81687" w:rsidRPr="000352C8">
        <w:rPr>
          <w:i/>
          <w:iCs w:val="0"/>
        </w:rPr>
        <w:t>TNSP</w:t>
      </w:r>
      <w:r w:rsidR="00B81687">
        <w:t xml:space="preserve"> must report the </w:t>
      </w:r>
      <w:r w:rsidRPr="00A77B63">
        <w:rPr>
          <w:i/>
          <w:iCs w:val="0"/>
        </w:rPr>
        <w:t>cap</w:t>
      </w:r>
      <w:r w:rsidR="00A77B63" w:rsidRPr="00A77B63">
        <w:rPr>
          <w:i/>
          <w:iCs w:val="0"/>
        </w:rPr>
        <w:t>ital expenditure</w:t>
      </w:r>
      <w:r>
        <w:t xml:space="preserve"> and associated data (such as asset volumes) against the </w:t>
      </w:r>
      <w:r w:rsidRPr="0009170C">
        <w:rPr>
          <w:i/>
          <w:iCs w:val="0"/>
        </w:rPr>
        <w:t>reporting period</w:t>
      </w:r>
      <w:r>
        <w:t xml:space="preserve"> on an as-incurred basis.</w:t>
      </w:r>
    </w:p>
    <w:p w14:paraId="5560B505" w14:textId="25804835" w:rsidR="00836FDE" w:rsidRPr="004E1675" w:rsidRDefault="00836FDE" w:rsidP="00836FDE">
      <w:pPr>
        <w:pStyle w:val="Heading2"/>
      </w:pPr>
      <w:bookmarkStart w:id="23" w:name="_Toc121724690"/>
      <w:bookmarkStart w:id="24" w:name="_Toc162703538"/>
      <w:r>
        <w:lastRenderedPageBreak/>
        <w:t xml:space="preserve">Workbook 02 </w:t>
      </w:r>
      <w:r w:rsidR="007E18FB">
        <w:t>–</w:t>
      </w:r>
      <w:r>
        <w:t xml:space="preserve"> Operational outputs</w:t>
      </w:r>
      <w:bookmarkEnd w:id="23"/>
      <w:bookmarkEnd w:id="24"/>
    </w:p>
    <w:p w14:paraId="7A0D71E1" w14:textId="39767630" w:rsidR="00836FDE" w:rsidRPr="00D96F7D" w:rsidRDefault="00836FDE" w:rsidP="00836FDE">
      <w:pPr>
        <w:pStyle w:val="Heading3"/>
        <w:spacing w:after="240"/>
        <w:ind w:left="578" w:hanging="578"/>
        <w:rPr>
          <w:lang w:eastAsia="ja-JP"/>
        </w:rPr>
      </w:pPr>
      <w:bookmarkStart w:id="25" w:name="_Toc121724691"/>
      <w:bookmarkStart w:id="26" w:name="_Toc162703539"/>
      <w:r>
        <w:rPr>
          <w:lang w:eastAsia="ja-JP"/>
        </w:rPr>
        <w:t>Energy delivered</w:t>
      </w:r>
      <w:bookmarkEnd w:id="25"/>
      <w:bookmarkEnd w:id="26"/>
      <w:r>
        <w:rPr>
          <w:lang w:eastAsia="ja-JP"/>
        </w:rPr>
        <w:t xml:space="preserve"> </w:t>
      </w:r>
      <w:r w:rsidR="00D05D01">
        <w:rPr>
          <w:color w:val="0000CC"/>
          <w:lang w:eastAsia="ja-JP"/>
        </w:rPr>
        <w:t>(3.4)</w:t>
      </w:r>
    </w:p>
    <w:p w14:paraId="70D6C89C" w14:textId="40E16DC6" w:rsidR="00836FDE" w:rsidRDefault="00315F4D" w:rsidP="00DF02BD">
      <w:pPr>
        <w:pStyle w:val="Noparagraph"/>
        <w:ind w:left="567" w:hanging="567"/>
      </w:pPr>
      <w:r>
        <w:t xml:space="preserve">The </w:t>
      </w:r>
      <w:r w:rsidRPr="0046566D">
        <w:rPr>
          <w:i/>
          <w:iCs w:val="0"/>
        </w:rPr>
        <w:t>TNSP</w:t>
      </w:r>
      <w:r>
        <w:t xml:space="preserve"> must report </w:t>
      </w:r>
      <w:r w:rsidR="00C934EE">
        <w:t>‘</w:t>
      </w:r>
      <w:r>
        <w:t>e</w:t>
      </w:r>
      <w:r w:rsidR="00836FDE">
        <w:t>nergy delivered</w:t>
      </w:r>
      <w:r w:rsidR="00C934EE">
        <w:t>’</w:t>
      </w:r>
      <w:r w:rsidR="00836FDE">
        <w:t xml:space="preserve"> in a </w:t>
      </w:r>
      <w:r w:rsidR="00836FDE" w:rsidRPr="00A33A61">
        <w:rPr>
          <w:i/>
        </w:rPr>
        <w:t>reporting period</w:t>
      </w:r>
      <w:r w:rsidR="00836FDE">
        <w:t xml:space="preserve"> </w:t>
      </w:r>
      <w:r w:rsidR="00B56D11">
        <w:t xml:space="preserve">as </w:t>
      </w:r>
      <w:r w:rsidR="00836FDE">
        <w:t xml:space="preserve">the energy metered or estimated at </w:t>
      </w:r>
      <w:r w:rsidR="002D1106" w:rsidRPr="002D1106">
        <w:t xml:space="preserve">the downstream settlement location </w:t>
      </w:r>
      <w:r w:rsidR="00836FDE">
        <w:t xml:space="preserve">rather than the import location </w:t>
      </w:r>
      <w:r w:rsidR="002D1106">
        <w:t>to</w:t>
      </w:r>
      <w:r w:rsidR="00836FDE">
        <w:t xml:space="preserve"> the </w:t>
      </w:r>
      <w:r w:rsidR="00375AB1" w:rsidRPr="00375AB1">
        <w:rPr>
          <w:i/>
        </w:rPr>
        <w:t>TNSP’s</w:t>
      </w:r>
      <w:r w:rsidR="002D1106">
        <w:t xml:space="preserve"> network</w:t>
      </w:r>
      <w:r w:rsidR="00836FDE">
        <w:t xml:space="preserve">. </w:t>
      </w:r>
    </w:p>
    <w:p w14:paraId="7ADAFCE2" w14:textId="2BF29C15" w:rsidR="00836FDE" w:rsidRDefault="0046566D" w:rsidP="00836FDE">
      <w:pPr>
        <w:pStyle w:val="Noparagraph"/>
        <w:spacing w:after="120"/>
        <w:ind w:left="567" w:hanging="567"/>
      </w:pPr>
      <w:r>
        <w:t xml:space="preserve">The </w:t>
      </w:r>
      <w:r w:rsidRPr="0046566D">
        <w:rPr>
          <w:i/>
          <w:iCs w:val="0"/>
        </w:rPr>
        <w:t>TNSP</w:t>
      </w:r>
      <w:r>
        <w:t xml:space="preserve"> must report </w:t>
      </w:r>
      <w:r w:rsidR="00C934EE">
        <w:t>‘</w:t>
      </w:r>
      <w:r>
        <w:t>e</w:t>
      </w:r>
      <w:r w:rsidR="00836FDE">
        <w:t>nergy delivered</w:t>
      </w:r>
      <w:r w:rsidR="00C934EE">
        <w:t>’</w:t>
      </w:r>
      <w:r w:rsidR="00836FDE">
        <w:t xml:space="preserve"> </w:t>
      </w:r>
      <w:r w:rsidR="00B56D11">
        <w:t xml:space="preserve">as </w:t>
      </w:r>
      <w:r>
        <w:t>the</w:t>
      </w:r>
      <w:r w:rsidR="00836FDE">
        <w:t xml:space="preserve"> actual energy delivered unless </w:t>
      </w:r>
      <w:r>
        <w:t>actual data</w:t>
      </w:r>
      <w:r w:rsidR="00836FDE">
        <w:t xml:space="preserve"> is </w:t>
      </w:r>
      <w:r>
        <w:t xml:space="preserve">not </w:t>
      </w:r>
      <w:r w:rsidR="00836FDE">
        <w:t xml:space="preserve">available. Where actual </w:t>
      </w:r>
      <w:r>
        <w:t xml:space="preserve">data </w:t>
      </w:r>
      <w:r w:rsidR="00836FDE">
        <w:t xml:space="preserve">is not available for the most recent </w:t>
      </w:r>
      <w:r w:rsidR="00836FDE" w:rsidRPr="00421AC5">
        <w:rPr>
          <w:i/>
          <w:iCs w:val="0"/>
        </w:rPr>
        <w:t>reporting period</w:t>
      </w:r>
      <w:r w:rsidR="00836FDE">
        <w:t xml:space="preserve">, </w:t>
      </w:r>
      <w:r>
        <w:t xml:space="preserve">the </w:t>
      </w:r>
      <w:r w:rsidRPr="0046566D">
        <w:rPr>
          <w:i/>
          <w:iCs w:val="0"/>
        </w:rPr>
        <w:t>TNSP</w:t>
      </w:r>
      <w:r>
        <w:t xml:space="preserve"> may report </w:t>
      </w:r>
      <w:r w:rsidR="00836FDE">
        <w:t>energy delivered data for that period on an accrual basis.</w:t>
      </w:r>
    </w:p>
    <w:p w14:paraId="147C9631" w14:textId="6551EF81" w:rsidR="00836FDE" w:rsidRPr="009D78AA" w:rsidRDefault="00836FDE" w:rsidP="00836FDE">
      <w:pPr>
        <w:pStyle w:val="Heading4"/>
        <w:numPr>
          <w:ilvl w:val="0"/>
          <w:numId w:val="0"/>
        </w:numPr>
        <w:rPr>
          <w:color w:val="0000CC"/>
          <w:lang w:eastAsia="ja-JP"/>
        </w:rPr>
      </w:pPr>
      <w:r>
        <w:rPr>
          <w:lang w:eastAsia="ja-JP"/>
        </w:rPr>
        <w:t xml:space="preserve">Energy delivery by </w:t>
      </w:r>
      <w:r w:rsidR="002D1106">
        <w:rPr>
          <w:lang w:eastAsia="ja-JP"/>
        </w:rPr>
        <w:t>downstream connection type</w:t>
      </w:r>
      <w:r w:rsidR="00C377DF">
        <w:rPr>
          <w:lang w:eastAsia="ja-JP"/>
        </w:rPr>
        <w:t xml:space="preserve"> </w:t>
      </w:r>
      <w:r w:rsidR="009D78AA">
        <w:rPr>
          <w:color w:val="0000CC"/>
          <w:lang w:eastAsia="ja-JP"/>
        </w:rPr>
        <w:t>(table 3.4.1)</w:t>
      </w:r>
    </w:p>
    <w:p w14:paraId="0162785C" w14:textId="263E46A4" w:rsidR="009D4F4A" w:rsidRPr="009D4F4A" w:rsidRDefault="00C934EE" w:rsidP="00DF02BD">
      <w:pPr>
        <w:pStyle w:val="Noparagraph"/>
        <w:ind w:left="567" w:hanging="567"/>
      </w:pPr>
      <w:r>
        <w:t xml:space="preserve">The </w:t>
      </w:r>
      <w:r>
        <w:rPr>
          <w:i/>
          <w:iCs w:val="0"/>
        </w:rPr>
        <w:t xml:space="preserve">TNSP </w:t>
      </w:r>
      <w:r w:rsidRPr="009D4F4A">
        <w:t>must include both imported and exported energy</w:t>
      </w:r>
      <w:r>
        <w:t>, when reporting e</w:t>
      </w:r>
      <w:r w:rsidR="009D4F4A" w:rsidRPr="009D4F4A">
        <w:t>nergy deliver</w:t>
      </w:r>
      <w:r w:rsidR="00550FBF">
        <w:t>ed to</w:t>
      </w:r>
      <w:r w:rsidR="009D4F4A" w:rsidRPr="009D4F4A">
        <w:t xml:space="preserve"> ‘</w:t>
      </w:r>
      <w:r w:rsidR="00550FBF">
        <w:t>O</w:t>
      </w:r>
      <w:r w:rsidR="009D4F4A" w:rsidRPr="009D4F4A">
        <w:t>ther connected transmission networks’ (</w:t>
      </w:r>
      <w:r w:rsidR="009D4F4A">
        <w:t xml:space="preserve">EB RIN reference: </w:t>
      </w:r>
      <w:r w:rsidR="009D4F4A" w:rsidRPr="009D4F4A">
        <w:t>TOPED0101).</w:t>
      </w:r>
    </w:p>
    <w:p w14:paraId="6E2804A1" w14:textId="71F8E40D" w:rsidR="00C07E10" w:rsidRDefault="00C07E10" w:rsidP="00C07E10">
      <w:pPr>
        <w:pStyle w:val="Noparagraph"/>
        <w:numPr>
          <w:ilvl w:val="0"/>
          <w:numId w:val="0"/>
        </w:numPr>
        <w:spacing w:after="120"/>
        <w:ind w:left="567"/>
      </w:pPr>
      <w:r>
        <w:t xml:space="preserve">NOTE: </w:t>
      </w:r>
      <w:r>
        <w:br/>
        <w:t xml:space="preserve">If the </w:t>
      </w:r>
      <w:r w:rsidRPr="00375AB1">
        <w:rPr>
          <w:i/>
        </w:rPr>
        <w:t>TNSP</w:t>
      </w:r>
      <w:r>
        <w:t xml:space="preserve"> has less than 3 directly connected end users, the publicly available data must combine energy delivered to directly connected end users with energy delivered to distribution networks. </w:t>
      </w:r>
    </w:p>
    <w:p w14:paraId="26EB02EC" w14:textId="3EE594CD" w:rsidR="00836FDE" w:rsidRDefault="00836FDE" w:rsidP="00836FDE">
      <w:pPr>
        <w:pStyle w:val="Heading4"/>
        <w:numPr>
          <w:ilvl w:val="0"/>
          <w:numId w:val="0"/>
        </w:numPr>
        <w:rPr>
          <w:lang w:eastAsia="ja-JP"/>
        </w:rPr>
      </w:pPr>
      <w:r>
        <w:rPr>
          <w:lang w:eastAsia="ja-JP"/>
        </w:rPr>
        <w:t xml:space="preserve">Energy </w:t>
      </w:r>
      <w:r w:rsidR="009D4F4A">
        <w:rPr>
          <w:lang w:eastAsia="ja-JP"/>
        </w:rPr>
        <w:t>delivered to directly connected end users</w:t>
      </w:r>
      <w:r>
        <w:rPr>
          <w:lang w:eastAsia="ja-JP"/>
        </w:rPr>
        <w:t xml:space="preserve"> </w:t>
      </w:r>
      <w:r w:rsidR="006C468A">
        <w:rPr>
          <w:lang w:eastAsia="ja-JP"/>
        </w:rPr>
        <w:t>by voltage</w:t>
      </w:r>
      <w:r w:rsidR="009D78AA">
        <w:rPr>
          <w:lang w:eastAsia="ja-JP"/>
        </w:rPr>
        <w:t xml:space="preserve"> </w:t>
      </w:r>
      <w:r w:rsidR="009D78AA">
        <w:rPr>
          <w:color w:val="0000CC"/>
          <w:lang w:eastAsia="ja-JP"/>
        </w:rPr>
        <w:t>(table 3.4.1)</w:t>
      </w:r>
    </w:p>
    <w:p w14:paraId="1BCE97EF" w14:textId="64BAE73F" w:rsidR="00C07E10" w:rsidRDefault="00C07E10" w:rsidP="00C07E10">
      <w:pPr>
        <w:pStyle w:val="Noparagraph"/>
        <w:spacing w:after="120"/>
        <w:ind w:left="567" w:hanging="567"/>
      </w:pPr>
      <w:r>
        <w:t xml:space="preserve">Data requirements are identified by reference to table headings, row descriptors and column headings. They are represented as input cells </w:t>
      </w:r>
      <w:r w:rsidR="007E18FB">
        <w:t>–</w:t>
      </w:r>
      <w:r>
        <w:t xml:space="preserve"> shaded green in the </w:t>
      </w:r>
      <w:r w:rsidRPr="00BA4310">
        <w:rPr>
          <w:i/>
          <w:iCs w:val="0"/>
        </w:rPr>
        <w:t>data workbook</w:t>
      </w:r>
      <w:r>
        <w:rPr>
          <w:i/>
          <w:iCs w:val="0"/>
        </w:rPr>
        <w:t xml:space="preserve"> 02 – Operational outputs. </w:t>
      </w:r>
      <w:r w:rsidR="00D95706" w:rsidRPr="00D95706">
        <w:rPr>
          <w:iCs w:val="0"/>
        </w:rPr>
        <w:t>There are no further instructions</w:t>
      </w:r>
      <w:r>
        <w:rPr>
          <w:i/>
          <w:iCs w:val="0"/>
        </w:rPr>
        <w:t>.</w:t>
      </w:r>
    </w:p>
    <w:p w14:paraId="65691C6E" w14:textId="0CA851EF" w:rsidR="00836FDE" w:rsidRDefault="009F3784" w:rsidP="00836FDE">
      <w:pPr>
        <w:pStyle w:val="Heading3"/>
        <w:spacing w:after="240"/>
        <w:ind w:left="578" w:hanging="578"/>
        <w:rPr>
          <w:lang w:eastAsia="ja-JP"/>
        </w:rPr>
      </w:pPr>
      <w:bookmarkStart w:id="27" w:name="_Toc121724692"/>
      <w:bookmarkStart w:id="28" w:name="_Toc162703540"/>
      <w:r>
        <w:rPr>
          <w:lang w:eastAsia="ja-JP"/>
        </w:rPr>
        <w:t xml:space="preserve">Maximum </w:t>
      </w:r>
      <w:r w:rsidR="00836FDE">
        <w:rPr>
          <w:lang w:eastAsia="ja-JP"/>
        </w:rPr>
        <w:t>Demand</w:t>
      </w:r>
      <w:bookmarkEnd w:id="27"/>
      <w:bookmarkEnd w:id="28"/>
      <w:r w:rsidR="008C614F">
        <w:rPr>
          <w:lang w:eastAsia="ja-JP"/>
        </w:rPr>
        <w:t xml:space="preserve"> </w:t>
      </w:r>
      <w:r w:rsidR="008C614F">
        <w:rPr>
          <w:color w:val="0000CC"/>
          <w:lang w:eastAsia="ja-JP"/>
        </w:rPr>
        <w:t>(3.</w:t>
      </w:r>
      <w:r w:rsidR="00E8209B">
        <w:rPr>
          <w:color w:val="0000CC"/>
          <w:lang w:eastAsia="ja-JP"/>
        </w:rPr>
        <w:t>4, 5.3</w:t>
      </w:r>
      <w:r w:rsidR="00152A4E">
        <w:rPr>
          <w:color w:val="0000CC"/>
          <w:lang w:eastAsia="ja-JP"/>
        </w:rPr>
        <w:t>, 5.4</w:t>
      </w:r>
      <w:r w:rsidR="00E8209B">
        <w:rPr>
          <w:color w:val="0000CC"/>
          <w:lang w:eastAsia="ja-JP"/>
        </w:rPr>
        <w:t>)</w:t>
      </w:r>
    </w:p>
    <w:p w14:paraId="5CCAFCC2" w14:textId="072D4D01" w:rsidR="00CD4FB1" w:rsidRPr="0082200B" w:rsidRDefault="00CD4FB1" w:rsidP="006467BB">
      <w:pPr>
        <w:spacing w:before="120" w:after="120"/>
        <w:rPr>
          <w:rFonts w:eastAsiaTheme="majorEastAsia" w:cstheme="majorBidi"/>
          <w:b/>
          <w:bCs/>
          <w:iCs/>
          <w:color w:val="0000CC"/>
          <w:lang w:eastAsia="ja-JP"/>
        </w:rPr>
      </w:pPr>
      <w:r w:rsidRPr="00274FD6">
        <w:rPr>
          <w:rFonts w:eastAsiaTheme="majorEastAsia" w:cstheme="majorBidi"/>
          <w:b/>
          <w:bCs/>
          <w:iCs/>
          <w:color w:val="303F51"/>
          <w:lang w:eastAsia="ja-JP"/>
        </w:rPr>
        <w:t xml:space="preserve">System </w:t>
      </w:r>
      <w:r w:rsidR="009F3784">
        <w:rPr>
          <w:rFonts w:eastAsiaTheme="majorEastAsia" w:cstheme="majorBidi"/>
          <w:b/>
          <w:bCs/>
          <w:iCs/>
          <w:color w:val="303F51"/>
          <w:lang w:eastAsia="ja-JP"/>
        </w:rPr>
        <w:t>m</w:t>
      </w:r>
      <w:r w:rsidRPr="00274FD6">
        <w:rPr>
          <w:rFonts w:eastAsiaTheme="majorEastAsia" w:cstheme="majorBidi"/>
          <w:b/>
          <w:bCs/>
          <w:iCs/>
          <w:color w:val="303F51"/>
          <w:lang w:eastAsia="ja-JP"/>
        </w:rPr>
        <w:t xml:space="preserve">aximum </w:t>
      </w:r>
      <w:r w:rsidR="009F3784">
        <w:rPr>
          <w:rFonts w:eastAsiaTheme="majorEastAsia" w:cstheme="majorBidi"/>
          <w:b/>
          <w:bCs/>
          <w:iCs/>
          <w:color w:val="303F51"/>
          <w:lang w:eastAsia="ja-JP"/>
        </w:rPr>
        <w:t>d</w:t>
      </w:r>
      <w:r w:rsidRPr="00274FD6">
        <w:rPr>
          <w:rFonts w:eastAsiaTheme="majorEastAsia" w:cstheme="majorBidi"/>
          <w:b/>
          <w:bCs/>
          <w:iCs/>
          <w:color w:val="303F51"/>
          <w:lang w:eastAsia="ja-JP"/>
        </w:rPr>
        <w:t>emand</w:t>
      </w:r>
      <w:r w:rsidR="0082200B">
        <w:rPr>
          <w:rFonts w:eastAsiaTheme="majorEastAsia" w:cstheme="majorBidi"/>
          <w:b/>
          <w:bCs/>
          <w:iCs/>
          <w:color w:val="303F51"/>
          <w:lang w:eastAsia="ja-JP"/>
        </w:rPr>
        <w:t xml:space="preserve"> </w:t>
      </w:r>
      <w:r w:rsidR="00DB1A6F" w:rsidRPr="00DB1A6F">
        <w:rPr>
          <w:rFonts w:eastAsiaTheme="majorEastAsia" w:cstheme="majorBidi"/>
          <w:b/>
          <w:bCs/>
          <w:iCs/>
          <w:color w:val="0000CC"/>
          <w:lang w:eastAsia="ja-JP"/>
        </w:rPr>
        <w:t>(</w:t>
      </w:r>
      <w:r w:rsidR="00DB1A6F">
        <w:rPr>
          <w:rFonts w:eastAsiaTheme="majorEastAsia" w:cstheme="majorBidi"/>
          <w:b/>
          <w:bCs/>
          <w:iCs/>
          <w:color w:val="0000CC"/>
          <w:lang w:eastAsia="ja-JP"/>
        </w:rPr>
        <w:t>t</w:t>
      </w:r>
      <w:r w:rsidR="00DB1A6F" w:rsidRPr="00DB1A6F">
        <w:rPr>
          <w:rFonts w:eastAsiaTheme="majorEastAsia" w:cstheme="majorBidi"/>
          <w:b/>
          <w:bCs/>
          <w:iCs/>
          <w:color w:val="0000CC"/>
          <w:lang w:eastAsia="ja-JP"/>
        </w:rPr>
        <w:t>able 3.</w:t>
      </w:r>
      <w:r w:rsidR="008C614F">
        <w:rPr>
          <w:rFonts w:eastAsiaTheme="majorEastAsia" w:cstheme="majorBidi"/>
          <w:b/>
          <w:bCs/>
          <w:iCs/>
          <w:color w:val="0000CC"/>
          <w:lang w:eastAsia="ja-JP"/>
        </w:rPr>
        <w:t>4</w:t>
      </w:r>
      <w:r w:rsidR="00DB1A6F" w:rsidRPr="00DB1A6F">
        <w:rPr>
          <w:rFonts w:eastAsiaTheme="majorEastAsia" w:cstheme="majorBidi"/>
          <w:b/>
          <w:bCs/>
          <w:iCs/>
          <w:color w:val="0000CC"/>
          <w:lang w:eastAsia="ja-JP"/>
        </w:rPr>
        <w:t xml:space="preserve">.3.1, </w:t>
      </w:r>
      <w:r w:rsidR="00DB1A6F">
        <w:rPr>
          <w:rFonts w:eastAsiaTheme="majorEastAsia" w:cstheme="majorBidi"/>
          <w:b/>
          <w:bCs/>
          <w:iCs/>
          <w:color w:val="0000CC"/>
          <w:lang w:eastAsia="ja-JP"/>
        </w:rPr>
        <w:t>t</w:t>
      </w:r>
      <w:r w:rsidR="00DB1A6F" w:rsidRPr="00DB1A6F">
        <w:rPr>
          <w:rFonts w:eastAsiaTheme="majorEastAsia" w:cstheme="majorBidi"/>
          <w:b/>
          <w:bCs/>
          <w:iCs/>
          <w:color w:val="0000CC"/>
          <w:lang w:eastAsia="ja-JP"/>
        </w:rPr>
        <w:t>able 3.4.3.</w:t>
      </w:r>
      <w:r w:rsidR="008C614F">
        <w:rPr>
          <w:rFonts w:eastAsiaTheme="majorEastAsia" w:cstheme="majorBidi"/>
          <w:b/>
          <w:bCs/>
          <w:iCs/>
          <w:color w:val="0000CC"/>
          <w:lang w:eastAsia="ja-JP"/>
        </w:rPr>
        <w:t>2</w:t>
      </w:r>
      <w:r w:rsidR="00DB1A6F">
        <w:rPr>
          <w:rFonts w:eastAsiaTheme="majorEastAsia" w:cstheme="majorBidi"/>
          <w:b/>
          <w:bCs/>
          <w:iCs/>
          <w:color w:val="0000CC"/>
          <w:lang w:eastAsia="ja-JP"/>
        </w:rPr>
        <w:t xml:space="preserve">, table </w:t>
      </w:r>
      <w:r w:rsidR="008C614F">
        <w:rPr>
          <w:rFonts w:eastAsiaTheme="majorEastAsia" w:cstheme="majorBidi"/>
          <w:b/>
          <w:bCs/>
          <w:iCs/>
          <w:color w:val="0000CC"/>
          <w:lang w:eastAsia="ja-JP"/>
        </w:rPr>
        <w:t>5.3.1)</w:t>
      </w:r>
    </w:p>
    <w:p w14:paraId="0C748C98" w14:textId="2788FDC2" w:rsidR="00836FDE" w:rsidRDefault="005B1510" w:rsidP="00836FDE">
      <w:pPr>
        <w:pStyle w:val="Noparagraph"/>
        <w:spacing w:after="120"/>
        <w:ind w:left="567" w:hanging="567"/>
      </w:pPr>
      <w:r>
        <w:t>Where t</w:t>
      </w:r>
      <w:r w:rsidR="00836FDE" w:rsidRPr="004F520C">
        <w:t>he</w:t>
      </w:r>
      <w:r w:rsidR="00836FDE">
        <w:rPr>
          <w:i/>
          <w:iCs w:val="0"/>
        </w:rPr>
        <w:t xml:space="preserve"> </w:t>
      </w:r>
      <w:r w:rsidR="00375AB1" w:rsidRPr="00375AB1">
        <w:rPr>
          <w:i/>
          <w:iCs w:val="0"/>
        </w:rPr>
        <w:t>TNSP</w:t>
      </w:r>
      <w:r w:rsidR="00836FDE">
        <w:t xml:space="preserve"> </w:t>
      </w:r>
      <w:r>
        <w:t xml:space="preserve">has calculated and maintained </w:t>
      </w:r>
      <w:r w:rsidR="000352C8">
        <w:t>data</w:t>
      </w:r>
      <w:r w:rsidR="00836FDE">
        <w:t xml:space="preserve"> for historical Weather Adjusted Maximum Demand</w:t>
      </w:r>
      <w:r>
        <w:t xml:space="preserve"> </w:t>
      </w:r>
      <w:r w:rsidR="00D86D22">
        <w:t>it must report that data</w:t>
      </w:r>
      <w:r w:rsidR="00836FDE">
        <w:t>.</w:t>
      </w:r>
    </w:p>
    <w:p w14:paraId="6E425485" w14:textId="123B4D21" w:rsidR="00836FDE" w:rsidRPr="006467BB" w:rsidRDefault="00836FDE" w:rsidP="006467BB">
      <w:pPr>
        <w:spacing w:before="120" w:after="120"/>
        <w:rPr>
          <w:rFonts w:eastAsiaTheme="majorEastAsia" w:cstheme="majorBidi"/>
          <w:b/>
          <w:bCs/>
          <w:iCs/>
          <w:color w:val="303F51"/>
          <w:lang w:eastAsia="ja-JP"/>
        </w:rPr>
      </w:pPr>
      <w:r w:rsidRPr="00274FD6">
        <w:rPr>
          <w:rFonts w:eastAsiaTheme="majorEastAsia" w:cstheme="majorBidi"/>
          <w:b/>
          <w:bCs/>
          <w:iCs/>
          <w:color w:val="303F51"/>
          <w:lang w:eastAsia="ja-JP"/>
        </w:rPr>
        <w:t xml:space="preserve">Annual </w:t>
      </w:r>
      <w:r w:rsidR="009F3784">
        <w:rPr>
          <w:rFonts w:eastAsiaTheme="majorEastAsia" w:cstheme="majorBidi"/>
          <w:b/>
          <w:bCs/>
          <w:iCs/>
          <w:color w:val="303F51"/>
          <w:lang w:eastAsia="ja-JP"/>
        </w:rPr>
        <w:t>s</w:t>
      </w:r>
      <w:r w:rsidRPr="00274FD6">
        <w:rPr>
          <w:rFonts w:eastAsiaTheme="majorEastAsia" w:cstheme="majorBidi"/>
          <w:b/>
          <w:bCs/>
          <w:iCs/>
          <w:color w:val="303F51"/>
          <w:lang w:eastAsia="ja-JP"/>
        </w:rPr>
        <w:t xml:space="preserve">ystem </w:t>
      </w:r>
      <w:r w:rsidR="009F3784">
        <w:rPr>
          <w:rFonts w:eastAsiaTheme="majorEastAsia" w:cstheme="majorBidi"/>
          <w:b/>
          <w:bCs/>
          <w:iCs/>
          <w:color w:val="303F51"/>
          <w:lang w:eastAsia="ja-JP"/>
        </w:rPr>
        <w:t>m</w:t>
      </w:r>
      <w:r w:rsidRPr="00274FD6">
        <w:rPr>
          <w:rFonts w:eastAsiaTheme="majorEastAsia" w:cstheme="majorBidi"/>
          <w:b/>
          <w:bCs/>
          <w:iCs/>
          <w:color w:val="303F51"/>
          <w:lang w:eastAsia="ja-JP"/>
        </w:rPr>
        <w:t xml:space="preserve">aximum </w:t>
      </w:r>
      <w:r w:rsidR="009F3784">
        <w:rPr>
          <w:rFonts w:eastAsiaTheme="majorEastAsia" w:cstheme="majorBidi"/>
          <w:b/>
          <w:bCs/>
          <w:iCs/>
          <w:color w:val="303F51"/>
          <w:lang w:eastAsia="ja-JP"/>
        </w:rPr>
        <w:t>d</w:t>
      </w:r>
      <w:r w:rsidRPr="00274FD6">
        <w:rPr>
          <w:rFonts w:eastAsiaTheme="majorEastAsia" w:cstheme="majorBidi"/>
          <w:b/>
          <w:bCs/>
          <w:iCs/>
          <w:color w:val="303F51"/>
          <w:lang w:eastAsia="ja-JP"/>
        </w:rPr>
        <w:t xml:space="preserve">emand characteristics </w:t>
      </w:r>
      <w:r w:rsidR="00F90E86" w:rsidRPr="00DB1A6F">
        <w:rPr>
          <w:rFonts w:eastAsiaTheme="majorEastAsia" w:cstheme="majorBidi"/>
          <w:b/>
          <w:bCs/>
          <w:iCs/>
          <w:color w:val="0000CC"/>
          <w:lang w:eastAsia="ja-JP"/>
        </w:rPr>
        <w:t>(</w:t>
      </w:r>
      <w:r w:rsidR="001E5F7C">
        <w:rPr>
          <w:rFonts w:eastAsiaTheme="majorEastAsia" w:cstheme="majorBidi"/>
          <w:b/>
          <w:bCs/>
          <w:iCs/>
          <w:color w:val="0000CC"/>
          <w:lang w:eastAsia="ja-JP"/>
        </w:rPr>
        <w:t>t</w:t>
      </w:r>
      <w:r w:rsidR="00652CB9" w:rsidRPr="00DB1A6F">
        <w:rPr>
          <w:rFonts w:eastAsiaTheme="majorEastAsia" w:cstheme="majorBidi"/>
          <w:b/>
          <w:bCs/>
          <w:iCs/>
          <w:color w:val="0000CC"/>
          <w:lang w:eastAsia="ja-JP"/>
        </w:rPr>
        <w:t>able 3.</w:t>
      </w:r>
      <w:r w:rsidR="008C614F">
        <w:rPr>
          <w:rFonts w:eastAsiaTheme="majorEastAsia" w:cstheme="majorBidi"/>
          <w:b/>
          <w:bCs/>
          <w:iCs/>
          <w:color w:val="0000CC"/>
          <w:lang w:eastAsia="ja-JP"/>
        </w:rPr>
        <w:t>4</w:t>
      </w:r>
      <w:r w:rsidR="00652CB9" w:rsidRPr="00DB1A6F">
        <w:rPr>
          <w:rFonts w:eastAsiaTheme="majorEastAsia" w:cstheme="majorBidi"/>
          <w:b/>
          <w:bCs/>
          <w:iCs/>
          <w:color w:val="0000CC"/>
          <w:lang w:eastAsia="ja-JP"/>
        </w:rPr>
        <w:t xml:space="preserve">.3.1, </w:t>
      </w:r>
      <w:r w:rsidR="001E5F7C">
        <w:rPr>
          <w:rFonts w:eastAsiaTheme="majorEastAsia" w:cstheme="majorBidi"/>
          <w:b/>
          <w:bCs/>
          <w:iCs/>
          <w:color w:val="0000CC"/>
          <w:lang w:eastAsia="ja-JP"/>
        </w:rPr>
        <w:t>t</w:t>
      </w:r>
      <w:r w:rsidR="00652CB9" w:rsidRPr="00DB1A6F">
        <w:rPr>
          <w:rFonts w:eastAsiaTheme="majorEastAsia" w:cstheme="majorBidi"/>
          <w:b/>
          <w:bCs/>
          <w:iCs/>
          <w:color w:val="0000CC"/>
          <w:lang w:eastAsia="ja-JP"/>
        </w:rPr>
        <w:t>able 3.4.3.</w:t>
      </w:r>
      <w:r w:rsidR="008C614F">
        <w:rPr>
          <w:rFonts w:eastAsiaTheme="majorEastAsia" w:cstheme="majorBidi"/>
          <w:b/>
          <w:bCs/>
          <w:iCs/>
          <w:color w:val="0000CC"/>
          <w:lang w:eastAsia="ja-JP"/>
        </w:rPr>
        <w:t>2</w:t>
      </w:r>
      <w:r w:rsidR="00DE1749">
        <w:rPr>
          <w:rFonts w:eastAsiaTheme="majorEastAsia" w:cstheme="majorBidi"/>
          <w:b/>
          <w:bCs/>
          <w:iCs/>
          <w:color w:val="0000CC"/>
          <w:lang w:eastAsia="ja-JP"/>
        </w:rPr>
        <w:t xml:space="preserve">, </w:t>
      </w:r>
      <w:r w:rsidR="001E5F7C">
        <w:rPr>
          <w:rFonts w:eastAsiaTheme="majorEastAsia" w:cstheme="majorBidi"/>
          <w:b/>
          <w:bCs/>
          <w:iCs/>
          <w:color w:val="0000CC"/>
          <w:lang w:eastAsia="ja-JP"/>
        </w:rPr>
        <w:t>t</w:t>
      </w:r>
      <w:r w:rsidR="00DE1749">
        <w:rPr>
          <w:rFonts w:eastAsiaTheme="majorEastAsia" w:cstheme="majorBidi"/>
          <w:b/>
          <w:bCs/>
          <w:iCs/>
          <w:color w:val="0000CC"/>
          <w:lang w:eastAsia="ja-JP"/>
        </w:rPr>
        <w:t>able 5.3.1</w:t>
      </w:r>
      <w:r w:rsidR="00652CB9" w:rsidRPr="00DB1A6F">
        <w:rPr>
          <w:rFonts w:eastAsiaTheme="majorEastAsia" w:cstheme="majorBidi"/>
          <w:b/>
          <w:bCs/>
          <w:iCs/>
          <w:color w:val="0000CC"/>
          <w:lang w:eastAsia="ja-JP"/>
        </w:rPr>
        <w:t>)</w:t>
      </w:r>
    </w:p>
    <w:p w14:paraId="01B16017" w14:textId="74CD02FE" w:rsidR="00836FDE" w:rsidRDefault="00836FDE" w:rsidP="00836FDE">
      <w:pPr>
        <w:pStyle w:val="Noparagraph"/>
        <w:spacing w:after="120"/>
        <w:ind w:left="567" w:hanging="567"/>
      </w:pPr>
      <w:r>
        <w:t xml:space="preserve">The </w:t>
      </w:r>
      <w:r w:rsidR="00375AB1" w:rsidRPr="00375AB1">
        <w:rPr>
          <w:i/>
          <w:iCs w:val="0"/>
        </w:rPr>
        <w:t>TNSP</w:t>
      </w:r>
      <w:r w:rsidRPr="00F71626">
        <w:rPr>
          <w:i/>
          <w:iCs w:val="0"/>
        </w:rPr>
        <w:t xml:space="preserve"> </w:t>
      </w:r>
      <w:r>
        <w:t xml:space="preserve">must </w:t>
      </w:r>
      <w:r w:rsidR="006E4C2E">
        <w:t xml:space="preserve">report </w:t>
      </w:r>
      <w:r>
        <w:t xml:space="preserve">‘Embedded generation’ </w:t>
      </w:r>
      <w:r w:rsidR="00986E7C">
        <w:t>where</w:t>
      </w:r>
      <w:r>
        <w:t xml:space="preserve"> it has kept and maintained historical data for embedded generation downstream of connection points and </w:t>
      </w:r>
      <w:r w:rsidR="00986E7C">
        <w:t xml:space="preserve">where </w:t>
      </w:r>
      <w:r>
        <w:t>it accounts for such embedded generation in its maximum demand forecast.</w:t>
      </w:r>
    </w:p>
    <w:p w14:paraId="0CC009E1" w14:textId="47A001DF" w:rsidR="00836FDE" w:rsidRDefault="00836FDE" w:rsidP="007E18FB">
      <w:pPr>
        <w:pStyle w:val="ListParagraph"/>
        <w:numPr>
          <w:ilvl w:val="0"/>
          <w:numId w:val="65"/>
        </w:numPr>
        <w:spacing w:before="120" w:after="120"/>
      </w:pPr>
      <w:r>
        <w:t xml:space="preserve">The </w:t>
      </w:r>
      <w:r w:rsidR="00375AB1" w:rsidRPr="007E18FB">
        <w:rPr>
          <w:i/>
          <w:iCs/>
        </w:rPr>
        <w:t>TNSP</w:t>
      </w:r>
      <w:r>
        <w:t xml:space="preserve"> must describe the type of embedded generation data it has </w:t>
      </w:r>
      <w:r w:rsidR="00D86D22">
        <w:t>reported</w:t>
      </w:r>
      <w:r>
        <w:t xml:space="preserve">. For example, the </w:t>
      </w:r>
      <w:r w:rsidR="00375AB1" w:rsidRPr="007E18FB">
        <w:rPr>
          <w:i/>
          <w:iCs/>
        </w:rPr>
        <w:t>TNSP</w:t>
      </w:r>
      <w:r w:rsidRPr="007E18FB">
        <w:rPr>
          <w:i/>
          <w:iCs/>
        </w:rPr>
        <w:t xml:space="preserve"> </w:t>
      </w:r>
      <w:r>
        <w:t xml:space="preserve">may state it has included scheduled, semi-scheduled and non-scheduled embedded generation. In this example, we </w:t>
      </w:r>
      <w:r w:rsidR="00F9183A">
        <w:t>may</w:t>
      </w:r>
      <w:r>
        <w:t xml:space="preserve"> calculate native demand by adding these figures to raw maximum demand.</w:t>
      </w:r>
    </w:p>
    <w:p w14:paraId="1E3A58B8" w14:textId="2F76B617" w:rsidR="00C54A79" w:rsidRDefault="00C54A79" w:rsidP="00C54A79">
      <w:pPr>
        <w:pStyle w:val="Noparagraph"/>
        <w:spacing w:after="120"/>
        <w:ind w:left="567" w:hanging="567"/>
      </w:pPr>
      <w:r>
        <w:t xml:space="preserve">The </w:t>
      </w:r>
      <w:r w:rsidR="00375AB1" w:rsidRPr="00375AB1">
        <w:rPr>
          <w:i/>
          <w:iCs w:val="0"/>
        </w:rPr>
        <w:t>TNSP</w:t>
      </w:r>
      <w:r>
        <w:t xml:space="preserve"> must </w:t>
      </w:r>
      <w:r w:rsidR="00B85002">
        <w:t xml:space="preserve">report </w:t>
      </w:r>
      <w:r>
        <w:t>historical weather corrected maximum demand</w:t>
      </w:r>
      <w:r w:rsidR="00986E7C">
        <w:t xml:space="preserve"> where it has maintained this data</w:t>
      </w:r>
      <w:r>
        <w:t>.</w:t>
      </w:r>
    </w:p>
    <w:p w14:paraId="4C494FA0" w14:textId="78344B2C" w:rsidR="00C54A79" w:rsidRDefault="00C54A79" w:rsidP="0079620D">
      <w:pPr>
        <w:pStyle w:val="ListParagraph"/>
        <w:numPr>
          <w:ilvl w:val="0"/>
          <w:numId w:val="48"/>
        </w:numPr>
        <w:spacing w:before="120" w:after="120"/>
      </w:pPr>
      <w:r>
        <w:t xml:space="preserve">The </w:t>
      </w:r>
      <w:r w:rsidR="00375AB1" w:rsidRPr="00375AB1">
        <w:rPr>
          <w:i/>
          <w:iCs/>
        </w:rPr>
        <w:t>TNSP</w:t>
      </w:r>
      <w:r>
        <w:t xml:space="preserve"> must </w:t>
      </w:r>
      <w:r w:rsidR="002026A8">
        <w:t xml:space="preserve">report </w:t>
      </w:r>
      <w:r>
        <w:t>weather corrected maximum demand in accordance with best regulatory practice weather correction methodologies.</w:t>
      </w:r>
    </w:p>
    <w:p w14:paraId="3F6A3C12" w14:textId="48D19966" w:rsidR="00C54A79" w:rsidRDefault="00C54A79" w:rsidP="0079620D">
      <w:pPr>
        <w:pStyle w:val="ListParagraph"/>
        <w:numPr>
          <w:ilvl w:val="0"/>
          <w:numId w:val="48"/>
        </w:numPr>
        <w:spacing w:before="120" w:after="120"/>
      </w:pPr>
      <w:r>
        <w:t xml:space="preserve">The </w:t>
      </w:r>
      <w:r w:rsidR="00375AB1" w:rsidRPr="00375AB1">
        <w:rPr>
          <w:i/>
          <w:iCs/>
        </w:rPr>
        <w:t>TNSP</w:t>
      </w:r>
      <w:r w:rsidRPr="00C54A79">
        <w:rPr>
          <w:i/>
          <w:iCs/>
        </w:rPr>
        <w:t xml:space="preserve"> </w:t>
      </w:r>
      <w:r>
        <w:t xml:space="preserve">must describe its weather correction process in the </w:t>
      </w:r>
      <w:r w:rsidRPr="00113EE4">
        <w:rPr>
          <w:i/>
          <w:iCs/>
        </w:rPr>
        <w:t>basis of preparation</w:t>
      </w:r>
      <w:r>
        <w:t xml:space="preserve">. The </w:t>
      </w:r>
      <w:r w:rsidR="00375AB1" w:rsidRPr="00375AB1">
        <w:rPr>
          <w:i/>
          <w:iCs/>
        </w:rPr>
        <w:t>TNSP</w:t>
      </w:r>
      <w:r>
        <w:t xml:space="preserve"> must </w:t>
      </w:r>
      <w:r w:rsidR="002026A8">
        <w:t xml:space="preserve">identify </w:t>
      </w:r>
      <w:r>
        <w:t xml:space="preserve">whether the </w:t>
      </w:r>
      <w:r w:rsidR="00986E7C">
        <w:t xml:space="preserve">reported </w:t>
      </w:r>
      <w:r>
        <w:t xml:space="preserve">weather corrected </w:t>
      </w:r>
      <w:r>
        <w:lastRenderedPageBreak/>
        <w:t>maximum demand figures are based on raw adjusted maximum demand or raw unadjusted maximum demand or another type of maximum demand figure.</w:t>
      </w:r>
    </w:p>
    <w:p w14:paraId="3E47C712" w14:textId="1A38428A" w:rsidR="00836FDE" w:rsidRPr="003264B2" w:rsidRDefault="00836FDE" w:rsidP="003264B2">
      <w:pPr>
        <w:spacing w:before="120" w:after="120"/>
        <w:rPr>
          <w:rFonts w:eastAsiaTheme="majorEastAsia" w:cstheme="majorBidi"/>
          <w:b/>
          <w:bCs/>
          <w:iCs/>
          <w:color w:val="303F51"/>
          <w:lang w:eastAsia="ja-JP"/>
        </w:rPr>
      </w:pPr>
      <w:r w:rsidRPr="003264B2">
        <w:rPr>
          <w:rFonts w:eastAsiaTheme="majorEastAsia" w:cstheme="majorBidi"/>
          <w:b/>
          <w:bCs/>
          <w:iCs/>
          <w:color w:val="303F51"/>
          <w:lang w:eastAsia="ja-JP"/>
        </w:rPr>
        <w:t>Maximum demand characteristics</w:t>
      </w:r>
      <w:r w:rsidR="00652CB9">
        <w:rPr>
          <w:rFonts w:eastAsiaTheme="majorEastAsia" w:cstheme="majorBidi"/>
          <w:b/>
          <w:bCs/>
          <w:iCs/>
          <w:color w:val="303F51"/>
          <w:lang w:eastAsia="ja-JP"/>
        </w:rPr>
        <w:t xml:space="preserve"> </w:t>
      </w:r>
      <w:r w:rsidR="00652CB9" w:rsidRPr="00DB1A6F">
        <w:rPr>
          <w:rFonts w:eastAsiaTheme="majorEastAsia" w:cstheme="majorBidi"/>
          <w:b/>
          <w:bCs/>
          <w:iCs/>
          <w:color w:val="0000CC"/>
          <w:lang w:eastAsia="ja-JP"/>
        </w:rPr>
        <w:t>(</w:t>
      </w:r>
      <w:r w:rsidR="0094610B">
        <w:rPr>
          <w:rFonts w:eastAsiaTheme="majorEastAsia" w:cstheme="majorBidi"/>
          <w:b/>
          <w:bCs/>
          <w:iCs/>
          <w:color w:val="0000CC"/>
          <w:lang w:eastAsia="ja-JP"/>
        </w:rPr>
        <w:t xml:space="preserve">table </w:t>
      </w:r>
      <w:r w:rsidR="00DB1A6F" w:rsidRPr="00DB1A6F">
        <w:rPr>
          <w:rFonts w:eastAsiaTheme="majorEastAsia" w:cstheme="majorBidi"/>
          <w:b/>
          <w:bCs/>
          <w:iCs/>
          <w:color w:val="0000CC"/>
          <w:lang w:eastAsia="ja-JP"/>
        </w:rPr>
        <w:t>5.3.1)</w:t>
      </w:r>
    </w:p>
    <w:p w14:paraId="62ACCF33" w14:textId="30FCD4C1" w:rsidR="00836FDE" w:rsidRDefault="00836FDE" w:rsidP="00836FDE">
      <w:pPr>
        <w:pStyle w:val="Noparagraph"/>
        <w:spacing w:after="120"/>
        <w:ind w:left="567" w:hanging="567"/>
      </w:pPr>
      <w:r>
        <w:t xml:space="preserve">For the ‘Winter/Summer peaking’ line item, the </w:t>
      </w:r>
      <w:r w:rsidR="00375AB1" w:rsidRPr="00375AB1">
        <w:rPr>
          <w:i/>
          <w:iCs w:val="0"/>
        </w:rPr>
        <w:t>TNSP</w:t>
      </w:r>
      <w:r>
        <w:t xml:space="preserve"> </w:t>
      </w:r>
      <w:r w:rsidR="002026A8">
        <w:t>must</w:t>
      </w:r>
      <w:r>
        <w:t xml:space="preserve"> </w:t>
      </w:r>
      <w:r w:rsidR="00AE7C18">
        <w:t xml:space="preserve">identify </w:t>
      </w:r>
      <w:r>
        <w:t>the season in which the raw maximum demand occurred by entering ‘Winter’ or ‘Summer’ as appropriate.</w:t>
      </w:r>
    </w:p>
    <w:p w14:paraId="1A95C7FF" w14:textId="42470FE3" w:rsidR="00836FDE" w:rsidRDefault="00FF3E97" w:rsidP="00836FDE">
      <w:pPr>
        <w:pStyle w:val="Noparagraph"/>
        <w:spacing w:after="120"/>
        <w:ind w:left="567" w:hanging="567"/>
      </w:pPr>
      <w:r>
        <w:t xml:space="preserve">Where the seasonality of the </w:t>
      </w:r>
      <w:r w:rsidRPr="00375AB1">
        <w:rPr>
          <w:i/>
          <w:iCs w:val="0"/>
        </w:rPr>
        <w:t>TNSP’s</w:t>
      </w:r>
      <w:r>
        <w:t xml:space="preserve"> </w:t>
      </w:r>
      <w:r>
        <w:rPr>
          <w:i/>
          <w:iCs w:val="0"/>
        </w:rPr>
        <w:t>maximum demand</w:t>
      </w:r>
      <w:r>
        <w:t xml:space="preserve"> (MD) does not correspond with the form of its reporting periods</w:t>
      </w:r>
      <w:r w:rsidR="00600E3E">
        <w:t>,</w:t>
      </w:r>
      <w:r>
        <w:t xml:space="preserve"> t</w:t>
      </w:r>
      <w:r w:rsidR="00FB574E">
        <w:t xml:space="preserve">he </w:t>
      </w:r>
      <w:r w:rsidR="00FB574E" w:rsidRPr="00375AB1">
        <w:rPr>
          <w:i/>
          <w:iCs w:val="0"/>
        </w:rPr>
        <w:t>TNSP</w:t>
      </w:r>
      <w:r w:rsidR="00FB574E" w:rsidRPr="00166DFF">
        <w:rPr>
          <w:i/>
          <w:iCs w:val="0"/>
        </w:rPr>
        <w:t xml:space="preserve"> </w:t>
      </w:r>
      <w:r w:rsidR="00FB574E">
        <w:t xml:space="preserve">must explain its basis </w:t>
      </w:r>
      <w:r w:rsidR="00600E3E">
        <w:t xml:space="preserve">for </w:t>
      </w:r>
      <w:r w:rsidR="00FB574E">
        <w:t xml:space="preserve">reporting </w:t>
      </w:r>
      <w:r>
        <w:t>MD</w:t>
      </w:r>
      <w:r w:rsidR="00FB574E">
        <w:t xml:space="preserve"> in </w:t>
      </w:r>
      <w:r w:rsidR="00F9183A">
        <w:t xml:space="preserve">its </w:t>
      </w:r>
      <w:r w:rsidR="00FB574E" w:rsidRPr="00C54A79">
        <w:rPr>
          <w:i/>
          <w:iCs w:val="0"/>
        </w:rPr>
        <w:t>basis of preparation</w:t>
      </w:r>
      <w:r w:rsidR="00FB574E">
        <w:t>.</w:t>
      </w:r>
      <w:r w:rsidR="00836FDE">
        <w:t xml:space="preserve"> For example, if the </w:t>
      </w:r>
      <w:r w:rsidR="00375AB1" w:rsidRPr="00375AB1">
        <w:rPr>
          <w:i/>
          <w:iCs w:val="0"/>
        </w:rPr>
        <w:t>TNSP</w:t>
      </w:r>
      <w:r w:rsidR="00836FDE">
        <w:t xml:space="preserve"> forecasts expenditure on a financial year basis but forecasts MD on a calendar year basis because </w:t>
      </w:r>
      <w:r w:rsidR="00592E63">
        <w:t xml:space="preserve">MD occurs in </w:t>
      </w:r>
      <w:r w:rsidR="00836FDE">
        <w:t xml:space="preserve">winter, the </w:t>
      </w:r>
      <w:r w:rsidR="00375AB1" w:rsidRPr="00375AB1">
        <w:rPr>
          <w:i/>
          <w:iCs w:val="0"/>
        </w:rPr>
        <w:t>TNSP</w:t>
      </w:r>
      <w:r w:rsidR="00836FDE">
        <w:t xml:space="preserve"> would state that it reports MD on a calendar year basis and describe, for example, the months that it includes </w:t>
      </w:r>
      <w:r w:rsidR="00592E63">
        <w:t>in</w:t>
      </w:r>
      <w:r w:rsidR="00836FDE">
        <w:t xml:space="preserve"> any given </w:t>
      </w:r>
      <w:r w:rsidR="00375AB1" w:rsidRPr="00FD435B">
        <w:rPr>
          <w:i/>
          <w:iCs w:val="0"/>
        </w:rPr>
        <w:t>reporting period</w:t>
      </w:r>
      <w:r w:rsidR="00836FDE">
        <w:t>.</w:t>
      </w:r>
    </w:p>
    <w:p w14:paraId="0B67DFD3" w14:textId="1A95A85C" w:rsidR="00836FDE" w:rsidRPr="006467BB" w:rsidRDefault="00836FDE" w:rsidP="006467BB">
      <w:pPr>
        <w:spacing w:before="120" w:after="120"/>
        <w:rPr>
          <w:rFonts w:eastAsiaTheme="majorEastAsia" w:cstheme="majorBidi"/>
          <w:b/>
          <w:bCs/>
          <w:iCs/>
          <w:color w:val="303F51"/>
          <w:lang w:eastAsia="ja-JP"/>
        </w:rPr>
      </w:pPr>
      <w:r w:rsidRPr="006467BB">
        <w:rPr>
          <w:rFonts w:eastAsiaTheme="majorEastAsia" w:cstheme="majorBidi"/>
          <w:b/>
          <w:bCs/>
          <w:iCs/>
          <w:color w:val="303F51"/>
          <w:lang w:eastAsia="ja-JP"/>
        </w:rPr>
        <w:t xml:space="preserve">Coincident and non-coincident maximum demand by </w:t>
      </w:r>
      <w:r w:rsidR="00677C73" w:rsidRPr="006467BB">
        <w:rPr>
          <w:rFonts w:eastAsiaTheme="majorEastAsia" w:cstheme="majorBidi"/>
          <w:b/>
          <w:bCs/>
          <w:iCs/>
          <w:color w:val="303F51"/>
          <w:lang w:eastAsia="ja-JP"/>
        </w:rPr>
        <w:t>connection point</w:t>
      </w:r>
      <w:r w:rsidR="00152A4E">
        <w:rPr>
          <w:rFonts w:eastAsiaTheme="majorEastAsia" w:cstheme="majorBidi"/>
          <w:b/>
          <w:bCs/>
          <w:iCs/>
          <w:color w:val="303F51"/>
          <w:lang w:eastAsia="ja-JP"/>
        </w:rPr>
        <w:t xml:space="preserve"> </w:t>
      </w:r>
      <w:r w:rsidR="00152A4E" w:rsidRPr="00152A4E">
        <w:rPr>
          <w:rFonts w:eastAsiaTheme="majorEastAsia" w:cstheme="majorBidi"/>
          <w:b/>
          <w:bCs/>
          <w:iCs/>
          <w:color w:val="0000CC"/>
          <w:lang w:eastAsia="ja-JP"/>
        </w:rPr>
        <w:t>(table 5.4.1)</w:t>
      </w:r>
    </w:p>
    <w:p w14:paraId="2B026889" w14:textId="6D952EB7" w:rsidR="00836FDE" w:rsidRDefault="00836FDE" w:rsidP="00836FDE">
      <w:pPr>
        <w:pStyle w:val="Noparagraph"/>
        <w:spacing w:after="120"/>
        <w:ind w:left="567" w:hanging="567"/>
      </w:pPr>
      <w:r>
        <w:t xml:space="preserve">The </w:t>
      </w:r>
      <w:r w:rsidR="00375AB1" w:rsidRPr="00375AB1">
        <w:rPr>
          <w:i/>
        </w:rPr>
        <w:t>TNSP</w:t>
      </w:r>
      <w:r>
        <w:t xml:space="preserve"> must </w:t>
      </w:r>
      <w:r w:rsidR="000F048C">
        <w:t xml:space="preserve">report </w:t>
      </w:r>
      <w:r>
        <w:t xml:space="preserve">maximum demand </w:t>
      </w:r>
      <w:r w:rsidR="000F048C">
        <w:t xml:space="preserve">data </w:t>
      </w:r>
      <w:r>
        <w:t>for all network segments.</w:t>
      </w:r>
    </w:p>
    <w:p w14:paraId="1671232B" w14:textId="6074921D" w:rsidR="00836FDE" w:rsidRDefault="00836FDE" w:rsidP="007E18FB">
      <w:pPr>
        <w:pStyle w:val="ListParagraph"/>
        <w:numPr>
          <w:ilvl w:val="0"/>
          <w:numId w:val="66"/>
        </w:numPr>
        <w:spacing w:before="120" w:after="120"/>
      </w:pPr>
      <w:r>
        <w:t xml:space="preserve">The </w:t>
      </w:r>
      <w:r w:rsidR="00375AB1" w:rsidRPr="007E18FB">
        <w:rPr>
          <w:i/>
          <w:iCs/>
        </w:rPr>
        <w:t>TNSP</w:t>
      </w:r>
      <w:r>
        <w:t xml:space="preserve"> must report </w:t>
      </w:r>
      <w:r w:rsidR="00EC546A">
        <w:t xml:space="preserve">data </w:t>
      </w:r>
      <w:r>
        <w:t xml:space="preserve">for each </w:t>
      </w:r>
      <w:r w:rsidR="00113EE4" w:rsidRPr="007E18FB">
        <w:rPr>
          <w:iCs/>
        </w:rPr>
        <w:t>connection point</w:t>
      </w:r>
      <w:r w:rsidR="00113EE4">
        <w:t xml:space="preserve"> </w:t>
      </w:r>
      <w:r>
        <w:t>separately</w:t>
      </w:r>
      <w:r w:rsidR="005B5022">
        <w:t xml:space="preserve"> and </w:t>
      </w:r>
      <w:r>
        <w:t xml:space="preserve">must </w:t>
      </w:r>
      <w:r w:rsidR="000F048C">
        <w:t xml:space="preserve">identify </w:t>
      </w:r>
      <w:r w:rsidR="00EC546A">
        <w:t xml:space="preserve">in the </w:t>
      </w:r>
      <w:r w:rsidR="00EC546A" w:rsidRPr="007E18FB">
        <w:rPr>
          <w:i/>
          <w:iCs/>
        </w:rPr>
        <w:t>basis of preparation</w:t>
      </w:r>
      <w:r w:rsidR="00EC546A">
        <w:t xml:space="preserve"> </w:t>
      </w:r>
      <w:r>
        <w:t xml:space="preserve">instances where it </w:t>
      </w:r>
      <w:r w:rsidR="00EC546A">
        <w:t xml:space="preserve">has </w:t>
      </w:r>
      <w:r>
        <w:t>decommission</w:t>
      </w:r>
      <w:r w:rsidR="00EC546A">
        <w:t>ed</w:t>
      </w:r>
      <w:r>
        <w:t xml:space="preserve"> </w:t>
      </w:r>
      <w:r w:rsidR="00730468" w:rsidRPr="007E18FB">
        <w:rPr>
          <w:iCs/>
        </w:rPr>
        <w:t>connection point</w:t>
      </w:r>
      <w:r w:rsidRPr="007E18FB">
        <w:rPr>
          <w:iCs/>
        </w:rPr>
        <w:t>s</w:t>
      </w:r>
      <w:r>
        <w:t>.</w:t>
      </w:r>
    </w:p>
    <w:p w14:paraId="0D5EE278" w14:textId="211F7101" w:rsidR="00836FDE" w:rsidRDefault="00836FDE" w:rsidP="00836FDE">
      <w:pPr>
        <w:pStyle w:val="Noparagraph"/>
        <w:spacing w:after="120"/>
        <w:ind w:left="567" w:hanging="567"/>
      </w:pPr>
      <w:r>
        <w:t xml:space="preserve">The </w:t>
      </w:r>
      <w:r w:rsidR="00375AB1" w:rsidRPr="00375AB1">
        <w:rPr>
          <w:i/>
          <w:iCs w:val="0"/>
        </w:rPr>
        <w:t>TNSP</w:t>
      </w:r>
      <w:r>
        <w:t xml:space="preserve"> must </w:t>
      </w:r>
      <w:r w:rsidR="000F048C">
        <w:t xml:space="preserve">report </w:t>
      </w:r>
      <w:r>
        <w:t xml:space="preserve">the </w:t>
      </w:r>
      <w:r w:rsidR="0002658B">
        <w:t xml:space="preserve">normal cyclic </w:t>
      </w:r>
      <w:r>
        <w:t xml:space="preserve">rating for all </w:t>
      </w:r>
      <w:r w:rsidR="00113EE4" w:rsidRPr="00113EE4">
        <w:rPr>
          <w:iCs w:val="0"/>
        </w:rPr>
        <w:t>connection points</w:t>
      </w:r>
      <w:r>
        <w:t>.</w:t>
      </w:r>
    </w:p>
    <w:p w14:paraId="0C22D1C4" w14:textId="7FBA3DD6" w:rsidR="00836FDE" w:rsidRDefault="00836FDE" w:rsidP="00836FDE">
      <w:pPr>
        <w:ind w:left="1134" w:hanging="567"/>
      </w:pPr>
      <w:r>
        <w:t>(a)</w:t>
      </w:r>
      <w:r>
        <w:tab/>
        <w:t xml:space="preserve">The </w:t>
      </w:r>
      <w:r w:rsidR="00375AB1" w:rsidRPr="00375AB1">
        <w:rPr>
          <w:i/>
          <w:iCs/>
        </w:rPr>
        <w:t>TNSP</w:t>
      </w:r>
      <w:r>
        <w:t xml:space="preserve"> must report the seasonal rating that corresponds to the time of the raw adjusted maximum demand. For example, the </w:t>
      </w:r>
      <w:r w:rsidR="00375AB1" w:rsidRPr="00375AB1">
        <w:rPr>
          <w:i/>
          <w:iCs/>
        </w:rPr>
        <w:t>TNSP</w:t>
      </w:r>
      <w:r w:rsidRPr="00F71626">
        <w:rPr>
          <w:i/>
          <w:iCs/>
        </w:rPr>
        <w:t xml:space="preserve"> </w:t>
      </w:r>
      <w:r w:rsidR="009F527A">
        <w:t>must report</w:t>
      </w:r>
      <w:r>
        <w:t xml:space="preserve"> the summer normal cyclic rating of the </w:t>
      </w:r>
      <w:r w:rsidR="00730468" w:rsidRPr="00730468">
        <w:t>connection point</w:t>
      </w:r>
      <w:r>
        <w:t xml:space="preserve"> if the raw adjusted maximum demand for that </w:t>
      </w:r>
      <w:r w:rsidR="00730468" w:rsidRPr="00730468">
        <w:t>connection point</w:t>
      </w:r>
      <w:r>
        <w:t xml:space="preserve"> occurred in summer.</w:t>
      </w:r>
    </w:p>
    <w:p w14:paraId="2ED5FA36" w14:textId="7FC5611A" w:rsidR="00836FDE" w:rsidRDefault="00836FDE" w:rsidP="00836FDE">
      <w:pPr>
        <w:ind w:left="1134" w:hanging="567"/>
      </w:pPr>
      <w:r>
        <w:t>(b)</w:t>
      </w:r>
      <w:r>
        <w:tab/>
        <w:t xml:space="preserve">Where the </w:t>
      </w:r>
      <w:r w:rsidR="00375AB1" w:rsidRPr="00375AB1">
        <w:rPr>
          <w:i/>
          <w:iCs/>
        </w:rPr>
        <w:t>TNSP</w:t>
      </w:r>
      <w:r>
        <w:t xml:space="preserve"> does not keep and maintain rating information (for example, where the </w:t>
      </w:r>
      <w:r w:rsidR="00375AB1" w:rsidRPr="00375AB1">
        <w:rPr>
          <w:i/>
        </w:rPr>
        <w:t>TNSP</w:t>
      </w:r>
      <w:r>
        <w:t xml:space="preserve"> </w:t>
      </w:r>
      <w:r w:rsidR="001B6A47">
        <w:t xml:space="preserve">does not </w:t>
      </w:r>
      <w:r>
        <w:t xml:space="preserve">own the assets to which such ratings apply), it may estimate this information or </w:t>
      </w:r>
      <w:r w:rsidR="005B5022">
        <w:t xml:space="preserve">report </w:t>
      </w:r>
      <w:r>
        <w:t>a NULL response.</w:t>
      </w:r>
    </w:p>
    <w:p w14:paraId="61ECB152" w14:textId="60CB3983" w:rsidR="00836FDE" w:rsidRDefault="00836FDE" w:rsidP="00836FDE">
      <w:pPr>
        <w:pStyle w:val="Noparagraph"/>
        <w:spacing w:after="120"/>
        <w:ind w:left="567" w:hanging="567"/>
      </w:pPr>
      <w:r>
        <w:t xml:space="preserve">Where maximum demand in MVA </w:t>
      </w:r>
      <w:r w:rsidR="001D5911">
        <w:t>and</w:t>
      </w:r>
      <w:r>
        <w:t xml:space="preserve"> maximum demand in MW</w:t>
      </w:r>
      <w:r w:rsidR="001D5911">
        <w:t xml:space="preserve"> occurred at different times</w:t>
      </w:r>
      <w:r>
        <w:t xml:space="preserve">, the </w:t>
      </w:r>
      <w:r w:rsidR="00375AB1" w:rsidRPr="00375AB1">
        <w:rPr>
          <w:i/>
          <w:iCs w:val="0"/>
        </w:rPr>
        <w:t>TNSP</w:t>
      </w:r>
      <w:r>
        <w:t xml:space="preserve"> must </w:t>
      </w:r>
      <w:r w:rsidR="005B5022">
        <w:t xml:space="preserve">report </w:t>
      </w:r>
      <w:r>
        <w:t xml:space="preserve">maximum demand figures for both measures at the time maximum demand in MW occurred. In such instances, the </w:t>
      </w:r>
      <w:r w:rsidR="00375AB1" w:rsidRPr="00375AB1">
        <w:rPr>
          <w:i/>
          <w:iCs w:val="0"/>
        </w:rPr>
        <w:t>TNSP</w:t>
      </w:r>
      <w:r w:rsidRPr="00F71626">
        <w:rPr>
          <w:i/>
          <w:iCs w:val="0"/>
        </w:rPr>
        <w:t xml:space="preserve"> </w:t>
      </w:r>
      <w:r>
        <w:t xml:space="preserve">must </w:t>
      </w:r>
      <w:r w:rsidR="00EC546A">
        <w:t xml:space="preserve">identify </w:t>
      </w:r>
      <w:r>
        <w:t xml:space="preserve">in the </w:t>
      </w:r>
      <w:r w:rsidRPr="001C24B2">
        <w:rPr>
          <w:i/>
          <w:iCs w:val="0"/>
        </w:rPr>
        <w:t>basis of preparation</w:t>
      </w:r>
      <w:r>
        <w:t xml:space="preserve"> the date the maximum demand in MVA occurred.</w:t>
      </w:r>
    </w:p>
    <w:p w14:paraId="505B9079" w14:textId="7A6B2B09" w:rsidR="00836FDE" w:rsidRDefault="00836FDE" w:rsidP="00836FDE">
      <w:pPr>
        <w:pStyle w:val="Noparagraph"/>
        <w:spacing w:after="120"/>
        <w:ind w:left="567" w:hanging="567"/>
      </w:pPr>
      <w:r>
        <w:t xml:space="preserve">If either the MW or MVA measure is unavailable, </w:t>
      </w:r>
      <w:r w:rsidR="0099501A">
        <w:t xml:space="preserve">the </w:t>
      </w:r>
      <w:r w:rsidR="0099501A">
        <w:rPr>
          <w:i/>
          <w:iCs w:val="0"/>
        </w:rPr>
        <w:t xml:space="preserve">TNSP </w:t>
      </w:r>
      <w:r w:rsidR="0099501A">
        <w:t xml:space="preserve">must approximate </w:t>
      </w:r>
      <w:r>
        <w:t>the power factor conversion based on best engineering estimates.</w:t>
      </w:r>
    </w:p>
    <w:p w14:paraId="63C24B32" w14:textId="6F6A5118" w:rsidR="00836FDE" w:rsidRDefault="00836FDE" w:rsidP="00836FDE">
      <w:pPr>
        <w:pStyle w:val="Noparagraph"/>
        <w:spacing w:after="120"/>
        <w:ind w:left="567" w:hanging="567"/>
      </w:pPr>
      <w:r>
        <w:t xml:space="preserve">If the </w:t>
      </w:r>
      <w:r w:rsidR="00375AB1" w:rsidRPr="00375AB1">
        <w:rPr>
          <w:i/>
        </w:rPr>
        <w:t>TNSP</w:t>
      </w:r>
      <w:r>
        <w:t xml:space="preserve"> cannot use raw unadjusted maximum demand as the basis for </w:t>
      </w:r>
      <w:r w:rsidR="00CC2892">
        <w:t xml:space="preserve">reporting </w:t>
      </w:r>
      <w:r>
        <w:t>c</w:t>
      </w:r>
      <w:r w:rsidRPr="00F8032C">
        <w:t xml:space="preserve">oincident and non-coincident maximum demand by </w:t>
      </w:r>
      <w:r w:rsidR="00730468" w:rsidRPr="00730468">
        <w:t>connection point</w:t>
      </w:r>
      <w:r>
        <w:t xml:space="preserve">, it must describe the methods it employs to </w:t>
      </w:r>
      <w:r w:rsidR="00801831">
        <w:t>calculate the reported data</w:t>
      </w:r>
      <w:r>
        <w:t xml:space="preserve"> in the </w:t>
      </w:r>
      <w:r w:rsidRPr="00F8032C">
        <w:rPr>
          <w:i/>
          <w:iCs w:val="0"/>
        </w:rPr>
        <w:t>basis of preparation</w:t>
      </w:r>
      <w:r>
        <w:t>.</w:t>
      </w:r>
    </w:p>
    <w:p w14:paraId="2FCBA3D1" w14:textId="2E7675A7" w:rsidR="00836FDE" w:rsidRDefault="00836FDE" w:rsidP="00836FDE">
      <w:pPr>
        <w:pStyle w:val="Noparagraph"/>
        <w:spacing w:after="120"/>
        <w:ind w:left="567" w:hanging="567"/>
      </w:pPr>
      <w:r>
        <w:t xml:space="preserve">The </w:t>
      </w:r>
      <w:r w:rsidR="00375AB1" w:rsidRPr="00375AB1">
        <w:rPr>
          <w:i/>
          <w:iCs w:val="0"/>
        </w:rPr>
        <w:t>TNSP</w:t>
      </w:r>
      <w:r w:rsidRPr="00F71626">
        <w:rPr>
          <w:i/>
          <w:iCs w:val="0"/>
        </w:rPr>
        <w:t xml:space="preserve"> </w:t>
      </w:r>
      <w:r>
        <w:t xml:space="preserve">must </w:t>
      </w:r>
      <w:r w:rsidR="0099501A">
        <w:t>report</w:t>
      </w:r>
      <w:r>
        <w:t xml:space="preserve"> ‘Adjustments </w:t>
      </w:r>
      <w:r w:rsidR="007E18FB">
        <w:t>–</w:t>
      </w:r>
      <w:r>
        <w:t xml:space="preserve"> Embedded generation’ </w:t>
      </w:r>
      <w:r w:rsidR="00CC2892">
        <w:t xml:space="preserve">where </w:t>
      </w:r>
      <w:r>
        <w:t xml:space="preserve">it has kept and maintained historical data for embedded generation downstream of the specified network segment and/or </w:t>
      </w:r>
      <w:r w:rsidR="00CC2892">
        <w:t>where</w:t>
      </w:r>
      <w:r>
        <w:t xml:space="preserve"> it accounts for such embedded generation in its maximum demand forecast.</w:t>
      </w:r>
    </w:p>
    <w:p w14:paraId="32585CEC" w14:textId="531167B0" w:rsidR="00836FDE" w:rsidRDefault="00836FDE" w:rsidP="00836FDE">
      <w:pPr>
        <w:spacing w:before="120" w:after="120"/>
        <w:ind w:left="1134" w:hanging="567"/>
      </w:pPr>
      <w:r>
        <w:t>(a)</w:t>
      </w:r>
      <w:r>
        <w:tab/>
        <w:t xml:space="preserve">The </w:t>
      </w:r>
      <w:r w:rsidR="00375AB1" w:rsidRPr="00375AB1">
        <w:rPr>
          <w:i/>
          <w:iCs/>
        </w:rPr>
        <w:t>TNSP</w:t>
      </w:r>
      <w:r w:rsidRPr="00F71626">
        <w:rPr>
          <w:i/>
          <w:iCs/>
        </w:rPr>
        <w:t xml:space="preserve"> </w:t>
      </w:r>
      <w:r>
        <w:t xml:space="preserve">must allocate embedded generation </w:t>
      </w:r>
      <w:r w:rsidR="00CC2892">
        <w:t xml:space="preserve">data </w:t>
      </w:r>
      <w:r>
        <w:t xml:space="preserve">to the appropriate </w:t>
      </w:r>
      <w:r w:rsidR="00730468" w:rsidRPr="00730468">
        <w:t>connection point</w:t>
      </w:r>
      <w:r>
        <w:t xml:space="preserve"> under system normal conditions (consistent with the definition of raw adjusted maximum demand).</w:t>
      </w:r>
    </w:p>
    <w:p w14:paraId="02F194F7" w14:textId="5CB6053F" w:rsidR="00836FDE" w:rsidRDefault="00836FDE" w:rsidP="00836FDE">
      <w:pPr>
        <w:spacing w:before="120" w:after="120"/>
        <w:ind w:left="1134" w:hanging="567"/>
      </w:pPr>
      <w:r>
        <w:t>(b)</w:t>
      </w:r>
      <w:r>
        <w:tab/>
        <w:t xml:space="preserve">The </w:t>
      </w:r>
      <w:r w:rsidR="00375AB1" w:rsidRPr="00375AB1">
        <w:rPr>
          <w:i/>
          <w:iCs/>
        </w:rPr>
        <w:t>TNSP</w:t>
      </w:r>
      <w:r w:rsidRPr="00F71626">
        <w:rPr>
          <w:i/>
          <w:iCs/>
        </w:rPr>
        <w:t xml:space="preserve"> </w:t>
      </w:r>
      <w:r>
        <w:t xml:space="preserve">must describe the type of embedded generation data it has </w:t>
      </w:r>
      <w:r w:rsidR="00BA2B1D">
        <w:t xml:space="preserve">reported </w:t>
      </w:r>
      <w:r>
        <w:t xml:space="preserve">in the </w:t>
      </w:r>
      <w:r w:rsidRPr="00B56F33">
        <w:rPr>
          <w:i/>
          <w:iCs/>
        </w:rPr>
        <w:t>basis of preparation</w:t>
      </w:r>
      <w:r>
        <w:t xml:space="preserve">. For example, the </w:t>
      </w:r>
      <w:r w:rsidR="00375AB1" w:rsidRPr="00375AB1">
        <w:rPr>
          <w:i/>
          <w:iCs/>
        </w:rPr>
        <w:t>TNSP</w:t>
      </w:r>
      <w:r>
        <w:t xml:space="preserve"> may state it has included </w:t>
      </w:r>
      <w:r>
        <w:lastRenderedPageBreak/>
        <w:t xml:space="preserve">scheduled, semi-scheduled and non-scheduled embedded generation. In this example, we </w:t>
      </w:r>
      <w:r w:rsidR="00CC2892">
        <w:t>can</w:t>
      </w:r>
      <w:r>
        <w:t xml:space="preserve"> calculate native demand by adding these figures to the raw adjusted maximum demand figures.</w:t>
      </w:r>
    </w:p>
    <w:p w14:paraId="08EC894C" w14:textId="069043F1" w:rsidR="00836FDE" w:rsidRDefault="00BA2B1D" w:rsidP="00836FDE">
      <w:pPr>
        <w:pStyle w:val="Noparagraph"/>
        <w:spacing w:after="120"/>
        <w:ind w:left="567" w:hanging="567"/>
      </w:pPr>
      <w:r>
        <w:t xml:space="preserve">If the </w:t>
      </w:r>
      <w:r w:rsidRPr="00BA2B1D">
        <w:rPr>
          <w:i/>
          <w:iCs w:val="0"/>
        </w:rPr>
        <w:t>TNSP</w:t>
      </w:r>
      <w:r>
        <w:t xml:space="preserve"> has</w:t>
      </w:r>
      <w:r w:rsidR="005852AE">
        <w:t xml:space="preserve"> calculated and</w:t>
      </w:r>
      <w:r>
        <w:t xml:space="preserve"> </w:t>
      </w:r>
      <w:r w:rsidR="005852AE">
        <w:t>maintained</w:t>
      </w:r>
      <w:r>
        <w:t xml:space="preserve"> historical weather corrected maximum demand </w:t>
      </w:r>
      <w:proofErr w:type="gramStart"/>
      <w:r w:rsidR="00A2368A">
        <w:t>data</w:t>
      </w:r>
      <w:proofErr w:type="gramEnd"/>
      <w:r w:rsidR="00A2368A">
        <w:t xml:space="preserve"> </w:t>
      </w:r>
      <w:r>
        <w:t xml:space="preserve">it </w:t>
      </w:r>
      <w:r w:rsidR="00836FDE">
        <w:t xml:space="preserve">must </w:t>
      </w:r>
      <w:r>
        <w:t>report that data</w:t>
      </w:r>
      <w:r w:rsidR="00836FDE">
        <w:t>.</w:t>
      </w:r>
    </w:p>
    <w:p w14:paraId="755BD99D" w14:textId="524A1511" w:rsidR="00836FDE" w:rsidRDefault="00836FDE" w:rsidP="00836FDE">
      <w:pPr>
        <w:spacing w:before="120" w:after="120"/>
        <w:ind w:left="1134" w:hanging="567"/>
      </w:pPr>
      <w:r>
        <w:t>(a)</w:t>
      </w:r>
      <w:r>
        <w:tab/>
        <w:t xml:space="preserve">The </w:t>
      </w:r>
      <w:r w:rsidR="00375AB1" w:rsidRPr="00375AB1">
        <w:rPr>
          <w:i/>
          <w:iCs/>
        </w:rPr>
        <w:t>TNSP</w:t>
      </w:r>
      <w:r w:rsidRPr="00F71626">
        <w:rPr>
          <w:i/>
          <w:iCs/>
        </w:rPr>
        <w:t xml:space="preserve"> </w:t>
      </w:r>
      <w:r>
        <w:t xml:space="preserve">must describe its weather correction process in the </w:t>
      </w:r>
      <w:r w:rsidRPr="00B56F33">
        <w:rPr>
          <w:i/>
          <w:iCs/>
        </w:rPr>
        <w:t>basis of preparation</w:t>
      </w:r>
      <w:r>
        <w:t xml:space="preserve">. The </w:t>
      </w:r>
      <w:r w:rsidR="00375AB1" w:rsidRPr="00375AB1">
        <w:rPr>
          <w:i/>
          <w:iCs/>
        </w:rPr>
        <w:t>TNSP</w:t>
      </w:r>
      <w:r w:rsidRPr="00F71626">
        <w:rPr>
          <w:i/>
          <w:iCs/>
        </w:rPr>
        <w:t xml:space="preserve"> </w:t>
      </w:r>
      <w:r w:rsidRPr="00781EAA">
        <w:t>m</w:t>
      </w:r>
      <w:r>
        <w:t xml:space="preserve">ust </w:t>
      </w:r>
      <w:r w:rsidR="009B559B">
        <w:t xml:space="preserve">identify </w:t>
      </w:r>
      <w:r>
        <w:t xml:space="preserve">whether the </w:t>
      </w:r>
      <w:r w:rsidR="004A3576">
        <w:t xml:space="preserve">reported </w:t>
      </w:r>
      <w:r>
        <w:t xml:space="preserve">weather corrected maximum demand </w:t>
      </w:r>
      <w:r w:rsidR="004A3576">
        <w:t>data is</w:t>
      </w:r>
      <w:r>
        <w:t xml:space="preserve"> based on raw adjusted maximum demand or raw unadjusted maximum demand or another type of maximum demand figure.</w:t>
      </w:r>
    </w:p>
    <w:p w14:paraId="5FB844EC" w14:textId="2E75B995" w:rsidR="00836FDE" w:rsidRDefault="00836FDE" w:rsidP="00836FDE">
      <w:pPr>
        <w:spacing w:before="120" w:after="120"/>
        <w:ind w:left="1134" w:hanging="567"/>
      </w:pPr>
      <w:r>
        <w:t>(b)</w:t>
      </w:r>
      <w:r>
        <w:tab/>
        <w:t xml:space="preserve">The </w:t>
      </w:r>
      <w:r w:rsidR="00375AB1" w:rsidRPr="00375AB1">
        <w:rPr>
          <w:i/>
          <w:iCs/>
        </w:rPr>
        <w:t>TNSP</w:t>
      </w:r>
      <w:r>
        <w:t xml:space="preserve"> must </w:t>
      </w:r>
      <w:r w:rsidR="009B559B">
        <w:t xml:space="preserve">report </w:t>
      </w:r>
      <w:r>
        <w:t>weather corrected maximum demand in accordance with best regulatory practice weather correction methodologies.</w:t>
      </w:r>
    </w:p>
    <w:p w14:paraId="3B390E31" w14:textId="4EB7E122" w:rsidR="00836FDE" w:rsidRDefault="006B22C4" w:rsidP="00836FDE">
      <w:pPr>
        <w:pStyle w:val="Noparagraph"/>
        <w:spacing w:after="120"/>
        <w:ind w:left="567" w:hanging="567"/>
      </w:pPr>
      <w:r>
        <w:t>S</w:t>
      </w:r>
      <w:r w:rsidR="00836FDE">
        <w:t xml:space="preserve">ystem coincident data </w:t>
      </w:r>
      <w:r>
        <w:t xml:space="preserve">is </w:t>
      </w:r>
      <w:r w:rsidR="00836FDE">
        <w:t xml:space="preserve">the demand at that </w:t>
      </w:r>
      <w:proofErr w:type="gramStart"/>
      <w:r w:rsidR="00836FDE">
        <w:t>particular point</w:t>
      </w:r>
      <w:proofErr w:type="gramEnd"/>
      <w:r w:rsidR="00836FDE">
        <w:t xml:space="preserve"> on the network at the time of system (or network) peak.</w:t>
      </w:r>
    </w:p>
    <w:p w14:paraId="16E23C54" w14:textId="38390D6B" w:rsidR="00836FDE" w:rsidRDefault="002124E5" w:rsidP="00836FDE">
      <w:pPr>
        <w:pStyle w:val="Noparagraph"/>
        <w:spacing w:after="120"/>
        <w:ind w:left="567" w:hanging="567"/>
      </w:pPr>
      <w:r>
        <w:t xml:space="preserve">The </w:t>
      </w:r>
      <w:r w:rsidRPr="002124E5">
        <w:rPr>
          <w:i/>
          <w:iCs w:val="0"/>
        </w:rPr>
        <w:t>TNSP</w:t>
      </w:r>
      <w:r>
        <w:t xml:space="preserve"> must report </w:t>
      </w:r>
      <w:r w:rsidR="00836FDE">
        <w:t xml:space="preserve">Non coincident </w:t>
      </w:r>
      <w:r>
        <w:t xml:space="preserve">maximum demand data </w:t>
      </w:r>
      <w:r w:rsidR="00961B13">
        <w:t>for</w:t>
      </w:r>
      <w:r>
        <w:t xml:space="preserve"> each </w:t>
      </w:r>
      <w:r w:rsidRPr="00730468">
        <w:t>connection point</w:t>
      </w:r>
      <w:r>
        <w:t xml:space="preserve"> in each year</w:t>
      </w:r>
      <w:r w:rsidR="00961B13">
        <w:t xml:space="preserve">. Such data </w:t>
      </w:r>
      <w:r w:rsidR="00836FDE">
        <w:t xml:space="preserve">may not necessarily coincide with </w:t>
      </w:r>
      <w:r w:rsidR="00961B13">
        <w:t xml:space="preserve">demand at </w:t>
      </w:r>
      <w:r w:rsidR="00836FDE">
        <w:t>the time of system peak</w:t>
      </w:r>
      <w:r w:rsidR="00790C49">
        <w:t>.</w:t>
      </w:r>
    </w:p>
    <w:p w14:paraId="003123C8" w14:textId="4BCC82DE" w:rsidR="00836FDE" w:rsidRDefault="00790C49" w:rsidP="00836FDE">
      <w:pPr>
        <w:pStyle w:val="Noparagraph"/>
        <w:spacing w:after="120"/>
        <w:ind w:left="567" w:hanging="567"/>
      </w:pPr>
      <w:r>
        <w:t xml:space="preserve">Where </w:t>
      </w:r>
      <w:r w:rsidR="00836FDE">
        <w:t xml:space="preserve">the </w:t>
      </w:r>
      <w:r w:rsidR="00375AB1" w:rsidRPr="00375AB1">
        <w:rPr>
          <w:i/>
        </w:rPr>
        <w:t>TNSP</w:t>
      </w:r>
      <w:r w:rsidR="00836FDE" w:rsidRPr="00277CC5">
        <w:t xml:space="preserve"> </w:t>
      </w:r>
      <w:r w:rsidR="00836FDE">
        <w:t xml:space="preserve">does not record and/or maintain spatial maximum demand coincident to the system maximum demand, the </w:t>
      </w:r>
      <w:r w:rsidR="00375AB1" w:rsidRPr="00375AB1">
        <w:rPr>
          <w:i/>
        </w:rPr>
        <w:t>TNSP</w:t>
      </w:r>
      <w:r w:rsidR="00836FDE">
        <w:t xml:space="preserve"> must </w:t>
      </w:r>
      <w:r w:rsidR="006B22C4">
        <w:t xml:space="preserve">report </w:t>
      </w:r>
      <w:r w:rsidR="00836FDE">
        <w:t xml:space="preserve">spatial maximum demand coincident to a higher network segment. The </w:t>
      </w:r>
      <w:r w:rsidR="00375AB1" w:rsidRPr="00375AB1">
        <w:rPr>
          <w:i/>
        </w:rPr>
        <w:t>TNSP</w:t>
      </w:r>
      <w:r w:rsidR="00836FDE">
        <w:t xml:space="preserve"> must </w:t>
      </w:r>
      <w:r w:rsidR="006B22C4">
        <w:t xml:space="preserve">identify </w:t>
      </w:r>
      <w:r w:rsidR="00893F60">
        <w:t xml:space="preserve">in the </w:t>
      </w:r>
      <w:r w:rsidR="00893F60" w:rsidRPr="006B22C4">
        <w:rPr>
          <w:i/>
          <w:iCs w:val="0"/>
        </w:rPr>
        <w:t>basis of preparation</w:t>
      </w:r>
      <w:r w:rsidR="00893F60">
        <w:t xml:space="preserve"> </w:t>
      </w:r>
      <w:r w:rsidR="00836FDE">
        <w:t xml:space="preserve">the higher network segment to which the lower network segment is coincident to. For example, if the </w:t>
      </w:r>
      <w:r w:rsidR="00375AB1" w:rsidRPr="00375AB1">
        <w:rPr>
          <w:i/>
        </w:rPr>
        <w:t>TNSP</w:t>
      </w:r>
      <w:r w:rsidR="00836FDE">
        <w:t xml:space="preserve"> does not maintain maximum demand data for zone substations coincident to the system maximum demand, the </w:t>
      </w:r>
      <w:r w:rsidR="00375AB1" w:rsidRPr="00375AB1">
        <w:rPr>
          <w:i/>
        </w:rPr>
        <w:t>TNSP</w:t>
      </w:r>
      <w:r w:rsidR="00836FDE">
        <w:t xml:space="preserve"> may </w:t>
      </w:r>
      <w:r w:rsidR="000E6368">
        <w:t xml:space="preserve">report </w:t>
      </w:r>
      <w:r w:rsidR="00836FDE">
        <w:t xml:space="preserve">maximum demand data coincident to the connection point. In this example, the </w:t>
      </w:r>
      <w:r w:rsidR="00375AB1" w:rsidRPr="00375AB1">
        <w:rPr>
          <w:i/>
        </w:rPr>
        <w:t>TNSP</w:t>
      </w:r>
      <w:r w:rsidR="00836FDE">
        <w:t xml:space="preserve"> would </w:t>
      </w:r>
      <w:r w:rsidR="006B22C4">
        <w:t xml:space="preserve">identify </w:t>
      </w:r>
      <w:r w:rsidR="00836FDE">
        <w:t xml:space="preserve">the relevant connection point in the </w:t>
      </w:r>
      <w:r w:rsidR="00836FDE" w:rsidRPr="00763D32">
        <w:rPr>
          <w:i/>
          <w:iCs w:val="0"/>
        </w:rPr>
        <w:t>basis of preparation</w:t>
      </w:r>
      <w:r w:rsidR="00836FDE">
        <w:t>.</w:t>
      </w:r>
    </w:p>
    <w:p w14:paraId="78366B25" w14:textId="57731922" w:rsidR="00836FDE" w:rsidRPr="00066C35" w:rsidRDefault="00836FDE" w:rsidP="00836FDE">
      <w:pPr>
        <w:pStyle w:val="Heading3"/>
        <w:spacing w:after="240"/>
        <w:ind w:left="578" w:hanging="578"/>
        <w:rPr>
          <w:lang w:eastAsia="ja-JP"/>
        </w:rPr>
      </w:pPr>
      <w:bookmarkStart w:id="29" w:name="_Toc121724693"/>
      <w:bookmarkStart w:id="30" w:name="_Toc162703541"/>
      <w:r w:rsidRPr="00066C35">
        <w:rPr>
          <w:lang w:eastAsia="ja-JP"/>
        </w:rPr>
        <w:t>Connections</w:t>
      </w:r>
      <w:bookmarkEnd w:id="29"/>
      <w:r w:rsidR="009F3784">
        <w:rPr>
          <w:lang w:eastAsia="ja-JP"/>
        </w:rPr>
        <w:t xml:space="preserve"> (transmission)</w:t>
      </w:r>
      <w:bookmarkEnd w:id="30"/>
      <w:r w:rsidR="00F639D1">
        <w:rPr>
          <w:lang w:eastAsia="ja-JP"/>
        </w:rPr>
        <w:t xml:space="preserve"> </w:t>
      </w:r>
      <w:r w:rsidR="00F639D1">
        <w:rPr>
          <w:color w:val="0000CC"/>
          <w:lang w:eastAsia="ja-JP"/>
        </w:rPr>
        <w:t>(3.4, 2.5)</w:t>
      </w:r>
    </w:p>
    <w:p w14:paraId="1784CD56" w14:textId="66D9F0AB" w:rsidR="00836FDE" w:rsidRPr="001073C4" w:rsidRDefault="00F82297" w:rsidP="00836FDE">
      <w:pPr>
        <w:rPr>
          <w:rFonts w:eastAsiaTheme="majorEastAsia" w:cstheme="majorBidi"/>
          <w:b/>
          <w:bCs/>
          <w:iCs/>
          <w:color w:val="0000CC"/>
          <w:lang w:eastAsia="ja-JP"/>
        </w:rPr>
      </w:pPr>
      <w:r>
        <w:rPr>
          <w:rFonts w:eastAsiaTheme="majorEastAsia" w:cstheme="majorBidi"/>
          <w:b/>
          <w:bCs/>
          <w:iCs/>
          <w:color w:val="303F51"/>
          <w:lang w:eastAsia="ja-JP"/>
        </w:rPr>
        <w:t>Average number of entry connection points by voltage</w:t>
      </w:r>
      <w:r w:rsidR="001073C4">
        <w:rPr>
          <w:rFonts w:eastAsiaTheme="majorEastAsia" w:cstheme="majorBidi"/>
          <w:b/>
          <w:bCs/>
          <w:iCs/>
          <w:color w:val="303F51"/>
          <w:lang w:eastAsia="ja-JP"/>
        </w:rPr>
        <w:t xml:space="preserve"> </w:t>
      </w:r>
      <w:r w:rsidR="00F639D1">
        <w:rPr>
          <w:rFonts w:eastAsiaTheme="majorEastAsia" w:cstheme="majorBidi"/>
          <w:b/>
          <w:bCs/>
          <w:iCs/>
          <w:color w:val="0000CC"/>
          <w:lang w:eastAsia="ja-JP"/>
        </w:rPr>
        <w:t>(table 3.4.2)</w:t>
      </w:r>
    </w:p>
    <w:p w14:paraId="33D271FE" w14:textId="7054B7AF" w:rsidR="00F82297" w:rsidRPr="00F639D1" w:rsidRDefault="00F82297" w:rsidP="00836FDE">
      <w:pPr>
        <w:rPr>
          <w:rFonts w:eastAsiaTheme="majorEastAsia" w:cstheme="majorBidi"/>
          <w:b/>
          <w:bCs/>
          <w:iCs/>
          <w:color w:val="0000CC"/>
          <w:lang w:eastAsia="ja-JP"/>
        </w:rPr>
      </w:pPr>
      <w:r>
        <w:rPr>
          <w:rFonts w:eastAsiaTheme="majorEastAsia" w:cstheme="majorBidi"/>
          <w:b/>
          <w:bCs/>
          <w:iCs/>
          <w:color w:val="303F51"/>
          <w:lang w:eastAsia="ja-JP"/>
        </w:rPr>
        <w:t>Average number of exit connection points by voltage</w:t>
      </w:r>
      <w:r w:rsidR="00F639D1">
        <w:rPr>
          <w:rFonts w:eastAsiaTheme="majorEastAsia" w:cstheme="majorBidi"/>
          <w:b/>
          <w:bCs/>
          <w:iCs/>
          <w:color w:val="303F51"/>
          <w:lang w:eastAsia="ja-JP"/>
        </w:rPr>
        <w:t xml:space="preserve"> (</w:t>
      </w:r>
      <w:r w:rsidR="00F639D1">
        <w:rPr>
          <w:rFonts w:eastAsiaTheme="majorEastAsia" w:cstheme="majorBidi"/>
          <w:b/>
          <w:bCs/>
          <w:iCs/>
          <w:color w:val="0000CC"/>
          <w:lang w:eastAsia="ja-JP"/>
        </w:rPr>
        <w:t>table 3.4.2)</w:t>
      </w:r>
    </w:p>
    <w:p w14:paraId="3A1F4C7E" w14:textId="61DCE46D" w:rsidR="00F82297" w:rsidRDefault="00763D32" w:rsidP="00F82297">
      <w:pPr>
        <w:pStyle w:val="Noparagraph"/>
        <w:spacing w:after="120"/>
        <w:ind w:left="567" w:hanging="567"/>
      </w:pPr>
      <w:r>
        <w:t xml:space="preserve">The </w:t>
      </w:r>
      <w:r w:rsidRPr="00763D32">
        <w:rPr>
          <w:i/>
          <w:iCs w:val="0"/>
        </w:rPr>
        <w:t>TNSP</w:t>
      </w:r>
      <w:r>
        <w:t xml:space="preserve"> must report c</w:t>
      </w:r>
      <w:r w:rsidR="00F82297" w:rsidRPr="00F82297">
        <w:t xml:space="preserve">onnection point numbers as the average of connection point numbers in the </w:t>
      </w:r>
      <w:r w:rsidR="00F82297" w:rsidRPr="00F82297">
        <w:rPr>
          <w:i/>
          <w:iCs w:val="0"/>
        </w:rPr>
        <w:t>reporting period</w:t>
      </w:r>
      <w:r w:rsidR="00F82297" w:rsidRPr="00F82297">
        <w:t xml:space="preserve"> under system normal conditions. The average is calculated as the average of the number of connection points on the first day of the </w:t>
      </w:r>
      <w:r w:rsidR="00F82297" w:rsidRPr="00F82297">
        <w:rPr>
          <w:i/>
          <w:iCs w:val="0"/>
        </w:rPr>
        <w:t>reporting period</w:t>
      </w:r>
      <w:r w:rsidR="00F82297" w:rsidRPr="00F82297">
        <w:t xml:space="preserve"> and on the last day of the </w:t>
      </w:r>
      <w:r w:rsidR="00F82297" w:rsidRPr="00F82297">
        <w:rPr>
          <w:i/>
          <w:iCs w:val="0"/>
        </w:rPr>
        <w:t>reporting period</w:t>
      </w:r>
      <w:r w:rsidR="00F82297">
        <w:t>.</w:t>
      </w:r>
    </w:p>
    <w:p w14:paraId="5AE5219A" w14:textId="7FE09734" w:rsidR="00836FDE" w:rsidRPr="00F639D1" w:rsidRDefault="00F82297" w:rsidP="00836FDE">
      <w:pPr>
        <w:rPr>
          <w:rFonts w:eastAsiaTheme="majorEastAsia" w:cstheme="majorBidi"/>
          <w:b/>
          <w:bCs/>
          <w:iCs/>
          <w:color w:val="0000CC"/>
          <w:lang w:eastAsia="ja-JP"/>
        </w:rPr>
      </w:pPr>
      <w:r>
        <w:rPr>
          <w:rFonts w:eastAsiaTheme="majorEastAsia" w:cstheme="majorBidi"/>
          <w:b/>
          <w:bCs/>
          <w:iCs/>
          <w:color w:val="303F51"/>
          <w:lang w:eastAsia="ja-JP"/>
        </w:rPr>
        <w:t>De</w:t>
      </w:r>
      <w:r w:rsidR="00763D32">
        <w:rPr>
          <w:rFonts w:eastAsiaTheme="majorEastAsia" w:cstheme="majorBidi"/>
          <w:b/>
          <w:bCs/>
          <w:iCs/>
          <w:color w:val="303F51"/>
          <w:lang w:eastAsia="ja-JP"/>
        </w:rPr>
        <w:t>s</w:t>
      </w:r>
      <w:r>
        <w:rPr>
          <w:rFonts w:eastAsiaTheme="majorEastAsia" w:cstheme="majorBidi"/>
          <w:b/>
          <w:bCs/>
          <w:iCs/>
          <w:color w:val="303F51"/>
          <w:lang w:eastAsia="ja-JP"/>
        </w:rPr>
        <w:t xml:space="preserve">cription of </w:t>
      </w:r>
      <w:r w:rsidR="00836FDE">
        <w:rPr>
          <w:rFonts w:eastAsiaTheme="majorEastAsia" w:cstheme="majorBidi"/>
          <w:b/>
          <w:bCs/>
          <w:iCs/>
          <w:color w:val="303F51"/>
          <w:lang w:eastAsia="ja-JP"/>
        </w:rPr>
        <w:t xml:space="preserve">connections </w:t>
      </w:r>
      <w:r>
        <w:rPr>
          <w:rFonts w:eastAsiaTheme="majorEastAsia" w:cstheme="majorBidi"/>
          <w:b/>
          <w:bCs/>
          <w:iCs/>
          <w:color w:val="303F51"/>
          <w:lang w:eastAsia="ja-JP"/>
        </w:rPr>
        <w:t>projects</w:t>
      </w:r>
      <w:r w:rsidR="00F639D1">
        <w:rPr>
          <w:rFonts w:eastAsiaTheme="majorEastAsia" w:cstheme="majorBidi"/>
          <w:b/>
          <w:bCs/>
          <w:iCs/>
          <w:color w:val="303F51"/>
          <w:lang w:eastAsia="ja-JP"/>
        </w:rPr>
        <w:t xml:space="preserve"> </w:t>
      </w:r>
      <w:r w:rsidR="00F639D1">
        <w:rPr>
          <w:rFonts w:eastAsiaTheme="majorEastAsia" w:cstheme="majorBidi"/>
          <w:b/>
          <w:bCs/>
          <w:iCs/>
          <w:color w:val="0000CC"/>
          <w:lang w:eastAsia="ja-JP"/>
        </w:rPr>
        <w:t>(table 2.5.2)</w:t>
      </w:r>
    </w:p>
    <w:p w14:paraId="6865A77F" w14:textId="22053352" w:rsidR="008A6E01" w:rsidRDefault="008A6E01" w:rsidP="008A6E01">
      <w:pPr>
        <w:pStyle w:val="Noparagraph"/>
        <w:spacing w:after="120"/>
        <w:ind w:left="567" w:hanging="567"/>
      </w:pPr>
      <w:r>
        <w:t xml:space="preserve">Data requirements are identified by reference to table headings, row descriptors and column headings. They are represented as input cells </w:t>
      </w:r>
      <w:r w:rsidR="007E18FB">
        <w:t>–</w:t>
      </w:r>
      <w:r>
        <w:t xml:space="preserve"> shaded green in the </w:t>
      </w:r>
      <w:r w:rsidRPr="00BA4310">
        <w:rPr>
          <w:i/>
          <w:iCs w:val="0"/>
        </w:rPr>
        <w:t>data workbook</w:t>
      </w:r>
      <w:r>
        <w:rPr>
          <w:i/>
          <w:iCs w:val="0"/>
        </w:rPr>
        <w:t xml:space="preserve"> 02 – Operational outputs. </w:t>
      </w:r>
      <w:r w:rsidR="00D95706" w:rsidRPr="00D95706">
        <w:rPr>
          <w:iCs w:val="0"/>
        </w:rPr>
        <w:t>There are no further instructions</w:t>
      </w:r>
      <w:r>
        <w:rPr>
          <w:i/>
          <w:iCs w:val="0"/>
        </w:rPr>
        <w:t>.</w:t>
      </w:r>
    </w:p>
    <w:p w14:paraId="35BD8C5E" w14:textId="55A3318A" w:rsidR="00836FDE" w:rsidRDefault="008A6E01" w:rsidP="0048566D">
      <w:pPr>
        <w:pStyle w:val="Heading3"/>
        <w:spacing w:after="240"/>
        <w:ind w:left="567" w:hanging="567"/>
        <w:rPr>
          <w:lang w:eastAsia="ja-JP"/>
        </w:rPr>
      </w:pPr>
      <w:bookmarkStart w:id="31" w:name="_Toc121724694"/>
      <w:bookmarkStart w:id="32" w:name="_Toc162703542"/>
      <w:r>
        <w:rPr>
          <w:lang w:eastAsia="ja-JP"/>
        </w:rPr>
        <w:t>Asset replacement</w:t>
      </w:r>
      <w:r w:rsidR="00D16C9A">
        <w:rPr>
          <w:lang w:eastAsia="ja-JP"/>
        </w:rPr>
        <w:t xml:space="preserve"> activities</w:t>
      </w:r>
      <w:bookmarkEnd w:id="31"/>
      <w:bookmarkEnd w:id="32"/>
      <w:r w:rsidR="002C7305">
        <w:rPr>
          <w:lang w:eastAsia="ja-JP"/>
        </w:rPr>
        <w:t xml:space="preserve"> </w:t>
      </w:r>
      <w:r w:rsidR="00525886">
        <w:rPr>
          <w:color w:val="0000CC"/>
          <w:lang w:eastAsia="ja-JP"/>
        </w:rPr>
        <w:t>(2.2,</w:t>
      </w:r>
      <w:r w:rsidR="00873E4B">
        <w:rPr>
          <w:color w:val="0000CC"/>
          <w:lang w:eastAsia="ja-JP"/>
        </w:rPr>
        <w:t xml:space="preserve"> 2.8)</w:t>
      </w:r>
    </w:p>
    <w:p w14:paraId="23A4DF2F" w14:textId="71454617" w:rsidR="007418FA" w:rsidRPr="00810260" w:rsidRDefault="007418FA" w:rsidP="0048566D">
      <w:pPr>
        <w:keepNext/>
        <w:spacing w:before="120" w:after="120"/>
        <w:rPr>
          <w:rFonts w:eastAsiaTheme="majorEastAsia" w:cstheme="majorBidi"/>
          <w:b/>
          <w:bCs/>
          <w:iCs/>
          <w:color w:val="0000CC"/>
          <w:lang w:eastAsia="ja-JP"/>
        </w:rPr>
      </w:pPr>
      <w:r>
        <w:rPr>
          <w:rFonts w:eastAsiaTheme="majorEastAsia" w:cstheme="majorBidi"/>
          <w:b/>
          <w:bCs/>
          <w:iCs/>
          <w:color w:val="303F51"/>
          <w:lang w:eastAsia="ja-JP"/>
        </w:rPr>
        <w:t>Asset replacement</w:t>
      </w:r>
      <w:r w:rsidR="0048566D">
        <w:rPr>
          <w:rFonts w:eastAsiaTheme="majorEastAsia" w:cstheme="majorBidi"/>
          <w:b/>
          <w:bCs/>
          <w:iCs/>
          <w:color w:val="303F51"/>
          <w:lang w:eastAsia="ja-JP"/>
        </w:rPr>
        <w:t>, failure,</w:t>
      </w:r>
      <w:r>
        <w:rPr>
          <w:rFonts w:eastAsiaTheme="majorEastAsia" w:cstheme="majorBidi"/>
          <w:b/>
          <w:bCs/>
          <w:iCs/>
          <w:color w:val="303F51"/>
          <w:lang w:eastAsia="ja-JP"/>
        </w:rPr>
        <w:t xml:space="preserve"> maintenance</w:t>
      </w:r>
      <w:r w:rsidR="0048566D">
        <w:rPr>
          <w:rFonts w:eastAsiaTheme="majorEastAsia" w:cstheme="majorBidi"/>
          <w:b/>
          <w:bCs/>
          <w:iCs/>
          <w:color w:val="303F51"/>
          <w:lang w:eastAsia="ja-JP"/>
        </w:rPr>
        <w:t xml:space="preserve"> and inspection</w:t>
      </w:r>
      <w:r>
        <w:rPr>
          <w:rFonts w:eastAsiaTheme="majorEastAsia" w:cstheme="majorBidi"/>
          <w:b/>
          <w:bCs/>
          <w:iCs/>
          <w:color w:val="303F51"/>
          <w:lang w:eastAsia="ja-JP"/>
        </w:rPr>
        <w:t xml:space="preserve"> activities </w:t>
      </w:r>
      <w:r w:rsidR="00525886" w:rsidRPr="00810260">
        <w:rPr>
          <w:rFonts w:eastAsiaTheme="majorEastAsia" w:cstheme="majorBidi"/>
          <w:b/>
          <w:bCs/>
          <w:iCs/>
          <w:color w:val="0000CC"/>
          <w:lang w:eastAsia="ja-JP"/>
        </w:rPr>
        <w:t xml:space="preserve">(table </w:t>
      </w:r>
      <w:r w:rsidR="00810260" w:rsidRPr="00810260">
        <w:rPr>
          <w:rFonts w:eastAsiaTheme="majorEastAsia" w:cstheme="majorBidi"/>
          <w:b/>
          <w:bCs/>
          <w:iCs/>
          <w:color w:val="0000CC"/>
          <w:lang w:eastAsia="ja-JP"/>
        </w:rPr>
        <w:t>2.2.1, table 2.8.1</w:t>
      </w:r>
      <w:r w:rsidR="00DF3495">
        <w:rPr>
          <w:rFonts w:eastAsiaTheme="majorEastAsia" w:cstheme="majorBidi"/>
          <w:b/>
          <w:bCs/>
          <w:iCs/>
          <w:color w:val="0000CC"/>
          <w:lang w:eastAsia="ja-JP"/>
        </w:rPr>
        <w:t>, table 2.2.2</w:t>
      </w:r>
      <w:r w:rsidR="00810260" w:rsidRPr="00810260">
        <w:rPr>
          <w:rFonts w:eastAsiaTheme="majorEastAsia" w:cstheme="majorBidi"/>
          <w:b/>
          <w:bCs/>
          <w:iCs/>
          <w:color w:val="0000CC"/>
          <w:lang w:eastAsia="ja-JP"/>
        </w:rPr>
        <w:t>)</w:t>
      </w:r>
    </w:p>
    <w:p w14:paraId="72ED8B1E" w14:textId="75F7F2F2" w:rsidR="00C82B9B" w:rsidRDefault="00C82B9B" w:rsidP="007418FA">
      <w:pPr>
        <w:pStyle w:val="Noparagraph"/>
        <w:spacing w:after="120"/>
        <w:ind w:left="567" w:hanging="567"/>
      </w:pPr>
      <w:r>
        <w:t xml:space="preserve">The </w:t>
      </w:r>
      <w:r w:rsidRPr="00932082">
        <w:rPr>
          <w:i/>
          <w:iCs w:val="0"/>
        </w:rPr>
        <w:t>TNSP</w:t>
      </w:r>
      <w:r>
        <w:t xml:space="preserve"> must report</w:t>
      </w:r>
      <w:r w:rsidR="004D446D">
        <w:t xml:space="preserve"> </w:t>
      </w:r>
      <w:r w:rsidR="00932082">
        <w:t>data on asset replacement, failure, inspection and maintenance</w:t>
      </w:r>
      <w:r w:rsidR="004D446D">
        <w:t xml:space="preserve"> on an as commission</w:t>
      </w:r>
      <w:r w:rsidR="006C2380">
        <w:t>ed</w:t>
      </w:r>
      <w:r w:rsidR="004D446D">
        <w:t xml:space="preserve"> basis. </w:t>
      </w:r>
    </w:p>
    <w:p w14:paraId="0DDE7298" w14:textId="2FECE292" w:rsidR="006C7DCD" w:rsidRDefault="005A5CDE" w:rsidP="007418FA">
      <w:pPr>
        <w:pStyle w:val="Noparagraph"/>
        <w:spacing w:after="120"/>
        <w:ind w:left="567" w:hanging="567"/>
      </w:pPr>
      <w:r>
        <w:lastRenderedPageBreak/>
        <w:t xml:space="preserve">The </w:t>
      </w:r>
      <w:r w:rsidR="00C82B9B" w:rsidRPr="005A5CDE">
        <w:rPr>
          <w:i/>
          <w:iCs w:val="0"/>
        </w:rPr>
        <w:t>T</w:t>
      </w:r>
      <w:r w:rsidR="00C82B9B">
        <w:rPr>
          <w:i/>
          <w:iCs w:val="0"/>
        </w:rPr>
        <w:t>NS</w:t>
      </w:r>
      <w:r w:rsidR="00C82B9B" w:rsidRPr="005A5CDE">
        <w:rPr>
          <w:i/>
          <w:iCs w:val="0"/>
        </w:rPr>
        <w:t>P</w:t>
      </w:r>
      <w:r w:rsidR="00C82B9B">
        <w:t xml:space="preserve"> </w:t>
      </w:r>
      <w:r>
        <w:t>must report</w:t>
      </w:r>
      <w:r w:rsidR="0054765E">
        <w:t>:</w:t>
      </w:r>
      <w:r>
        <w:t xml:space="preserve"> </w:t>
      </w:r>
    </w:p>
    <w:p w14:paraId="0712D4F6" w14:textId="2C03E1AD" w:rsidR="007418FA" w:rsidRDefault="0054765E" w:rsidP="00F66552">
      <w:pPr>
        <w:pStyle w:val="Noparagraph"/>
        <w:numPr>
          <w:ilvl w:val="3"/>
          <w:numId w:val="12"/>
        </w:numPr>
        <w:tabs>
          <w:tab w:val="clear" w:pos="567"/>
        </w:tabs>
        <w:spacing w:after="120"/>
        <w:ind w:left="1276" w:hanging="709"/>
      </w:pPr>
      <w:r>
        <w:t xml:space="preserve">data on asset </w:t>
      </w:r>
      <w:r w:rsidR="007418FA">
        <w:t xml:space="preserve">replacement and </w:t>
      </w:r>
      <w:r w:rsidR="006C7DCD">
        <w:t xml:space="preserve">failure </w:t>
      </w:r>
      <w:r w:rsidR="007418FA">
        <w:t xml:space="preserve">by </w:t>
      </w:r>
      <w:r w:rsidR="0038068A">
        <w:t xml:space="preserve">the prescribed </w:t>
      </w:r>
      <w:r w:rsidR="007418FA">
        <w:t xml:space="preserve">asset class disaggregated into </w:t>
      </w:r>
      <w:r w:rsidR="0038068A">
        <w:t xml:space="preserve">prescribed </w:t>
      </w:r>
      <w:r w:rsidR="007418FA">
        <w:t>asset sub-categories</w:t>
      </w:r>
    </w:p>
    <w:p w14:paraId="1971F43A" w14:textId="63DDDF91" w:rsidR="006C7DCD" w:rsidRDefault="0054765E" w:rsidP="00F66552">
      <w:pPr>
        <w:pStyle w:val="Noparagraph"/>
        <w:numPr>
          <w:ilvl w:val="3"/>
          <w:numId w:val="12"/>
        </w:numPr>
        <w:tabs>
          <w:tab w:val="clear" w:pos="567"/>
        </w:tabs>
        <w:spacing w:after="120"/>
        <w:ind w:left="1276" w:hanging="709"/>
      </w:pPr>
      <w:r>
        <w:t xml:space="preserve">data on asset </w:t>
      </w:r>
      <w:r w:rsidR="006C7DCD">
        <w:t>maintenance and inspection by the pres</w:t>
      </w:r>
      <w:r w:rsidR="00F66552">
        <w:t>cribed asset class.</w:t>
      </w:r>
    </w:p>
    <w:p w14:paraId="3E998CBE" w14:textId="55D47DB0" w:rsidR="00694F22" w:rsidRDefault="0038068A" w:rsidP="00694F22">
      <w:pPr>
        <w:pStyle w:val="Noparagraph"/>
        <w:spacing w:after="120"/>
        <w:ind w:left="567" w:hanging="567"/>
      </w:pPr>
      <w:r>
        <w:t xml:space="preserve">Where </w:t>
      </w:r>
      <w:r w:rsidR="00694F22">
        <w:t xml:space="preserve">the </w:t>
      </w:r>
      <w:r w:rsidR="00694F22" w:rsidRPr="00375AB1">
        <w:rPr>
          <w:i/>
        </w:rPr>
        <w:t>TNSP</w:t>
      </w:r>
      <w:r w:rsidR="00694F22">
        <w:t xml:space="preserve"> considers the </w:t>
      </w:r>
      <w:r>
        <w:t xml:space="preserve">prescribed </w:t>
      </w:r>
      <w:r w:rsidR="00694F22">
        <w:t>asset class</w:t>
      </w:r>
      <w:r>
        <w:t>es</w:t>
      </w:r>
      <w:r w:rsidR="00694F22">
        <w:t xml:space="preserve"> do not account for an asset on the </w:t>
      </w:r>
      <w:r w:rsidR="00694F22" w:rsidRPr="00375AB1">
        <w:rPr>
          <w:i/>
        </w:rPr>
        <w:t>TNSP’s</w:t>
      </w:r>
      <w:r w:rsidR="00694F22">
        <w:t xml:space="preserve"> network, </w:t>
      </w:r>
      <w:r w:rsidR="00102F23" w:rsidRPr="008E67CA">
        <w:rPr>
          <w:iCs w:val="0"/>
        </w:rPr>
        <w:t xml:space="preserve">the </w:t>
      </w:r>
      <w:r w:rsidR="00102F23" w:rsidRPr="008041FA">
        <w:rPr>
          <w:i/>
          <w:iCs w:val="0"/>
        </w:rPr>
        <w:t>TNSP</w:t>
      </w:r>
      <w:r w:rsidR="00102F23" w:rsidRPr="008E67CA">
        <w:rPr>
          <w:iCs w:val="0"/>
        </w:rPr>
        <w:t xml:space="preserve"> must report the asset in the ‘Other by business specified categories’ and must </w:t>
      </w:r>
      <w:r w:rsidR="00102F23">
        <w:rPr>
          <w:iCs w:val="0"/>
        </w:rPr>
        <w:t>provide</w:t>
      </w:r>
      <w:r w:rsidR="00102F23" w:rsidRPr="008E67CA">
        <w:rPr>
          <w:iCs w:val="0"/>
        </w:rPr>
        <w:t xml:space="preserve"> an appropriate description for that asset.</w:t>
      </w:r>
      <w:r w:rsidR="00102F23">
        <w:t xml:space="preserve"> </w:t>
      </w:r>
    </w:p>
    <w:p w14:paraId="78808E65" w14:textId="554BE2A6" w:rsidR="007418FA" w:rsidRPr="00D86A61" w:rsidRDefault="00102F23" w:rsidP="007418FA">
      <w:pPr>
        <w:pStyle w:val="Noparagraph"/>
        <w:spacing w:after="120"/>
        <w:ind w:left="567" w:hanging="567"/>
      </w:pPr>
      <w:r>
        <w:t>W</w:t>
      </w:r>
      <w:r w:rsidR="007418FA">
        <w:t xml:space="preserve">here the </w:t>
      </w:r>
      <w:r w:rsidR="00375AB1" w:rsidRPr="00375AB1">
        <w:rPr>
          <w:i/>
        </w:rPr>
        <w:t>TNSP</w:t>
      </w:r>
      <w:r w:rsidR="007418FA">
        <w:t xml:space="preserve"> considers the prescribed asset </w:t>
      </w:r>
      <w:r w:rsidR="009938BF">
        <w:t>class</w:t>
      </w:r>
      <w:r w:rsidR="007418FA">
        <w:t xml:space="preserve"> sub-categori</w:t>
      </w:r>
      <w:r w:rsidR="009938BF">
        <w:t>e</w:t>
      </w:r>
      <w:r w:rsidR="007418FA">
        <w:t xml:space="preserve">s do not account for an asset on the </w:t>
      </w:r>
      <w:r w:rsidR="00375AB1" w:rsidRPr="00375AB1">
        <w:rPr>
          <w:i/>
        </w:rPr>
        <w:t>TNSP’s</w:t>
      </w:r>
      <w:r w:rsidR="007418FA">
        <w:t xml:space="preserve"> </w:t>
      </w:r>
      <w:r w:rsidR="000F4112">
        <w:t>network</w:t>
      </w:r>
      <w:r w:rsidR="007418FA">
        <w:t xml:space="preserve">, the </w:t>
      </w:r>
      <w:r w:rsidR="00375AB1" w:rsidRPr="00375AB1">
        <w:rPr>
          <w:i/>
        </w:rPr>
        <w:t>TNSP</w:t>
      </w:r>
      <w:r w:rsidR="007418FA">
        <w:rPr>
          <w:i/>
        </w:rPr>
        <w:t xml:space="preserve"> </w:t>
      </w:r>
      <w:r w:rsidR="007418FA" w:rsidRPr="00D86A61">
        <w:rPr>
          <w:iCs w:val="0"/>
        </w:rPr>
        <w:t>must</w:t>
      </w:r>
      <w:r w:rsidR="007418FA">
        <w:rPr>
          <w:iCs w:val="0"/>
        </w:rPr>
        <w:t xml:space="preserve"> report the asset in the row </w:t>
      </w:r>
      <w:r w:rsidR="006762B2">
        <w:rPr>
          <w:iCs w:val="0"/>
        </w:rPr>
        <w:t>‘</w:t>
      </w:r>
      <w:r w:rsidR="007418FA">
        <w:rPr>
          <w:iCs w:val="0"/>
        </w:rPr>
        <w:t>other</w:t>
      </w:r>
      <w:r w:rsidR="006762B2">
        <w:rPr>
          <w:iCs w:val="0"/>
        </w:rPr>
        <w:t>’</w:t>
      </w:r>
      <w:r w:rsidR="007418FA">
        <w:rPr>
          <w:iCs w:val="0"/>
        </w:rPr>
        <w:t xml:space="preserve"> under the </w:t>
      </w:r>
      <w:r w:rsidR="009938BF">
        <w:rPr>
          <w:iCs w:val="0"/>
        </w:rPr>
        <w:t xml:space="preserve">relevant </w:t>
      </w:r>
      <w:r w:rsidR="007418FA">
        <w:rPr>
          <w:iCs w:val="0"/>
        </w:rPr>
        <w:t xml:space="preserve">asset class. The </w:t>
      </w:r>
      <w:r w:rsidR="00375AB1" w:rsidRPr="00375AB1">
        <w:rPr>
          <w:i/>
        </w:rPr>
        <w:t>TNSP</w:t>
      </w:r>
      <w:r w:rsidR="007418FA">
        <w:rPr>
          <w:i/>
        </w:rPr>
        <w:t xml:space="preserve"> </w:t>
      </w:r>
      <w:r w:rsidR="007418FA" w:rsidRPr="00D86A61">
        <w:rPr>
          <w:iCs w:val="0"/>
        </w:rPr>
        <w:t>must</w:t>
      </w:r>
      <w:r w:rsidR="007418FA">
        <w:rPr>
          <w:iCs w:val="0"/>
        </w:rPr>
        <w:t xml:space="preserve"> </w:t>
      </w:r>
      <w:bookmarkStart w:id="33" w:name="_Hlk124947455"/>
      <w:r w:rsidR="007418FA">
        <w:rPr>
          <w:iCs w:val="0"/>
        </w:rPr>
        <w:t>describe the asset</w:t>
      </w:r>
      <w:r w:rsidR="006530B9">
        <w:rPr>
          <w:iCs w:val="0"/>
        </w:rPr>
        <w:t>s</w:t>
      </w:r>
      <w:r w:rsidR="007418FA">
        <w:rPr>
          <w:iCs w:val="0"/>
        </w:rPr>
        <w:t xml:space="preserve"> included as </w:t>
      </w:r>
      <w:r w:rsidR="006762B2">
        <w:rPr>
          <w:iCs w:val="0"/>
        </w:rPr>
        <w:t>‘</w:t>
      </w:r>
      <w:r w:rsidR="007418FA">
        <w:rPr>
          <w:iCs w:val="0"/>
        </w:rPr>
        <w:t>other</w:t>
      </w:r>
      <w:r w:rsidR="006762B2">
        <w:rPr>
          <w:iCs w:val="0"/>
        </w:rPr>
        <w:t>’</w:t>
      </w:r>
      <w:r w:rsidR="007418FA">
        <w:rPr>
          <w:iCs w:val="0"/>
        </w:rPr>
        <w:t xml:space="preserve"> for each asset class in the </w:t>
      </w:r>
      <w:r w:rsidR="005D526D" w:rsidRPr="005D526D">
        <w:rPr>
          <w:i/>
          <w:iCs w:val="0"/>
        </w:rPr>
        <w:t>basis of preparation</w:t>
      </w:r>
      <w:r w:rsidR="007418FA">
        <w:rPr>
          <w:iCs w:val="0"/>
        </w:rPr>
        <w:t xml:space="preserve">. </w:t>
      </w:r>
    </w:p>
    <w:bookmarkEnd w:id="33"/>
    <w:p w14:paraId="76E3BF42" w14:textId="0115B23E" w:rsidR="007418FA" w:rsidRDefault="007418FA" w:rsidP="007418FA">
      <w:pPr>
        <w:pStyle w:val="Noparagraph"/>
        <w:spacing w:after="120"/>
        <w:ind w:left="567" w:hanging="567"/>
      </w:pPr>
      <w:r>
        <w:rPr>
          <w:iCs w:val="0"/>
        </w:rPr>
        <w:t xml:space="preserve"> </w:t>
      </w:r>
      <w:r w:rsidR="007B684F">
        <w:t xml:space="preserve">Where the </w:t>
      </w:r>
      <w:r w:rsidR="007B684F" w:rsidRPr="00375AB1">
        <w:rPr>
          <w:i/>
        </w:rPr>
        <w:t>TNSP</w:t>
      </w:r>
      <w:r w:rsidR="007B684F">
        <w:t xml:space="preserve"> reports replacement activities associated with asset refurbishments/ life extensions, </w:t>
      </w:r>
      <w:r w:rsidR="007B684F" w:rsidRPr="006D21FE">
        <w:t xml:space="preserve">the </w:t>
      </w:r>
      <w:r w:rsidR="007B684F" w:rsidRPr="008041FA">
        <w:rPr>
          <w:i/>
        </w:rPr>
        <w:t>TNSP</w:t>
      </w:r>
      <w:r w:rsidR="007B684F" w:rsidRPr="006D21FE">
        <w:t xml:space="preserve"> must </w:t>
      </w:r>
      <w:r w:rsidR="007B684F">
        <w:t xml:space="preserve">report the activities against the asset class </w:t>
      </w:r>
      <w:r w:rsidR="006762B2">
        <w:t>‘</w:t>
      </w:r>
      <w:r w:rsidR="007B684F">
        <w:t xml:space="preserve">Other by business specified </w:t>
      </w:r>
      <w:r w:rsidR="006762B2">
        <w:t>categories</w:t>
      </w:r>
      <w:r w:rsidR="007B684F">
        <w:t xml:space="preserve">. Each asset sub-category in this asset class must be described by the equivalent asset sub-category followed by the word </w:t>
      </w:r>
      <w:r w:rsidR="006762B2">
        <w:t>‘</w:t>
      </w:r>
      <w:r w:rsidR="007B684F">
        <w:t>refurbished</w:t>
      </w:r>
      <w:r w:rsidR="006762B2">
        <w:t>’</w:t>
      </w:r>
      <w:r>
        <w:t>.</w:t>
      </w:r>
      <w:r w:rsidR="00C7586B">
        <w:t xml:space="preserve"> </w:t>
      </w:r>
    </w:p>
    <w:p w14:paraId="575DF274" w14:textId="619B2A8D" w:rsidR="007418FA" w:rsidRDefault="007B684F" w:rsidP="007418FA">
      <w:pPr>
        <w:pStyle w:val="Noparagraph"/>
        <w:spacing w:after="120"/>
        <w:ind w:left="567" w:hanging="567"/>
      </w:pPr>
      <w:r>
        <w:t xml:space="preserve">For each row descriptor added in the </w:t>
      </w:r>
      <w:r w:rsidRPr="008E67CA">
        <w:rPr>
          <w:iCs w:val="0"/>
        </w:rPr>
        <w:t>‘Other by business specified categories’</w:t>
      </w:r>
      <w:r>
        <w:t xml:space="preserve">, the </w:t>
      </w:r>
      <w:r w:rsidRPr="00375AB1">
        <w:rPr>
          <w:i/>
        </w:rPr>
        <w:t>TNSP</w:t>
      </w:r>
      <w:r>
        <w:t xml:space="preserve"> must report corresponding operational outputs and asset volumes, as per the requirements in Data workbook 07 – Capital expenditure and 03 – Network metrics</w:t>
      </w:r>
      <w:r w:rsidR="007418FA">
        <w:t>.</w:t>
      </w:r>
    </w:p>
    <w:p w14:paraId="3EDEF578" w14:textId="2D170709" w:rsidR="0054765E" w:rsidRDefault="0054765E" w:rsidP="0054765E">
      <w:pPr>
        <w:pStyle w:val="Noparagraph"/>
        <w:spacing w:after="120"/>
        <w:ind w:left="567" w:hanging="567"/>
      </w:pPr>
      <w:r>
        <w:t xml:space="preserve">For each asset category the </w:t>
      </w:r>
      <w:r w:rsidRPr="0054765E">
        <w:rPr>
          <w:i/>
          <w:iCs w:val="0"/>
        </w:rPr>
        <w:t>TNSP</w:t>
      </w:r>
      <w:r>
        <w:t xml:space="preserve"> must report:</w:t>
      </w:r>
    </w:p>
    <w:p w14:paraId="0A7BE01A" w14:textId="77777777" w:rsidR="0054765E" w:rsidRDefault="0054765E" w:rsidP="0054765E">
      <w:pPr>
        <w:pStyle w:val="ListParagraph"/>
        <w:numPr>
          <w:ilvl w:val="0"/>
          <w:numId w:val="62"/>
        </w:numPr>
        <w:spacing w:before="120" w:after="120"/>
      </w:pPr>
      <w:r>
        <w:t xml:space="preserve">For asset maintained – the number of maintenance activities in the reporting period </w:t>
      </w:r>
    </w:p>
    <w:p w14:paraId="25C4280B" w14:textId="59ABA839" w:rsidR="009E79C7" w:rsidRDefault="0054765E" w:rsidP="009E79C7">
      <w:pPr>
        <w:pStyle w:val="ListParagraph"/>
        <w:numPr>
          <w:ilvl w:val="0"/>
          <w:numId w:val="62"/>
        </w:numPr>
        <w:spacing w:before="120" w:after="120"/>
      </w:pPr>
      <w:r>
        <w:t>For assets inspected – the number of inspection activities in the reporting period.</w:t>
      </w:r>
    </w:p>
    <w:p w14:paraId="07143A42" w14:textId="08CD4E4F" w:rsidR="008A6E01" w:rsidRDefault="008A6E01" w:rsidP="008A6E01">
      <w:pPr>
        <w:pStyle w:val="Heading3"/>
        <w:spacing w:after="240"/>
        <w:ind w:left="567" w:hanging="567"/>
        <w:rPr>
          <w:lang w:eastAsia="ja-JP"/>
        </w:rPr>
      </w:pPr>
      <w:bookmarkStart w:id="34" w:name="_Toc162703543"/>
      <w:r>
        <w:rPr>
          <w:lang w:eastAsia="ja-JP"/>
        </w:rPr>
        <w:t>Other outputs</w:t>
      </w:r>
      <w:bookmarkEnd w:id="34"/>
      <w:r w:rsidR="007F4CA9">
        <w:rPr>
          <w:lang w:eastAsia="ja-JP"/>
        </w:rPr>
        <w:t xml:space="preserve"> </w:t>
      </w:r>
      <w:r w:rsidR="007F4CA9">
        <w:rPr>
          <w:color w:val="0000CC"/>
          <w:lang w:eastAsia="ja-JP"/>
        </w:rPr>
        <w:t>(2.3, 2.6, 2.7)</w:t>
      </w:r>
    </w:p>
    <w:p w14:paraId="7F704B82" w14:textId="067E4B41" w:rsidR="00836FDE" w:rsidRPr="001E234F" w:rsidRDefault="00836FDE" w:rsidP="00836FDE">
      <w:pPr>
        <w:spacing w:before="120" w:after="120"/>
        <w:rPr>
          <w:rFonts w:eastAsiaTheme="majorEastAsia" w:cstheme="majorBidi"/>
          <w:b/>
          <w:bCs/>
          <w:iCs/>
          <w:color w:val="0000CC"/>
          <w:lang w:eastAsia="ja-JP"/>
        </w:rPr>
      </w:pPr>
      <w:r>
        <w:rPr>
          <w:rFonts w:eastAsiaTheme="majorEastAsia" w:cstheme="majorBidi"/>
          <w:b/>
          <w:bCs/>
          <w:iCs/>
          <w:color w:val="303F51"/>
          <w:lang w:eastAsia="ja-JP"/>
        </w:rPr>
        <w:t>Asset augmentation activities</w:t>
      </w:r>
      <w:r w:rsidR="00D16C9A">
        <w:rPr>
          <w:rFonts w:eastAsiaTheme="majorEastAsia" w:cstheme="majorBidi"/>
          <w:b/>
          <w:bCs/>
          <w:iCs/>
          <w:color w:val="303F51"/>
          <w:lang w:eastAsia="ja-JP"/>
        </w:rPr>
        <w:t xml:space="preserve"> as commissioned</w:t>
      </w:r>
      <w:r>
        <w:rPr>
          <w:rFonts w:eastAsiaTheme="majorEastAsia" w:cstheme="majorBidi"/>
          <w:b/>
          <w:bCs/>
          <w:iCs/>
          <w:color w:val="303F51"/>
          <w:lang w:eastAsia="ja-JP"/>
        </w:rPr>
        <w:t xml:space="preserve"> </w:t>
      </w:r>
      <w:r w:rsidR="001E234F">
        <w:rPr>
          <w:rFonts w:eastAsiaTheme="majorEastAsia" w:cstheme="majorBidi"/>
          <w:b/>
          <w:bCs/>
          <w:iCs/>
          <w:color w:val="0000CC"/>
          <w:lang w:eastAsia="ja-JP"/>
        </w:rPr>
        <w:t>(table 2.3.1</w:t>
      </w:r>
      <w:r w:rsidR="00F76DCF">
        <w:rPr>
          <w:rFonts w:eastAsiaTheme="majorEastAsia" w:cstheme="majorBidi"/>
          <w:b/>
          <w:bCs/>
          <w:iCs/>
          <w:color w:val="0000CC"/>
          <w:lang w:eastAsia="ja-JP"/>
        </w:rPr>
        <w:t>, table 2.3.2)</w:t>
      </w:r>
    </w:p>
    <w:p w14:paraId="120DB3C3" w14:textId="321DFD0C" w:rsidR="00836FDE" w:rsidRDefault="00836FDE" w:rsidP="00836FDE">
      <w:pPr>
        <w:pStyle w:val="Noparagraph"/>
        <w:tabs>
          <w:tab w:val="clear" w:pos="567"/>
          <w:tab w:val="left" w:pos="284"/>
        </w:tabs>
        <w:ind w:left="567" w:hanging="567"/>
      </w:pPr>
      <w:r>
        <w:t xml:space="preserve">The </w:t>
      </w:r>
      <w:r w:rsidR="00375AB1" w:rsidRPr="00375AB1">
        <w:rPr>
          <w:i/>
        </w:rPr>
        <w:t>TNSP</w:t>
      </w:r>
      <w:r>
        <w:t xml:space="preserve"> must include only projects and expenditure related to augmentation of the network – defined with reference to the primary purpose of the project or expenditure. Augmentation work related to connection is to be reported as a connection activity.</w:t>
      </w:r>
    </w:p>
    <w:p w14:paraId="32B60B4B" w14:textId="219480D2" w:rsidR="00836FDE" w:rsidRDefault="00836FDE" w:rsidP="00836FDE">
      <w:pPr>
        <w:pStyle w:val="Noparagraph"/>
        <w:tabs>
          <w:tab w:val="clear" w:pos="567"/>
          <w:tab w:val="left" w:pos="284"/>
        </w:tabs>
        <w:ind w:left="567" w:hanging="567"/>
      </w:pPr>
      <w:r>
        <w:t xml:space="preserve">The </w:t>
      </w:r>
      <w:r w:rsidR="00375AB1" w:rsidRPr="00375AB1">
        <w:rPr>
          <w:i/>
          <w:iCs w:val="0"/>
        </w:rPr>
        <w:t>TNSP</w:t>
      </w:r>
      <w:r>
        <w:t xml:space="preserve"> must not include </w:t>
      </w:r>
      <w:r w:rsidR="00416DAB">
        <w:t xml:space="preserve">data </w:t>
      </w:r>
      <w:r>
        <w:t>for gifted assets.</w:t>
      </w:r>
    </w:p>
    <w:p w14:paraId="0CDC12B7" w14:textId="1F951160" w:rsidR="00836FDE" w:rsidRPr="00BF6965" w:rsidRDefault="00836FDE" w:rsidP="00836FDE">
      <w:pPr>
        <w:pStyle w:val="Noparagraph"/>
        <w:tabs>
          <w:tab w:val="clear" w:pos="567"/>
          <w:tab w:val="left" w:pos="284"/>
        </w:tabs>
        <w:ind w:left="567" w:hanging="567"/>
      </w:pPr>
      <w:r w:rsidRPr="00BF6965">
        <w:t xml:space="preserve">For projects that span across </w:t>
      </w:r>
      <w:r w:rsidR="00375AB1">
        <w:t>reporting period</w:t>
      </w:r>
      <w:r w:rsidRPr="00BF6965">
        <w:t xml:space="preserve">s, </w:t>
      </w:r>
      <w:r w:rsidR="00524C72">
        <w:t xml:space="preserve">the </w:t>
      </w:r>
      <w:r w:rsidR="008041FA" w:rsidRPr="008041FA">
        <w:rPr>
          <w:i/>
        </w:rPr>
        <w:t>TNSP</w:t>
      </w:r>
      <w:r w:rsidR="00524C72">
        <w:t xml:space="preserve"> must report data </w:t>
      </w:r>
      <w:r w:rsidRPr="00BF6965">
        <w:t xml:space="preserve">for the </w:t>
      </w:r>
      <w:r>
        <w:t>units added or units upgraded</w:t>
      </w:r>
      <w:r w:rsidRPr="00BF6965">
        <w:t xml:space="preserve"> </w:t>
      </w:r>
      <w:r w:rsidR="00171335">
        <w:t>in</w:t>
      </w:r>
      <w:r w:rsidRPr="00BF6965">
        <w:t xml:space="preserve"> the final year in which expenditure was incurred for the project.</w:t>
      </w:r>
    </w:p>
    <w:p w14:paraId="06E77EEF" w14:textId="0F3DDD9A" w:rsidR="00836FDE" w:rsidRDefault="00C76BCC" w:rsidP="00836FDE">
      <w:pPr>
        <w:spacing w:before="120" w:after="120"/>
        <w:rPr>
          <w:rFonts w:eastAsiaTheme="majorEastAsia" w:cstheme="majorBidi"/>
          <w:b/>
          <w:bCs/>
          <w:iCs/>
          <w:color w:val="303F51"/>
          <w:lang w:eastAsia="ja-JP"/>
        </w:rPr>
      </w:pPr>
      <w:r>
        <w:rPr>
          <w:rFonts w:eastAsiaTheme="majorEastAsia" w:cstheme="majorBidi"/>
          <w:b/>
          <w:bCs/>
          <w:iCs/>
          <w:color w:val="303F51"/>
          <w:lang w:eastAsia="ja-JP"/>
        </w:rPr>
        <w:t xml:space="preserve">Motor </w:t>
      </w:r>
      <w:r w:rsidR="00D16C9A">
        <w:rPr>
          <w:rFonts w:eastAsiaTheme="majorEastAsia" w:cstheme="majorBidi"/>
          <w:b/>
          <w:bCs/>
          <w:iCs/>
          <w:color w:val="303F51"/>
          <w:lang w:eastAsia="ja-JP"/>
        </w:rPr>
        <w:t>v</w:t>
      </w:r>
      <w:r>
        <w:rPr>
          <w:rFonts w:eastAsiaTheme="majorEastAsia" w:cstheme="majorBidi"/>
          <w:b/>
          <w:bCs/>
          <w:iCs/>
          <w:color w:val="303F51"/>
          <w:lang w:eastAsia="ja-JP"/>
        </w:rPr>
        <w:t>ehicles</w:t>
      </w:r>
      <w:r w:rsidR="00F76DCF">
        <w:rPr>
          <w:rFonts w:eastAsiaTheme="majorEastAsia" w:cstheme="majorBidi"/>
          <w:b/>
          <w:bCs/>
          <w:iCs/>
          <w:color w:val="303F51"/>
          <w:lang w:eastAsia="ja-JP"/>
        </w:rPr>
        <w:t xml:space="preserve"> </w:t>
      </w:r>
      <w:r w:rsidR="00F76DCF" w:rsidRPr="00F76DCF">
        <w:rPr>
          <w:rFonts w:eastAsiaTheme="majorEastAsia" w:cstheme="majorBidi"/>
          <w:b/>
          <w:bCs/>
          <w:iCs/>
          <w:color w:val="0000CC"/>
          <w:lang w:eastAsia="ja-JP"/>
        </w:rPr>
        <w:t>(table 2.6.3)</w:t>
      </w:r>
    </w:p>
    <w:p w14:paraId="23CF6A84" w14:textId="41BEFB51" w:rsidR="0054765E" w:rsidRDefault="0054765E" w:rsidP="0054765E">
      <w:pPr>
        <w:pStyle w:val="Noparagraph"/>
        <w:spacing w:after="120"/>
        <w:ind w:left="567" w:hanging="567"/>
      </w:pPr>
      <w:r>
        <w:t xml:space="preserve">Data requirements are identified by reference to table headings, row descriptors and column headings. They are represented as input cells </w:t>
      </w:r>
      <w:r w:rsidR="007E18FB">
        <w:t>–</w:t>
      </w:r>
      <w:r>
        <w:t xml:space="preserve"> shaded green in the </w:t>
      </w:r>
      <w:r w:rsidRPr="00BA4310">
        <w:rPr>
          <w:i/>
          <w:iCs w:val="0"/>
        </w:rPr>
        <w:t>data workbook</w:t>
      </w:r>
      <w:r>
        <w:rPr>
          <w:i/>
          <w:iCs w:val="0"/>
        </w:rPr>
        <w:t xml:space="preserve"> 02 – Operational outputs. </w:t>
      </w:r>
      <w:r w:rsidRPr="001771E0">
        <w:t>There are no further instructions</w:t>
      </w:r>
      <w:r>
        <w:rPr>
          <w:i/>
          <w:iCs w:val="0"/>
        </w:rPr>
        <w:t>.</w:t>
      </w:r>
    </w:p>
    <w:p w14:paraId="79FD56BC" w14:textId="5ED82F0C" w:rsidR="00836FDE" w:rsidRPr="007F4CA9" w:rsidRDefault="00E60452" w:rsidP="00AF0A62">
      <w:pPr>
        <w:keepNext/>
        <w:spacing w:before="120" w:after="120"/>
        <w:rPr>
          <w:rFonts w:eastAsiaTheme="majorEastAsia" w:cstheme="majorBidi"/>
          <w:b/>
          <w:bCs/>
          <w:iCs/>
          <w:color w:val="0000CC"/>
          <w:lang w:eastAsia="ja-JP"/>
        </w:rPr>
      </w:pPr>
      <w:r>
        <w:rPr>
          <w:rFonts w:eastAsiaTheme="majorEastAsia" w:cstheme="majorBidi"/>
          <w:b/>
          <w:bCs/>
          <w:iCs/>
          <w:color w:val="303F51"/>
          <w:lang w:eastAsia="ja-JP"/>
        </w:rPr>
        <w:t>Unplanned vegetation events</w:t>
      </w:r>
      <w:r w:rsidR="00836FDE">
        <w:rPr>
          <w:rFonts w:eastAsiaTheme="majorEastAsia" w:cstheme="majorBidi"/>
          <w:b/>
          <w:bCs/>
          <w:iCs/>
          <w:color w:val="303F51"/>
          <w:lang w:eastAsia="ja-JP"/>
        </w:rPr>
        <w:t xml:space="preserve"> </w:t>
      </w:r>
      <w:r w:rsidR="001771E0">
        <w:rPr>
          <w:rFonts w:eastAsiaTheme="majorEastAsia" w:cstheme="majorBidi"/>
          <w:b/>
          <w:bCs/>
          <w:iCs/>
          <w:color w:val="303F51"/>
          <w:lang w:eastAsia="ja-JP"/>
        </w:rPr>
        <w:t>– all zones</w:t>
      </w:r>
      <w:r w:rsidR="007F4CA9">
        <w:rPr>
          <w:rFonts w:eastAsiaTheme="majorEastAsia" w:cstheme="majorBidi"/>
          <w:b/>
          <w:bCs/>
          <w:iCs/>
          <w:color w:val="303F51"/>
          <w:lang w:eastAsia="ja-JP"/>
        </w:rPr>
        <w:t xml:space="preserve"> </w:t>
      </w:r>
      <w:r w:rsidR="007F4CA9">
        <w:rPr>
          <w:rFonts w:eastAsiaTheme="majorEastAsia" w:cstheme="majorBidi"/>
          <w:b/>
          <w:bCs/>
          <w:iCs/>
          <w:color w:val="0000CC"/>
          <w:lang w:eastAsia="ja-JP"/>
        </w:rPr>
        <w:t>(table 2.7.3)</w:t>
      </w:r>
    </w:p>
    <w:p w14:paraId="171ED8C4" w14:textId="5AA3F70D" w:rsidR="00836FDE" w:rsidRDefault="005B7B99" w:rsidP="002117B3">
      <w:pPr>
        <w:pStyle w:val="Noparagraph"/>
        <w:spacing w:after="120"/>
        <w:ind w:left="567" w:hanging="567"/>
      </w:pPr>
      <w:r>
        <w:t xml:space="preserve">The </w:t>
      </w:r>
      <w:r w:rsidR="00375AB1" w:rsidRPr="00375AB1">
        <w:rPr>
          <w:i/>
          <w:iCs w:val="0"/>
        </w:rPr>
        <w:t>TNSP</w:t>
      </w:r>
      <w:r>
        <w:t xml:space="preserve"> must report unplanned vegetation management events for its entire network.</w:t>
      </w:r>
    </w:p>
    <w:p w14:paraId="156E99D1" w14:textId="7576F3E3" w:rsidR="00836FDE" w:rsidRDefault="00836FDE" w:rsidP="00836FDE">
      <w:pPr>
        <w:pStyle w:val="Heading2"/>
      </w:pPr>
      <w:bookmarkStart w:id="35" w:name="_Toc121724696"/>
      <w:bookmarkStart w:id="36" w:name="_Toc162703544"/>
      <w:r>
        <w:lastRenderedPageBreak/>
        <w:t xml:space="preserve">Workbook </w:t>
      </w:r>
      <w:r w:rsidR="00347A49">
        <w:t xml:space="preserve">03 </w:t>
      </w:r>
      <w:r>
        <w:t>– Network metrics</w:t>
      </w:r>
      <w:bookmarkEnd w:id="35"/>
      <w:bookmarkEnd w:id="36"/>
    </w:p>
    <w:p w14:paraId="4F0FACC2" w14:textId="47545C93" w:rsidR="00836FDE" w:rsidRDefault="00836FDE" w:rsidP="00836FDE">
      <w:pPr>
        <w:pStyle w:val="Heading3"/>
        <w:spacing w:after="240"/>
        <w:ind w:left="578" w:hanging="578"/>
        <w:rPr>
          <w:lang w:eastAsia="ja-JP"/>
        </w:rPr>
      </w:pPr>
      <w:bookmarkStart w:id="37" w:name="_Toc121724697"/>
      <w:bookmarkStart w:id="38" w:name="_Toc162703545"/>
      <w:r>
        <w:rPr>
          <w:lang w:eastAsia="ja-JP"/>
        </w:rPr>
        <w:t>Network assets – volume</w:t>
      </w:r>
      <w:bookmarkEnd w:id="37"/>
      <w:bookmarkEnd w:id="38"/>
      <w:r w:rsidR="008E750F">
        <w:rPr>
          <w:lang w:eastAsia="ja-JP"/>
        </w:rPr>
        <w:t xml:space="preserve"> </w:t>
      </w:r>
      <w:r w:rsidR="008E750F">
        <w:rPr>
          <w:color w:val="0000CC"/>
          <w:lang w:eastAsia="ja-JP"/>
        </w:rPr>
        <w:t>(5.2)</w:t>
      </w:r>
    </w:p>
    <w:p w14:paraId="27637368" w14:textId="77777777" w:rsidR="00836FDE" w:rsidRPr="005046F6" w:rsidRDefault="00836FDE" w:rsidP="00836FDE">
      <w:pPr>
        <w:pStyle w:val="Noparagraph"/>
        <w:ind w:left="567" w:hanging="567"/>
      </w:pPr>
      <w:r>
        <w:t xml:space="preserve">All asset volumes are to be reported as at the end of the </w:t>
      </w:r>
      <w:r w:rsidRPr="005046F6">
        <w:rPr>
          <w:i/>
          <w:iCs w:val="0"/>
        </w:rPr>
        <w:t>reporting period</w:t>
      </w:r>
      <w:r>
        <w:t>.</w:t>
      </w:r>
    </w:p>
    <w:p w14:paraId="6CF94E69" w14:textId="6B4F583F" w:rsidR="00836FDE" w:rsidRPr="001579B2" w:rsidRDefault="000630F2" w:rsidP="00836FDE">
      <w:pPr>
        <w:spacing w:before="120" w:after="120"/>
        <w:rPr>
          <w:rFonts w:eastAsiaTheme="majorEastAsia" w:cstheme="majorBidi"/>
          <w:b/>
          <w:bCs/>
          <w:iCs/>
          <w:color w:val="0000CC"/>
          <w:lang w:eastAsia="ja-JP"/>
        </w:rPr>
      </w:pPr>
      <w:r>
        <w:rPr>
          <w:rFonts w:eastAsiaTheme="majorEastAsia" w:cstheme="majorBidi"/>
          <w:b/>
          <w:bCs/>
          <w:iCs/>
          <w:color w:val="303F51"/>
          <w:lang w:eastAsia="ja-JP"/>
        </w:rPr>
        <w:t>Installed assets – quantity currently in commission by year</w:t>
      </w:r>
      <w:r w:rsidR="00C7586B">
        <w:rPr>
          <w:rFonts w:eastAsiaTheme="majorEastAsia" w:cstheme="majorBidi"/>
          <w:b/>
          <w:bCs/>
          <w:iCs/>
          <w:color w:val="303F51"/>
          <w:lang w:eastAsia="ja-JP"/>
        </w:rPr>
        <w:t xml:space="preserve"> </w:t>
      </w:r>
      <w:r w:rsidR="001579B2">
        <w:rPr>
          <w:rFonts w:eastAsiaTheme="majorEastAsia" w:cstheme="majorBidi"/>
          <w:b/>
          <w:bCs/>
          <w:iCs/>
          <w:color w:val="0000CC"/>
          <w:lang w:eastAsia="ja-JP"/>
        </w:rPr>
        <w:t>(table 5.2.1)</w:t>
      </w:r>
    </w:p>
    <w:p w14:paraId="63918C4D" w14:textId="0B566143" w:rsidR="006530B9" w:rsidRDefault="006530B9" w:rsidP="006530B9">
      <w:pPr>
        <w:pStyle w:val="Noparagraph"/>
        <w:spacing w:after="120"/>
        <w:ind w:left="567" w:hanging="567"/>
      </w:pPr>
      <w:r>
        <w:t xml:space="preserve">The </w:t>
      </w:r>
      <w:r w:rsidRPr="00A80C08">
        <w:rPr>
          <w:i/>
          <w:iCs w:val="0"/>
        </w:rPr>
        <w:t>TNSP</w:t>
      </w:r>
      <w:r>
        <w:t xml:space="preserve"> must report </w:t>
      </w:r>
      <w:r w:rsidR="00A0764D">
        <w:t>data</w:t>
      </w:r>
      <w:r>
        <w:t xml:space="preserve"> on asset quantities by the prescribed asset class disaggregated into the prescribed asset sub-categories. </w:t>
      </w:r>
    </w:p>
    <w:p w14:paraId="61C0631A" w14:textId="135925F3" w:rsidR="006530B9" w:rsidRPr="00D86A61" w:rsidRDefault="006530B9" w:rsidP="006530B9">
      <w:pPr>
        <w:pStyle w:val="Noparagraph"/>
      </w:pPr>
      <w:r w:rsidRPr="008E67CA">
        <w:rPr>
          <w:iCs w:val="0"/>
        </w:rPr>
        <w:t xml:space="preserve">Where the </w:t>
      </w:r>
      <w:r w:rsidRPr="008041FA">
        <w:rPr>
          <w:i/>
          <w:iCs w:val="0"/>
        </w:rPr>
        <w:t>TNSP</w:t>
      </w:r>
      <w:r w:rsidRPr="008E67CA">
        <w:rPr>
          <w:iCs w:val="0"/>
        </w:rPr>
        <w:t xml:space="preserve"> considers the prescribed asset classes do not account for an asset on the </w:t>
      </w:r>
      <w:r w:rsidRPr="008041FA">
        <w:rPr>
          <w:i/>
          <w:iCs w:val="0"/>
        </w:rPr>
        <w:t>TNSP</w:t>
      </w:r>
      <w:r w:rsidRPr="008E67CA">
        <w:rPr>
          <w:iCs w:val="0"/>
        </w:rPr>
        <w:t xml:space="preserve">’s network, the </w:t>
      </w:r>
      <w:r w:rsidRPr="008041FA">
        <w:rPr>
          <w:i/>
          <w:iCs w:val="0"/>
        </w:rPr>
        <w:t>TNSP</w:t>
      </w:r>
      <w:r w:rsidRPr="008E67CA">
        <w:rPr>
          <w:iCs w:val="0"/>
        </w:rPr>
        <w:t xml:space="preserve"> must report the asset in the ‘Other by business specified categories’ and must report an appropriate description for that asset.</w:t>
      </w:r>
    </w:p>
    <w:p w14:paraId="2CA6C353" w14:textId="55020DF8" w:rsidR="006530B9" w:rsidRDefault="006530B9" w:rsidP="006530B9">
      <w:pPr>
        <w:pStyle w:val="Noparagraph"/>
      </w:pPr>
      <w:r>
        <w:t xml:space="preserve">Where the </w:t>
      </w:r>
      <w:r w:rsidRPr="00375AB1">
        <w:rPr>
          <w:i/>
        </w:rPr>
        <w:t>TNSP</w:t>
      </w:r>
      <w:r>
        <w:t xml:space="preserve"> considers the prescribed asset class sub-categories do not account for an asset on the </w:t>
      </w:r>
      <w:r w:rsidRPr="00375AB1">
        <w:rPr>
          <w:i/>
        </w:rPr>
        <w:t>TNSP’s</w:t>
      </w:r>
      <w:r>
        <w:t xml:space="preserve"> network, the </w:t>
      </w:r>
      <w:r w:rsidRPr="00375AB1">
        <w:rPr>
          <w:i/>
        </w:rPr>
        <w:t>TNSP</w:t>
      </w:r>
      <w:r>
        <w:rPr>
          <w:i/>
        </w:rPr>
        <w:t xml:space="preserve"> </w:t>
      </w:r>
      <w:r w:rsidRPr="00D86A61">
        <w:t>must</w:t>
      </w:r>
      <w:r>
        <w:t xml:space="preserve"> report the asset in the row “other” under the appropriate prescribed asset class. The </w:t>
      </w:r>
      <w:r w:rsidRPr="00375AB1">
        <w:rPr>
          <w:i/>
        </w:rPr>
        <w:t>TNSP</w:t>
      </w:r>
      <w:r>
        <w:rPr>
          <w:i/>
        </w:rPr>
        <w:t xml:space="preserve"> </w:t>
      </w:r>
      <w:r w:rsidRPr="00D86A61">
        <w:t>must</w:t>
      </w:r>
      <w:r>
        <w:t xml:space="preserve"> describe the assets reported as “other” for each asset class in the </w:t>
      </w:r>
      <w:r w:rsidRPr="002D113B">
        <w:rPr>
          <w:i/>
        </w:rPr>
        <w:t>basis of preparation</w:t>
      </w:r>
      <w:r>
        <w:t xml:space="preserve">. </w:t>
      </w:r>
    </w:p>
    <w:p w14:paraId="5AA08A2A" w14:textId="5DEA4C64" w:rsidR="006530B9" w:rsidRDefault="006530B9" w:rsidP="006530B9">
      <w:pPr>
        <w:pStyle w:val="Noparagraph"/>
        <w:spacing w:after="120"/>
        <w:ind w:left="567" w:hanging="567"/>
      </w:pPr>
      <w:r>
        <w:t xml:space="preserve">For each row descriptor added in the </w:t>
      </w:r>
      <w:r w:rsidRPr="008E67CA">
        <w:rPr>
          <w:iCs w:val="0"/>
        </w:rPr>
        <w:t>‘Other by business specified categories’</w:t>
      </w:r>
      <w:r>
        <w:t xml:space="preserve">, the </w:t>
      </w:r>
      <w:r w:rsidRPr="00375AB1">
        <w:rPr>
          <w:i/>
        </w:rPr>
        <w:t>TNSP</w:t>
      </w:r>
      <w:r>
        <w:t xml:space="preserve"> must report corresponding operational outputs and </w:t>
      </w:r>
      <w:r w:rsidR="005D526D" w:rsidRPr="005D526D">
        <w:rPr>
          <w:i/>
        </w:rPr>
        <w:t>capital expenditure</w:t>
      </w:r>
      <w:r>
        <w:t>, as per the requirements in Data workbook 02 – Operational outputs and 07 – Capital expenditure.</w:t>
      </w:r>
    </w:p>
    <w:p w14:paraId="064B6EBD" w14:textId="4710C04C" w:rsidR="00836FDE" w:rsidRDefault="00836FDE" w:rsidP="00836FDE">
      <w:pPr>
        <w:pStyle w:val="Heading3"/>
        <w:spacing w:after="240"/>
        <w:ind w:left="578" w:hanging="578"/>
        <w:rPr>
          <w:lang w:eastAsia="ja-JP"/>
        </w:rPr>
      </w:pPr>
      <w:bookmarkStart w:id="39" w:name="_Toc121724698"/>
      <w:bookmarkStart w:id="40" w:name="_Toc162703546"/>
      <w:r>
        <w:rPr>
          <w:lang w:eastAsia="ja-JP"/>
        </w:rPr>
        <w:t>Non-network assets – volume</w:t>
      </w:r>
      <w:bookmarkEnd w:id="39"/>
      <w:bookmarkEnd w:id="40"/>
      <w:r w:rsidR="006A16C0">
        <w:rPr>
          <w:lang w:eastAsia="ja-JP"/>
        </w:rPr>
        <w:t xml:space="preserve"> </w:t>
      </w:r>
      <w:r w:rsidR="006A16C0">
        <w:rPr>
          <w:color w:val="0000CC"/>
          <w:lang w:eastAsia="ja-JP"/>
        </w:rPr>
        <w:t>(2.6)</w:t>
      </w:r>
    </w:p>
    <w:p w14:paraId="7BAB1094" w14:textId="2EB51E02" w:rsidR="0006047E" w:rsidRPr="006A16C0" w:rsidRDefault="0006047E" w:rsidP="00013666">
      <w:pPr>
        <w:spacing w:before="120" w:after="120"/>
        <w:rPr>
          <w:rFonts w:eastAsiaTheme="majorEastAsia" w:cstheme="majorBidi"/>
          <w:b/>
          <w:bCs/>
          <w:iCs/>
          <w:color w:val="0000CC"/>
          <w:lang w:eastAsia="ja-JP"/>
        </w:rPr>
      </w:pPr>
      <w:r>
        <w:rPr>
          <w:rFonts w:eastAsiaTheme="majorEastAsia" w:cstheme="majorBidi"/>
          <w:b/>
          <w:bCs/>
          <w:iCs/>
          <w:color w:val="303F51"/>
          <w:lang w:eastAsia="ja-JP"/>
        </w:rPr>
        <w:t xml:space="preserve">IT </w:t>
      </w:r>
      <w:r w:rsidR="00471A21">
        <w:rPr>
          <w:rFonts w:eastAsiaTheme="majorEastAsia" w:cstheme="majorBidi"/>
          <w:b/>
          <w:bCs/>
          <w:iCs/>
          <w:color w:val="303F51"/>
          <w:lang w:eastAsia="ja-JP"/>
        </w:rPr>
        <w:t>and</w:t>
      </w:r>
      <w:r>
        <w:rPr>
          <w:rFonts w:eastAsiaTheme="majorEastAsia" w:cstheme="majorBidi"/>
          <w:b/>
          <w:bCs/>
          <w:iCs/>
          <w:color w:val="303F51"/>
          <w:lang w:eastAsia="ja-JP"/>
        </w:rPr>
        <w:t xml:space="preserve"> </w:t>
      </w:r>
      <w:r w:rsidR="00DC6AA4">
        <w:rPr>
          <w:rFonts w:eastAsiaTheme="majorEastAsia" w:cstheme="majorBidi"/>
          <w:b/>
          <w:bCs/>
          <w:iCs/>
          <w:color w:val="303F51"/>
          <w:lang w:eastAsia="ja-JP"/>
        </w:rPr>
        <w:t>c</w:t>
      </w:r>
      <w:r>
        <w:rPr>
          <w:rFonts w:eastAsiaTheme="majorEastAsia" w:cstheme="majorBidi"/>
          <w:b/>
          <w:bCs/>
          <w:iCs/>
          <w:color w:val="303F51"/>
          <w:lang w:eastAsia="ja-JP"/>
        </w:rPr>
        <w:t>ommunications</w:t>
      </w:r>
      <w:r w:rsidR="006A16C0">
        <w:rPr>
          <w:rFonts w:eastAsiaTheme="majorEastAsia" w:cstheme="majorBidi"/>
          <w:b/>
          <w:bCs/>
          <w:iCs/>
          <w:color w:val="303F51"/>
          <w:lang w:eastAsia="ja-JP"/>
        </w:rPr>
        <w:t xml:space="preserve"> </w:t>
      </w:r>
      <w:r w:rsidR="006A16C0">
        <w:rPr>
          <w:rFonts w:eastAsiaTheme="majorEastAsia" w:cstheme="majorBidi"/>
          <w:b/>
          <w:bCs/>
          <w:iCs/>
          <w:color w:val="0000CC"/>
          <w:lang w:eastAsia="ja-JP"/>
        </w:rPr>
        <w:t>(table 2.6.2)</w:t>
      </w:r>
    </w:p>
    <w:p w14:paraId="05F55C53" w14:textId="480360B5" w:rsidR="00356554" w:rsidRDefault="00356554" w:rsidP="00356554">
      <w:pPr>
        <w:pStyle w:val="Noparagraph"/>
        <w:spacing w:after="120"/>
        <w:ind w:left="567" w:hanging="567"/>
      </w:pPr>
      <w:r>
        <w:t xml:space="preserve">Data requirements are identified by reference to table headings, row descriptors and column headings. They are represented as input cells </w:t>
      </w:r>
      <w:r w:rsidR="007E18FB">
        <w:t>–</w:t>
      </w:r>
      <w:r>
        <w:t xml:space="preserve"> shaded green in the </w:t>
      </w:r>
      <w:r w:rsidRPr="00BA4310">
        <w:rPr>
          <w:i/>
          <w:iCs w:val="0"/>
        </w:rPr>
        <w:t>data workbook</w:t>
      </w:r>
      <w:r>
        <w:rPr>
          <w:i/>
          <w:iCs w:val="0"/>
        </w:rPr>
        <w:t xml:space="preserve"> 03 – Network metrics. </w:t>
      </w:r>
      <w:r w:rsidR="00D95706" w:rsidRPr="00D95706">
        <w:rPr>
          <w:iCs w:val="0"/>
        </w:rPr>
        <w:t>There are no further instructions</w:t>
      </w:r>
      <w:r>
        <w:rPr>
          <w:i/>
          <w:iCs w:val="0"/>
        </w:rPr>
        <w:t>.</w:t>
      </w:r>
    </w:p>
    <w:p w14:paraId="2ECF2571" w14:textId="1A1A175D" w:rsidR="00013666" w:rsidRPr="006A16C0" w:rsidRDefault="00013666" w:rsidP="00013666">
      <w:pPr>
        <w:spacing w:before="120" w:after="120"/>
        <w:rPr>
          <w:rFonts w:eastAsiaTheme="majorEastAsia" w:cstheme="majorBidi"/>
          <w:b/>
          <w:bCs/>
          <w:iCs/>
          <w:color w:val="0000CC"/>
          <w:lang w:eastAsia="ja-JP"/>
        </w:rPr>
      </w:pPr>
      <w:r>
        <w:rPr>
          <w:rFonts w:eastAsiaTheme="majorEastAsia" w:cstheme="majorBidi"/>
          <w:b/>
          <w:bCs/>
          <w:iCs/>
          <w:color w:val="303F51"/>
          <w:lang w:eastAsia="ja-JP"/>
        </w:rPr>
        <w:t xml:space="preserve">Motor </w:t>
      </w:r>
      <w:r w:rsidR="00471A21">
        <w:rPr>
          <w:rFonts w:eastAsiaTheme="majorEastAsia" w:cstheme="majorBidi"/>
          <w:b/>
          <w:bCs/>
          <w:iCs/>
          <w:color w:val="303F51"/>
          <w:lang w:eastAsia="ja-JP"/>
        </w:rPr>
        <w:t>v</w:t>
      </w:r>
      <w:r>
        <w:rPr>
          <w:rFonts w:eastAsiaTheme="majorEastAsia" w:cstheme="majorBidi"/>
          <w:b/>
          <w:bCs/>
          <w:iCs/>
          <w:color w:val="303F51"/>
          <w:lang w:eastAsia="ja-JP"/>
        </w:rPr>
        <w:t>ehicles</w:t>
      </w:r>
      <w:r w:rsidR="006A16C0">
        <w:rPr>
          <w:rFonts w:eastAsiaTheme="majorEastAsia" w:cstheme="majorBidi"/>
          <w:b/>
          <w:bCs/>
          <w:iCs/>
          <w:color w:val="303F51"/>
          <w:lang w:eastAsia="ja-JP"/>
        </w:rPr>
        <w:t xml:space="preserve"> </w:t>
      </w:r>
      <w:r w:rsidR="006A16C0">
        <w:rPr>
          <w:rFonts w:eastAsiaTheme="majorEastAsia" w:cstheme="majorBidi"/>
          <w:b/>
          <w:bCs/>
          <w:iCs/>
          <w:color w:val="0000CC"/>
          <w:lang w:eastAsia="ja-JP"/>
        </w:rPr>
        <w:t>(table 2.6.3)</w:t>
      </w:r>
    </w:p>
    <w:p w14:paraId="5BDC2163" w14:textId="23A916F8" w:rsidR="00013666" w:rsidRDefault="00013666" w:rsidP="00013666">
      <w:pPr>
        <w:pStyle w:val="Noparagraph"/>
        <w:spacing w:after="120"/>
        <w:ind w:left="567" w:hanging="567"/>
      </w:pPr>
      <w:r w:rsidRPr="00DF0BC3">
        <w:t xml:space="preserve">Where </w:t>
      </w:r>
      <w:r>
        <w:t xml:space="preserve">a </w:t>
      </w:r>
      <w:r w:rsidRPr="00DF0BC3">
        <w:t xml:space="preserve">requested value is not constant across a </w:t>
      </w:r>
      <w:r w:rsidR="00956E94">
        <w:t xml:space="preserve">reporting </w:t>
      </w:r>
      <w:r w:rsidRPr="00DF0BC3">
        <w:t xml:space="preserve">year, </w:t>
      </w:r>
      <w:r>
        <w:t xml:space="preserve">the </w:t>
      </w:r>
      <w:r w:rsidR="00375AB1" w:rsidRPr="00375AB1">
        <w:rPr>
          <w:i/>
          <w:iCs w:val="0"/>
        </w:rPr>
        <w:t>TNSP</w:t>
      </w:r>
      <w:r>
        <w:t xml:space="preserve"> must </w:t>
      </w:r>
      <w:r w:rsidRPr="00DF0BC3">
        <w:t xml:space="preserve">calculate </w:t>
      </w:r>
      <w:r w:rsidR="00956E94">
        <w:t xml:space="preserve">a </w:t>
      </w:r>
      <w:r w:rsidRPr="00DF0BC3">
        <w:t>simple average based on the different values over the year and the period for which the different values applied. For example, if</w:t>
      </w:r>
      <w:r>
        <w:t xml:space="preserve"> the</w:t>
      </w:r>
      <w:r w:rsidRPr="00DF0BC3">
        <w:t xml:space="preserve"> </w:t>
      </w:r>
      <w:r w:rsidR="00375AB1" w:rsidRPr="00375AB1">
        <w:rPr>
          <w:i/>
          <w:iCs w:val="0"/>
          <w:noProof/>
        </w:rPr>
        <w:t>TNSP</w:t>
      </w:r>
      <w:r>
        <w:t xml:space="preserve"> </w:t>
      </w:r>
      <w:r w:rsidRPr="00DF0BC3">
        <w:t xml:space="preserve">had 12 vehicles for 8 months and 14 vehicles for 4 months, the average </w:t>
      </w:r>
      <w:r>
        <w:t xml:space="preserve">number of </w:t>
      </w:r>
      <w:r w:rsidRPr="00DF0BC3">
        <w:t xml:space="preserve">vehicles in the </w:t>
      </w:r>
      <w:r w:rsidRPr="005B7B99">
        <w:rPr>
          <w:i/>
          <w:iCs w:val="0"/>
        </w:rPr>
        <w:t>reporting period</w:t>
      </w:r>
      <w:r w:rsidRPr="00DF0BC3">
        <w:t xml:space="preserve"> would be 12*</w:t>
      </w:r>
      <w:r>
        <w:t>(</w:t>
      </w:r>
      <w:r w:rsidRPr="00DF0BC3">
        <w:t>8/12</w:t>
      </w:r>
      <w:r>
        <w:t xml:space="preserve">) </w:t>
      </w:r>
      <w:r w:rsidRPr="00DF0BC3">
        <w:t>+</w:t>
      </w:r>
      <w:r>
        <w:t xml:space="preserve"> </w:t>
      </w:r>
      <w:r w:rsidRPr="00DF0BC3">
        <w:t>14*</w:t>
      </w:r>
      <w:r>
        <w:t>(</w:t>
      </w:r>
      <w:r w:rsidRPr="00DF0BC3">
        <w:t>4/12</w:t>
      </w:r>
      <w:r>
        <w:t>)</w:t>
      </w:r>
      <w:r w:rsidRPr="00DF0BC3">
        <w:t xml:space="preserve"> = 12.67</w:t>
      </w:r>
      <w:r>
        <w:t xml:space="preserve"> vehicles</w:t>
      </w:r>
    </w:p>
    <w:p w14:paraId="43D3B64F" w14:textId="53DFEE3A" w:rsidR="00836FDE" w:rsidRDefault="00836FDE" w:rsidP="00836FDE">
      <w:pPr>
        <w:pStyle w:val="Heading3"/>
        <w:spacing w:after="240"/>
        <w:ind w:left="578" w:hanging="578"/>
        <w:rPr>
          <w:lang w:eastAsia="ja-JP"/>
        </w:rPr>
      </w:pPr>
      <w:bookmarkStart w:id="41" w:name="_Toc121724699"/>
      <w:bookmarkStart w:id="42" w:name="_Toc162703547"/>
      <w:r>
        <w:rPr>
          <w:lang w:eastAsia="ja-JP"/>
        </w:rPr>
        <w:t>Length</w:t>
      </w:r>
      <w:bookmarkEnd w:id="41"/>
      <w:bookmarkEnd w:id="42"/>
      <w:r w:rsidR="008E750F">
        <w:rPr>
          <w:lang w:eastAsia="ja-JP"/>
        </w:rPr>
        <w:t xml:space="preserve"> </w:t>
      </w:r>
      <w:r w:rsidR="00FF09AD">
        <w:rPr>
          <w:color w:val="0000CC"/>
          <w:lang w:eastAsia="ja-JP"/>
        </w:rPr>
        <w:t>(3.5</w:t>
      </w:r>
      <w:r w:rsidR="000F054D">
        <w:rPr>
          <w:color w:val="0000CC"/>
          <w:lang w:eastAsia="ja-JP"/>
        </w:rPr>
        <w:t>, 2.2)</w:t>
      </w:r>
    </w:p>
    <w:p w14:paraId="757839D0" w14:textId="378DF786" w:rsidR="00836FDE" w:rsidRDefault="00836FDE" w:rsidP="00836FDE">
      <w:pPr>
        <w:spacing w:before="120" w:after="120"/>
        <w:rPr>
          <w:rFonts w:eastAsiaTheme="majorEastAsia" w:cstheme="majorBidi"/>
          <w:b/>
          <w:bCs/>
          <w:iCs/>
          <w:color w:val="303F51"/>
          <w:lang w:eastAsia="ja-JP"/>
        </w:rPr>
      </w:pPr>
      <w:r w:rsidRPr="00F31284">
        <w:rPr>
          <w:rFonts w:eastAsiaTheme="majorEastAsia" w:cstheme="majorBidi"/>
          <w:b/>
          <w:bCs/>
          <w:iCs/>
          <w:color w:val="303F51"/>
          <w:lang w:eastAsia="ja-JP"/>
        </w:rPr>
        <w:t>Overhead network length of circuit at each voltage</w:t>
      </w:r>
      <w:r w:rsidR="00FF09AD">
        <w:rPr>
          <w:rFonts w:eastAsiaTheme="majorEastAsia" w:cstheme="majorBidi"/>
          <w:b/>
          <w:bCs/>
          <w:iCs/>
          <w:color w:val="303F51"/>
          <w:lang w:eastAsia="ja-JP"/>
        </w:rPr>
        <w:t xml:space="preserve"> </w:t>
      </w:r>
      <w:r w:rsidR="00FF09AD" w:rsidRPr="00FF09AD">
        <w:rPr>
          <w:rFonts w:eastAsiaTheme="majorEastAsia" w:cstheme="majorBidi"/>
          <w:b/>
          <w:bCs/>
          <w:iCs/>
          <w:color w:val="0000CC"/>
          <w:lang w:eastAsia="ja-JP"/>
        </w:rPr>
        <w:t>(table 3.5.1.1)</w:t>
      </w:r>
    </w:p>
    <w:p w14:paraId="204EC69E" w14:textId="21480E34" w:rsidR="00836FDE" w:rsidRPr="00FF09AD" w:rsidRDefault="00836FDE" w:rsidP="00836FDE">
      <w:pPr>
        <w:spacing w:before="120" w:after="120"/>
        <w:rPr>
          <w:rFonts w:eastAsiaTheme="majorEastAsia" w:cstheme="majorBidi"/>
          <w:b/>
          <w:bCs/>
          <w:iCs/>
          <w:color w:val="0000CC"/>
          <w:lang w:eastAsia="ja-JP"/>
        </w:rPr>
      </w:pPr>
      <w:r>
        <w:rPr>
          <w:rFonts w:eastAsiaTheme="majorEastAsia" w:cstheme="majorBidi"/>
          <w:b/>
          <w:bCs/>
          <w:iCs/>
          <w:color w:val="303F51"/>
          <w:lang w:eastAsia="ja-JP"/>
        </w:rPr>
        <w:t>Underground</w:t>
      </w:r>
      <w:r w:rsidRPr="00F31284">
        <w:rPr>
          <w:rFonts w:eastAsiaTheme="majorEastAsia" w:cstheme="majorBidi"/>
          <w:b/>
          <w:bCs/>
          <w:iCs/>
          <w:color w:val="303F51"/>
          <w:lang w:eastAsia="ja-JP"/>
        </w:rPr>
        <w:t xml:space="preserve"> </w:t>
      </w:r>
      <w:r w:rsidR="00471A21">
        <w:rPr>
          <w:rFonts w:eastAsiaTheme="majorEastAsia" w:cstheme="majorBidi"/>
          <w:b/>
          <w:bCs/>
          <w:iCs/>
          <w:color w:val="303F51"/>
          <w:lang w:eastAsia="ja-JP"/>
        </w:rPr>
        <w:t>cable circuit</w:t>
      </w:r>
      <w:r w:rsidR="00471A21" w:rsidRPr="00F31284">
        <w:rPr>
          <w:rFonts w:eastAsiaTheme="majorEastAsia" w:cstheme="majorBidi"/>
          <w:b/>
          <w:bCs/>
          <w:iCs/>
          <w:color w:val="303F51"/>
          <w:lang w:eastAsia="ja-JP"/>
        </w:rPr>
        <w:t xml:space="preserve"> </w:t>
      </w:r>
      <w:r w:rsidRPr="00F31284">
        <w:rPr>
          <w:rFonts w:eastAsiaTheme="majorEastAsia" w:cstheme="majorBidi"/>
          <w:b/>
          <w:bCs/>
          <w:iCs/>
          <w:color w:val="303F51"/>
          <w:lang w:eastAsia="ja-JP"/>
        </w:rPr>
        <w:t>length at each voltage</w:t>
      </w:r>
      <w:r w:rsidR="00C7586B">
        <w:rPr>
          <w:rFonts w:eastAsiaTheme="majorEastAsia" w:cstheme="majorBidi"/>
          <w:b/>
          <w:bCs/>
          <w:iCs/>
          <w:color w:val="303F51"/>
          <w:lang w:eastAsia="ja-JP"/>
        </w:rPr>
        <w:t xml:space="preserve"> </w:t>
      </w:r>
      <w:r w:rsidR="00FF09AD" w:rsidRPr="00FF09AD">
        <w:rPr>
          <w:rFonts w:eastAsiaTheme="majorEastAsia" w:cstheme="majorBidi"/>
          <w:b/>
          <w:bCs/>
          <w:iCs/>
          <w:color w:val="0000CC"/>
          <w:lang w:eastAsia="ja-JP"/>
        </w:rPr>
        <w:t>(table 3.5.1.2)</w:t>
      </w:r>
    </w:p>
    <w:p w14:paraId="664E2E9B" w14:textId="106A84D0" w:rsidR="00B3547F" w:rsidRDefault="00B3547F" w:rsidP="00B3547F">
      <w:pPr>
        <w:pStyle w:val="Noparagraph"/>
        <w:ind w:left="567" w:hanging="567"/>
      </w:pPr>
      <w:r w:rsidRPr="00B3547F">
        <w:t xml:space="preserve">The network </w:t>
      </w:r>
      <w:r w:rsidR="00DA707E">
        <w:t xml:space="preserve">circuit </w:t>
      </w:r>
      <w:r w:rsidRPr="00B3547F">
        <w:t>length</w:t>
      </w:r>
      <w:r w:rsidR="00C7586B">
        <w:t xml:space="preserve"> </w:t>
      </w:r>
      <w:r w:rsidRPr="00B3547F">
        <w:t>is the circuit length (measured in kilometres) of lines in service</w:t>
      </w:r>
      <w:r w:rsidR="005F7F67">
        <w:t>. Lines in service is</w:t>
      </w:r>
      <w:r w:rsidRPr="00B3547F">
        <w:t xml:space="preserve"> the total length of lines including interconnectors, backbones and spurs. A double circuit line counts as twice the length. Length </w:t>
      </w:r>
      <w:r w:rsidR="00BE3E4A">
        <w:t>must</w:t>
      </w:r>
      <w:r w:rsidRPr="00B3547F">
        <w:t xml:space="preserve"> not </w:t>
      </w:r>
      <w:r w:rsidR="005F7F67">
        <w:t>include</w:t>
      </w:r>
      <w:r w:rsidRPr="00B3547F">
        <w:t xml:space="preserve"> vertical components such as sag.</w:t>
      </w:r>
    </w:p>
    <w:p w14:paraId="1FF71EAB" w14:textId="18893EE6" w:rsidR="00836FDE" w:rsidRDefault="00836FDE" w:rsidP="00836FDE">
      <w:pPr>
        <w:pStyle w:val="Noparagraph"/>
        <w:spacing w:after="120"/>
        <w:ind w:left="567" w:hanging="567"/>
      </w:pPr>
      <w:r>
        <w:t xml:space="preserve">For ‘Other overhead voltages’ and ‘Other underground voltages’ the </w:t>
      </w:r>
      <w:r w:rsidR="00375AB1" w:rsidRPr="00375AB1">
        <w:rPr>
          <w:i/>
          <w:iCs w:val="0"/>
        </w:rPr>
        <w:t>TNSP</w:t>
      </w:r>
      <w:r>
        <w:t xml:space="preserve"> must report the aggregate circuit length for all voltages that comprise ‘Other’. The </w:t>
      </w:r>
      <w:r w:rsidR="00375AB1" w:rsidRPr="00375AB1">
        <w:rPr>
          <w:i/>
        </w:rPr>
        <w:t>TNSP</w:t>
      </w:r>
      <w:r>
        <w:t xml:space="preserve"> must </w:t>
      </w:r>
      <w:r w:rsidR="00785A65">
        <w:t xml:space="preserve">identify </w:t>
      </w:r>
      <w:r>
        <w:t xml:space="preserve">the other voltages in its </w:t>
      </w:r>
      <w:r w:rsidRPr="002D4894">
        <w:rPr>
          <w:i/>
          <w:iCs w:val="0"/>
        </w:rPr>
        <w:t>basis of preparation</w:t>
      </w:r>
      <w:r>
        <w:t>.</w:t>
      </w:r>
    </w:p>
    <w:p w14:paraId="3F8FDBA1" w14:textId="3B895FB8" w:rsidR="00836FDE" w:rsidRPr="000F054D" w:rsidRDefault="008E347D" w:rsidP="00EF7844">
      <w:pPr>
        <w:keepNext/>
        <w:spacing w:before="120" w:after="120"/>
        <w:rPr>
          <w:rFonts w:eastAsiaTheme="majorEastAsia" w:cstheme="majorBidi"/>
          <w:b/>
          <w:bCs/>
          <w:iCs/>
          <w:color w:val="0000CC"/>
          <w:lang w:eastAsia="ja-JP"/>
        </w:rPr>
      </w:pPr>
      <w:r>
        <w:rPr>
          <w:rFonts w:eastAsiaTheme="majorEastAsia" w:cstheme="majorBidi"/>
          <w:b/>
          <w:bCs/>
          <w:iCs/>
          <w:color w:val="303F51"/>
          <w:lang w:eastAsia="ja-JP"/>
        </w:rPr>
        <w:lastRenderedPageBreak/>
        <w:t>S</w:t>
      </w:r>
      <w:r w:rsidR="00836FDE">
        <w:rPr>
          <w:rFonts w:eastAsiaTheme="majorEastAsia" w:cstheme="majorBidi"/>
          <w:b/>
          <w:bCs/>
          <w:iCs/>
          <w:color w:val="303F51"/>
          <w:lang w:eastAsia="ja-JP"/>
        </w:rPr>
        <w:t>elected asset characteristics</w:t>
      </w:r>
      <w:r w:rsidR="00C7586B">
        <w:rPr>
          <w:rFonts w:eastAsiaTheme="majorEastAsia" w:cstheme="majorBidi"/>
          <w:b/>
          <w:bCs/>
          <w:iCs/>
          <w:color w:val="303F51"/>
          <w:lang w:eastAsia="ja-JP"/>
        </w:rPr>
        <w:t xml:space="preserve"> </w:t>
      </w:r>
      <w:r w:rsidR="000F054D">
        <w:rPr>
          <w:rFonts w:eastAsiaTheme="majorEastAsia" w:cstheme="majorBidi"/>
          <w:b/>
          <w:bCs/>
          <w:iCs/>
          <w:color w:val="0000CC"/>
          <w:lang w:eastAsia="ja-JP"/>
        </w:rPr>
        <w:t>(table 2.2.2)</w:t>
      </w:r>
    </w:p>
    <w:p w14:paraId="77967E0E" w14:textId="2A9A42E2" w:rsidR="00836FDE" w:rsidRDefault="00B3547F" w:rsidP="00836FDE">
      <w:pPr>
        <w:spacing w:before="120" w:after="120"/>
        <w:rPr>
          <w:rFonts w:eastAsiaTheme="majorEastAsia" w:cstheme="majorBidi"/>
          <w:i/>
          <w:color w:val="303F51"/>
          <w:lang w:eastAsia="ja-JP"/>
        </w:rPr>
      </w:pPr>
      <w:r>
        <w:rPr>
          <w:rFonts w:eastAsiaTheme="majorEastAsia" w:cstheme="majorBidi"/>
          <w:i/>
          <w:color w:val="303F51"/>
          <w:lang w:eastAsia="ja-JP"/>
        </w:rPr>
        <w:t>C</w:t>
      </w:r>
      <w:r w:rsidR="00836FDE" w:rsidRPr="007A56C1">
        <w:rPr>
          <w:rFonts w:eastAsiaTheme="majorEastAsia" w:cstheme="majorBidi"/>
          <w:i/>
          <w:color w:val="303F51"/>
          <w:lang w:eastAsia="ja-JP"/>
        </w:rPr>
        <w:t xml:space="preserve">onductors </w:t>
      </w:r>
      <w:proofErr w:type="gramStart"/>
      <w:r w:rsidR="00836FDE" w:rsidRPr="007A56C1">
        <w:rPr>
          <w:rFonts w:eastAsiaTheme="majorEastAsia" w:cstheme="majorBidi"/>
          <w:i/>
          <w:color w:val="303F51"/>
          <w:lang w:eastAsia="ja-JP"/>
        </w:rPr>
        <w:t>by:</w:t>
      </w:r>
      <w:proofErr w:type="gramEnd"/>
      <w:r w:rsidR="00836FDE" w:rsidRPr="007A56C1">
        <w:rPr>
          <w:rFonts w:eastAsiaTheme="majorEastAsia" w:cstheme="majorBidi"/>
          <w:i/>
          <w:color w:val="303F51"/>
          <w:lang w:eastAsia="ja-JP"/>
        </w:rPr>
        <w:t xml:space="preserve"> conductor length material type </w:t>
      </w:r>
    </w:p>
    <w:p w14:paraId="36EF5430" w14:textId="54F4B890" w:rsidR="008B0836" w:rsidRDefault="008B0836" w:rsidP="008B0836">
      <w:pPr>
        <w:pStyle w:val="Noparagraph"/>
        <w:spacing w:after="120"/>
        <w:ind w:left="567" w:hanging="567"/>
      </w:pPr>
      <w:bookmarkStart w:id="43" w:name="_Hlk125123002"/>
      <w:r>
        <w:t xml:space="preserve">Data requirements are identified by reference to table headings, row descriptors and column headings. They are represented as input cells </w:t>
      </w:r>
      <w:r w:rsidR="007E18FB">
        <w:t>–</w:t>
      </w:r>
      <w:r>
        <w:t xml:space="preserve"> shaded green in the </w:t>
      </w:r>
      <w:r w:rsidRPr="00BA4310">
        <w:rPr>
          <w:i/>
          <w:iCs w:val="0"/>
        </w:rPr>
        <w:t>data workbook</w:t>
      </w:r>
      <w:r>
        <w:rPr>
          <w:i/>
          <w:iCs w:val="0"/>
        </w:rPr>
        <w:t xml:space="preserve"> 03 – Network metrics. </w:t>
      </w:r>
      <w:r w:rsidR="00D95706" w:rsidRPr="00D95706">
        <w:rPr>
          <w:iCs w:val="0"/>
        </w:rPr>
        <w:t>There are no further instructions</w:t>
      </w:r>
      <w:r>
        <w:rPr>
          <w:i/>
          <w:iCs w:val="0"/>
        </w:rPr>
        <w:t>.</w:t>
      </w:r>
    </w:p>
    <w:p w14:paraId="5D466630" w14:textId="608997E7" w:rsidR="00836FDE" w:rsidRDefault="00836FDE" w:rsidP="00836FDE">
      <w:pPr>
        <w:pStyle w:val="Heading3"/>
        <w:spacing w:after="240"/>
        <w:ind w:left="578" w:hanging="578"/>
        <w:rPr>
          <w:lang w:eastAsia="ja-JP"/>
        </w:rPr>
      </w:pPr>
      <w:bookmarkStart w:id="44" w:name="_Toc121724700"/>
      <w:bookmarkStart w:id="45" w:name="_Toc162703548"/>
      <w:bookmarkEnd w:id="43"/>
      <w:r>
        <w:rPr>
          <w:lang w:eastAsia="ja-JP"/>
        </w:rPr>
        <w:t>Capacity</w:t>
      </w:r>
      <w:bookmarkEnd w:id="44"/>
      <w:bookmarkEnd w:id="45"/>
      <w:r w:rsidR="00F30640">
        <w:rPr>
          <w:lang w:eastAsia="ja-JP"/>
        </w:rPr>
        <w:t xml:space="preserve"> </w:t>
      </w:r>
      <w:r w:rsidR="00F30640">
        <w:rPr>
          <w:color w:val="0000CC"/>
          <w:lang w:eastAsia="ja-JP"/>
        </w:rPr>
        <w:t>(3.5,</w:t>
      </w:r>
      <w:r w:rsidR="00720DE5">
        <w:rPr>
          <w:color w:val="0000CC"/>
          <w:lang w:eastAsia="ja-JP"/>
        </w:rPr>
        <w:t xml:space="preserve"> 2.2, 3.4)</w:t>
      </w:r>
    </w:p>
    <w:p w14:paraId="70CB2F9A" w14:textId="0B577C11" w:rsidR="00836FDE" w:rsidRPr="008F7504" w:rsidRDefault="00836FDE" w:rsidP="00836FDE">
      <w:pPr>
        <w:spacing w:before="120" w:after="120"/>
        <w:rPr>
          <w:rFonts w:eastAsiaTheme="majorEastAsia" w:cstheme="majorBidi"/>
          <w:b/>
          <w:bCs/>
          <w:iCs/>
          <w:color w:val="0000CC"/>
          <w:lang w:eastAsia="ja-JP"/>
        </w:rPr>
      </w:pPr>
      <w:r>
        <w:rPr>
          <w:rFonts w:eastAsiaTheme="majorEastAsia" w:cstheme="majorBidi"/>
          <w:b/>
          <w:bCs/>
          <w:iCs/>
          <w:color w:val="303F51"/>
          <w:lang w:eastAsia="ja-JP"/>
        </w:rPr>
        <w:t>Circuit capacity</w:t>
      </w:r>
      <w:r w:rsidR="00C7586B">
        <w:rPr>
          <w:rFonts w:eastAsiaTheme="majorEastAsia" w:cstheme="majorBidi"/>
          <w:b/>
          <w:bCs/>
          <w:iCs/>
          <w:color w:val="303F51"/>
          <w:lang w:eastAsia="ja-JP"/>
        </w:rPr>
        <w:t xml:space="preserve"> </w:t>
      </w:r>
      <w:r w:rsidR="008F7504">
        <w:rPr>
          <w:rFonts w:eastAsiaTheme="majorEastAsia" w:cstheme="majorBidi"/>
          <w:b/>
          <w:bCs/>
          <w:iCs/>
          <w:color w:val="0000CC"/>
          <w:lang w:eastAsia="ja-JP"/>
        </w:rPr>
        <w:t xml:space="preserve">(table </w:t>
      </w:r>
      <w:r w:rsidR="00D04CCB">
        <w:rPr>
          <w:rFonts w:eastAsiaTheme="majorEastAsia" w:cstheme="majorBidi"/>
          <w:b/>
          <w:bCs/>
          <w:iCs/>
          <w:color w:val="0000CC"/>
          <w:lang w:eastAsia="ja-JP"/>
        </w:rPr>
        <w:t>3.5.1.3, table 3.5.1.4)</w:t>
      </w:r>
    </w:p>
    <w:p w14:paraId="3DEE23ED" w14:textId="46BF6F41" w:rsidR="00836FDE" w:rsidRPr="00D04CCB" w:rsidRDefault="00836FDE" w:rsidP="00836FDE">
      <w:pPr>
        <w:spacing w:before="120" w:after="120"/>
        <w:rPr>
          <w:rFonts w:eastAsiaTheme="majorEastAsia" w:cstheme="majorBidi"/>
          <w:i/>
          <w:color w:val="303F51"/>
          <w:lang w:eastAsia="ja-JP"/>
        </w:rPr>
      </w:pPr>
      <w:r w:rsidRPr="00B72BBA">
        <w:rPr>
          <w:rFonts w:eastAsiaTheme="majorEastAsia" w:cstheme="majorBidi"/>
          <w:i/>
          <w:color w:val="303F51"/>
          <w:lang w:eastAsia="ja-JP"/>
        </w:rPr>
        <w:t xml:space="preserve">Estimated overhead network weighted average MVA capacity by voltage class </w:t>
      </w:r>
      <w:r w:rsidR="00D04CCB" w:rsidRPr="00D04CCB">
        <w:rPr>
          <w:rFonts w:eastAsiaTheme="majorEastAsia" w:cstheme="majorBidi"/>
          <w:iCs/>
          <w:color w:val="0000CC"/>
          <w:lang w:eastAsia="ja-JP"/>
        </w:rPr>
        <w:t>(table 3.5.1.3)</w:t>
      </w:r>
    </w:p>
    <w:p w14:paraId="73E51409" w14:textId="391BE210" w:rsidR="00836FDE" w:rsidRPr="00D04CCB" w:rsidRDefault="00836FDE" w:rsidP="00836FDE">
      <w:pPr>
        <w:spacing w:before="120" w:after="120"/>
        <w:rPr>
          <w:rFonts w:eastAsiaTheme="majorEastAsia" w:cstheme="majorBidi"/>
          <w:i/>
          <w:color w:val="303F51"/>
          <w:lang w:eastAsia="ja-JP"/>
        </w:rPr>
      </w:pPr>
      <w:r w:rsidRPr="00B72BBA">
        <w:rPr>
          <w:rFonts w:eastAsiaTheme="majorEastAsia" w:cstheme="majorBidi"/>
          <w:i/>
          <w:color w:val="303F51"/>
          <w:lang w:eastAsia="ja-JP"/>
        </w:rPr>
        <w:t>Estimated underground network weighted average MVA capacity by voltage class</w:t>
      </w:r>
      <w:r w:rsidR="00D04CCB">
        <w:rPr>
          <w:rFonts w:eastAsiaTheme="majorEastAsia" w:cstheme="majorBidi"/>
          <w:i/>
          <w:color w:val="303F51"/>
          <w:lang w:eastAsia="ja-JP"/>
        </w:rPr>
        <w:t xml:space="preserve"> </w:t>
      </w:r>
      <w:r w:rsidR="00D04CCB" w:rsidRPr="00D04CCB">
        <w:rPr>
          <w:rFonts w:eastAsiaTheme="majorEastAsia" w:cstheme="majorBidi"/>
          <w:iCs/>
          <w:color w:val="0000CC"/>
          <w:lang w:eastAsia="ja-JP"/>
        </w:rPr>
        <w:t>(table 3.5.1.4)</w:t>
      </w:r>
    </w:p>
    <w:p w14:paraId="7F692773" w14:textId="7DCB491F" w:rsidR="00970F99" w:rsidRDefault="008B6AB3" w:rsidP="008B6AB3">
      <w:pPr>
        <w:pStyle w:val="Noparagraph"/>
        <w:tabs>
          <w:tab w:val="clear" w:pos="567"/>
        </w:tabs>
        <w:ind w:left="567" w:hanging="567"/>
      </w:pPr>
      <w:r>
        <w:t xml:space="preserve">The </w:t>
      </w:r>
      <w:r w:rsidR="00375AB1" w:rsidRPr="00375AB1">
        <w:rPr>
          <w:i/>
          <w:iCs w:val="0"/>
        </w:rPr>
        <w:t>TNSP</w:t>
      </w:r>
      <w:r w:rsidR="00970F99" w:rsidRPr="00970F99">
        <w:t xml:space="preserve"> must </w:t>
      </w:r>
      <w:r w:rsidR="00997218">
        <w:t>report</w:t>
      </w:r>
      <w:r w:rsidR="00891A46">
        <w:t>,</w:t>
      </w:r>
      <w:r w:rsidR="00997218" w:rsidRPr="00970F99">
        <w:t xml:space="preserve"> </w:t>
      </w:r>
      <w:r w:rsidR="00891A46" w:rsidRPr="00970F99">
        <w:t>for each of the listed voltage classes</w:t>
      </w:r>
      <w:r w:rsidR="00891A46">
        <w:t>,</w:t>
      </w:r>
      <w:r w:rsidR="00891A46" w:rsidRPr="00970F99">
        <w:t xml:space="preserve"> </w:t>
      </w:r>
      <w:r w:rsidR="00970F99" w:rsidRPr="00970F99">
        <w:t>estimated typical or weighted average capacities under normal circumstances taking account of limits imposed by thermal or by voltage drop considerations as relevant</w:t>
      </w:r>
      <w:r w:rsidR="00D97001">
        <w:t>.</w:t>
      </w:r>
    </w:p>
    <w:p w14:paraId="7AC125AA" w14:textId="72900474" w:rsidR="00FA454C" w:rsidRDefault="00FA454C" w:rsidP="008B6AB3">
      <w:pPr>
        <w:pStyle w:val="Noparagraph"/>
        <w:tabs>
          <w:tab w:val="clear" w:pos="567"/>
        </w:tabs>
        <w:ind w:left="567" w:hanging="567"/>
      </w:pPr>
      <w:r>
        <w:t>This information will be used to calculate an overall MVA x km ‘carrying capacity’ for each voltage class under normal circumstances. The TNSP is required to provide summer Maximum Demands for summer peaking assets and winter Maximum Demands for winter peaking assets. If the TNSP’s peak has changed from winter to summer (or vice versa) ov</w:t>
      </w:r>
      <w:r w:rsidR="004E070C">
        <w:t xml:space="preserve">er the </w:t>
      </w:r>
      <w:proofErr w:type="gramStart"/>
      <w:r w:rsidR="004E070C">
        <w:t>time period</w:t>
      </w:r>
      <w:proofErr w:type="gramEnd"/>
      <w:r w:rsidR="004E070C">
        <w:t xml:space="preserve">, winter ratings should be applied for those years where there was a winter peak and summer ratings for those years where there were summer peaks. </w:t>
      </w:r>
    </w:p>
    <w:p w14:paraId="6C442198" w14:textId="4E46269D" w:rsidR="00836FDE" w:rsidRPr="008D135C" w:rsidRDefault="00836FDE" w:rsidP="00836FDE">
      <w:pPr>
        <w:pStyle w:val="Noparagraph"/>
        <w:spacing w:after="120"/>
        <w:ind w:left="567" w:hanging="567"/>
      </w:pPr>
      <w:r>
        <w:t xml:space="preserve">Where circuits travel both overhead and underground and the capacity of the overhead and underground components is not available separately, the </w:t>
      </w:r>
      <w:r w:rsidR="00375AB1" w:rsidRPr="00375AB1">
        <w:rPr>
          <w:i/>
          <w:iCs w:val="0"/>
        </w:rPr>
        <w:t>TNSP</w:t>
      </w:r>
      <w:r w:rsidRPr="00CA44E0">
        <w:rPr>
          <w:i/>
          <w:iCs w:val="0"/>
        </w:rPr>
        <w:t xml:space="preserve"> </w:t>
      </w:r>
      <w:r>
        <w:t>may split</w:t>
      </w:r>
      <w:r w:rsidR="00EC0E9F">
        <w:t xml:space="preserve"> </w:t>
      </w:r>
      <w:r>
        <w:t>the</w:t>
      </w:r>
      <w:r w:rsidR="00EC0E9F">
        <w:t xml:space="preserve"> known</w:t>
      </w:r>
      <w:r>
        <w:t xml:space="preserve"> circuit capacity by the ratio of </w:t>
      </w:r>
      <w:r w:rsidR="00EC0E9F">
        <w:t xml:space="preserve">its </w:t>
      </w:r>
      <w:r>
        <w:t xml:space="preserve">overhead </w:t>
      </w:r>
      <w:r w:rsidR="00EC0E9F">
        <w:t xml:space="preserve">network to its </w:t>
      </w:r>
      <w:r>
        <w:t xml:space="preserve">underground </w:t>
      </w:r>
      <w:r w:rsidR="00EC0E9F">
        <w:t xml:space="preserve">network </w:t>
      </w:r>
      <w:r w:rsidR="00357807">
        <w:t>and report</w:t>
      </w:r>
      <w:r w:rsidR="001F0555">
        <w:t xml:space="preserve"> </w:t>
      </w:r>
      <w:r w:rsidR="00906E68">
        <w:t xml:space="preserve">estimated </w:t>
      </w:r>
      <w:r w:rsidR="001F0555">
        <w:t>values for</w:t>
      </w:r>
      <w:r>
        <w:t xml:space="preserve"> the overhead capacity and underground capacity component</w:t>
      </w:r>
      <w:r w:rsidR="00891A46">
        <w:t>s</w:t>
      </w:r>
      <w:r>
        <w:t>.</w:t>
      </w:r>
    </w:p>
    <w:p w14:paraId="0CC9B1FE" w14:textId="50A5383B" w:rsidR="00836FDE" w:rsidRPr="00AE0C8C" w:rsidRDefault="00836FDE" w:rsidP="00836FDE">
      <w:pPr>
        <w:spacing w:before="120" w:after="120"/>
        <w:rPr>
          <w:rFonts w:eastAsiaTheme="majorEastAsia" w:cstheme="majorBidi"/>
          <w:b/>
          <w:bCs/>
          <w:iCs/>
          <w:color w:val="0000CC"/>
          <w:lang w:eastAsia="ja-JP"/>
        </w:rPr>
      </w:pPr>
      <w:r>
        <w:rPr>
          <w:rFonts w:eastAsiaTheme="majorEastAsia" w:cstheme="majorBidi"/>
          <w:b/>
          <w:bCs/>
          <w:iCs/>
          <w:color w:val="303F51"/>
          <w:lang w:eastAsia="ja-JP"/>
        </w:rPr>
        <w:t>Transformer capacities</w:t>
      </w:r>
      <w:r w:rsidR="00C7586B">
        <w:rPr>
          <w:rFonts w:eastAsiaTheme="majorEastAsia" w:cstheme="majorBidi"/>
          <w:b/>
          <w:bCs/>
          <w:iCs/>
          <w:color w:val="303F51"/>
          <w:lang w:eastAsia="ja-JP"/>
        </w:rPr>
        <w:t xml:space="preserve"> </w:t>
      </w:r>
      <w:r w:rsidR="00F6710A">
        <w:rPr>
          <w:rFonts w:eastAsiaTheme="majorEastAsia" w:cstheme="majorBidi"/>
          <w:b/>
          <w:bCs/>
          <w:iCs/>
          <w:color w:val="0000CC"/>
          <w:lang w:eastAsia="ja-JP"/>
        </w:rPr>
        <w:t>(table 3.5.1.5, table 3.5.1.6)</w:t>
      </w:r>
    </w:p>
    <w:p w14:paraId="30BE14CC" w14:textId="33FFAE6C" w:rsidR="00836FDE" w:rsidRPr="00AE0C8C" w:rsidRDefault="008B6AB3" w:rsidP="00836FDE">
      <w:pPr>
        <w:pStyle w:val="Heading4"/>
        <w:numPr>
          <w:ilvl w:val="0"/>
          <w:numId w:val="0"/>
        </w:numPr>
        <w:rPr>
          <w:b w:val="0"/>
          <w:bCs w:val="0"/>
          <w:i/>
          <w:iCs w:val="0"/>
          <w:color w:val="0000CC"/>
          <w:lang w:eastAsia="ja-JP"/>
        </w:rPr>
      </w:pPr>
      <w:r>
        <w:rPr>
          <w:b w:val="0"/>
          <w:bCs w:val="0"/>
          <w:i/>
          <w:iCs w:val="0"/>
          <w:lang w:eastAsia="ja-JP"/>
        </w:rPr>
        <w:t>Installed transmission system t</w:t>
      </w:r>
      <w:r w:rsidR="00836FDE" w:rsidRPr="001E6C78">
        <w:rPr>
          <w:b w:val="0"/>
          <w:bCs w:val="0"/>
          <w:i/>
          <w:iCs w:val="0"/>
          <w:lang w:eastAsia="ja-JP"/>
        </w:rPr>
        <w:t>ransformer capacity</w:t>
      </w:r>
      <w:r w:rsidR="00D04CCB">
        <w:rPr>
          <w:b w:val="0"/>
          <w:bCs w:val="0"/>
          <w:i/>
          <w:iCs w:val="0"/>
          <w:lang w:eastAsia="ja-JP"/>
        </w:rPr>
        <w:t xml:space="preserve"> </w:t>
      </w:r>
      <w:r w:rsidR="00AE0C8C">
        <w:rPr>
          <w:b w:val="0"/>
          <w:bCs w:val="0"/>
          <w:i/>
          <w:iCs w:val="0"/>
          <w:color w:val="0000CC"/>
          <w:lang w:eastAsia="ja-JP"/>
        </w:rPr>
        <w:t>(table 3.5.1.5)</w:t>
      </w:r>
    </w:p>
    <w:p w14:paraId="7342E229" w14:textId="646E5C40" w:rsidR="00D64990" w:rsidRPr="00AE0C8C" w:rsidRDefault="00D64990" w:rsidP="00D64990">
      <w:pPr>
        <w:pStyle w:val="Heading4"/>
        <w:numPr>
          <w:ilvl w:val="0"/>
          <w:numId w:val="0"/>
        </w:numPr>
        <w:rPr>
          <w:b w:val="0"/>
          <w:bCs w:val="0"/>
          <w:i/>
          <w:iCs w:val="0"/>
          <w:color w:val="0000CC"/>
          <w:lang w:eastAsia="ja-JP"/>
        </w:rPr>
      </w:pPr>
      <w:r w:rsidRPr="00D64990">
        <w:rPr>
          <w:b w:val="0"/>
          <w:bCs w:val="0"/>
          <w:i/>
          <w:iCs w:val="0"/>
          <w:lang w:eastAsia="ja-JP"/>
        </w:rPr>
        <w:t>Cold spare capacity</w:t>
      </w:r>
      <w:r w:rsidR="00AE0C8C">
        <w:rPr>
          <w:b w:val="0"/>
          <w:bCs w:val="0"/>
          <w:i/>
          <w:iCs w:val="0"/>
          <w:lang w:eastAsia="ja-JP"/>
        </w:rPr>
        <w:t xml:space="preserve"> </w:t>
      </w:r>
      <w:r w:rsidR="00AE0C8C">
        <w:rPr>
          <w:b w:val="0"/>
          <w:bCs w:val="0"/>
          <w:i/>
          <w:iCs w:val="0"/>
          <w:color w:val="0000CC"/>
          <w:lang w:eastAsia="ja-JP"/>
        </w:rPr>
        <w:t>(table 3.5.1.6)</w:t>
      </w:r>
    </w:p>
    <w:p w14:paraId="74E15EB2" w14:textId="3929252F" w:rsidR="00FE7A66" w:rsidRDefault="00FE7A66" w:rsidP="00FE7A66">
      <w:pPr>
        <w:pStyle w:val="Noparagraph"/>
        <w:ind w:left="567" w:hanging="567"/>
      </w:pPr>
      <w:r>
        <w:t xml:space="preserve">The </w:t>
      </w:r>
      <w:r w:rsidR="00375AB1" w:rsidRPr="00375AB1">
        <w:rPr>
          <w:i/>
          <w:iCs w:val="0"/>
        </w:rPr>
        <w:t>TNSP</w:t>
      </w:r>
      <w:r>
        <w:t xml:space="preserve"> must report transformer capacity for the entire transmission system. For the purposes of these measures the transmission system includes transformers, overhead and underground lines and cables in service that serve a transmission function. The transformer capacities must be reported inclusive of Cold Spare Capacity.</w:t>
      </w:r>
    </w:p>
    <w:p w14:paraId="4221B191" w14:textId="302362B7" w:rsidR="008B6AB3" w:rsidRDefault="00FE7A66" w:rsidP="00FE7A66">
      <w:pPr>
        <w:pStyle w:val="Noparagraph"/>
        <w:ind w:left="567" w:hanging="567"/>
      </w:pPr>
      <w:bookmarkStart w:id="46" w:name="_Hlk124342918"/>
      <w:r>
        <w:t>For each level, report the summation of normal assigned continuous capacity or rating (with forced cooling or other capacity improving factors included if relevant)</w:t>
      </w:r>
      <w:r w:rsidR="009C55DA">
        <w:t xml:space="preserve"> including the </w:t>
      </w:r>
      <w:r>
        <w:t xml:space="preserve">capacity of tertiary windings as relevant. </w:t>
      </w:r>
      <w:r w:rsidR="00A87E90">
        <w:t>If available, t</w:t>
      </w:r>
      <w:r w:rsidR="009C55DA">
        <w:t xml:space="preserve">he </w:t>
      </w:r>
      <w:r w:rsidR="00A87E90" w:rsidRPr="00A87E90">
        <w:rPr>
          <w:i/>
          <w:iCs w:val="0"/>
        </w:rPr>
        <w:t>TNSP</w:t>
      </w:r>
      <w:r w:rsidR="00A87E90">
        <w:t xml:space="preserve"> must report the </w:t>
      </w:r>
      <w:r w:rsidR="009C55DA">
        <w:t>a</w:t>
      </w:r>
      <w:r>
        <w:t>ssigned rating</w:t>
      </w:r>
      <w:r w:rsidR="00A87E90">
        <w:t xml:space="preserve"> as </w:t>
      </w:r>
      <w:r>
        <w:t>determined from results of temperature rise calculations from testing or otherwise</w:t>
      </w:r>
      <w:r w:rsidR="00933547">
        <w:t>,</w:t>
      </w:r>
      <w:r>
        <w:t xml:space="preserve"> the nameplate rating. Do not include step-up transformers at generation connection location.</w:t>
      </w:r>
    </w:p>
    <w:bookmarkEnd w:id="46"/>
    <w:p w14:paraId="1171F97E" w14:textId="2083784E" w:rsidR="00836FDE" w:rsidRPr="00812752" w:rsidRDefault="00836FDE" w:rsidP="008B0836">
      <w:pPr>
        <w:pStyle w:val="Noparagraph"/>
        <w:keepNext/>
        <w:numPr>
          <w:ilvl w:val="0"/>
          <w:numId w:val="0"/>
        </w:numPr>
        <w:spacing w:after="120"/>
        <w:rPr>
          <w:b/>
          <w:bCs/>
          <w:color w:val="303F51"/>
          <w:lang w:eastAsia="ja-JP"/>
        </w:rPr>
      </w:pPr>
      <w:r w:rsidRPr="00812752">
        <w:rPr>
          <w:b/>
          <w:bCs/>
          <w:color w:val="303F51"/>
          <w:lang w:eastAsia="ja-JP"/>
        </w:rPr>
        <w:t xml:space="preserve">Selected asset characteristics </w:t>
      </w:r>
      <w:r w:rsidR="00F6710A" w:rsidRPr="00F6710A">
        <w:rPr>
          <w:b/>
          <w:bCs/>
          <w:color w:val="0000CC"/>
          <w:lang w:eastAsia="ja-JP"/>
        </w:rPr>
        <w:t>(table 2.2.2)</w:t>
      </w:r>
    </w:p>
    <w:p w14:paraId="5C7D0334" w14:textId="5A412761" w:rsidR="00836FDE" w:rsidRDefault="00836FDE" w:rsidP="00836FDE">
      <w:pPr>
        <w:pStyle w:val="Noparagraph"/>
        <w:spacing w:after="120"/>
        <w:ind w:left="567" w:hanging="567"/>
      </w:pPr>
      <w:r>
        <w:t xml:space="preserve">The </w:t>
      </w:r>
      <w:r w:rsidR="00375AB1" w:rsidRPr="00375AB1">
        <w:rPr>
          <w:i/>
        </w:rPr>
        <w:t>TNSP</w:t>
      </w:r>
      <w:r>
        <w:t xml:space="preserve"> must </w:t>
      </w:r>
      <w:r w:rsidR="00E53B40">
        <w:t xml:space="preserve">report </w:t>
      </w:r>
      <w:r>
        <w:t xml:space="preserve">total </w:t>
      </w:r>
      <w:r w:rsidR="007C0C93">
        <w:t xml:space="preserve">(MVA) capacity </w:t>
      </w:r>
      <w:r>
        <w:t xml:space="preserve">of assets in commission </w:t>
      </w:r>
      <w:r w:rsidR="00443793">
        <w:t xml:space="preserve">at the end of the reporting period. </w:t>
      </w:r>
    </w:p>
    <w:p w14:paraId="04CA42DD" w14:textId="54931F43" w:rsidR="00264670" w:rsidRPr="00264670" w:rsidRDefault="00264670" w:rsidP="00264670">
      <w:pPr>
        <w:rPr>
          <w:color w:val="0000CC"/>
        </w:rPr>
      </w:pPr>
      <w:r w:rsidRPr="00264670">
        <w:rPr>
          <w:color w:val="0000CC"/>
        </w:rPr>
        <w:lastRenderedPageBreak/>
        <w:t>(Table 3.4.3.3)</w:t>
      </w:r>
    </w:p>
    <w:p w14:paraId="7A078425" w14:textId="3A307752" w:rsidR="00081ABC" w:rsidRDefault="00081ABC" w:rsidP="00081ABC">
      <w:pPr>
        <w:pStyle w:val="Noparagraph"/>
        <w:ind w:left="567" w:hanging="567"/>
      </w:pPr>
      <w:r>
        <w:t xml:space="preserve">The </w:t>
      </w:r>
      <w:r w:rsidR="00375AB1" w:rsidRPr="00375AB1">
        <w:rPr>
          <w:i/>
        </w:rPr>
        <w:t>TNSP</w:t>
      </w:r>
      <w:r>
        <w:t xml:space="preserve"> must report the power factor </w:t>
      </w:r>
      <w:r w:rsidR="00D749A4">
        <w:t xml:space="preserve">for each voltage </w:t>
      </w:r>
      <w:r>
        <w:t xml:space="preserve">to </w:t>
      </w:r>
      <w:r w:rsidR="00D749A4">
        <w:t xml:space="preserve">enable </w:t>
      </w:r>
      <w:r>
        <w:t xml:space="preserve">conversion between MVA and MW measures. If both MVA and MW demand for a network are </w:t>
      </w:r>
      <w:r w:rsidR="00D749A4">
        <w:t>available,</w:t>
      </w:r>
      <w:r>
        <w:t xml:space="preserve"> then the power factor is the total MW divided by the total MVA. The </w:t>
      </w:r>
      <w:r w:rsidR="00375AB1" w:rsidRPr="00375AB1">
        <w:rPr>
          <w:i/>
          <w:iCs w:val="0"/>
        </w:rPr>
        <w:t>TNSP</w:t>
      </w:r>
      <w:r>
        <w:t xml:space="preserve"> must </w:t>
      </w:r>
      <w:r w:rsidR="00D749A4">
        <w:t xml:space="preserve">report </w:t>
      </w:r>
      <w:r>
        <w:t xml:space="preserve">a power factor for each voltage level and for the </w:t>
      </w:r>
      <w:proofErr w:type="gramStart"/>
      <w:r>
        <w:t>network as a whole</w:t>
      </w:r>
      <w:proofErr w:type="gramEnd"/>
      <w:r>
        <w:t>. The average overall power factor conversion (</w:t>
      </w:r>
      <w:r w:rsidR="00F85B31">
        <w:t xml:space="preserve">EB RIN reference: </w:t>
      </w:r>
      <w:r>
        <w:t>TOPSD0301) is the total MW divided by the total MVA.</w:t>
      </w:r>
    </w:p>
    <w:p w14:paraId="0D6571B6" w14:textId="3783F2D6" w:rsidR="00081ABC" w:rsidRDefault="00D8286A" w:rsidP="00081ABC">
      <w:pPr>
        <w:pStyle w:val="Noparagraph"/>
        <w:ind w:left="567" w:hanging="567"/>
      </w:pPr>
      <w:r>
        <w:t xml:space="preserve">The </w:t>
      </w:r>
      <w:r w:rsidR="008041FA" w:rsidRPr="008041FA">
        <w:rPr>
          <w:i/>
        </w:rPr>
        <w:t>TNSP</w:t>
      </w:r>
      <w:r>
        <w:t xml:space="preserve"> must report an approximate average power factor conversion based on best engineering estimates, where </w:t>
      </w:r>
      <w:r w:rsidR="00081ABC">
        <w:t>either the MW or MVA measure is unavailable</w:t>
      </w:r>
      <w:r>
        <w:t>.</w:t>
      </w:r>
    </w:p>
    <w:p w14:paraId="42F0D714" w14:textId="7265D03E" w:rsidR="00836FDE" w:rsidRDefault="00836FDE" w:rsidP="00836FDE">
      <w:pPr>
        <w:pStyle w:val="Heading3"/>
        <w:spacing w:after="240"/>
        <w:ind w:left="578" w:hanging="578"/>
        <w:rPr>
          <w:lang w:eastAsia="ja-JP"/>
        </w:rPr>
      </w:pPr>
      <w:bookmarkStart w:id="47" w:name="_Toc121724701"/>
      <w:bookmarkStart w:id="48" w:name="_Toc162703549"/>
      <w:r>
        <w:rPr>
          <w:lang w:eastAsia="ja-JP"/>
        </w:rPr>
        <w:t>A</w:t>
      </w:r>
      <w:r w:rsidR="008B0836">
        <w:rPr>
          <w:lang w:eastAsia="ja-JP"/>
        </w:rPr>
        <w:t>sset a</w:t>
      </w:r>
      <w:r w:rsidR="00365866">
        <w:rPr>
          <w:lang w:eastAsia="ja-JP"/>
        </w:rPr>
        <w:t>ge</w:t>
      </w:r>
      <w:bookmarkEnd w:id="47"/>
      <w:bookmarkEnd w:id="48"/>
      <w:r w:rsidR="00720DE5">
        <w:rPr>
          <w:lang w:eastAsia="ja-JP"/>
        </w:rPr>
        <w:t xml:space="preserve"> </w:t>
      </w:r>
      <w:r w:rsidR="00720DE5" w:rsidRPr="00720DE5">
        <w:rPr>
          <w:color w:val="0000CC"/>
          <w:lang w:eastAsia="ja-JP"/>
        </w:rPr>
        <w:t>(3.3)</w:t>
      </w:r>
    </w:p>
    <w:p w14:paraId="2C77F767" w14:textId="2C3070EB" w:rsidR="00836FDE" w:rsidRDefault="00836FDE" w:rsidP="00836FDE">
      <w:pPr>
        <w:spacing w:before="120" w:after="120"/>
        <w:rPr>
          <w:rFonts w:eastAsiaTheme="majorEastAsia" w:cstheme="majorBidi"/>
          <w:b/>
          <w:bCs/>
          <w:iCs/>
          <w:color w:val="303F51"/>
          <w:lang w:eastAsia="ja-JP"/>
        </w:rPr>
      </w:pPr>
      <w:r>
        <w:rPr>
          <w:rFonts w:eastAsiaTheme="majorEastAsia" w:cstheme="majorBidi"/>
          <w:b/>
          <w:bCs/>
          <w:iCs/>
          <w:color w:val="303F51"/>
          <w:lang w:eastAsia="ja-JP"/>
        </w:rPr>
        <w:t>Asset lives</w:t>
      </w:r>
      <w:r w:rsidR="00C7586B">
        <w:rPr>
          <w:rFonts w:eastAsiaTheme="majorEastAsia" w:cstheme="majorBidi"/>
          <w:b/>
          <w:bCs/>
          <w:iCs/>
          <w:color w:val="303F51"/>
          <w:lang w:eastAsia="ja-JP"/>
        </w:rPr>
        <w:t xml:space="preserve"> </w:t>
      </w:r>
      <w:r w:rsidR="00A07C0B" w:rsidRPr="00A07C0B">
        <w:rPr>
          <w:rFonts w:eastAsiaTheme="majorEastAsia" w:cstheme="majorBidi"/>
          <w:b/>
          <w:bCs/>
          <w:iCs/>
          <w:color w:val="0000CC"/>
          <w:lang w:eastAsia="ja-JP"/>
        </w:rPr>
        <w:t>(table 3.3.4)</w:t>
      </w:r>
    </w:p>
    <w:p w14:paraId="115AFBCB" w14:textId="236291DE" w:rsidR="00836FDE" w:rsidRDefault="00836FDE" w:rsidP="00836FDE">
      <w:pPr>
        <w:pStyle w:val="Noparagraph"/>
        <w:spacing w:after="120"/>
        <w:ind w:left="567" w:hanging="567"/>
      </w:pPr>
      <w:r>
        <w:t xml:space="preserve">The </w:t>
      </w:r>
      <w:r w:rsidR="00375AB1" w:rsidRPr="00375AB1">
        <w:rPr>
          <w:i/>
          <w:iCs w:val="0"/>
        </w:rPr>
        <w:t>TNSP</w:t>
      </w:r>
      <w:r>
        <w:t xml:space="preserve"> must report asset lives for all asset categories.</w:t>
      </w:r>
    </w:p>
    <w:p w14:paraId="6A7A5843" w14:textId="77777777" w:rsidR="00836FDE" w:rsidRPr="00076A33" w:rsidRDefault="00836FDE" w:rsidP="00836FDE">
      <w:pPr>
        <w:pStyle w:val="Heading4"/>
        <w:numPr>
          <w:ilvl w:val="0"/>
          <w:numId w:val="0"/>
        </w:numPr>
        <w:rPr>
          <w:b w:val="0"/>
          <w:bCs w:val="0"/>
          <w:i/>
          <w:iCs w:val="0"/>
          <w:lang w:eastAsia="ja-JP"/>
        </w:rPr>
      </w:pPr>
      <w:r>
        <w:rPr>
          <w:b w:val="0"/>
          <w:bCs w:val="0"/>
          <w:i/>
          <w:iCs w:val="0"/>
          <w:lang w:eastAsia="ja-JP"/>
        </w:rPr>
        <w:t>E</w:t>
      </w:r>
      <w:r w:rsidRPr="00076A33">
        <w:rPr>
          <w:b w:val="0"/>
          <w:bCs w:val="0"/>
          <w:i/>
          <w:iCs w:val="0"/>
          <w:lang w:eastAsia="ja-JP"/>
        </w:rPr>
        <w:t>stimated service life of new assets</w:t>
      </w:r>
    </w:p>
    <w:p w14:paraId="7298E10C" w14:textId="7117992A" w:rsidR="00836FDE" w:rsidRDefault="00836FDE" w:rsidP="00836FDE">
      <w:pPr>
        <w:pStyle w:val="Noparagraph"/>
        <w:spacing w:after="120"/>
        <w:ind w:left="567" w:hanging="567"/>
      </w:pPr>
      <w:r>
        <w:t xml:space="preserve">The </w:t>
      </w:r>
      <w:r w:rsidR="00375AB1" w:rsidRPr="00375AB1">
        <w:rPr>
          <w:i/>
          <w:iCs w:val="0"/>
        </w:rPr>
        <w:t>TNSP</w:t>
      </w:r>
      <w:r w:rsidRPr="00C03A52">
        <w:rPr>
          <w:i/>
          <w:iCs w:val="0"/>
        </w:rPr>
        <w:t xml:space="preserve"> </w:t>
      </w:r>
      <w:r>
        <w:t>must report</w:t>
      </w:r>
      <w:r w:rsidR="00790A92">
        <w:t>, in this table,</w:t>
      </w:r>
      <w:r>
        <w:t xml:space="preserve"> the expected service life of new assets. </w:t>
      </w:r>
      <w:r w:rsidR="00440BAC">
        <w:t>T</w:t>
      </w:r>
      <w:r>
        <w:t xml:space="preserve">he expected service life of new assets is the period after installation during which the asset </w:t>
      </w:r>
      <w:r w:rsidR="00440BAC">
        <w:t>is expected to</w:t>
      </w:r>
      <w:r>
        <w:t xml:space="preserve"> be capable of delivering the same effective service as at its installation date.</w:t>
      </w:r>
    </w:p>
    <w:p w14:paraId="6DFE79F9" w14:textId="196B5FEC" w:rsidR="00836FDE" w:rsidRDefault="00836FDE" w:rsidP="00836FDE">
      <w:pPr>
        <w:pStyle w:val="Noparagraph"/>
        <w:spacing w:after="120"/>
        <w:ind w:left="567" w:hanging="567"/>
      </w:pPr>
      <w:r>
        <w:t>Th</w:t>
      </w:r>
      <w:r w:rsidR="00F10008">
        <w:t>e expected service life</w:t>
      </w:r>
      <w:r>
        <w:rPr>
          <w:spacing w:val="-4"/>
        </w:rPr>
        <w:t xml:space="preserve"> </w:t>
      </w:r>
      <w:r>
        <w:t>may</w:t>
      </w:r>
      <w:r>
        <w:rPr>
          <w:spacing w:val="-5"/>
        </w:rPr>
        <w:t xml:space="preserve"> </w:t>
      </w:r>
      <w:r>
        <w:t>not</w:t>
      </w:r>
      <w:r>
        <w:rPr>
          <w:spacing w:val="-1"/>
        </w:rPr>
        <w:t xml:space="preserve"> </w:t>
      </w:r>
      <w:r>
        <w:t>align with</w:t>
      </w:r>
      <w:r>
        <w:rPr>
          <w:spacing w:val="-3"/>
        </w:rPr>
        <w:t xml:space="preserve"> </w:t>
      </w:r>
      <w:r>
        <w:t>the asset</w:t>
      </w:r>
      <w:r w:rsidR="007E18FB">
        <w:t>’</w:t>
      </w:r>
      <w:r>
        <w:t>s</w:t>
      </w:r>
      <w:r>
        <w:rPr>
          <w:spacing w:val="-2"/>
        </w:rPr>
        <w:t xml:space="preserve"> </w:t>
      </w:r>
      <w:r>
        <w:t>financial</w:t>
      </w:r>
      <w:r>
        <w:rPr>
          <w:spacing w:val="-3"/>
        </w:rPr>
        <w:t xml:space="preserve"> </w:t>
      </w:r>
      <w:r>
        <w:t>or</w:t>
      </w:r>
      <w:r>
        <w:rPr>
          <w:spacing w:val="-2"/>
        </w:rPr>
        <w:t xml:space="preserve"> </w:t>
      </w:r>
      <w:r>
        <w:t>tax</w:t>
      </w:r>
      <w:r>
        <w:rPr>
          <w:spacing w:val="-1"/>
        </w:rPr>
        <w:t xml:space="preserve"> </w:t>
      </w:r>
      <w:r>
        <w:t>life.</w:t>
      </w:r>
    </w:p>
    <w:p w14:paraId="569A45F5" w14:textId="77777777" w:rsidR="00836FDE" w:rsidRPr="00076A33" w:rsidRDefault="00836FDE" w:rsidP="00836FDE">
      <w:pPr>
        <w:pStyle w:val="Heading4"/>
        <w:numPr>
          <w:ilvl w:val="0"/>
          <w:numId w:val="0"/>
        </w:numPr>
        <w:rPr>
          <w:b w:val="0"/>
          <w:bCs w:val="0"/>
          <w:i/>
          <w:iCs w:val="0"/>
          <w:lang w:eastAsia="ja-JP"/>
        </w:rPr>
      </w:pPr>
      <w:r>
        <w:rPr>
          <w:b w:val="0"/>
          <w:bCs w:val="0"/>
          <w:i/>
          <w:iCs w:val="0"/>
          <w:lang w:eastAsia="ja-JP"/>
        </w:rPr>
        <w:t>E</w:t>
      </w:r>
      <w:r w:rsidRPr="00076A33">
        <w:rPr>
          <w:b w:val="0"/>
          <w:bCs w:val="0"/>
          <w:i/>
          <w:iCs w:val="0"/>
          <w:lang w:eastAsia="ja-JP"/>
        </w:rPr>
        <w:t>stimated residual service life</w:t>
      </w:r>
    </w:p>
    <w:p w14:paraId="777AB59F" w14:textId="2823E85E" w:rsidR="00836FDE" w:rsidRPr="00503137" w:rsidRDefault="00836FDE" w:rsidP="00836FDE">
      <w:pPr>
        <w:pStyle w:val="Noparagraph"/>
        <w:spacing w:after="120"/>
        <w:ind w:left="567" w:hanging="567"/>
      </w:pPr>
      <w:r>
        <w:t xml:space="preserve">The </w:t>
      </w:r>
      <w:r w:rsidR="00375AB1" w:rsidRPr="00375AB1">
        <w:rPr>
          <w:i/>
          <w:iCs w:val="0"/>
        </w:rPr>
        <w:t>TNSP</w:t>
      </w:r>
      <w:r>
        <w:t xml:space="preserve"> must report the weighted average remaining time</w:t>
      </w:r>
      <w:r w:rsidR="00C7586B">
        <w:t xml:space="preserve"> </w:t>
      </w:r>
      <w:r>
        <w:t>an</w:t>
      </w:r>
      <w:r w:rsidRPr="00076A33">
        <w:rPr>
          <w:spacing w:val="1"/>
        </w:rPr>
        <w:t xml:space="preserve"> </w:t>
      </w:r>
      <w:r>
        <w:t xml:space="preserve">asset class </w:t>
      </w:r>
      <w:r w:rsidR="005E5031">
        <w:t>is expected to</w:t>
      </w:r>
      <w:r>
        <w:t xml:space="preserve"> deliver the same effective service as at</w:t>
      </w:r>
      <w:r w:rsidRPr="00076A33">
        <w:rPr>
          <w:spacing w:val="1"/>
        </w:rPr>
        <w:t xml:space="preserve"> </w:t>
      </w:r>
      <w:r>
        <w:t>its installation</w:t>
      </w:r>
      <w:r w:rsidRPr="00076A33">
        <w:rPr>
          <w:spacing w:val="1"/>
        </w:rPr>
        <w:t xml:space="preserve"> </w:t>
      </w:r>
      <w:r>
        <w:t>date.</w:t>
      </w:r>
      <w:r w:rsidR="00490185">
        <w:rPr>
          <w:rFonts w:cs="Arial"/>
        </w:rPr>
        <w:t xml:space="preserve"> The remaining time is </w:t>
      </w:r>
      <w:r w:rsidR="005E5031">
        <w:rPr>
          <w:rFonts w:cs="Arial"/>
        </w:rPr>
        <w:t xml:space="preserve">to be </w:t>
      </w:r>
      <w:r w:rsidR="00490185">
        <w:rPr>
          <w:rFonts w:cs="Arial"/>
        </w:rPr>
        <w:t xml:space="preserve">calculated from the end of the </w:t>
      </w:r>
      <w:r w:rsidR="00490185" w:rsidRPr="00AC3CB8">
        <w:rPr>
          <w:rFonts w:cs="Arial"/>
          <w:i/>
          <w:iCs w:val="0"/>
        </w:rPr>
        <w:t>reporting period</w:t>
      </w:r>
      <w:r w:rsidR="00490185">
        <w:rPr>
          <w:rFonts w:cs="Arial"/>
        </w:rPr>
        <w:t>.</w:t>
      </w:r>
    </w:p>
    <w:p w14:paraId="39968B00" w14:textId="0D59EB5A" w:rsidR="00836FDE" w:rsidRPr="00503137" w:rsidRDefault="00836FDE" w:rsidP="00836FDE">
      <w:pPr>
        <w:pStyle w:val="Heading4"/>
        <w:numPr>
          <w:ilvl w:val="0"/>
          <w:numId w:val="0"/>
        </w:numPr>
        <w:rPr>
          <w:b w:val="0"/>
          <w:bCs w:val="0"/>
          <w:i/>
          <w:iCs w:val="0"/>
          <w:lang w:eastAsia="ja-JP"/>
        </w:rPr>
      </w:pPr>
      <w:r w:rsidRPr="00503137">
        <w:rPr>
          <w:b w:val="0"/>
          <w:bCs w:val="0"/>
          <w:i/>
          <w:iCs w:val="0"/>
          <w:lang w:eastAsia="ja-JP"/>
        </w:rPr>
        <w:t>Asset life estimation method</w:t>
      </w:r>
      <w:r w:rsidR="00C7586B">
        <w:rPr>
          <w:b w:val="0"/>
          <w:bCs w:val="0"/>
          <w:i/>
          <w:iCs w:val="0"/>
          <w:lang w:eastAsia="ja-JP"/>
        </w:rPr>
        <w:t xml:space="preserve"> </w:t>
      </w:r>
    </w:p>
    <w:p w14:paraId="5F5F4AC0" w14:textId="0F2B03D7" w:rsidR="00836FDE" w:rsidRDefault="00490185" w:rsidP="00836FDE">
      <w:pPr>
        <w:pStyle w:val="Noparagraph"/>
        <w:spacing w:after="120"/>
        <w:ind w:left="567" w:hanging="567"/>
      </w:pPr>
      <w:r>
        <w:t>In</w:t>
      </w:r>
      <w:r w:rsidR="00836FDE">
        <w:t xml:space="preserve"> categories </w:t>
      </w:r>
      <w:r>
        <w:t xml:space="preserve">that </w:t>
      </w:r>
      <w:r w:rsidR="00836FDE">
        <w:t xml:space="preserve">comprise of </w:t>
      </w:r>
      <w:r w:rsidR="005E5031">
        <w:t>several</w:t>
      </w:r>
      <w:r w:rsidR="00836FDE">
        <w:t xml:space="preserve"> assets, </w:t>
      </w:r>
      <w:r>
        <w:t xml:space="preserve">the </w:t>
      </w:r>
      <w:r w:rsidRPr="00490185">
        <w:rPr>
          <w:i/>
          <w:iCs w:val="0"/>
        </w:rPr>
        <w:t>TNSP</w:t>
      </w:r>
      <w:r>
        <w:t xml:space="preserve"> must report </w:t>
      </w:r>
      <w:r w:rsidR="00836FDE">
        <w:t xml:space="preserve">asset lives for the whole category by weighting the lives of individual assets within that category. Weightings must be calculated </w:t>
      </w:r>
      <w:r w:rsidR="00B51042">
        <w:t>as follows</w:t>
      </w:r>
      <w:r w:rsidR="001D3E55">
        <w:t xml:space="preserve">, </w:t>
      </w:r>
      <w:r w:rsidR="00836FDE">
        <w:t>in order of preference:</w:t>
      </w:r>
    </w:p>
    <w:p w14:paraId="65C39A17" w14:textId="64CCE25A" w:rsidR="00836FDE" w:rsidRDefault="00836FDE" w:rsidP="00B0496A">
      <w:pPr>
        <w:pStyle w:val="ListParagraph"/>
        <w:numPr>
          <w:ilvl w:val="0"/>
          <w:numId w:val="36"/>
        </w:numPr>
        <w:ind w:left="1134" w:hanging="567"/>
      </w:pPr>
      <w:r>
        <w:t>On the basis of the asset</w:t>
      </w:r>
      <w:r w:rsidR="007E18FB">
        <w:t>’</w:t>
      </w:r>
      <w:r>
        <w:t xml:space="preserve">s share of the asset base for the category and expected asset </w:t>
      </w:r>
      <w:proofErr w:type="gramStart"/>
      <w:r>
        <w:t>lives;</w:t>
      </w:r>
      <w:proofErr w:type="gramEnd"/>
    </w:p>
    <w:p w14:paraId="1BFB453E" w14:textId="4A73F970" w:rsidR="00836FDE" w:rsidRDefault="00836FDE" w:rsidP="00B0496A">
      <w:pPr>
        <w:pStyle w:val="ListParagraph"/>
        <w:numPr>
          <w:ilvl w:val="0"/>
          <w:numId w:val="36"/>
        </w:numPr>
        <w:ind w:left="1134" w:hanging="567"/>
      </w:pPr>
      <w:r>
        <w:t xml:space="preserve">If 1 is not available, on the basis of replacement costs and expected asset </w:t>
      </w:r>
      <w:proofErr w:type="gramStart"/>
      <w:r>
        <w:t>lives;</w:t>
      </w:r>
      <w:proofErr w:type="gramEnd"/>
    </w:p>
    <w:p w14:paraId="119C09AF" w14:textId="6794AB3C" w:rsidR="00836FDE" w:rsidRDefault="00836FDE" w:rsidP="00B0496A">
      <w:pPr>
        <w:pStyle w:val="ListParagraph"/>
        <w:numPr>
          <w:ilvl w:val="0"/>
          <w:numId w:val="36"/>
        </w:numPr>
        <w:ind w:left="1134" w:hanging="567"/>
      </w:pPr>
      <w:r>
        <w:t>If 1 and 2 cannot be applied, in accordance with the asset</w:t>
      </w:r>
      <w:r w:rsidR="007E18FB">
        <w:t>’</w:t>
      </w:r>
      <w:r>
        <w:t>s contribution to the category</w:t>
      </w:r>
      <w:r w:rsidR="007E18FB">
        <w:t>’</w:t>
      </w:r>
      <w:r>
        <w:t>s capacity (i</w:t>
      </w:r>
      <w:r w:rsidR="00C7586B">
        <w:t>.</w:t>
      </w:r>
      <w:r>
        <w:t>e</w:t>
      </w:r>
      <w:r w:rsidR="00C7586B">
        <w:t>.</w:t>
      </w:r>
      <w:r>
        <w:t xml:space="preserve"> MVA-kms for lines and for cables and MVA for transformers).</w:t>
      </w:r>
    </w:p>
    <w:p w14:paraId="2A2C2DDB" w14:textId="77777777" w:rsidR="00836FDE" w:rsidRDefault="00836FDE" w:rsidP="00CC5E24">
      <w:pPr>
        <w:ind w:left="567"/>
      </w:pPr>
      <w:r>
        <w:t>The weighted average asset life of each category is as set out in Equation 1.</w:t>
      </w:r>
    </w:p>
    <w:p w14:paraId="7BE7F5A2" w14:textId="08C128D1" w:rsidR="00836FDE" w:rsidRPr="00076A33" w:rsidRDefault="00836FDE" w:rsidP="00AF0A62">
      <w:pPr>
        <w:pStyle w:val="Heading4"/>
        <w:keepNext/>
        <w:numPr>
          <w:ilvl w:val="0"/>
          <w:numId w:val="0"/>
        </w:numPr>
        <w:ind w:left="567"/>
        <w:rPr>
          <w:b w:val="0"/>
          <w:bCs w:val="0"/>
          <w:i/>
          <w:iCs w:val="0"/>
          <w:lang w:eastAsia="ja-JP"/>
        </w:rPr>
      </w:pPr>
      <w:r w:rsidRPr="00076A33">
        <w:rPr>
          <w:b w:val="0"/>
          <w:bCs w:val="0"/>
          <w:i/>
          <w:iCs w:val="0"/>
          <w:lang w:eastAsia="ja-JP"/>
        </w:rPr>
        <w:t>Equation 1</w:t>
      </w:r>
      <w:r w:rsidR="00C7586B">
        <w:rPr>
          <w:b w:val="0"/>
          <w:bCs w:val="0"/>
          <w:i/>
          <w:iCs w:val="0"/>
          <w:lang w:eastAsia="ja-JP"/>
        </w:rPr>
        <w:t xml:space="preserve"> </w:t>
      </w:r>
      <w:r w:rsidRPr="00076A33">
        <w:rPr>
          <w:b w:val="0"/>
          <w:bCs w:val="0"/>
          <w:i/>
          <w:iCs w:val="0"/>
          <w:lang w:eastAsia="ja-JP"/>
        </w:rPr>
        <w:t xml:space="preserve">    Weighted average asset life calculation</w:t>
      </w:r>
    </w:p>
    <w:p w14:paraId="0CC74835" w14:textId="77777777" w:rsidR="00836FDE" w:rsidRDefault="00836FDE" w:rsidP="00542BD5">
      <w:pPr>
        <w:pStyle w:val="Noparagraph"/>
        <w:numPr>
          <w:ilvl w:val="0"/>
          <w:numId w:val="0"/>
        </w:numPr>
        <w:spacing w:before="240" w:after="0"/>
        <w:ind w:left="567"/>
      </w:pPr>
      <w:r w:rsidRPr="00A140B2">
        <w:rPr>
          <w:noProof/>
        </w:rPr>
        <w:drawing>
          <wp:inline distT="0" distB="0" distL="0" distR="0" wp14:anchorId="6426B104" wp14:editId="4B90D216">
            <wp:extent cx="4656255" cy="564776"/>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787369" cy="580679"/>
                    </a:xfrm>
                    <a:prstGeom prst="rect">
                      <a:avLst/>
                    </a:prstGeom>
                  </pic:spPr>
                </pic:pic>
              </a:graphicData>
            </a:graphic>
          </wp:inline>
        </w:drawing>
      </w:r>
    </w:p>
    <w:p w14:paraId="5429D293" w14:textId="77777777" w:rsidR="00836FDE" w:rsidRDefault="00836FDE" w:rsidP="0082374B">
      <w:pPr>
        <w:keepNext/>
        <w:ind w:left="567"/>
      </w:pPr>
      <w:r>
        <w:lastRenderedPageBreak/>
        <w:t>Where:</w:t>
      </w:r>
    </w:p>
    <w:p w14:paraId="63802984" w14:textId="1D719DD0" w:rsidR="00836FDE" w:rsidRDefault="00836FDE" w:rsidP="00836FDE">
      <w:pPr>
        <w:ind w:left="567"/>
      </w:pPr>
      <w:r>
        <w:t xml:space="preserve">n is the number of assets in category j </w:t>
      </w:r>
      <w:r>
        <w:br/>
      </w:r>
      <w:proofErr w:type="spellStart"/>
      <w:proofErr w:type="gramStart"/>
      <w:r>
        <w:t>x</w:t>
      </w:r>
      <w:r w:rsidRPr="00A17DE0">
        <w:rPr>
          <w:vertAlign w:val="subscript"/>
        </w:rPr>
        <w:t>i,j</w:t>
      </w:r>
      <w:proofErr w:type="spellEnd"/>
      <w:proofErr w:type="gramEnd"/>
      <w:r>
        <w:t xml:space="preserve"> is the value of asset </w:t>
      </w:r>
      <w:r w:rsidR="00FC3EEA">
        <w:t>i</w:t>
      </w:r>
      <w:r>
        <w:t xml:space="preserve"> in category j</w:t>
      </w:r>
      <w:r>
        <w:br/>
      </w:r>
      <w:proofErr w:type="spellStart"/>
      <w:r>
        <w:t>EL</w:t>
      </w:r>
      <w:r w:rsidRPr="00A17DE0">
        <w:rPr>
          <w:vertAlign w:val="subscript"/>
        </w:rPr>
        <w:t>i,j</w:t>
      </w:r>
      <w:proofErr w:type="spellEnd"/>
      <w:r>
        <w:t xml:space="preserve"> is the expected life of asset i in category j</w:t>
      </w:r>
      <w:r>
        <w:br/>
      </w:r>
      <w:proofErr w:type="spellStart"/>
      <w:r>
        <w:t>RC</w:t>
      </w:r>
      <w:r w:rsidRPr="00A17DE0">
        <w:rPr>
          <w:vertAlign w:val="subscript"/>
        </w:rPr>
        <w:t>j</w:t>
      </w:r>
      <w:proofErr w:type="spellEnd"/>
      <w:r>
        <w:t xml:space="preserve"> is the sum of the value of all assets in category j</w:t>
      </w:r>
    </w:p>
    <w:p w14:paraId="46C59E2B" w14:textId="77777777" w:rsidR="00836FDE" w:rsidRDefault="00836FDE" w:rsidP="00836FDE">
      <w:pPr>
        <w:ind w:left="567"/>
      </w:pPr>
      <w:r>
        <w:t>For example, where the weightings are based on asset base shares or replacement costs, the weighted average asset life of each category must be calculated according to the following formula: If Category 1 contains 2 assets; Asset 1 has an expected life of 50 years and a value of $3 million; and Asset 2 has an expected life of 20 years and a value of $2 million, then the weighted average asset life of assets in this category is 38 years: [(3/5) x 50] + [(2/5) x 20] = 38.</w:t>
      </w:r>
    </w:p>
    <w:p w14:paraId="2BAA34D4" w14:textId="3ED22178" w:rsidR="00836FDE" w:rsidRDefault="00836FDE" w:rsidP="00836FDE">
      <w:pPr>
        <w:pStyle w:val="Heading3"/>
        <w:spacing w:after="240"/>
        <w:ind w:left="578" w:hanging="578"/>
        <w:rPr>
          <w:lang w:eastAsia="ja-JP"/>
        </w:rPr>
      </w:pPr>
      <w:bookmarkStart w:id="49" w:name="_Toc121724702"/>
      <w:bookmarkStart w:id="50" w:name="_Toc162703550"/>
      <w:r>
        <w:rPr>
          <w:lang w:eastAsia="ja-JP"/>
        </w:rPr>
        <w:t>Terrain</w:t>
      </w:r>
      <w:bookmarkEnd w:id="49"/>
      <w:bookmarkEnd w:id="50"/>
      <w:r w:rsidR="00AF4EBB">
        <w:rPr>
          <w:lang w:eastAsia="ja-JP"/>
        </w:rPr>
        <w:t xml:space="preserve"> </w:t>
      </w:r>
      <w:r w:rsidR="00AF4EBB">
        <w:rPr>
          <w:color w:val="0000CC"/>
          <w:lang w:eastAsia="ja-JP"/>
        </w:rPr>
        <w:t>(3.7</w:t>
      </w:r>
      <w:r w:rsidR="00340421">
        <w:rPr>
          <w:color w:val="0000CC"/>
          <w:lang w:eastAsia="ja-JP"/>
        </w:rPr>
        <w:t>, 2.7)</w:t>
      </w:r>
    </w:p>
    <w:p w14:paraId="1EB0A874" w14:textId="0B04CB8D" w:rsidR="001941E1" w:rsidRDefault="008B0836" w:rsidP="00836FDE">
      <w:pPr>
        <w:spacing w:before="120" w:after="120"/>
        <w:rPr>
          <w:rFonts w:eastAsiaTheme="majorEastAsia" w:cstheme="majorBidi"/>
          <w:b/>
          <w:bCs/>
          <w:iCs/>
          <w:color w:val="303F51"/>
          <w:lang w:eastAsia="ja-JP"/>
        </w:rPr>
      </w:pPr>
      <w:r w:rsidRPr="00A11DAF">
        <w:rPr>
          <w:rFonts w:eastAsiaTheme="majorEastAsia" w:cstheme="majorBidi"/>
          <w:b/>
          <w:bCs/>
          <w:iCs/>
          <w:color w:val="303F51"/>
          <w:lang w:eastAsia="ja-JP"/>
        </w:rPr>
        <w:t>Vegetation maintenance</w:t>
      </w:r>
      <w:r w:rsidR="007A130E">
        <w:rPr>
          <w:rFonts w:eastAsiaTheme="majorEastAsia" w:cstheme="majorBidi"/>
          <w:b/>
          <w:bCs/>
          <w:iCs/>
          <w:color w:val="303F51"/>
          <w:lang w:eastAsia="ja-JP"/>
        </w:rPr>
        <w:t xml:space="preserve"> </w:t>
      </w:r>
      <w:r w:rsidR="004D49C6" w:rsidRPr="00236A0D">
        <w:rPr>
          <w:rFonts w:eastAsiaTheme="majorEastAsia" w:cstheme="majorBidi"/>
          <w:b/>
          <w:bCs/>
          <w:iCs/>
          <w:color w:val="0000CC"/>
          <w:lang w:eastAsia="ja-JP"/>
        </w:rPr>
        <w:t xml:space="preserve">(table </w:t>
      </w:r>
      <w:r w:rsidR="00236A0D" w:rsidRPr="00236A0D">
        <w:rPr>
          <w:rFonts w:eastAsiaTheme="majorEastAsia" w:cstheme="majorBidi"/>
          <w:b/>
          <w:bCs/>
          <w:iCs/>
          <w:color w:val="0000CC"/>
          <w:lang w:eastAsia="ja-JP"/>
        </w:rPr>
        <w:t>3.7.</w:t>
      </w:r>
      <w:r w:rsidR="007D14AD">
        <w:rPr>
          <w:rFonts w:eastAsiaTheme="majorEastAsia" w:cstheme="majorBidi"/>
          <w:b/>
          <w:bCs/>
          <w:iCs/>
          <w:color w:val="0000CC"/>
          <w:lang w:eastAsia="ja-JP"/>
        </w:rPr>
        <w:t xml:space="preserve">3 links to </w:t>
      </w:r>
      <w:r w:rsidR="00236A0D" w:rsidRPr="00236A0D">
        <w:rPr>
          <w:rFonts w:eastAsiaTheme="majorEastAsia" w:cstheme="majorBidi"/>
          <w:b/>
          <w:bCs/>
          <w:iCs/>
          <w:color w:val="0000CC"/>
          <w:lang w:eastAsia="ja-JP"/>
        </w:rPr>
        <w:t>table 2.7.1)</w:t>
      </w:r>
    </w:p>
    <w:p w14:paraId="4D4755E4" w14:textId="40436D32" w:rsidR="001941E1" w:rsidRPr="001941E1" w:rsidRDefault="001941E1" w:rsidP="001941E1">
      <w:pPr>
        <w:pStyle w:val="Noparagraph"/>
        <w:spacing w:after="120"/>
        <w:ind w:left="567" w:hanging="567"/>
        <w:rPr>
          <w:iCs w:val="0"/>
        </w:rPr>
      </w:pPr>
      <w:r w:rsidRPr="001941E1">
        <w:rPr>
          <w:iCs w:val="0"/>
        </w:rPr>
        <w:t>T</w:t>
      </w:r>
      <w:r>
        <w:rPr>
          <w:iCs w:val="0"/>
        </w:rPr>
        <w:t xml:space="preserve">he </w:t>
      </w:r>
      <w:r w:rsidR="00375AB1" w:rsidRPr="00375AB1">
        <w:rPr>
          <w:i/>
        </w:rPr>
        <w:t>TNSP</w:t>
      </w:r>
      <w:r w:rsidRPr="001941E1">
        <w:rPr>
          <w:iCs w:val="0"/>
        </w:rPr>
        <w:t xml:space="preserve"> must </w:t>
      </w:r>
      <w:r w:rsidR="00E15DB8">
        <w:rPr>
          <w:iCs w:val="0"/>
        </w:rPr>
        <w:t>report</w:t>
      </w:r>
      <w:r w:rsidR="00E15DB8" w:rsidRPr="001941E1">
        <w:rPr>
          <w:iCs w:val="0"/>
        </w:rPr>
        <w:t xml:space="preserve"> </w:t>
      </w:r>
      <w:r w:rsidRPr="001941E1">
        <w:rPr>
          <w:iCs w:val="0"/>
        </w:rPr>
        <w:t xml:space="preserve">the route line length </w:t>
      </w:r>
      <w:r>
        <w:rPr>
          <w:iCs w:val="0"/>
        </w:rPr>
        <w:t>as</w:t>
      </w:r>
      <w:r w:rsidRPr="001941E1">
        <w:rPr>
          <w:iCs w:val="0"/>
        </w:rPr>
        <w:t xml:space="preserve"> the distance </w:t>
      </w:r>
      <w:r>
        <w:rPr>
          <w:iCs w:val="0"/>
        </w:rPr>
        <w:t>of</w:t>
      </w:r>
      <w:r w:rsidRPr="001941E1">
        <w:rPr>
          <w:iCs w:val="0"/>
        </w:rPr>
        <w:t xml:space="preserve"> line segments and </w:t>
      </w:r>
      <w:r w:rsidR="00E15DB8">
        <w:rPr>
          <w:iCs w:val="0"/>
        </w:rPr>
        <w:t xml:space="preserve">must </w:t>
      </w:r>
      <w:r w:rsidRPr="001941E1">
        <w:rPr>
          <w:iCs w:val="0"/>
        </w:rPr>
        <w:t>not include vertical components such as line sag. The route line length does not necessarily equate to the circuit length as the circuit length may include multiple circuits.</w:t>
      </w:r>
    </w:p>
    <w:p w14:paraId="721E3DF3" w14:textId="69430B5E" w:rsidR="00A11DAF" w:rsidRPr="00A11DAF" w:rsidRDefault="00A11DAF" w:rsidP="00A11DAF">
      <w:pPr>
        <w:spacing w:before="120" w:after="120"/>
        <w:rPr>
          <w:rFonts w:eastAsiaTheme="majorEastAsia" w:cstheme="majorBidi"/>
          <w:b/>
          <w:bCs/>
          <w:iCs/>
          <w:color w:val="303F51"/>
          <w:lang w:eastAsia="ja-JP"/>
        </w:rPr>
      </w:pPr>
      <w:r w:rsidRPr="00A11DAF">
        <w:rPr>
          <w:rFonts w:eastAsiaTheme="majorEastAsia" w:cstheme="majorBidi"/>
          <w:b/>
          <w:bCs/>
          <w:iCs/>
          <w:color w:val="303F51"/>
          <w:lang w:eastAsia="ja-JP"/>
        </w:rPr>
        <w:t xml:space="preserve">Vegetation maintenance by zone </w:t>
      </w:r>
      <w:r w:rsidR="00236A0D" w:rsidRPr="00236A0D">
        <w:rPr>
          <w:rFonts w:eastAsiaTheme="majorEastAsia" w:cstheme="majorBidi"/>
          <w:b/>
          <w:bCs/>
          <w:iCs/>
          <w:color w:val="0000CC"/>
          <w:lang w:eastAsia="ja-JP"/>
        </w:rPr>
        <w:t>(table 2.7.1)</w:t>
      </w:r>
    </w:p>
    <w:p w14:paraId="387922F4" w14:textId="03D3DD18" w:rsidR="00960049" w:rsidRDefault="00542BD5" w:rsidP="00960049">
      <w:pPr>
        <w:pStyle w:val="Noparagraph"/>
        <w:ind w:left="567" w:hanging="567"/>
      </w:pPr>
      <w:r>
        <w:t xml:space="preserve">The </w:t>
      </w:r>
      <w:r w:rsidRPr="00542BD5">
        <w:rPr>
          <w:i/>
          <w:iCs w:val="0"/>
        </w:rPr>
        <w:t>TNSP</w:t>
      </w:r>
      <w:r>
        <w:t xml:space="preserve"> must i</w:t>
      </w:r>
      <w:r w:rsidR="00960049">
        <w:t xml:space="preserve">dentify </w:t>
      </w:r>
      <w:r>
        <w:t xml:space="preserve">and report on </w:t>
      </w:r>
      <w:r w:rsidR="00960049">
        <w:t xml:space="preserve">one or more vegetation management zones across the geographical area of </w:t>
      </w:r>
      <w:r w:rsidR="00375AB1" w:rsidRPr="00375AB1">
        <w:rPr>
          <w:i/>
          <w:iCs w:val="0"/>
        </w:rPr>
        <w:t>TNSP’s</w:t>
      </w:r>
      <w:r w:rsidR="00960049">
        <w:t xml:space="preserve"> network</w:t>
      </w:r>
      <w:r>
        <w:t>, by</w:t>
      </w:r>
      <w:r w:rsidR="00960049">
        <w:t xml:space="preserve"> consider</w:t>
      </w:r>
      <w:r>
        <w:t>ing</w:t>
      </w:r>
      <w:r w:rsidR="00960049">
        <w:t xml:space="preserve">: </w:t>
      </w:r>
    </w:p>
    <w:p w14:paraId="1A3EAB88" w14:textId="71D593FE" w:rsidR="00960049" w:rsidRDefault="00960049" w:rsidP="0079620D">
      <w:pPr>
        <w:pStyle w:val="Noparagraph"/>
        <w:numPr>
          <w:ilvl w:val="2"/>
          <w:numId w:val="49"/>
        </w:numPr>
        <w:ind w:left="1276"/>
      </w:pPr>
      <w:r>
        <w:t xml:space="preserve">areas where bushfire mitigation costs are imposed by legislation, </w:t>
      </w:r>
      <w:r w:rsidR="0009661A">
        <w:t>regulation,</w:t>
      </w:r>
      <w:r>
        <w:t xml:space="preserve"> or ministerial order; and</w:t>
      </w:r>
    </w:p>
    <w:p w14:paraId="71473F6B" w14:textId="77777777" w:rsidR="00960049" w:rsidRDefault="00960049" w:rsidP="0079620D">
      <w:pPr>
        <w:pStyle w:val="Noparagraph"/>
        <w:numPr>
          <w:ilvl w:val="2"/>
          <w:numId w:val="49"/>
        </w:numPr>
        <w:ind w:left="1276"/>
      </w:pPr>
      <w:r>
        <w:t xml:space="preserve">areas of the network where other recognised drivers affect the costs of performing vegetation management work. </w:t>
      </w:r>
    </w:p>
    <w:p w14:paraId="4E03D67B" w14:textId="299B72E8" w:rsidR="00960049" w:rsidRDefault="00960049" w:rsidP="00CE78D9">
      <w:pPr>
        <w:pStyle w:val="Noparagraph"/>
        <w:ind w:left="567" w:hanging="567"/>
      </w:pPr>
      <w:r>
        <w:t xml:space="preserve">Each contiguous area nominated by </w:t>
      </w:r>
      <w:r w:rsidR="00264F03">
        <w:t xml:space="preserve">the </w:t>
      </w:r>
      <w:r w:rsidR="00375AB1" w:rsidRPr="00375AB1">
        <w:rPr>
          <w:i/>
          <w:iCs w:val="0"/>
        </w:rPr>
        <w:t>TNSP</w:t>
      </w:r>
      <w:r>
        <w:t xml:space="preserve"> is a vegetation management zone. Accordingly, </w:t>
      </w:r>
      <w:r w:rsidR="00264F03">
        <w:t xml:space="preserve">any </w:t>
      </w:r>
      <w:r>
        <w:t>part of the network will be covered by only one vegetation management zone.</w:t>
      </w:r>
    </w:p>
    <w:p w14:paraId="3CA9CE7C" w14:textId="4B93FD08" w:rsidR="00960049" w:rsidRPr="00960049" w:rsidRDefault="00960049" w:rsidP="00960049">
      <w:pPr>
        <w:pStyle w:val="Noparagraph"/>
        <w:ind w:left="567" w:hanging="567"/>
      </w:pPr>
      <w:r w:rsidRPr="00960049">
        <w:t xml:space="preserve">If </w:t>
      </w:r>
      <w:r>
        <w:t xml:space="preserve">the </w:t>
      </w:r>
      <w:r w:rsidR="00375AB1" w:rsidRPr="00375AB1">
        <w:rPr>
          <w:i/>
          <w:iCs w:val="0"/>
        </w:rPr>
        <w:t>TNSP</w:t>
      </w:r>
      <w:r w:rsidRPr="00960049">
        <w:t xml:space="preserve"> records poles and towers rather than spans, </w:t>
      </w:r>
      <w:r w:rsidR="00264F03">
        <w:t xml:space="preserve">the </w:t>
      </w:r>
      <w:r w:rsidR="00264F03" w:rsidRPr="00264F03">
        <w:rPr>
          <w:i/>
          <w:iCs w:val="0"/>
        </w:rPr>
        <w:t>TNSP</w:t>
      </w:r>
      <w:r w:rsidR="00264F03">
        <w:t xml:space="preserve"> must report </w:t>
      </w:r>
      <w:r w:rsidRPr="00960049">
        <w:t xml:space="preserve">the number of </w:t>
      </w:r>
      <w:r>
        <w:t xml:space="preserve">maintenance </w:t>
      </w:r>
      <w:r w:rsidRPr="00960049">
        <w:t xml:space="preserve">spans </w:t>
      </w:r>
      <w:r w:rsidR="00264F03">
        <w:t>a</w:t>
      </w:r>
      <w:r w:rsidRPr="00960049">
        <w:t xml:space="preserve">s the number of poles and towers less one. </w:t>
      </w:r>
    </w:p>
    <w:p w14:paraId="0D3B7EBA" w14:textId="1FCB9A17" w:rsidR="00A11DAF" w:rsidRDefault="00A11DAF" w:rsidP="00A11DAF">
      <w:pPr>
        <w:pStyle w:val="Noparagraph"/>
        <w:spacing w:after="120"/>
        <w:ind w:left="567" w:hanging="567"/>
      </w:pPr>
      <w:r>
        <w:t xml:space="preserve">If the </w:t>
      </w:r>
      <w:r w:rsidR="00375AB1" w:rsidRPr="00375AB1">
        <w:rPr>
          <w:i/>
          <w:iCs w:val="0"/>
        </w:rPr>
        <w:t>TNSP</w:t>
      </w:r>
      <w:r w:rsidRPr="00184E39">
        <w:rPr>
          <w:i/>
          <w:iCs w:val="0"/>
        </w:rPr>
        <w:t xml:space="preserve"> </w:t>
      </w:r>
      <w:r>
        <w:t xml:space="preserve">does not have </w:t>
      </w:r>
      <w:r w:rsidRPr="007F18DF">
        <w:rPr>
          <w:i/>
          <w:iCs w:val="0"/>
        </w:rPr>
        <w:t>actual information</w:t>
      </w:r>
      <w:r>
        <w:t xml:space="preserve"> for the ‘average number of trees per maintenance span’ it must, estimate this variable using one or a combination of the following data sources:</w:t>
      </w:r>
    </w:p>
    <w:p w14:paraId="3E796B54" w14:textId="5F7AC469" w:rsidR="00A11DAF" w:rsidRDefault="00A11DAF" w:rsidP="00B0496A">
      <w:pPr>
        <w:pStyle w:val="ListParagraph"/>
        <w:numPr>
          <w:ilvl w:val="0"/>
          <w:numId w:val="37"/>
        </w:numPr>
        <w:ind w:left="1134" w:hanging="567"/>
      </w:pPr>
      <w:r>
        <w:t xml:space="preserve">Encroachment Defects (e.g. ground or </w:t>
      </w:r>
      <w:r w:rsidR="001D3E55" w:rsidRPr="001D3E55">
        <w:rPr>
          <w:iCs/>
        </w:rPr>
        <w:t>aerial</w:t>
      </w:r>
      <w:r w:rsidR="001D3E55">
        <w:t xml:space="preserve"> </w:t>
      </w:r>
      <w:r>
        <w:t xml:space="preserve">Inspections, LiDAR) and/or records of vegetation works scoping, or GIS vegetation density </w:t>
      </w:r>
      <w:proofErr w:type="gramStart"/>
      <w:r>
        <w:t>data;</w:t>
      </w:r>
      <w:proofErr w:type="gramEnd"/>
    </w:p>
    <w:p w14:paraId="5317537A" w14:textId="03CDC87D" w:rsidR="00A11DAF" w:rsidRDefault="00A11DAF" w:rsidP="00B0496A">
      <w:pPr>
        <w:pStyle w:val="ListParagraph"/>
        <w:numPr>
          <w:ilvl w:val="0"/>
          <w:numId w:val="37"/>
        </w:numPr>
        <w:ind w:left="1134" w:hanging="567"/>
      </w:pPr>
      <w:r>
        <w:t xml:space="preserve">Field surveys using a sample of maintenance spans within each vegetation management zone to assess the number of mature trees within the maintenance corridor. Sampling </w:t>
      </w:r>
      <w:r w:rsidR="009F527A">
        <w:t>must report</w:t>
      </w:r>
      <w:r>
        <w:t xml:space="preserve"> a reasonable estimate and consider the nature of maintenance spans in urban versus rural environments in determining reasonable sample sizes.</w:t>
      </w:r>
    </w:p>
    <w:p w14:paraId="40EA409E" w14:textId="77777777" w:rsidR="00A11DAF" w:rsidRDefault="00A11DAF" w:rsidP="00B0496A">
      <w:pPr>
        <w:pStyle w:val="ListParagraph"/>
        <w:numPr>
          <w:ilvl w:val="0"/>
          <w:numId w:val="37"/>
        </w:numPr>
        <w:ind w:left="1134" w:hanging="567"/>
      </w:pPr>
      <w:r>
        <w:t>Vegetation data such as:</w:t>
      </w:r>
    </w:p>
    <w:p w14:paraId="75BDCA4E" w14:textId="77777777" w:rsidR="00A11DAF" w:rsidRDefault="00A11DAF" w:rsidP="00B0496A">
      <w:pPr>
        <w:pStyle w:val="ListParagraph"/>
        <w:numPr>
          <w:ilvl w:val="0"/>
          <w:numId w:val="39"/>
        </w:numPr>
        <w:ind w:left="1701" w:hanging="567"/>
      </w:pPr>
      <w:r>
        <w:lastRenderedPageBreak/>
        <w:t>the Normalised Difference Vegetation Index (NDVI) grids and maps available from the Bureau of Meteorology (BOM</w:t>
      </w:r>
      <w:proofErr w:type="gramStart"/>
      <w:r>
        <w:t>);</w:t>
      </w:r>
      <w:proofErr w:type="gramEnd"/>
    </w:p>
    <w:p w14:paraId="0D071B88" w14:textId="77777777" w:rsidR="00A11DAF" w:rsidRDefault="00A11DAF" w:rsidP="00B0496A">
      <w:pPr>
        <w:pStyle w:val="ListParagraph"/>
        <w:numPr>
          <w:ilvl w:val="0"/>
          <w:numId w:val="39"/>
        </w:numPr>
        <w:ind w:left="1701" w:hanging="567"/>
      </w:pPr>
      <w:r>
        <w:t>data from the National Vegetation Information System (VIS data) overlaid on network GIS data to assess the density of vegetation in the direct vicinity of the Maintenance Spans; or</w:t>
      </w:r>
    </w:p>
    <w:p w14:paraId="64B7FA5C" w14:textId="77777777" w:rsidR="00A11DAF" w:rsidRDefault="00A11DAF" w:rsidP="00B0496A">
      <w:pPr>
        <w:pStyle w:val="ListParagraph"/>
        <w:numPr>
          <w:ilvl w:val="0"/>
          <w:numId w:val="39"/>
        </w:numPr>
        <w:ind w:left="1701" w:hanging="567"/>
      </w:pPr>
      <w:r>
        <w:t>similar data from other sources such as Geoscience Australia or commercial suppliers of satellite imagery overlaid on network GIS data records.</w:t>
      </w:r>
    </w:p>
    <w:p w14:paraId="010C7FFB" w14:textId="77777777" w:rsidR="00A11DAF" w:rsidRDefault="00A11DAF" w:rsidP="00B0496A">
      <w:pPr>
        <w:pStyle w:val="ListParagraph"/>
        <w:numPr>
          <w:ilvl w:val="0"/>
          <w:numId w:val="38"/>
        </w:numPr>
      </w:pPr>
      <w:r>
        <w:t>Any other data source based on expert advice.</w:t>
      </w:r>
    </w:p>
    <w:p w14:paraId="57966A84" w14:textId="08911CCF" w:rsidR="00A11DAF" w:rsidRDefault="00A11DAF" w:rsidP="00A11DAF">
      <w:pPr>
        <w:pStyle w:val="Noparagraph"/>
        <w:spacing w:after="120"/>
        <w:ind w:left="567" w:hanging="567"/>
      </w:pPr>
      <w:r>
        <w:t xml:space="preserve">The </w:t>
      </w:r>
      <w:r w:rsidR="00375AB1" w:rsidRPr="00375AB1">
        <w:rPr>
          <w:i/>
          <w:iCs w:val="0"/>
        </w:rPr>
        <w:t>TNSP</w:t>
      </w:r>
      <w:r>
        <w:t xml:space="preserve"> must </w:t>
      </w:r>
      <w:r w:rsidR="00E15DB8">
        <w:t xml:space="preserve">explain </w:t>
      </w:r>
      <w:r>
        <w:t xml:space="preserve">its estimation method in its </w:t>
      </w:r>
      <w:r w:rsidRPr="007F18DF">
        <w:rPr>
          <w:i/>
          <w:iCs w:val="0"/>
        </w:rPr>
        <w:t>basis of preparation</w:t>
      </w:r>
      <w:r>
        <w:t>.</w:t>
      </w:r>
    </w:p>
    <w:p w14:paraId="72AAEFD4" w14:textId="420AE9EC" w:rsidR="007A7CAF" w:rsidRDefault="00A11DAF" w:rsidP="007A7CAF">
      <w:pPr>
        <w:pStyle w:val="Noparagraph"/>
        <w:ind w:left="567" w:hanging="567"/>
      </w:pPr>
      <w:r>
        <w:t xml:space="preserve">The </w:t>
      </w:r>
      <w:r w:rsidR="00375AB1" w:rsidRPr="00375AB1">
        <w:rPr>
          <w:i/>
        </w:rPr>
        <w:t>TNSP</w:t>
      </w:r>
      <w:r>
        <w:t xml:space="preserve"> must report the average number of defects per maintenance span for the reporting period and </w:t>
      </w:r>
      <w:r w:rsidR="00E75B18">
        <w:t xml:space="preserve">identify </w:t>
      </w:r>
      <w:r>
        <w:t xml:space="preserve">in its </w:t>
      </w:r>
      <w:r w:rsidRPr="00656E56">
        <w:rPr>
          <w:i/>
        </w:rPr>
        <w:t>basis of preparation</w:t>
      </w:r>
      <w:r>
        <w:t xml:space="preserve"> whether it records the total number of defects for each vegetation maintenance span, or whether it records defects on a vegetation maintenance span as one, regardless of the number of defects on the span.</w:t>
      </w:r>
      <w:r w:rsidR="007A7CAF" w:rsidRPr="007A7CAF">
        <w:t xml:space="preserve"> </w:t>
      </w:r>
      <w:r w:rsidR="007A7CAF" w:rsidRPr="007A7CAF">
        <w:tab/>
      </w:r>
    </w:p>
    <w:p w14:paraId="40813BD8" w14:textId="6A228062" w:rsidR="00A11DAF" w:rsidRDefault="007A7CAF" w:rsidP="007A7CAF">
      <w:pPr>
        <w:pStyle w:val="Noparagraph"/>
        <w:ind w:left="567" w:hanging="567"/>
      </w:pPr>
      <w:r>
        <w:t xml:space="preserve"> </w:t>
      </w:r>
      <w:r w:rsidRPr="007A7CAF">
        <w:t xml:space="preserve">If </w:t>
      </w:r>
      <w:r>
        <w:t xml:space="preserve">the </w:t>
      </w:r>
      <w:r w:rsidR="00375AB1" w:rsidRPr="00375AB1">
        <w:rPr>
          <w:i/>
          <w:iCs w:val="0"/>
        </w:rPr>
        <w:t>TNSP</w:t>
      </w:r>
      <w:r w:rsidRPr="007A7CAF">
        <w:t xml:space="preserve"> performs vegetation management work on multiple cutting cycles within its nominated vegetation management zones, </w:t>
      </w:r>
      <w:r w:rsidR="00E75B18">
        <w:t xml:space="preserve">the </w:t>
      </w:r>
      <w:r w:rsidR="008041FA" w:rsidRPr="008041FA">
        <w:rPr>
          <w:i/>
        </w:rPr>
        <w:t>TNSP</w:t>
      </w:r>
      <w:r w:rsidR="00E75B18">
        <w:t xml:space="preserve"> </w:t>
      </w:r>
      <w:r w:rsidR="00581893">
        <w:t>may</w:t>
      </w:r>
      <w:r w:rsidR="00E75B18">
        <w:t xml:space="preserve"> report </w:t>
      </w:r>
      <w:r w:rsidRPr="007A7CAF">
        <w:t>a simple average of the cutting cycles</w:t>
      </w:r>
      <w:r w:rsidR="00E75B18">
        <w:t>.</w:t>
      </w:r>
    </w:p>
    <w:p w14:paraId="3BB9828E" w14:textId="452F11CF" w:rsidR="00836FDE" w:rsidRPr="003531D3" w:rsidRDefault="00836FDE" w:rsidP="00CE1F74">
      <w:pPr>
        <w:keepNext/>
        <w:spacing w:before="120" w:after="120"/>
        <w:rPr>
          <w:rFonts w:eastAsiaTheme="majorEastAsia" w:cstheme="majorBidi"/>
          <w:b/>
          <w:bCs/>
          <w:iCs/>
          <w:color w:val="0000CC"/>
          <w:lang w:eastAsia="ja-JP"/>
        </w:rPr>
      </w:pPr>
      <w:r>
        <w:rPr>
          <w:rFonts w:eastAsiaTheme="majorEastAsia" w:cstheme="majorBidi"/>
          <w:b/>
          <w:bCs/>
          <w:iCs/>
          <w:color w:val="303F51"/>
          <w:lang w:eastAsia="ja-JP"/>
        </w:rPr>
        <w:t>Terrain factors</w:t>
      </w:r>
      <w:r w:rsidR="00C7586B">
        <w:rPr>
          <w:rFonts w:eastAsiaTheme="majorEastAsia" w:cstheme="majorBidi"/>
          <w:b/>
          <w:bCs/>
          <w:iCs/>
          <w:color w:val="303F51"/>
          <w:lang w:eastAsia="ja-JP"/>
        </w:rPr>
        <w:t xml:space="preserve"> </w:t>
      </w:r>
      <w:r w:rsidR="003531D3">
        <w:rPr>
          <w:rFonts w:eastAsiaTheme="majorEastAsia" w:cstheme="majorBidi"/>
          <w:b/>
          <w:bCs/>
          <w:iCs/>
          <w:color w:val="0000CC"/>
          <w:lang w:eastAsia="ja-JP"/>
        </w:rPr>
        <w:t>(table 3.7.1)</w:t>
      </w:r>
    </w:p>
    <w:p w14:paraId="56D25DBF" w14:textId="4F5BCDAB" w:rsidR="00836FDE" w:rsidRDefault="00836FDE" w:rsidP="00836FDE">
      <w:pPr>
        <w:pStyle w:val="Noparagraph"/>
        <w:spacing w:after="120"/>
        <w:ind w:left="567" w:hanging="567"/>
      </w:pPr>
      <w:r>
        <w:rPr>
          <w:iCs w:val="0"/>
        </w:rPr>
        <w:t xml:space="preserve">Number of </w:t>
      </w:r>
      <w:r w:rsidR="00581893">
        <w:rPr>
          <w:iCs w:val="0"/>
        </w:rPr>
        <w:t xml:space="preserve">vegetation </w:t>
      </w:r>
      <w:r>
        <w:rPr>
          <w:iCs w:val="0"/>
        </w:rPr>
        <w:t xml:space="preserve">maintenance spans: </w:t>
      </w:r>
      <w:r w:rsidR="00587BF0">
        <w:rPr>
          <w:iCs w:val="0"/>
        </w:rPr>
        <w:t>Where</w:t>
      </w:r>
      <w:r w:rsidRPr="00184E39">
        <w:rPr>
          <w:iCs w:val="0"/>
        </w:rPr>
        <w:t xml:space="preserve"> </w:t>
      </w:r>
      <w:r>
        <w:rPr>
          <w:iCs w:val="0"/>
        </w:rPr>
        <w:t xml:space="preserve">the </w:t>
      </w:r>
      <w:r w:rsidR="00375AB1" w:rsidRPr="00375AB1">
        <w:rPr>
          <w:i/>
        </w:rPr>
        <w:t>TNSP</w:t>
      </w:r>
      <w:r w:rsidRPr="00184E39">
        <w:rPr>
          <w:i/>
        </w:rPr>
        <w:t xml:space="preserve"> </w:t>
      </w:r>
      <w:r w:rsidRPr="00184E39">
        <w:rPr>
          <w:iCs w:val="0"/>
        </w:rPr>
        <w:t xml:space="preserve">records poles rather than spans, the number of </w:t>
      </w:r>
      <w:r w:rsidR="00581893">
        <w:rPr>
          <w:iCs w:val="0"/>
        </w:rPr>
        <w:t xml:space="preserve">vegetation </w:t>
      </w:r>
      <w:r w:rsidR="00E15DB8">
        <w:rPr>
          <w:iCs w:val="0"/>
        </w:rPr>
        <w:t xml:space="preserve">maintenance </w:t>
      </w:r>
      <w:r w:rsidRPr="00184E39">
        <w:rPr>
          <w:iCs w:val="0"/>
        </w:rPr>
        <w:t>spans is the number of poles less</w:t>
      </w:r>
      <w:r>
        <w:t xml:space="preserve"> one.</w:t>
      </w:r>
    </w:p>
    <w:p w14:paraId="5F635242" w14:textId="2613FDFC" w:rsidR="00836FDE" w:rsidRDefault="00836FDE" w:rsidP="00836FDE">
      <w:pPr>
        <w:pStyle w:val="Noparagraph"/>
        <w:spacing w:after="120"/>
        <w:ind w:left="567" w:hanging="567"/>
      </w:pPr>
      <w:r>
        <w:t xml:space="preserve">The </w:t>
      </w:r>
      <w:r w:rsidR="00587BF0">
        <w:t xml:space="preserve">TNSP may calculate the </w:t>
      </w:r>
      <w:r>
        <w:t>‘average frequency of cutting cycle’ as a simple average of all cutting cycles.</w:t>
      </w:r>
    </w:p>
    <w:p w14:paraId="20B87570" w14:textId="16255897" w:rsidR="00836FDE" w:rsidRDefault="00836FDE" w:rsidP="00836FDE">
      <w:pPr>
        <w:pStyle w:val="Noparagraph"/>
        <w:spacing w:after="120"/>
        <w:ind w:left="567" w:hanging="567"/>
      </w:pPr>
      <w:r>
        <w:t xml:space="preserve">The bushfire risk variable is the number of </w:t>
      </w:r>
      <w:r w:rsidR="00581893">
        <w:t xml:space="preserve">vegetation </w:t>
      </w:r>
      <w:r>
        <w:t>maintenance spans in high bushfire risk areas as classified by a person or organisation with appropriate expertise on fire risk. This includes but is not limited to:</w:t>
      </w:r>
    </w:p>
    <w:p w14:paraId="5F7E0D7F" w14:textId="06F03D59" w:rsidR="00836FDE" w:rsidRDefault="00836FDE" w:rsidP="00B0496A">
      <w:pPr>
        <w:pStyle w:val="ListParagraph"/>
        <w:numPr>
          <w:ilvl w:val="0"/>
          <w:numId w:val="40"/>
        </w:numPr>
        <w:ind w:left="1134" w:hanging="567"/>
      </w:pPr>
      <w:r>
        <w:t xml:space="preserve">the </w:t>
      </w:r>
      <w:r w:rsidR="00375AB1" w:rsidRPr="00375AB1">
        <w:rPr>
          <w:i/>
        </w:rPr>
        <w:t>TNSP’s</w:t>
      </w:r>
      <w:r>
        <w:t xml:space="preserve"> jurisdictional fire authority</w:t>
      </w:r>
    </w:p>
    <w:p w14:paraId="01D8A9BE" w14:textId="77777777" w:rsidR="00836FDE" w:rsidRDefault="00836FDE" w:rsidP="00B0496A">
      <w:pPr>
        <w:pStyle w:val="ListParagraph"/>
        <w:numPr>
          <w:ilvl w:val="0"/>
          <w:numId w:val="40"/>
        </w:numPr>
        <w:ind w:left="1134" w:hanging="567"/>
      </w:pPr>
      <w:r>
        <w:t>local councils</w:t>
      </w:r>
    </w:p>
    <w:p w14:paraId="6FF48103" w14:textId="77777777" w:rsidR="00836FDE" w:rsidRDefault="00836FDE" w:rsidP="00B0496A">
      <w:pPr>
        <w:pStyle w:val="ListParagraph"/>
        <w:numPr>
          <w:ilvl w:val="0"/>
          <w:numId w:val="40"/>
        </w:numPr>
        <w:ind w:left="1134" w:hanging="567"/>
      </w:pPr>
      <w:r>
        <w:t>insurance companies</w:t>
      </w:r>
    </w:p>
    <w:p w14:paraId="120649A1" w14:textId="7D84EAB6" w:rsidR="00836FDE" w:rsidRDefault="00836FDE" w:rsidP="00B0496A">
      <w:pPr>
        <w:pStyle w:val="ListParagraph"/>
        <w:numPr>
          <w:ilvl w:val="0"/>
          <w:numId w:val="40"/>
        </w:numPr>
        <w:ind w:left="1134" w:hanging="567"/>
      </w:pPr>
      <w:r>
        <w:t xml:space="preserve">the </w:t>
      </w:r>
      <w:r w:rsidR="00375AB1" w:rsidRPr="00375AB1">
        <w:rPr>
          <w:i/>
        </w:rPr>
        <w:t>TNSP’s</w:t>
      </w:r>
      <w:r w:rsidRPr="002C1C7B">
        <w:t xml:space="preserve"> </w:t>
      </w:r>
      <w:r>
        <w:t>consultants</w:t>
      </w:r>
    </w:p>
    <w:p w14:paraId="16436182" w14:textId="03A1D36D" w:rsidR="00836FDE" w:rsidRDefault="00836FDE" w:rsidP="00B0496A">
      <w:pPr>
        <w:pStyle w:val="ListParagraph"/>
        <w:numPr>
          <w:ilvl w:val="0"/>
          <w:numId w:val="40"/>
        </w:numPr>
        <w:ind w:left="1134" w:hanging="567"/>
      </w:pPr>
      <w:r>
        <w:t>local fire experts</w:t>
      </w:r>
      <w:r w:rsidR="009F6556">
        <w:t>.</w:t>
      </w:r>
    </w:p>
    <w:p w14:paraId="55C87355" w14:textId="453BA64C" w:rsidR="00903D1C" w:rsidRPr="003531D3" w:rsidRDefault="00903D1C" w:rsidP="00903D1C">
      <w:pPr>
        <w:keepNext/>
        <w:spacing w:before="120" w:after="120"/>
        <w:rPr>
          <w:rFonts w:eastAsiaTheme="majorEastAsia" w:cstheme="majorBidi"/>
          <w:b/>
          <w:bCs/>
          <w:iCs/>
          <w:color w:val="0000CC"/>
          <w:lang w:eastAsia="ja-JP"/>
        </w:rPr>
      </w:pPr>
      <w:r>
        <w:rPr>
          <w:rFonts w:eastAsiaTheme="majorEastAsia" w:cstheme="majorBidi"/>
          <w:b/>
          <w:bCs/>
          <w:iCs/>
          <w:color w:val="303F51"/>
          <w:lang w:eastAsia="ja-JP"/>
        </w:rPr>
        <w:t>Network characteristics</w:t>
      </w:r>
      <w:r w:rsidR="003531D3">
        <w:rPr>
          <w:rFonts w:eastAsiaTheme="majorEastAsia" w:cstheme="majorBidi"/>
          <w:b/>
          <w:bCs/>
          <w:iCs/>
          <w:color w:val="303F51"/>
          <w:lang w:eastAsia="ja-JP"/>
        </w:rPr>
        <w:t xml:space="preserve"> (</w:t>
      </w:r>
      <w:r w:rsidR="003531D3">
        <w:rPr>
          <w:rFonts w:eastAsiaTheme="majorEastAsia" w:cstheme="majorBidi"/>
          <w:b/>
          <w:bCs/>
          <w:iCs/>
          <w:color w:val="0000CC"/>
          <w:lang w:eastAsia="ja-JP"/>
        </w:rPr>
        <w:t>table 3.7.2)</w:t>
      </w:r>
    </w:p>
    <w:p w14:paraId="288A7011" w14:textId="397A654B" w:rsidR="00565F3E" w:rsidRDefault="00903D1C" w:rsidP="00565F3E">
      <w:pPr>
        <w:pStyle w:val="Noparagraph"/>
        <w:spacing w:after="120"/>
        <w:ind w:left="567" w:hanging="567"/>
      </w:pPr>
      <w:r w:rsidRPr="00903D1C">
        <w:rPr>
          <w:b/>
          <w:bCs/>
          <w:color w:val="303F51"/>
          <w:lang w:eastAsia="ja-JP"/>
        </w:rPr>
        <w:t xml:space="preserve"> </w:t>
      </w:r>
      <w:r w:rsidR="00565F3E">
        <w:t>Data requirements are identified by reference to table headings, row descriptors and column headings. They are represented as input cells</w:t>
      </w:r>
      <w:r w:rsidR="00FC3EEA">
        <w:t xml:space="preserve"> – shaded</w:t>
      </w:r>
      <w:r w:rsidR="00565F3E">
        <w:t xml:space="preserve"> green in the </w:t>
      </w:r>
      <w:r w:rsidR="00565F3E" w:rsidRPr="00BA4310">
        <w:rPr>
          <w:i/>
          <w:iCs w:val="0"/>
        </w:rPr>
        <w:t>data workbook</w:t>
      </w:r>
      <w:r w:rsidR="00565F3E">
        <w:rPr>
          <w:i/>
          <w:iCs w:val="0"/>
        </w:rPr>
        <w:t xml:space="preserve"> 03 – Network metrics</w:t>
      </w:r>
      <w:r w:rsidR="00565F3E" w:rsidRPr="00565F3E">
        <w:t>. There are no further instructions</w:t>
      </w:r>
      <w:r w:rsidR="00565F3E">
        <w:rPr>
          <w:i/>
          <w:iCs w:val="0"/>
        </w:rPr>
        <w:t>.</w:t>
      </w:r>
    </w:p>
    <w:p w14:paraId="272CE018" w14:textId="61FA090D" w:rsidR="00903D1C" w:rsidRPr="00903D1C" w:rsidRDefault="00903D1C" w:rsidP="00903D1C">
      <w:pPr>
        <w:keepNext/>
        <w:spacing w:before="120" w:after="120"/>
        <w:rPr>
          <w:rFonts w:eastAsiaTheme="majorEastAsia" w:cstheme="majorBidi"/>
          <w:b/>
          <w:bCs/>
          <w:iCs/>
          <w:color w:val="303F51"/>
          <w:lang w:eastAsia="ja-JP"/>
        </w:rPr>
      </w:pPr>
    </w:p>
    <w:p w14:paraId="20CA9393" w14:textId="77777777" w:rsidR="00836FDE" w:rsidRDefault="00836FDE" w:rsidP="00903D1C">
      <w:pPr>
        <w:pStyle w:val="Noparagraph"/>
        <w:numPr>
          <w:ilvl w:val="0"/>
          <w:numId w:val="0"/>
        </w:numPr>
        <w:spacing w:after="120"/>
        <w:ind w:left="720" w:hanging="720"/>
      </w:pPr>
    </w:p>
    <w:p w14:paraId="168C3463" w14:textId="77777777" w:rsidR="00836FDE" w:rsidRDefault="00836FDE" w:rsidP="00836FDE"/>
    <w:p w14:paraId="1527A4E6" w14:textId="69719E8E" w:rsidR="00836FDE" w:rsidRDefault="00836FDE" w:rsidP="00836FDE">
      <w:pPr>
        <w:pStyle w:val="Heading2"/>
      </w:pPr>
      <w:bookmarkStart w:id="51" w:name="_Toc121724712"/>
      <w:bookmarkStart w:id="52" w:name="_Toc162703551"/>
      <w:r>
        <w:lastRenderedPageBreak/>
        <w:t>Workbook</w:t>
      </w:r>
      <w:r w:rsidR="001716E9">
        <w:t xml:space="preserve"> 05</w:t>
      </w:r>
      <w:r>
        <w:t xml:space="preserve"> – Service performance</w:t>
      </w:r>
      <w:bookmarkEnd w:id="51"/>
      <w:bookmarkEnd w:id="52"/>
    </w:p>
    <w:p w14:paraId="20255117" w14:textId="112B9F71" w:rsidR="00BF0E5A" w:rsidRDefault="00BF0E5A" w:rsidP="00BF0E5A">
      <w:pPr>
        <w:pStyle w:val="Heading3"/>
        <w:spacing w:after="240"/>
        <w:ind w:left="578" w:hanging="578"/>
        <w:rPr>
          <w:lang w:eastAsia="ja-JP"/>
        </w:rPr>
      </w:pPr>
      <w:bookmarkStart w:id="53" w:name="_Toc162703552"/>
      <w:r>
        <w:rPr>
          <w:lang w:eastAsia="ja-JP"/>
        </w:rPr>
        <w:t>Market impact component</w:t>
      </w:r>
      <w:bookmarkEnd w:id="53"/>
      <w:r w:rsidR="0004655B">
        <w:rPr>
          <w:lang w:eastAsia="ja-JP"/>
        </w:rPr>
        <w:t xml:space="preserve"> </w:t>
      </w:r>
      <w:r w:rsidR="0004655B">
        <w:rPr>
          <w:color w:val="0000CC"/>
          <w:lang w:eastAsia="ja-JP"/>
        </w:rPr>
        <w:t>(7.9, 3.6)</w:t>
      </w:r>
    </w:p>
    <w:p w14:paraId="0FC9D9BC" w14:textId="701E9888" w:rsidR="00BF0E5A" w:rsidRPr="003E6476" w:rsidRDefault="00BF0E5A" w:rsidP="00BF0E5A">
      <w:pPr>
        <w:spacing w:before="120" w:after="120"/>
        <w:rPr>
          <w:rFonts w:eastAsiaTheme="majorEastAsia" w:cstheme="majorBidi"/>
          <w:b/>
          <w:bCs/>
          <w:iCs/>
          <w:color w:val="0000CC"/>
          <w:lang w:eastAsia="ja-JP"/>
        </w:rPr>
      </w:pPr>
      <w:r>
        <w:rPr>
          <w:rFonts w:eastAsiaTheme="majorEastAsia" w:cstheme="majorBidi"/>
          <w:b/>
          <w:bCs/>
          <w:iCs/>
          <w:color w:val="303F51"/>
          <w:lang w:eastAsia="ja-JP"/>
        </w:rPr>
        <w:t>Market impact parameter – calendar year: Planned outage</w:t>
      </w:r>
      <w:r w:rsidR="00275C36">
        <w:rPr>
          <w:rFonts w:eastAsiaTheme="majorEastAsia" w:cstheme="majorBidi"/>
          <w:b/>
          <w:bCs/>
          <w:iCs/>
          <w:color w:val="303F51"/>
          <w:lang w:eastAsia="ja-JP"/>
        </w:rPr>
        <w:t>s</w:t>
      </w:r>
      <w:r>
        <w:rPr>
          <w:rFonts w:eastAsiaTheme="majorEastAsia" w:cstheme="majorBidi"/>
          <w:b/>
          <w:bCs/>
          <w:iCs/>
          <w:color w:val="303F51"/>
          <w:lang w:eastAsia="ja-JP"/>
        </w:rPr>
        <w:t>; Unplanned outage</w:t>
      </w:r>
      <w:r w:rsidR="00275C36">
        <w:rPr>
          <w:rFonts w:eastAsiaTheme="majorEastAsia" w:cstheme="majorBidi"/>
          <w:b/>
          <w:bCs/>
          <w:iCs/>
          <w:color w:val="303F51"/>
          <w:lang w:eastAsia="ja-JP"/>
        </w:rPr>
        <w:t>s</w:t>
      </w:r>
      <w:r>
        <w:rPr>
          <w:rFonts w:eastAsiaTheme="majorEastAsia" w:cstheme="majorBidi"/>
          <w:b/>
          <w:bCs/>
          <w:iCs/>
          <w:color w:val="303F51"/>
          <w:lang w:eastAsia="ja-JP"/>
        </w:rPr>
        <w:t xml:space="preserve"> </w:t>
      </w:r>
      <w:r w:rsidR="003E6476">
        <w:rPr>
          <w:rFonts w:eastAsiaTheme="majorEastAsia" w:cstheme="majorBidi"/>
          <w:b/>
          <w:bCs/>
          <w:iCs/>
          <w:color w:val="0000CC"/>
          <w:lang w:eastAsia="ja-JP"/>
        </w:rPr>
        <w:t>(table 7.9.4)</w:t>
      </w:r>
    </w:p>
    <w:p w14:paraId="4DB2B1DA" w14:textId="70D8817E" w:rsidR="00BF0E5A" w:rsidRPr="00A32CD1" w:rsidRDefault="00BF0E5A" w:rsidP="00BF0E5A">
      <w:pPr>
        <w:pStyle w:val="Noparagraph"/>
        <w:ind w:left="567" w:hanging="567"/>
        <w:rPr>
          <w:rFonts w:cs="Arial"/>
        </w:rPr>
      </w:pPr>
      <w:r>
        <w:rPr>
          <w:rFonts w:cs="Arial"/>
        </w:rPr>
        <w:t xml:space="preserve">This data requirement adopts </w:t>
      </w:r>
      <w:r w:rsidRPr="00A32CD1">
        <w:rPr>
          <w:rFonts w:cs="Arial"/>
        </w:rPr>
        <w:t xml:space="preserve">the definitions specified in the service target performance incentive scheme (STPIS) that applies </w:t>
      </w:r>
      <w:r>
        <w:rPr>
          <w:rFonts w:cs="Arial"/>
        </w:rPr>
        <w:t xml:space="preserve">to the </w:t>
      </w:r>
      <w:r w:rsidRPr="00A52484">
        <w:rPr>
          <w:rFonts w:cs="Arial"/>
          <w:i/>
          <w:iCs w:val="0"/>
        </w:rPr>
        <w:t>TNSP</w:t>
      </w:r>
      <w:r>
        <w:rPr>
          <w:rFonts w:cs="Arial"/>
        </w:rPr>
        <w:t xml:space="preserve"> </w:t>
      </w:r>
      <w:r w:rsidRPr="00A32CD1">
        <w:rPr>
          <w:rFonts w:cs="Arial"/>
        </w:rPr>
        <w:t>in the</w:t>
      </w:r>
      <w:r w:rsidRPr="001F4540">
        <w:rPr>
          <w:rFonts w:cs="Arial"/>
        </w:rPr>
        <w:t xml:space="preserve"> </w:t>
      </w:r>
      <w:r>
        <w:rPr>
          <w:rFonts w:cs="Arial"/>
        </w:rPr>
        <w:t xml:space="preserve">calendar year immediately preceding </w:t>
      </w:r>
      <w:r w:rsidRPr="00A32CD1">
        <w:rPr>
          <w:rFonts w:cs="Arial"/>
        </w:rPr>
        <w:t>the</w:t>
      </w:r>
      <w:r>
        <w:rPr>
          <w:rFonts w:cs="Arial"/>
        </w:rPr>
        <w:t xml:space="preserve"> end of the</w:t>
      </w:r>
      <w:r w:rsidRPr="00A32CD1">
        <w:rPr>
          <w:rFonts w:cs="Arial"/>
        </w:rPr>
        <w:t xml:space="preserve"> </w:t>
      </w:r>
      <w:r w:rsidRPr="00A32CD1">
        <w:rPr>
          <w:rFonts w:cs="Arial"/>
          <w:i/>
          <w:iCs w:val="0"/>
        </w:rPr>
        <w:t>reporting period</w:t>
      </w:r>
      <w:r w:rsidRPr="00A32CD1">
        <w:rPr>
          <w:rFonts w:cs="Arial"/>
        </w:rPr>
        <w:t>.</w:t>
      </w:r>
      <w:r w:rsidR="00410F06">
        <w:rPr>
          <w:rFonts w:cs="Arial"/>
        </w:rPr>
        <w:t xml:space="preserve"> (For example, if the reporting period ends on 30 June 2025, the data required is for the calendar year 2024.)</w:t>
      </w:r>
    </w:p>
    <w:p w14:paraId="5B5DC6A5" w14:textId="5A3A5BC9" w:rsidR="00BF0E5A" w:rsidRPr="00410F06" w:rsidRDefault="00BF0E5A" w:rsidP="00BF0E5A">
      <w:pPr>
        <w:pStyle w:val="Noparagraph"/>
        <w:ind w:left="567" w:hanging="567"/>
        <w:rPr>
          <w:rFonts w:eastAsia="Arial" w:cs="Arial"/>
        </w:rPr>
      </w:pPr>
      <w:r>
        <w:rPr>
          <w:rFonts w:cs="Arial"/>
        </w:rPr>
        <w:t xml:space="preserve">The </w:t>
      </w:r>
      <w:r w:rsidRPr="00375AB1">
        <w:rPr>
          <w:rFonts w:cs="Arial"/>
          <w:i/>
          <w:iCs w:val="0"/>
        </w:rPr>
        <w:t>TNSP</w:t>
      </w:r>
      <w:r>
        <w:rPr>
          <w:rFonts w:cs="Arial"/>
          <w:i/>
          <w:noProof/>
        </w:rPr>
        <w:t xml:space="preserve"> </w:t>
      </w:r>
      <w:r w:rsidRPr="00995FA4">
        <w:rPr>
          <w:rFonts w:cs="Arial"/>
        </w:rPr>
        <w:t xml:space="preserve">must </w:t>
      </w:r>
      <w:r>
        <w:rPr>
          <w:rFonts w:cs="Arial"/>
        </w:rPr>
        <w:t>report</w:t>
      </w:r>
      <w:r w:rsidRPr="00995FA4">
        <w:rPr>
          <w:rFonts w:cs="Arial"/>
        </w:rPr>
        <w:t xml:space="preserve"> unrounded data.</w:t>
      </w:r>
    </w:p>
    <w:p w14:paraId="721F7F22" w14:textId="2F8B7F9D" w:rsidR="00410F06" w:rsidRPr="0070433F" w:rsidRDefault="00410F06" w:rsidP="00410F06">
      <w:pPr>
        <w:spacing w:before="120" w:after="120"/>
        <w:rPr>
          <w:rFonts w:eastAsiaTheme="majorEastAsia" w:cstheme="majorBidi"/>
          <w:b/>
          <w:bCs/>
          <w:iCs/>
          <w:color w:val="303F51"/>
          <w:lang w:eastAsia="ja-JP"/>
        </w:rPr>
      </w:pPr>
      <w:r>
        <w:rPr>
          <w:rFonts w:eastAsiaTheme="majorEastAsia" w:cstheme="majorBidi"/>
          <w:b/>
          <w:bCs/>
          <w:iCs/>
          <w:color w:val="303F51"/>
          <w:lang w:eastAsia="ja-JP"/>
        </w:rPr>
        <w:t xml:space="preserve">Market impact component </w:t>
      </w:r>
      <w:r w:rsidR="003E6476" w:rsidRPr="003E6476">
        <w:rPr>
          <w:rFonts w:eastAsiaTheme="majorEastAsia" w:cstheme="majorBidi"/>
          <w:b/>
          <w:bCs/>
          <w:iCs/>
          <w:color w:val="0000CC"/>
          <w:lang w:eastAsia="ja-JP"/>
        </w:rPr>
        <w:t>(table 3.6</w:t>
      </w:r>
      <w:r w:rsidR="0004655B">
        <w:rPr>
          <w:rFonts w:eastAsiaTheme="majorEastAsia" w:cstheme="majorBidi"/>
          <w:b/>
          <w:bCs/>
          <w:iCs/>
          <w:color w:val="0000CC"/>
          <w:lang w:eastAsia="ja-JP"/>
        </w:rPr>
        <w:t>.2</w:t>
      </w:r>
      <w:r w:rsidR="003E6476" w:rsidRPr="003E6476">
        <w:rPr>
          <w:rFonts w:eastAsiaTheme="majorEastAsia" w:cstheme="majorBidi"/>
          <w:b/>
          <w:bCs/>
          <w:iCs/>
          <w:color w:val="0000CC"/>
          <w:lang w:eastAsia="ja-JP"/>
        </w:rPr>
        <w:t>)</w:t>
      </w:r>
    </w:p>
    <w:p w14:paraId="3D5D2F1E" w14:textId="620030AE" w:rsidR="00410F06" w:rsidRPr="00A32CD1" w:rsidRDefault="00410F06" w:rsidP="00410F06">
      <w:pPr>
        <w:pStyle w:val="Noparagraph"/>
        <w:ind w:left="567" w:hanging="567"/>
        <w:rPr>
          <w:rFonts w:cs="Arial"/>
        </w:rPr>
      </w:pPr>
      <w:r>
        <w:rPr>
          <w:rFonts w:cs="Arial"/>
        </w:rPr>
        <w:t xml:space="preserve">The TNSP </w:t>
      </w:r>
      <w:r w:rsidR="008C4E22">
        <w:rPr>
          <w:rFonts w:cs="Arial"/>
        </w:rPr>
        <w:t>must report s</w:t>
      </w:r>
      <w:r w:rsidR="008C4E22" w:rsidRPr="00D12C9F">
        <w:rPr>
          <w:rFonts w:cs="Arial"/>
        </w:rPr>
        <w:t>ervice performance outcomes</w:t>
      </w:r>
      <w:r w:rsidR="008C4E22">
        <w:rPr>
          <w:rFonts w:cs="Arial"/>
        </w:rPr>
        <w:t xml:space="preserve"> for the market impact component of the </w:t>
      </w:r>
      <w:r w:rsidR="008C4E22" w:rsidRPr="00A32CD1">
        <w:rPr>
          <w:rFonts w:cs="Arial"/>
        </w:rPr>
        <w:t xml:space="preserve">service target performance incentive scheme (STPIS) that applies </w:t>
      </w:r>
      <w:r w:rsidR="008C4E22">
        <w:rPr>
          <w:rFonts w:cs="Arial"/>
        </w:rPr>
        <w:t xml:space="preserve">to the </w:t>
      </w:r>
      <w:r w:rsidR="008C4E22" w:rsidRPr="008041FA">
        <w:rPr>
          <w:rFonts w:cs="Arial"/>
          <w:i/>
        </w:rPr>
        <w:t>TNSP</w:t>
      </w:r>
      <w:r w:rsidR="008C4E22" w:rsidRPr="008C4E22">
        <w:rPr>
          <w:rFonts w:cs="Arial"/>
        </w:rPr>
        <w:t xml:space="preserve"> </w:t>
      </w:r>
      <w:r w:rsidR="008C4E22" w:rsidRPr="00A32CD1">
        <w:rPr>
          <w:rFonts w:cs="Arial"/>
        </w:rPr>
        <w:t>in the</w:t>
      </w:r>
      <w:r w:rsidR="008C4E22" w:rsidRPr="001F4540">
        <w:rPr>
          <w:rFonts w:cs="Arial"/>
        </w:rPr>
        <w:t xml:space="preserve"> </w:t>
      </w:r>
      <w:r w:rsidR="008C4E22">
        <w:rPr>
          <w:rFonts w:cs="Arial"/>
        </w:rPr>
        <w:t>calendar year immediately preceding the</w:t>
      </w:r>
      <w:r w:rsidR="008C4E22" w:rsidRPr="00A32CD1">
        <w:rPr>
          <w:rFonts w:cs="Arial"/>
        </w:rPr>
        <w:t xml:space="preserve"> </w:t>
      </w:r>
      <w:r w:rsidR="008C4E22" w:rsidRPr="00A32CD1">
        <w:rPr>
          <w:rFonts w:cs="Arial"/>
          <w:i/>
          <w:iCs w:val="0"/>
        </w:rPr>
        <w:t>reporting period</w:t>
      </w:r>
      <w:r w:rsidR="008C4E22" w:rsidRPr="00A32CD1">
        <w:rPr>
          <w:rFonts w:cs="Arial"/>
        </w:rPr>
        <w:t>.</w:t>
      </w:r>
    </w:p>
    <w:p w14:paraId="0BD79D12" w14:textId="479B092A" w:rsidR="00C21E1E" w:rsidRDefault="00C21E1E" w:rsidP="00C21E1E">
      <w:pPr>
        <w:pStyle w:val="Heading3"/>
        <w:spacing w:after="120"/>
        <w:ind w:left="578" w:hanging="578"/>
        <w:rPr>
          <w:lang w:eastAsia="ja-JP"/>
        </w:rPr>
      </w:pPr>
      <w:bookmarkStart w:id="54" w:name="_Toc162703553"/>
      <w:r>
        <w:rPr>
          <w:lang w:eastAsia="ja-JP"/>
        </w:rPr>
        <w:t>Service component performance</w:t>
      </w:r>
      <w:bookmarkEnd w:id="54"/>
      <w:r w:rsidR="0004655B">
        <w:rPr>
          <w:lang w:eastAsia="ja-JP"/>
        </w:rPr>
        <w:t xml:space="preserve"> </w:t>
      </w:r>
      <w:r w:rsidR="0004655B">
        <w:rPr>
          <w:color w:val="0000CC"/>
          <w:lang w:eastAsia="ja-JP"/>
        </w:rPr>
        <w:t>(3.6)</w:t>
      </w:r>
    </w:p>
    <w:p w14:paraId="69B17EF9" w14:textId="51F3890B" w:rsidR="00C21E1E" w:rsidRPr="003E6476" w:rsidRDefault="00C21E1E" w:rsidP="00C21E1E">
      <w:pPr>
        <w:spacing w:after="120"/>
        <w:rPr>
          <w:rFonts w:eastAsiaTheme="majorEastAsia" w:cstheme="majorBidi"/>
          <w:b/>
          <w:bCs/>
          <w:iCs/>
          <w:color w:val="0000CC"/>
          <w:lang w:eastAsia="ja-JP"/>
        </w:rPr>
      </w:pPr>
      <w:r w:rsidRPr="00A32CD1">
        <w:rPr>
          <w:rFonts w:eastAsiaTheme="majorEastAsia" w:cstheme="majorBidi"/>
          <w:b/>
          <w:bCs/>
          <w:iCs/>
          <w:color w:val="303F51"/>
          <w:lang w:eastAsia="ja-JP"/>
        </w:rPr>
        <w:t>Service component</w:t>
      </w:r>
      <w:r>
        <w:rPr>
          <w:rFonts w:eastAsiaTheme="majorEastAsia" w:cstheme="majorBidi"/>
          <w:b/>
          <w:bCs/>
          <w:iCs/>
          <w:color w:val="303F51"/>
          <w:lang w:eastAsia="ja-JP"/>
        </w:rPr>
        <w:t xml:space="preserve"> performance</w:t>
      </w:r>
      <w:r w:rsidR="003E6476">
        <w:rPr>
          <w:rFonts w:eastAsiaTheme="majorEastAsia" w:cstheme="majorBidi"/>
          <w:b/>
          <w:bCs/>
          <w:iCs/>
          <w:color w:val="303F51"/>
          <w:lang w:eastAsia="ja-JP"/>
        </w:rPr>
        <w:t xml:space="preserve"> (</w:t>
      </w:r>
      <w:r w:rsidR="003E6476">
        <w:rPr>
          <w:rFonts w:eastAsiaTheme="majorEastAsia" w:cstheme="majorBidi"/>
          <w:b/>
          <w:bCs/>
          <w:iCs/>
          <w:color w:val="0000CC"/>
          <w:lang w:eastAsia="ja-JP"/>
        </w:rPr>
        <w:t>table 3.6</w:t>
      </w:r>
      <w:r w:rsidR="0004655B">
        <w:rPr>
          <w:rFonts w:eastAsiaTheme="majorEastAsia" w:cstheme="majorBidi"/>
          <w:b/>
          <w:bCs/>
          <w:iCs/>
          <w:color w:val="0000CC"/>
          <w:lang w:eastAsia="ja-JP"/>
        </w:rPr>
        <w:t>.1</w:t>
      </w:r>
      <w:r w:rsidR="003E6476">
        <w:rPr>
          <w:rFonts w:eastAsiaTheme="majorEastAsia" w:cstheme="majorBidi"/>
          <w:b/>
          <w:bCs/>
          <w:iCs/>
          <w:color w:val="0000CC"/>
          <w:lang w:eastAsia="ja-JP"/>
        </w:rPr>
        <w:t>)</w:t>
      </w:r>
    </w:p>
    <w:p w14:paraId="59610294" w14:textId="77777777" w:rsidR="00C21E1E" w:rsidRDefault="00C21E1E" w:rsidP="00C21E1E">
      <w:pPr>
        <w:pStyle w:val="Noparagraph"/>
        <w:ind w:left="567" w:hanging="567"/>
        <w:rPr>
          <w:rFonts w:cs="Arial"/>
        </w:rPr>
      </w:pPr>
      <w:r>
        <w:rPr>
          <w:rFonts w:cs="Arial"/>
        </w:rPr>
        <w:t xml:space="preserve">The </w:t>
      </w:r>
      <w:r w:rsidRPr="004E759D">
        <w:rPr>
          <w:rFonts w:cs="Arial"/>
          <w:i/>
          <w:iCs w:val="0"/>
        </w:rPr>
        <w:t>TNSP</w:t>
      </w:r>
      <w:r>
        <w:rPr>
          <w:rFonts w:cs="Arial"/>
        </w:rPr>
        <w:t xml:space="preserve"> must report s</w:t>
      </w:r>
      <w:r w:rsidRPr="00D12C9F">
        <w:rPr>
          <w:rFonts w:cs="Arial"/>
        </w:rPr>
        <w:t xml:space="preserve">ervice performance outcomes </w:t>
      </w:r>
      <w:r>
        <w:rPr>
          <w:rFonts w:cs="Arial"/>
        </w:rPr>
        <w:t xml:space="preserve">for all parameters that apply to the </w:t>
      </w:r>
      <w:r w:rsidRPr="00375AB1">
        <w:rPr>
          <w:rFonts w:cs="Arial"/>
          <w:i/>
          <w:iCs w:val="0"/>
        </w:rPr>
        <w:t>TNSP</w:t>
      </w:r>
      <w:r>
        <w:rPr>
          <w:rFonts w:cs="Arial"/>
        </w:rPr>
        <w:t xml:space="preserve"> in the calendar year immediately preceding the </w:t>
      </w:r>
      <w:r w:rsidRPr="00B6588A">
        <w:rPr>
          <w:rFonts w:cs="Arial"/>
          <w:i/>
          <w:iCs w:val="0"/>
        </w:rPr>
        <w:t>reporting period</w:t>
      </w:r>
      <w:r>
        <w:rPr>
          <w:rFonts w:cs="Arial"/>
        </w:rPr>
        <w:t xml:space="preserve">, as specified in a revenue determination made by the </w:t>
      </w:r>
      <w:r w:rsidRPr="00375AB1">
        <w:rPr>
          <w:rFonts w:cs="Arial"/>
          <w:i/>
          <w:iCs w:val="0"/>
        </w:rPr>
        <w:t>AER</w:t>
      </w:r>
      <w:r>
        <w:rPr>
          <w:rFonts w:cs="Arial"/>
        </w:rPr>
        <w:t xml:space="preserve">. </w:t>
      </w:r>
    </w:p>
    <w:p w14:paraId="79ACC5B9" w14:textId="77777777" w:rsidR="00C21E1E" w:rsidRPr="00A32CD1" w:rsidRDefault="00C21E1E" w:rsidP="00C21E1E">
      <w:pPr>
        <w:pStyle w:val="Noparagraph"/>
        <w:ind w:left="567" w:hanging="567"/>
        <w:rPr>
          <w:rFonts w:cs="Arial"/>
        </w:rPr>
      </w:pPr>
      <w:r>
        <w:rPr>
          <w:rFonts w:cs="Arial"/>
        </w:rPr>
        <w:t xml:space="preserve">This data requirement adopts </w:t>
      </w:r>
      <w:r w:rsidRPr="00A32CD1">
        <w:rPr>
          <w:rFonts w:cs="Arial"/>
        </w:rPr>
        <w:t xml:space="preserve">the definitions specified in the service target performance incentive scheme (STPIS) that applies </w:t>
      </w:r>
      <w:r>
        <w:rPr>
          <w:rFonts w:cs="Arial"/>
        </w:rPr>
        <w:t xml:space="preserve">to the </w:t>
      </w:r>
      <w:r w:rsidRPr="008041FA">
        <w:rPr>
          <w:rFonts w:cs="Arial"/>
          <w:i/>
        </w:rPr>
        <w:t>TNSP</w:t>
      </w:r>
      <w:r>
        <w:rPr>
          <w:rFonts w:cs="Arial"/>
        </w:rPr>
        <w:t xml:space="preserve"> </w:t>
      </w:r>
      <w:r w:rsidRPr="00A32CD1">
        <w:rPr>
          <w:rFonts w:cs="Arial"/>
        </w:rPr>
        <w:t>in the</w:t>
      </w:r>
      <w:r w:rsidRPr="001F4540">
        <w:rPr>
          <w:rFonts w:cs="Arial"/>
        </w:rPr>
        <w:t xml:space="preserve"> </w:t>
      </w:r>
      <w:r>
        <w:rPr>
          <w:rFonts w:cs="Arial"/>
        </w:rPr>
        <w:t>calendar year immediately preceding the</w:t>
      </w:r>
      <w:r w:rsidRPr="00A32CD1">
        <w:rPr>
          <w:rFonts w:cs="Arial"/>
        </w:rPr>
        <w:t xml:space="preserve"> </w:t>
      </w:r>
      <w:r w:rsidRPr="00A32CD1">
        <w:rPr>
          <w:rFonts w:cs="Arial"/>
          <w:i/>
          <w:iCs w:val="0"/>
        </w:rPr>
        <w:t>reporting period</w:t>
      </w:r>
      <w:r w:rsidRPr="00A32CD1">
        <w:rPr>
          <w:rFonts w:cs="Arial"/>
        </w:rPr>
        <w:t>.</w:t>
      </w:r>
    </w:p>
    <w:p w14:paraId="5527B5AA" w14:textId="649271B5" w:rsidR="00C21E1E" w:rsidRPr="00C21E1E" w:rsidRDefault="00C21E1E" w:rsidP="00C21E1E">
      <w:pPr>
        <w:pStyle w:val="Noparagraph"/>
        <w:ind w:left="567" w:hanging="567"/>
        <w:rPr>
          <w:rFonts w:eastAsia="Arial" w:cs="Arial"/>
        </w:rPr>
      </w:pPr>
      <w:r>
        <w:rPr>
          <w:rFonts w:cs="Arial"/>
        </w:rPr>
        <w:t xml:space="preserve">The </w:t>
      </w:r>
      <w:r w:rsidRPr="00375AB1">
        <w:rPr>
          <w:rFonts w:cs="Arial"/>
          <w:i/>
          <w:iCs w:val="0"/>
        </w:rPr>
        <w:t>TNSP</w:t>
      </w:r>
      <w:r>
        <w:rPr>
          <w:rFonts w:cs="Arial"/>
          <w:i/>
          <w:noProof/>
        </w:rPr>
        <w:t xml:space="preserve"> </w:t>
      </w:r>
      <w:r w:rsidRPr="00995FA4">
        <w:rPr>
          <w:rFonts w:cs="Arial"/>
        </w:rPr>
        <w:t xml:space="preserve">must </w:t>
      </w:r>
      <w:r>
        <w:rPr>
          <w:rFonts w:cs="Arial"/>
        </w:rPr>
        <w:t>report</w:t>
      </w:r>
      <w:r w:rsidRPr="00995FA4">
        <w:rPr>
          <w:rFonts w:cs="Arial"/>
        </w:rPr>
        <w:t xml:space="preserve"> unrounded data.</w:t>
      </w:r>
    </w:p>
    <w:p w14:paraId="75F307B5" w14:textId="71B2C30A" w:rsidR="00E72374" w:rsidRDefault="00E72374" w:rsidP="00E72374">
      <w:pPr>
        <w:pStyle w:val="Heading3"/>
        <w:spacing w:after="240"/>
        <w:ind w:left="578" w:hanging="578"/>
        <w:rPr>
          <w:lang w:eastAsia="ja-JP"/>
        </w:rPr>
      </w:pPr>
      <w:bookmarkStart w:id="55" w:name="_Toc162703554"/>
      <w:r w:rsidRPr="00E72374">
        <w:rPr>
          <w:lang w:eastAsia="ja-JP"/>
        </w:rPr>
        <w:t>System losses</w:t>
      </w:r>
      <w:bookmarkEnd w:id="55"/>
      <w:r w:rsidR="0004655B">
        <w:rPr>
          <w:lang w:eastAsia="ja-JP"/>
        </w:rPr>
        <w:t xml:space="preserve"> </w:t>
      </w:r>
      <w:r w:rsidR="0004655B">
        <w:rPr>
          <w:color w:val="0000CC"/>
          <w:lang w:eastAsia="ja-JP"/>
        </w:rPr>
        <w:t>(3.6)</w:t>
      </w:r>
    </w:p>
    <w:p w14:paraId="0A0218FA" w14:textId="0DE8D5F6" w:rsidR="003E6476" w:rsidRPr="003E6476" w:rsidRDefault="003E6476" w:rsidP="003E6476">
      <w:pPr>
        <w:rPr>
          <w:color w:val="0000CC"/>
          <w:lang w:eastAsia="ja-JP"/>
        </w:rPr>
      </w:pPr>
      <w:r>
        <w:rPr>
          <w:color w:val="0000CC"/>
          <w:lang w:eastAsia="ja-JP"/>
        </w:rPr>
        <w:t>(table 3.6</w:t>
      </w:r>
      <w:r w:rsidR="0004655B">
        <w:rPr>
          <w:color w:val="0000CC"/>
          <w:lang w:eastAsia="ja-JP"/>
        </w:rPr>
        <w:t>.3</w:t>
      </w:r>
      <w:r>
        <w:rPr>
          <w:color w:val="0000CC"/>
          <w:lang w:eastAsia="ja-JP"/>
        </w:rPr>
        <w:t>)</w:t>
      </w:r>
    </w:p>
    <w:p w14:paraId="077BAB42" w14:textId="77777777" w:rsidR="00E72374" w:rsidRPr="00A32CD1" w:rsidRDefault="00E72374" w:rsidP="00E72374">
      <w:pPr>
        <w:pStyle w:val="Noparagraph"/>
        <w:ind w:left="567" w:hanging="567"/>
        <w:rPr>
          <w:rFonts w:cs="Arial"/>
        </w:rPr>
      </w:pPr>
      <w:r>
        <w:rPr>
          <w:rFonts w:cs="Arial"/>
        </w:rPr>
        <w:t xml:space="preserve">The </w:t>
      </w:r>
      <w:r w:rsidRPr="008041FA">
        <w:rPr>
          <w:rFonts w:cs="Arial"/>
          <w:i/>
        </w:rPr>
        <w:t>TNSP</w:t>
      </w:r>
      <w:r>
        <w:rPr>
          <w:rFonts w:cs="Arial"/>
        </w:rPr>
        <w:t xml:space="preserve"> must report s</w:t>
      </w:r>
      <w:r w:rsidRPr="00A32CD1">
        <w:rPr>
          <w:rFonts w:cs="Arial"/>
        </w:rPr>
        <w:t>ystem losses calculated as:</w:t>
      </w:r>
    </w:p>
    <w:p w14:paraId="2E65CA3C" w14:textId="77777777" w:rsidR="00E72374" w:rsidRPr="00A32CD1" w:rsidRDefault="00E72374" w:rsidP="00E72374">
      <w:pPr>
        <w:pStyle w:val="Noparagraph"/>
        <w:numPr>
          <w:ilvl w:val="0"/>
          <w:numId w:val="0"/>
        </w:numPr>
        <w:ind w:left="567"/>
        <w:rPr>
          <w:rFonts w:cs="Arial"/>
        </w:rPr>
      </w:pPr>
      <w:r w:rsidRPr="00A32CD1">
        <w:rPr>
          <w:rFonts w:cs="Arial"/>
        </w:rPr>
        <w:t xml:space="preserve">((Electricity inflows-electricity </w:t>
      </w:r>
      <w:proofErr w:type="gramStart"/>
      <w:r w:rsidRPr="00A32CD1">
        <w:rPr>
          <w:rFonts w:cs="Arial"/>
        </w:rPr>
        <w:t>outflows)×</w:t>
      </w:r>
      <w:proofErr w:type="gramEnd"/>
      <w:r w:rsidRPr="00A32CD1">
        <w:rPr>
          <w:rFonts w:cs="Arial"/>
        </w:rPr>
        <w:t>100)/(electricity inflows)</w:t>
      </w:r>
    </w:p>
    <w:p w14:paraId="120C2FAC" w14:textId="77777777" w:rsidR="00E72374" w:rsidRPr="00A32CD1" w:rsidRDefault="00E72374" w:rsidP="00E72374">
      <w:pPr>
        <w:pStyle w:val="Noparagraph"/>
        <w:numPr>
          <w:ilvl w:val="0"/>
          <w:numId w:val="0"/>
        </w:numPr>
        <w:ind w:left="567"/>
        <w:rPr>
          <w:rFonts w:cs="Arial"/>
        </w:rPr>
      </w:pPr>
      <w:r w:rsidRPr="00A32CD1">
        <w:rPr>
          <w:rFonts w:cs="Arial"/>
        </w:rPr>
        <w:t>where:</w:t>
      </w:r>
    </w:p>
    <w:p w14:paraId="788DA515" w14:textId="77777777" w:rsidR="00E72374" w:rsidRPr="00A32CD1" w:rsidRDefault="00E72374" w:rsidP="00E72374">
      <w:pPr>
        <w:pStyle w:val="Noparagraph"/>
        <w:numPr>
          <w:ilvl w:val="0"/>
          <w:numId w:val="0"/>
        </w:numPr>
        <w:ind w:left="567"/>
        <w:rPr>
          <w:rFonts w:cs="Arial"/>
        </w:rPr>
      </w:pPr>
      <w:r w:rsidRPr="00A32CD1">
        <w:rPr>
          <w:rFonts w:cs="Arial"/>
          <w:b/>
          <w:bCs/>
        </w:rPr>
        <w:t>Electricity inflows</w:t>
      </w:r>
      <w:r w:rsidRPr="00A32CD1">
        <w:rPr>
          <w:rFonts w:cs="Arial"/>
        </w:rPr>
        <w:t xml:space="preserve"> is the total electricity inflow into </w:t>
      </w:r>
      <w:r w:rsidRPr="00375AB1">
        <w:rPr>
          <w:rFonts w:cs="Arial"/>
          <w:i/>
        </w:rPr>
        <w:t>TNSP’s</w:t>
      </w:r>
      <w:r w:rsidRPr="00A32CD1">
        <w:rPr>
          <w:rFonts w:cs="Arial"/>
        </w:rPr>
        <w:t xml:space="preserve"> transmission network including from generation, other connected </w:t>
      </w:r>
      <w:r w:rsidRPr="00375AB1">
        <w:rPr>
          <w:rFonts w:cs="Arial"/>
          <w:i/>
        </w:rPr>
        <w:t>TNSP</w:t>
      </w:r>
      <w:r w:rsidRPr="00A32CD1">
        <w:rPr>
          <w:rFonts w:cs="Arial"/>
        </w:rPr>
        <w:t>s at the connection point, and connected DNSPs as measured by revenue meters.</w:t>
      </w:r>
    </w:p>
    <w:p w14:paraId="6D032165" w14:textId="77777777" w:rsidR="00E72374" w:rsidRPr="00A32CD1" w:rsidRDefault="00E72374" w:rsidP="00E72374">
      <w:pPr>
        <w:pStyle w:val="Noparagraph"/>
        <w:numPr>
          <w:ilvl w:val="0"/>
          <w:numId w:val="0"/>
        </w:numPr>
        <w:ind w:left="567"/>
        <w:rPr>
          <w:rFonts w:cs="Arial"/>
        </w:rPr>
      </w:pPr>
      <w:r w:rsidRPr="00A32CD1">
        <w:rPr>
          <w:rFonts w:cs="Arial"/>
          <w:b/>
          <w:bCs/>
        </w:rPr>
        <w:t>Electricity outflows</w:t>
      </w:r>
      <w:r w:rsidRPr="00A32CD1">
        <w:rPr>
          <w:rFonts w:cs="Arial"/>
        </w:rPr>
        <w:t xml:space="preserve"> is the total electricity outflow into the networks of connected distribution network service providers, other transmission networks and directly connected end-users as measured by revenue meters.</w:t>
      </w:r>
    </w:p>
    <w:p w14:paraId="6E8196CE" w14:textId="22027E34" w:rsidR="00E72374" w:rsidRDefault="00E72374" w:rsidP="00E72374">
      <w:pPr>
        <w:pStyle w:val="Heading3"/>
        <w:spacing w:after="240"/>
        <w:ind w:left="578" w:hanging="578"/>
        <w:rPr>
          <w:lang w:eastAsia="ja-JP"/>
        </w:rPr>
      </w:pPr>
      <w:bookmarkStart w:id="56" w:name="_Toc162703555"/>
      <w:r>
        <w:rPr>
          <w:lang w:eastAsia="ja-JP"/>
        </w:rPr>
        <w:lastRenderedPageBreak/>
        <w:t xml:space="preserve">Energy </w:t>
      </w:r>
      <w:r w:rsidR="00F60F26">
        <w:rPr>
          <w:lang w:eastAsia="ja-JP"/>
        </w:rPr>
        <w:t>not supplied</w:t>
      </w:r>
      <w:bookmarkEnd w:id="56"/>
      <w:r w:rsidR="0004655B">
        <w:rPr>
          <w:lang w:eastAsia="ja-JP"/>
        </w:rPr>
        <w:t xml:space="preserve"> </w:t>
      </w:r>
      <w:r w:rsidR="0004655B">
        <w:rPr>
          <w:color w:val="0000CC"/>
          <w:lang w:eastAsia="ja-JP"/>
        </w:rPr>
        <w:t>(3.6)</w:t>
      </w:r>
    </w:p>
    <w:p w14:paraId="5F70C7A5" w14:textId="6F6EBC5F" w:rsidR="0004655B" w:rsidRPr="0004655B" w:rsidRDefault="0004655B" w:rsidP="0004655B">
      <w:pPr>
        <w:keepNext/>
        <w:rPr>
          <w:color w:val="0000CC"/>
          <w:lang w:eastAsia="ja-JP"/>
        </w:rPr>
      </w:pPr>
      <w:r>
        <w:rPr>
          <w:color w:val="0000CC"/>
          <w:lang w:eastAsia="ja-JP"/>
        </w:rPr>
        <w:t>(table 3.6.4)</w:t>
      </w:r>
    </w:p>
    <w:p w14:paraId="7C83608E" w14:textId="26925884" w:rsidR="00E72374" w:rsidRDefault="00E72374" w:rsidP="00F60F26">
      <w:pPr>
        <w:pStyle w:val="Noparagraph"/>
      </w:pPr>
      <w:r>
        <w:t xml:space="preserve">The </w:t>
      </w:r>
      <w:r w:rsidRPr="00375AB1">
        <w:rPr>
          <w:i/>
        </w:rPr>
        <w:t>TNSP</w:t>
      </w:r>
      <w:r>
        <w:t xml:space="preserve"> must report ‘energy not supplied’ where it matches</w:t>
      </w:r>
      <w:r w:rsidRPr="002468A9">
        <w:t xml:space="preserve"> the MWh of unsupplied energy used to calculate Service Parameter 2 – Loss of supply event frequency under the transmission STPIS</w:t>
      </w:r>
      <w:r>
        <w:t xml:space="preserve"> for </w:t>
      </w:r>
      <w:r w:rsidR="00D06D58">
        <w:t xml:space="preserve">the </w:t>
      </w:r>
      <w:r w:rsidR="00F60F26">
        <w:t>reporting period</w:t>
      </w:r>
      <w:r w:rsidRPr="002468A9">
        <w:t>. To avoid doubt, we request the unsupplied energy for all applicable outages after exclusions, not just those that exceed the x or y thresholds</w:t>
      </w:r>
      <w:r>
        <w:t>.</w:t>
      </w:r>
      <w:r w:rsidR="00F60F26" w:rsidRPr="00F60F26">
        <w:t xml:space="preserve"> If there are certain exceptions such as the momentary faults (supply restored within 3 minutes) where the data is not collected, then energy not supplied should be reported without these exceptions and this should be noted in the basis of preparation.</w:t>
      </w:r>
    </w:p>
    <w:p w14:paraId="046A22A5" w14:textId="16D845A4" w:rsidR="00836FDE" w:rsidRPr="00FB443F" w:rsidRDefault="00836FDE" w:rsidP="00836FDE">
      <w:pPr>
        <w:pStyle w:val="Heading2"/>
      </w:pPr>
      <w:bookmarkStart w:id="57" w:name="_Toc121724718"/>
      <w:bookmarkStart w:id="58" w:name="_Toc162703557"/>
      <w:r w:rsidRPr="00FB443F">
        <w:lastRenderedPageBreak/>
        <w:t>Workbook</w:t>
      </w:r>
      <w:r w:rsidR="00B31DB7">
        <w:t xml:space="preserve"> 06</w:t>
      </w:r>
      <w:r w:rsidRPr="00FB443F">
        <w:t xml:space="preserve"> – Operating expenditure</w:t>
      </w:r>
      <w:bookmarkEnd w:id="57"/>
      <w:bookmarkEnd w:id="58"/>
    </w:p>
    <w:p w14:paraId="76BFBEDF" w14:textId="682FC782" w:rsidR="00836FDE" w:rsidRDefault="006B5F1E" w:rsidP="00836FDE">
      <w:pPr>
        <w:pStyle w:val="Heading3"/>
        <w:spacing w:after="240"/>
        <w:ind w:left="578" w:hanging="578"/>
        <w:rPr>
          <w:lang w:eastAsia="ja-JP"/>
        </w:rPr>
      </w:pPr>
      <w:bookmarkStart w:id="59" w:name="_Toc121724719"/>
      <w:bookmarkStart w:id="60" w:name="_Toc162703558"/>
      <w:r>
        <w:rPr>
          <w:lang w:eastAsia="ja-JP"/>
        </w:rPr>
        <w:t xml:space="preserve">Audited </w:t>
      </w:r>
      <w:r w:rsidR="006F4AAD">
        <w:rPr>
          <w:lang w:eastAsia="ja-JP"/>
        </w:rPr>
        <w:t>s</w:t>
      </w:r>
      <w:r>
        <w:rPr>
          <w:lang w:eastAsia="ja-JP"/>
        </w:rPr>
        <w:t>tatutory accounts</w:t>
      </w:r>
      <w:bookmarkEnd w:id="59"/>
      <w:bookmarkEnd w:id="60"/>
      <w:r w:rsidR="001C2420">
        <w:rPr>
          <w:lang w:eastAsia="ja-JP"/>
        </w:rPr>
        <w:t xml:space="preserve"> </w:t>
      </w:r>
      <w:bookmarkStart w:id="61" w:name="_Hlk199427150"/>
      <w:r w:rsidR="001C2420">
        <w:rPr>
          <w:color w:val="0000CC"/>
          <w:lang w:eastAsia="ja-JP"/>
        </w:rPr>
        <w:t>(8.5, 2.10)</w:t>
      </w:r>
      <w:bookmarkEnd w:id="61"/>
    </w:p>
    <w:p w14:paraId="350A7449" w14:textId="2F44A962" w:rsidR="00836FDE" w:rsidRPr="008C4C2F" w:rsidRDefault="004E6DB4" w:rsidP="00836FDE">
      <w:pPr>
        <w:spacing w:before="120" w:after="120"/>
        <w:rPr>
          <w:rFonts w:eastAsiaTheme="majorEastAsia" w:cstheme="majorBidi"/>
          <w:b/>
          <w:bCs/>
          <w:iCs/>
          <w:color w:val="0000CC"/>
          <w:lang w:eastAsia="ja-JP"/>
        </w:rPr>
      </w:pPr>
      <w:bookmarkStart w:id="62" w:name="_Toc121724720"/>
      <w:r>
        <w:rPr>
          <w:rFonts w:eastAsiaTheme="majorEastAsia" w:cstheme="majorBidi"/>
          <w:b/>
          <w:bCs/>
          <w:iCs/>
          <w:color w:val="303F51"/>
          <w:lang w:eastAsia="ja-JP"/>
        </w:rPr>
        <w:t>Income statement</w:t>
      </w:r>
      <w:r w:rsidR="006F4AAD">
        <w:rPr>
          <w:rFonts w:eastAsiaTheme="majorEastAsia" w:cstheme="majorBidi"/>
          <w:b/>
          <w:bCs/>
          <w:iCs/>
          <w:color w:val="303F51"/>
          <w:lang w:eastAsia="ja-JP"/>
        </w:rPr>
        <w:t xml:space="preserve"> – </w:t>
      </w:r>
      <w:r>
        <w:rPr>
          <w:rFonts w:eastAsiaTheme="majorEastAsia" w:cstheme="majorBidi"/>
          <w:b/>
          <w:bCs/>
          <w:iCs/>
          <w:color w:val="303F51"/>
          <w:lang w:eastAsia="ja-JP"/>
        </w:rPr>
        <w:t>expenditure</w:t>
      </w:r>
      <w:r w:rsidR="008C4C2F">
        <w:rPr>
          <w:rFonts w:eastAsiaTheme="majorEastAsia" w:cstheme="majorBidi"/>
          <w:b/>
          <w:bCs/>
          <w:iCs/>
          <w:color w:val="303F51"/>
          <w:lang w:eastAsia="ja-JP"/>
        </w:rPr>
        <w:t xml:space="preserve"> (</w:t>
      </w:r>
      <w:r w:rsidR="008C4C2F">
        <w:rPr>
          <w:rFonts w:eastAsiaTheme="majorEastAsia" w:cstheme="majorBidi"/>
          <w:b/>
          <w:bCs/>
          <w:iCs/>
          <w:color w:val="0000CC"/>
          <w:lang w:eastAsia="ja-JP"/>
        </w:rPr>
        <w:t>table 8.5.1)</w:t>
      </w:r>
    </w:p>
    <w:p w14:paraId="6D1BF759" w14:textId="576B10F3" w:rsidR="00836FDE" w:rsidRPr="004E6DB4" w:rsidRDefault="00836FDE" w:rsidP="00836FDE">
      <w:pPr>
        <w:pStyle w:val="Noparagraph"/>
        <w:spacing w:after="120"/>
        <w:ind w:left="567" w:hanging="567"/>
        <w:rPr>
          <w:rFonts w:eastAsia="Arial" w:cs="Arial"/>
          <w:b/>
        </w:rPr>
      </w:pPr>
      <w:r w:rsidRPr="006B4E92">
        <w:rPr>
          <w:rFonts w:cs="Arial"/>
          <w:noProof/>
        </w:rPr>
        <w:t>The</w:t>
      </w:r>
      <w:r>
        <w:rPr>
          <w:rFonts w:cs="Arial"/>
          <w:i/>
          <w:noProof/>
        </w:rPr>
        <w:t xml:space="preserve"> </w:t>
      </w:r>
      <w:r w:rsidR="00375AB1" w:rsidRPr="00375AB1">
        <w:rPr>
          <w:rFonts w:cs="Arial"/>
          <w:i/>
          <w:noProof/>
        </w:rPr>
        <w:t>TNSP</w:t>
      </w:r>
      <w:r w:rsidRPr="00995FA4">
        <w:rPr>
          <w:rFonts w:cs="Arial"/>
          <w:i/>
        </w:rPr>
        <w:t xml:space="preserve"> </w:t>
      </w:r>
      <w:r w:rsidRPr="00995FA4">
        <w:rPr>
          <w:rFonts w:cs="Arial"/>
        </w:rPr>
        <w:t xml:space="preserve">must </w:t>
      </w:r>
      <w:r w:rsidR="009C2CE0">
        <w:rPr>
          <w:rFonts w:cs="Arial"/>
        </w:rPr>
        <w:t>identify</w:t>
      </w:r>
      <w:r w:rsidR="009C2CE0" w:rsidRPr="00995FA4">
        <w:rPr>
          <w:rFonts w:cs="Arial"/>
        </w:rPr>
        <w:t xml:space="preserve"> </w:t>
      </w:r>
      <w:r w:rsidRPr="00995FA4">
        <w:rPr>
          <w:rFonts w:cs="Arial"/>
        </w:rPr>
        <w:t xml:space="preserve">any expenditure category where the expense is more than five per cent of the total </w:t>
      </w:r>
      <w:r w:rsidRPr="00995FA4">
        <w:rPr>
          <w:rFonts w:cs="Arial"/>
          <w:i/>
        </w:rPr>
        <w:t>operating expenditure</w:t>
      </w:r>
      <w:r w:rsidR="00FD6034" w:rsidRPr="00FD6034">
        <w:rPr>
          <w:rFonts w:cs="Arial"/>
        </w:rPr>
        <w:t xml:space="preserve"> </w:t>
      </w:r>
      <w:r w:rsidR="00FD6034">
        <w:rPr>
          <w:rFonts w:cs="Arial"/>
        </w:rPr>
        <w:t>for regulated prescribed transmission services.</w:t>
      </w:r>
      <w:r w:rsidRPr="004009C0">
        <w:rPr>
          <w:rFonts w:cs="Arial"/>
          <w:noProof/>
        </w:rPr>
        <w:t xml:space="preserve"> </w:t>
      </w:r>
      <w:r w:rsidRPr="006B4E92">
        <w:rPr>
          <w:rFonts w:cs="Arial"/>
          <w:noProof/>
        </w:rPr>
        <w:t>The</w:t>
      </w:r>
      <w:r>
        <w:rPr>
          <w:rFonts w:cs="Arial"/>
          <w:i/>
          <w:noProof/>
        </w:rPr>
        <w:t xml:space="preserve"> </w:t>
      </w:r>
      <w:r w:rsidR="00375AB1" w:rsidRPr="00375AB1">
        <w:rPr>
          <w:rFonts w:cs="Arial"/>
          <w:i/>
          <w:noProof/>
        </w:rPr>
        <w:t>TNSP</w:t>
      </w:r>
      <w:r w:rsidRPr="00995FA4">
        <w:rPr>
          <w:rFonts w:cs="Arial"/>
          <w:i/>
        </w:rPr>
        <w:t xml:space="preserve"> </w:t>
      </w:r>
      <w:r w:rsidRPr="00995FA4">
        <w:rPr>
          <w:rFonts w:cs="Arial"/>
        </w:rPr>
        <w:t xml:space="preserve">must </w:t>
      </w:r>
      <w:r w:rsidR="009C2CE0">
        <w:rPr>
          <w:rFonts w:cs="Arial"/>
        </w:rPr>
        <w:t>identify</w:t>
      </w:r>
      <w:r w:rsidR="009C2CE0" w:rsidRPr="00995FA4">
        <w:rPr>
          <w:rFonts w:cs="Arial"/>
        </w:rPr>
        <w:t xml:space="preserve"> </w:t>
      </w:r>
      <w:r w:rsidRPr="00995FA4">
        <w:rPr>
          <w:rFonts w:cs="Arial"/>
        </w:rPr>
        <w:t>debt raising cost as an expenditure category, regardless of the expenditure amount</w:t>
      </w:r>
      <w:r>
        <w:rPr>
          <w:rFonts w:cs="Arial"/>
        </w:rPr>
        <w:t>.</w:t>
      </w:r>
    </w:p>
    <w:p w14:paraId="0C93C509" w14:textId="3ED7F2C5" w:rsidR="004E6DB4" w:rsidRPr="00351C63" w:rsidRDefault="00351C63" w:rsidP="00351C63">
      <w:pPr>
        <w:pStyle w:val="Noparagraph"/>
        <w:spacing w:after="120"/>
        <w:ind w:left="567" w:hanging="567"/>
        <w:rPr>
          <w:rFonts w:cs="Arial"/>
          <w:noProof/>
        </w:rPr>
      </w:pPr>
      <w:r w:rsidRPr="00351C63">
        <w:rPr>
          <w:rFonts w:cs="Arial"/>
          <w:noProof/>
        </w:rPr>
        <w:t xml:space="preserve">The </w:t>
      </w:r>
      <w:r w:rsidR="00B31DB7">
        <w:rPr>
          <w:rFonts w:cs="Arial"/>
          <w:noProof/>
        </w:rPr>
        <w:t xml:space="preserve">reported </w:t>
      </w:r>
      <w:r w:rsidR="004E6DB4" w:rsidRPr="00351C63">
        <w:rPr>
          <w:rFonts w:cs="Arial"/>
          <w:noProof/>
        </w:rPr>
        <w:t xml:space="preserve">sum of the individual </w:t>
      </w:r>
      <w:r>
        <w:rPr>
          <w:rFonts w:cs="Arial"/>
          <w:noProof/>
        </w:rPr>
        <w:t xml:space="preserve">operating expenditure categories must </w:t>
      </w:r>
      <w:r w:rsidR="00260272">
        <w:rPr>
          <w:rFonts w:cs="Arial"/>
          <w:noProof/>
        </w:rPr>
        <w:t>reconcile with</w:t>
      </w:r>
      <w:r w:rsidR="004E6DB4" w:rsidRPr="00351C63">
        <w:rPr>
          <w:rFonts w:cs="Arial"/>
          <w:noProof/>
        </w:rPr>
        <w:t xml:space="preserve"> the total </w:t>
      </w:r>
      <w:r>
        <w:rPr>
          <w:rFonts w:cs="Arial"/>
          <w:noProof/>
        </w:rPr>
        <w:t xml:space="preserve">operating expenditure </w:t>
      </w:r>
      <w:r w:rsidR="004E6DB4" w:rsidRPr="00351C63">
        <w:rPr>
          <w:rFonts w:cs="Arial"/>
          <w:noProof/>
        </w:rPr>
        <w:t xml:space="preserve">included in the </w:t>
      </w:r>
      <w:r>
        <w:rPr>
          <w:rFonts w:cs="Arial"/>
          <w:i/>
          <w:iCs w:val="0"/>
          <w:noProof/>
        </w:rPr>
        <w:t>Audited financial statements</w:t>
      </w:r>
      <w:r>
        <w:rPr>
          <w:rFonts w:cs="Arial"/>
          <w:noProof/>
        </w:rPr>
        <w:t xml:space="preserve"> of the </w:t>
      </w:r>
      <w:r w:rsidR="00375AB1" w:rsidRPr="00375AB1">
        <w:rPr>
          <w:rFonts w:cs="Arial"/>
          <w:i/>
          <w:iCs w:val="0"/>
          <w:noProof/>
        </w:rPr>
        <w:t>TNSP</w:t>
      </w:r>
      <w:r>
        <w:rPr>
          <w:rFonts w:cs="Arial"/>
          <w:noProof/>
        </w:rPr>
        <w:t>.</w:t>
      </w:r>
    </w:p>
    <w:p w14:paraId="3DA10CBD" w14:textId="57AD8346" w:rsidR="00836FDE" w:rsidRPr="008C4C2F" w:rsidRDefault="00836FDE" w:rsidP="00836FDE">
      <w:pPr>
        <w:spacing w:before="120" w:after="120"/>
        <w:rPr>
          <w:rFonts w:eastAsiaTheme="majorEastAsia" w:cstheme="majorBidi"/>
          <w:b/>
          <w:bCs/>
          <w:iCs/>
          <w:color w:val="0000CC"/>
          <w:lang w:eastAsia="ja-JP"/>
        </w:rPr>
      </w:pPr>
      <w:r w:rsidRPr="00B31DB7">
        <w:rPr>
          <w:rFonts w:eastAsiaTheme="majorEastAsia" w:cstheme="majorBidi"/>
          <w:b/>
          <w:bCs/>
          <w:iCs/>
          <w:color w:val="303F51"/>
          <w:lang w:eastAsia="ja-JP"/>
        </w:rPr>
        <w:t>Overheads expenditure</w:t>
      </w:r>
      <w:r w:rsidR="008C4C2F">
        <w:rPr>
          <w:rFonts w:eastAsiaTheme="majorEastAsia" w:cstheme="majorBidi"/>
          <w:b/>
          <w:bCs/>
          <w:iCs/>
          <w:color w:val="303F51"/>
          <w:lang w:eastAsia="ja-JP"/>
        </w:rPr>
        <w:t xml:space="preserve"> </w:t>
      </w:r>
      <w:r w:rsidR="008C4C2F">
        <w:rPr>
          <w:rFonts w:eastAsiaTheme="majorEastAsia" w:cstheme="majorBidi"/>
          <w:b/>
          <w:bCs/>
          <w:iCs/>
          <w:color w:val="0000CC"/>
          <w:lang w:eastAsia="ja-JP"/>
        </w:rPr>
        <w:t>(table 2.10.1, table 2.10.2)</w:t>
      </w:r>
    </w:p>
    <w:p w14:paraId="66729576" w14:textId="684BB7A0" w:rsidR="00836FDE" w:rsidRDefault="00836FDE" w:rsidP="00836FDE">
      <w:pPr>
        <w:pStyle w:val="Noparagraph"/>
        <w:ind w:left="567" w:hanging="567"/>
      </w:pPr>
      <w:bookmarkStart w:id="63" w:name="_Hlk161856865"/>
      <w:r w:rsidRPr="006B4E92">
        <w:rPr>
          <w:rFonts w:cs="Arial"/>
          <w:noProof/>
        </w:rPr>
        <w:t>The</w:t>
      </w:r>
      <w:r>
        <w:rPr>
          <w:rFonts w:cs="Arial"/>
          <w:i/>
          <w:noProof/>
        </w:rPr>
        <w:t xml:space="preserve"> </w:t>
      </w:r>
      <w:r w:rsidR="00375AB1" w:rsidRPr="00375AB1">
        <w:rPr>
          <w:rFonts w:cs="Arial"/>
          <w:i/>
          <w:noProof/>
        </w:rPr>
        <w:t>TNSP</w:t>
      </w:r>
      <w:r w:rsidRPr="00995FA4">
        <w:rPr>
          <w:rFonts w:cs="Arial"/>
        </w:rPr>
        <w:t xml:space="preserve"> must</w:t>
      </w:r>
      <w:r>
        <w:rPr>
          <w:rFonts w:cs="Arial"/>
        </w:rPr>
        <w:t xml:space="preserve"> report overheads expenditure allocated to operating expenditure and disaggregated into service categories</w:t>
      </w:r>
      <w:r>
        <w:t>.</w:t>
      </w:r>
    </w:p>
    <w:p w14:paraId="54DCB1CC" w14:textId="277D679A" w:rsidR="00836FDE" w:rsidRDefault="00F479CE" w:rsidP="00836FDE">
      <w:pPr>
        <w:pStyle w:val="Heading3"/>
        <w:spacing w:before="120" w:after="240"/>
        <w:ind w:left="578" w:hanging="578"/>
        <w:rPr>
          <w:lang w:eastAsia="ja-JP"/>
        </w:rPr>
      </w:pPr>
      <w:bookmarkStart w:id="64" w:name="_Toc121724721"/>
      <w:bookmarkStart w:id="65" w:name="_Toc162703559"/>
      <w:bookmarkEnd w:id="63"/>
      <w:r>
        <w:rPr>
          <w:lang w:eastAsia="ja-JP"/>
        </w:rPr>
        <w:t>Regulatory accounts (PTS)</w:t>
      </w:r>
      <w:bookmarkEnd w:id="64"/>
      <w:bookmarkEnd w:id="65"/>
      <w:r w:rsidR="00615CFF">
        <w:rPr>
          <w:lang w:eastAsia="ja-JP"/>
        </w:rPr>
        <w:t xml:space="preserve"> </w:t>
      </w:r>
      <w:r w:rsidR="00615CFF">
        <w:rPr>
          <w:color w:val="0000CC"/>
          <w:lang w:eastAsia="ja-JP"/>
        </w:rPr>
        <w:t>(8.5, 2.1, 2.7, 2.8, 2.6, 2.10, 2.12)</w:t>
      </w:r>
    </w:p>
    <w:p w14:paraId="1E852915" w14:textId="58292D14" w:rsidR="002857E2" w:rsidRPr="008C4C2F" w:rsidRDefault="002857E2" w:rsidP="002857E2">
      <w:pPr>
        <w:spacing w:before="120" w:after="120"/>
        <w:rPr>
          <w:rFonts w:eastAsiaTheme="majorEastAsia" w:cstheme="majorBidi"/>
          <w:b/>
          <w:bCs/>
          <w:iCs/>
          <w:color w:val="0000CC"/>
          <w:lang w:eastAsia="ja-JP"/>
        </w:rPr>
      </w:pPr>
      <w:r>
        <w:rPr>
          <w:rFonts w:eastAsiaTheme="majorEastAsia" w:cstheme="majorBidi"/>
          <w:b/>
          <w:bCs/>
          <w:iCs/>
          <w:color w:val="303F51"/>
          <w:lang w:eastAsia="ja-JP"/>
        </w:rPr>
        <w:t>Income statement</w:t>
      </w:r>
      <w:r w:rsidR="006F4AAD">
        <w:rPr>
          <w:rFonts w:eastAsiaTheme="majorEastAsia" w:cstheme="majorBidi"/>
          <w:b/>
          <w:bCs/>
          <w:iCs/>
          <w:color w:val="303F51"/>
          <w:lang w:eastAsia="ja-JP"/>
        </w:rPr>
        <w:t xml:space="preserve"> – </w:t>
      </w:r>
      <w:r>
        <w:rPr>
          <w:rFonts w:eastAsiaTheme="majorEastAsia" w:cstheme="majorBidi"/>
          <w:b/>
          <w:bCs/>
          <w:iCs/>
          <w:color w:val="303F51"/>
          <w:lang w:eastAsia="ja-JP"/>
        </w:rPr>
        <w:t>expenditure</w:t>
      </w:r>
      <w:r w:rsidR="008C4C2F">
        <w:rPr>
          <w:rFonts w:eastAsiaTheme="majorEastAsia" w:cstheme="majorBidi"/>
          <w:b/>
          <w:bCs/>
          <w:iCs/>
          <w:color w:val="303F51"/>
          <w:lang w:eastAsia="ja-JP"/>
        </w:rPr>
        <w:t xml:space="preserve"> (</w:t>
      </w:r>
      <w:r w:rsidR="008C4C2F">
        <w:rPr>
          <w:rFonts w:eastAsiaTheme="majorEastAsia" w:cstheme="majorBidi"/>
          <w:b/>
          <w:bCs/>
          <w:iCs/>
          <w:color w:val="0000CC"/>
          <w:lang w:eastAsia="ja-JP"/>
        </w:rPr>
        <w:t>table 8.5.2)</w:t>
      </w:r>
    </w:p>
    <w:p w14:paraId="7585CC43" w14:textId="601BC5EE" w:rsidR="002857E2" w:rsidRPr="00AA4170" w:rsidRDefault="002857E2" w:rsidP="002857E2">
      <w:pPr>
        <w:pStyle w:val="Noparagraph"/>
        <w:spacing w:after="120"/>
        <w:ind w:left="567" w:hanging="567"/>
        <w:rPr>
          <w:rFonts w:eastAsia="Arial" w:cs="Arial"/>
          <w:b/>
        </w:rPr>
      </w:pPr>
      <w:r w:rsidRPr="006B4E92">
        <w:rPr>
          <w:rFonts w:cs="Arial"/>
          <w:noProof/>
        </w:rPr>
        <w:t>The</w:t>
      </w:r>
      <w:r>
        <w:rPr>
          <w:rFonts w:cs="Arial"/>
          <w:i/>
          <w:noProof/>
        </w:rPr>
        <w:t xml:space="preserve"> </w:t>
      </w:r>
      <w:r w:rsidR="00375AB1" w:rsidRPr="00375AB1">
        <w:rPr>
          <w:rFonts w:cs="Arial"/>
          <w:i/>
          <w:noProof/>
        </w:rPr>
        <w:t>TNSP</w:t>
      </w:r>
      <w:r w:rsidRPr="00995FA4">
        <w:rPr>
          <w:rFonts w:cs="Arial"/>
          <w:i/>
        </w:rPr>
        <w:t xml:space="preserve"> </w:t>
      </w:r>
      <w:r w:rsidRPr="00995FA4">
        <w:rPr>
          <w:rFonts w:cs="Arial"/>
        </w:rPr>
        <w:t xml:space="preserve">must </w:t>
      </w:r>
      <w:r w:rsidR="001A13D0">
        <w:rPr>
          <w:rFonts w:cs="Arial"/>
        </w:rPr>
        <w:t xml:space="preserve">report </w:t>
      </w:r>
      <w:r>
        <w:rPr>
          <w:rFonts w:cs="Arial"/>
        </w:rPr>
        <w:t>all</w:t>
      </w:r>
      <w:r w:rsidRPr="00995FA4">
        <w:rPr>
          <w:rFonts w:cs="Arial"/>
        </w:rPr>
        <w:t xml:space="preserve"> </w:t>
      </w:r>
      <w:r>
        <w:rPr>
          <w:rFonts w:cs="Arial"/>
        </w:rPr>
        <w:t xml:space="preserve">operating </w:t>
      </w:r>
      <w:r w:rsidRPr="00995FA4">
        <w:rPr>
          <w:rFonts w:cs="Arial"/>
        </w:rPr>
        <w:t xml:space="preserve">expenditure </w:t>
      </w:r>
      <w:r w:rsidR="008222A4">
        <w:rPr>
          <w:rFonts w:cs="Arial"/>
        </w:rPr>
        <w:t xml:space="preserve">against all operating expenditure </w:t>
      </w:r>
      <w:r w:rsidRPr="00995FA4">
        <w:rPr>
          <w:rFonts w:cs="Arial"/>
        </w:rPr>
        <w:t>categor</w:t>
      </w:r>
      <w:r>
        <w:rPr>
          <w:rFonts w:cs="Arial"/>
        </w:rPr>
        <w:t>ies reported for the Audited Statutory accounts.</w:t>
      </w:r>
    </w:p>
    <w:p w14:paraId="2EACBB30" w14:textId="2C56F840" w:rsidR="00AA4170" w:rsidRPr="004E6DB4" w:rsidRDefault="001A13D0" w:rsidP="002857E2">
      <w:pPr>
        <w:pStyle w:val="Noparagraph"/>
        <w:spacing w:after="120"/>
        <w:ind w:left="567" w:hanging="567"/>
        <w:rPr>
          <w:rFonts w:eastAsia="Arial" w:cs="Arial"/>
          <w:b/>
        </w:rPr>
      </w:pPr>
      <w:r>
        <w:rPr>
          <w:rFonts w:cs="Arial"/>
        </w:rPr>
        <w:t xml:space="preserve">The </w:t>
      </w:r>
      <w:r w:rsidR="008041FA" w:rsidRPr="008041FA">
        <w:rPr>
          <w:rFonts w:cs="Arial"/>
          <w:i/>
        </w:rPr>
        <w:t>TNSP</w:t>
      </w:r>
      <w:r>
        <w:rPr>
          <w:rFonts w:cs="Arial"/>
        </w:rPr>
        <w:t xml:space="preserve"> must explain the r</w:t>
      </w:r>
      <w:r w:rsidR="00AA4170">
        <w:rPr>
          <w:rFonts w:cs="Arial"/>
        </w:rPr>
        <w:t xml:space="preserve">egulatory adjustments in the </w:t>
      </w:r>
      <w:r w:rsidR="00AA4170" w:rsidRPr="00AA4170">
        <w:rPr>
          <w:rFonts w:cs="Arial"/>
          <w:i/>
          <w:iCs w:val="0"/>
        </w:rPr>
        <w:t>basis of preparation</w:t>
      </w:r>
      <w:r w:rsidR="00AA4170">
        <w:rPr>
          <w:rFonts w:cs="Arial"/>
        </w:rPr>
        <w:t xml:space="preserve">, including a reconciliation with the </w:t>
      </w:r>
      <w:r w:rsidR="00AA4170">
        <w:rPr>
          <w:rFonts w:cs="Arial"/>
          <w:i/>
          <w:iCs w:val="0"/>
          <w:noProof/>
        </w:rPr>
        <w:t>Audited financial statements</w:t>
      </w:r>
      <w:r w:rsidR="00AA4170">
        <w:rPr>
          <w:rFonts w:cs="Arial"/>
          <w:noProof/>
        </w:rPr>
        <w:t xml:space="preserve"> of the </w:t>
      </w:r>
      <w:r w:rsidR="00375AB1" w:rsidRPr="00375AB1">
        <w:rPr>
          <w:rFonts w:cs="Arial"/>
          <w:i/>
          <w:iCs w:val="0"/>
          <w:noProof/>
        </w:rPr>
        <w:t>TNSP</w:t>
      </w:r>
      <w:r w:rsidR="00AA4170">
        <w:rPr>
          <w:rFonts w:cs="Arial"/>
          <w:i/>
          <w:iCs w:val="0"/>
          <w:noProof/>
        </w:rPr>
        <w:t>.</w:t>
      </w:r>
    </w:p>
    <w:p w14:paraId="319DC876" w14:textId="6B1982CE" w:rsidR="00836FDE" w:rsidRPr="00577D2F" w:rsidRDefault="00836FDE" w:rsidP="00836FDE">
      <w:pPr>
        <w:spacing w:before="120" w:after="120"/>
        <w:rPr>
          <w:rFonts w:eastAsiaTheme="majorEastAsia" w:cstheme="majorBidi"/>
          <w:b/>
          <w:bCs/>
          <w:iCs/>
          <w:color w:val="0000CC"/>
          <w:lang w:eastAsia="ja-JP"/>
        </w:rPr>
      </w:pPr>
      <w:r>
        <w:rPr>
          <w:rFonts w:eastAsiaTheme="majorEastAsia" w:cstheme="majorBidi"/>
          <w:b/>
          <w:bCs/>
          <w:iCs/>
          <w:color w:val="303F51"/>
          <w:lang w:eastAsia="ja-JP"/>
        </w:rPr>
        <w:t xml:space="preserve">Opex </w:t>
      </w:r>
      <w:r w:rsidR="00AA4170">
        <w:rPr>
          <w:rFonts w:eastAsiaTheme="majorEastAsia" w:cstheme="majorBidi"/>
          <w:b/>
          <w:bCs/>
          <w:iCs/>
          <w:color w:val="303F51"/>
          <w:lang w:eastAsia="ja-JP"/>
        </w:rPr>
        <w:t xml:space="preserve">by </w:t>
      </w:r>
      <w:r w:rsidR="009E2D59">
        <w:rPr>
          <w:rFonts w:eastAsiaTheme="majorEastAsia" w:cstheme="majorBidi"/>
          <w:b/>
          <w:bCs/>
          <w:iCs/>
          <w:color w:val="303F51"/>
          <w:lang w:eastAsia="ja-JP"/>
        </w:rPr>
        <w:t>purpose</w:t>
      </w:r>
      <w:r w:rsidR="00577D2F">
        <w:rPr>
          <w:rFonts w:eastAsiaTheme="majorEastAsia" w:cstheme="majorBidi"/>
          <w:b/>
          <w:bCs/>
          <w:iCs/>
          <w:color w:val="303F51"/>
          <w:lang w:eastAsia="ja-JP"/>
        </w:rPr>
        <w:t xml:space="preserve"> </w:t>
      </w:r>
      <w:r w:rsidR="00577D2F">
        <w:rPr>
          <w:rFonts w:eastAsiaTheme="majorEastAsia" w:cstheme="majorBidi"/>
          <w:b/>
          <w:bCs/>
          <w:iCs/>
          <w:color w:val="0000CC"/>
          <w:lang w:eastAsia="ja-JP"/>
        </w:rPr>
        <w:t>(table 2.1.2)</w:t>
      </w:r>
    </w:p>
    <w:p w14:paraId="3159A3DF" w14:textId="41041868" w:rsidR="005453C1" w:rsidRPr="005453C1" w:rsidRDefault="00836FDE" w:rsidP="00836FDE">
      <w:pPr>
        <w:pStyle w:val="Noparagraph"/>
        <w:spacing w:after="120"/>
        <w:ind w:left="567" w:hanging="567"/>
        <w:rPr>
          <w:rFonts w:eastAsia="Arial" w:cs="Arial"/>
          <w:b/>
        </w:rPr>
      </w:pPr>
      <w:r w:rsidRPr="006B4E92">
        <w:rPr>
          <w:rFonts w:cs="Arial"/>
          <w:noProof/>
        </w:rPr>
        <w:t>The</w:t>
      </w:r>
      <w:r>
        <w:rPr>
          <w:rFonts w:cs="Arial"/>
          <w:i/>
          <w:noProof/>
        </w:rPr>
        <w:t xml:space="preserve"> </w:t>
      </w:r>
      <w:r w:rsidR="00375AB1" w:rsidRPr="00375AB1">
        <w:rPr>
          <w:rFonts w:cs="Arial"/>
          <w:i/>
          <w:noProof/>
        </w:rPr>
        <w:t>TNSP</w:t>
      </w:r>
      <w:r w:rsidRPr="00995FA4">
        <w:rPr>
          <w:rFonts w:cs="Arial"/>
          <w:i/>
        </w:rPr>
        <w:t xml:space="preserve"> </w:t>
      </w:r>
      <w:r w:rsidRPr="00995FA4">
        <w:rPr>
          <w:rFonts w:cs="Arial"/>
        </w:rPr>
        <w:t xml:space="preserve">must </w:t>
      </w:r>
      <w:r w:rsidR="005453C1">
        <w:rPr>
          <w:rFonts w:cs="Arial"/>
        </w:rPr>
        <w:t xml:space="preserve">report </w:t>
      </w:r>
      <w:r w:rsidR="008222A4">
        <w:rPr>
          <w:rFonts w:cs="Arial"/>
        </w:rPr>
        <w:t xml:space="preserve">operating expenditure </w:t>
      </w:r>
      <w:r w:rsidR="005453C1">
        <w:rPr>
          <w:rFonts w:cs="Arial"/>
        </w:rPr>
        <w:t>on a mutually exclusive and collectively exhaustive basis.</w:t>
      </w:r>
    </w:p>
    <w:bookmarkEnd w:id="62"/>
    <w:p w14:paraId="22E1ED67" w14:textId="1FB96517" w:rsidR="00836FDE" w:rsidRPr="00577D2F" w:rsidRDefault="00836FDE" w:rsidP="000D56B4">
      <w:pPr>
        <w:keepNext/>
        <w:spacing w:before="120" w:after="120"/>
        <w:rPr>
          <w:rFonts w:eastAsiaTheme="majorEastAsia" w:cstheme="majorBidi"/>
          <w:b/>
          <w:bCs/>
          <w:iCs/>
          <w:color w:val="0000CC"/>
          <w:lang w:eastAsia="ja-JP"/>
        </w:rPr>
      </w:pPr>
      <w:r>
        <w:rPr>
          <w:rFonts w:eastAsiaTheme="majorEastAsia" w:cstheme="majorBidi"/>
          <w:b/>
          <w:bCs/>
          <w:iCs/>
          <w:color w:val="303F51"/>
          <w:lang w:eastAsia="ja-JP"/>
        </w:rPr>
        <w:t>Vegetation management</w:t>
      </w:r>
      <w:r w:rsidR="0087579F">
        <w:rPr>
          <w:rFonts w:eastAsiaTheme="majorEastAsia" w:cstheme="majorBidi"/>
          <w:b/>
          <w:bCs/>
          <w:iCs/>
          <w:color w:val="303F51"/>
          <w:lang w:eastAsia="ja-JP"/>
        </w:rPr>
        <w:t xml:space="preserve"> expenditure</w:t>
      </w:r>
      <w:r>
        <w:rPr>
          <w:rFonts w:eastAsiaTheme="majorEastAsia" w:cstheme="majorBidi"/>
          <w:b/>
          <w:bCs/>
          <w:iCs/>
          <w:color w:val="303F51"/>
          <w:lang w:eastAsia="ja-JP"/>
        </w:rPr>
        <w:t xml:space="preserve"> </w:t>
      </w:r>
      <w:r w:rsidR="00577D2F">
        <w:rPr>
          <w:rFonts w:eastAsiaTheme="majorEastAsia" w:cstheme="majorBidi"/>
          <w:b/>
          <w:bCs/>
          <w:iCs/>
          <w:color w:val="0000CC"/>
          <w:lang w:eastAsia="ja-JP"/>
        </w:rPr>
        <w:t>(table 2.7</w:t>
      </w:r>
      <w:r w:rsidR="002A635D">
        <w:rPr>
          <w:rFonts w:eastAsiaTheme="majorEastAsia" w:cstheme="majorBidi"/>
          <w:b/>
          <w:bCs/>
          <w:iCs/>
          <w:color w:val="0000CC"/>
          <w:lang w:eastAsia="ja-JP"/>
        </w:rPr>
        <w:t>.2)</w:t>
      </w:r>
    </w:p>
    <w:p w14:paraId="24AFC7C7" w14:textId="602F8F1A" w:rsidR="00836FDE" w:rsidRDefault="001A13D0" w:rsidP="00836FDE">
      <w:pPr>
        <w:pStyle w:val="Noparagraph"/>
        <w:tabs>
          <w:tab w:val="clear" w:pos="567"/>
          <w:tab w:val="left" w:pos="284"/>
        </w:tabs>
        <w:spacing w:after="120"/>
        <w:ind w:left="567" w:hanging="567"/>
      </w:pPr>
      <w:r>
        <w:t xml:space="preserve">The </w:t>
      </w:r>
      <w:r w:rsidRPr="001A13D0">
        <w:rPr>
          <w:i/>
          <w:iCs w:val="0"/>
        </w:rPr>
        <w:t>TNSP</w:t>
      </w:r>
      <w:r>
        <w:t xml:space="preserve"> must report a</w:t>
      </w:r>
      <w:r w:rsidR="00836FDE">
        <w:t xml:space="preserve">nnual vegetation management expenditure </w:t>
      </w:r>
      <w:r w:rsidR="006941CD">
        <w:t>across</w:t>
      </w:r>
      <w:r w:rsidR="00836FDE">
        <w:t xml:space="preserve"> all categories and zones as the </w:t>
      </w:r>
      <w:r w:rsidR="0087579F">
        <w:t xml:space="preserve">direct </w:t>
      </w:r>
      <w:r w:rsidR="00836FDE">
        <w:t xml:space="preserve">vegetation management expenditure for the </w:t>
      </w:r>
      <w:r w:rsidR="00836FDE" w:rsidRPr="001A63C8">
        <w:rPr>
          <w:i/>
          <w:iCs w:val="0"/>
        </w:rPr>
        <w:t>reporting period</w:t>
      </w:r>
      <w:r w:rsidR="00836FDE">
        <w:t>.</w:t>
      </w:r>
    </w:p>
    <w:p w14:paraId="4E839792" w14:textId="474F83E0" w:rsidR="00932CE4" w:rsidRDefault="00932CE4" w:rsidP="00836FDE">
      <w:pPr>
        <w:pStyle w:val="Noparagraph"/>
        <w:tabs>
          <w:tab w:val="clear" w:pos="567"/>
          <w:tab w:val="left" w:pos="284"/>
        </w:tabs>
        <w:spacing w:after="120"/>
        <w:ind w:left="567" w:hanging="567"/>
      </w:pPr>
      <w:r>
        <w:t xml:space="preserve">Each zone must align with the zones reported in </w:t>
      </w:r>
      <w:r w:rsidRPr="00932CE4">
        <w:rPr>
          <w:i/>
          <w:iCs w:val="0"/>
        </w:rPr>
        <w:t>data workbook 03 – network metrics</w:t>
      </w:r>
      <w:r>
        <w:t>.</w:t>
      </w:r>
    </w:p>
    <w:p w14:paraId="068FE826" w14:textId="4648C0DF" w:rsidR="00836FDE" w:rsidRDefault="001A13D0" w:rsidP="00836FDE">
      <w:pPr>
        <w:pStyle w:val="Noparagraph"/>
        <w:tabs>
          <w:tab w:val="clear" w:pos="567"/>
          <w:tab w:val="left" w:pos="142"/>
        </w:tabs>
        <w:spacing w:after="120"/>
        <w:ind w:left="567" w:hanging="567"/>
      </w:pPr>
      <w:r>
        <w:t xml:space="preserve">The </w:t>
      </w:r>
      <w:r w:rsidRPr="001A13D0">
        <w:rPr>
          <w:i/>
          <w:iCs w:val="0"/>
        </w:rPr>
        <w:t>TNSP</w:t>
      </w:r>
      <w:r>
        <w:t xml:space="preserve"> must </w:t>
      </w:r>
      <w:r w:rsidR="007A0191">
        <w:t xml:space="preserve">report </w:t>
      </w:r>
      <w:r>
        <w:t>o</w:t>
      </w:r>
      <w:r w:rsidR="00836FDE">
        <w:t xml:space="preserve">nly expenditure on inspections where the </w:t>
      </w:r>
      <w:r w:rsidR="00375AB1" w:rsidRPr="00375AB1">
        <w:rPr>
          <w:i/>
          <w:iCs w:val="0"/>
        </w:rPr>
        <w:t>TNSP</w:t>
      </w:r>
      <w:r w:rsidR="00836FDE">
        <w:t xml:space="preserve"> inspects solely for the purpose of assessing vegetation. </w:t>
      </w:r>
      <w:r w:rsidR="007A0191">
        <w:t xml:space="preserve">Where the expenditure involves assessing both the </w:t>
      </w:r>
      <w:r w:rsidR="007A0191">
        <w:rPr>
          <w:i/>
          <w:iCs w:val="0"/>
        </w:rPr>
        <w:t xml:space="preserve">TNSP’s </w:t>
      </w:r>
      <w:r w:rsidR="007A0191">
        <w:t xml:space="preserve">assets and vegetation, the </w:t>
      </w:r>
      <w:r w:rsidR="007A0191" w:rsidRPr="007A0191">
        <w:rPr>
          <w:i/>
          <w:iCs w:val="0"/>
        </w:rPr>
        <w:t>TNSP</w:t>
      </w:r>
      <w:r w:rsidR="007A0191">
        <w:t xml:space="preserve"> must allocate </w:t>
      </w:r>
      <w:r w:rsidR="00A80E6F">
        <w:t xml:space="preserve">the expenditure </w:t>
      </w:r>
      <w:r w:rsidR="007A0191">
        <w:t>to maintenance expenditure</w:t>
      </w:r>
      <w:r w:rsidR="00836FDE">
        <w:t xml:space="preserve">. </w:t>
      </w:r>
    </w:p>
    <w:p w14:paraId="59C9BEE3" w14:textId="729D34A0" w:rsidR="00836FDE" w:rsidRPr="002A635D" w:rsidRDefault="00836FDE" w:rsidP="00275DF4">
      <w:pPr>
        <w:keepNext/>
        <w:spacing w:before="120" w:after="120"/>
        <w:rPr>
          <w:rFonts w:eastAsiaTheme="majorEastAsia" w:cstheme="majorBidi"/>
          <w:b/>
          <w:bCs/>
          <w:iCs/>
          <w:color w:val="0000CC"/>
          <w:lang w:eastAsia="ja-JP"/>
        </w:rPr>
      </w:pPr>
      <w:r>
        <w:rPr>
          <w:rFonts w:eastAsiaTheme="majorEastAsia" w:cstheme="majorBidi"/>
          <w:b/>
          <w:bCs/>
          <w:iCs/>
          <w:color w:val="303F51"/>
          <w:lang w:eastAsia="ja-JP"/>
        </w:rPr>
        <w:lastRenderedPageBreak/>
        <w:t xml:space="preserve">Maintenance </w:t>
      </w:r>
      <w:r w:rsidR="009E2D59">
        <w:rPr>
          <w:rFonts w:eastAsiaTheme="majorEastAsia" w:cstheme="majorBidi"/>
          <w:b/>
          <w:bCs/>
          <w:iCs/>
          <w:color w:val="303F51"/>
          <w:lang w:eastAsia="ja-JP"/>
        </w:rPr>
        <w:t>expenditure</w:t>
      </w:r>
      <w:r w:rsidR="002A635D">
        <w:rPr>
          <w:rFonts w:eastAsiaTheme="majorEastAsia" w:cstheme="majorBidi"/>
          <w:b/>
          <w:bCs/>
          <w:iCs/>
          <w:color w:val="303F51"/>
          <w:lang w:eastAsia="ja-JP"/>
        </w:rPr>
        <w:t xml:space="preserve"> </w:t>
      </w:r>
      <w:r w:rsidR="002A635D">
        <w:rPr>
          <w:rFonts w:eastAsiaTheme="majorEastAsia" w:cstheme="majorBidi"/>
          <w:b/>
          <w:bCs/>
          <w:iCs/>
          <w:color w:val="0000CC"/>
          <w:lang w:eastAsia="ja-JP"/>
        </w:rPr>
        <w:t>(table 2.8.2)</w:t>
      </w:r>
    </w:p>
    <w:p w14:paraId="2BACF670" w14:textId="77777777" w:rsidR="00836FDE" w:rsidRDefault="00836FDE" w:rsidP="00275DF4">
      <w:pPr>
        <w:keepNext/>
        <w:spacing w:before="120" w:after="120"/>
        <w:rPr>
          <w:rFonts w:eastAsiaTheme="majorEastAsia" w:cstheme="majorBidi"/>
          <w:i/>
          <w:color w:val="303F51"/>
          <w:lang w:eastAsia="ja-JP"/>
        </w:rPr>
      </w:pPr>
      <w:r>
        <w:rPr>
          <w:rFonts w:eastAsiaTheme="majorEastAsia" w:cstheme="majorBidi"/>
          <w:i/>
          <w:color w:val="303F51"/>
          <w:lang w:eastAsia="ja-JP"/>
        </w:rPr>
        <w:t xml:space="preserve">Routine maintenance </w:t>
      </w:r>
    </w:p>
    <w:p w14:paraId="2576F6B6" w14:textId="77777777" w:rsidR="00836FDE" w:rsidRPr="003B1DD0" w:rsidRDefault="00836FDE" w:rsidP="00275DF4">
      <w:pPr>
        <w:keepNext/>
        <w:spacing w:before="120" w:after="120"/>
        <w:rPr>
          <w:rFonts w:eastAsiaTheme="majorEastAsia" w:cstheme="majorBidi"/>
          <w:i/>
          <w:color w:val="303F51"/>
          <w:lang w:eastAsia="ja-JP"/>
        </w:rPr>
      </w:pPr>
      <w:r>
        <w:rPr>
          <w:rFonts w:eastAsiaTheme="majorEastAsia" w:cstheme="majorBidi"/>
          <w:i/>
          <w:color w:val="303F51"/>
          <w:lang w:eastAsia="ja-JP"/>
        </w:rPr>
        <w:t>Non-routine maintenance</w:t>
      </w:r>
    </w:p>
    <w:p w14:paraId="609CAC9D" w14:textId="108D17A0" w:rsidR="0087579F" w:rsidRDefault="0087579F" w:rsidP="0087579F">
      <w:pPr>
        <w:pStyle w:val="Noparagraph"/>
        <w:spacing w:after="120"/>
        <w:ind w:left="567" w:hanging="567"/>
      </w:pPr>
      <w:r>
        <w:t>Data requirements are identified by reference to table headings, row descriptors and column headings. They are represented as input cells</w:t>
      </w:r>
      <w:r w:rsidR="007E18FB">
        <w:t>–</w:t>
      </w:r>
      <w:r>
        <w:t xml:space="preserve">- shaded green in the </w:t>
      </w:r>
      <w:r w:rsidRPr="00BA4310">
        <w:rPr>
          <w:i/>
          <w:iCs w:val="0"/>
        </w:rPr>
        <w:t>data workbook</w:t>
      </w:r>
      <w:r>
        <w:rPr>
          <w:i/>
          <w:iCs w:val="0"/>
        </w:rPr>
        <w:t xml:space="preserve"> 06 – Operating expenditure. </w:t>
      </w:r>
      <w:r w:rsidR="00D95706" w:rsidRPr="00D95706">
        <w:rPr>
          <w:iCs w:val="0"/>
        </w:rPr>
        <w:t>There are no further instructions</w:t>
      </w:r>
      <w:r>
        <w:rPr>
          <w:i/>
          <w:iCs w:val="0"/>
        </w:rPr>
        <w:t>.</w:t>
      </w:r>
    </w:p>
    <w:p w14:paraId="2FC3D893" w14:textId="2485CFFF" w:rsidR="00836FDE" w:rsidRPr="002A635D" w:rsidRDefault="00836FDE" w:rsidP="00836FDE">
      <w:pPr>
        <w:spacing w:before="120" w:after="120"/>
        <w:rPr>
          <w:rFonts w:eastAsiaTheme="majorEastAsia" w:cstheme="majorBidi"/>
          <w:b/>
          <w:bCs/>
          <w:iCs/>
          <w:color w:val="0000CC"/>
          <w:lang w:eastAsia="ja-JP"/>
        </w:rPr>
      </w:pPr>
      <w:r>
        <w:rPr>
          <w:rFonts w:eastAsiaTheme="majorEastAsia" w:cstheme="majorBidi"/>
          <w:b/>
          <w:bCs/>
          <w:iCs/>
          <w:color w:val="303F51"/>
          <w:lang w:eastAsia="ja-JP"/>
        </w:rPr>
        <w:t xml:space="preserve">Non-network </w:t>
      </w:r>
      <w:r w:rsidR="009E2D59">
        <w:rPr>
          <w:rFonts w:eastAsiaTheme="majorEastAsia" w:cstheme="majorBidi"/>
          <w:b/>
          <w:bCs/>
          <w:iCs/>
          <w:color w:val="303F51"/>
          <w:lang w:eastAsia="ja-JP"/>
        </w:rPr>
        <w:t>expenditure</w:t>
      </w:r>
      <w:r w:rsidR="002A635D">
        <w:rPr>
          <w:rFonts w:eastAsiaTheme="majorEastAsia" w:cstheme="majorBidi"/>
          <w:b/>
          <w:bCs/>
          <w:iCs/>
          <w:color w:val="303F51"/>
          <w:lang w:eastAsia="ja-JP"/>
        </w:rPr>
        <w:t xml:space="preserve"> (</w:t>
      </w:r>
      <w:r w:rsidR="002A635D">
        <w:rPr>
          <w:rFonts w:eastAsiaTheme="majorEastAsia" w:cstheme="majorBidi"/>
          <w:b/>
          <w:bCs/>
          <w:iCs/>
          <w:color w:val="0000CC"/>
          <w:lang w:eastAsia="ja-JP"/>
        </w:rPr>
        <w:t>table 2.6.1)</w:t>
      </w:r>
    </w:p>
    <w:p w14:paraId="0758593F" w14:textId="21DC7641" w:rsidR="00836FDE" w:rsidRDefault="00836FDE" w:rsidP="00836FDE">
      <w:pPr>
        <w:spacing w:before="120" w:after="120"/>
        <w:rPr>
          <w:rFonts w:eastAsiaTheme="majorEastAsia" w:cstheme="majorBidi"/>
          <w:i/>
          <w:color w:val="303F51"/>
          <w:lang w:eastAsia="ja-JP"/>
        </w:rPr>
      </w:pPr>
      <w:bookmarkStart w:id="66" w:name="_Hlk161242977"/>
      <w:bookmarkStart w:id="67" w:name="_Hlk161242943"/>
      <w:r>
        <w:rPr>
          <w:rFonts w:eastAsiaTheme="majorEastAsia" w:cstheme="majorBidi"/>
          <w:i/>
          <w:color w:val="303F51"/>
          <w:lang w:eastAsia="ja-JP"/>
        </w:rPr>
        <w:t>I</w:t>
      </w:r>
      <w:r w:rsidR="00DC4053">
        <w:rPr>
          <w:rFonts w:eastAsiaTheme="majorEastAsia" w:cstheme="majorBidi"/>
          <w:i/>
          <w:color w:val="303F51"/>
          <w:lang w:eastAsia="ja-JP"/>
        </w:rPr>
        <w:t xml:space="preserve">nformation and </w:t>
      </w:r>
      <w:r>
        <w:rPr>
          <w:rFonts w:eastAsiaTheme="majorEastAsia" w:cstheme="majorBidi"/>
          <w:i/>
          <w:color w:val="303F51"/>
          <w:lang w:eastAsia="ja-JP"/>
        </w:rPr>
        <w:t>communications</w:t>
      </w:r>
      <w:r w:rsidR="00DC4053">
        <w:rPr>
          <w:rFonts w:eastAsiaTheme="majorEastAsia" w:cstheme="majorBidi"/>
          <w:i/>
          <w:color w:val="303F51"/>
          <w:lang w:eastAsia="ja-JP"/>
        </w:rPr>
        <w:t xml:space="preserve"> technology</w:t>
      </w:r>
    </w:p>
    <w:p w14:paraId="0A96AF9A" w14:textId="4B4BED69" w:rsidR="00277C92" w:rsidRDefault="00277C92" w:rsidP="00277C92">
      <w:pPr>
        <w:pStyle w:val="Noparagraph"/>
        <w:tabs>
          <w:tab w:val="clear" w:pos="567"/>
          <w:tab w:val="left" w:pos="284"/>
        </w:tabs>
        <w:ind w:left="567" w:hanging="567"/>
      </w:pPr>
      <w:r w:rsidRPr="00B163C9">
        <w:t xml:space="preserve">Where the </w:t>
      </w:r>
      <w:r>
        <w:rPr>
          <w:i/>
          <w:iCs w:val="0"/>
        </w:rPr>
        <w:t>TNSP</w:t>
      </w:r>
      <w:r w:rsidRPr="00B163C9">
        <w:t xml:space="preserve"> can report recurrent expenditure disaggregated by category it must do so. The categories reported are to be mutually exclusive and combine to report total recurrent expenditure.</w:t>
      </w:r>
    </w:p>
    <w:p w14:paraId="51DB6104" w14:textId="3D0C82C1" w:rsidR="00277C92" w:rsidRPr="00B163C9" w:rsidRDefault="00277C92" w:rsidP="00277C92">
      <w:pPr>
        <w:pStyle w:val="Noparagraph"/>
        <w:tabs>
          <w:tab w:val="clear" w:pos="567"/>
          <w:tab w:val="left" w:pos="284"/>
        </w:tabs>
        <w:ind w:left="567" w:hanging="567"/>
      </w:pPr>
      <w:r w:rsidRPr="00B163C9">
        <w:t xml:space="preserve">Where the </w:t>
      </w:r>
      <w:r>
        <w:rPr>
          <w:i/>
          <w:iCs w:val="0"/>
        </w:rPr>
        <w:t>TNSP</w:t>
      </w:r>
      <w:r w:rsidRPr="00B163C9">
        <w:t xml:space="preserve"> can report non-recurrent expenditures disaggregated by category it must do so. The categories reported are to be mutually exclusive and combine to report total non-recurrent expenditures.</w:t>
      </w:r>
    </w:p>
    <w:p w14:paraId="6825A786" w14:textId="07A8FC13" w:rsidR="00277C92" w:rsidRPr="00B163C9" w:rsidRDefault="00277C92" w:rsidP="00277C92">
      <w:pPr>
        <w:pStyle w:val="Noparagraph"/>
        <w:tabs>
          <w:tab w:val="clear" w:pos="567"/>
        </w:tabs>
        <w:ind w:left="567" w:hanging="567"/>
      </w:pPr>
      <w:r w:rsidRPr="00B163C9">
        <w:t xml:space="preserve">The </w:t>
      </w:r>
      <w:r>
        <w:rPr>
          <w:i/>
          <w:iCs w:val="0"/>
        </w:rPr>
        <w:t>TNSP</w:t>
      </w:r>
      <w:r w:rsidRPr="00B163C9">
        <w:t xml:space="preserve"> should use categories consistent with the AE</w:t>
      </w:r>
      <w:r w:rsidR="00BD58B7">
        <w:t>R</w:t>
      </w:r>
      <w:r w:rsidRPr="00B163C9">
        <w:t>'s 2019 ICT expenditure review.</w:t>
      </w:r>
    </w:p>
    <w:p w14:paraId="0798AE0E" w14:textId="18A0187C" w:rsidR="00277C92" w:rsidRDefault="00277C92" w:rsidP="00277C92">
      <w:pPr>
        <w:pStyle w:val="Noparagraph"/>
        <w:tabs>
          <w:tab w:val="clear" w:pos="567"/>
          <w:tab w:val="left" w:pos="284"/>
        </w:tabs>
        <w:ind w:left="567" w:hanging="567"/>
      </w:pPr>
      <w:r w:rsidRPr="00B163C9">
        <w:t xml:space="preserve">If the </w:t>
      </w:r>
      <w:r>
        <w:rPr>
          <w:i/>
          <w:iCs w:val="0"/>
        </w:rPr>
        <w:t>TNSP</w:t>
      </w:r>
      <w:r w:rsidRPr="00B163C9">
        <w:t xml:space="preserve"> cannot report recurrent expenditures disaggregated by category, it must report total recurrent expenditure.</w:t>
      </w:r>
    </w:p>
    <w:p w14:paraId="35AA6793" w14:textId="175391A7" w:rsidR="00277C92" w:rsidRPr="00277C92" w:rsidRDefault="00277C92" w:rsidP="00277C92">
      <w:pPr>
        <w:pStyle w:val="Noparagraph"/>
        <w:tabs>
          <w:tab w:val="clear" w:pos="567"/>
          <w:tab w:val="left" w:pos="284"/>
        </w:tabs>
        <w:ind w:left="567" w:hanging="567"/>
      </w:pPr>
      <w:r w:rsidRPr="00B163C9">
        <w:t xml:space="preserve">If the </w:t>
      </w:r>
      <w:r>
        <w:rPr>
          <w:i/>
          <w:iCs w:val="0"/>
        </w:rPr>
        <w:t>TNSP</w:t>
      </w:r>
      <w:r w:rsidRPr="00B163C9">
        <w:t xml:space="preserve"> cannot report non-recurrent expenditures disaggregated by category, it must report total non-recurrent expenditure.</w:t>
      </w:r>
    </w:p>
    <w:bookmarkEnd w:id="66"/>
    <w:p w14:paraId="63647132" w14:textId="77777777" w:rsidR="00836FDE" w:rsidRDefault="00836FDE" w:rsidP="00836FDE">
      <w:pPr>
        <w:spacing w:before="120" w:after="120"/>
        <w:rPr>
          <w:rFonts w:eastAsiaTheme="majorEastAsia" w:cstheme="majorBidi"/>
          <w:i/>
          <w:color w:val="303F51"/>
          <w:lang w:eastAsia="ja-JP"/>
        </w:rPr>
      </w:pPr>
      <w:r>
        <w:rPr>
          <w:rFonts w:eastAsiaTheme="majorEastAsia" w:cstheme="majorBidi"/>
          <w:i/>
          <w:color w:val="303F51"/>
          <w:lang w:eastAsia="ja-JP"/>
        </w:rPr>
        <w:t xml:space="preserve">Motor vehicles </w:t>
      </w:r>
    </w:p>
    <w:p w14:paraId="1F57648E" w14:textId="0FD01857" w:rsidR="00836FDE" w:rsidRDefault="00836FDE" w:rsidP="00836FDE">
      <w:pPr>
        <w:spacing w:before="120" w:after="120"/>
        <w:rPr>
          <w:rFonts w:eastAsiaTheme="majorEastAsia" w:cstheme="majorBidi"/>
          <w:i/>
          <w:color w:val="303F51"/>
          <w:lang w:eastAsia="ja-JP"/>
        </w:rPr>
      </w:pPr>
      <w:r>
        <w:rPr>
          <w:rFonts w:eastAsiaTheme="majorEastAsia" w:cstheme="majorBidi"/>
          <w:i/>
          <w:color w:val="303F51"/>
          <w:lang w:eastAsia="ja-JP"/>
        </w:rPr>
        <w:t xml:space="preserve">Buildings and property </w:t>
      </w:r>
      <w:r w:rsidR="00DC4053">
        <w:rPr>
          <w:rFonts w:eastAsiaTheme="majorEastAsia" w:cstheme="majorBidi"/>
          <w:i/>
          <w:color w:val="303F51"/>
          <w:lang w:eastAsia="ja-JP"/>
        </w:rPr>
        <w:t>expenditure</w:t>
      </w:r>
    </w:p>
    <w:p w14:paraId="76B969CF" w14:textId="5FE2139E" w:rsidR="00836FDE" w:rsidRDefault="00836FDE" w:rsidP="00836FDE">
      <w:pPr>
        <w:spacing w:before="120" w:after="120"/>
        <w:rPr>
          <w:rFonts w:eastAsiaTheme="majorEastAsia" w:cstheme="majorBidi"/>
          <w:i/>
          <w:color w:val="303F51"/>
          <w:lang w:eastAsia="ja-JP"/>
        </w:rPr>
      </w:pPr>
      <w:r>
        <w:rPr>
          <w:rFonts w:eastAsiaTheme="majorEastAsia" w:cstheme="majorBidi"/>
          <w:i/>
          <w:color w:val="303F51"/>
          <w:lang w:eastAsia="ja-JP"/>
        </w:rPr>
        <w:t>Other</w:t>
      </w:r>
      <w:r w:rsidR="00DC4053">
        <w:rPr>
          <w:rFonts w:eastAsiaTheme="majorEastAsia" w:cstheme="majorBidi"/>
          <w:i/>
          <w:color w:val="303F51"/>
          <w:lang w:eastAsia="ja-JP"/>
        </w:rPr>
        <w:t xml:space="preserve"> non-network expenditure</w:t>
      </w:r>
    </w:p>
    <w:bookmarkEnd w:id="67"/>
    <w:p w14:paraId="421D1C51" w14:textId="22D44A6B" w:rsidR="00836FDE" w:rsidRDefault="00836FDE" w:rsidP="00836FDE">
      <w:pPr>
        <w:pStyle w:val="Noparagraph"/>
        <w:spacing w:after="120"/>
        <w:ind w:left="567" w:hanging="567"/>
      </w:pPr>
      <w:r>
        <w:t xml:space="preserve">The </w:t>
      </w:r>
      <w:r w:rsidR="00375AB1" w:rsidRPr="00375AB1">
        <w:rPr>
          <w:i/>
        </w:rPr>
        <w:t>TNSP</w:t>
      </w:r>
      <w:r>
        <w:t xml:space="preserve"> must report non</w:t>
      </w:r>
      <w:r w:rsidR="00627802">
        <w:t>-</w:t>
      </w:r>
      <w:r>
        <w:t>network operating expenditure as a direct cost,</w:t>
      </w:r>
      <w:r w:rsidRPr="003D3FCB">
        <w:t xml:space="preserve"> </w:t>
      </w:r>
      <w:r>
        <w:t xml:space="preserve">irrespective of whether any expenditure is also </w:t>
      </w:r>
      <w:r w:rsidR="00A80E6F">
        <w:t>reported in</w:t>
      </w:r>
      <w:r>
        <w:t xml:space="preserve"> corporate overheads, network overheads or other </w:t>
      </w:r>
      <w:r w:rsidR="005D526D" w:rsidRPr="005D526D">
        <w:rPr>
          <w:i/>
        </w:rPr>
        <w:t>operating expenditure</w:t>
      </w:r>
      <w:r>
        <w:t xml:space="preserve"> categories. To the extent this results in multiple reporting of expenditures, </w:t>
      </w:r>
      <w:r w:rsidR="00A80E6F">
        <w:t xml:space="preserve">the </w:t>
      </w:r>
      <w:r w:rsidR="00A80E6F" w:rsidRPr="00A80E6F">
        <w:rPr>
          <w:i/>
          <w:iCs w:val="0"/>
        </w:rPr>
        <w:t>TNSP</w:t>
      </w:r>
      <w:r w:rsidR="00A80E6F">
        <w:t xml:space="preserve"> must </w:t>
      </w:r>
      <w:r>
        <w:t xml:space="preserve">identify this in the </w:t>
      </w:r>
      <w:r w:rsidR="005D526D" w:rsidRPr="005D526D">
        <w:rPr>
          <w:i/>
        </w:rPr>
        <w:t>basis of preparation</w:t>
      </w:r>
      <w:r>
        <w:t xml:space="preserve"> and the reconciliation report required under section 4.1</w:t>
      </w:r>
      <w:r w:rsidR="00F91B6E">
        <w:t>5</w:t>
      </w:r>
      <w:r>
        <w:t xml:space="preserve"> of this Order.</w:t>
      </w:r>
    </w:p>
    <w:p w14:paraId="62FA1689" w14:textId="55B11BC6" w:rsidR="00C321E7" w:rsidRPr="00615CFF" w:rsidRDefault="00C321E7" w:rsidP="00BD58B7">
      <w:pPr>
        <w:keepNext/>
        <w:spacing w:before="120" w:after="120"/>
        <w:rPr>
          <w:rFonts w:eastAsiaTheme="majorEastAsia" w:cstheme="majorBidi"/>
          <w:b/>
          <w:bCs/>
          <w:iCs/>
          <w:color w:val="0000CC"/>
          <w:lang w:eastAsia="ja-JP"/>
        </w:rPr>
      </w:pPr>
      <w:r w:rsidRPr="00B31DB7">
        <w:rPr>
          <w:rFonts w:eastAsiaTheme="majorEastAsia" w:cstheme="majorBidi"/>
          <w:b/>
          <w:bCs/>
          <w:iCs/>
          <w:color w:val="303F51"/>
          <w:lang w:eastAsia="ja-JP"/>
        </w:rPr>
        <w:t>Overheads expenditure</w:t>
      </w:r>
      <w:r w:rsidR="00615CFF">
        <w:rPr>
          <w:rFonts w:eastAsiaTheme="majorEastAsia" w:cstheme="majorBidi"/>
          <w:b/>
          <w:bCs/>
          <w:iCs/>
          <w:color w:val="303F51"/>
          <w:lang w:eastAsia="ja-JP"/>
        </w:rPr>
        <w:t xml:space="preserve"> (</w:t>
      </w:r>
      <w:r w:rsidR="00615CFF">
        <w:rPr>
          <w:rFonts w:eastAsiaTheme="majorEastAsia" w:cstheme="majorBidi"/>
          <w:b/>
          <w:bCs/>
          <w:iCs/>
          <w:color w:val="0000CC"/>
          <w:lang w:eastAsia="ja-JP"/>
        </w:rPr>
        <w:t>table 2.10.1, table 2.10.2)</w:t>
      </w:r>
    </w:p>
    <w:p w14:paraId="652F0652" w14:textId="226E35CB" w:rsidR="00627802" w:rsidRDefault="00627802" w:rsidP="00627802">
      <w:pPr>
        <w:pStyle w:val="Noparagraph"/>
        <w:ind w:left="567" w:hanging="567"/>
      </w:pPr>
      <w:r w:rsidRPr="006B4E92">
        <w:rPr>
          <w:rFonts w:cs="Arial"/>
          <w:noProof/>
        </w:rPr>
        <w:t>The</w:t>
      </w:r>
      <w:r>
        <w:rPr>
          <w:rFonts w:cs="Arial"/>
          <w:i/>
          <w:noProof/>
        </w:rPr>
        <w:t xml:space="preserve"> </w:t>
      </w:r>
      <w:r w:rsidR="00375AB1" w:rsidRPr="00375AB1">
        <w:rPr>
          <w:rFonts w:cs="Arial"/>
          <w:i/>
          <w:noProof/>
        </w:rPr>
        <w:t>TNSP</w:t>
      </w:r>
      <w:r w:rsidRPr="00995FA4">
        <w:rPr>
          <w:rFonts w:cs="Arial"/>
        </w:rPr>
        <w:t xml:space="preserve"> must</w:t>
      </w:r>
      <w:r>
        <w:rPr>
          <w:rFonts w:cs="Arial"/>
        </w:rPr>
        <w:t xml:space="preserve"> report overheads expenditure allocated to operating expenditure and disaggregated into service categories</w:t>
      </w:r>
      <w:r w:rsidR="00277DEF">
        <w:rPr>
          <w:rFonts w:cs="Arial"/>
        </w:rPr>
        <w:t xml:space="preserve"> and direct and indirect expenditure</w:t>
      </w:r>
      <w:r>
        <w:t>.</w:t>
      </w:r>
    </w:p>
    <w:p w14:paraId="3B9D8921" w14:textId="184485AF" w:rsidR="00C321E7" w:rsidRPr="00615CFF" w:rsidRDefault="00C321E7" w:rsidP="00C321E7">
      <w:pPr>
        <w:spacing w:before="120" w:after="120"/>
        <w:rPr>
          <w:rFonts w:eastAsiaTheme="majorEastAsia" w:cstheme="majorBidi"/>
          <w:b/>
          <w:bCs/>
          <w:iCs/>
          <w:color w:val="0000CC"/>
          <w:lang w:eastAsia="ja-JP"/>
        </w:rPr>
      </w:pPr>
      <w:bookmarkStart w:id="68" w:name="_Toc121724723"/>
      <w:r>
        <w:rPr>
          <w:rFonts w:eastAsiaTheme="majorEastAsia" w:cstheme="majorBidi"/>
          <w:b/>
          <w:bCs/>
          <w:iCs/>
          <w:color w:val="303F51"/>
          <w:lang w:eastAsia="ja-JP"/>
        </w:rPr>
        <w:t>Input expenditure category</w:t>
      </w:r>
      <w:r w:rsidR="00615CFF">
        <w:rPr>
          <w:rFonts w:eastAsiaTheme="majorEastAsia" w:cstheme="majorBidi"/>
          <w:b/>
          <w:bCs/>
          <w:iCs/>
          <w:color w:val="303F51"/>
          <w:lang w:eastAsia="ja-JP"/>
        </w:rPr>
        <w:t xml:space="preserve"> </w:t>
      </w:r>
      <w:r w:rsidR="00615CFF">
        <w:rPr>
          <w:rFonts w:eastAsiaTheme="majorEastAsia" w:cstheme="majorBidi"/>
          <w:b/>
          <w:bCs/>
          <w:iCs/>
          <w:color w:val="0000CC"/>
          <w:lang w:eastAsia="ja-JP"/>
        </w:rPr>
        <w:t>(table 2.12.1)</w:t>
      </w:r>
    </w:p>
    <w:p w14:paraId="07E92EA5" w14:textId="7F288C0C" w:rsidR="004C766E" w:rsidRDefault="004C766E" w:rsidP="004C766E">
      <w:pPr>
        <w:pStyle w:val="Noparagraph"/>
        <w:spacing w:after="120"/>
        <w:ind w:left="567" w:hanging="567"/>
      </w:pPr>
      <w:r>
        <w:t>Data requirements are identified by reference to table headings, row descriptors and column headings. They are represented as input cells</w:t>
      </w:r>
      <w:r w:rsidR="007E18FB">
        <w:t>–</w:t>
      </w:r>
      <w:r>
        <w:t xml:space="preserve">- shaded green in the </w:t>
      </w:r>
      <w:r w:rsidRPr="00BA4310">
        <w:rPr>
          <w:i/>
          <w:iCs w:val="0"/>
        </w:rPr>
        <w:t>data workbook</w:t>
      </w:r>
      <w:r>
        <w:rPr>
          <w:i/>
          <w:iCs w:val="0"/>
        </w:rPr>
        <w:t xml:space="preserve"> 06 – Operating expenditure. </w:t>
      </w:r>
      <w:r w:rsidR="00D95706" w:rsidRPr="00D95706">
        <w:rPr>
          <w:iCs w:val="0"/>
        </w:rPr>
        <w:t>There are no further instructions</w:t>
      </w:r>
      <w:r>
        <w:rPr>
          <w:i/>
          <w:iCs w:val="0"/>
        </w:rPr>
        <w:t>.</w:t>
      </w:r>
    </w:p>
    <w:p w14:paraId="40F0F485" w14:textId="3EA16513" w:rsidR="004C766E" w:rsidRPr="000A4B16" w:rsidRDefault="004C766E" w:rsidP="004C766E">
      <w:pPr>
        <w:pStyle w:val="Heading3"/>
        <w:spacing w:after="240"/>
        <w:ind w:left="578" w:hanging="578"/>
        <w:rPr>
          <w:lang w:eastAsia="ja-JP"/>
        </w:rPr>
      </w:pPr>
      <w:bookmarkStart w:id="69" w:name="_Toc162703560"/>
      <w:r>
        <w:rPr>
          <w:lang w:eastAsia="ja-JP"/>
        </w:rPr>
        <w:lastRenderedPageBreak/>
        <w:t>Large projects</w:t>
      </w:r>
      <w:bookmarkEnd w:id="69"/>
      <w:r w:rsidR="00615CFF">
        <w:rPr>
          <w:lang w:eastAsia="ja-JP"/>
        </w:rPr>
        <w:t xml:space="preserve"> </w:t>
      </w:r>
      <w:r w:rsidR="00615CFF">
        <w:rPr>
          <w:color w:val="0000CC"/>
          <w:lang w:eastAsia="ja-JP"/>
        </w:rPr>
        <w:t>(7.5)</w:t>
      </w:r>
    </w:p>
    <w:p w14:paraId="76E1681B" w14:textId="257F2198" w:rsidR="004C766E" w:rsidRPr="00615CFF" w:rsidRDefault="004C766E" w:rsidP="004C766E">
      <w:pPr>
        <w:keepNext/>
        <w:spacing w:before="120" w:after="120"/>
        <w:rPr>
          <w:rFonts w:eastAsiaTheme="majorEastAsia" w:cstheme="majorBidi"/>
          <w:b/>
          <w:bCs/>
          <w:iCs/>
          <w:color w:val="0000CC"/>
          <w:lang w:eastAsia="ja-JP"/>
        </w:rPr>
      </w:pPr>
      <w:r>
        <w:rPr>
          <w:rFonts w:eastAsiaTheme="majorEastAsia" w:cstheme="majorBidi"/>
          <w:b/>
          <w:bCs/>
          <w:iCs/>
          <w:color w:val="303F51"/>
          <w:lang w:eastAsia="ja-JP"/>
        </w:rPr>
        <w:t>Large project</w:t>
      </w:r>
      <w:r w:rsidR="00DC4053">
        <w:rPr>
          <w:rFonts w:eastAsiaTheme="majorEastAsia" w:cstheme="majorBidi"/>
          <w:b/>
          <w:bCs/>
          <w:iCs/>
          <w:color w:val="303F51"/>
          <w:lang w:eastAsia="ja-JP"/>
        </w:rPr>
        <w:t>s</w:t>
      </w:r>
      <w:r w:rsidR="00615CFF">
        <w:rPr>
          <w:rFonts w:eastAsiaTheme="majorEastAsia" w:cstheme="majorBidi"/>
          <w:b/>
          <w:bCs/>
          <w:iCs/>
          <w:color w:val="303F51"/>
          <w:lang w:eastAsia="ja-JP"/>
        </w:rPr>
        <w:t xml:space="preserve"> </w:t>
      </w:r>
      <w:r w:rsidR="00615CFF">
        <w:rPr>
          <w:rFonts w:eastAsiaTheme="majorEastAsia" w:cstheme="majorBidi"/>
          <w:b/>
          <w:bCs/>
          <w:iCs/>
          <w:color w:val="0000CC"/>
          <w:lang w:eastAsia="ja-JP"/>
        </w:rPr>
        <w:t>(table 7.5.1)</w:t>
      </w:r>
    </w:p>
    <w:p w14:paraId="4063D330" w14:textId="5191AE08" w:rsidR="004C766E" w:rsidRDefault="004C766E" w:rsidP="004C766E">
      <w:pPr>
        <w:pStyle w:val="Noparagraph"/>
        <w:spacing w:after="120"/>
        <w:ind w:left="567" w:hanging="567"/>
      </w:pPr>
      <w:r>
        <w:t>Data requirements are identified by reference to table headings, row descriptors and column headings. They are represented as input cells</w:t>
      </w:r>
      <w:r w:rsidR="007E18FB">
        <w:t>–</w:t>
      </w:r>
      <w:r>
        <w:t xml:space="preserve">- shaded green in the </w:t>
      </w:r>
      <w:r w:rsidRPr="00BA4310">
        <w:rPr>
          <w:i/>
          <w:iCs w:val="0"/>
        </w:rPr>
        <w:t>data workbook</w:t>
      </w:r>
      <w:r>
        <w:rPr>
          <w:i/>
          <w:iCs w:val="0"/>
        </w:rPr>
        <w:t xml:space="preserve"> 06 – Operating expenditure. </w:t>
      </w:r>
      <w:r w:rsidR="00D95706" w:rsidRPr="00D95706">
        <w:rPr>
          <w:iCs w:val="0"/>
        </w:rPr>
        <w:t>There are no further instructions</w:t>
      </w:r>
      <w:r>
        <w:rPr>
          <w:i/>
          <w:iCs w:val="0"/>
        </w:rPr>
        <w:t>.</w:t>
      </w:r>
    </w:p>
    <w:p w14:paraId="2B20CE06" w14:textId="578E345A" w:rsidR="00836FDE" w:rsidRDefault="00836FDE" w:rsidP="00836FDE">
      <w:pPr>
        <w:pStyle w:val="Heading2"/>
      </w:pPr>
      <w:bookmarkStart w:id="70" w:name="_Toc121724724"/>
      <w:bookmarkStart w:id="71" w:name="_Toc162703561"/>
      <w:bookmarkEnd w:id="68"/>
      <w:r>
        <w:lastRenderedPageBreak/>
        <w:t xml:space="preserve">Workbook </w:t>
      </w:r>
      <w:r w:rsidR="007E0318">
        <w:t xml:space="preserve">07 </w:t>
      </w:r>
      <w:r>
        <w:t>– Capital expenditure</w:t>
      </w:r>
      <w:bookmarkEnd w:id="70"/>
      <w:bookmarkEnd w:id="71"/>
    </w:p>
    <w:p w14:paraId="212848DA" w14:textId="4813AC05" w:rsidR="00452F6A" w:rsidRDefault="00452F6A" w:rsidP="00452F6A">
      <w:pPr>
        <w:pStyle w:val="Heading3"/>
        <w:spacing w:after="240"/>
        <w:ind w:left="578" w:hanging="578"/>
        <w:rPr>
          <w:lang w:eastAsia="ja-JP"/>
        </w:rPr>
      </w:pPr>
      <w:bookmarkStart w:id="72" w:name="_Toc162703562"/>
      <w:bookmarkStart w:id="73" w:name="_Toc121724725"/>
      <w:r>
        <w:rPr>
          <w:lang w:eastAsia="ja-JP"/>
        </w:rPr>
        <w:t xml:space="preserve">Audited </w:t>
      </w:r>
      <w:r w:rsidR="002609BF">
        <w:rPr>
          <w:lang w:eastAsia="ja-JP"/>
        </w:rPr>
        <w:t>s</w:t>
      </w:r>
      <w:r>
        <w:rPr>
          <w:lang w:eastAsia="ja-JP"/>
        </w:rPr>
        <w:t>tatutory accounts</w:t>
      </w:r>
      <w:bookmarkEnd w:id="72"/>
      <w:r w:rsidR="00C44ED7">
        <w:rPr>
          <w:lang w:eastAsia="ja-JP"/>
        </w:rPr>
        <w:t xml:space="preserve"> </w:t>
      </w:r>
      <w:r w:rsidR="00C44ED7">
        <w:rPr>
          <w:color w:val="0000CC"/>
          <w:lang w:eastAsia="ja-JP"/>
        </w:rPr>
        <w:t>(2.10)</w:t>
      </w:r>
    </w:p>
    <w:p w14:paraId="3F6C948E" w14:textId="48303D87" w:rsidR="00452F6A" w:rsidRDefault="00D74CF2" w:rsidP="00452F6A">
      <w:pPr>
        <w:spacing w:before="120" w:after="120"/>
        <w:rPr>
          <w:rFonts w:eastAsiaTheme="majorEastAsia" w:cstheme="majorBidi"/>
          <w:b/>
          <w:bCs/>
          <w:iCs/>
          <w:color w:val="303F51"/>
          <w:lang w:eastAsia="ja-JP"/>
        </w:rPr>
      </w:pPr>
      <w:r>
        <w:rPr>
          <w:rFonts w:eastAsiaTheme="majorEastAsia" w:cstheme="majorBidi"/>
          <w:b/>
          <w:bCs/>
          <w:iCs/>
          <w:color w:val="303F51"/>
          <w:lang w:eastAsia="ja-JP"/>
        </w:rPr>
        <w:t>O</w:t>
      </w:r>
      <w:r w:rsidR="00452F6A">
        <w:rPr>
          <w:rFonts w:eastAsiaTheme="majorEastAsia" w:cstheme="majorBidi"/>
          <w:b/>
          <w:bCs/>
          <w:iCs/>
          <w:color w:val="303F51"/>
          <w:lang w:eastAsia="ja-JP"/>
        </w:rPr>
        <w:t>verheads expenditure</w:t>
      </w:r>
      <w:r w:rsidR="00275DF4">
        <w:rPr>
          <w:rFonts w:eastAsiaTheme="majorEastAsia" w:cstheme="majorBidi"/>
          <w:b/>
          <w:bCs/>
          <w:iCs/>
          <w:color w:val="303F51"/>
          <w:lang w:eastAsia="ja-JP"/>
        </w:rPr>
        <w:t xml:space="preserve"> (</w:t>
      </w:r>
      <w:r w:rsidR="00275DF4">
        <w:rPr>
          <w:rFonts w:eastAsiaTheme="majorEastAsia" w:cstheme="majorBidi"/>
          <w:b/>
          <w:bCs/>
          <w:iCs/>
          <w:color w:val="0000CC"/>
          <w:lang w:eastAsia="ja-JP"/>
        </w:rPr>
        <w:t>table 2.10.1, table 2.10.2)</w:t>
      </w:r>
    </w:p>
    <w:p w14:paraId="438BE487" w14:textId="09A9A4AA" w:rsidR="00452F6A" w:rsidRDefault="00452F6A" w:rsidP="00452F6A">
      <w:pPr>
        <w:pStyle w:val="Noparagraph"/>
        <w:ind w:left="567" w:hanging="567"/>
      </w:pPr>
      <w:r w:rsidRPr="006B4E92">
        <w:rPr>
          <w:rFonts w:cs="Arial"/>
          <w:noProof/>
        </w:rPr>
        <w:t>The</w:t>
      </w:r>
      <w:r>
        <w:rPr>
          <w:rFonts w:cs="Arial"/>
          <w:i/>
          <w:noProof/>
        </w:rPr>
        <w:t xml:space="preserve"> </w:t>
      </w:r>
      <w:r w:rsidRPr="00375AB1">
        <w:rPr>
          <w:rFonts w:cs="Arial"/>
          <w:i/>
          <w:noProof/>
        </w:rPr>
        <w:t>TNSP</w:t>
      </w:r>
      <w:r w:rsidRPr="00995FA4">
        <w:rPr>
          <w:rFonts w:cs="Arial"/>
        </w:rPr>
        <w:t xml:space="preserve"> must</w:t>
      </w:r>
      <w:r>
        <w:rPr>
          <w:rFonts w:cs="Arial"/>
        </w:rPr>
        <w:t xml:space="preserve"> report overheads expenditure allocated to </w:t>
      </w:r>
      <w:r w:rsidR="00394014">
        <w:rPr>
          <w:rFonts w:cs="Arial"/>
        </w:rPr>
        <w:t xml:space="preserve">capital </w:t>
      </w:r>
      <w:r>
        <w:rPr>
          <w:rFonts w:cs="Arial"/>
        </w:rPr>
        <w:t>expenditure and disaggregated into service categories</w:t>
      </w:r>
      <w:r>
        <w:t>.</w:t>
      </w:r>
    </w:p>
    <w:p w14:paraId="02FDDD62" w14:textId="65D5AEEB" w:rsidR="00452F6A" w:rsidRDefault="00452F6A" w:rsidP="00452F6A">
      <w:pPr>
        <w:pStyle w:val="Heading3"/>
        <w:spacing w:after="240"/>
        <w:ind w:left="578" w:hanging="578"/>
        <w:rPr>
          <w:lang w:eastAsia="ja-JP"/>
        </w:rPr>
      </w:pPr>
      <w:bookmarkStart w:id="74" w:name="_Toc162703563"/>
      <w:r>
        <w:rPr>
          <w:lang w:eastAsia="ja-JP"/>
        </w:rPr>
        <w:t>Regulatory accounts</w:t>
      </w:r>
      <w:r w:rsidR="002609BF">
        <w:rPr>
          <w:lang w:eastAsia="ja-JP"/>
        </w:rPr>
        <w:t xml:space="preserve"> (PTS)</w:t>
      </w:r>
      <w:bookmarkEnd w:id="74"/>
      <w:r w:rsidR="00C44ED7">
        <w:rPr>
          <w:lang w:eastAsia="ja-JP"/>
        </w:rPr>
        <w:t xml:space="preserve"> </w:t>
      </w:r>
      <w:r w:rsidR="00C44ED7">
        <w:rPr>
          <w:color w:val="0000CC"/>
          <w:lang w:eastAsia="ja-JP"/>
        </w:rPr>
        <w:t>(2.10)</w:t>
      </w:r>
    </w:p>
    <w:p w14:paraId="6022BCE6" w14:textId="2F332055" w:rsidR="00452F6A" w:rsidRDefault="00D74CF2" w:rsidP="00452F6A">
      <w:pPr>
        <w:spacing w:before="120" w:after="120"/>
        <w:rPr>
          <w:rFonts w:eastAsiaTheme="majorEastAsia" w:cstheme="majorBidi"/>
          <w:b/>
          <w:bCs/>
          <w:iCs/>
          <w:color w:val="303F51"/>
          <w:lang w:eastAsia="ja-JP"/>
        </w:rPr>
      </w:pPr>
      <w:r>
        <w:rPr>
          <w:rFonts w:eastAsiaTheme="majorEastAsia" w:cstheme="majorBidi"/>
          <w:b/>
          <w:bCs/>
          <w:iCs/>
          <w:color w:val="303F51"/>
          <w:lang w:eastAsia="ja-JP"/>
        </w:rPr>
        <w:t xml:space="preserve">Overheads </w:t>
      </w:r>
      <w:r w:rsidR="00452F6A">
        <w:rPr>
          <w:rFonts w:eastAsiaTheme="majorEastAsia" w:cstheme="majorBidi"/>
          <w:b/>
          <w:bCs/>
          <w:iCs/>
          <w:color w:val="303F51"/>
          <w:lang w:eastAsia="ja-JP"/>
        </w:rPr>
        <w:t>expenditure</w:t>
      </w:r>
      <w:r w:rsidR="00275DF4">
        <w:rPr>
          <w:rFonts w:eastAsiaTheme="majorEastAsia" w:cstheme="majorBidi"/>
          <w:b/>
          <w:bCs/>
          <w:iCs/>
          <w:color w:val="303F51"/>
          <w:lang w:eastAsia="ja-JP"/>
        </w:rPr>
        <w:t xml:space="preserve"> (</w:t>
      </w:r>
      <w:r w:rsidR="00275DF4">
        <w:rPr>
          <w:rFonts w:eastAsiaTheme="majorEastAsia" w:cstheme="majorBidi"/>
          <w:b/>
          <w:bCs/>
          <w:iCs/>
          <w:color w:val="0000CC"/>
          <w:lang w:eastAsia="ja-JP"/>
        </w:rPr>
        <w:t>table 2.10.1, table 2.10.2)</w:t>
      </w:r>
    </w:p>
    <w:p w14:paraId="2FB59FE8" w14:textId="6B5264C2" w:rsidR="00452F6A" w:rsidRDefault="00452F6A" w:rsidP="00452F6A">
      <w:pPr>
        <w:pStyle w:val="Noparagraph"/>
        <w:ind w:left="567" w:hanging="567"/>
      </w:pPr>
      <w:r w:rsidRPr="006B4E92">
        <w:rPr>
          <w:rFonts w:cs="Arial"/>
          <w:noProof/>
        </w:rPr>
        <w:t>The</w:t>
      </w:r>
      <w:r>
        <w:rPr>
          <w:rFonts w:cs="Arial"/>
          <w:i/>
          <w:noProof/>
        </w:rPr>
        <w:t xml:space="preserve"> </w:t>
      </w:r>
      <w:r w:rsidRPr="00375AB1">
        <w:rPr>
          <w:rFonts w:cs="Arial"/>
          <w:i/>
          <w:noProof/>
        </w:rPr>
        <w:t>TNSP</w:t>
      </w:r>
      <w:r w:rsidRPr="00995FA4">
        <w:rPr>
          <w:rFonts w:cs="Arial"/>
        </w:rPr>
        <w:t xml:space="preserve"> must</w:t>
      </w:r>
      <w:r>
        <w:rPr>
          <w:rFonts w:cs="Arial"/>
        </w:rPr>
        <w:t xml:space="preserve"> report overheads expenditure allocated to </w:t>
      </w:r>
      <w:r w:rsidR="00394014">
        <w:rPr>
          <w:rFonts w:cs="Arial"/>
        </w:rPr>
        <w:t xml:space="preserve">capital </w:t>
      </w:r>
      <w:r>
        <w:rPr>
          <w:rFonts w:cs="Arial"/>
        </w:rPr>
        <w:t>expenditure and disaggregated into service categories</w:t>
      </w:r>
      <w:r w:rsidR="00C44B12">
        <w:rPr>
          <w:rFonts w:cs="Arial"/>
        </w:rPr>
        <w:t xml:space="preserve"> and direct and indirect expenditure</w:t>
      </w:r>
      <w:r>
        <w:t>.</w:t>
      </w:r>
    </w:p>
    <w:p w14:paraId="2EB5F420" w14:textId="6B5A4A69" w:rsidR="000117B5" w:rsidRDefault="000117B5" w:rsidP="000D56B4">
      <w:pPr>
        <w:pStyle w:val="Heading3"/>
        <w:spacing w:after="240"/>
        <w:ind w:left="578" w:hanging="578"/>
        <w:rPr>
          <w:lang w:eastAsia="ja-JP"/>
        </w:rPr>
      </w:pPr>
      <w:bookmarkStart w:id="75" w:name="_Toc162703564"/>
      <w:r>
        <w:rPr>
          <w:lang w:eastAsia="ja-JP"/>
        </w:rPr>
        <w:t>Capex by purpose</w:t>
      </w:r>
      <w:bookmarkEnd w:id="75"/>
      <w:r w:rsidR="005C686D">
        <w:rPr>
          <w:lang w:eastAsia="ja-JP"/>
        </w:rPr>
        <w:t xml:space="preserve"> </w:t>
      </w:r>
      <w:r w:rsidR="005C686D">
        <w:rPr>
          <w:color w:val="0000CC"/>
          <w:lang w:eastAsia="ja-JP"/>
        </w:rPr>
        <w:t>(2.1, 2.2, 2.5, 2.6, 7.5)</w:t>
      </w:r>
    </w:p>
    <w:p w14:paraId="702867F4" w14:textId="582D47BF" w:rsidR="00A006B3" w:rsidRPr="00A006B3" w:rsidRDefault="00A006B3" w:rsidP="00A006B3">
      <w:pPr>
        <w:rPr>
          <w:b/>
          <w:bCs/>
          <w:lang w:eastAsia="ja-JP"/>
        </w:rPr>
      </w:pPr>
      <w:r w:rsidRPr="00A006B3">
        <w:rPr>
          <w:b/>
          <w:bCs/>
          <w:lang w:eastAsia="ja-JP"/>
        </w:rPr>
        <w:t>Capex by purpose</w:t>
      </w:r>
      <w:r w:rsidR="00275DF4">
        <w:rPr>
          <w:b/>
          <w:bCs/>
          <w:lang w:eastAsia="ja-JP"/>
        </w:rPr>
        <w:t xml:space="preserve"> </w:t>
      </w:r>
      <w:r w:rsidR="00275DF4" w:rsidRPr="00275DF4">
        <w:rPr>
          <w:rFonts w:eastAsiaTheme="majorEastAsia" w:cstheme="majorBidi"/>
          <w:b/>
          <w:bCs/>
          <w:iCs/>
          <w:color w:val="0000CC"/>
          <w:lang w:eastAsia="ja-JP"/>
        </w:rPr>
        <w:t>(</w:t>
      </w:r>
      <w:r w:rsidR="00275DF4">
        <w:rPr>
          <w:rFonts w:eastAsiaTheme="majorEastAsia" w:cstheme="majorBidi"/>
          <w:b/>
          <w:bCs/>
          <w:iCs/>
          <w:color w:val="0000CC"/>
          <w:lang w:eastAsia="ja-JP"/>
        </w:rPr>
        <w:t>table 2.1.1)</w:t>
      </w:r>
    </w:p>
    <w:p w14:paraId="15632D25" w14:textId="1E4230A0" w:rsidR="000117B5" w:rsidRDefault="00924B2C" w:rsidP="000D56B4">
      <w:pPr>
        <w:pStyle w:val="Noparagraph"/>
        <w:keepNext/>
        <w:spacing w:after="120"/>
        <w:ind w:left="567" w:hanging="567"/>
      </w:pPr>
      <w:r>
        <w:t>Unless otherwise specified, t</w:t>
      </w:r>
      <w:r w:rsidR="000117B5">
        <w:t xml:space="preserve">he </w:t>
      </w:r>
      <w:r w:rsidR="000117B5" w:rsidRPr="008041FA">
        <w:rPr>
          <w:i/>
        </w:rPr>
        <w:t>TNSP</w:t>
      </w:r>
      <w:r w:rsidR="000117B5">
        <w:t xml:space="preserve"> must report </w:t>
      </w:r>
      <w:r w:rsidR="000117B5" w:rsidRPr="005D526D">
        <w:rPr>
          <w:i/>
        </w:rPr>
        <w:t>capital expenditure</w:t>
      </w:r>
      <w:r w:rsidR="000117B5">
        <w:t xml:space="preserve"> on an “as-incurred” basis.</w:t>
      </w:r>
    </w:p>
    <w:p w14:paraId="18C79CCA" w14:textId="075DC72C" w:rsidR="000117B5" w:rsidRDefault="00757AD1" w:rsidP="000117B5">
      <w:pPr>
        <w:spacing w:before="120" w:after="120"/>
        <w:rPr>
          <w:rFonts w:eastAsiaTheme="majorEastAsia" w:cstheme="majorBidi"/>
          <w:b/>
          <w:bCs/>
          <w:iCs/>
          <w:color w:val="303F51"/>
          <w:lang w:eastAsia="ja-JP"/>
        </w:rPr>
      </w:pPr>
      <w:r>
        <w:rPr>
          <w:rFonts w:eastAsiaTheme="majorEastAsia" w:cstheme="majorBidi"/>
          <w:b/>
          <w:bCs/>
          <w:iCs/>
          <w:color w:val="303F51"/>
          <w:lang w:eastAsia="ja-JP"/>
        </w:rPr>
        <w:t>Total gross capex as incurred</w:t>
      </w:r>
      <w:r w:rsidR="00275DF4">
        <w:rPr>
          <w:rFonts w:eastAsiaTheme="majorEastAsia" w:cstheme="majorBidi"/>
          <w:b/>
          <w:bCs/>
          <w:iCs/>
          <w:color w:val="303F51"/>
          <w:lang w:eastAsia="ja-JP"/>
        </w:rPr>
        <w:t xml:space="preserve"> </w:t>
      </w:r>
      <w:r w:rsidR="00275DF4" w:rsidRPr="00275DF4">
        <w:rPr>
          <w:rFonts w:eastAsiaTheme="majorEastAsia" w:cstheme="majorBidi"/>
          <w:b/>
          <w:bCs/>
          <w:iCs/>
          <w:color w:val="0000CC"/>
          <w:lang w:eastAsia="ja-JP"/>
        </w:rPr>
        <w:t>(</w:t>
      </w:r>
      <w:r w:rsidR="00275DF4">
        <w:rPr>
          <w:rFonts w:eastAsiaTheme="majorEastAsia" w:cstheme="majorBidi"/>
          <w:b/>
          <w:bCs/>
          <w:iCs/>
          <w:color w:val="0000CC"/>
          <w:lang w:eastAsia="ja-JP"/>
        </w:rPr>
        <w:t>table 2.1.1)</w:t>
      </w:r>
    </w:p>
    <w:p w14:paraId="3CD6BBA3" w14:textId="77777777" w:rsidR="000117B5" w:rsidRDefault="000117B5" w:rsidP="000117B5">
      <w:pPr>
        <w:pStyle w:val="Noparagraph"/>
        <w:spacing w:after="120"/>
        <w:ind w:left="567" w:hanging="567"/>
      </w:pPr>
      <w:r>
        <w:t xml:space="preserve">The </w:t>
      </w:r>
      <w:r w:rsidRPr="005D526D">
        <w:rPr>
          <w:i/>
        </w:rPr>
        <w:t>capital expenditure</w:t>
      </w:r>
      <w:r>
        <w:t xml:space="preserve"> for each </w:t>
      </w:r>
      <w:r w:rsidRPr="00375AB1">
        <w:rPr>
          <w:i/>
          <w:iCs w:val="0"/>
        </w:rPr>
        <w:t>AER</w:t>
      </w:r>
      <w:r>
        <w:t xml:space="preserve"> defined purpose must be mutually exclusive and collectively exhaustive.</w:t>
      </w:r>
    </w:p>
    <w:p w14:paraId="14E93648" w14:textId="77777777" w:rsidR="000117B5" w:rsidRPr="006E5EE9" w:rsidRDefault="000117B5" w:rsidP="000117B5">
      <w:pPr>
        <w:pStyle w:val="Noparagraph"/>
        <w:spacing w:after="120"/>
        <w:ind w:left="567" w:hanging="567"/>
      </w:pPr>
      <w:r>
        <w:t>The</w:t>
      </w:r>
      <w:r w:rsidRPr="0027769A">
        <w:rPr>
          <w:i/>
          <w:iCs w:val="0"/>
        </w:rPr>
        <w:t xml:space="preserve"> </w:t>
      </w:r>
      <w:r w:rsidRPr="00375AB1">
        <w:rPr>
          <w:i/>
          <w:iCs w:val="0"/>
        </w:rPr>
        <w:t>TNSP</w:t>
      </w:r>
      <w:r>
        <w:t xml:space="preserve"> must provide a reconciliation between the total </w:t>
      </w:r>
      <w:r w:rsidRPr="005D526D">
        <w:rPr>
          <w:i/>
        </w:rPr>
        <w:t>capital expenditure</w:t>
      </w:r>
      <w:r>
        <w:t xml:space="preserve"> to the </w:t>
      </w:r>
      <w:r w:rsidRPr="005D526D">
        <w:rPr>
          <w:i/>
        </w:rPr>
        <w:t>capital expenditure</w:t>
      </w:r>
      <w:r>
        <w:t xml:space="preserve"> recorded in the</w:t>
      </w:r>
      <w:r w:rsidRPr="0027769A">
        <w:rPr>
          <w:i/>
          <w:iCs w:val="0"/>
        </w:rPr>
        <w:t xml:space="preserve"> </w:t>
      </w:r>
      <w:r w:rsidRPr="00375AB1">
        <w:rPr>
          <w:i/>
          <w:iCs w:val="0"/>
        </w:rPr>
        <w:t>TNSP’s</w:t>
      </w:r>
      <w:r>
        <w:t xml:space="preserve"> </w:t>
      </w:r>
      <w:r w:rsidRPr="003103BC">
        <w:rPr>
          <w:i/>
          <w:iCs w:val="0"/>
        </w:rPr>
        <w:t>Data workbook 08 – asset base – indicative roll forward</w:t>
      </w:r>
      <w:r>
        <w:t>.</w:t>
      </w:r>
    </w:p>
    <w:p w14:paraId="51D4285E" w14:textId="402E703F" w:rsidR="000117B5" w:rsidRDefault="000117B5" w:rsidP="000117B5">
      <w:pPr>
        <w:spacing w:before="120" w:after="120"/>
        <w:rPr>
          <w:rFonts w:eastAsiaTheme="majorEastAsia" w:cstheme="majorBidi"/>
          <w:b/>
          <w:bCs/>
          <w:iCs/>
          <w:color w:val="303F51"/>
          <w:lang w:eastAsia="ja-JP"/>
        </w:rPr>
      </w:pPr>
      <w:r>
        <w:rPr>
          <w:rFonts w:eastAsiaTheme="majorEastAsia" w:cstheme="majorBidi"/>
          <w:b/>
          <w:bCs/>
          <w:iCs/>
          <w:color w:val="303F51"/>
          <w:lang w:eastAsia="ja-JP"/>
        </w:rPr>
        <w:t>Replacement capex by asset category</w:t>
      </w:r>
      <w:r w:rsidR="002609BF">
        <w:rPr>
          <w:rFonts w:eastAsiaTheme="majorEastAsia" w:cstheme="majorBidi"/>
          <w:b/>
          <w:bCs/>
          <w:iCs/>
          <w:color w:val="303F51"/>
          <w:lang w:eastAsia="ja-JP"/>
        </w:rPr>
        <w:t xml:space="preserve"> as commissioned</w:t>
      </w:r>
      <w:r w:rsidR="00275DF4">
        <w:rPr>
          <w:rFonts w:eastAsiaTheme="majorEastAsia" w:cstheme="majorBidi"/>
          <w:b/>
          <w:bCs/>
          <w:iCs/>
          <w:color w:val="303F51"/>
          <w:lang w:eastAsia="ja-JP"/>
        </w:rPr>
        <w:t xml:space="preserve"> </w:t>
      </w:r>
      <w:r w:rsidR="00275DF4" w:rsidRPr="00275DF4">
        <w:rPr>
          <w:rFonts w:eastAsiaTheme="majorEastAsia" w:cstheme="majorBidi"/>
          <w:b/>
          <w:bCs/>
          <w:iCs/>
          <w:color w:val="0000CC"/>
          <w:lang w:eastAsia="ja-JP"/>
        </w:rPr>
        <w:t xml:space="preserve">(table </w:t>
      </w:r>
      <w:r w:rsidR="00275DF4">
        <w:rPr>
          <w:rFonts w:eastAsiaTheme="majorEastAsia" w:cstheme="majorBidi"/>
          <w:b/>
          <w:bCs/>
          <w:iCs/>
          <w:color w:val="0000CC"/>
          <w:lang w:eastAsia="ja-JP"/>
        </w:rPr>
        <w:t>2.2.1)</w:t>
      </w:r>
    </w:p>
    <w:p w14:paraId="2E255548" w14:textId="719F5E02" w:rsidR="007E18FB" w:rsidRDefault="007E18FB" w:rsidP="007E18FB">
      <w:pPr>
        <w:pStyle w:val="Noparagraph"/>
        <w:spacing w:after="120"/>
        <w:ind w:left="567" w:hanging="567"/>
      </w:pPr>
      <w:bookmarkStart w:id="76" w:name="_Hlk124411283"/>
      <w:r>
        <w:t xml:space="preserve">The </w:t>
      </w:r>
      <w:r w:rsidRPr="00A80C08">
        <w:rPr>
          <w:i/>
          <w:iCs w:val="0"/>
        </w:rPr>
        <w:t>TNSP</w:t>
      </w:r>
      <w:r>
        <w:t xml:space="preserve"> must report asset replacement </w:t>
      </w:r>
      <w:r w:rsidRPr="005D526D">
        <w:rPr>
          <w:i/>
        </w:rPr>
        <w:t>capital expenditure</w:t>
      </w:r>
      <w:r>
        <w:t xml:space="preserve"> on a</w:t>
      </w:r>
      <w:r w:rsidR="009A45F3">
        <w:t>n</w:t>
      </w:r>
      <w:r>
        <w:t xml:space="preserve"> as commissioned basis. </w:t>
      </w:r>
    </w:p>
    <w:p w14:paraId="531D918A" w14:textId="14F04570" w:rsidR="000117B5" w:rsidRDefault="000117B5" w:rsidP="000117B5">
      <w:pPr>
        <w:pStyle w:val="Noparagraph"/>
        <w:spacing w:after="120"/>
        <w:ind w:left="567" w:hanging="567"/>
      </w:pPr>
      <w:r>
        <w:t xml:space="preserve">The </w:t>
      </w:r>
      <w:r w:rsidRPr="00A80C08">
        <w:rPr>
          <w:i/>
          <w:iCs w:val="0"/>
        </w:rPr>
        <w:t>TNSP</w:t>
      </w:r>
      <w:r>
        <w:t xml:space="preserve"> must</w:t>
      </w:r>
      <w:bookmarkEnd w:id="76"/>
      <w:r>
        <w:t xml:space="preserve"> report asset replacement </w:t>
      </w:r>
      <w:r w:rsidRPr="005D526D">
        <w:rPr>
          <w:i/>
        </w:rPr>
        <w:t>capital expenditure</w:t>
      </w:r>
      <w:r>
        <w:t xml:space="preserve"> by the prescribed asset class disaggregated into the prescribed asset sub-categories. </w:t>
      </w:r>
    </w:p>
    <w:p w14:paraId="30652A7C" w14:textId="408E9F88" w:rsidR="000117B5" w:rsidRPr="00D86A61" w:rsidRDefault="000117B5" w:rsidP="000117B5">
      <w:pPr>
        <w:pStyle w:val="Noparagraph"/>
      </w:pPr>
      <w:r w:rsidRPr="008E67CA">
        <w:rPr>
          <w:iCs w:val="0"/>
        </w:rPr>
        <w:t xml:space="preserve">Where the </w:t>
      </w:r>
      <w:r w:rsidRPr="008041FA">
        <w:rPr>
          <w:i/>
          <w:iCs w:val="0"/>
        </w:rPr>
        <w:t>TNSP</w:t>
      </w:r>
      <w:r w:rsidRPr="008E67CA">
        <w:rPr>
          <w:iCs w:val="0"/>
        </w:rPr>
        <w:t xml:space="preserve"> considers the prescribed asset classes do not account for an asset on the </w:t>
      </w:r>
      <w:r w:rsidRPr="008041FA">
        <w:rPr>
          <w:i/>
          <w:iCs w:val="0"/>
        </w:rPr>
        <w:t>TNSP</w:t>
      </w:r>
      <w:r w:rsidRPr="008E67CA">
        <w:rPr>
          <w:iCs w:val="0"/>
        </w:rPr>
        <w:t xml:space="preserve">’s network, the </w:t>
      </w:r>
      <w:r w:rsidRPr="008041FA">
        <w:rPr>
          <w:i/>
          <w:iCs w:val="0"/>
        </w:rPr>
        <w:t>TNSP</w:t>
      </w:r>
      <w:r w:rsidRPr="008E67CA">
        <w:rPr>
          <w:iCs w:val="0"/>
        </w:rPr>
        <w:t xml:space="preserve"> must report the asset in the ‘Other by business specified categories’ and must report an appropriate description for that asset.</w:t>
      </w:r>
    </w:p>
    <w:p w14:paraId="341B983C" w14:textId="77777777" w:rsidR="000117B5" w:rsidRDefault="000117B5" w:rsidP="000117B5">
      <w:pPr>
        <w:pStyle w:val="Noparagraph"/>
      </w:pPr>
      <w:r>
        <w:t xml:space="preserve">Where the </w:t>
      </w:r>
      <w:r w:rsidRPr="00375AB1">
        <w:rPr>
          <w:i/>
        </w:rPr>
        <w:t>TNSP</w:t>
      </w:r>
      <w:r>
        <w:t xml:space="preserve"> considers that the prescribed asset class sub-categories do not account for an asset on the </w:t>
      </w:r>
      <w:r w:rsidRPr="00375AB1">
        <w:rPr>
          <w:i/>
        </w:rPr>
        <w:t>TNSP’s</w:t>
      </w:r>
      <w:r>
        <w:t xml:space="preserve"> network, the </w:t>
      </w:r>
      <w:r w:rsidRPr="00375AB1">
        <w:rPr>
          <w:i/>
        </w:rPr>
        <w:t>TNSP</w:t>
      </w:r>
      <w:r>
        <w:rPr>
          <w:i/>
        </w:rPr>
        <w:t xml:space="preserve"> </w:t>
      </w:r>
      <w:r w:rsidRPr="00D86A61">
        <w:t>must</w:t>
      </w:r>
      <w:r>
        <w:t xml:space="preserve"> report the asset in the row “other” under the appropriate prescribed asset class. </w:t>
      </w:r>
      <w:bookmarkStart w:id="77" w:name="_Hlk124518478"/>
      <w:r>
        <w:t xml:space="preserve">The </w:t>
      </w:r>
      <w:r w:rsidRPr="00375AB1">
        <w:rPr>
          <w:i/>
        </w:rPr>
        <w:t>TNSP</w:t>
      </w:r>
      <w:r>
        <w:rPr>
          <w:i/>
        </w:rPr>
        <w:t xml:space="preserve"> </w:t>
      </w:r>
      <w:r w:rsidRPr="00D86A61">
        <w:t>must</w:t>
      </w:r>
      <w:r>
        <w:t xml:space="preserve"> describe the assets reported as “other” for each asset class in the </w:t>
      </w:r>
      <w:r w:rsidRPr="002D113B">
        <w:rPr>
          <w:i/>
        </w:rPr>
        <w:t>basis of preparation</w:t>
      </w:r>
      <w:r>
        <w:t xml:space="preserve">. </w:t>
      </w:r>
      <w:bookmarkEnd w:id="77"/>
    </w:p>
    <w:p w14:paraId="21AC10B0" w14:textId="165DD4D8" w:rsidR="000117B5" w:rsidRDefault="000117B5" w:rsidP="000117B5">
      <w:pPr>
        <w:pStyle w:val="Noparagraph"/>
      </w:pPr>
      <w:r>
        <w:t xml:space="preserve">Where the </w:t>
      </w:r>
      <w:r w:rsidRPr="00375AB1">
        <w:rPr>
          <w:i/>
        </w:rPr>
        <w:t>TNSP</w:t>
      </w:r>
      <w:r>
        <w:t xml:space="preserve"> reports replacement </w:t>
      </w:r>
      <w:r w:rsidRPr="005D526D">
        <w:rPr>
          <w:i/>
        </w:rPr>
        <w:t>capital expenditure</w:t>
      </w:r>
      <w:r>
        <w:t xml:space="preserve"> associated with asset refurbishments/ life extensions, </w:t>
      </w:r>
      <w:r w:rsidRPr="006D21FE">
        <w:t xml:space="preserve">the </w:t>
      </w:r>
      <w:r w:rsidRPr="008041FA">
        <w:rPr>
          <w:i/>
        </w:rPr>
        <w:t>TNSP</w:t>
      </w:r>
      <w:r w:rsidRPr="006D21FE">
        <w:t xml:space="preserve"> must </w:t>
      </w:r>
      <w:r>
        <w:t xml:space="preserve">report the expenditure against the asset class “Other by business specified categories”. Each asset sub-category in this asset class must be described by the equivalent asset sub-category followed by the word “refurbished”. </w:t>
      </w:r>
    </w:p>
    <w:p w14:paraId="6108F013" w14:textId="56B431B3" w:rsidR="000117B5" w:rsidRDefault="000117B5" w:rsidP="000117B5">
      <w:pPr>
        <w:pStyle w:val="Noparagraph"/>
        <w:spacing w:after="120"/>
        <w:ind w:left="567" w:hanging="567"/>
      </w:pPr>
      <w:bookmarkStart w:id="78" w:name="_Hlk125125394"/>
      <w:r>
        <w:lastRenderedPageBreak/>
        <w:t xml:space="preserve">For each row descriptor added in the </w:t>
      </w:r>
      <w:r w:rsidRPr="008E67CA">
        <w:rPr>
          <w:iCs w:val="0"/>
        </w:rPr>
        <w:t>‘Other by business specified categories’</w:t>
      </w:r>
      <w:r>
        <w:t xml:space="preserve">, the </w:t>
      </w:r>
      <w:r w:rsidRPr="00375AB1">
        <w:rPr>
          <w:i/>
        </w:rPr>
        <w:t>TNSP</w:t>
      </w:r>
      <w:r>
        <w:t xml:space="preserve"> must report corresponding operational outputs and asset volumes, as per the requirements in Data workbook 02 – Operational outputs and 03 – Network metrics</w:t>
      </w:r>
      <w:bookmarkEnd w:id="78"/>
      <w:r>
        <w:t>.</w:t>
      </w:r>
    </w:p>
    <w:p w14:paraId="2EEEF553" w14:textId="741935E0" w:rsidR="000117B5" w:rsidRDefault="000117B5" w:rsidP="000117B5">
      <w:pPr>
        <w:spacing w:before="120" w:after="120"/>
        <w:rPr>
          <w:rFonts w:eastAsiaTheme="majorEastAsia" w:cstheme="majorBidi"/>
          <w:b/>
          <w:bCs/>
          <w:iCs/>
          <w:color w:val="303F51"/>
          <w:lang w:eastAsia="ja-JP"/>
        </w:rPr>
      </w:pPr>
      <w:r>
        <w:rPr>
          <w:rFonts w:eastAsiaTheme="majorEastAsia" w:cstheme="majorBidi"/>
          <w:b/>
          <w:bCs/>
          <w:iCs/>
          <w:color w:val="303F51"/>
          <w:lang w:eastAsia="ja-JP"/>
        </w:rPr>
        <w:t>Connection project expenditure</w:t>
      </w:r>
      <w:r w:rsidR="002609BF">
        <w:rPr>
          <w:rFonts w:eastAsiaTheme="majorEastAsia" w:cstheme="majorBidi"/>
          <w:b/>
          <w:bCs/>
          <w:iCs/>
          <w:color w:val="303F51"/>
          <w:lang w:eastAsia="ja-JP"/>
        </w:rPr>
        <w:t xml:space="preserve"> as commissioned</w:t>
      </w:r>
      <w:r w:rsidR="00275DF4">
        <w:rPr>
          <w:rFonts w:eastAsiaTheme="majorEastAsia" w:cstheme="majorBidi"/>
          <w:b/>
          <w:bCs/>
          <w:iCs/>
          <w:color w:val="303F51"/>
          <w:lang w:eastAsia="ja-JP"/>
        </w:rPr>
        <w:t xml:space="preserve"> </w:t>
      </w:r>
      <w:r w:rsidR="00275DF4" w:rsidRPr="00275DF4">
        <w:rPr>
          <w:rFonts w:eastAsiaTheme="majorEastAsia" w:cstheme="majorBidi"/>
          <w:b/>
          <w:bCs/>
          <w:iCs/>
          <w:color w:val="0000CC"/>
          <w:lang w:eastAsia="ja-JP"/>
        </w:rPr>
        <w:t>(</w:t>
      </w:r>
      <w:r w:rsidR="00275DF4">
        <w:rPr>
          <w:rFonts w:eastAsiaTheme="majorEastAsia" w:cstheme="majorBidi"/>
          <w:b/>
          <w:bCs/>
          <w:iCs/>
          <w:color w:val="0000CC"/>
          <w:lang w:eastAsia="ja-JP"/>
        </w:rPr>
        <w:t>table 2.5.1)</w:t>
      </w:r>
    </w:p>
    <w:p w14:paraId="33A7E70A" w14:textId="1EDA3202" w:rsidR="009A45F3" w:rsidRDefault="009A45F3" w:rsidP="000117B5">
      <w:pPr>
        <w:pStyle w:val="Noparagraph"/>
        <w:spacing w:after="120"/>
        <w:ind w:left="567" w:hanging="567"/>
      </w:pPr>
      <w:r>
        <w:t xml:space="preserve">The </w:t>
      </w:r>
      <w:r w:rsidRPr="009A45F3">
        <w:rPr>
          <w:i/>
          <w:iCs w:val="0"/>
        </w:rPr>
        <w:t>TNSP</w:t>
      </w:r>
      <w:r>
        <w:t xml:space="preserve"> must report connection project </w:t>
      </w:r>
      <w:r>
        <w:rPr>
          <w:i/>
          <w:iCs w:val="0"/>
        </w:rPr>
        <w:t xml:space="preserve">capital expenditure </w:t>
      </w:r>
      <w:r>
        <w:t>on an as commissioned basis.</w:t>
      </w:r>
    </w:p>
    <w:p w14:paraId="204644A0" w14:textId="2B99503C" w:rsidR="000117B5" w:rsidRDefault="000117B5" w:rsidP="000117B5">
      <w:pPr>
        <w:pStyle w:val="Noparagraph"/>
        <w:spacing w:after="120"/>
        <w:ind w:left="567" w:hanging="567"/>
      </w:pPr>
      <w:r>
        <w:t xml:space="preserve">The </w:t>
      </w:r>
      <w:r w:rsidRPr="00375AB1">
        <w:rPr>
          <w:i/>
          <w:iCs w:val="0"/>
        </w:rPr>
        <w:t>TNSP</w:t>
      </w:r>
      <w:r w:rsidRPr="00632824">
        <w:rPr>
          <w:i/>
          <w:iCs w:val="0"/>
        </w:rPr>
        <w:t xml:space="preserve"> </w:t>
      </w:r>
      <w:r>
        <w:t xml:space="preserve">must ensure the data reported for connection services reconciles with internal planning models used by the </w:t>
      </w:r>
      <w:r w:rsidRPr="00375AB1">
        <w:rPr>
          <w:i/>
          <w:iCs w:val="0"/>
        </w:rPr>
        <w:t>TNSP</w:t>
      </w:r>
      <w:r>
        <w:t>.</w:t>
      </w:r>
    </w:p>
    <w:p w14:paraId="42C36EF0" w14:textId="77777777" w:rsidR="000117B5" w:rsidRDefault="000117B5" w:rsidP="000117B5">
      <w:pPr>
        <w:pStyle w:val="Noparagraph"/>
        <w:spacing w:after="120"/>
        <w:ind w:left="567" w:hanging="567"/>
      </w:pPr>
      <w:r>
        <w:t xml:space="preserve">The </w:t>
      </w:r>
      <w:r w:rsidRPr="00375AB1">
        <w:rPr>
          <w:i/>
          <w:iCs w:val="0"/>
        </w:rPr>
        <w:t>TNSP</w:t>
      </w:r>
      <w:r>
        <w:t xml:space="preserve"> must report expenditure data as a gross amount and must not subtract customer contributions from expenditure data.</w:t>
      </w:r>
    </w:p>
    <w:p w14:paraId="5E83CB98" w14:textId="77777777" w:rsidR="000117B5" w:rsidRDefault="000117B5" w:rsidP="000117B5">
      <w:pPr>
        <w:pStyle w:val="Noparagraph"/>
        <w:spacing w:after="120"/>
        <w:ind w:left="567" w:hanging="567"/>
      </w:pPr>
      <w:r>
        <w:t xml:space="preserve">The </w:t>
      </w:r>
      <w:r w:rsidRPr="00375AB1">
        <w:rPr>
          <w:i/>
          <w:iCs w:val="0"/>
        </w:rPr>
        <w:t>TNSP</w:t>
      </w:r>
      <w:r>
        <w:t xml:space="preserve"> must report only non-contestable, regulated connection services data, including work performed by third parties on behalf of the</w:t>
      </w:r>
      <w:r w:rsidRPr="0029352B">
        <w:rPr>
          <w:i/>
          <w:iCs w:val="0"/>
        </w:rPr>
        <w:t xml:space="preserve"> </w:t>
      </w:r>
      <w:r w:rsidRPr="00375AB1">
        <w:rPr>
          <w:i/>
          <w:iCs w:val="0"/>
        </w:rPr>
        <w:t>TNSP</w:t>
      </w:r>
      <w:r>
        <w:t>.</w:t>
      </w:r>
    </w:p>
    <w:p w14:paraId="01268155" w14:textId="77777777" w:rsidR="000117B5" w:rsidRPr="00994B8D" w:rsidRDefault="000117B5" w:rsidP="000117B5">
      <w:pPr>
        <w:pStyle w:val="Noparagraph"/>
        <w:spacing w:after="120"/>
        <w:ind w:left="567" w:hanging="567"/>
      </w:pPr>
      <w:r>
        <w:t xml:space="preserve">The </w:t>
      </w:r>
      <w:r w:rsidRPr="00375AB1">
        <w:rPr>
          <w:i/>
          <w:iCs w:val="0"/>
        </w:rPr>
        <w:t>TNSP</w:t>
      </w:r>
      <w:r>
        <w:t xml:space="preserve"> must report augmentation for connections relating to customer connection requests and only as per the definition of connection work. The </w:t>
      </w:r>
      <w:r w:rsidRPr="00375AB1">
        <w:rPr>
          <w:i/>
          <w:iCs w:val="0"/>
        </w:rPr>
        <w:t>TNSP</w:t>
      </w:r>
      <w:r>
        <w:t xml:space="preserve"> must not double count augmentation work; it must be classified by primary purpose as either augmentation or connections works</w:t>
      </w:r>
      <w:r w:rsidRPr="00994B8D">
        <w:t>.</w:t>
      </w:r>
    </w:p>
    <w:p w14:paraId="3D3C37B3" w14:textId="419FDC95" w:rsidR="000117B5" w:rsidRDefault="000117B5" w:rsidP="000117B5">
      <w:pPr>
        <w:spacing w:before="120" w:after="120"/>
        <w:rPr>
          <w:rFonts w:eastAsiaTheme="majorEastAsia" w:cstheme="majorBidi"/>
          <w:b/>
          <w:bCs/>
          <w:iCs/>
          <w:color w:val="303F51"/>
          <w:lang w:eastAsia="ja-JP"/>
        </w:rPr>
      </w:pPr>
      <w:r>
        <w:rPr>
          <w:rFonts w:eastAsiaTheme="majorEastAsia" w:cstheme="majorBidi"/>
          <w:b/>
          <w:bCs/>
          <w:iCs/>
          <w:color w:val="303F51"/>
          <w:lang w:eastAsia="ja-JP"/>
        </w:rPr>
        <w:t>Non-network</w:t>
      </w:r>
      <w:r w:rsidR="00275DF4">
        <w:rPr>
          <w:rFonts w:eastAsiaTheme="majorEastAsia" w:cstheme="majorBidi"/>
          <w:b/>
          <w:bCs/>
          <w:iCs/>
          <w:color w:val="303F51"/>
          <w:lang w:eastAsia="ja-JP"/>
        </w:rPr>
        <w:t xml:space="preserve"> </w:t>
      </w:r>
      <w:r w:rsidR="00275DF4" w:rsidRPr="00275DF4">
        <w:rPr>
          <w:rFonts w:eastAsiaTheme="majorEastAsia" w:cstheme="majorBidi"/>
          <w:b/>
          <w:bCs/>
          <w:iCs/>
          <w:color w:val="0000CC"/>
          <w:lang w:eastAsia="ja-JP"/>
        </w:rPr>
        <w:t>(</w:t>
      </w:r>
      <w:r w:rsidR="00275DF4">
        <w:rPr>
          <w:rFonts w:eastAsiaTheme="majorEastAsia" w:cstheme="majorBidi"/>
          <w:b/>
          <w:bCs/>
          <w:iCs/>
          <w:color w:val="0000CC"/>
          <w:lang w:eastAsia="ja-JP"/>
        </w:rPr>
        <w:t>table 2.6.</w:t>
      </w:r>
      <w:r w:rsidR="005C686D">
        <w:rPr>
          <w:rFonts w:eastAsiaTheme="majorEastAsia" w:cstheme="majorBidi"/>
          <w:b/>
          <w:bCs/>
          <w:iCs/>
          <w:color w:val="0000CC"/>
          <w:lang w:eastAsia="ja-JP"/>
        </w:rPr>
        <w:t>1</w:t>
      </w:r>
      <w:r w:rsidR="00275DF4">
        <w:rPr>
          <w:rFonts w:eastAsiaTheme="majorEastAsia" w:cstheme="majorBidi"/>
          <w:b/>
          <w:bCs/>
          <w:iCs/>
          <w:color w:val="0000CC"/>
          <w:lang w:eastAsia="ja-JP"/>
        </w:rPr>
        <w:t>)</w:t>
      </w:r>
      <w:r w:rsidR="004F724C">
        <w:rPr>
          <w:rFonts w:eastAsiaTheme="majorEastAsia" w:cstheme="majorBidi"/>
          <w:b/>
          <w:bCs/>
          <w:iCs/>
          <w:color w:val="0000CC"/>
          <w:lang w:eastAsia="ja-JP"/>
        </w:rPr>
        <w:t xml:space="preserve"> </w:t>
      </w:r>
    </w:p>
    <w:p w14:paraId="4A31B31B" w14:textId="77777777" w:rsidR="000117B5" w:rsidRDefault="000117B5" w:rsidP="000117B5">
      <w:pPr>
        <w:pStyle w:val="Noparagraph"/>
        <w:spacing w:after="120"/>
        <w:ind w:left="567" w:hanging="567"/>
      </w:pPr>
      <w:r>
        <w:t xml:space="preserve">The </w:t>
      </w:r>
      <w:r w:rsidRPr="00375AB1">
        <w:rPr>
          <w:i/>
        </w:rPr>
        <w:t>TNSP</w:t>
      </w:r>
      <w:r>
        <w:t xml:space="preserve"> must report non-network </w:t>
      </w:r>
      <w:r w:rsidRPr="005D526D">
        <w:rPr>
          <w:i/>
        </w:rPr>
        <w:t>capital expenditure</w:t>
      </w:r>
      <w:r>
        <w:t xml:space="preserve"> as a </w:t>
      </w:r>
      <w:r w:rsidRPr="009C569B">
        <w:rPr>
          <w:i/>
          <w:iCs w:val="0"/>
        </w:rPr>
        <w:t>direct cost</w:t>
      </w:r>
      <w:r>
        <w:t>,</w:t>
      </w:r>
      <w:r w:rsidRPr="003D3FCB">
        <w:t xml:space="preserve"> </w:t>
      </w:r>
      <w:r>
        <w:t xml:space="preserve">irrespective of whether that expenditure is also classified as corporate overheads, network overheads or other </w:t>
      </w:r>
      <w:r w:rsidRPr="005D526D">
        <w:rPr>
          <w:i/>
        </w:rPr>
        <w:t>capital expenditure</w:t>
      </w:r>
      <w:r>
        <w:t xml:space="preserve"> categories. To the extent this results in multiple reporting of expenditures, the </w:t>
      </w:r>
      <w:r w:rsidRPr="00556833">
        <w:rPr>
          <w:i/>
          <w:iCs w:val="0"/>
        </w:rPr>
        <w:t>TNSP</w:t>
      </w:r>
      <w:r>
        <w:t xml:space="preserve"> must identify this in the </w:t>
      </w:r>
      <w:r w:rsidRPr="009C569B">
        <w:rPr>
          <w:i/>
          <w:iCs w:val="0"/>
        </w:rPr>
        <w:t>basis of preparation</w:t>
      </w:r>
      <w:r>
        <w:t xml:space="preserve"> and the reconciliation report required under section 4.15 of this Order.</w:t>
      </w:r>
    </w:p>
    <w:p w14:paraId="6FB0F962" w14:textId="77777777" w:rsidR="000117B5" w:rsidRDefault="000117B5" w:rsidP="000117B5">
      <w:pPr>
        <w:pStyle w:val="Noparagraph"/>
        <w:spacing w:after="120"/>
        <w:ind w:left="567" w:hanging="567"/>
      </w:pPr>
      <w:r>
        <w:t xml:space="preserve">In relation to the Non-network </w:t>
      </w:r>
      <w:proofErr w:type="gramStart"/>
      <w:r>
        <w:t>Other</w:t>
      </w:r>
      <w:proofErr w:type="gramEnd"/>
      <w:r>
        <w:t xml:space="preserve"> expenditure category, if</w:t>
      </w:r>
      <w:r w:rsidRPr="00D37857">
        <w:t xml:space="preserve"> </w:t>
      </w:r>
      <w:r>
        <w:t xml:space="preserve">the </w:t>
      </w:r>
      <w:r w:rsidRPr="00375AB1">
        <w:rPr>
          <w:i/>
          <w:iCs w:val="0"/>
        </w:rPr>
        <w:t>TNSP</w:t>
      </w:r>
      <w:r>
        <w:t xml:space="preserve"> has incurred $1 million or more (nominal) in </w:t>
      </w:r>
      <w:r w:rsidRPr="005D526D">
        <w:rPr>
          <w:i/>
        </w:rPr>
        <w:t>capital expenditure</w:t>
      </w:r>
      <w:r>
        <w:t xml:space="preserve"> over the last five reporting periods for a given type or class of asset (e.g. mobile cranes), the </w:t>
      </w:r>
      <w:r w:rsidRPr="00375AB1">
        <w:rPr>
          <w:i/>
          <w:iCs w:val="0"/>
        </w:rPr>
        <w:t>TNSP</w:t>
      </w:r>
      <w:r>
        <w:t xml:space="preserve"> must report that item separately.</w:t>
      </w:r>
    </w:p>
    <w:p w14:paraId="2F113AA0" w14:textId="604F087D" w:rsidR="000117B5" w:rsidRPr="0070433F" w:rsidRDefault="000117B5" w:rsidP="000117B5">
      <w:pPr>
        <w:keepNext/>
        <w:spacing w:before="120" w:after="120"/>
        <w:rPr>
          <w:rFonts w:eastAsiaTheme="majorEastAsia" w:cstheme="majorBidi"/>
          <w:b/>
          <w:bCs/>
          <w:iCs/>
          <w:color w:val="303F51"/>
          <w:lang w:eastAsia="ja-JP"/>
        </w:rPr>
      </w:pPr>
      <w:bookmarkStart w:id="79" w:name="_Hlk152759707"/>
      <w:r>
        <w:rPr>
          <w:rFonts w:eastAsiaTheme="majorEastAsia" w:cstheme="majorBidi"/>
          <w:b/>
          <w:bCs/>
          <w:iCs/>
          <w:color w:val="303F51"/>
          <w:lang w:eastAsia="ja-JP"/>
        </w:rPr>
        <w:t>Large project</w:t>
      </w:r>
      <w:r w:rsidR="002609BF">
        <w:rPr>
          <w:rFonts w:eastAsiaTheme="majorEastAsia" w:cstheme="majorBidi"/>
          <w:b/>
          <w:bCs/>
          <w:iCs/>
          <w:color w:val="303F51"/>
          <w:lang w:eastAsia="ja-JP"/>
        </w:rPr>
        <w:t>s</w:t>
      </w:r>
      <w:r w:rsidR="004F724C">
        <w:rPr>
          <w:rFonts w:eastAsiaTheme="majorEastAsia" w:cstheme="majorBidi"/>
          <w:b/>
          <w:bCs/>
          <w:iCs/>
          <w:color w:val="303F51"/>
          <w:lang w:eastAsia="ja-JP"/>
        </w:rPr>
        <w:t xml:space="preserve"> </w:t>
      </w:r>
      <w:r w:rsidR="004F724C">
        <w:rPr>
          <w:rFonts w:eastAsiaTheme="majorEastAsia" w:cstheme="majorBidi"/>
          <w:b/>
          <w:bCs/>
          <w:iCs/>
          <w:color w:val="0000CC"/>
          <w:lang w:eastAsia="ja-JP"/>
        </w:rPr>
        <w:t>(table 7.5.</w:t>
      </w:r>
      <w:r w:rsidR="005C686D">
        <w:rPr>
          <w:rFonts w:eastAsiaTheme="majorEastAsia" w:cstheme="majorBidi"/>
          <w:b/>
          <w:bCs/>
          <w:iCs/>
          <w:color w:val="0000CC"/>
          <w:lang w:eastAsia="ja-JP"/>
        </w:rPr>
        <w:t>2</w:t>
      </w:r>
      <w:r w:rsidR="004F724C">
        <w:rPr>
          <w:rFonts w:eastAsiaTheme="majorEastAsia" w:cstheme="majorBidi"/>
          <w:b/>
          <w:bCs/>
          <w:iCs/>
          <w:color w:val="0000CC"/>
          <w:lang w:eastAsia="ja-JP"/>
        </w:rPr>
        <w:t>)</w:t>
      </w:r>
    </w:p>
    <w:p w14:paraId="4302CD63" w14:textId="53058198" w:rsidR="000117B5" w:rsidRDefault="000117B5" w:rsidP="000117B5">
      <w:pPr>
        <w:pStyle w:val="Noparagraph"/>
        <w:spacing w:after="120"/>
        <w:ind w:left="567" w:hanging="567"/>
      </w:pPr>
      <w:r>
        <w:t xml:space="preserve">Data requirements are identified by reference to table headings, row descriptors and column headings. They are represented as input cells - shaded green in the </w:t>
      </w:r>
      <w:r w:rsidRPr="00BA4310">
        <w:rPr>
          <w:i/>
          <w:iCs w:val="0"/>
        </w:rPr>
        <w:t>data workbook</w:t>
      </w:r>
      <w:r>
        <w:rPr>
          <w:i/>
          <w:iCs w:val="0"/>
        </w:rPr>
        <w:t xml:space="preserve"> 0</w:t>
      </w:r>
      <w:r w:rsidR="006D5DF7">
        <w:rPr>
          <w:i/>
          <w:iCs w:val="0"/>
        </w:rPr>
        <w:t>7</w:t>
      </w:r>
      <w:r>
        <w:rPr>
          <w:i/>
          <w:iCs w:val="0"/>
        </w:rPr>
        <w:t xml:space="preserve"> – </w:t>
      </w:r>
      <w:r w:rsidR="006D5DF7">
        <w:rPr>
          <w:i/>
          <w:iCs w:val="0"/>
        </w:rPr>
        <w:t>Capital</w:t>
      </w:r>
      <w:r>
        <w:rPr>
          <w:i/>
          <w:iCs w:val="0"/>
        </w:rPr>
        <w:t xml:space="preserve"> expenditure. </w:t>
      </w:r>
      <w:r w:rsidR="00D95706" w:rsidRPr="00D95706">
        <w:rPr>
          <w:iCs w:val="0"/>
        </w:rPr>
        <w:t>There are no further instructions</w:t>
      </w:r>
      <w:r>
        <w:rPr>
          <w:i/>
          <w:iCs w:val="0"/>
        </w:rPr>
        <w:t>.</w:t>
      </w:r>
    </w:p>
    <w:p w14:paraId="0FDA2406" w14:textId="6C89E387" w:rsidR="006C3849" w:rsidRDefault="006C3849" w:rsidP="00836FDE">
      <w:pPr>
        <w:pStyle w:val="Heading3"/>
        <w:spacing w:after="240"/>
        <w:ind w:left="578" w:hanging="578"/>
        <w:rPr>
          <w:lang w:eastAsia="ja-JP"/>
        </w:rPr>
      </w:pPr>
      <w:bookmarkStart w:id="80" w:name="_Toc162703565"/>
      <w:bookmarkEnd w:id="79"/>
      <w:r>
        <w:rPr>
          <w:lang w:eastAsia="ja-JP"/>
        </w:rPr>
        <w:t>Capex by asset class</w:t>
      </w:r>
      <w:bookmarkEnd w:id="80"/>
      <w:r w:rsidR="00C44ED7">
        <w:rPr>
          <w:lang w:eastAsia="ja-JP"/>
        </w:rPr>
        <w:t xml:space="preserve"> </w:t>
      </w:r>
      <w:bookmarkStart w:id="81" w:name="_Hlk199424923"/>
      <w:r w:rsidR="00C44ED7">
        <w:rPr>
          <w:color w:val="0000CC"/>
          <w:lang w:eastAsia="ja-JP"/>
        </w:rPr>
        <w:t>(2.4)</w:t>
      </w:r>
      <w:bookmarkEnd w:id="81"/>
    </w:p>
    <w:p w14:paraId="29A392E3" w14:textId="3E71FC85" w:rsidR="00080A9A" w:rsidRPr="004F724C" w:rsidRDefault="00080A9A" w:rsidP="00080A9A">
      <w:pPr>
        <w:spacing w:before="120" w:after="120"/>
        <w:rPr>
          <w:rFonts w:eastAsiaTheme="majorEastAsia" w:cstheme="majorBidi"/>
          <w:b/>
          <w:bCs/>
          <w:iCs/>
          <w:color w:val="0000CC"/>
          <w:lang w:eastAsia="ja-JP"/>
        </w:rPr>
      </w:pPr>
      <w:r w:rsidRPr="004B6A05">
        <w:rPr>
          <w:rFonts w:eastAsiaTheme="majorEastAsia" w:cstheme="majorBidi"/>
          <w:b/>
          <w:bCs/>
          <w:iCs/>
          <w:color w:val="303F51"/>
          <w:lang w:eastAsia="ja-JP"/>
        </w:rPr>
        <w:t>Capex – as commissioned</w:t>
      </w:r>
      <w:r w:rsidR="004F724C">
        <w:rPr>
          <w:rFonts w:eastAsiaTheme="majorEastAsia" w:cstheme="majorBidi"/>
          <w:b/>
          <w:bCs/>
          <w:iCs/>
          <w:color w:val="303F51"/>
          <w:lang w:eastAsia="ja-JP"/>
        </w:rPr>
        <w:t xml:space="preserve"> </w:t>
      </w:r>
      <w:bookmarkStart w:id="82" w:name="_Hlk199424941"/>
      <w:r w:rsidR="004F724C">
        <w:rPr>
          <w:rFonts w:eastAsiaTheme="majorEastAsia" w:cstheme="majorBidi"/>
          <w:b/>
          <w:bCs/>
          <w:iCs/>
          <w:color w:val="0000CC"/>
          <w:lang w:eastAsia="ja-JP"/>
        </w:rPr>
        <w:t>(table 2.4.1)</w:t>
      </w:r>
      <w:bookmarkEnd w:id="82"/>
    </w:p>
    <w:p w14:paraId="0346E84F" w14:textId="48C9C00D" w:rsidR="00080A9A" w:rsidRPr="004F724C" w:rsidRDefault="00080A9A" w:rsidP="00080A9A">
      <w:pPr>
        <w:spacing w:before="120" w:after="120"/>
        <w:rPr>
          <w:rFonts w:eastAsiaTheme="majorEastAsia" w:cstheme="majorBidi"/>
          <w:b/>
          <w:bCs/>
          <w:iCs/>
          <w:color w:val="0000CC"/>
          <w:lang w:eastAsia="ja-JP"/>
        </w:rPr>
      </w:pPr>
      <w:r w:rsidRPr="004B6A05">
        <w:rPr>
          <w:rFonts w:eastAsiaTheme="majorEastAsia" w:cstheme="majorBidi"/>
          <w:b/>
          <w:bCs/>
          <w:iCs/>
          <w:color w:val="303F51"/>
          <w:lang w:eastAsia="ja-JP"/>
        </w:rPr>
        <w:t xml:space="preserve">Capex </w:t>
      </w:r>
      <w:r w:rsidR="00A42A82" w:rsidRPr="004B6A05">
        <w:rPr>
          <w:rFonts w:eastAsiaTheme="majorEastAsia" w:cstheme="majorBidi"/>
          <w:b/>
          <w:bCs/>
          <w:iCs/>
          <w:color w:val="303F51"/>
          <w:lang w:eastAsia="ja-JP"/>
        </w:rPr>
        <w:t>–</w:t>
      </w:r>
      <w:r w:rsidRPr="004B6A05">
        <w:rPr>
          <w:rFonts w:eastAsiaTheme="majorEastAsia" w:cstheme="majorBidi"/>
          <w:b/>
          <w:bCs/>
          <w:iCs/>
          <w:color w:val="303F51"/>
          <w:lang w:eastAsia="ja-JP"/>
        </w:rPr>
        <w:t xml:space="preserve"> as incurred</w:t>
      </w:r>
      <w:r w:rsidR="004F724C">
        <w:rPr>
          <w:rFonts w:eastAsiaTheme="majorEastAsia" w:cstheme="majorBidi"/>
          <w:b/>
          <w:bCs/>
          <w:iCs/>
          <w:color w:val="303F51"/>
          <w:lang w:eastAsia="ja-JP"/>
        </w:rPr>
        <w:t xml:space="preserve"> </w:t>
      </w:r>
      <w:bookmarkStart w:id="83" w:name="_Hlk199424947"/>
      <w:r w:rsidR="004F724C">
        <w:rPr>
          <w:rFonts w:eastAsiaTheme="majorEastAsia" w:cstheme="majorBidi"/>
          <w:b/>
          <w:bCs/>
          <w:iCs/>
          <w:color w:val="0000CC"/>
          <w:lang w:eastAsia="ja-JP"/>
        </w:rPr>
        <w:t>(table 2.4.2)</w:t>
      </w:r>
      <w:bookmarkEnd w:id="83"/>
    </w:p>
    <w:p w14:paraId="17B2B362" w14:textId="142C6873" w:rsidR="00DF5E4E" w:rsidRPr="00995FA4" w:rsidRDefault="00DF5E4E" w:rsidP="00DF5E4E">
      <w:pPr>
        <w:pStyle w:val="Noparagraph"/>
        <w:spacing w:after="120"/>
        <w:ind w:left="567" w:hanging="567"/>
        <w:rPr>
          <w:rFonts w:eastAsia="Arial" w:cs="Arial"/>
          <w:b/>
        </w:rPr>
      </w:pPr>
      <w:r w:rsidRPr="006B4E92">
        <w:rPr>
          <w:rFonts w:cs="Arial"/>
          <w:iCs w:val="0"/>
          <w:noProof/>
        </w:rPr>
        <w:t>The</w:t>
      </w:r>
      <w:r>
        <w:rPr>
          <w:rFonts w:cs="Arial"/>
          <w:i/>
          <w:noProof/>
        </w:rPr>
        <w:t xml:space="preserve"> </w:t>
      </w:r>
      <w:r w:rsidR="00375AB1" w:rsidRPr="00375AB1">
        <w:rPr>
          <w:rFonts w:cs="Arial"/>
          <w:i/>
          <w:noProof/>
        </w:rPr>
        <w:t>TNSP</w:t>
      </w:r>
      <w:r w:rsidRPr="00995FA4">
        <w:rPr>
          <w:rFonts w:cs="Arial"/>
          <w:i/>
        </w:rPr>
        <w:t xml:space="preserve"> </w:t>
      </w:r>
      <w:bookmarkStart w:id="84" w:name="_Hlk124517787"/>
      <w:r w:rsidR="00277DE4">
        <w:rPr>
          <w:rFonts w:cs="Arial"/>
        </w:rPr>
        <w:t>must report against</w:t>
      </w:r>
      <w:r w:rsidRPr="00995FA4">
        <w:rPr>
          <w:rFonts w:cs="Arial"/>
        </w:rPr>
        <w:t xml:space="preserve"> </w:t>
      </w:r>
      <w:r w:rsidRPr="00B2561A">
        <w:rPr>
          <w:rFonts w:cs="Arial"/>
          <w:iCs w:val="0"/>
        </w:rPr>
        <w:t>each</w:t>
      </w:r>
      <w:r w:rsidRPr="00995FA4">
        <w:rPr>
          <w:rFonts w:cs="Arial"/>
          <w:i/>
        </w:rPr>
        <w:t xml:space="preserve"> asset class </w:t>
      </w:r>
      <w:r w:rsidRPr="00995FA4">
        <w:rPr>
          <w:rFonts w:cs="Arial"/>
        </w:rPr>
        <w:t xml:space="preserve">specified in its current determination as listed in the </w:t>
      </w:r>
      <w:r w:rsidR="00375AB1" w:rsidRPr="00375AB1">
        <w:rPr>
          <w:rFonts w:cs="Arial"/>
          <w:i/>
        </w:rPr>
        <w:t>AER</w:t>
      </w:r>
      <w:r w:rsidRPr="00995FA4">
        <w:rPr>
          <w:rFonts w:cs="Arial"/>
          <w:i/>
        </w:rPr>
        <w:t>’s</w:t>
      </w:r>
      <w:r w:rsidRPr="00995FA4">
        <w:rPr>
          <w:rFonts w:cs="Arial"/>
        </w:rPr>
        <w:t xml:space="preserve"> final decision </w:t>
      </w:r>
      <w:r w:rsidRPr="00995FA4">
        <w:rPr>
          <w:rFonts w:cs="Arial"/>
          <w:i/>
        </w:rPr>
        <w:t>post-tax revenue model</w:t>
      </w:r>
      <w:r w:rsidRPr="00995FA4">
        <w:rPr>
          <w:rFonts w:cs="Arial"/>
        </w:rPr>
        <w:t>.</w:t>
      </w:r>
      <w:bookmarkEnd w:id="84"/>
    </w:p>
    <w:p w14:paraId="3D986BE0" w14:textId="2F93A9F5" w:rsidR="00DF5E4E" w:rsidRPr="00995FA4" w:rsidRDefault="00277DE4" w:rsidP="00DF5E4E">
      <w:pPr>
        <w:pStyle w:val="Noparagraph"/>
        <w:spacing w:after="120"/>
        <w:ind w:left="567" w:hanging="567"/>
        <w:rPr>
          <w:rFonts w:eastAsia="Arial" w:cs="Arial"/>
        </w:rPr>
      </w:pPr>
      <w:bookmarkStart w:id="85" w:name="_Hlk124517803"/>
      <w:r>
        <w:rPr>
          <w:rFonts w:cs="Arial"/>
          <w:iCs w:val="0"/>
          <w:noProof/>
        </w:rPr>
        <w:t>Where allocations are based on assumptions, t</w:t>
      </w:r>
      <w:r w:rsidR="00DF5E4E" w:rsidRPr="006B4E92">
        <w:rPr>
          <w:rFonts w:cs="Arial"/>
          <w:iCs w:val="0"/>
          <w:noProof/>
        </w:rPr>
        <w:t>he</w:t>
      </w:r>
      <w:r w:rsidR="00DF5E4E">
        <w:rPr>
          <w:rFonts w:cs="Arial"/>
          <w:i/>
          <w:noProof/>
        </w:rPr>
        <w:t xml:space="preserve"> </w:t>
      </w:r>
      <w:bookmarkEnd w:id="85"/>
      <w:r w:rsidR="00375AB1" w:rsidRPr="00375AB1">
        <w:rPr>
          <w:rFonts w:cs="Arial"/>
          <w:i/>
          <w:noProof/>
        </w:rPr>
        <w:t>TNSP</w:t>
      </w:r>
      <w:r w:rsidR="00DF5E4E" w:rsidRPr="00995FA4">
        <w:rPr>
          <w:rFonts w:eastAsia="Arial" w:cs="Arial"/>
          <w:i/>
        </w:rPr>
        <w:t xml:space="preserve"> </w:t>
      </w:r>
      <w:r w:rsidR="00DF5E4E" w:rsidRPr="00995FA4">
        <w:rPr>
          <w:rFonts w:eastAsia="Arial" w:cs="Arial"/>
        </w:rPr>
        <w:t xml:space="preserve">must </w:t>
      </w:r>
      <w:r w:rsidR="00595079">
        <w:rPr>
          <w:rFonts w:eastAsia="Arial" w:cs="Arial"/>
        </w:rPr>
        <w:t>explain</w:t>
      </w:r>
      <w:r w:rsidR="00595079" w:rsidRPr="00995FA4">
        <w:rPr>
          <w:rFonts w:eastAsia="Arial" w:cs="Arial"/>
        </w:rPr>
        <w:t xml:space="preserve"> </w:t>
      </w:r>
      <w:r w:rsidR="00DF5E4E" w:rsidRPr="00995FA4">
        <w:rPr>
          <w:rFonts w:eastAsia="Arial" w:cs="Arial"/>
        </w:rPr>
        <w:t>the allocation method in the</w:t>
      </w:r>
      <w:r w:rsidR="00DF5E4E" w:rsidRPr="00995FA4">
        <w:rPr>
          <w:rFonts w:eastAsia="Arial" w:cs="Arial"/>
          <w:i/>
        </w:rPr>
        <w:t xml:space="preserve"> basis of preparation</w:t>
      </w:r>
      <w:r w:rsidR="00DF5E4E">
        <w:rPr>
          <w:rFonts w:eastAsia="Arial" w:cs="Arial"/>
        </w:rPr>
        <w:t>.</w:t>
      </w:r>
    </w:p>
    <w:p w14:paraId="1B6F4FD6" w14:textId="796EFA83" w:rsidR="00DF5E4E" w:rsidRPr="00995FA4" w:rsidRDefault="00DF5E4E" w:rsidP="00DF5E4E">
      <w:pPr>
        <w:pStyle w:val="Noparagraph"/>
        <w:spacing w:after="120"/>
        <w:ind w:left="567" w:hanging="567"/>
        <w:rPr>
          <w:rFonts w:eastAsia="Arial" w:cs="Arial"/>
          <w:b/>
        </w:rPr>
      </w:pPr>
      <w:r w:rsidRPr="006F4CA7">
        <w:rPr>
          <w:rFonts w:cs="Arial"/>
          <w:iCs w:val="0"/>
          <w:noProof/>
        </w:rPr>
        <w:t xml:space="preserve">The </w:t>
      </w:r>
      <w:r w:rsidR="00375AB1" w:rsidRPr="00375AB1">
        <w:rPr>
          <w:rFonts w:cs="Arial"/>
          <w:i/>
          <w:noProof/>
        </w:rPr>
        <w:t>TNSP</w:t>
      </w:r>
      <w:r>
        <w:rPr>
          <w:rFonts w:cs="Arial"/>
          <w:i/>
          <w:noProof/>
        </w:rPr>
        <w:t xml:space="preserve"> </w:t>
      </w:r>
      <w:r w:rsidRPr="00995FA4">
        <w:rPr>
          <w:rFonts w:cs="Arial"/>
        </w:rPr>
        <w:t>must explain in its</w:t>
      </w:r>
      <w:r w:rsidRPr="00995FA4">
        <w:rPr>
          <w:rFonts w:cs="Arial"/>
          <w:i/>
        </w:rPr>
        <w:t xml:space="preserve"> basis of preparation </w:t>
      </w:r>
      <w:r w:rsidRPr="00995FA4">
        <w:rPr>
          <w:rFonts w:cs="Arial"/>
        </w:rPr>
        <w:t xml:space="preserve">the basis upon which it has reported </w:t>
      </w:r>
      <w:r w:rsidRPr="00995FA4">
        <w:rPr>
          <w:rFonts w:cs="Arial"/>
          <w:i/>
        </w:rPr>
        <w:t>movements in capitalised provisions</w:t>
      </w:r>
      <w:r>
        <w:rPr>
          <w:rFonts w:cs="Arial"/>
        </w:rPr>
        <w:t>.</w:t>
      </w:r>
    </w:p>
    <w:p w14:paraId="185687F5" w14:textId="6D7EA19A" w:rsidR="00DF5E4E" w:rsidRPr="00D0283F" w:rsidRDefault="00DF5E4E" w:rsidP="00083DAC">
      <w:pPr>
        <w:pStyle w:val="Noparagraph"/>
        <w:rPr>
          <w:rFonts w:eastAsia="Arial"/>
          <w:b/>
          <w:i/>
        </w:rPr>
      </w:pPr>
      <w:r w:rsidRPr="00D0283F">
        <w:lastRenderedPageBreak/>
        <w:t xml:space="preserve">Reported provisions are those that have been included in the associated </w:t>
      </w:r>
      <w:r w:rsidR="005D526D" w:rsidRPr="005D526D">
        <w:rPr>
          <w:i/>
        </w:rPr>
        <w:t>capital expenditure</w:t>
      </w:r>
      <w:r w:rsidRPr="00D0283F">
        <w:t>.</w:t>
      </w:r>
      <w:r w:rsidR="00083DAC" w:rsidRPr="00D0283F">
        <w:t xml:space="preserve"> </w:t>
      </w:r>
    </w:p>
    <w:p w14:paraId="4AAA72DB" w14:textId="530A588A" w:rsidR="00DF5E4E" w:rsidRPr="00C334C3" w:rsidRDefault="00DF5E4E" w:rsidP="00DF5E4E">
      <w:pPr>
        <w:pStyle w:val="Noparagraph"/>
        <w:spacing w:after="120"/>
        <w:ind w:left="567" w:hanging="567"/>
        <w:rPr>
          <w:rFonts w:eastAsia="Arial" w:cs="Arial"/>
          <w:b/>
        </w:rPr>
      </w:pPr>
      <w:r w:rsidRPr="006B4E92">
        <w:rPr>
          <w:rFonts w:cs="Arial"/>
          <w:iCs w:val="0"/>
          <w:noProof/>
        </w:rPr>
        <w:t>The</w:t>
      </w:r>
      <w:r>
        <w:rPr>
          <w:rFonts w:cs="Arial"/>
          <w:i/>
          <w:noProof/>
        </w:rPr>
        <w:t xml:space="preserve"> </w:t>
      </w:r>
      <w:r w:rsidR="00375AB1" w:rsidRPr="00375AB1">
        <w:rPr>
          <w:rFonts w:cs="Arial"/>
          <w:i/>
          <w:noProof/>
        </w:rPr>
        <w:t>TNSP</w:t>
      </w:r>
      <w:r w:rsidRPr="00995FA4">
        <w:rPr>
          <w:rFonts w:eastAsia="Arial" w:cs="Arial"/>
          <w:i/>
        </w:rPr>
        <w:t xml:space="preserve"> </w:t>
      </w:r>
      <w:r w:rsidRPr="00995FA4">
        <w:rPr>
          <w:rFonts w:eastAsia="Arial" w:cs="Arial"/>
        </w:rPr>
        <w:t xml:space="preserve">must </w:t>
      </w:r>
      <w:bookmarkStart w:id="86" w:name="_Hlk124517874"/>
      <w:r w:rsidR="00A11058">
        <w:rPr>
          <w:rFonts w:eastAsia="Arial" w:cs="Arial"/>
        </w:rPr>
        <w:t xml:space="preserve">report </w:t>
      </w:r>
      <w:r w:rsidRPr="00995FA4">
        <w:rPr>
          <w:rFonts w:cs="Arial"/>
          <w:i/>
        </w:rPr>
        <w:t>capital expenditure</w:t>
      </w:r>
      <w:r w:rsidRPr="00995FA4">
        <w:rPr>
          <w:rFonts w:cs="Arial"/>
        </w:rPr>
        <w:t xml:space="preserve"> funded by </w:t>
      </w:r>
      <w:r w:rsidRPr="00995FA4">
        <w:rPr>
          <w:rFonts w:cs="Arial"/>
          <w:i/>
        </w:rPr>
        <w:t>capital contributions</w:t>
      </w:r>
      <w:r w:rsidR="007934C7">
        <w:rPr>
          <w:rFonts w:cs="Arial"/>
          <w:i/>
        </w:rPr>
        <w:t>. C</w:t>
      </w:r>
      <w:r w:rsidRPr="00995FA4">
        <w:rPr>
          <w:rFonts w:cs="Arial"/>
          <w:i/>
        </w:rPr>
        <w:t>apital expenditure</w:t>
      </w:r>
      <w:r w:rsidRPr="00995FA4">
        <w:rPr>
          <w:rFonts w:cs="Arial"/>
        </w:rPr>
        <w:t xml:space="preserve"> </w:t>
      </w:r>
      <w:r w:rsidR="00080A9A">
        <w:rPr>
          <w:rFonts w:cs="Arial"/>
        </w:rPr>
        <w:t xml:space="preserve">for each asset class </w:t>
      </w:r>
      <w:r w:rsidR="007934C7">
        <w:rPr>
          <w:rFonts w:cs="Arial"/>
          <w:iCs w:val="0"/>
        </w:rPr>
        <w:t xml:space="preserve">and must include </w:t>
      </w:r>
      <w:r w:rsidR="007934C7" w:rsidRPr="00995FA4">
        <w:rPr>
          <w:rFonts w:cs="Arial"/>
        </w:rPr>
        <w:t xml:space="preserve">the </w:t>
      </w:r>
      <w:r w:rsidR="007934C7" w:rsidRPr="00995FA4">
        <w:rPr>
          <w:rFonts w:cs="Arial"/>
          <w:i/>
        </w:rPr>
        <w:t xml:space="preserve">capital contributions </w:t>
      </w:r>
      <w:r w:rsidRPr="00995FA4">
        <w:rPr>
          <w:rFonts w:cs="Arial"/>
        </w:rPr>
        <w:t xml:space="preserve">as a positive value where relevant. </w:t>
      </w:r>
      <w:bookmarkEnd w:id="86"/>
    </w:p>
    <w:p w14:paraId="080525E3" w14:textId="0190ED5C" w:rsidR="00DF5E4E" w:rsidRPr="005C6710" w:rsidRDefault="00DF5E4E" w:rsidP="00DF5E4E">
      <w:pPr>
        <w:pStyle w:val="Noparagraph"/>
        <w:numPr>
          <w:ilvl w:val="0"/>
          <w:numId w:val="0"/>
        </w:numPr>
        <w:spacing w:after="120"/>
        <w:rPr>
          <w:i/>
          <w:color w:val="303F51"/>
          <w:lang w:eastAsia="ja-JP"/>
        </w:rPr>
      </w:pPr>
      <w:r>
        <w:rPr>
          <w:i/>
          <w:color w:val="303F51"/>
          <w:lang w:eastAsia="ja-JP"/>
        </w:rPr>
        <w:t>Immediate expensing of capex</w:t>
      </w:r>
      <w:r w:rsidR="00C7586B">
        <w:rPr>
          <w:i/>
          <w:color w:val="303F51"/>
          <w:lang w:eastAsia="ja-JP"/>
        </w:rPr>
        <w:t xml:space="preserve"> </w:t>
      </w:r>
      <w:bookmarkStart w:id="87" w:name="_Hlk199424959"/>
      <w:r w:rsidR="00C44ED7" w:rsidRPr="00C44ED7">
        <w:rPr>
          <w:i/>
          <w:color w:val="0000CC"/>
          <w:lang w:eastAsia="ja-JP"/>
        </w:rPr>
        <w:t>(table 2.4.1)</w:t>
      </w:r>
      <w:bookmarkEnd w:id="87"/>
    </w:p>
    <w:p w14:paraId="488B1F46" w14:textId="0E787C3D" w:rsidR="00DF5E4E" w:rsidRPr="00995FA4" w:rsidRDefault="00DF5E4E" w:rsidP="00DF5E4E">
      <w:pPr>
        <w:pStyle w:val="Noparagraph"/>
        <w:spacing w:after="120"/>
        <w:ind w:left="567" w:hanging="567"/>
        <w:rPr>
          <w:rFonts w:eastAsia="Arial" w:cs="Arial"/>
          <w:b/>
        </w:rPr>
      </w:pPr>
      <w:r w:rsidRPr="006B4E92">
        <w:rPr>
          <w:rFonts w:cs="Arial"/>
          <w:iCs w:val="0"/>
          <w:noProof/>
        </w:rPr>
        <w:t>The</w:t>
      </w:r>
      <w:r>
        <w:rPr>
          <w:rFonts w:cs="Arial"/>
          <w:i/>
          <w:noProof/>
        </w:rPr>
        <w:t xml:space="preserve"> </w:t>
      </w:r>
      <w:r w:rsidR="00375AB1" w:rsidRPr="00375AB1">
        <w:rPr>
          <w:rFonts w:cs="Arial"/>
          <w:i/>
          <w:noProof/>
        </w:rPr>
        <w:t>TNSP</w:t>
      </w:r>
      <w:r w:rsidRPr="00367B14">
        <w:rPr>
          <w:rFonts w:cs="Arial"/>
          <w:iCs w:val="0"/>
        </w:rPr>
        <w:t xml:space="preserve"> </w:t>
      </w:r>
      <w:r w:rsidR="00367B14" w:rsidRPr="00367B14">
        <w:rPr>
          <w:rFonts w:cs="Arial"/>
          <w:iCs w:val="0"/>
        </w:rPr>
        <w:t xml:space="preserve">must </w:t>
      </w:r>
      <w:bookmarkStart w:id="88" w:name="_Hlk124517905"/>
      <w:r w:rsidR="0052326C" w:rsidRPr="00367B14">
        <w:rPr>
          <w:rFonts w:cs="Arial"/>
          <w:iCs w:val="0"/>
        </w:rPr>
        <w:t xml:space="preserve">report </w:t>
      </w:r>
      <w:r w:rsidR="00CE461F" w:rsidRPr="007B1CE6">
        <w:rPr>
          <w:rFonts w:cs="Arial"/>
          <w:i/>
        </w:rPr>
        <w:t>immediate expensing capital expenditure</w:t>
      </w:r>
      <w:r w:rsidR="00CE461F" w:rsidRPr="007B1CE6">
        <w:rPr>
          <w:rFonts w:cs="Arial"/>
        </w:rPr>
        <w:t xml:space="preserve"> </w:t>
      </w:r>
      <w:r w:rsidR="0052326C" w:rsidRPr="00367B14">
        <w:rPr>
          <w:rFonts w:cs="Arial"/>
          <w:iCs w:val="0"/>
        </w:rPr>
        <w:t>against</w:t>
      </w:r>
      <w:r w:rsidRPr="00995FA4">
        <w:rPr>
          <w:rFonts w:cs="Arial"/>
        </w:rPr>
        <w:t xml:space="preserve"> </w:t>
      </w:r>
      <w:r w:rsidRPr="00B2561A">
        <w:rPr>
          <w:rFonts w:cs="Arial"/>
          <w:iCs w:val="0"/>
        </w:rPr>
        <w:t>each</w:t>
      </w:r>
      <w:r w:rsidRPr="00995FA4">
        <w:rPr>
          <w:rFonts w:cs="Arial"/>
          <w:i/>
        </w:rPr>
        <w:t xml:space="preserve"> asset class </w:t>
      </w:r>
      <w:r w:rsidRPr="00995FA4">
        <w:rPr>
          <w:rFonts w:cs="Arial"/>
        </w:rPr>
        <w:t xml:space="preserve">specified in its current determination as listed in the </w:t>
      </w:r>
      <w:r w:rsidR="00375AB1" w:rsidRPr="00375AB1">
        <w:rPr>
          <w:rFonts w:cs="Arial"/>
          <w:i/>
        </w:rPr>
        <w:t>AER</w:t>
      </w:r>
      <w:r w:rsidRPr="00995FA4">
        <w:rPr>
          <w:rFonts w:cs="Arial"/>
          <w:i/>
        </w:rPr>
        <w:t>’s</w:t>
      </w:r>
      <w:r w:rsidRPr="00995FA4">
        <w:rPr>
          <w:rFonts w:cs="Arial"/>
        </w:rPr>
        <w:t xml:space="preserve"> final decision in its</w:t>
      </w:r>
      <w:r w:rsidRPr="00995FA4">
        <w:rPr>
          <w:rFonts w:cs="Arial"/>
          <w:i/>
        </w:rPr>
        <w:t xml:space="preserve"> post-tax revenue</w:t>
      </w:r>
      <w:r w:rsidR="001A1CD0">
        <w:rPr>
          <w:rFonts w:cs="Arial"/>
          <w:i/>
        </w:rPr>
        <w:t xml:space="preserve"> model</w:t>
      </w:r>
      <w:r w:rsidRPr="00995FA4">
        <w:rPr>
          <w:rFonts w:cs="Arial"/>
        </w:rPr>
        <w:t>.</w:t>
      </w:r>
    </w:p>
    <w:p w14:paraId="1C3BA7E8" w14:textId="710A2186" w:rsidR="00DF5E4E" w:rsidRDefault="00EF4D57" w:rsidP="00DF5E4E">
      <w:pPr>
        <w:pStyle w:val="Noparagraph"/>
        <w:spacing w:after="120"/>
        <w:ind w:left="567" w:hanging="567"/>
        <w:rPr>
          <w:rFonts w:eastAsia="Arial" w:cs="Arial"/>
        </w:rPr>
      </w:pPr>
      <w:bookmarkStart w:id="89" w:name="_Hlk124517932"/>
      <w:bookmarkEnd w:id="88"/>
      <w:r>
        <w:rPr>
          <w:rFonts w:cs="Arial"/>
          <w:iCs w:val="0"/>
          <w:noProof/>
        </w:rPr>
        <w:t>Where allocations are based on assumptions, t</w:t>
      </w:r>
      <w:r w:rsidR="00DF5E4E" w:rsidRPr="006B4E92">
        <w:rPr>
          <w:rFonts w:cs="Arial"/>
          <w:iCs w:val="0"/>
          <w:noProof/>
        </w:rPr>
        <w:t>he</w:t>
      </w:r>
      <w:r w:rsidR="00DF5E4E">
        <w:rPr>
          <w:rFonts w:cs="Arial"/>
          <w:i/>
          <w:noProof/>
        </w:rPr>
        <w:t xml:space="preserve"> </w:t>
      </w:r>
      <w:bookmarkEnd w:id="89"/>
      <w:r w:rsidR="00375AB1" w:rsidRPr="00375AB1">
        <w:rPr>
          <w:rFonts w:cs="Arial"/>
          <w:i/>
          <w:noProof/>
        </w:rPr>
        <w:t>TNSP</w:t>
      </w:r>
      <w:r w:rsidR="00DF5E4E" w:rsidRPr="00995FA4">
        <w:rPr>
          <w:rFonts w:eastAsia="Arial" w:cs="Arial"/>
          <w:i/>
        </w:rPr>
        <w:t xml:space="preserve"> </w:t>
      </w:r>
      <w:r w:rsidR="00DF5E4E" w:rsidRPr="00995FA4">
        <w:rPr>
          <w:rFonts w:eastAsia="Arial" w:cs="Arial"/>
        </w:rPr>
        <w:t xml:space="preserve">must </w:t>
      </w:r>
      <w:r w:rsidR="00A11058">
        <w:rPr>
          <w:rFonts w:eastAsia="Arial" w:cs="Arial"/>
        </w:rPr>
        <w:t>explain</w:t>
      </w:r>
      <w:r w:rsidR="00A11058" w:rsidRPr="00995FA4">
        <w:rPr>
          <w:rFonts w:eastAsia="Arial" w:cs="Arial"/>
        </w:rPr>
        <w:t xml:space="preserve"> </w:t>
      </w:r>
      <w:r w:rsidR="00DF5E4E" w:rsidRPr="00995FA4">
        <w:rPr>
          <w:rFonts w:eastAsia="Arial" w:cs="Arial"/>
        </w:rPr>
        <w:t xml:space="preserve">the allocation method in </w:t>
      </w:r>
      <w:r w:rsidR="00D778B2">
        <w:rPr>
          <w:rFonts w:eastAsia="Arial" w:cs="Arial"/>
        </w:rPr>
        <w:t>its</w:t>
      </w:r>
      <w:r w:rsidR="00D778B2" w:rsidRPr="00995FA4">
        <w:rPr>
          <w:rFonts w:eastAsia="Arial" w:cs="Arial"/>
          <w:i/>
        </w:rPr>
        <w:t xml:space="preserve"> </w:t>
      </w:r>
      <w:r w:rsidR="00DF5E4E" w:rsidRPr="00995FA4">
        <w:rPr>
          <w:rFonts w:eastAsia="Arial" w:cs="Arial"/>
          <w:i/>
        </w:rPr>
        <w:t>basis of preparation</w:t>
      </w:r>
      <w:r w:rsidR="00DF5E4E">
        <w:rPr>
          <w:rFonts w:eastAsia="Arial" w:cs="Arial"/>
        </w:rPr>
        <w:t>.</w:t>
      </w:r>
    </w:p>
    <w:p w14:paraId="37A54334" w14:textId="0309B64D" w:rsidR="00DF5E4E" w:rsidRPr="007B1CE6" w:rsidRDefault="00DF5E4E" w:rsidP="00DF5E4E">
      <w:pPr>
        <w:pStyle w:val="Noparagraph"/>
        <w:ind w:left="567" w:hanging="567"/>
        <w:rPr>
          <w:rFonts w:cs="Arial"/>
          <w:i/>
        </w:rPr>
      </w:pPr>
      <w:bookmarkStart w:id="90" w:name="_Hlk124517969"/>
      <w:r>
        <w:rPr>
          <w:rFonts w:cs="Arial"/>
        </w:rPr>
        <w:t>T</w:t>
      </w:r>
      <w:r w:rsidRPr="007B1CE6">
        <w:rPr>
          <w:rFonts w:cs="Arial"/>
        </w:rPr>
        <w:t xml:space="preserve">he </w:t>
      </w:r>
      <w:r w:rsidR="00EF4D57">
        <w:rPr>
          <w:rFonts w:cs="Arial"/>
        </w:rPr>
        <w:t>reported value</w:t>
      </w:r>
      <w:r w:rsidR="00EF4D57" w:rsidRPr="007B1CE6">
        <w:rPr>
          <w:rFonts w:cs="Arial"/>
        </w:rPr>
        <w:t xml:space="preserve"> </w:t>
      </w:r>
      <w:r w:rsidRPr="007B1CE6">
        <w:rPr>
          <w:rFonts w:cs="Arial"/>
        </w:rPr>
        <w:t xml:space="preserve">of </w:t>
      </w:r>
      <w:r>
        <w:rPr>
          <w:rFonts w:cs="Arial"/>
        </w:rPr>
        <w:t xml:space="preserve">the </w:t>
      </w:r>
      <w:bookmarkEnd w:id="90"/>
      <w:r w:rsidR="00375AB1" w:rsidRPr="00375AB1">
        <w:rPr>
          <w:rFonts w:cs="Arial"/>
          <w:i/>
          <w:iCs w:val="0"/>
        </w:rPr>
        <w:t>TNSP’s</w:t>
      </w:r>
      <w:r w:rsidRPr="007B1CE6">
        <w:rPr>
          <w:rFonts w:cs="Arial"/>
          <w:i/>
        </w:rPr>
        <w:t xml:space="preserve"> immediate expensing capital expenditure</w:t>
      </w:r>
      <w:r w:rsidRPr="007B1CE6">
        <w:rPr>
          <w:rFonts w:cs="Arial"/>
        </w:rPr>
        <w:t xml:space="preserve"> by </w:t>
      </w:r>
      <w:r w:rsidRPr="007B1CE6">
        <w:rPr>
          <w:rFonts w:cs="Arial"/>
          <w:i/>
        </w:rPr>
        <w:t>asset class</w:t>
      </w:r>
      <w:r w:rsidRPr="007B1CE6">
        <w:rPr>
          <w:rFonts w:cs="Arial"/>
        </w:rPr>
        <w:t xml:space="preserve"> </w:t>
      </w:r>
      <w:r>
        <w:rPr>
          <w:rFonts w:cs="Arial"/>
        </w:rPr>
        <w:t xml:space="preserve">incurred within </w:t>
      </w:r>
      <w:r w:rsidRPr="007B1CE6">
        <w:rPr>
          <w:rFonts w:cs="Arial"/>
        </w:rPr>
        <w:t xml:space="preserve">the </w:t>
      </w:r>
      <w:r>
        <w:rPr>
          <w:rFonts w:cs="Arial"/>
          <w:i/>
        </w:rPr>
        <w:t xml:space="preserve">reporting period </w:t>
      </w:r>
      <w:r w:rsidR="00EF4D57">
        <w:rPr>
          <w:rFonts w:cs="Arial"/>
        </w:rPr>
        <w:t>must</w:t>
      </w:r>
      <w:r w:rsidR="00EF4D57" w:rsidRPr="007B1CE6">
        <w:rPr>
          <w:rFonts w:cs="Arial"/>
        </w:rPr>
        <w:t xml:space="preserve"> </w:t>
      </w:r>
      <w:r w:rsidRPr="007B1CE6">
        <w:rPr>
          <w:rFonts w:cs="Arial"/>
        </w:rPr>
        <w:t xml:space="preserve">be consistent with the value of </w:t>
      </w:r>
      <w:r w:rsidRPr="007B1CE6">
        <w:rPr>
          <w:rFonts w:cs="Arial"/>
          <w:i/>
        </w:rPr>
        <w:t>immediate expensing capital expenditure</w:t>
      </w:r>
      <w:r w:rsidRPr="007B1CE6">
        <w:rPr>
          <w:rFonts w:cs="Arial"/>
        </w:rPr>
        <w:t xml:space="preserve"> </w:t>
      </w:r>
      <w:r>
        <w:rPr>
          <w:rFonts w:cs="Arial"/>
        </w:rPr>
        <w:t xml:space="preserve">that has been or </w:t>
      </w:r>
      <w:r w:rsidR="00EF4D57">
        <w:rPr>
          <w:rFonts w:cs="Arial"/>
        </w:rPr>
        <w:t xml:space="preserve">will </w:t>
      </w:r>
      <w:r>
        <w:rPr>
          <w:rFonts w:cs="Arial"/>
        </w:rPr>
        <w:t>be i</w:t>
      </w:r>
      <w:r w:rsidRPr="007B1CE6">
        <w:rPr>
          <w:rFonts w:cs="Arial"/>
        </w:rPr>
        <w:t>ncluded in the income tax returns lodged by</w:t>
      </w:r>
      <w:r>
        <w:rPr>
          <w:rFonts w:cs="Arial"/>
        </w:rPr>
        <w:t xml:space="preserve"> the </w:t>
      </w:r>
      <w:r w:rsidR="00375AB1" w:rsidRPr="00375AB1">
        <w:rPr>
          <w:rFonts w:cs="Arial"/>
          <w:i/>
          <w:iCs w:val="0"/>
        </w:rPr>
        <w:t>TNSP</w:t>
      </w:r>
      <w:r w:rsidRPr="007B1CE6">
        <w:rPr>
          <w:rFonts w:cs="Arial"/>
        </w:rPr>
        <w:t xml:space="preserve">, whether Federal or NTER, for the </w:t>
      </w:r>
      <w:r>
        <w:rPr>
          <w:rFonts w:cs="Arial"/>
          <w:i/>
        </w:rPr>
        <w:t>reporting period</w:t>
      </w:r>
      <w:r w:rsidRPr="007B1CE6">
        <w:rPr>
          <w:rFonts w:cs="Arial"/>
        </w:rPr>
        <w:t xml:space="preserve">. </w:t>
      </w:r>
      <w:r w:rsidR="00291EDC">
        <w:rPr>
          <w:rFonts w:cs="Arial"/>
        </w:rPr>
        <w:t xml:space="preserve">Where, </w:t>
      </w:r>
      <w:proofErr w:type="gramStart"/>
      <w:r w:rsidR="00291EDC">
        <w:rPr>
          <w:rFonts w:cs="Arial"/>
        </w:rPr>
        <w:t>as a result of</w:t>
      </w:r>
      <w:proofErr w:type="gramEnd"/>
      <w:r w:rsidR="00291EDC">
        <w:rPr>
          <w:rFonts w:cs="Arial"/>
        </w:rPr>
        <w:t xml:space="preserve"> the </w:t>
      </w:r>
      <w:r w:rsidR="00291EDC" w:rsidRPr="007B1CE6">
        <w:rPr>
          <w:rFonts w:cs="Arial"/>
          <w:i/>
        </w:rPr>
        <w:t>ATO</w:t>
      </w:r>
      <w:r w:rsidR="00291EDC" w:rsidRPr="007B1CE6">
        <w:rPr>
          <w:rFonts w:cs="Arial"/>
        </w:rPr>
        <w:t>’s decision-making process</w:t>
      </w:r>
      <w:r w:rsidR="00291EDC">
        <w:rPr>
          <w:rFonts w:cs="Arial"/>
        </w:rPr>
        <w:t xml:space="preserve">, these values </w:t>
      </w:r>
      <w:r w:rsidR="00331B66">
        <w:rPr>
          <w:rFonts w:cs="Arial"/>
        </w:rPr>
        <w:t>change</w:t>
      </w:r>
      <w:r w:rsidR="00E83CE0">
        <w:rPr>
          <w:rFonts w:cs="Arial"/>
        </w:rPr>
        <w:t xml:space="preserve"> </w:t>
      </w:r>
      <w:r w:rsidR="00291EDC">
        <w:rPr>
          <w:rFonts w:cs="Arial"/>
        </w:rPr>
        <w:t>t</w:t>
      </w:r>
      <w:r w:rsidR="00EF4D57">
        <w:rPr>
          <w:rFonts w:cs="Arial"/>
        </w:rPr>
        <w:t xml:space="preserve">he </w:t>
      </w:r>
      <w:r w:rsidR="00EF4D57" w:rsidRPr="00EF4D57">
        <w:rPr>
          <w:rFonts w:cs="Arial"/>
          <w:i/>
          <w:iCs w:val="0"/>
        </w:rPr>
        <w:t>TNSP</w:t>
      </w:r>
      <w:r w:rsidR="00EF4D57">
        <w:rPr>
          <w:rFonts w:cs="Arial"/>
        </w:rPr>
        <w:t xml:space="preserve"> </w:t>
      </w:r>
      <w:r w:rsidR="00E83CE0">
        <w:rPr>
          <w:rFonts w:cs="Arial"/>
        </w:rPr>
        <w:t>must</w:t>
      </w:r>
      <w:r w:rsidR="0033697D">
        <w:rPr>
          <w:rFonts w:cs="Arial"/>
        </w:rPr>
        <w:t xml:space="preserve"> </w:t>
      </w:r>
      <w:r w:rsidR="00E83CE0">
        <w:rPr>
          <w:rFonts w:cs="Arial"/>
        </w:rPr>
        <w:t xml:space="preserve">report the </w:t>
      </w:r>
      <w:r w:rsidR="00EF4D57">
        <w:rPr>
          <w:rFonts w:cs="Arial"/>
        </w:rPr>
        <w:t>update</w:t>
      </w:r>
      <w:r w:rsidR="00E83CE0">
        <w:rPr>
          <w:rFonts w:cs="Arial"/>
        </w:rPr>
        <w:t>d</w:t>
      </w:r>
      <w:r w:rsidR="00EF4D57">
        <w:rPr>
          <w:rFonts w:cs="Arial"/>
        </w:rPr>
        <w:t xml:space="preserve"> </w:t>
      </w:r>
      <w:r w:rsidR="00A944D2">
        <w:rPr>
          <w:rFonts w:cs="Arial"/>
        </w:rPr>
        <w:t>values</w:t>
      </w:r>
      <w:r w:rsidR="00F23166">
        <w:rPr>
          <w:rFonts w:cs="Arial"/>
        </w:rPr>
        <w:t xml:space="preserve"> to the AER</w:t>
      </w:r>
      <w:r w:rsidR="00331B66">
        <w:rPr>
          <w:rFonts w:cs="Arial"/>
        </w:rPr>
        <w:t xml:space="preserve"> through a RIO resubmission</w:t>
      </w:r>
      <w:r w:rsidR="00A944D2">
        <w:rPr>
          <w:rFonts w:cs="Arial"/>
        </w:rPr>
        <w:t>.</w:t>
      </w:r>
      <w:r w:rsidR="00C7586B">
        <w:rPr>
          <w:rFonts w:cs="Arial"/>
        </w:rPr>
        <w:t xml:space="preserve"> </w:t>
      </w:r>
    </w:p>
    <w:p w14:paraId="10B50C81" w14:textId="3EA30DC7" w:rsidR="006C3849" w:rsidRPr="006C3849" w:rsidRDefault="006C3849" w:rsidP="006C3849">
      <w:pPr>
        <w:pStyle w:val="Heading3"/>
        <w:spacing w:after="240"/>
        <w:ind w:left="578" w:hanging="578"/>
        <w:rPr>
          <w:lang w:eastAsia="ja-JP"/>
        </w:rPr>
      </w:pPr>
      <w:bookmarkStart w:id="91" w:name="_Toc162703566"/>
      <w:r>
        <w:rPr>
          <w:lang w:eastAsia="ja-JP"/>
        </w:rPr>
        <w:t xml:space="preserve">Augex </w:t>
      </w:r>
      <w:r w:rsidR="00C44ED7">
        <w:rPr>
          <w:lang w:eastAsia="ja-JP"/>
        </w:rPr>
        <w:t>–</w:t>
      </w:r>
      <w:r>
        <w:rPr>
          <w:lang w:eastAsia="ja-JP"/>
        </w:rPr>
        <w:t xml:space="preserve"> </w:t>
      </w:r>
      <w:r w:rsidR="002609BF">
        <w:rPr>
          <w:lang w:eastAsia="ja-JP"/>
        </w:rPr>
        <w:t>l</w:t>
      </w:r>
      <w:r>
        <w:rPr>
          <w:lang w:eastAsia="ja-JP"/>
        </w:rPr>
        <w:t>ines</w:t>
      </w:r>
      <w:bookmarkEnd w:id="91"/>
      <w:r w:rsidR="00C44ED7">
        <w:rPr>
          <w:lang w:eastAsia="ja-JP"/>
        </w:rPr>
        <w:t xml:space="preserve"> </w:t>
      </w:r>
      <w:r w:rsidR="00C44ED7">
        <w:rPr>
          <w:color w:val="0000CC"/>
          <w:lang w:eastAsia="ja-JP"/>
        </w:rPr>
        <w:t>(2.3)</w:t>
      </w:r>
    </w:p>
    <w:p w14:paraId="00DEA3B9" w14:textId="3FF0B107" w:rsidR="00706A14" w:rsidRDefault="00375AB1" w:rsidP="00706A14">
      <w:pPr>
        <w:pStyle w:val="Noparagraph"/>
        <w:spacing w:after="120"/>
        <w:ind w:left="567" w:hanging="567"/>
      </w:pPr>
      <w:bookmarkStart w:id="92" w:name="_Hlk152759783"/>
      <w:r w:rsidRPr="00375AB1">
        <w:rPr>
          <w:i/>
          <w:iCs w:val="0"/>
        </w:rPr>
        <w:t>TNSP</w:t>
      </w:r>
      <w:r w:rsidR="00706A14">
        <w:t xml:space="preserve"> must </w:t>
      </w:r>
      <w:r w:rsidR="00706A14" w:rsidRPr="008C0E9C">
        <w:t xml:space="preserve">not </w:t>
      </w:r>
      <w:r w:rsidR="00304CAC">
        <w:t>report</w:t>
      </w:r>
      <w:r w:rsidR="00304CAC" w:rsidRPr="008C0E9C">
        <w:t xml:space="preserve"> </w:t>
      </w:r>
      <w:r w:rsidR="00706A14" w:rsidRPr="00706A14">
        <w:t>augmentation</w:t>
      </w:r>
      <w:r w:rsidR="00706A14" w:rsidRPr="008C0E9C">
        <w:t xml:space="preserve"> </w:t>
      </w:r>
      <w:r w:rsidR="00304CAC">
        <w:t>data</w:t>
      </w:r>
      <w:r w:rsidR="00304CAC" w:rsidRPr="008C0E9C">
        <w:t xml:space="preserve"> </w:t>
      </w:r>
      <w:r w:rsidR="00706A14" w:rsidRPr="008C0E9C">
        <w:t xml:space="preserve">relating to </w:t>
      </w:r>
      <w:r w:rsidR="00706A14" w:rsidRPr="00706A14">
        <w:t>connections</w:t>
      </w:r>
      <w:r w:rsidR="00706A14" w:rsidRPr="008C0E9C">
        <w:t xml:space="preserve"> in this </w:t>
      </w:r>
      <w:r w:rsidR="00706A14">
        <w:t>worksheet</w:t>
      </w:r>
      <w:r w:rsidR="00706A14" w:rsidRPr="008C0E9C">
        <w:t>.</w:t>
      </w:r>
    </w:p>
    <w:p w14:paraId="0F5C8B10" w14:textId="0FC424B3" w:rsidR="00706A14" w:rsidRDefault="00375AB1" w:rsidP="00706A14">
      <w:pPr>
        <w:pStyle w:val="Noparagraph"/>
        <w:spacing w:after="120"/>
        <w:ind w:left="567" w:hanging="567"/>
      </w:pPr>
      <w:r w:rsidRPr="00375AB1">
        <w:rPr>
          <w:i/>
          <w:iCs w:val="0"/>
        </w:rPr>
        <w:t>TNSP</w:t>
      </w:r>
      <w:r w:rsidR="00706A14">
        <w:t xml:space="preserve"> </w:t>
      </w:r>
      <w:r w:rsidR="00706A14" w:rsidRPr="009E4E26">
        <w:t xml:space="preserve">must not </w:t>
      </w:r>
      <w:r w:rsidR="00304CAC">
        <w:t>report</w:t>
      </w:r>
      <w:r w:rsidR="00304CAC" w:rsidRPr="009E4E26">
        <w:t xml:space="preserve"> </w:t>
      </w:r>
      <w:r w:rsidR="00706A14" w:rsidRPr="009E4E26">
        <w:t>information for gifted assets.</w:t>
      </w:r>
    </w:p>
    <w:p w14:paraId="12CD8F01" w14:textId="4120111B" w:rsidR="00AC4DAB" w:rsidRPr="00C44ED7" w:rsidRDefault="00AC4DAB" w:rsidP="00AC4DAB">
      <w:pPr>
        <w:spacing w:before="120" w:after="120"/>
        <w:rPr>
          <w:rFonts w:eastAsiaTheme="majorEastAsia" w:cstheme="majorBidi"/>
          <w:b/>
          <w:bCs/>
          <w:iCs/>
          <w:color w:val="0000CC"/>
          <w:lang w:eastAsia="ja-JP"/>
        </w:rPr>
      </w:pPr>
      <w:r>
        <w:rPr>
          <w:rFonts w:eastAsiaTheme="majorEastAsia" w:cstheme="majorBidi"/>
          <w:b/>
          <w:bCs/>
          <w:iCs/>
          <w:color w:val="303F51"/>
          <w:lang w:eastAsia="ja-JP"/>
        </w:rPr>
        <w:t>Project</w:t>
      </w:r>
      <w:r w:rsidR="0075006D">
        <w:rPr>
          <w:rFonts w:eastAsiaTheme="majorEastAsia" w:cstheme="majorBidi"/>
          <w:b/>
          <w:bCs/>
          <w:iCs/>
          <w:color w:val="303F51"/>
          <w:lang w:eastAsia="ja-JP"/>
        </w:rPr>
        <w:t xml:space="preserve"> total expenditure</w:t>
      </w:r>
      <w:r w:rsidR="00C44ED7">
        <w:rPr>
          <w:rFonts w:eastAsiaTheme="majorEastAsia" w:cstheme="majorBidi"/>
          <w:b/>
          <w:bCs/>
          <w:iCs/>
          <w:color w:val="303F51"/>
          <w:lang w:eastAsia="ja-JP"/>
        </w:rPr>
        <w:t xml:space="preserve"> </w:t>
      </w:r>
      <w:r w:rsidR="00C44ED7">
        <w:rPr>
          <w:rFonts w:eastAsiaTheme="majorEastAsia" w:cstheme="majorBidi"/>
          <w:b/>
          <w:bCs/>
          <w:iCs/>
          <w:color w:val="0000CC"/>
          <w:lang w:eastAsia="ja-JP"/>
        </w:rPr>
        <w:t>(table 2.3.2)</w:t>
      </w:r>
    </w:p>
    <w:p w14:paraId="189374F3" w14:textId="2A4CAB41" w:rsidR="00AC4DAB" w:rsidRPr="00DF0AAB" w:rsidRDefault="00FE6C89" w:rsidP="00DF0AAB">
      <w:pPr>
        <w:pStyle w:val="Noparagraph"/>
        <w:spacing w:after="120"/>
        <w:ind w:left="567" w:hanging="567"/>
      </w:pPr>
      <w:r>
        <w:t>The</w:t>
      </w:r>
      <w:r w:rsidRPr="00A06E1A">
        <w:rPr>
          <w:i/>
          <w:iCs w:val="0"/>
        </w:rPr>
        <w:t xml:space="preserve"> </w:t>
      </w:r>
      <w:r w:rsidR="00375AB1" w:rsidRPr="00375AB1">
        <w:rPr>
          <w:i/>
          <w:iCs w:val="0"/>
        </w:rPr>
        <w:t>TNSP</w:t>
      </w:r>
      <w:r>
        <w:t xml:space="preserve"> must report</w:t>
      </w:r>
      <w:r w:rsidRPr="00DF0AAB">
        <w:t xml:space="preserve"> </w:t>
      </w:r>
      <w:r w:rsidR="00AC4DAB" w:rsidRPr="00DF0AAB">
        <w:t>augmentation projects with a total cumulative expenditure over the life of the project of greater than or equal to $5 million (nominal)</w:t>
      </w:r>
      <w:r w:rsidR="00304CAC">
        <w:t xml:space="preserve">, </w:t>
      </w:r>
      <w:r w:rsidR="008371C0" w:rsidRPr="00FE4566">
        <w:t>includ</w:t>
      </w:r>
      <w:r w:rsidR="00304CAC">
        <w:t>ing</w:t>
      </w:r>
      <w:r w:rsidR="008371C0" w:rsidRPr="00FE4566">
        <w:t xml:space="preserve"> </w:t>
      </w:r>
      <w:r w:rsidR="008371C0" w:rsidRPr="00AF2CCF">
        <w:rPr>
          <w:i/>
        </w:rPr>
        <w:t>augmentation</w:t>
      </w:r>
      <w:r w:rsidR="008371C0" w:rsidRPr="00FE4566">
        <w:t xml:space="preserve"> works on any</w:t>
      </w:r>
      <w:r w:rsidR="008371C0">
        <w:t xml:space="preserve"> </w:t>
      </w:r>
      <w:r w:rsidR="008371C0" w:rsidRPr="00AF2CCF">
        <w:rPr>
          <w:i/>
        </w:rPr>
        <w:t>line</w:t>
      </w:r>
      <w:r w:rsidR="008371C0" w:rsidRPr="00FE4566">
        <w:t xml:space="preserve"> </w:t>
      </w:r>
      <w:r w:rsidR="008371C0">
        <w:t xml:space="preserve">or </w:t>
      </w:r>
      <w:r w:rsidR="008371C0" w:rsidRPr="00AF2CCF">
        <w:rPr>
          <w:i/>
        </w:rPr>
        <w:t>cable</w:t>
      </w:r>
      <w:r w:rsidR="008371C0">
        <w:t xml:space="preserve"> in</w:t>
      </w:r>
      <w:r w:rsidR="00304CAC">
        <w:t xml:space="preserve"> the</w:t>
      </w:r>
      <w:r w:rsidR="008371C0">
        <w:t xml:space="preserve"> </w:t>
      </w:r>
      <w:r w:rsidR="00375AB1" w:rsidRPr="00375AB1">
        <w:rPr>
          <w:i/>
          <w:iCs w:val="0"/>
          <w:noProof/>
        </w:rPr>
        <w:t>TNSP’s</w:t>
      </w:r>
      <w:r w:rsidR="008371C0" w:rsidRPr="00FE4566">
        <w:t xml:space="preserve"> </w:t>
      </w:r>
      <w:r w:rsidR="008371C0" w:rsidRPr="008371C0">
        <w:rPr>
          <w:iCs w:val="0"/>
        </w:rPr>
        <w:t>network</w:t>
      </w:r>
      <w:r w:rsidR="008371C0">
        <w:rPr>
          <w:i/>
        </w:rPr>
        <w:t>.</w:t>
      </w:r>
    </w:p>
    <w:p w14:paraId="4CD87AC0" w14:textId="23EDC1F7" w:rsidR="005E4B4A" w:rsidRDefault="00FE6C89" w:rsidP="00DF0AAB">
      <w:pPr>
        <w:pStyle w:val="Noparagraph"/>
        <w:spacing w:after="120"/>
        <w:ind w:left="567" w:hanging="567"/>
      </w:pPr>
      <w:r>
        <w:t>The</w:t>
      </w:r>
      <w:r w:rsidRPr="00A06E1A">
        <w:rPr>
          <w:i/>
          <w:iCs w:val="0"/>
        </w:rPr>
        <w:t xml:space="preserve"> </w:t>
      </w:r>
      <w:r w:rsidR="00375AB1" w:rsidRPr="00375AB1">
        <w:rPr>
          <w:i/>
          <w:iCs w:val="0"/>
        </w:rPr>
        <w:t>TNSP</w:t>
      </w:r>
      <w:r>
        <w:t xml:space="preserve"> must report</w:t>
      </w:r>
      <w:r w:rsidRPr="00DF0AAB">
        <w:t xml:space="preserve"> </w:t>
      </w:r>
      <w:r w:rsidR="005E4B4A" w:rsidRPr="00DF0AAB">
        <w:t>each augmentation project on a line or cable owned and operated by</w:t>
      </w:r>
      <w:r w:rsidR="00304CAC">
        <w:t xml:space="preserve"> the</w:t>
      </w:r>
      <w:r w:rsidR="005E4B4A" w:rsidRPr="00DF0AAB">
        <w:t xml:space="preserve"> </w:t>
      </w:r>
      <w:r w:rsidR="00375AB1" w:rsidRPr="00375AB1">
        <w:rPr>
          <w:i/>
          <w:iCs w:val="0"/>
        </w:rPr>
        <w:t>TNSP</w:t>
      </w:r>
      <w:r w:rsidR="005E4B4A" w:rsidRPr="00DF0AAB">
        <w:t xml:space="preserve"> where </w:t>
      </w:r>
      <w:r w:rsidR="005E4B4A" w:rsidRPr="00DF0AAB">
        <w:rPr>
          <w:i/>
          <w:iCs w:val="0"/>
        </w:rPr>
        <w:t>project close</w:t>
      </w:r>
      <w:r w:rsidR="005E4B4A" w:rsidRPr="00DF0AAB">
        <w:t xml:space="preserve"> occurred </w:t>
      </w:r>
      <w:r>
        <w:t>during</w:t>
      </w:r>
      <w:r w:rsidR="005E4B4A" w:rsidRPr="00DF0AAB">
        <w:t xml:space="preserve"> the</w:t>
      </w:r>
      <w:r w:rsidR="00DF0AAB" w:rsidRPr="00DF0AAB">
        <w:t xml:space="preserve"> reporting period.</w:t>
      </w:r>
    </w:p>
    <w:p w14:paraId="291132BA" w14:textId="76EFCE80" w:rsidR="008371C0" w:rsidRPr="00FE4566" w:rsidRDefault="00C63E6A" w:rsidP="008371C0">
      <w:pPr>
        <w:pStyle w:val="Noparagraph"/>
        <w:spacing w:after="120"/>
        <w:ind w:left="567" w:hanging="567"/>
      </w:pPr>
      <w:r>
        <w:t xml:space="preserve">The </w:t>
      </w:r>
      <w:r w:rsidR="008041FA" w:rsidRPr="008041FA">
        <w:rPr>
          <w:i/>
        </w:rPr>
        <w:t>TNSP</w:t>
      </w:r>
      <w:r>
        <w:t xml:space="preserve"> </w:t>
      </w:r>
      <w:bookmarkStart w:id="93" w:name="_Hlk124518881"/>
      <w:r>
        <w:t xml:space="preserve">must report a project identifier for the </w:t>
      </w:r>
      <w:r w:rsidR="008371C0" w:rsidRPr="00FE4566">
        <w:t>'Project ID'. This may be the project name, location and/or code.</w:t>
      </w:r>
      <w:bookmarkEnd w:id="93"/>
    </w:p>
    <w:p w14:paraId="3FBF6EC6" w14:textId="43668CF5" w:rsidR="008371C0" w:rsidRDefault="00C63E6A" w:rsidP="008371C0">
      <w:pPr>
        <w:pStyle w:val="Noparagraph"/>
        <w:spacing w:after="120"/>
        <w:ind w:left="567" w:hanging="567"/>
      </w:pPr>
      <w:bookmarkStart w:id="94" w:name="_Hlk124518929"/>
      <w:r>
        <w:t xml:space="preserve">The </w:t>
      </w:r>
      <w:r w:rsidR="008041FA" w:rsidRPr="008041FA">
        <w:rPr>
          <w:i/>
        </w:rPr>
        <w:t>TNSP</w:t>
      </w:r>
      <w:r>
        <w:t xml:space="preserve"> must report a line identifier for the </w:t>
      </w:r>
      <w:r w:rsidR="008371C0" w:rsidRPr="00F96F3A">
        <w:t>‘Line ID’</w:t>
      </w:r>
      <w:r>
        <w:t xml:space="preserve"> </w:t>
      </w:r>
      <w:r w:rsidRPr="00F96F3A">
        <w:t xml:space="preserve">for the circuit(s) subject to </w:t>
      </w:r>
      <w:r w:rsidRPr="008371C0">
        <w:t>augmentation</w:t>
      </w:r>
      <w:r w:rsidRPr="00F96F3A">
        <w:t xml:space="preserve"> works under the </w:t>
      </w:r>
      <w:r>
        <w:t>project</w:t>
      </w:r>
      <w:r w:rsidR="008371C0" w:rsidRPr="00F96F3A">
        <w:t>. This may be the circuit name(s), location and/or code.</w:t>
      </w:r>
      <w:r w:rsidR="008371C0">
        <w:t xml:space="preserve"> Multiple line</w:t>
      </w:r>
      <w:r w:rsidR="00011887">
        <w:t>s may be reported against a single Project</w:t>
      </w:r>
      <w:r w:rsidR="008371C0">
        <w:t xml:space="preserve"> ID</w:t>
      </w:r>
      <w:r w:rsidR="00011887">
        <w:t>.</w:t>
      </w:r>
    </w:p>
    <w:bookmarkEnd w:id="94"/>
    <w:p w14:paraId="1C7BFE41" w14:textId="7CABBDF0" w:rsidR="00FE6C89" w:rsidRDefault="00FE6C89" w:rsidP="00DF0AAB">
      <w:pPr>
        <w:pStyle w:val="Noparagraph"/>
        <w:spacing w:after="120"/>
        <w:ind w:left="567" w:hanging="567"/>
      </w:pPr>
      <w:r>
        <w:t>The</w:t>
      </w:r>
      <w:r w:rsidRPr="00A06E1A">
        <w:rPr>
          <w:i/>
          <w:iCs w:val="0"/>
        </w:rPr>
        <w:t xml:space="preserve"> </w:t>
      </w:r>
      <w:r w:rsidR="00375AB1" w:rsidRPr="00375AB1">
        <w:rPr>
          <w:i/>
          <w:iCs w:val="0"/>
        </w:rPr>
        <w:t>TNSP</w:t>
      </w:r>
      <w:r>
        <w:t xml:space="preserve"> must report</w:t>
      </w:r>
      <w:r w:rsidR="00DF0AAB" w:rsidRPr="00DF0AAB">
        <w:t xml:space="preserve"> all expenditures in real dollars, where the real dollar terms are set to the last day of the </w:t>
      </w:r>
      <w:r w:rsidR="00DF0AAB" w:rsidRPr="00FE6C89">
        <w:rPr>
          <w:i/>
          <w:iCs w:val="0"/>
        </w:rPr>
        <w:t>reporting period</w:t>
      </w:r>
      <w:r w:rsidR="00DF0AAB" w:rsidRPr="00DF0AAB">
        <w:t xml:space="preserve"> (</w:t>
      </w:r>
      <w:r w:rsidR="000965B4">
        <w:t>for example,</w:t>
      </w:r>
      <w:r w:rsidR="00DF0AAB" w:rsidRPr="00DF0AAB">
        <w:t xml:space="preserve"> </w:t>
      </w:r>
      <w:r w:rsidR="000965B4">
        <w:t xml:space="preserve">for </w:t>
      </w:r>
      <w:r w:rsidR="00DF0AAB" w:rsidRPr="00DF0AAB">
        <w:t xml:space="preserve">the </w:t>
      </w:r>
      <w:r w:rsidR="00DF0AAB" w:rsidRPr="00FE6C89">
        <w:rPr>
          <w:i/>
          <w:iCs w:val="0"/>
        </w:rPr>
        <w:t>reporting period</w:t>
      </w:r>
      <w:r w:rsidR="00DF0AAB" w:rsidRPr="00DF0AAB">
        <w:t xml:space="preserve"> 1 July 2023 to 30 June 2024, the expenditure is reported in $</w:t>
      </w:r>
      <w:r>
        <w:t xml:space="preserve">real, </w:t>
      </w:r>
      <w:r w:rsidR="00DF0AAB" w:rsidRPr="00DF0AAB">
        <w:t>30 June 2024)</w:t>
      </w:r>
      <w:r>
        <w:t xml:space="preserve">. </w:t>
      </w:r>
    </w:p>
    <w:p w14:paraId="1A7E3383" w14:textId="4111D8C9" w:rsidR="00DF0AAB" w:rsidRDefault="00FE6C89" w:rsidP="00DF0AAB">
      <w:pPr>
        <w:pStyle w:val="Noparagraph"/>
        <w:spacing w:after="120"/>
        <w:ind w:left="567" w:hanging="567"/>
      </w:pPr>
      <w:r>
        <w:t>The</w:t>
      </w:r>
      <w:r w:rsidRPr="00A06E1A">
        <w:rPr>
          <w:i/>
          <w:iCs w:val="0"/>
        </w:rPr>
        <w:t xml:space="preserve"> </w:t>
      </w:r>
      <w:r w:rsidR="00375AB1" w:rsidRPr="00375AB1">
        <w:rPr>
          <w:i/>
          <w:iCs w:val="0"/>
        </w:rPr>
        <w:t>TNSP</w:t>
      </w:r>
      <w:r>
        <w:t xml:space="preserve"> </w:t>
      </w:r>
      <w:r w:rsidR="009F527A">
        <w:t xml:space="preserve">must </w:t>
      </w:r>
      <w:r w:rsidR="000965B4">
        <w:t>explain</w:t>
      </w:r>
      <w:r>
        <w:t xml:space="preserve"> the conversion factors used to derive the real dollar expenditures in </w:t>
      </w:r>
      <w:r w:rsidR="00DE6409">
        <w:t xml:space="preserve">its </w:t>
      </w:r>
      <w:r w:rsidRPr="000965B4">
        <w:rPr>
          <w:i/>
          <w:iCs w:val="0"/>
        </w:rPr>
        <w:t>basis of preparation</w:t>
      </w:r>
      <w:r>
        <w:t>.</w:t>
      </w:r>
      <w:r w:rsidR="008371C0">
        <w:t xml:space="preserve"> </w:t>
      </w:r>
    </w:p>
    <w:p w14:paraId="7B35FD4A" w14:textId="5BA30570" w:rsidR="00011887" w:rsidRDefault="00073B7F" w:rsidP="00422ACD">
      <w:pPr>
        <w:pStyle w:val="Noparagraph"/>
        <w:ind w:left="567" w:hanging="567"/>
      </w:pPr>
      <w:r>
        <w:t xml:space="preserve">Under expenditure </w:t>
      </w:r>
      <w:r w:rsidR="00011887">
        <w:t xml:space="preserve">for towers/poles, </w:t>
      </w:r>
      <w:r>
        <w:t xml:space="preserve">the </w:t>
      </w:r>
      <w:r w:rsidR="00375AB1" w:rsidRPr="00375AB1">
        <w:rPr>
          <w:i/>
        </w:rPr>
        <w:t>TNSP</w:t>
      </w:r>
      <w:r>
        <w:t xml:space="preserve"> must only </w:t>
      </w:r>
      <w:r w:rsidR="000965B4">
        <w:t xml:space="preserve">report </w:t>
      </w:r>
      <w:r w:rsidR="00011887">
        <w:t xml:space="preserve">the procurement costs of the equipment and civil works. This must not include installation </w:t>
      </w:r>
      <w:r>
        <w:t>expenditure or expenditure relating to land and easements</w:t>
      </w:r>
      <w:r w:rsidR="00011887">
        <w:t>.</w:t>
      </w:r>
    </w:p>
    <w:p w14:paraId="6142EC74" w14:textId="18146FA2" w:rsidR="00011887" w:rsidRDefault="00011887" w:rsidP="00606914">
      <w:pPr>
        <w:pStyle w:val="Noparagraph"/>
        <w:spacing w:after="120"/>
        <w:ind w:left="567" w:hanging="567"/>
      </w:pPr>
      <w:r>
        <w:lastRenderedPageBreak/>
        <w:t xml:space="preserve">Under </w:t>
      </w:r>
      <w:r w:rsidR="00073B7F">
        <w:t xml:space="preserve">expenditure </w:t>
      </w:r>
      <w:r>
        <w:t>for lines, cables and ‘other plant item’, respectively,</w:t>
      </w:r>
      <w:r w:rsidR="00073B7F">
        <w:t xml:space="preserve"> the </w:t>
      </w:r>
      <w:r w:rsidR="00375AB1" w:rsidRPr="00375AB1">
        <w:rPr>
          <w:i/>
        </w:rPr>
        <w:t>TNSP</w:t>
      </w:r>
      <w:r w:rsidR="00073B7F">
        <w:t xml:space="preserve"> must</w:t>
      </w:r>
      <w:r>
        <w:t xml:space="preserve"> only </w:t>
      </w:r>
      <w:r w:rsidR="000965B4">
        <w:t xml:space="preserve">report </w:t>
      </w:r>
      <w:r>
        <w:t xml:space="preserve">the procurement costs of the equipment. This must not include installation </w:t>
      </w:r>
      <w:r w:rsidR="00073B7F">
        <w:t>expenditure or expenditure relating to land and easements</w:t>
      </w:r>
      <w:r>
        <w:t>.</w:t>
      </w:r>
    </w:p>
    <w:p w14:paraId="5F75FF9F" w14:textId="64B65C54" w:rsidR="00011887" w:rsidRDefault="00011887" w:rsidP="00606914">
      <w:pPr>
        <w:pStyle w:val="Noparagraph"/>
        <w:spacing w:after="120"/>
        <w:ind w:left="567" w:hanging="567"/>
      </w:pPr>
      <w:r>
        <w:t xml:space="preserve">Under </w:t>
      </w:r>
      <w:r w:rsidR="00073B7F">
        <w:t>expenditure</w:t>
      </w:r>
      <w:r>
        <w:t xml:space="preserve"> for civil works, </w:t>
      </w:r>
      <w:r w:rsidR="00073B7F">
        <w:t xml:space="preserve">the </w:t>
      </w:r>
      <w:r w:rsidR="00375AB1" w:rsidRPr="00375AB1">
        <w:rPr>
          <w:i/>
        </w:rPr>
        <w:t>TNSP</w:t>
      </w:r>
      <w:r w:rsidR="00073B7F">
        <w:t xml:space="preserve"> must</w:t>
      </w:r>
      <w:r>
        <w:t xml:space="preserve"> not </w:t>
      </w:r>
      <w:r w:rsidR="000965B4">
        <w:t xml:space="preserve">report </w:t>
      </w:r>
      <w:r>
        <w:t>civil works expenditure related to towers/poles. As a guide, expenditure</w:t>
      </w:r>
      <w:r w:rsidR="00A17BBA">
        <w:t xml:space="preserve"> the</w:t>
      </w:r>
      <w:r>
        <w:t xml:space="preserve"> </w:t>
      </w:r>
      <w:r w:rsidR="00375AB1" w:rsidRPr="00375AB1">
        <w:rPr>
          <w:i/>
        </w:rPr>
        <w:t>TNSP</w:t>
      </w:r>
      <w:r>
        <w:t xml:space="preserve"> may </w:t>
      </w:r>
      <w:r w:rsidR="00DE6409">
        <w:t xml:space="preserve">report </w:t>
      </w:r>
      <w:r>
        <w:t xml:space="preserve">under </w:t>
      </w:r>
      <w:r w:rsidR="00422ACD">
        <w:t>‘</w:t>
      </w:r>
      <w:r>
        <w:t>Civil works</w:t>
      </w:r>
      <w:r w:rsidR="00422ACD">
        <w:t xml:space="preserve"> expenditure</w:t>
      </w:r>
      <w:r>
        <w:t>’ includes (but is not limited to) construction of access tracks, construction pads and vegetation clearance.</w:t>
      </w:r>
      <w:r w:rsidR="00073B7F">
        <w:t xml:space="preserve"> This must not include installation expenditure or expenditure relating to land and easements.</w:t>
      </w:r>
    </w:p>
    <w:bookmarkEnd w:id="92"/>
    <w:p w14:paraId="794EEC7F" w14:textId="48BFA12D" w:rsidR="00836FDE" w:rsidRPr="00C44ED7" w:rsidRDefault="00AC4DAB" w:rsidP="00836FDE">
      <w:pPr>
        <w:spacing w:before="120" w:after="120"/>
        <w:rPr>
          <w:rFonts w:eastAsiaTheme="majorEastAsia" w:cstheme="majorBidi"/>
          <w:b/>
          <w:bCs/>
          <w:iCs/>
          <w:color w:val="0000CC"/>
          <w:lang w:eastAsia="ja-JP"/>
        </w:rPr>
      </w:pPr>
      <w:r>
        <w:rPr>
          <w:rFonts w:eastAsiaTheme="majorEastAsia" w:cstheme="majorBidi"/>
          <w:b/>
          <w:bCs/>
          <w:iCs/>
          <w:color w:val="303F51"/>
          <w:lang w:eastAsia="ja-JP"/>
        </w:rPr>
        <w:t>Non</w:t>
      </w:r>
      <w:r w:rsidR="00913299">
        <w:rPr>
          <w:rFonts w:eastAsiaTheme="majorEastAsia" w:cstheme="majorBidi"/>
          <w:b/>
          <w:bCs/>
          <w:iCs/>
          <w:color w:val="303F51"/>
          <w:lang w:eastAsia="ja-JP"/>
        </w:rPr>
        <w:t>-</w:t>
      </w:r>
      <w:r>
        <w:rPr>
          <w:rFonts w:eastAsiaTheme="majorEastAsia" w:cstheme="majorBidi"/>
          <w:b/>
          <w:bCs/>
          <w:iCs/>
          <w:color w:val="303F51"/>
          <w:lang w:eastAsia="ja-JP"/>
        </w:rPr>
        <w:t>material projects</w:t>
      </w:r>
      <w:r w:rsidR="00C44ED7">
        <w:rPr>
          <w:rFonts w:eastAsiaTheme="majorEastAsia" w:cstheme="majorBidi"/>
          <w:b/>
          <w:bCs/>
          <w:iCs/>
          <w:color w:val="303F51"/>
          <w:lang w:eastAsia="ja-JP"/>
        </w:rPr>
        <w:t xml:space="preserve"> </w:t>
      </w:r>
      <w:r w:rsidR="00C44ED7">
        <w:rPr>
          <w:rFonts w:eastAsiaTheme="majorEastAsia" w:cstheme="majorBidi"/>
          <w:b/>
          <w:bCs/>
          <w:iCs/>
          <w:color w:val="0000CC"/>
          <w:lang w:eastAsia="ja-JP"/>
        </w:rPr>
        <w:t>(table 2.3.2)</w:t>
      </w:r>
    </w:p>
    <w:p w14:paraId="21405DC0" w14:textId="45996A8E" w:rsidR="00AC4DAB" w:rsidRDefault="00A17BBA" w:rsidP="00606914">
      <w:pPr>
        <w:pStyle w:val="Noparagraph"/>
        <w:spacing w:after="120"/>
        <w:ind w:left="567" w:hanging="567"/>
      </w:pPr>
      <w:r>
        <w:rPr>
          <w:iCs w:val="0"/>
        </w:rPr>
        <w:t xml:space="preserve">The </w:t>
      </w:r>
      <w:r w:rsidR="00375AB1" w:rsidRPr="00375AB1">
        <w:rPr>
          <w:i/>
        </w:rPr>
        <w:t>TNSP</w:t>
      </w:r>
      <w:r w:rsidR="00AC4DAB">
        <w:t xml:space="preserve"> must </w:t>
      </w:r>
      <w:r>
        <w:t xml:space="preserve">report </w:t>
      </w:r>
      <w:r w:rsidR="00AC4DAB">
        <w:t>augmentation</w:t>
      </w:r>
      <w:r w:rsidR="00AC4DAB" w:rsidRPr="00FE4566">
        <w:t xml:space="preserve"> projects with a total cumulative expenditure over the life of the project of </w:t>
      </w:r>
      <w:r w:rsidR="00AC4DAB">
        <w:t>less than</w:t>
      </w:r>
      <w:r w:rsidR="00AC4DAB" w:rsidRPr="00FE4566">
        <w:t xml:space="preserve"> $5 million</w:t>
      </w:r>
      <w:r w:rsidR="00AC4DAB">
        <w:t xml:space="preserve"> (nominal), as non-material projects.</w:t>
      </w:r>
    </w:p>
    <w:p w14:paraId="61CF348B" w14:textId="5101C660" w:rsidR="00422ACD" w:rsidRDefault="00422ACD" w:rsidP="00422ACD">
      <w:pPr>
        <w:pStyle w:val="Noparagraph"/>
        <w:spacing w:after="120"/>
        <w:ind w:left="567" w:hanging="567"/>
      </w:pPr>
      <w:r>
        <w:t>The</w:t>
      </w:r>
      <w:r w:rsidRPr="00A06E1A">
        <w:rPr>
          <w:i/>
          <w:iCs w:val="0"/>
        </w:rPr>
        <w:t xml:space="preserve"> </w:t>
      </w:r>
      <w:r w:rsidR="00375AB1" w:rsidRPr="00375AB1">
        <w:rPr>
          <w:i/>
          <w:iCs w:val="0"/>
        </w:rPr>
        <w:t>TNSP</w:t>
      </w:r>
      <w:r>
        <w:t xml:space="preserve"> must report</w:t>
      </w:r>
      <w:r w:rsidRPr="00DF0AAB">
        <w:t xml:space="preserve"> each augmentation project on a line or cable owned and operated by </w:t>
      </w:r>
      <w:r w:rsidR="00375AB1" w:rsidRPr="00375AB1">
        <w:rPr>
          <w:i/>
          <w:iCs w:val="0"/>
        </w:rPr>
        <w:t>TNSP</w:t>
      </w:r>
      <w:r w:rsidRPr="00DF0AAB">
        <w:t xml:space="preserve"> where </w:t>
      </w:r>
      <w:r w:rsidRPr="00DF0AAB">
        <w:rPr>
          <w:i/>
          <w:iCs w:val="0"/>
        </w:rPr>
        <w:t>project close</w:t>
      </w:r>
      <w:r w:rsidRPr="00DF0AAB">
        <w:t xml:space="preserve"> </w:t>
      </w:r>
      <w:r w:rsidR="00606914">
        <w:t xml:space="preserve">for the non-material projects </w:t>
      </w:r>
      <w:r w:rsidRPr="00DF0AAB">
        <w:t xml:space="preserve">occurred </w:t>
      </w:r>
      <w:r>
        <w:t>during</w:t>
      </w:r>
      <w:r w:rsidRPr="00DF0AAB">
        <w:t xml:space="preserve"> the reporting period.</w:t>
      </w:r>
    </w:p>
    <w:p w14:paraId="5F7D5C85" w14:textId="073631BB" w:rsidR="00606914" w:rsidRDefault="00606914" w:rsidP="00606914">
      <w:pPr>
        <w:pStyle w:val="Noparagraph"/>
        <w:spacing w:after="120"/>
        <w:ind w:left="567" w:hanging="567"/>
      </w:pPr>
      <w:r>
        <w:t>The</w:t>
      </w:r>
      <w:r w:rsidRPr="00A06E1A">
        <w:rPr>
          <w:i/>
          <w:iCs w:val="0"/>
        </w:rPr>
        <w:t xml:space="preserve"> </w:t>
      </w:r>
      <w:r w:rsidR="00375AB1" w:rsidRPr="00375AB1">
        <w:rPr>
          <w:i/>
          <w:iCs w:val="0"/>
        </w:rPr>
        <w:t>TNSP</w:t>
      </w:r>
      <w:r>
        <w:t xml:space="preserve"> must report</w:t>
      </w:r>
      <w:r w:rsidRPr="00DF0AAB">
        <w:t xml:space="preserve"> all expenditures in real dollars, where the real dollars terms are set to the last day of the </w:t>
      </w:r>
      <w:r w:rsidRPr="00FE6C89">
        <w:rPr>
          <w:i/>
          <w:iCs w:val="0"/>
        </w:rPr>
        <w:t>reporting period</w:t>
      </w:r>
      <w:r w:rsidRPr="00DF0AAB">
        <w:t xml:space="preserve"> (</w:t>
      </w:r>
      <w:r w:rsidR="00A17BBA">
        <w:t xml:space="preserve">for example, for </w:t>
      </w:r>
      <w:r w:rsidRPr="00DF0AAB">
        <w:t xml:space="preserve">the </w:t>
      </w:r>
      <w:r w:rsidRPr="00FE6C89">
        <w:rPr>
          <w:i/>
          <w:iCs w:val="0"/>
        </w:rPr>
        <w:t>reporting period</w:t>
      </w:r>
      <w:r w:rsidRPr="00DF0AAB">
        <w:t xml:space="preserve"> 1 July 2023 to 30 June 2024, the expenditure is reported in $</w:t>
      </w:r>
      <w:r>
        <w:t xml:space="preserve">real, </w:t>
      </w:r>
      <w:r w:rsidRPr="00DF0AAB">
        <w:t>30 June 2024)</w:t>
      </w:r>
      <w:r>
        <w:t xml:space="preserve">. </w:t>
      </w:r>
    </w:p>
    <w:p w14:paraId="67535439" w14:textId="3C9BF866" w:rsidR="00606914" w:rsidRDefault="00606914" w:rsidP="00606914">
      <w:pPr>
        <w:pStyle w:val="Noparagraph"/>
        <w:spacing w:after="120"/>
        <w:ind w:left="567" w:hanging="567"/>
      </w:pPr>
      <w:r>
        <w:t>The</w:t>
      </w:r>
      <w:r w:rsidRPr="00A06E1A">
        <w:rPr>
          <w:i/>
          <w:iCs w:val="0"/>
        </w:rPr>
        <w:t xml:space="preserve"> </w:t>
      </w:r>
      <w:r w:rsidR="00375AB1" w:rsidRPr="00375AB1">
        <w:rPr>
          <w:i/>
          <w:iCs w:val="0"/>
        </w:rPr>
        <w:t>TNSP</w:t>
      </w:r>
      <w:r>
        <w:t xml:space="preserve"> </w:t>
      </w:r>
      <w:r w:rsidR="009F527A">
        <w:t xml:space="preserve">must </w:t>
      </w:r>
      <w:r w:rsidR="00A17BBA">
        <w:t>explain</w:t>
      </w:r>
      <w:r>
        <w:t xml:space="preserve"> the conversion factors used to derive the real dollar expenditures in the </w:t>
      </w:r>
      <w:r w:rsidRPr="00A17BBA">
        <w:rPr>
          <w:i/>
          <w:iCs w:val="0"/>
        </w:rPr>
        <w:t>basis of preparation</w:t>
      </w:r>
      <w:r>
        <w:t xml:space="preserve">. </w:t>
      </w:r>
    </w:p>
    <w:p w14:paraId="3C4EFF7C" w14:textId="715E8813" w:rsidR="00836FDE" w:rsidRDefault="00836FDE" w:rsidP="00836FDE">
      <w:pPr>
        <w:pStyle w:val="Heading2"/>
      </w:pPr>
      <w:bookmarkStart w:id="95" w:name="_Toc121724730"/>
      <w:bookmarkStart w:id="96" w:name="_Toc162703567"/>
      <w:bookmarkStart w:id="97" w:name="_Hlk134009235"/>
      <w:bookmarkEnd w:id="73"/>
      <w:r>
        <w:lastRenderedPageBreak/>
        <w:t xml:space="preserve">Workbook </w:t>
      </w:r>
      <w:r w:rsidR="007E0318">
        <w:t xml:space="preserve">08 </w:t>
      </w:r>
      <w:r>
        <w:t>– Asset base values</w:t>
      </w:r>
      <w:bookmarkEnd w:id="95"/>
      <w:bookmarkEnd w:id="96"/>
    </w:p>
    <w:p w14:paraId="0B0F1BF9" w14:textId="02E43DFB" w:rsidR="00836FDE" w:rsidRPr="00025978" w:rsidRDefault="004C137E" w:rsidP="00025978">
      <w:pPr>
        <w:pStyle w:val="Heading3"/>
        <w:spacing w:after="240"/>
        <w:ind w:left="578" w:hanging="578"/>
        <w:rPr>
          <w:lang w:eastAsia="ja-JP"/>
        </w:rPr>
      </w:pPr>
      <w:bookmarkStart w:id="98" w:name="_Toc162703568"/>
      <w:bookmarkStart w:id="99" w:name="_Hlk152759955"/>
      <w:r w:rsidRPr="00025978">
        <w:rPr>
          <w:lang w:eastAsia="ja-JP"/>
        </w:rPr>
        <w:t>Regulatory accounts (PTS)</w:t>
      </w:r>
      <w:bookmarkEnd w:id="98"/>
      <w:r w:rsidR="003E6476">
        <w:rPr>
          <w:lang w:eastAsia="ja-JP"/>
        </w:rPr>
        <w:t xml:space="preserve"> </w:t>
      </w:r>
      <w:bookmarkStart w:id="100" w:name="_Hlk199426115"/>
      <w:r w:rsidR="003E6476">
        <w:rPr>
          <w:color w:val="0000CC"/>
          <w:lang w:eastAsia="ja-JP"/>
        </w:rPr>
        <w:t>(8.6, 3.3)</w:t>
      </w:r>
      <w:bookmarkEnd w:id="100"/>
    </w:p>
    <w:p w14:paraId="54701846" w14:textId="1E6DB40D" w:rsidR="004C137E" w:rsidRPr="00060557" w:rsidRDefault="004C137E" w:rsidP="004C137E">
      <w:pPr>
        <w:spacing w:before="120" w:after="120"/>
        <w:rPr>
          <w:rFonts w:eastAsiaTheme="majorEastAsia" w:cstheme="majorBidi"/>
          <w:i/>
          <w:color w:val="0000CC"/>
          <w:lang w:eastAsia="ja-JP"/>
        </w:rPr>
      </w:pPr>
      <w:r>
        <w:rPr>
          <w:rFonts w:eastAsiaTheme="majorEastAsia" w:cstheme="majorBidi"/>
          <w:i/>
          <w:color w:val="303F51"/>
          <w:lang w:eastAsia="ja-JP"/>
        </w:rPr>
        <w:t>Indicative total regulatory asset base roll forward (within period)</w:t>
      </w:r>
      <w:bookmarkStart w:id="101" w:name="_Hlk199426125"/>
      <w:r w:rsidR="00060557">
        <w:rPr>
          <w:rFonts w:eastAsiaTheme="majorEastAsia" w:cstheme="majorBidi"/>
          <w:i/>
          <w:color w:val="303F51"/>
          <w:lang w:eastAsia="ja-JP"/>
        </w:rPr>
        <w:t xml:space="preserve"> </w:t>
      </w:r>
      <w:r w:rsidR="00060557">
        <w:rPr>
          <w:rFonts w:eastAsiaTheme="majorEastAsia" w:cstheme="majorBidi"/>
          <w:i/>
          <w:color w:val="0000CC"/>
          <w:lang w:eastAsia="ja-JP"/>
        </w:rPr>
        <w:t>(</w:t>
      </w:r>
      <w:r w:rsidR="00EA4403">
        <w:rPr>
          <w:rFonts w:eastAsiaTheme="majorEastAsia" w:cstheme="majorBidi"/>
          <w:i/>
          <w:color w:val="0000CC"/>
          <w:lang w:eastAsia="ja-JP"/>
        </w:rPr>
        <w:t xml:space="preserve">table 8.6.1, </w:t>
      </w:r>
      <w:r w:rsidR="00060557">
        <w:rPr>
          <w:rFonts w:eastAsiaTheme="majorEastAsia" w:cstheme="majorBidi"/>
          <w:i/>
          <w:color w:val="0000CC"/>
          <w:lang w:eastAsia="ja-JP"/>
        </w:rPr>
        <w:t>table 8.6.2)</w:t>
      </w:r>
      <w:bookmarkEnd w:id="101"/>
    </w:p>
    <w:p w14:paraId="6B600813" w14:textId="32CD0E81" w:rsidR="004C137E" w:rsidRPr="002544A0" w:rsidRDefault="004C137E" w:rsidP="004C137E">
      <w:pPr>
        <w:spacing w:before="120" w:after="120"/>
        <w:rPr>
          <w:rFonts w:eastAsiaTheme="majorEastAsia" w:cstheme="majorBidi"/>
          <w:i/>
          <w:color w:val="303F51"/>
          <w:lang w:eastAsia="ja-JP"/>
        </w:rPr>
      </w:pPr>
      <w:r>
        <w:rPr>
          <w:rFonts w:eastAsiaTheme="majorEastAsia" w:cstheme="majorBidi"/>
          <w:i/>
          <w:color w:val="303F51"/>
          <w:lang w:eastAsia="ja-JP"/>
        </w:rPr>
        <w:t>Indicative total tax asset base roll forward (within period)</w:t>
      </w:r>
      <w:r w:rsidRPr="002544A0">
        <w:rPr>
          <w:rFonts w:eastAsiaTheme="majorEastAsia" w:cstheme="majorBidi"/>
          <w:i/>
          <w:color w:val="303F51"/>
          <w:lang w:eastAsia="ja-JP"/>
        </w:rPr>
        <w:t xml:space="preserve"> </w:t>
      </w:r>
      <w:bookmarkStart w:id="102" w:name="_Hlk199426131"/>
      <w:r w:rsidR="00060557">
        <w:rPr>
          <w:rFonts w:eastAsiaTheme="majorEastAsia" w:cstheme="majorBidi"/>
          <w:i/>
          <w:color w:val="0000CC"/>
          <w:lang w:eastAsia="ja-JP"/>
        </w:rPr>
        <w:t>(table 8.6.2)</w:t>
      </w:r>
      <w:bookmarkEnd w:id="102"/>
    </w:p>
    <w:p w14:paraId="5E22A827" w14:textId="13940163" w:rsidR="004C137E" w:rsidRDefault="004C137E" w:rsidP="004C137E">
      <w:pPr>
        <w:pStyle w:val="Noparagraph"/>
        <w:ind w:left="567" w:hanging="567"/>
      </w:pPr>
      <w:r w:rsidRPr="002544A0">
        <w:t xml:space="preserve">The </w:t>
      </w:r>
      <w:r w:rsidR="00375AB1" w:rsidRPr="00375AB1">
        <w:rPr>
          <w:i/>
          <w:iCs w:val="0"/>
        </w:rPr>
        <w:t>TNSP</w:t>
      </w:r>
      <w:r w:rsidRPr="002544A0">
        <w:t xml:space="preserve"> must report the required </w:t>
      </w:r>
      <w:r w:rsidR="00A17BBA">
        <w:t>data</w:t>
      </w:r>
      <w:r w:rsidR="00A17BBA" w:rsidRPr="002544A0">
        <w:t xml:space="preserve"> </w:t>
      </w:r>
      <w:r w:rsidRPr="002544A0">
        <w:t xml:space="preserve">in accordance with the </w:t>
      </w:r>
      <w:r w:rsidR="00375AB1" w:rsidRPr="00375AB1">
        <w:rPr>
          <w:i/>
        </w:rPr>
        <w:t>AER</w:t>
      </w:r>
      <w:r w:rsidRPr="002544A0">
        <w:t xml:space="preserve">’s Roll Forward Model, and the definitions in </w:t>
      </w:r>
      <w:r w:rsidRPr="002544A0">
        <w:rPr>
          <w:i/>
          <w:iCs w:val="0"/>
        </w:rPr>
        <w:t>Data workbook 08 - Asset base values</w:t>
      </w:r>
      <w:r w:rsidRPr="002544A0">
        <w:t>.</w:t>
      </w:r>
    </w:p>
    <w:p w14:paraId="3005FE32" w14:textId="66562A20" w:rsidR="00803CBF" w:rsidRDefault="00803CBF" w:rsidP="004C137E">
      <w:pPr>
        <w:pStyle w:val="Noparagraph"/>
        <w:ind w:left="567" w:hanging="567"/>
      </w:pPr>
      <w:r>
        <w:t xml:space="preserve">The </w:t>
      </w:r>
      <w:r w:rsidRPr="00803CBF">
        <w:rPr>
          <w:i/>
          <w:iCs w:val="0"/>
        </w:rPr>
        <w:t>TNSP</w:t>
      </w:r>
      <w:r>
        <w:t xml:space="preserve"> must report the opening value</w:t>
      </w:r>
      <w:r w:rsidR="00226C0A">
        <w:t xml:space="preserve"> in accordance with the following instructions:</w:t>
      </w:r>
    </w:p>
    <w:p w14:paraId="61F0810B" w14:textId="77777777" w:rsidR="00226C0A" w:rsidRDefault="00226C0A" w:rsidP="009753F7">
      <w:pPr>
        <w:pStyle w:val="Noparagraph"/>
        <w:numPr>
          <w:ilvl w:val="3"/>
          <w:numId w:val="12"/>
        </w:numPr>
        <w:ind w:left="993"/>
      </w:pPr>
      <w:r>
        <w:t xml:space="preserve">In the first year of a regulatory control period the Opening asset base value must equal the opening asset base value used by the AER to model revenue requirements in its final determination for the regulatory period (using the Post Tax revenue Model). </w:t>
      </w:r>
    </w:p>
    <w:p w14:paraId="129B060A" w14:textId="62936526" w:rsidR="00226C0A" w:rsidRDefault="00226C0A" w:rsidP="009753F7">
      <w:pPr>
        <w:pStyle w:val="Noparagraph"/>
        <w:numPr>
          <w:ilvl w:val="3"/>
          <w:numId w:val="12"/>
        </w:numPr>
        <w:ind w:left="993"/>
      </w:pPr>
      <w:r>
        <w:t xml:space="preserve">In remaining years of a regulatory control </w:t>
      </w:r>
      <w:proofErr w:type="gramStart"/>
      <w:r>
        <w:t>period</w:t>
      </w:r>
      <w:proofErr w:type="gramEnd"/>
      <w:r>
        <w:t xml:space="preserve"> the opening asset base value should equal the closing value of the prior year.</w:t>
      </w:r>
    </w:p>
    <w:p w14:paraId="36C49B33" w14:textId="39E62348" w:rsidR="00803CBF" w:rsidRDefault="00803CBF" w:rsidP="00226C0A">
      <w:pPr>
        <w:pStyle w:val="Noparagraph"/>
      </w:pPr>
      <w:r>
        <w:t xml:space="preserve">The </w:t>
      </w:r>
      <w:r w:rsidRPr="00803CBF">
        <w:rPr>
          <w:i/>
        </w:rPr>
        <w:t>TNSP</w:t>
      </w:r>
      <w:r>
        <w:t xml:space="preserve"> must report the inflation addition</w:t>
      </w:r>
      <w:r w:rsidR="00226C0A">
        <w:t xml:space="preserve"> </w:t>
      </w:r>
      <w:r w:rsidR="00226C0A" w:rsidRPr="00226C0A">
        <w:t>consistent with the inflation requirement as per the annual revenue adjustment process set out in the final determination.</w:t>
      </w:r>
    </w:p>
    <w:p w14:paraId="6DCBB319" w14:textId="223392C5" w:rsidR="00803CBF" w:rsidRDefault="00803CBF" w:rsidP="00226C0A">
      <w:pPr>
        <w:pStyle w:val="Noparagraph"/>
      </w:pPr>
      <w:r>
        <w:t xml:space="preserve">The </w:t>
      </w:r>
      <w:r w:rsidRPr="00803CBF">
        <w:rPr>
          <w:i/>
        </w:rPr>
        <w:t>TNSP</w:t>
      </w:r>
      <w:r>
        <w:t xml:space="preserve"> must report the </w:t>
      </w:r>
      <w:r w:rsidR="00226C0A">
        <w:t>forecast straight</w:t>
      </w:r>
      <w:r w:rsidR="00F87360">
        <w:t>-</w:t>
      </w:r>
      <w:r w:rsidR="00226C0A">
        <w:t xml:space="preserve">line depreciation </w:t>
      </w:r>
      <w:r w:rsidR="00226C0A" w:rsidRPr="00226C0A">
        <w:t xml:space="preserve">based on the forecast real straight-line depreciation determined in the annual </w:t>
      </w:r>
      <w:proofErr w:type="spellStart"/>
      <w:r w:rsidR="00226C0A" w:rsidRPr="00226C0A">
        <w:t>RoD</w:t>
      </w:r>
      <w:proofErr w:type="spellEnd"/>
      <w:r w:rsidR="00226C0A" w:rsidRPr="00226C0A">
        <w:t xml:space="preserve"> updated </w:t>
      </w:r>
      <w:proofErr w:type="gramStart"/>
      <w:r w:rsidR="00226C0A" w:rsidRPr="00226C0A">
        <w:t>PTRM</w:t>
      </w:r>
      <w:r w:rsidR="00226C0A">
        <w:t>, but</w:t>
      </w:r>
      <w:proofErr w:type="gramEnd"/>
      <w:r w:rsidR="00226C0A">
        <w:t xml:space="preserve"> converted to nominal terms</w:t>
      </w:r>
      <w:r w:rsidR="00226C0A" w:rsidRPr="00226C0A">
        <w:t>.</w:t>
      </w:r>
    </w:p>
    <w:p w14:paraId="2CE1C841" w14:textId="3A9C78A0" w:rsidR="00226C0A" w:rsidRDefault="00226C0A" w:rsidP="008B2B6D">
      <w:pPr>
        <w:pStyle w:val="Noparagraph"/>
      </w:pPr>
      <w:r>
        <w:t xml:space="preserve">The </w:t>
      </w:r>
      <w:r w:rsidRPr="00803CBF">
        <w:rPr>
          <w:i/>
        </w:rPr>
        <w:t>TNSP</w:t>
      </w:r>
      <w:r>
        <w:t xml:space="preserve"> must report the gross capex</w:t>
      </w:r>
      <w:r w:rsidR="008B2B6D">
        <w:t xml:space="preserve"> and disposals</w:t>
      </w:r>
      <w:r w:rsidR="008B2B6D" w:rsidRPr="008B2B6D">
        <w:t xml:space="preserve"> consistent with </w:t>
      </w:r>
      <w:r w:rsidR="008B2B6D">
        <w:t xml:space="preserve">expenditures reported in the income statements for prescribed transmission services - </w:t>
      </w:r>
      <w:r w:rsidR="008B2B6D" w:rsidRPr="008B2B6D">
        <w:t>Regulatory Accounts</w:t>
      </w:r>
    </w:p>
    <w:p w14:paraId="5A099031" w14:textId="04828EE3" w:rsidR="00226C0A" w:rsidRDefault="00226C0A" w:rsidP="00226C0A">
      <w:pPr>
        <w:pStyle w:val="Noparagraph"/>
        <w:ind w:left="567" w:hanging="567"/>
      </w:pPr>
      <w:r>
        <w:t xml:space="preserve">The </w:t>
      </w:r>
      <w:r w:rsidRPr="00803CBF">
        <w:rPr>
          <w:i/>
          <w:iCs w:val="0"/>
        </w:rPr>
        <w:t>TNSP</w:t>
      </w:r>
      <w:r>
        <w:t xml:space="preserve"> must report the capex timing adjustment</w:t>
      </w:r>
      <w:r w:rsidR="008B2B6D">
        <w:t xml:space="preserve"> consistent with the ‘half year WACC adjustment’ described in the RFM, using the WACC value determined in the latest R</w:t>
      </w:r>
      <w:r w:rsidR="007047F9">
        <w:t>eturn on debt</w:t>
      </w:r>
      <w:r w:rsidR="008B2B6D">
        <w:t xml:space="preserve"> annual update PTRM published by the AER.</w:t>
      </w:r>
    </w:p>
    <w:bookmarkEnd w:id="99"/>
    <w:p w14:paraId="5DB0C418" w14:textId="4BAC8716" w:rsidR="00836FDE" w:rsidRPr="00060557" w:rsidRDefault="00836FDE" w:rsidP="00836FDE">
      <w:pPr>
        <w:spacing w:before="120" w:after="120"/>
        <w:rPr>
          <w:rFonts w:eastAsiaTheme="majorEastAsia" w:cstheme="majorBidi"/>
          <w:i/>
          <w:color w:val="0000CC"/>
          <w:lang w:eastAsia="ja-JP"/>
        </w:rPr>
      </w:pPr>
      <w:r w:rsidRPr="0024195E">
        <w:rPr>
          <w:rFonts w:eastAsiaTheme="majorEastAsia" w:cstheme="majorBidi"/>
          <w:i/>
          <w:color w:val="303F51"/>
          <w:lang w:eastAsia="ja-JP"/>
        </w:rPr>
        <w:t>Benchmarking asset base</w:t>
      </w:r>
      <w:r w:rsidR="004C137E">
        <w:rPr>
          <w:rFonts w:eastAsiaTheme="majorEastAsia" w:cstheme="majorBidi"/>
          <w:i/>
          <w:color w:val="303F51"/>
          <w:lang w:eastAsia="ja-JP"/>
        </w:rPr>
        <w:t xml:space="preserve"> by asset category</w:t>
      </w:r>
      <w:r w:rsidR="00060557">
        <w:rPr>
          <w:rFonts w:eastAsiaTheme="majorEastAsia" w:cstheme="majorBidi"/>
          <w:i/>
          <w:color w:val="303F51"/>
          <w:lang w:eastAsia="ja-JP"/>
        </w:rPr>
        <w:t xml:space="preserve"> </w:t>
      </w:r>
      <w:r w:rsidR="00060557">
        <w:rPr>
          <w:rFonts w:eastAsiaTheme="majorEastAsia" w:cstheme="majorBidi"/>
          <w:i/>
          <w:color w:val="0000CC"/>
          <w:lang w:eastAsia="ja-JP"/>
        </w:rPr>
        <w:t>(</w:t>
      </w:r>
      <w:r w:rsidR="003E6476">
        <w:rPr>
          <w:rFonts w:eastAsiaTheme="majorEastAsia" w:cstheme="majorBidi"/>
          <w:i/>
          <w:color w:val="0000CC"/>
          <w:lang w:eastAsia="ja-JP"/>
        </w:rPr>
        <w:t xml:space="preserve">table 3.3.1, </w:t>
      </w:r>
      <w:r w:rsidR="00060557">
        <w:rPr>
          <w:rFonts w:eastAsiaTheme="majorEastAsia" w:cstheme="majorBidi"/>
          <w:i/>
          <w:color w:val="0000CC"/>
          <w:lang w:eastAsia="ja-JP"/>
        </w:rPr>
        <w:t>table 3.3.2)</w:t>
      </w:r>
    </w:p>
    <w:p w14:paraId="615FC61A" w14:textId="4C8C090A" w:rsidR="00836FDE" w:rsidRDefault="00836FDE" w:rsidP="00C82BA0">
      <w:pPr>
        <w:pStyle w:val="Noparagraph"/>
      </w:pPr>
      <w:bookmarkStart w:id="103" w:name="_Ref124415711"/>
      <w:r w:rsidRPr="00053DF6">
        <w:t xml:space="preserve">The </w:t>
      </w:r>
      <w:r w:rsidR="00375AB1" w:rsidRPr="00053DF6">
        <w:rPr>
          <w:i/>
        </w:rPr>
        <w:t>TNSP</w:t>
      </w:r>
      <w:r w:rsidRPr="00053DF6">
        <w:t xml:space="preserve"> must report benchmarking asset base values in accordance with the standard approach and the Assets (RAB) Financial Reporting Framework set out</w:t>
      </w:r>
      <w:r w:rsidR="00053DF6" w:rsidRPr="00053DF6">
        <w:t xml:space="preserve"> </w:t>
      </w:r>
      <w:r w:rsidR="00053DF6">
        <w:t>in section</w:t>
      </w:r>
      <w:r w:rsidR="001266C7">
        <w:t>s</w:t>
      </w:r>
      <w:r w:rsidR="00053DF6">
        <w:t xml:space="preserve"> </w:t>
      </w:r>
      <w:r w:rsidR="009753F7">
        <w:t>7</w:t>
      </w:r>
      <w:r w:rsidR="00053DF6">
        <w:t>.1.</w:t>
      </w:r>
      <w:r w:rsidR="009753F7">
        <w:t>8</w:t>
      </w:r>
      <w:r w:rsidR="001266C7">
        <w:t xml:space="preserve"> </w:t>
      </w:r>
      <w:r w:rsidR="00C82BA0">
        <w:t>-</w:t>
      </w:r>
      <w:r w:rsidR="001266C7">
        <w:t xml:space="preserve"> </w:t>
      </w:r>
      <w:r w:rsidR="009753F7">
        <w:t>7</w:t>
      </w:r>
      <w:r w:rsidR="001266C7">
        <w:t>.1.</w:t>
      </w:r>
      <w:r w:rsidR="00CC26F6">
        <w:t>11</w:t>
      </w:r>
      <w:r w:rsidR="00053DF6">
        <w:t>.</w:t>
      </w:r>
      <w:r w:rsidRPr="00053DF6">
        <w:t xml:space="preserve"> </w:t>
      </w:r>
      <w:bookmarkEnd w:id="103"/>
    </w:p>
    <w:p w14:paraId="36B4A414" w14:textId="74BB2FF4" w:rsidR="00133064" w:rsidRPr="000D590B" w:rsidRDefault="00133064" w:rsidP="00C82BA0">
      <w:pPr>
        <w:pStyle w:val="Heading4"/>
        <w:rPr>
          <w:b w:val="0"/>
          <w:bCs w:val="0"/>
        </w:rPr>
      </w:pPr>
      <w:r w:rsidRPr="000D590B">
        <w:rPr>
          <w:b w:val="0"/>
          <w:bCs w:val="0"/>
        </w:rPr>
        <w:t>Standard approach</w:t>
      </w:r>
    </w:p>
    <w:p w14:paraId="4F84E767" w14:textId="0B45ECA1" w:rsidR="00133064" w:rsidRDefault="00133064" w:rsidP="00C82BA0">
      <w:pPr>
        <w:pStyle w:val="ListParagraph"/>
        <w:numPr>
          <w:ilvl w:val="0"/>
          <w:numId w:val="43"/>
        </w:numPr>
        <w:spacing w:before="120" w:after="120"/>
        <w:contextualSpacing w:val="0"/>
        <w:rPr>
          <w:rFonts w:eastAsiaTheme="majorEastAsia" w:cstheme="majorBidi"/>
          <w:iCs/>
          <w:color w:val="303F51"/>
          <w:lang w:eastAsia="ja-JP"/>
        </w:rPr>
      </w:pPr>
      <w:r w:rsidRPr="000D590B">
        <w:rPr>
          <w:rFonts w:eastAsiaTheme="majorEastAsia" w:cstheme="majorBidi"/>
          <w:iCs/>
          <w:color w:val="303F51"/>
          <w:lang w:eastAsia="ja-JP"/>
        </w:rPr>
        <w:t>Direct attribution to the AER’s economic benchmarking RAB Asset classes</w:t>
      </w:r>
    </w:p>
    <w:p w14:paraId="38AE462A" w14:textId="0EC626BF" w:rsidR="00133064" w:rsidRDefault="00133064" w:rsidP="00C82BA0">
      <w:pPr>
        <w:pStyle w:val="ListParagraph"/>
        <w:numPr>
          <w:ilvl w:val="0"/>
          <w:numId w:val="35"/>
        </w:numPr>
        <w:ind w:left="1134" w:hanging="567"/>
        <w:contextualSpacing w:val="0"/>
      </w:pPr>
      <w:r w:rsidRPr="000D590B">
        <w:t>Where RAB Financial Information</w:t>
      </w:r>
      <w:r w:rsidRPr="000D590B" w:rsidDel="00F97B95">
        <w:t xml:space="preserve"> </w:t>
      </w:r>
      <w:r w:rsidRPr="000D590B">
        <w:t xml:space="preserve">can be directly allocated to the RAB Assets (as per the definitions in </w:t>
      </w:r>
      <w:r w:rsidR="00845654">
        <w:t>Data Category 08: Asset base values</w:t>
      </w:r>
      <w:r w:rsidRPr="000D590B">
        <w:t>) it should be directly allocated to those RAB Assets. Financial Information</w:t>
      </w:r>
      <w:r w:rsidRPr="000D590B" w:rsidDel="00F97B95">
        <w:t xml:space="preserve"> </w:t>
      </w:r>
      <w:r w:rsidRPr="000D590B">
        <w:t>can be directly allocated to RAB Asset class where that Financial Information relates to assets that wholly fall within the definition of that RAB Asset class. For example, financial data associated with towers can be</w:t>
      </w:r>
      <w:r w:rsidR="000D590B">
        <w:t xml:space="preserve"> d</w:t>
      </w:r>
      <w:r w:rsidRPr="000D590B">
        <w:t>irectly allocated to Overhead Transmission Assets.</w:t>
      </w:r>
    </w:p>
    <w:p w14:paraId="10C69ABE" w14:textId="77777777" w:rsidR="00133064" w:rsidRPr="000D590B" w:rsidRDefault="00133064" w:rsidP="00351771">
      <w:pPr>
        <w:pStyle w:val="ListParagraph"/>
        <w:keepNext/>
        <w:numPr>
          <w:ilvl w:val="0"/>
          <w:numId w:val="43"/>
        </w:numPr>
        <w:spacing w:before="120" w:after="120"/>
        <w:ind w:left="714" w:hanging="357"/>
        <w:contextualSpacing w:val="0"/>
        <w:rPr>
          <w:rFonts w:eastAsiaTheme="majorEastAsia" w:cstheme="majorBidi"/>
          <w:iCs/>
          <w:color w:val="303F51"/>
          <w:lang w:eastAsia="ja-JP"/>
        </w:rPr>
      </w:pPr>
      <w:r w:rsidRPr="000D590B">
        <w:rPr>
          <w:rFonts w:eastAsiaTheme="majorEastAsia" w:cstheme="majorBidi"/>
          <w:iCs/>
          <w:color w:val="303F51"/>
          <w:lang w:eastAsia="ja-JP"/>
        </w:rPr>
        <w:lastRenderedPageBreak/>
        <w:t>Where direct attribution to the economic benchmarking asset classes is not possible</w:t>
      </w:r>
    </w:p>
    <w:p w14:paraId="2E2B2A90" w14:textId="33439E2C" w:rsidR="00133064" w:rsidRPr="001266C7" w:rsidRDefault="00133064" w:rsidP="00C82BA0">
      <w:pPr>
        <w:pStyle w:val="ListParagraph"/>
        <w:numPr>
          <w:ilvl w:val="0"/>
          <w:numId w:val="35"/>
        </w:numPr>
        <w:ind w:left="1134" w:hanging="567"/>
        <w:contextualSpacing w:val="0"/>
      </w:pPr>
      <w:r w:rsidRPr="001266C7">
        <w:t>RAB Financial Information</w:t>
      </w:r>
      <w:r w:rsidRPr="001266C7" w:rsidDel="00F97B95">
        <w:t xml:space="preserve"> </w:t>
      </w:r>
      <w:r w:rsidRPr="001266C7">
        <w:t>that cannot be directly allocated to a single RAB Asset category should be allocated in accordance with the RAB allocation approach</w:t>
      </w:r>
      <w:r w:rsidR="001266C7">
        <w:t xml:space="preserve"> in section </w:t>
      </w:r>
      <w:r w:rsidR="00CC26F6">
        <w:t>7.1.9</w:t>
      </w:r>
      <w:r w:rsidRPr="001266C7">
        <w:t>.</w:t>
      </w:r>
    </w:p>
    <w:p w14:paraId="06421F70" w14:textId="40D84344" w:rsidR="000767A6" w:rsidRDefault="001266C7" w:rsidP="00C82BA0">
      <w:pPr>
        <w:pStyle w:val="Noparagraph"/>
      </w:pPr>
      <w:r>
        <w:t>RAB allocation approach</w:t>
      </w:r>
    </w:p>
    <w:p w14:paraId="08F0276C" w14:textId="191E3AFF" w:rsidR="001266C7" w:rsidRDefault="001266C7" w:rsidP="004F01EC">
      <w:pPr>
        <w:pStyle w:val="ListParagraph"/>
        <w:numPr>
          <w:ilvl w:val="0"/>
          <w:numId w:val="57"/>
        </w:numPr>
        <w:spacing w:before="120" w:after="120"/>
        <w:contextualSpacing w:val="0"/>
        <w:rPr>
          <w:rFonts w:eastAsiaTheme="majorEastAsia" w:cstheme="majorBidi"/>
          <w:iCs/>
          <w:color w:val="303F51"/>
          <w:lang w:eastAsia="ja-JP"/>
        </w:rPr>
      </w:pPr>
      <w:r w:rsidRPr="001266C7">
        <w:rPr>
          <w:rFonts w:eastAsiaTheme="majorEastAsia" w:cstheme="majorBidi"/>
          <w:iCs/>
          <w:color w:val="303F51"/>
          <w:lang w:eastAsia="ja-JP"/>
        </w:rPr>
        <w:t>RAB Financial Information</w:t>
      </w:r>
      <w:r w:rsidRPr="001266C7" w:rsidDel="00F97B95">
        <w:rPr>
          <w:rFonts w:eastAsiaTheme="majorEastAsia" w:cstheme="majorBidi"/>
          <w:iCs/>
          <w:color w:val="303F51"/>
          <w:lang w:eastAsia="ja-JP"/>
        </w:rPr>
        <w:t xml:space="preserve"> </w:t>
      </w:r>
      <w:r w:rsidRPr="001266C7">
        <w:rPr>
          <w:rFonts w:eastAsiaTheme="majorEastAsia" w:cstheme="majorBidi"/>
          <w:iCs/>
          <w:color w:val="303F51"/>
          <w:lang w:eastAsia="ja-JP"/>
        </w:rPr>
        <w:t xml:space="preserve">that can be directly allocated to a group of </w:t>
      </w:r>
      <w:proofErr w:type="gramStart"/>
      <w:r w:rsidRPr="001266C7">
        <w:rPr>
          <w:rFonts w:eastAsiaTheme="majorEastAsia" w:cstheme="majorBidi"/>
          <w:iCs/>
          <w:color w:val="303F51"/>
          <w:lang w:eastAsia="ja-JP"/>
        </w:rPr>
        <w:t>RAB</w:t>
      </w:r>
      <w:proofErr w:type="gramEnd"/>
      <w:r w:rsidRPr="001266C7">
        <w:rPr>
          <w:rFonts w:eastAsiaTheme="majorEastAsia" w:cstheme="majorBidi"/>
          <w:iCs/>
          <w:color w:val="303F51"/>
          <w:lang w:eastAsia="ja-JP"/>
        </w:rPr>
        <w:t xml:space="preserve"> Assets, but cannot be directly allocated to an individual RAB Asset category, should be directly allocated to that group of RAB Assets, and then allocated across the individual categories in the group in accordance with this RAB allocation approach. </w:t>
      </w:r>
    </w:p>
    <w:p w14:paraId="36CFD84B" w14:textId="2BCA9F65" w:rsidR="00286630" w:rsidRDefault="00286630" w:rsidP="004F01EC">
      <w:pPr>
        <w:pStyle w:val="ListParagraph"/>
        <w:numPr>
          <w:ilvl w:val="0"/>
          <w:numId w:val="57"/>
        </w:numPr>
        <w:spacing w:before="120" w:after="120"/>
        <w:contextualSpacing w:val="0"/>
        <w:rPr>
          <w:rFonts w:eastAsiaTheme="majorEastAsia" w:cstheme="majorBidi"/>
          <w:iCs/>
          <w:color w:val="303F51"/>
          <w:lang w:eastAsia="ja-JP"/>
        </w:rPr>
      </w:pPr>
      <w:r w:rsidRPr="00286630">
        <w:rPr>
          <w:rFonts w:eastAsiaTheme="majorEastAsia" w:cstheme="majorBidi"/>
          <w:iCs/>
          <w:color w:val="303F51"/>
          <w:lang w:eastAsia="ja-JP"/>
        </w:rPr>
        <w:t>To allocate RAB Financial Information</w:t>
      </w:r>
      <w:r w:rsidRPr="00286630" w:rsidDel="00F97B95">
        <w:rPr>
          <w:rFonts w:eastAsiaTheme="majorEastAsia" w:cstheme="majorBidi"/>
          <w:iCs/>
          <w:color w:val="303F51"/>
          <w:lang w:eastAsia="ja-JP"/>
        </w:rPr>
        <w:t xml:space="preserve"> </w:t>
      </w:r>
      <w:r w:rsidRPr="00286630">
        <w:rPr>
          <w:rFonts w:eastAsiaTheme="majorEastAsia" w:cstheme="majorBidi"/>
          <w:iCs/>
          <w:color w:val="303F51"/>
          <w:lang w:eastAsia="ja-JP"/>
        </w:rPr>
        <w:t>across RAB Assets, the RAB Financial Information must be allocated in direct proportion to the relevant RAB Asset’s share of the total estimated depreciated replacement cost for that year (estimated in</w:t>
      </w:r>
      <w:r>
        <w:rPr>
          <w:rFonts w:eastAsiaTheme="majorEastAsia" w:cstheme="majorBidi"/>
          <w:iCs/>
          <w:color w:val="303F51"/>
          <w:lang w:eastAsia="ja-JP"/>
        </w:rPr>
        <w:t xml:space="preserve"> a</w:t>
      </w:r>
      <w:r w:rsidRPr="00286630">
        <w:rPr>
          <w:rFonts w:eastAsiaTheme="majorEastAsia" w:cstheme="majorBidi"/>
          <w:iCs/>
          <w:color w:val="303F51"/>
          <w:lang w:eastAsia="ja-JP"/>
        </w:rPr>
        <w:t xml:space="preserve">ccordance with </w:t>
      </w:r>
      <w:r w:rsidR="000D751F">
        <w:rPr>
          <w:rFonts w:eastAsiaTheme="majorEastAsia" w:cstheme="majorBidi"/>
          <w:iCs/>
          <w:color w:val="303F51"/>
          <w:lang w:eastAsia="ja-JP"/>
        </w:rPr>
        <w:t xml:space="preserve">sections </w:t>
      </w:r>
      <w:r w:rsidR="00CC26F6">
        <w:rPr>
          <w:rFonts w:eastAsiaTheme="majorEastAsia" w:cstheme="majorBidi"/>
          <w:iCs/>
          <w:color w:val="303F51"/>
          <w:lang w:eastAsia="ja-JP"/>
        </w:rPr>
        <w:t>7.1.9</w:t>
      </w:r>
      <w:r w:rsidR="008E5D08">
        <w:rPr>
          <w:rFonts w:eastAsiaTheme="majorEastAsia" w:cstheme="majorBidi"/>
          <w:iCs/>
          <w:color w:val="303F51"/>
          <w:lang w:eastAsia="ja-JP"/>
        </w:rPr>
        <w:t xml:space="preserve"> </w:t>
      </w:r>
      <w:r w:rsidRPr="00286630">
        <w:rPr>
          <w:rFonts w:eastAsiaTheme="majorEastAsia" w:cstheme="majorBidi"/>
          <w:iCs/>
          <w:color w:val="303F51"/>
          <w:lang w:eastAsia="ja-JP"/>
        </w:rPr>
        <w:t>(c</w:t>
      </w:r>
      <w:r w:rsidR="000D751F">
        <w:rPr>
          <w:rFonts w:eastAsiaTheme="majorEastAsia" w:cstheme="majorBidi"/>
          <w:iCs/>
          <w:color w:val="303F51"/>
          <w:lang w:eastAsia="ja-JP"/>
        </w:rPr>
        <w:t xml:space="preserve">) and </w:t>
      </w:r>
      <w:r w:rsidRPr="00286630">
        <w:rPr>
          <w:rFonts w:eastAsiaTheme="majorEastAsia" w:cstheme="majorBidi"/>
          <w:iCs/>
          <w:color w:val="303F51"/>
          <w:lang w:eastAsia="ja-JP"/>
        </w:rPr>
        <w:t xml:space="preserve">(d)). </w:t>
      </w:r>
    </w:p>
    <w:p w14:paraId="157AE038" w14:textId="7B634E95" w:rsidR="00286630" w:rsidRDefault="00286630" w:rsidP="00C82BA0">
      <w:pPr>
        <w:pStyle w:val="ListParagraph"/>
        <w:numPr>
          <w:ilvl w:val="0"/>
          <w:numId w:val="35"/>
        </w:numPr>
        <w:ind w:left="1134" w:hanging="567"/>
        <w:contextualSpacing w:val="0"/>
      </w:pPr>
      <w:r w:rsidRPr="00286630">
        <w:t>In</w:t>
      </w:r>
      <w:r w:rsidRPr="00286630">
        <w:rPr>
          <w:rFonts w:eastAsiaTheme="majorEastAsia" w:cstheme="majorBidi"/>
          <w:iCs/>
          <w:color w:val="303F51"/>
          <w:lang w:eastAsia="ja-JP"/>
        </w:rPr>
        <w:t xml:space="preserve"> the event that the sum of the estimated disaggregated asset values for the RAB Assets for each year that are formed using</w:t>
      </w:r>
      <w:r w:rsidR="007C6A19">
        <w:rPr>
          <w:rFonts w:eastAsiaTheme="majorEastAsia" w:cstheme="majorBidi"/>
          <w:iCs/>
          <w:color w:val="303F51"/>
          <w:lang w:eastAsia="ja-JP"/>
        </w:rPr>
        <w:t xml:space="preserve"> section 7.1.9 (c) and (d)</w:t>
      </w:r>
      <w:r w:rsidRPr="00286630">
        <w:rPr>
          <w:rFonts w:eastAsiaTheme="majorEastAsia" w:cstheme="majorBidi"/>
          <w:iCs/>
          <w:color w:val="303F51"/>
          <w:lang w:eastAsia="ja-JP"/>
        </w:rPr>
        <w:t xml:space="preserve"> </w:t>
      </w:r>
      <w:r w:rsidRPr="0073312E">
        <w:rPr>
          <w:rFonts w:eastAsiaTheme="majorEastAsia" w:cstheme="majorBidi"/>
          <w:iCs/>
          <w:color w:val="303F51"/>
          <w:lang w:eastAsia="ja-JP"/>
        </w:rPr>
        <w:t>do</w:t>
      </w:r>
      <w:r w:rsidRPr="00286630">
        <w:rPr>
          <w:rFonts w:eastAsiaTheme="majorEastAsia" w:cstheme="majorBidi"/>
          <w:iCs/>
          <w:color w:val="303F51"/>
          <w:lang w:eastAsia="ja-JP"/>
        </w:rPr>
        <w:t xml:space="preserve"> not equal the total value of the RAB for that year, the disaggregated RAB series must be calculated by multiplying the total value of the RAB by each RAB Asset’s share of the sum of all asset values for that year formed using </w:t>
      </w:r>
      <w:r w:rsidR="000D751F">
        <w:rPr>
          <w:rFonts w:eastAsiaTheme="majorEastAsia" w:cstheme="majorBidi"/>
          <w:iCs/>
          <w:color w:val="303F51"/>
          <w:lang w:eastAsia="ja-JP"/>
        </w:rPr>
        <w:t xml:space="preserve">section </w:t>
      </w:r>
      <w:r w:rsidR="00CC26F6">
        <w:rPr>
          <w:rFonts w:eastAsiaTheme="majorEastAsia" w:cstheme="majorBidi"/>
          <w:iCs/>
          <w:color w:val="303F51"/>
          <w:lang w:eastAsia="ja-JP"/>
        </w:rPr>
        <w:t xml:space="preserve">7.1.9 </w:t>
      </w:r>
      <w:r w:rsidRPr="00286630">
        <w:rPr>
          <w:rFonts w:eastAsiaTheme="majorEastAsia" w:cstheme="majorBidi"/>
          <w:iCs/>
          <w:color w:val="303F51"/>
          <w:lang w:eastAsia="ja-JP"/>
        </w:rPr>
        <w:t>(c) and (d).</w:t>
      </w:r>
      <w:r>
        <w:t xml:space="preserve"> </w:t>
      </w:r>
    </w:p>
    <w:p w14:paraId="4AE46537" w14:textId="72B9D197" w:rsidR="00B53012" w:rsidRPr="00B53012" w:rsidRDefault="00B53012" w:rsidP="004F01EC">
      <w:pPr>
        <w:pStyle w:val="ListParagraph"/>
        <w:numPr>
          <w:ilvl w:val="0"/>
          <w:numId w:val="57"/>
        </w:numPr>
        <w:spacing w:before="120" w:after="120"/>
        <w:ind w:left="714" w:hanging="357"/>
        <w:contextualSpacing w:val="0"/>
        <w:rPr>
          <w:rFonts w:eastAsiaTheme="majorEastAsia" w:cstheme="majorBidi"/>
          <w:iCs/>
          <w:color w:val="303F51"/>
          <w:lang w:eastAsia="ja-JP"/>
        </w:rPr>
      </w:pPr>
      <w:r w:rsidRPr="007C6A19">
        <w:rPr>
          <w:rFonts w:eastAsiaTheme="majorEastAsia" w:cstheme="majorBidi"/>
          <w:i/>
          <w:color w:val="303F51"/>
          <w:lang w:eastAsia="ja-JP"/>
        </w:rPr>
        <w:t>TNSP</w:t>
      </w:r>
      <w:r w:rsidRPr="00B53012">
        <w:rPr>
          <w:rFonts w:eastAsiaTheme="majorEastAsia" w:cstheme="majorBidi"/>
          <w:iCs/>
          <w:color w:val="303F51"/>
          <w:lang w:eastAsia="ja-JP"/>
        </w:rPr>
        <w:t xml:space="preserve"> must estimate the depreciated replacement cost of their assets for each RAB Asset for which RAB Financial Information</w:t>
      </w:r>
      <w:r w:rsidRPr="00B53012" w:rsidDel="00F97B95">
        <w:rPr>
          <w:rFonts w:eastAsiaTheme="majorEastAsia" w:cstheme="majorBidi"/>
          <w:iCs/>
          <w:color w:val="303F51"/>
          <w:lang w:eastAsia="ja-JP"/>
        </w:rPr>
        <w:t xml:space="preserve"> </w:t>
      </w:r>
      <w:r w:rsidRPr="00B53012">
        <w:rPr>
          <w:rFonts w:eastAsiaTheme="majorEastAsia" w:cstheme="majorBidi"/>
          <w:iCs/>
          <w:color w:val="303F51"/>
          <w:lang w:eastAsia="ja-JP"/>
        </w:rPr>
        <w:t>cannot be directly allocated. This estimation must be made for the most recent year for which the RAB Financial Information</w:t>
      </w:r>
      <w:r w:rsidRPr="00B53012" w:rsidDel="00F97B95">
        <w:rPr>
          <w:rFonts w:eastAsiaTheme="majorEastAsia" w:cstheme="majorBidi"/>
          <w:iCs/>
          <w:color w:val="303F51"/>
          <w:lang w:eastAsia="ja-JP"/>
        </w:rPr>
        <w:t xml:space="preserve"> </w:t>
      </w:r>
      <w:r w:rsidRPr="00B53012">
        <w:rPr>
          <w:rFonts w:eastAsiaTheme="majorEastAsia" w:cstheme="majorBidi"/>
          <w:iCs/>
          <w:color w:val="303F51"/>
          <w:lang w:eastAsia="ja-JP"/>
        </w:rPr>
        <w:t xml:space="preserve">cannot be directly allocated. </w:t>
      </w:r>
    </w:p>
    <w:p w14:paraId="370BCE97" w14:textId="5C9923C0" w:rsidR="00B53012" w:rsidRPr="007678A0" w:rsidRDefault="00B53012" w:rsidP="00C82BA0">
      <w:pPr>
        <w:pStyle w:val="ListParagraph"/>
        <w:numPr>
          <w:ilvl w:val="0"/>
          <w:numId w:val="35"/>
        </w:numPr>
        <w:ind w:left="1134" w:hanging="567"/>
        <w:contextualSpacing w:val="0"/>
      </w:pPr>
      <w:r w:rsidRPr="007678A0">
        <w:t>This</w:t>
      </w:r>
      <w:r>
        <w:t xml:space="preserve"> depreciated</w:t>
      </w:r>
      <w:r w:rsidRPr="007678A0">
        <w:t xml:space="preserve"> replacement co</w:t>
      </w:r>
      <w:r>
        <w:t xml:space="preserve">st estimate should be based on </w:t>
      </w:r>
      <w:r w:rsidRPr="007678A0">
        <w:t xml:space="preserve">the </w:t>
      </w:r>
      <w:r w:rsidR="008B59D8">
        <w:t xml:space="preserve">data requirements for length and capacity data </w:t>
      </w:r>
      <w:r w:rsidRPr="007678A0">
        <w:t xml:space="preserve">provided for lines, cables and transformers </w:t>
      </w:r>
      <w:r w:rsidR="008B59D8">
        <w:t xml:space="preserve">as outlined </w:t>
      </w:r>
      <w:r w:rsidRPr="007678A0">
        <w:t>in</w:t>
      </w:r>
      <w:r w:rsidR="008B59D8">
        <w:t xml:space="preserve"> Data Category 03: Network Metrics</w:t>
      </w:r>
      <w:r w:rsidRPr="007678A0">
        <w:t xml:space="preserve"> </w:t>
      </w:r>
      <w:r w:rsidR="008B59D8">
        <w:t>(</w:t>
      </w:r>
      <w:r>
        <w:t xml:space="preserve">for the relevant </w:t>
      </w:r>
      <w:r w:rsidRPr="002F27CE">
        <w:t>RAB Asset category</w:t>
      </w:r>
      <w:r w:rsidRPr="007678A0">
        <w:t xml:space="preserve">); unit rate replacement costs </w:t>
      </w:r>
      <w:r>
        <w:t xml:space="preserve">applicable to </w:t>
      </w:r>
      <w:r w:rsidRPr="007C6A19">
        <w:rPr>
          <w:i/>
          <w:iCs/>
        </w:rPr>
        <w:t>TNSP</w:t>
      </w:r>
      <w:r>
        <w:t xml:space="preserve"> </w:t>
      </w:r>
      <w:r w:rsidRPr="007678A0">
        <w:t xml:space="preserve">for each of the physical asset categories and the weighted average asset age relative to the corresponding weighted average service life. </w:t>
      </w:r>
    </w:p>
    <w:p w14:paraId="5B014800" w14:textId="77777777" w:rsidR="00B53012" w:rsidRPr="007678A0" w:rsidRDefault="00B53012" w:rsidP="00C82BA0">
      <w:pPr>
        <w:pStyle w:val="ListParagraph"/>
        <w:numPr>
          <w:ilvl w:val="0"/>
          <w:numId w:val="35"/>
        </w:numPr>
        <w:ind w:left="1134" w:hanging="567"/>
        <w:contextualSpacing w:val="0"/>
      </w:pPr>
      <w:r w:rsidRPr="007678A0">
        <w:t xml:space="preserve">Estimation of the depreciated replacement costs can be undertaken </w:t>
      </w:r>
      <w:r>
        <w:t xml:space="preserve">for aggregate asset categories </w:t>
      </w:r>
      <w:r w:rsidRPr="007678A0">
        <w:t xml:space="preserve">using best endeavours rather than a very detailed exercise. </w:t>
      </w:r>
      <w:r>
        <w:t>All assumptions, however, should be made clear.</w:t>
      </w:r>
    </w:p>
    <w:p w14:paraId="5B341D56" w14:textId="77777777" w:rsidR="00B53012" w:rsidRPr="007678A0" w:rsidRDefault="00B53012" w:rsidP="00C82BA0">
      <w:pPr>
        <w:pStyle w:val="ListParagraph"/>
        <w:numPr>
          <w:ilvl w:val="0"/>
          <w:numId w:val="35"/>
        </w:numPr>
        <w:ind w:left="1134" w:hanging="567"/>
        <w:contextualSpacing w:val="0"/>
      </w:pPr>
      <w:r w:rsidRPr="007678A0">
        <w:t xml:space="preserve">Book values </w:t>
      </w:r>
      <w:r>
        <w:t>may be used for E</w:t>
      </w:r>
      <w:r w:rsidRPr="007678A0">
        <w:t xml:space="preserve">asements, other </w:t>
      </w:r>
      <w:proofErr w:type="gramStart"/>
      <w:r w:rsidRPr="007678A0">
        <w:t>long life</w:t>
      </w:r>
      <w:proofErr w:type="gramEnd"/>
      <w:r w:rsidRPr="007678A0">
        <w:t xml:space="preserve"> assets and other short life assets. </w:t>
      </w:r>
    </w:p>
    <w:p w14:paraId="37CA1510" w14:textId="1751A383" w:rsidR="00286630" w:rsidRPr="00CC26F6" w:rsidRDefault="00B53012" w:rsidP="004F01EC">
      <w:pPr>
        <w:pStyle w:val="ListParagraph"/>
        <w:numPr>
          <w:ilvl w:val="0"/>
          <w:numId w:val="57"/>
        </w:numPr>
        <w:spacing w:before="120" w:after="120"/>
        <w:ind w:left="714" w:hanging="357"/>
        <w:contextualSpacing w:val="0"/>
        <w:rPr>
          <w:rFonts w:eastAsiaTheme="majorEastAsia" w:cstheme="majorBidi"/>
          <w:iCs/>
          <w:color w:val="303F51"/>
          <w:lang w:eastAsia="ja-JP"/>
        </w:rPr>
      </w:pPr>
      <w:r w:rsidRPr="00CC26F6">
        <w:rPr>
          <w:rFonts w:eastAsiaTheme="majorEastAsia" w:cstheme="majorBidi"/>
          <w:iCs/>
          <w:color w:val="303F51"/>
          <w:lang w:eastAsia="ja-JP"/>
        </w:rPr>
        <w:t xml:space="preserve">To estimate the depreciated replacement cost for years prior to the estimated depreciated replacement cost developed under </w:t>
      </w:r>
      <w:r w:rsidR="008B59D8" w:rsidRPr="00CC26F6">
        <w:rPr>
          <w:rFonts w:eastAsiaTheme="majorEastAsia" w:cstheme="majorBidi"/>
          <w:iCs/>
          <w:color w:val="303F51"/>
          <w:lang w:eastAsia="ja-JP"/>
        </w:rPr>
        <w:t xml:space="preserve">section </w:t>
      </w:r>
      <w:r w:rsidR="00CC26F6">
        <w:rPr>
          <w:rFonts w:eastAsiaTheme="majorEastAsia" w:cstheme="majorBidi"/>
          <w:iCs/>
          <w:color w:val="303F51"/>
          <w:lang w:eastAsia="ja-JP"/>
        </w:rPr>
        <w:t>7.1.9</w:t>
      </w:r>
      <w:r w:rsidR="008E5D08">
        <w:rPr>
          <w:rFonts w:eastAsiaTheme="majorEastAsia" w:cstheme="majorBidi"/>
          <w:iCs/>
          <w:color w:val="303F51"/>
          <w:lang w:eastAsia="ja-JP"/>
        </w:rPr>
        <w:t xml:space="preserve"> </w:t>
      </w:r>
      <w:r w:rsidRPr="00CC26F6">
        <w:rPr>
          <w:rFonts w:eastAsiaTheme="majorEastAsia" w:cstheme="majorBidi"/>
          <w:iCs/>
          <w:color w:val="303F51"/>
          <w:lang w:eastAsia="ja-JP"/>
        </w:rPr>
        <w:t xml:space="preserve">(c), the depreciated replacement cost estimate developed under </w:t>
      </w:r>
      <w:r w:rsidR="008B59D8" w:rsidRPr="00CC26F6">
        <w:rPr>
          <w:rFonts w:eastAsiaTheme="majorEastAsia" w:cstheme="majorBidi"/>
          <w:iCs/>
          <w:color w:val="303F51"/>
          <w:lang w:eastAsia="ja-JP"/>
        </w:rPr>
        <w:t xml:space="preserve">section </w:t>
      </w:r>
      <w:r w:rsidR="00CC26F6">
        <w:rPr>
          <w:rFonts w:eastAsiaTheme="majorEastAsia" w:cstheme="majorBidi"/>
          <w:iCs/>
          <w:color w:val="303F51"/>
          <w:lang w:eastAsia="ja-JP"/>
        </w:rPr>
        <w:t>7.1.9</w:t>
      </w:r>
      <w:r w:rsidR="00CC26F6" w:rsidRPr="00CC26F6" w:rsidDel="00CC26F6">
        <w:rPr>
          <w:rFonts w:eastAsiaTheme="majorEastAsia" w:cstheme="majorBidi"/>
          <w:iCs/>
          <w:color w:val="303F51"/>
          <w:lang w:eastAsia="ja-JP"/>
        </w:rPr>
        <w:t xml:space="preserve"> </w:t>
      </w:r>
      <w:r w:rsidRPr="00CC26F6">
        <w:rPr>
          <w:rFonts w:eastAsiaTheme="majorEastAsia" w:cstheme="majorBidi"/>
          <w:iCs/>
          <w:color w:val="303F51"/>
          <w:lang w:eastAsia="ja-JP"/>
        </w:rPr>
        <w:t>(c) must be rolled back to 2006 using disaggregated capex data and depreciation in accordance with the RAB Framework.</w:t>
      </w:r>
    </w:p>
    <w:p w14:paraId="531F17DE" w14:textId="77777777" w:rsidR="00B53012" w:rsidRPr="00CC26F6" w:rsidRDefault="00B53012" w:rsidP="00C82BA0">
      <w:pPr>
        <w:pStyle w:val="Noparagraph"/>
      </w:pPr>
      <w:r w:rsidRPr="00CC26F6">
        <w:t xml:space="preserve">The allocated values for the 2013 Regulatory Year are to be used as the basis for rolling forward the RAB for Regulatory Years </w:t>
      </w:r>
      <w:proofErr w:type="gramStart"/>
      <w:r w:rsidRPr="00CC26F6">
        <w:t>subsequent to</w:t>
      </w:r>
      <w:proofErr w:type="gramEnd"/>
      <w:r w:rsidRPr="00CC26F6">
        <w:t xml:space="preserve"> the 2013 Regulatory Year.</w:t>
      </w:r>
    </w:p>
    <w:p w14:paraId="43994D3D" w14:textId="60A4A849" w:rsidR="001266C7" w:rsidRDefault="00944CEA" w:rsidP="000D56B4">
      <w:pPr>
        <w:pStyle w:val="Noparagraph"/>
        <w:keepNext/>
      </w:pPr>
      <w:r>
        <w:lastRenderedPageBreak/>
        <w:t xml:space="preserve">Optional </w:t>
      </w:r>
      <w:r w:rsidR="00F02CBD">
        <w:t>additional approach</w:t>
      </w:r>
    </w:p>
    <w:p w14:paraId="21A0933E" w14:textId="3CE6A341" w:rsidR="0057252F" w:rsidRDefault="00453571" w:rsidP="004F01EC">
      <w:pPr>
        <w:pStyle w:val="ListParagraph"/>
        <w:numPr>
          <w:ilvl w:val="0"/>
          <w:numId w:val="59"/>
        </w:numPr>
        <w:spacing w:before="120" w:after="120"/>
        <w:contextualSpacing w:val="0"/>
        <w:rPr>
          <w:rFonts w:eastAsiaTheme="majorEastAsia" w:cstheme="majorBidi"/>
          <w:iCs/>
          <w:color w:val="303F51"/>
          <w:lang w:eastAsia="ja-JP"/>
        </w:rPr>
      </w:pPr>
      <w:bookmarkStart w:id="104" w:name="_Hlk134007393"/>
      <w:r w:rsidRPr="0057252F">
        <w:rPr>
          <w:rFonts w:eastAsiaTheme="majorEastAsia" w:cstheme="majorBidi"/>
          <w:iCs/>
          <w:color w:val="303F51"/>
          <w:lang w:eastAsia="ja-JP"/>
        </w:rPr>
        <w:t xml:space="preserve">Where </w:t>
      </w:r>
      <w:r w:rsidRPr="00CD155B">
        <w:rPr>
          <w:rFonts w:eastAsiaTheme="majorEastAsia" w:cstheme="majorBidi"/>
          <w:i/>
          <w:color w:val="303F51"/>
          <w:lang w:eastAsia="ja-JP"/>
        </w:rPr>
        <w:t>TNSP</w:t>
      </w:r>
      <w:r w:rsidRPr="0057252F">
        <w:rPr>
          <w:rFonts w:eastAsiaTheme="majorEastAsia" w:cstheme="majorBidi"/>
          <w:iCs/>
          <w:color w:val="303F51"/>
          <w:lang w:eastAsia="ja-JP"/>
        </w:rPr>
        <w:t xml:space="preserve"> believes it has sufficient information to provide a consistent RAB disaggregation into the categories in the </w:t>
      </w:r>
      <w:r w:rsidR="004F01EC">
        <w:rPr>
          <w:rFonts w:eastAsiaTheme="majorEastAsia" w:cstheme="majorBidi"/>
          <w:iCs/>
          <w:color w:val="303F51"/>
          <w:lang w:eastAsia="ja-JP"/>
        </w:rPr>
        <w:t>‘Data Workbook 08: Asset base values’</w:t>
      </w:r>
      <w:r w:rsidRPr="0057252F">
        <w:rPr>
          <w:rFonts w:eastAsiaTheme="majorEastAsia" w:cstheme="majorBidi"/>
          <w:iCs/>
          <w:color w:val="303F51"/>
          <w:lang w:eastAsia="ja-JP"/>
        </w:rPr>
        <w:t xml:space="preserve"> that better reflects the values of those assets in addition to the specified standard approach, this must be provided in a separate Excel worksheet, together with details of the calculations undertaken. For clarity, </w:t>
      </w:r>
      <w:r w:rsidRPr="00CD155B">
        <w:rPr>
          <w:rFonts w:eastAsiaTheme="majorEastAsia" w:cstheme="majorBidi"/>
          <w:i/>
          <w:color w:val="303F51"/>
          <w:lang w:eastAsia="ja-JP"/>
        </w:rPr>
        <w:t>TNSP</w:t>
      </w:r>
      <w:r w:rsidRPr="0057252F">
        <w:rPr>
          <w:rFonts w:eastAsiaTheme="majorEastAsia" w:cstheme="majorBidi"/>
          <w:iCs/>
          <w:color w:val="303F51"/>
          <w:lang w:eastAsia="ja-JP"/>
        </w:rPr>
        <w:t xml:space="preserve"> must still provide disaggregated RAB values using the standard approach if it chooses to also provide optional additional </w:t>
      </w:r>
      <w:r w:rsidR="0057252F">
        <w:rPr>
          <w:rFonts w:eastAsiaTheme="majorEastAsia" w:cstheme="majorBidi"/>
          <w:iCs/>
          <w:color w:val="303F51"/>
          <w:lang w:eastAsia="ja-JP"/>
        </w:rPr>
        <w:t>a</w:t>
      </w:r>
      <w:r w:rsidRPr="0057252F">
        <w:rPr>
          <w:rFonts w:eastAsiaTheme="majorEastAsia" w:cstheme="majorBidi"/>
          <w:iCs/>
          <w:color w:val="303F51"/>
          <w:lang w:eastAsia="ja-JP"/>
        </w:rPr>
        <w:t>pproach values.</w:t>
      </w:r>
    </w:p>
    <w:p w14:paraId="37078890" w14:textId="05DEA0DC" w:rsidR="0057252F" w:rsidRDefault="000D751F" w:rsidP="004F01EC">
      <w:pPr>
        <w:pStyle w:val="ListParagraph"/>
        <w:numPr>
          <w:ilvl w:val="0"/>
          <w:numId w:val="59"/>
        </w:numPr>
        <w:spacing w:before="120" w:after="120"/>
        <w:contextualSpacing w:val="0"/>
        <w:rPr>
          <w:rFonts w:eastAsiaTheme="majorEastAsia" w:cstheme="majorBidi"/>
          <w:iCs/>
          <w:color w:val="303F51"/>
          <w:lang w:eastAsia="ja-JP"/>
        </w:rPr>
      </w:pPr>
      <w:r>
        <w:rPr>
          <w:rFonts w:eastAsiaTheme="majorEastAsia" w:cstheme="majorBidi"/>
          <w:iCs/>
          <w:color w:val="303F51"/>
          <w:lang w:eastAsia="ja-JP"/>
        </w:rPr>
        <w:t xml:space="preserve">The optional approach must be prepared in accordance with Assets (RAB) Financial Reporting Framework. Further, the </w:t>
      </w:r>
      <w:r w:rsidRPr="00CD155B">
        <w:rPr>
          <w:rFonts w:eastAsiaTheme="majorEastAsia" w:cstheme="majorBidi"/>
          <w:i/>
          <w:color w:val="303F51"/>
          <w:lang w:eastAsia="ja-JP"/>
        </w:rPr>
        <w:t>TNSP</w:t>
      </w:r>
      <w:r>
        <w:rPr>
          <w:rFonts w:eastAsiaTheme="majorEastAsia" w:cstheme="majorBidi"/>
          <w:iCs/>
          <w:color w:val="303F51"/>
          <w:lang w:eastAsia="ja-JP"/>
        </w:rPr>
        <w:t xml:space="preserve"> must have the optional approach audited. </w:t>
      </w:r>
    </w:p>
    <w:p w14:paraId="51630A1F" w14:textId="76A5441B" w:rsidR="00836FDE" w:rsidRDefault="00146494" w:rsidP="0057252F">
      <w:pPr>
        <w:pStyle w:val="Noparagraph"/>
      </w:pPr>
      <w:bookmarkStart w:id="105" w:name="_Ref124415730"/>
      <w:bookmarkEnd w:id="104"/>
      <w:r w:rsidRPr="00053DF6">
        <w:t>B</w:t>
      </w:r>
      <w:r w:rsidR="00836FDE" w:rsidRPr="00053DF6">
        <w:t>enchmarking</w:t>
      </w:r>
      <w:r w:rsidR="00836FDE">
        <w:t xml:space="preserve"> asset base</w:t>
      </w:r>
      <w:r w:rsidR="00861C8D">
        <w:t xml:space="preserve"> financial information</w:t>
      </w:r>
      <w:r w:rsidR="00836FDE">
        <w:t xml:space="preserve"> must reconcile </w:t>
      </w:r>
      <w:r w:rsidR="007D0E98">
        <w:t>with</w:t>
      </w:r>
      <w:r w:rsidR="00836FDE">
        <w:t>:</w:t>
      </w:r>
      <w:bookmarkEnd w:id="105"/>
    </w:p>
    <w:p w14:paraId="5F8819C2" w14:textId="3D32C69B" w:rsidR="00836FDE" w:rsidRDefault="00836FDE" w:rsidP="00B0496A">
      <w:pPr>
        <w:pStyle w:val="ListParagraph"/>
        <w:numPr>
          <w:ilvl w:val="0"/>
          <w:numId w:val="35"/>
        </w:numPr>
        <w:ind w:left="1134" w:hanging="567"/>
      </w:pPr>
      <w:bookmarkStart w:id="106" w:name="_Hlk124415265"/>
      <w:r>
        <w:t xml:space="preserve">For years where the </w:t>
      </w:r>
      <w:r w:rsidR="00375AB1" w:rsidRPr="00375AB1">
        <w:rPr>
          <w:i/>
        </w:rPr>
        <w:t>AER</w:t>
      </w:r>
      <w:r>
        <w:t xml:space="preserve"> has </w:t>
      </w:r>
      <w:proofErr w:type="gramStart"/>
      <w:r>
        <w:t>made a decision</w:t>
      </w:r>
      <w:proofErr w:type="gramEnd"/>
      <w:r>
        <w:t xml:space="preserve"> on values for the RAB, the values in that decision, unless that decision incorporates forecasts (for example, additions for the last year of the previous regulatory period).</w:t>
      </w:r>
    </w:p>
    <w:p w14:paraId="035100CC" w14:textId="47CB5C91" w:rsidR="00836FDE" w:rsidRDefault="00836FDE" w:rsidP="00B0496A">
      <w:pPr>
        <w:pStyle w:val="ListParagraph"/>
        <w:numPr>
          <w:ilvl w:val="0"/>
          <w:numId w:val="35"/>
        </w:numPr>
        <w:ind w:left="1134" w:hanging="567"/>
      </w:pPr>
      <w:r>
        <w:t xml:space="preserve">For years where the </w:t>
      </w:r>
      <w:r w:rsidR="00375AB1" w:rsidRPr="00375AB1">
        <w:rPr>
          <w:i/>
        </w:rPr>
        <w:t>AER</w:t>
      </w:r>
      <w:r>
        <w:t xml:space="preserve"> has </w:t>
      </w:r>
      <w:proofErr w:type="gramStart"/>
      <w:r>
        <w:t>made a decision</w:t>
      </w:r>
      <w:proofErr w:type="gramEnd"/>
      <w:r>
        <w:t xml:space="preserve"> on values for the RAB that incorporates forecasts, the forecast values </w:t>
      </w:r>
      <w:r w:rsidR="00CB4D03">
        <w:t xml:space="preserve">must </w:t>
      </w:r>
      <w:r>
        <w:t xml:space="preserve">be replaced with actual values where possible. Actual values must </w:t>
      </w:r>
      <w:r w:rsidR="00260272">
        <w:t>reconcile with</w:t>
      </w:r>
      <w:r>
        <w:t xml:space="preserve"> amounts reported in the </w:t>
      </w:r>
      <w:r w:rsidRPr="002544A0">
        <w:rPr>
          <w:i/>
          <w:iCs/>
        </w:rPr>
        <w:t>Indicative asset base roll forward</w:t>
      </w:r>
      <w:r>
        <w:t xml:space="preserve"> information; or</w:t>
      </w:r>
    </w:p>
    <w:p w14:paraId="55983300" w14:textId="64FC46B9" w:rsidR="00836FDE" w:rsidRDefault="00836FDE" w:rsidP="00B0496A">
      <w:pPr>
        <w:pStyle w:val="ListParagraph"/>
        <w:numPr>
          <w:ilvl w:val="0"/>
          <w:numId w:val="35"/>
        </w:numPr>
        <w:ind w:left="1134" w:hanging="567"/>
      </w:pPr>
      <w:r>
        <w:t xml:space="preserve">For years where the </w:t>
      </w:r>
      <w:r w:rsidR="00375AB1" w:rsidRPr="00375AB1">
        <w:rPr>
          <w:i/>
        </w:rPr>
        <w:t>AER</w:t>
      </w:r>
      <w:r>
        <w:t xml:space="preserve"> has not </w:t>
      </w:r>
      <w:proofErr w:type="gramStart"/>
      <w:r>
        <w:t>made a decision</w:t>
      </w:r>
      <w:proofErr w:type="gramEnd"/>
      <w:r>
        <w:t xml:space="preserve"> on values for the RAB, RAB values must be prepared in accordance with the Assets (RAB) Financial Reporting Framework. In this circumstance, actual additions (recognised in the RAB) and disposals must </w:t>
      </w:r>
      <w:r w:rsidR="00260272">
        <w:t>reconcile with</w:t>
      </w:r>
      <w:r>
        <w:t xml:space="preserve"> amounts reported in the </w:t>
      </w:r>
      <w:r w:rsidRPr="002544A0">
        <w:rPr>
          <w:i/>
          <w:iCs/>
        </w:rPr>
        <w:t>Indicative asset base roll forward</w:t>
      </w:r>
      <w:r>
        <w:t xml:space="preserve"> information.</w:t>
      </w:r>
    </w:p>
    <w:bookmarkEnd w:id="106"/>
    <w:p w14:paraId="11BEA78B" w14:textId="6731C4F0" w:rsidR="004C137E" w:rsidRPr="00060557" w:rsidRDefault="004C137E" w:rsidP="00146494">
      <w:pPr>
        <w:spacing w:before="240" w:after="120"/>
        <w:rPr>
          <w:rFonts w:eastAsiaTheme="majorEastAsia" w:cstheme="majorBidi"/>
          <w:i/>
          <w:color w:val="0000CC"/>
          <w:lang w:eastAsia="ja-JP"/>
        </w:rPr>
      </w:pPr>
      <w:r w:rsidRPr="004C137E">
        <w:rPr>
          <w:rFonts w:eastAsiaTheme="majorEastAsia" w:cstheme="majorBidi"/>
          <w:i/>
          <w:color w:val="303F51"/>
          <w:lang w:eastAsia="ja-JP"/>
        </w:rPr>
        <w:t>Benchmarking asset base by asset category</w:t>
      </w:r>
      <w:r>
        <w:rPr>
          <w:rFonts w:eastAsiaTheme="majorEastAsia" w:cstheme="majorBidi"/>
          <w:i/>
          <w:color w:val="303F51"/>
          <w:lang w:eastAsia="ja-JP"/>
        </w:rPr>
        <w:t xml:space="preserve"> – Group 3 assets adjustment</w:t>
      </w:r>
      <w:r w:rsidR="00060557">
        <w:rPr>
          <w:rFonts w:eastAsiaTheme="majorEastAsia" w:cstheme="majorBidi"/>
          <w:i/>
          <w:color w:val="303F51"/>
          <w:lang w:eastAsia="ja-JP"/>
        </w:rPr>
        <w:t xml:space="preserve"> </w:t>
      </w:r>
      <w:r w:rsidR="00060557" w:rsidRPr="00060557">
        <w:rPr>
          <w:rFonts w:eastAsiaTheme="majorEastAsia" w:cstheme="majorBidi"/>
          <w:i/>
          <w:color w:val="0000CC"/>
          <w:lang w:eastAsia="ja-JP"/>
        </w:rPr>
        <w:t>(table 3.3.2)</w:t>
      </w:r>
    </w:p>
    <w:p w14:paraId="0300AA79" w14:textId="2FFBAE99" w:rsidR="00836FDE" w:rsidRDefault="00146494" w:rsidP="00EB5A63">
      <w:pPr>
        <w:pStyle w:val="Noparagraph"/>
        <w:spacing w:after="120"/>
        <w:ind w:left="567" w:hanging="567"/>
      </w:pPr>
      <w:r>
        <w:t xml:space="preserve">The </w:t>
      </w:r>
      <w:r w:rsidR="00375AB1" w:rsidRPr="00375AB1">
        <w:rPr>
          <w:i/>
          <w:iCs w:val="0"/>
        </w:rPr>
        <w:t>TNSP</w:t>
      </w:r>
      <w:r>
        <w:t xml:space="preserve"> must only </w:t>
      </w:r>
      <w:r w:rsidR="00A337E7">
        <w:t xml:space="preserve">report </w:t>
      </w:r>
      <w:r w:rsidR="00A24EDD">
        <w:t xml:space="preserve">the </w:t>
      </w:r>
      <w:r w:rsidR="00A337E7">
        <w:t>data</w:t>
      </w:r>
      <w:r w:rsidR="00A24EDD">
        <w:t xml:space="preserve"> required if:</w:t>
      </w:r>
    </w:p>
    <w:p w14:paraId="148EC83E" w14:textId="68E00E3C" w:rsidR="00A24EDD" w:rsidRDefault="00EB5A63" w:rsidP="00B0496A">
      <w:pPr>
        <w:pStyle w:val="ListParagraph"/>
        <w:numPr>
          <w:ilvl w:val="0"/>
          <w:numId w:val="35"/>
        </w:numPr>
        <w:ind w:left="1134" w:hanging="567"/>
      </w:pPr>
      <w:r>
        <w:t>i</w:t>
      </w:r>
      <w:r w:rsidR="00A24EDD">
        <w:t xml:space="preserve">t operates in the </w:t>
      </w:r>
      <w:r w:rsidR="00134442">
        <w:t xml:space="preserve">State </w:t>
      </w:r>
      <w:r w:rsidR="00A24EDD">
        <w:t>of Victoria</w:t>
      </w:r>
    </w:p>
    <w:p w14:paraId="469AED5D" w14:textId="0D3F840C" w:rsidR="00A24EDD" w:rsidRDefault="00EB5A63" w:rsidP="00B0496A">
      <w:pPr>
        <w:pStyle w:val="ListParagraph"/>
        <w:numPr>
          <w:ilvl w:val="0"/>
          <w:numId w:val="35"/>
        </w:numPr>
        <w:ind w:left="1134" w:hanging="567"/>
      </w:pPr>
      <w:r>
        <w:t>t</w:t>
      </w:r>
      <w:r w:rsidR="00A24EDD">
        <w:t xml:space="preserve">he </w:t>
      </w:r>
      <w:r w:rsidR="00375AB1" w:rsidRPr="00375AB1">
        <w:rPr>
          <w:i/>
        </w:rPr>
        <w:t>AER</w:t>
      </w:r>
      <w:r w:rsidR="00A24EDD">
        <w:t xml:space="preserve"> has approved the inclusion of Group 3 assets in </w:t>
      </w:r>
      <w:r w:rsidR="00134442">
        <w:t xml:space="preserve">the </w:t>
      </w:r>
      <w:r w:rsidR="00375AB1" w:rsidRPr="00375AB1">
        <w:rPr>
          <w:i/>
          <w:iCs/>
        </w:rPr>
        <w:t>TNSP’s</w:t>
      </w:r>
      <w:r w:rsidR="00A24EDD">
        <w:t xml:space="preserve"> asset base, as part of a revenue determination</w:t>
      </w:r>
    </w:p>
    <w:p w14:paraId="4418A204" w14:textId="1DDDC46E" w:rsidR="00A24EDD" w:rsidRDefault="00EB5A63" w:rsidP="00B0496A">
      <w:pPr>
        <w:pStyle w:val="ListParagraph"/>
        <w:numPr>
          <w:ilvl w:val="0"/>
          <w:numId w:val="35"/>
        </w:numPr>
        <w:ind w:left="1134" w:hanging="567"/>
      </w:pPr>
      <w:r>
        <w:t>t</w:t>
      </w:r>
      <w:r w:rsidR="00A24EDD">
        <w:t>he reporting period coincides with the final year of a regulatory control period.</w:t>
      </w:r>
    </w:p>
    <w:p w14:paraId="5BA24A97" w14:textId="13E3CC7B" w:rsidR="00A24EDD" w:rsidRDefault="00A24EDD" w:rsidP="00EB5A63">
      <w:pPr>
        <w:pStyle w:val="Noparagraph"/>
        <w:spacing w:after="120"/>
        <w:ind w:left="567" w:hanging="567"/>
      </w:pPr>
      <w:r w:rsidRPr="00EB5A63">
        <w:rPr>
          <w:iCs w:val="0"/>
        </w:rPr>
        <w:t xml:space="preserve">The instructions at </w:t>
      </w:r>
      <w:r w:rsidR="0017388C">
        <w:rPr>
          <w:iCs w:val="0"/>
        </w:rPr>
        <w:t>7.1.8</w:t>
      </w:r>
      <w:r w:rsidRPr="00EB5A63">
        <w:rPr>
          <w:iCs w:val="0"/>
        </w:rPr>
        <w:t xml:space="preserve"> and </w:t>
      </w:r>
      <w:r w:rsidR="0017388C">
        <w:rPr>
          <w:iCs w:val="0"/>
        </w:rPr>
        <w:t>7.1.9</w:t>
      </w:r>
      <w:r w:rsidRPr="00EB5A63">
        <w:rPr>
          <w:iCs w:val="0"/>
        </w:rPr>
        <w:t xml:space="preserve"> </w:t>
      </w:r>
      <w:r w:rsidR="00EB5A63" w:rsidRPr="00EB5A63">
        <w:rPr>
          <w:iCs w:val="0"/>
        </w:rPr>
        <w:t xml:space="preserve">apply to </w:t>
      </w:r>
      <w:r w:rsidR="00EB5A63" w:rsidRPr="00EB5A63">
        <w:rPr>
          <w:i/>
        </w:rPr>
        <w:t>Benchmarking asset base by asset category –</w:t>
      </w:r>
      <w:r w:rsidR="00EB5A63" w:rsidRPr="00EB5A63">
        <w:rPr>
          <w:i/>
          <w:iCs w:val="0"/>
        </w:rPr>
        <w:t xml:space="preserve"> Group 3 assets adjustment</w:t>
      </w:r>
      <w:r w:rsidR="00EB5A63">
        <w:t xml:space="preserve"> information.</w:t>
      </w:r>
    </w:p>
    <w:p w14:paraId="3200574F" w14:textId="51057E79" w:rsidR="00EB5A63" w:rsidRPr="008409A6" w:rsidRDefault="00EB5A63" w:rsidP="00EB5A63">
      <w:pPr>
        <w:pStyle w:val="Noparagraph"/>
        <w:spacing w:after="120"/>
        <w:ind w:left="567" w:hanging="567"/>
      </w:pPr>
      <w:r>
        <w:t xml:space="preserve">If the </w:t>
      </w:r>
      <w:r w:rsidR="00375AB1" w:rsidRPr="00375AB1">
        <w:rPr>
          <w:i/>
          <w:iCs w:val="0"/>
        </w:rPr>
        <w:t>TNSP</w:t>
      </w:r>
      <w:r>
        <w:t xml:space="preserve"> </w:t>
      </w:r>
      <w:r w:rsidR="003C5BED">
        <w:t>report</w:t>
      </w:r>
      <w:r>
        <w:t xml:space="preserve">s information in response to </w:t>
      </w:r>
      <w:r w:rsidRPr="00EB5A63">
        <w:rPr>
          <w:i/>
        </w:rPr>
        <w:t>Benchmarking asset base by asset category –</w:t>
      </w:r>
      <w:r w:rsidRPr="00EB5A63">
        <w:rPr>
          <w:i/>
          <w:iCs w:val="0"/>
        </w:rPr>
        <w:t xml:space="preserve"> Group 3 assets adjustment</w:t>
      </w:r>
      <w:r w:rsidRPr="00134442">
        <w:t xml:space="preserve">, it is not required to </w:t>
      </w:r>
      <w:r w:rsidR="000E6368">
        <w:t>report data</w:t>
      </w:r>
      <w:r w:rsidR="00134442">
        <w:t xml:space="preserve"> in response to </w:t>
      </w:r>
      <w:r w:rsidR="00134442" w:rsidRPr="00EB5A63">
        <w:rPr>
          <w:i/>
        </w:rPr>
        <w:t>Benchmarking asset base by asset category</w:t>
      </w:r>
      <w:r w:rsidR="00134442">
        <w:rPr>
          <w:i/>
        </w:rPr>
        <w:t>.</w:t>
      </w:r>
    </w:p>
    <w:p w14:paraId="4B988D8B" w14:textId="446101F0" w:rsidR="00836FDE" w:rsidRDefault="00836FDE" w:rsidP="00836FDE">
      <w:pPr>
        <w:pStyle w:val="Heading2"/>
      </w:pPr>
      <w:bookmarkStart w:id="107" w:name="_Toc121724734"/>
      <w:bookmarkStart w:id="108" w:name="_Toc162703569"/>
      <w:bookmarkEnd w:id="97"/>
      <w:r>
        <w:lastRenderedPageBreak/>
        <w:t xml:space="preserve">Workbook </w:t>
      </w:r>
      <w:r w:rsidR="007E0318">
        <w:t xml:space="preserve">09 </w:t>
      </w:r>
      <w:r>
        <w:t>– Revenue and financial statements</w:t>
      </w:r>
      <w:bookmarkEnd w:id="107"/>
      <w:bookmarkEnd w:id="108"/>
    </w:p>
    <w:p w14:paraId="37FBE73D" w14:textId="10DC0856" w:rsidR="00836FDE" w:rsidRDefault="00836FDE" w:rsidP="00836FDE">
      <w:pPr>
        <w:pStyle w:val="Heading3"/>
        <w:spacing w:after="240"/>
        <w:ind w:left="578" w:hanging="578"/>
        <w:rPr>
          <w:lang w:eastAsia="ja-JP"/>
        </w:rPr>
      </w:pPr>
      <w:bookmarkStart w:id="109" w:name="_Toc121724737"/>
      <w:bookmarkStart w:id="110" w:name="_Toc162703570"/>
      <w:r>
        <w:rPr>
          <w:lang w:eastAsia="ja-JP"/>
        </w:rPr>
        <w:t>A</w:t>
      </w:r>
      <w:r w:rsidR="00E9094E">
        <w:rPr>
          <w:lang w:eastAsia="ja-JP"/>
        </w:rPr>
        <w:t xml:space="preserve">udited </w:t>
      </w:r>
      <w:r w:rsidR="00B02B14">
        <w:rPr>
          <w:lang w:eastAsia="ja-JP"/>
        </w:rPr>
        <w:t>s</w:t>
      </w:r>
      <w:r w:rsidR="00E9094E">
        <w:rPr>
          <w:lang w:eastAsia="ja-JP"/>
        </w:rPr>
        <w:t>tatutory accounts</w:t>
      </w:r>
      <w:bookmarkEnd w:id="109"/>
      <w:bookmarkEnd w:id="110"/>
      <w:r w:rsidR="00B573B3">
        <w:rPr>
          <w:lang w:eastAsia="ja-JP"/>
        </w:rPr>
        <w:t xml:space="preserve"> </w:t>
      </w:r>
      <w:bookmarkStart w:id="111" w:name="_Hlk199426697"/>
      <w:r w:rsidR="00B573B3" w:rsidRPr="00B573B3">
        <w:rPr>
          <w:color w:val="0000CC"/>
          <w:lang w:eastAsia="ja-JP"/>
        </w:rPr>
        <w:t>(9.1)</w:t>
      </w:r>
      <w:bookmarkEnd w:id="111"/>
    </w:p>
    <w:p w14:paraId="7EA2CCDC" w14:textId="6E973462" w:rsidR="0060567E" w:rsidRDefault="0060567E" w:rsidP="0060567E">
      <w:pPr>
        <w:spacing w:before="120" w:after="120"/>
        <w:rPr>
          <w:rFonts w:eastAsiaTheme="majorEastAsia" w:cstheme="majorBidi"/>
          <w:b/>
          <w:bCs/>
          <w:iCs/>
          <w:color w:val="303F51"/>
          <w:lang w:eastAsia="ja-JP"/>
        </w:rPr>
      </w:pPr>
      <w:r>
        <w:rPr>
          <w:rFonts w:eastAsiaTheme="majorEastAsia" w:cstheme="majorBidi"/>
          <w:b/>
          <w:bCs/>
          <w:iCs/>
          <w:color w:val="303F51"/>
          <w:lang w:eastAsia="ja-JP"/>
        </w:rPr>
        <w:t>Income statement</w:t>
      </w:r>
      <w:r w:rsidR="00C55D6E">
        <w:rPr>
          <w:rFonts w:eastAsiaTheme="majorEastAsia" w:cstheme="majorBidi"/>
          <w:b/>
          <w:bCs/>
          <w:iCs/>
          <w:color w:val="303F51"/>
          <w:lang w:eastAsia="ja-JP"/>
        </w:rPr>
        <w:t xml:space="preserve"> </w:t>
      </w:r>
      <w:bookmarkStart w:id="112" w:name="_Hlk199426705"/>
      <w:r w:rsidR="00C55D6E" w:rsidRPr="00B573B3">
        <w:rPr>
          <w:rFonts w:eastAsiaTheme="majorEastAsia" w:cstheme="majorBidi"/>
          <w:b/>
          <w:bCs/>
          <w:iCs/>
          <w:color w:val="0000CC"/>
          <w:lang w:eastAsia="ja-JP"/>
        </w:rPr>
        <w:t>(</w:t>
      </w:r>
      <w:r w:rsidR="0004582C">
        <w:rPr>
          <w:rFonts w:eastAsiaTheme="majorEastAsia" w:cstheme="majorBidi"/>
          <w:b/>
          <w:bCs/>
          <w:iCs/>
          <w:color w:val="0000CC"/>
          <w:lang w:eastAsia="ja-JP"/>
        </w:rPr>
        <w:t>t</w:t>
      </w:r>
      <w:r w:rsidR="00C55D6E" w:rsidRPr="00B573B3">
        <w:rPr>
          <w:rFonts w:eastAsiaTheme="majorEastAsia" w:cstheme="majorBidi"/>
          <w:b/>
          <w:bCs/>
          <w:iCs/>
          <w:color w:val="0000CC"/>
          <w:lang w:eastAsia="ja-JP"/>
        </w:rPr>
        <w:t xml:space="preserve">able </w:t>
      </w:r>
      <w:r w:rsidR="00B573B3" w:rsidRPr="00B573B3">
        <w:rPr>
          <w:rFonts w:eastAsiaTheme="majorEastAsia" w:cstheme="majorBidi"/>
          <w:b/>
          <w:bCs/>
          <w:iCs/>
          <w:color w:val="0000CC"/>
          <w:lang w:eastAsia="ja-JP"/>
        </w:rPr>
        <w:t>9.1.1)</w:t>
      </w:r>
      <w:bookmarkEnd w:id="112"/>
    </w:p>
    <w:p w14:paraId="6BF2735B" w14:textId="29E632E3" w:rsidR="00C11B36" w:rsidRDefault="0060567E" w:rsidP="0060567E">
      <w:pPr>
        <w:pStyle w:val="Noparagraph"/>
        <w:ind w:left="567" w:hanging="567"/>
      </w:pPr>
      <w:r>
        <w:t xml:space="preserve">The </w:t>
      </w:r>
      <w:r w:rsidR="001A13D0">
        <w:t>data requirements</w:t>
      </w:r>
      <w:r>
        <w:t xml:space="preserve"> are set out in </w:t>
      </w:r>
      <w:r w:rsidRPr="0006272A">
        <w:rPr>
          <w:i/>
          <w:iCs w:val="0"/>
        </w:rPr>
        <w:t>Data workbook 09 – Revenue and financial statements</w:t>
      </w:r>
      <w:r>
        <w:t xml:space="preserve">, with additional context provided by the general instructions in this document. </w:t>
      </w:r>
    </w:p>
    <w:p w14:paraId="71F07FFF" w14:textId="7942630E" w:rsidR="00F84350" w:rsidRDefault="00C11B36" w:rsidP="0060567E">
      <w:pPr>
        <w:pStyle w:val="Noparagraph"/>
        <w:ind w:left="567" w:hanging="567"/>
      </w:pPr>
      <w:r>
        <w:t xml:space="preserve">The </w:t>
      </w:r>
      <w:r w:rsidR="00375AB1" w:rsidRPr="00375AB1">
        <w:rPr>
          <w:i/>
        </w:rPr>
        <w:t>TNSP</w:t>
      </w:r>
      <w:r>
        <w:t xml:space="preserve"> must disaggregate Other Revenue where the revenue </w:t>
      </w:r>
      <w:r w:rsidR="00F84350">
        <w:t>represents greater than 5 per</w:t>
      </w:r>
      <w:r w:rsidR="007818C5">
        <w:t xml:space="preserve"> </w:t>
      </w:r>
      <w:r w:rsidR="00F84350">
        <w:t>cent of the total revenue reported for Prescribed transmission services.</w:t>
      </w:r>
    </w:p>
    <w:p w14:paraId="469A1DDD" w14:textId="66341C08" w:rsidR="0060567E" w:rsidRPr="009B4122" w:rsidRDefault="00F84350" w:rsidP="0060567E">
      <w:pPr>
        <w:pStyle w:val="Noparagraph"/>
        <w:ind w:left="567" w:hanging="567"/>
      </w:pPr>
      <w:r w:rsidRPr="009B4122">
        <w:t xml:space="preserve">The </w:t>
      </w:r>
      <w:r w:rsidR="00375AB1" w:rsidRPr="009B4122">
        <w:rPr>
          <w:i/>
        </w:rPr>
        <w:t>TNSP</w:t>
      </w:r>
      <w:r w:rsidRPr="009B4122">
        <w:t xml:space="preserve"> must disaggregate </w:t>
      </w:r>
      <w:proofErr w:type="gramStart"/>
      <w:r w:rsidRPr="009B4122">
        <w:t>Other</w:t>
      </w:r>
      <w:proofErr w:type="gramEnd"/>
      <w:r w:rsidRPr="009B4122">
        <w:t xml:space="preserve"> expenditure where the expenditure is greater than 5 per cent of the total expenditure reported for Prescribed transmission services.</w:t>
      </w:r>
    </w:p>
    <w:p w14:paraId="3C9EC461" w14:textId="3FA9F912" w:rsidR="00E9094E" w:rsidRPr="009B4122" w:rsidRDefault="00E9094E" w:rsidP="00E9094E">
      <w:pPr>
        <w:pStyle w:val="Heading3"/>
        <w:spacing w:after="240"/>
        <w:ind w:left="578" w:hanging="578"/>
        <w:rPr>
          <w:lang w:eastAsia="ja-JP"/>
        </w:rPr>
      </w:pPr>
      <w:bookmarkStart w:id="113" w:name="_Toc162703571"/>
      <w:r w:rsidRPr="009B4122">
        <w:rPr>
          <w:lang w:eastAsia="ja-JP"/>
        </w:rPr>
        <w:t xml:space="preserve">Regulatory accounts </w:t>
      </w:r>
      <w:r w:rsidR="00B02B14">
        <w:rPr>
          <w:lang w:eastAsia="ja-JP"/>
        </w:rPr>
        <w:t>(</w:t>
      </w:r>
      <w:r w:rsidRPr="009B4122">
        <w:rPr>
          <w:lang w:eastAsia="ja-JP"/>
        </w:rPr>
        <w:t>PTS</w:t>
      </w:r>
      <w:r w:rsidR="00B02B14">
        <w:rPr>
          <w:lang w:eastAsia="ja-JP"/>
        </w:rPr>
        <w:t>)</w:t>
      </w:r>
      <w:bookmarkEnd w:id="113"/>
      <w:r w:rsidR="00A656FE">
        <w:rPr>
          <w:lang w:eastAsia="ja-JP"/>
        </w:rPr>
        <w:t xml:space="preserve"> </w:t>
      </w:r>
      <w:bookmarkStart w:id="114" w:name="_Hlk199426826"/>
      <w:r w:rsidR="00A656FE" w:rsidRPr="00A656FE">
        <w:rPr>
          <w:color w:val="0000CC"/>
          <w:lang w:eastAsia="ja-JP"/>
        </w:rPr>
        <w:t>(9.2</w:t>
      </w:r>
      <w:r w:rsidR="00F61135">
        <w:rPr>
          <w:color w:val="0000CC"/>
          <w:lang w:eastAsia="ja-JP"/>
        </w:rPr>
        <w:t>, 8.7, 3.1)</w:t>
      </w:r>
      <w:bookmarkEnd w:id="114"/>
    </w:p>
    <w:p w14:paraId="1A8A8807" w14:textId="0B840527" w:rsidR="00F84350" w:rsidRPr="009B4122" w:rsidRDefault="00F84350" w:rsidP="00F84350">
      <w:pPr>
        <w:spacing w:before="120" w:after="120"/>
        <w:rPr>
          <w:rFonts w:eastAsiaTheme="majorEastAsia" w:cstheme="majorBidi"/>
          <w:b/>
          <w:bCs/>
          <w:iCs/>
          <w:color w:val="303F51"/>
          <w:lang w:eastAsia="ja-JP"/>
        </w:rPr>
      </w:pPr>
      <w:r w:rsidRPr="009B4122">
        <w:rPr>
          <w:rFonts w:eastAsiaTheme="majorEastAsia" w:cstheme="majorBidi"/>
          <w:b/>
          <w:bCs/>
          <w:iCs/>
          <w:color w:val="303F51"/>
          <w:lang w:eastAsia="ja-JP"/>
        </w:rPr>
        <w:t>Income statement</w:t>
      </w:r>
      <w:r w:rsidR="00A656FE">
        <w:rPr>
          <w:rFonts w:eastAsiaTheme="majorEastAsia" w:cstheme="majorBidi"/>
          <w:b/>
          <w:bCs/>
          <w:iCs/>
          <w:color w:val="303F51"/>
          <w:lang w:eastAsia="ja-JP"/>
        </w:rPr>
        <w:t xml:space="preserve"> </w:t>
      </w:r>
      <w:bookmarkStart w:id="115" w:name="_Hlk199426834"/>
      <w:r w:rsidR="00A656FE" w:rsidRPr="00A656FE">
        <w:rPr>
          <w:rFonts w:eastAsiaTheme="majorEastAsia" w:cstheme="majorBidi"/>
          <w:b/>
          <w:bCs/>
          <w:iCs/>
          <w:color w:val="0000CC"/>
          <w:lang w:eastAsia="ja-JP"/>
        </w:rPr>
        <w:t>(table 9.2.1)</w:t>
      </w:r>
      <w:bookmarkEnd w:id="115"/>
    </w:p>
    <w:p w14:paraId="4F9136B4" w14:textId="7F3AED07" w:rsidR="00F84350" w:rsidRPr="009B4122" w:rsidRDefault="00F84350" w:rsidP="00F84350">
      <w:pPr>
        <w:pStyle w:val="Noparagraph"/>
        <w:ind w:left="567" w:hanging="567"/>
      </w:pPr>
      <w:r w:rsidRPr="009B4122">
        <w:t xml:space="preserve">The </w:t>
      </w:r>
      <w:r w:rsidR="001A13D0" w:rsidRPr="009B4122">
        <w:t>data requirements</w:t>
      </w:r>
      <w:r w:rsidRPr="009B4122">
        <w:t xml:space="preserve"> are set out in </w:t>
      </w:r>
      <w:r w:rsidRPr="009B4122">
        <w:rPr>
          <w:i/>
          <w:iCs w:val="0"/>
        </w:rPr>
        <w:t>Data workbook 09 – Revenue and financial statements</w:t>
      </w:r>
      <w:r w:rsidRPr="009B4122">
        <w:t xml:space="preserve">, with additional context provided by the general instructions in this document. </w:t>
      </w:r>
    </w:p>
    <w:p w14:paraId="10EC8025" w14:textId="12A41916" w:rsidR="00F84350" w:rsidRPr="009B4122" w:rsidRDefault="00F84350" w:rsidP="00F84350">
      <w:pPr>
        <w:pStyle w:val="Noparagraph"/>
        <w:ind w:left="567" w:hanging="567"/>
      </w:pPr>
      <w:r w:rsidRPr="009B4122">
        <w:t xml:space="preserve">The </w:t>
      </w:r>
      <w:r w:rsidR="00375AB1" w:rsidRPr="009B4122">
        <w:rPr>
          <w:i/>
        </w:rPr>
        <w:t>TNSP</w:t>
      </w:r>
      <w:r w:rsidRPr="009B4122">
        <w:t xml:space="preserve"> must disaggregate Other Revenue </w:t>
      </w:r>
      <w:r w:rsidR="00F50501" w:rsidRPr="009B4122">
        <w:t xml:space="preserve">using the same </w:t>
      </w:r>
      <w:r w:rsidR="00C05EAD" w:rsidRPr="009B4122">
        <w:t>categories</w:t>
      </w:r>
      <w:r w:rsidR="00F50501" w:rsidRPr="009B4122">
        <w:t xml:space="preserve"> as reported under Audited statutory accounts</w:t>
      </w:r>
      <w:r w:rsidRPr="009B4122">
        <w:t>.</w:t>
      </w:r>
    </w:p>
    <w:p w14:paraId="09D35372" w14:textId="409F0B0F" w:rsidR="00F84350" w:rsidRDefault="00F84350" w:rsidP="00F84350">
      <w:pPr>
        <w:pStyle w:val="Noparagraph"/>
        <w:ind w:left="567" w:hanging="567"/>
      </w:pPr>
      <w:r>
        <w:t xml:space="preserve">The </w:t>
      </w:r>
      <w:r w:rsidR="00375AB1" w:rsidRPr="00375AB1">
        <w:rPr>
          <w:i/>
        </w:rPr>
        <w:t>TNSP</w:t>
      </w:r>
      <w:r>
        <w:t xml:space="preserve"> must disaggregate </w:t>
      </w:r>
      <w:proofErr w:type="gramStart"/>
      <w:r>
        <w:t>Other</w:t>
      </w:r>
      <w:proofErr w:type="gramEnd"/>
      <w:r>
        <w:t xml:space="preserve"> expenditure </w:t>
      </w:r>
      <w:r w:rsidR="00F50501">
        <w:t xml:space="preserve">using the same </w:t>
      </w:r>
      <w:r w:rsidR="00C05EAD">
        <w:t>categories</w:t>
      </w:r>
      <w:r w:rsidR="00F50501">
        <w:t xml:space="preserve"> as reported under Audited statutory accounts.</w:t>
      </w:r>
    </w:p>
    <w:p w14:paraId="04449E20" w14:textId="29441484" w:rsidR="0060567E" w:rsidRPr="007959EB" w:rsidRDefault="0060567E" w:rsidP="0060567E">
      <w:pPr>
        <w:spacing w:before="120" w:after="120"/>
        <w:rPr>
          <w:rFonts w:eastAsiaTheme="majorEastAsia" w:cstheme="majorBidi"/>
          <w:b/>
          <w:bCs/>
          <w:iCs/>
          <w:color w:val="0000CC"/>
          <w:lang w:eastAsia="ja-JP"/>
        </w:rPr>
      </w:pPr>
      <w:r w:rsidRPr="008551C2">
        <w:rPr>
          <w:rFonts w:eastAsiaTheme="majorEastAsia" w:cstheme="majorBidi"/>
          <w:b/>
          <w:bCs/>
          <w:iCs/>
          <w:color w:val="303F51"/>
          <w:lang w:eastAsia="ja-JP"/>
        </w:rPr>
        <w:t xml:space="preserve">Profitability – </w:t>
      </w:r>
      <w:r w:rsidR="00B02B14">
        <w:rPr>
          <w:rFonts w:eastAsiaTheme="majorEastAsia" w:cstheme="majorBidi"/>
          <w:b/>
          <w:bCs/>
          <w:iCs/>
          <w:color w:val="303F51"/>
          <w:lang w:eastAsia="ja-JP"/>
        </w:rPr>
        <w:t>t</w:t>
      </w:r>
      <w:r w:rsidRPr="008551C2">
        <w:rPr>
          <w:rFonts w:eastAsiaTheme="majorEastAsia" w:cstheme="majorBidi"/>
          <w:b/>
          <w:bCs/>
          <w:iCs/>
          <w:color w:val="303F51"/>
          <w:lang w:eastAsia="ja-JP"/>
        </w:rPr>
        <w:t>ax data</w:t>
      </w:r>
      <w:r w:rsidR="001B746A">
        <w:rPr>
          <w:rFonts w:eastAsiaTheme="majorEastAsia" w:cstheme="majorBidi"/>
          <w:b/>
          <w:bCs/>
          <w:iCs/>
          <w:color w:val="303F51"/>
          <w:lang w:eastAsia="ja-JP"/>
        </w:rPr>
        <w:t xml:space="preserve"> </w:t>
      </w:r>
      <w:bookmarkStart w:id="116" w:name="_Hlk199426844"/>
      <w:r w:rsidR="001B746A" w:rsidRPr="007959EB">
        <w:rPr>
          <w:rFonts w:eastAsiaTheme="majorEastAsia" w:cstheme="majorBidi"/>
          <w:b/>
          <w:bCs/>
          <w:iCs/>
          <w:color w:val="0000CC"/>
          <w:lang w:eastAsia="ja-JP"/>
        </w:rPr>
        <w:t xml:space="preserve">(table </w:t>
      </w:r>
      <w:r w:rsidR="007959EB" w:rsidRPr="007959EB">
        <w:rPr>
          <w:rFonts w:eastAsiaTheme="majorEastAsia" w:cstheme="majorBidi"/>
          <w:b/>
          <w:bCs/>
          <w:iCs/>
          <w:color w:val="0000CC"/>
          <w:lang w:eastAsia="ja-JP"/>
        </w:rPr>
        <w:t>8.7.1)</w:t>
      </w:r>
      <w:bookmarkEnd w:id="116"/>
    </w:p>
    <w:p w14:paraId="5772E327" w14:textId="77777777" w:rsidR="0060567E" w:rsidRDefault="0060567E" w:rsidP="0060567E">
      <w:pPr>
        <w:spacing w:before="120" w:after="120"/>
        <w:rPr>
          <w:rFonts w:eastAsiaTheme="majorEastAsia" w:cstheme="majorBidi"/>
          <w:i/>
          <w:color w:val="303F51"/>
          <w:lang w:eastAsia="ja-JP"/>
        </w:rPr>
      </w:pPr>
      <w:r>
        <w:rPr>
          <w:rFonts w:eastAsiaTheme="majorEastAsia" w:cstheme="majorBidi"/>
          <w:i/>
          <w:color w:val="303F51"/>
          <w:lang w:eastAsia="ja-JP"/>
        </w:rPr>
        <w:t xml:space="preserve">Ownership structure </w:t>
      </w:r>
    </w:p>
    <w:p w14:paraId="6D812B7A" w14:textId="09516BAE" w:rsidR="0060567E" w:rsidRPr="004E19D2" w:rsidRDefault="0060567E" w:rsidP="0060567E">
      <w:pPr>
        <w:pStyle w:val="Noparagraph"/>
        <w:ind w:left="567" w:hanging="567"/>
      </w:pPr>
      <w:r>
        <w:t>T</w:t>
      </w:r>
      <w:r w:rsidRPr="004E19D2">
        <w:t xml:space="preserve">he </w:t>
      </w:r>
      <w:r w:rsidR="00375AB1" w:rsidRPr="00375AB1">
        <w:rPr>
          <w:i/>
          <w:iCs w:val="0"/>
        </w:rPr>
        <w:t>TNSP</w:t>
      </w:r>
      <w:r w:rsidRPr="004E19D2">
        <w:t xml:space="preserve"> </w:t>
      </w:r>
      <w:r>
        <w:t>must</w:t>
      </w:r>
      <w:r w:rsidRPr="004E19D2">
        <w:t xml:space="preserve"> </w:t>
      </w:r>
      <w:r w:rsidR="00D878D7">
        <w:t>report</w:t>
      </w:r>
      <w:r w:rsidR="00D878D7" w:rsidRPr="004E19D2">
        <w:t xml:space="preserve"> </w:t>
      </w:r>
      <w:r w:rsidRPr="004E19D2">
        <w:t xml:space="preserve">their </w:t>
      </w:r>
      <w:r w:rsidR="00C64FA4">
        <w:t>‘</w:t>
      </w:r>
      <w:r w:rsidR="00C05EAD">
        <w:t>O</w:t>
      </w:r>
      <w:r w:rsidRPr="004E19D2">
        <w:t>wnership structure</w:t>
      </w:r>
      <w:r w:rsidR="00C64FA4">
        <w:t>’</w:t>
      </w:r>
      <w:r w:rsidRPr="004E19D2">
        <w:t xml:space="preserve"> as being a:</w:t>
      </w:r>
    </w:p>
    <w:p w14:paraId="0F6DDF22" w14:textId="77777777" w:rsidR="0060567E" w:rsidRPr="004E19D2" w:rsidRDefault="0060567E" w:rsidP="004F01EC">
      <w:pPr>
        <w:pStyle w:val="ListParagraph"/>
        <w:numPr>
          <w:ilvl w:val="0"/>
          <w:numId w:val="58"/>
        </w:numPr>
        <w:spacing w:before="120" w:after="120"/>
        <w:rPr>
          <w:rFonts w:eastAsiaTheme="majorEastAsia" w:cstheme="majorBidi"/>
          <w:iCs/>
          <w:color w:val="303F51"/>
          <w:lang w:eastAsia="ja-JP"/>
        </w:rPr>
      </w:pPr>
      <w:r w:rsidRPr="004E19D2">
        <w:rPr>
          <w:rFonts w:eastAsiaTheme="majorEastAsia" w:cstheme="majorBidi"/>
          <w:iCs/>
          <w:color w:val="303F51"/>
          <w:lang w:eastAsia="ja-JP"/>
        </w:rPr>
        <w:t>Private sector entity which is taxed as a company; or</w:t>
      </w:r>
    </w:p>
    <w:p w14:paraId="0515DFEA" w14:textId="77777777" w:rsidR="0060567E" w:rsidRPr="004E19D2" w:rsidRDefault="0060567E" w:rsidP="004F01EC">
      <w:pPr>
        <w:pStyle w:val="ListParagraph"/>
        <w:numPr>
          <w:ilvl w:val="0"/>
          <w:numId w:val="58"/>
        </w:numPr>
        <w:spacing w:before="120" w:after="120"/>
        <w:rPr>
          <w:rFonts w:eastAsiaTheme="majorEastAsia" w:cstheme="majorBidi"/>
          <w:iCs/>
          <w:color w:val="303F51"/>
          <w:lang w:eastAsia="ja-JP"/>
        </w:rPr>
      </w:pPr>
      <w:r w:rsidRPr="004E19D2">
        <w:rPr>
          <w:rFonts w:eastAsiaTheme="majorEastAsia" w:cstheme="majorBidi"/>
          <w:iCs/>
          <w:color w:val="303F51"/>
          <w:lang w:eastAsia="ja-JP"/>
        </w:rPr>
        <w:t>NTER entity; or</w:t>
      </w:r>
    </w:p>
    <w:p w14:paraId="333BCF34" w14:textId="77777777" w:rsidR="0060567E" w:rsidRPr="004E19D2" w:rsidRDefault="0060567E" w:rsidP="004F01EC">
      <w:pPr>
        <w:pStyle w:val="ListParagraph"/>
        <w:numPr>
          <w:ilvl w:val="0"/>
          <w:numId w:val="58"/>
        </w:numPr>
        <w:spacing w:before="120" w:after="120"/>
        <w:rPr>
          <w:rFonts w:eastAsiaTheme="majorEastAsia" w:cstheme="majorBidi"/>
          <w:iCs/>
          <w:color w:val="303F51"/>
          <w:lang w:eastAsia="ja-JP"/>
        </w:rPr>
      </w:pPr>
      <w:r w:rsidRPr="004E19D2">
        <w:rPr>
          <w:rFonts w:eastAsiaTheme="majorEastAsia" w:cstheme="majorBidi"/>
          <w:iCs/>
          <w:color w:val="303F51"/>
          <w:lang w:eastAsia="ja-JP"/>
        </w:rPr>
        <w:t>government owned entity not reporting under the NTER; or</w:t>
      </w:r>
    </w:p>
    <w:p w14:paraId="1888C467" w14:textId="77777777" w:rsidR="0060567E" w:rsidRDefault="0060567E" w:rsidP="004F01EC">
      <w:pPr>
        <w:pStyle w:val="ListParagraph"/>
        <w:numPr>
          <w:ilvl w:val="0"/>
          <w:numId w:val="58"/>
        </w:numPr>
        <w:spacing w:before="120" w:after="120"/>
        <w:rPr>
          <w:rFonts w:eastAsiaTheme="majorEastAsia" w:cstheme="majorBidi"/>
          <w:iCs/>
          <w:color w:val="303F51"/>
          <w:lang w:eastAsia="ja-JP"/>
        </w:rPr>
      </w:pPr>
      <w:r w:rsidRPr="004E19D2">
        <w:rPr>
          <w:rFonts w:eastAsiaTheme="majorEastAsia" w:cstheme="majorBidi"/>
          <w:iCs/>
          <w:color w:val="303F51"/>
          <w:lang w:eastAsia="ja-JP"/>
        </w:rPr>
        <w:t xml:space="preserve">flow-through entity. </w:t>
      </w:r>
    </w:p>
    <w:p w14:paraId="51E353F9" w14:textId="6760C870" w:rsidR="0060567E" w:rsidRPr="004E19D2" w:rsidRDefault="0060567E" w:rsidP="0060567E">
      <w:pPr>
        <w:pStyle w:val="Noparagraph"/>
        <w:ind w:left="567" w:hanging="567"/>
      </w:pPr>
      <w:r w:rsidRPr="004E19D2">
        <w:t xml:space="preserve">If the </w:t>
      </w:r>
      <w:r w:rsidR="00375AB1" w:rsidRPr="00375AB1">
        <w:rPr>
          <w:i/>
          <w:iCs w:val="0"/>
        </w:rPr>
        <w:t>TNSP</w:t>
      </w:r>
      <w:r w:rsidRPr="004E19D2">
        <w:t xml:space="preserve"> is a flow-through entity in which a NTER entity or a government entity not reporting under the NTER holds an interest in the </w:t>
      </w:r>
      <w:r w:rsidR="00C05EAD" w:rsidRPr="00C05EAD">
        <w:rPr>
          <w:i/>
          <w:iCs w:val="0"/>
        </w:rPr>
        <w:t>TNSP’s</w:t>
      </w:r>
      <w:r w:rsidRPr="004E19D2">
        <w:t xml:space="preserve"> assets, the </w:t>
      </w:r>
      <w:r w:rsidR="008041FA" w:rsidRPr="008041FA">
        <w:rPr>
          <w:i/>
        </w:rPr>
        <w:t>TNSP</w:t>
      </w:r>
      <w:r w:rsidRPr="004E19D2">
        <w:t xml:space="preserve"> should identify as a flow-through entity.</w:t>
      </w:r>
    </w:p>
    <w:p w14:paraId="191945E9" w14:textId="361134D2" w:rsidR="0060567E" w:rsidRPr="004E19D2" w:rsidRDefault="0060567E" w:rsidP="0060567E">
      <w:pPr>
        <w:spacing w:before="120" w:after="120"/>
        <w:ind w:left="567"/>
        <w:rPr>
          <w:rFonts w:eastAsiaTheme="majorEastAsia" w:cstheme="majorBidi"/>
          <w:iCs/>
          <w:color w:val="303F51"/>
          <w:lang w:eastAsia="ja-JP"/>
        </w:rPr>
      </w:pPr>
      <w:r w:rsidRPr="004E19D2">
        <w:rPr>
          <w:rFonts w:eastAsiaTheme="majorEastAsia" w:cstheme="majorBidi"/>
          <w:iCs/>
          <w:color w:val="303F51"/>
          <w:lang w:eastAsia="ja-JP"/>
        </w:rPr>
        <w:t xml:space="preserve">Note: If the ownership structure of the </w:t>
      </w:r>
      <w:r w:rsidR="00375AB1" w:rsidRPr="00375AB1">
        <w:rPr>
          <w:i/>
          <w:iCs/>
        </w:rPr>
        <w:t>TNSP</w:t>
      </w:r>
      <w:r w:rsidRPr="004E19D2">
        <w:rPr>
          <w:rFonts w:eastAsiaTheme="majorEastAsia" w:cstheme="majorBidi"/>
        </w:rPr>
        <w:t xml:space="preserve"> </w:t>
      </w:r>
      <w:r w:rsidRPr="004E19D2">
        <w:rPr>
          <w:rFonts w:eastAsiaTheme="majorEastAsia" w:cstheme="majorBidi"/>
          <w:iCs/>
          <w:color w:val="303F51"/>
          <w:lang w:eastAsia="ja-JP"/>
        </w:rPr>
        <w:t xml:space="preserve">has changed during the </w:t>
      </w:r>
      <w:r w:rsidRPr="00C64FA4">
        <w:rPr>
          <w:rFonts w:eastAsiaTheme="majorEastAsia" w:cstheme="majorBidi"/>
          <w:i/>
          <w:color w:val="303F51"/>
          <w:lang w:eastAsia="ja-JP"/>
        </w:rPr>
        <w:t>reporting period</w:t>
      </w:r>
      <w:r w:rsidRPr="004E19D2">
        <w:rPr>
          <w:rFonts w:eastAsiaTheme="majorEastAsia" w:cstheme="majorBidi"/>
          <w:iCs/>
          <w:color w:val="303F51"/>
          <w:lang w:eastAsia="ja-JP"/>
        </w:rPr>
        <w:t xml:space="preserve"> (due to a privatisation, acquisition or restructure), the </w:t>
      </w:r>
      <w:r w:rsidR="00375AB1" w:rsidRPr="00375AB1">
        <w:rPr>
          <w:i/>
          <w:iCs/>
        </w:rPr>
        <w:t>TNSP</w:t>
      </w:r>
      <w:r w:rsidRPr="004E19D2">
        <w:rPr>
          <w:rFonts w:eastAsiaTheme="majorEastAsia" w:cstheme="majorBidi"/>
          <w:iCs/>
          <w:color w:val="303F51"/>
          <w:lang w:eastAsia="ja-JP"/>
        </w:rPr>
        <w:t xml:space="preserve"> </w:t>
      </w:r>
      <w:r w:rsidR="00CB4D03">
        <w:rPr>
          <w:rFonts w:eastAsiaTheme="majorEastAsia" w:cstheme="majorBidi"/>
          <w:iCs/>
          <w:color w:val="303F51"/>
          <w:lang w:eastAsia="ja-JP"/>
        </w:rPr>
        <w:t>must</w:t>
      </w:r>
      <w:r w:rsidR="00CB4D03" w:rsidRPr="004E19D2">
        <w:rPr>
          <w:rFonts w:eastAsiaTheme="majorEastAsia" w:cstheme="majorBidi"/>
          <w:iCs/>
          <w:color w:val="303F51"/>
          <w:lang w:eastAsia="ja-JP"/>
        </w:rPr>
        <w:t xml:space="preserve"> </w:t>
      </w:r>
      <w:r w:rsidRPr="004E19D2">
        <w:rPr>
          <w:rFonts w:eastAsiaTheme="majorEastAsia" w:cstheme="majorBidi"/>
          <w:iCs/>
          <w:color w:val="303F51"/>
          <w:lang w:eastAsia="ja-JP"/>
        </w:rPr>
        <w:t xml:space="preserve">identify the structure which was applicable for </w:t>
      </w:r>
      <w:proofErr w:type="gramStart"/>
      <w:r w:rsidRPr="004E19D2">
        <w:rPr>
          <w:rFonts w:eastAsiaTheme="majorEastAsia" w:cstheme="majorBidi"/>
          <w:iCs/>
          <w:color w:val="303F51"/>
          <w:lang w:eastAsia="ja-JP"/>
        </w:rPr>
        <w:t>the majority of</w:t>
      </w:r>
      <w:proofErr w:type="gramEnd"/>
      <w:r w:rsidRPr="004E19D2">
        <w:rPr>
          <w:rFonts w:eastAsiaTheme="majorEastAsia" w:cstheme="majorBidi"/>
          <w:iCs/>
          <w:color w:val="303F51"/>
          <w:lang w:eastAsia="ja-JP"/>
        </w:rPr>
        <w:t xml:space="preserve"> the </w:t>
      </w:r>
      <w:r w:rsidR="00375AB1" w:rsidRPr="00C64FA4">
        <w:rPr>
          <w:rFonts w:eastAsiaTheme="majorEastAsia" w:cstheme="majorBidi"/>
          <w:i/>
          <w:color w:val="303F51"/>
          <w:lang w:eastAsia="ja-JP"/>
        </w:rPr>
        <w:t>reporting period</w:t>
      </w:r>
      <w:r w:rsidRPr="004E19D2">
        <w:rPr>
          <w:rFonts w:eastAsiaTheme="majorEastAsia" w:cstheme="majorBidi"/>
          <w:iCs/>
          <w:color w:val="303F51"/>
          <w:lang w:eastAsia="ja-JP"/>
        </w:rPr>
        <w:t xml:space="preserve">. The </w:t>
      </w:r>
      <w:r w:rsidR="00375AB1" w:rsidRPr="00375AB1">
        <w:rPr>
          <w:i/>
          <w:iCs/>
        </w:rPr>
        <w:t>TNSP</w:t>
      </w:r>
      <w:r w:rsidRPr="004E19D2">
        <w:rPr>
          <w:rFonts w:eastAsiaTheme="majorEastAsia" w:cstheme="majorBidi"/>
        </w:rPr>
        <w:t xml:space="preserve"> </w:t>
      </w:r>
      <w:r w:rsidRPr="004E19D2">
        <w:rPr>
          <w:rFonts w:eastAsiaTheme="majorEastAsia" w:cstheme="majorBidi"/>
          <w:iCs/>
          <w:color w:val="303F51"/>
          <w:lang w:eastAsia="ja-JP"/>
        </w:rPr>
        <w:t xml:space="preserve">must note the change of ownership structure in its </w:t>
      </w:r>
      <w:r w:rsidRPr="004E19D2">
        <w:rPr>
          <w:rFonts w:eastAsiaTheme="majorEastAsia" w:cstheme="majorBidi"/>
          <w:i/>
          <w:color w:val="303F51"/>
          <w:lang w:eastAsia="ja-JP"/>
        </w:rPr>
        <w:t>basis of preparation</w:t>
      </w:r>
      <w:r w:rsidRPr="004E19D2">
        <w:rPr>
          <w:rFonts w:eastAsiaTheme="majorEastAsia" w:cstheme="majorBidi"/>
          <w:iCs/>
          <w:color w:val="303F51"/>
          <w:lang w:eastAsia="ja-JP"/>
        </w:rPr>
        <w:t>.</w:t>
      </w:r>
    </w:p>
    <w:p w14:paraId="799BB5F0" w14:textId="7E3264B4" w:rsidR="0060567E" w:rsidRPr="00901235" w:rsidRDefault="0060567E" w:rsidP="0060567E">
      <w:pPr>
        <w:pStyle w:val="Noparagraph"/>
        <w:ind w:left="567" w:hanging="567"/>
      </w:pPr>
      <w:r w:rsidRPr="00901235">
        <w:t xml:space="preserve">If the </w:t>
      </w:r>
      <w:r w:rsidR="00375AB1" w:rsidRPr="00375AB1">
        <w:rPr>
          <w:i/>
          <w:iCs w:val="0"/>
        </w:rPr>
        <w:t>TNSP</w:t>
      </w:r>
      <w:r w:rsidR="00375AB1" w:rsidRPr="00D878D7">
        <w:t>’s</w:t>
      </w:r>
      <w:r w:rsidRPr="004E19D2">
        <w:t xml:space="preserve"> </w:t>
      </w:r>
      <w:r w:rsidRPr="00901235">
        <w:t xml:space="preserve">ownership structure is a flow-through entity for the </w:t>
      </w:r>
      <w:r w:rsidR="00375AB1">
        <w:t>reporting period</w:t>
      </w:r>
      <w:r w:rsidRPr="00901235">
        <w:t xml:space="preserve">, the </w:t>
      </w:r>
      <w:r w:rsidR="00375AB1" w:rsidRPr="00375AB1">
        <w:rPr>
          <w:i/>
          <w:iCs w:val="0"/>
        </w:rPr>
        <w:t>TNSP</w:t>
      </w:r>
      <w:r w:rsidRPr="004E19D2">
        <w:t xml:space="preserve"> </w:t>
      </w:r>
      <w:r>
        <w:t>must</w:t>
      </w:r>
      <w:r w:rsidRPr="00901235">
        <w:t xml:space="preserve"> calculate a blended tax rate. </w:t>
      </w:r>
    </w:p>
    <w:p w14:paraId="659F9E2A" w14:textId="4D962B72" w:rsidR="0060567E" w:rsidRDefault="0060567E" w:rsidP="0060567E">
      <w:pPr>
        <w:spacing w:before="120" w:after="120"/>
        <w:ind w:left="567"/>
        <w:rPr>
          <w:rFonts w:eastAsiaTheme="majorEastAsia" w:cstheme="majorBidi"/>
          <w:iCs/>
          <w:color w:val="303F51"/>
          <w:lang w:eastAsia="ja-JP"/>
        </w:rPr>
      </w:pPr>
      <w:r w:rsidRPr="00901235">
        <w:rPr>
          <w:rFonts w:eastAsiaTheme="majorEastAsia" w:cstheme="majorBidi"/>
          <w:iCs/>
          <w:color w:val="303F51"/>
          <w:lang w:eastAsia="ja-JP"/>
        </w:rPr>
        <w:t xml:space="preserve">Note: To determine the appropriate tax rate for a </w:t>
      </w:r>
      <w:r w:rsidR="00375AB1" w:rsidRPr="00375AB1">
        <w:rPr>
          <w:i/>
          <w:iCs/>
        </w:rPr>
        <w:t>TNSP</w:t>
      </w:r>
      <w:r w:rsidRPr="004E19D2">
        <w:rPr>
          <w:rFonts w:eastAsiaTheme="majorEastAsia" w:cstheme="majorBidi"/>
        </w:rPr>
        <w:t xml:space="preserve"> </w:t>
      </w:r>
      <w:r w:rsidRPr="00901235">
        <w:rPr>
          <w:rFonts w:eastAsiaTheme="majorEastAsia" w:cstheme="majorBidi"/>
          <w:iCs/>
          <w:color w:val="303F51"/>
          <w:lang w:eastAsia="ja-JP"/>
        </w:rPr>
        <w:t xml:space="preserve">as a flow-through entity, we request the determination of a blended tax rate </w:t>
      </w:r>
      <w:r w:rsidR="00D878D7">
        <w:rPr>
          <w:rFonts w:eastAsiaTheme="majorEastAsia" w:cstheme="majorBidi"/>
          <w:iCs/>
          <w:color w:val="303F51"/>
          <w:lang w:eastAsia="ja-JP"/>
        </w:rPr>
        <w:t>that</w:t>
      </w:r>
      <w:r w:rsidR="00D878D7" w:rsidRPr="00901235">
        <w:rPr>
          <w:rFonts w:eastAsiaTheme="majorEastAsia" w:cstheme="majorBidi"/>
          <w:iCs/>
          <w:color w:val="303F51"/>
          <w:lang w:eastAsia="ja-JP"/>
        </w:rPr>
        <w:t xml:space="preserve"> </w:t>
      </w:r>
      <w:r w:rsidRPr="00901235">
        <w:rPr>
          <w:rFonts w:eastAsiaTheme="majorEastAsia" w:cstheme="majorBidi"/>
          <w:iCs/>
          <w:color w:val="303F51"/>
          <w:lang w:eastAsia="ja-JP"/>
        </w:rPr>
        <w:t xml:space="preserve">represents the applicable Australian income tax rates for the initial recipients of the </w:t>
      </w:r>
      <w:r w:rsidR="00375AB1" w:rsidRPr="00375AB1">
        <w:rPr>
          <w:i/>
          <w:iCs/>
        </w:rPr>
        <w:t>TNSP’s</w:t>
      </w:r>
      <w:r w:rsidRPr="00901235">
        <w:rPr>
          <w:rFonts w:eastAsiaTheme="majorEastAsia" w:cstheme="majorBidi"/>
          <w:iCs/>
          <w:color w:val="303F51"/>
          <w:lang w:eastAsia="ja-JP"/>
        </w:rPr>
        <w:t xml:space="preserve"> profits. The blended tax rate calculation </w:t>
      </w:r>
      <w:r w:rsidR="00CB4D03">
        <w:rPr>
          <w:rFonts w:eastAsiaTheme="majorEastAsia" w:cstheme="majorBidi"/>
          <w:iCs/>
          <w:color w:val="303F51"/>
          <w:lang w:eastAsia="ja-JP"/>
        </w:rPr>
        <w:t>must</w:t>
      </w:r>
      <w:r w:rsidR="00CB4D03" w:rsidRPr="00901235">
        <w:rPr>
          <w:rFonts w:eastAsiaTheme="majorEastAsia" w:cstheme="majorBidi"/>
          <w:iCs/>
          <w:color w:val="303F51"/>
          <w:lang w:eastAsia="ja-JP"/>
        </w:rPr>
        <w:t xml:space="preserve"> </w:t>
      </w:r>
      <w:r w:rsidRPr="00901235">
        <w:rPr>
          <w:rFonts w:eastAsiaTheme="majorEastAsia" w:cstheme="majorBidi"/>
          <w:iCs/>
          <w:color w:val="303F51"/>
          <w:lang w:eastAsia="ja-JP"/>
        </w:rPr>
        <w:t xml:space="preserve">not include any foreign taxes which may apply to distributions </w:t>
      </w:r>
      <w:r w:rsidRPr="00901235">
        <w:rPr>
          <w:rFonts w:eastAsiaTheme="majorEastAsia" w:cstheme="majorBidi"/>
          <w:iCs/>
          <w:color w:val="303F51"/>
          <w:lang w:eastAsia="ja-JP"/>
        </w:rPr>
        <w:lastRenderedPageBreak/>
        <w:t xml:space="preserve">received by the </w:t>
      </w:r>
      <w:r w:rsidR="00375AB1" w:rsidRPr="00375AB1">
        <w:rPr>
          <w:i/>
          <w:iCs/>
        </w:rPr>
        <w:t>TNSP’s</w:t>
      </w:r>
      <w:r w:rsidRPr="004E19D2">
        <w:rPr>
          <w:rFonts w:eastAsiaTheme="majorEastAsia" w:cstheme="majorBidi"/>
        </w:rPr>
        <w:t xml:space="preserve"> </w:t>
      </w:r>
      <w:r w:rsidRPr="00901235">
        <w:rPr>
          <w:rFonts w:eastAsiaTheme="majorEastAsia" w:cstheme="majorBidi"/>
          <w:iCs/>
          <w:color w:val="303F51"/>
          <w:lang w:eastAsia="ja-JP"/>
        </w:rPr>
        <w:t>investors (e.g. dividends, return on tax equity instruments, partnership distributions and trust distributions).</w:t>
      </w:r>
    </w:p>
    <w:p w14:paraId="37839357" w14:textId="3563C1E8" w:rsidR="0060567E" w:rsidRPr="00436E7F" w:rsidRDefault="0060567E" w:rsidP="0060567E">
      <w:pPr>
        <w:pStyle w:val="Noparagraph"/>
        <w:ind w:left="567" w:hanging="567"/>
      </w:pPr>
      <w:r w:rsidRPr="00436E7F">
        <w:t xml:space="preserve">The </w:t>
      </w:r>
      <w:r w:rsidR="00D878D7" w:rsidRPr="00D878D7">
        <w:rPr>
          <w:i/>
          <w:iCs w:val="0"/>
        </w:rPr>
        <w:t>TNSP</w:t>
      </w:r>
      <w:r w:rsidR="00D878D7">
        <w:t xml:space="preserve"> must report the </w:t>
      </w:r>
      <w:r w:rsidR="00D878D7" w:rsidRPr="00D878D7">
        <w:rPr>
          <w:i/>
          <w:iCs w:val="0"/>
        </w:rPr>
        <w:t>TNSP</w:t>
      </w:r>
      <w:r w:rsidR="00D878D7" w:rsidRPr="00D878D7">
        <w:t>’s</w:t>
      </w:r>
      <w:r w:rsidRPr="00436E7F">
        <w:t xml:space="preserve"> tax rate </w:t>
      </w:r>
      <w:r w:rsidR="00D878D7">
        <w:t xml:space="preserve">as </w:t>
      </w:r>
      <w:r w:rsidRPr="00436E7F">
        <w:t xml:space="preserve">determined by the </w:t>
      </w:r>
      <w:r w:rsidR="00D878D7" w:rsidRPr="00D878D7">
        <w:rPr>
          <w:i/>
          <w:iCs w:val="0"/>
        </w:rPr>
        <w:t>TNSP</w:t>
      </w:r>
      <w:r w:rsidR="00D878D7" w:rsidRPr="00D878D7">
        <w:t>’s</w:t>
      </w:r>
      <w:r w:rsidR="00D878D7">
        <w:t xml:space="preserve"> </w:t>
      </w:r>
      <w:r w:rsidRPr="00436E7F">
        <w:t>ownership structure. The applicable tax rate/s are:</w:t>
      </w:r>
    </w:p>
    <w:p w14:paraId="4DB84187" w14:textId="77777777" w:rsidR="0060567E" w:rsidRPr="00436E7F" w:rsidRDefault="0060567E" w:rsidP="0079620D">
      <w:pPr>
        <w:pStyle w:val="Noparagraph"/>
        <w:numPr>
          <w:ilvl w:val="2"/>
          <w:numId w:val="44"/>
        </w:numPr>
        <w:ind w:left="1276"/>
      </w:pPr>
      <w:r w:rsidRPr="00436E7F">
        <w:t xml:space="preserve">for privately owned corporate structures – </w:t>
      </w:r>
      <w:proofErr w:type="gramStart"/>
      <w:r w:rsidRPr="00436E7F">
        <w:t>30%;</w:t>
      </w:r>
      <w:proofErr w:type="gramEnd"/>
    </w:p>
    <w:p w14:paraId="30B6B87A" w14:textId="77777777" w:rsidR="0060567E" w:rsidRPr="00436E7F" w:rsidRDefault="0060567E" w:rsidP="0079620D">
      <w:pPr>
        <w:pStyle w:val="Noparagraph"/>
        <w:numPr>
          <w:ilvl w:val="2"/>
          <w:numId w:val="44"/>
        </w:numPr>
        <w:ind w:left="1276"/>
      </w:pPr>
      <w:r w:rsidRPr="00436E7F">
        <w:t xml:space="preserve">for NTER entities – 0% and </w:t>
      </w:r>
      <w:proofErr w:type="gramStart"/>
      <w:r w:rsidRPr="00436E7F">
        <w:t>30%;</w:t>
      </w:r>
      <w:proofErr w:type="gramEnd"/>
    </w:p>
    <w:p w14:paraId="6CCFF164" w14:textId="77777777" w:rsidR="0060567E" w:rsidRPr="00436E7F" w:rsidRDefault="0060567E" w:rsidP="0079620D">
      <w:pPr>
        <w:pStyle w:val="Noparagraph"/>
        <w:numPr>
          <w:ilvl w:val="2"/>
          <w:numId w:val="44"/>
        </w:numPr>
        <w:ind w:left="1276"/>
      </w:pPr>
      <w:r w:rsidRPr="00436E7F">
        <w:t xml:space="preserve">for government entities not reporting under the NTER – 0% and </w:t>
      </w:r>
      <w:proofErr w:type="gramStart"/>
      <w:r w:rsidRPr="00436E7F">
        <w:t>30%;</w:t>
      </w:r>
      <w:proofErr w:type="gramEnd"/>
      <w:r w:rsidRPr="00436E7F">
        <w:t xml:space="preserve"> </w:t>
      </w:r>
    </w:p>
    <w:p w14:paraId="006C77B4" w14:textId="3C5579FC" w:rsidR="0060567E" w:rsidRPr="00436E7F" w:rsidRDefault="0060567E" w:rsidP="0079620D">
      <w:pPr>
        <w:pStyle w:val="Noparagraph"/>
        <w:numPr>
          <w:ilvl w:val="2"/>
          <w:numId w:val="44"/>
        </w:numPr>
        <w:ind w:left="1276"/>
      </w:pPr>
      <w:r w:rsidRPr="00436E7F">
        <w:t xml:space="preserve">for flow-through entities – the blended tax rate reported in paragraph </w:t>
      </w:r>
      <w:proofErr w:type="gramStart"/>
      <w:r w:rsidR="00D872B8">
        <w:t>8.2.7(b)</w:t>
      </w:r>
      <w:r w:rsidRPr="00436E7F">
        <w:t>;</w:t>
      </w:r>
      <w:proofErr w:type="gramEnd"/>
    </w:p>
    <w:p w14:paraId="5C38D6EE" w14:textId="36359FCD" w:rsidR="0060567E" w:rsidRPr="00436E7F" w:rsidRDefault="0060567E" w:rsidP="0079620D">
      <w:pPr>
        <w:pStyle w:val="Noparagraph"/>
        <w:numPr>
          <w:ilvl w:val="2"/>
          <w:numId w:val="44"/>
        </w:numPr>
        <w:ind w:left="1276"/>
      </w:pPr>
      <w:r w:rsidRPr="00436E7F">
        <w:t xml:space="preserve">for flow-through entities in which a NTER entity or a government entity not reporting under the NTER hold an interest in the </w:t>
      </w:r>
      <w:r w:rsidR="00D878D7" w:rsidRPr="00D878D7">
        <w:rPr>
          <w:i/>
          <w:iCs w:val="0"/>
        </w:rPr>
        <w:t>TNSP’s</w:t>
      </w:r>
      <w:r w:rsidRPr="00436E7F">
        <w:t xml:space="preserve"> assets – the blended tax rate </w:t>
      </w:r>
      <w:r>
        <w:t>calculated in accordance with</w:t>
      </w:r>
      <w:r w:rsidRPr="00436E7F">
        <w:t xml:space="preserve"> </w:t>
      </w:r>
      <w:r>
        <w:t>section</w:t>
      </w:r>
      <w:r w:rsidRPr="00436E7F">
        <w:t xml:space="preserve"> </w:t>
      </w:r>
      <w:r w:rsidR="00D872B8">
        <w:t>8</w:t>
      </w:r>
      <w:r>
        <w:t>.2.</w:t>
      </w:r>
      <w:r w:rsidR="00F91B6E">
        <w:t>7</w:t>
      </w:r>
      <w:r>
        <w:t>.</w:t>
      </w:r>
    </w:p>
    <w:p w14:paraId="0B9A5E8D" w14:textId="77777777" w:rsidR="0060567E" w:rsidRDefault="0060567E" w:rsidP="0060567E">
      <w:pPr>
        <w:spacing w:before="120" w:after="120"/>
        <w:rPr>
          <w:rFonts w:eastAsiaTheme="majorEastAsia" w:cstheme="majorBidi"/>
          <w:i/>
          <w:color w:val="303F51"/>
          <w:lang w:eastAsia="ja-JP"/>
        </w:rPr>
      </w:pPr>
      <w:r>
        <w:rPr>
          <w:rFonts w:eastAsiaTheme="majorEastAsia" w:cstheme="majorBidi"/>
          <w:i/>
          <w:color w:val="303F51"/>
          <w:lang w:eastAsia="ja-JP"/>
        </w:rPr>
        <w:t>Tax related information</w:t>
      </w:r>
    </w:p>
    <w:p w14:paraId="3C2A105A" w14:textId="7D157F4C" w:rsidR="0060567E" w:rsidRPr="00436E7F" w:rsidRDefault="0060567E" w:rsidP="0060567E">
      <w:pPr>
        <w:pStyle w:val="Noparagraph"/>
        <w:ind w:left="567" w:hanging="567"/>
      </w:pPr>
      <w:r w:rsidRPr="00436E7F">
        <w:t xml:space="preserve">The </w:t>
      </w:r>
      <w:r w:rsidR="00547453" w:rsidRPr="00547453">
        <w:rPr>
          <w:i/>
          <w:iCs w:val="0"/>
        </w:rPr>
        <w:t>TNSP</w:t>
      </w:r>
      <w:r w:rsidRPr="00436E7F">
        <w:t xml:space="preserve"> </w:t>
      </w:r>
      <w:r w:rsidR="00547453">
        <w:t>must</w:t>
      </w:r>
      <w:r w:rsidRPr="00436E7F">
        <w:t xml:space="preserve"> report the tax depreciation of the </w:t>
      </w:r>
      <w:r w:rsidR="00547453">
        <w:rPr>
          <w:i/>
          <w:iCs w:val="0"/>
        </w:rPr>
        <w:t>TNSP</w:t>
      </w:r>
      <w:r w:rsidRPr="00436E7F">
        <w:t xml:space="preserve">’s TAB. This </w:t>
      </w:r>
      <w:r w:rsidR="00547453">
        <w:t>must</w:t>
      </w:r>
      <w:r w:rsidRPr="00436E7F">
        <w:t xml:space="preserve"> </w:t>
      </w:r>
      <w:r w:rsidR="00260272">
        <w:t>reconcile with</w:t>
      </w:r>
      <w:r w:rsidRPr="00436E7F">
        <w:t>:</w:t>
      </w:r>
    </w:p>
    <w:p w14:paraId="34C23153" w14:textId="7DFC161A" w:rsidR="0060567E" w:rsidRPr="00436E7F" w:rsidRDefault="0060567E" w:rsidP="0079620D">
      <w:pPr>
        <w:pStyle w:val="Noparagraph"/>
        <w:numPr>
          <w:ilvl w:val="2"/>
          <w:numId w:val="46"/>
        </w:numPr>
        <w:ind w:left="1276" w:hanging="180"/>
      </w:pPr>
      <w:r w:rsidRPr="00436E7F">
        <w:t xml:space="preserve">the applicable final decision that the </w:t>
      </w:r>
      <w:r w:rsidR="00375AB1" w:rsidRPr="00375AB1">
        <w:rPr>
          <w:i/>
        </w:rPr>
        <w:t>AER</w:t>
      </w:r>
      <w:r w:rsidRPr="00436E7F">
        <w:t xml:space="preserve"> has made in relation to the historical tax depreciation of the </w:t>
      </w:r>
      <w:r w:rsidR="00547453" w:rsidRPr="00547453">
        <w:rPr>
          <w:i/>
          <w:iCs w:val="0"/>
        </w:rPr>
        <w:t>TNSP’s</w:t>
      </w:r>
      <w:r w:rsidRPr="00436E7F">
        <w:t xml:space="preserve"> TAB; or</w:t>
      </w:r>
    </w:p>
    <w:p w14:paraId="18EB14D2" w14:textId="4AE8D171" w:rsidR="0060567E" w:rsidRPr="00436E7F" w:rsidRDefault="0060567E" w:rsidP="0079620D">
      <w:pPr>
        <w:pStyle w:val="Noparagraph"/>
        <w:numPr>
          <w:ilvl w:val="2"/>
          <w:numId w:val="46"/>
        </w:numPr>
        <w:ind w:left="1276" w:hanging="180"/>
      </w:pPr>
      <w:r w:rsidRPr="00436E7F">
        <w:t xml:space="preserve">where the </w:t>
      </w:r>
      <w:r w:rsidR="00375AB1" w:rsidRPr="00375AB1">
        <w:rPr>
          <w:i/>
        </w:rPr>
        <w:t>AER</w:t>
      </w:r>
      <w:r w:rsidRPr="00436E7F">
        <w:t xml:space="preserve"> has not made a final decision in relation to the historical tax depreciation of the </w:t>
      </w:r>
      <w:r w:rsidR="00130D51" w:rsidRPr="00547453">
        <w:rPr>
          <w:i/>
          <w:iCs w:val="0"/>
        </w:rPr>
        <w:t>TNSP’s</w:t>
      </w:r>
      <w:r w:rsidR="00130D51">
        <w:rPr>
          <w:i/>
          <w:iCs w:val="0"/>
        </w:rPr>
        <w:t xml:space="preserve"> </w:t>
      </w:r>
      <w:r w:rsidRPr="00436E7F">
        <w:t>TAB:</w:t>
      </w:r>
    </w:p>
    <w:p w14:paraId="0D8A83B3" w14:textId="60B7A867" w:rsidR="0060567E" w:rsidRPr="00436E7F" w:rsidRDefault="0060567E" w:rsidP="0079620D">
      <w:pPr>
        <w:pStyle w:val="Noparagraph"/>
        <w:numPr>
          <w:ilvl w:val="2"/>
          <w:numId w:val="45"/>
        </w:numPr>
        <w:ind w:left="2127" w:hanging="180"/>
      </w:pPr>
      <w:r w:rsidRPr="00436E7F">
        <w:t xml:space="preserve">any historical depreciation of the </w:t>
      </w:r>
      <w:r w:rsidR="00130D51" w:rsidRPr="00547453">
        <w:rPr>
          <w:i/>
          <w:iCs w:val="0"/>
        </w:rPr>
        <w:t>TNSP’s</w:t>
      </w:r>
      <w:r w:rsidRPr="00436E7F">
        <w:t xml:space="preserve"> TAB provided by the network service provider in a revised regulatory proposal for a regulatory determination; or if not available </w:t>
      </w:r>
    </w:p>
    <w:p w14:paraId="15EB217A" w14:textId="00C454C8" w:rsidR="0060567E" w:rsidRPr="00436E7F" w:rsidRDefault="0060567E" w:rsidP="0079620D">
      <w:pPr>
        <w:pStyle w:val="Noparagraph"/>
        <w:numPr>
          <w:ilvl w:val="2"/>
          <w:numId w:val="45"/>
        </w:numPr>
        <w:ind w:left="2127" w:hanging="180"/>
      </w:pPr>
      <w:r w:rsidRPr="00436E7F">
        <w:t xml:space="preserve">any draft decision that the </w:t>
      </w:r>
      <w:r w:rsidR="00375AB1" w:rsidRPr="00375AB1">
        <w:rPr>
          <w:i/>
        </w:rPr>
        <w:t>AER</w:t>
      </w:r>
      <w:r w:rsidRPr="00436E7F">
        <w:t xml:space="preserve"> has made in relation to the historical tax depreciation of the </w:t>
      </w:r>
      <w:r w:rsidR="00130D51" w:rsidRPr="00547453">
        <w:rPr>
          <w:i/>
          <w:iCs w:val="0"/>
        </w:rPr>
        <w:t>TNSP’s</w:t>
      </w:r>
      <w:r w:rsidR="00130D51">
        <w:rPr>
          <w:i/>
          <w:iCs w:val="0"/>
        </w:rPr>
        <w:t xml:space="preserve"> </w:t>
      </w:r>
      <w:r w:rsidRPr="00436E7F">
        <w:t xml:space="preserve">TAB; or if not available </w:t>
      </w:r>
    </w:p>
    <w:p w14:paraId="787008AD" w14:textId="06F53C93" w:rsidR="0060567E" w:rsidRPr="00436E7F" w:rsidRDefault="0060567E" w:rsidP="0079620D">
      <w:pPr>
        <w:pStyle w:val="Noparagraph"/>
        <w:numPr>
          <w:ilvl w:val="2"/>
          <w:numId w:val="45"/>
        </w:numPr>
        <w:ind w:left="2127" w:hanging="180"/>
      </w:pPr>
      <w:r w:rsidRPr="00436E7F">
        <w:t xml:space="preserve">any historical depreciation of the </w:t>
      </w:r>
      <w:r w:rsidR="00130D51" w:rsidRPr="00130D51">
        <w:rPr>
          <w:i/>
          <w:iCs w:val="0"/>
        </w:rPr>
        <w:t>TNSP’s</w:t>
      </w:r>
      <w:r w:rsidRPr="00436E7F">
        <w:t xml:space="preserve"> TAB provided by the network service provider in an initial regulatory proposal for a regulatory determination; or if not available </w:t>
      </w:r>
    </w:p>
    <w:p w14:paraId="7D09E05C" w14:textId="03AA16FF" w:rsidR="0060567E" w:rsidRPr="00436E7F" w:rsidRDefault="0060567E" w:rsidP="0079620D">
      <w:pPr>
        <w:pStyle w:val="Noparagraph"/>
        <w:numPr>
          <w:ilvl w:val="2"/>
          <w:numId w:val="45"/>
        </w:numPr>
        <w:ind w:left="2127" w:hanging="180"/>
      </w:pPr>
      <w:r w:rsidRPr="00436E7F">
        <w:t>an estimate of the</w:t>
      </w:r>
      <w:r w:rsidR="00C7586B">
        <w:t xml:space="preserve"> </w:t>
      </w:r>
      <w:r w:rsidR="00130D51" w:rsidRPr="00130D51">
        <w:rPr>
          <w:i/>
          <w:iCs w:val="0"/>
        </w:rPr>
        <w:t>TNSP’s</w:t>
      </w:r>
      <w:r w:rsidR="00130D51">
        <w:rPr>
          <w:i/>
          <w:iCs w:val="0"/>
        </w:rPr>
        <w:t xml:space="preserve"> </w:t>
      </w:r>
      <w:r w:rsidRPr="00436E7F">
        <w:t xml:space="preserve">actual TAB depreciation based on a TAB from the most recent applicable final decision PTRM updated for actual </w:t>
      </w:r>
      <w:r w:rsidR="005D526D" w:rsidRPr="005D526D">
        <w:rPr>
          <w:i/>
        </w:rPr>
        <w:t>capital expenditure</w:t>
      </w:r>
      <w:r w:rsidRPr="00436E7F">
        <w:t xml:space="preserve"> and CPI.</w:t>
      </w:r>
    </w:p>
    <w:p w14:paraId="7EF13203" w14:textId="77777777" w:rsidR="0060567E" w:rsidRDefault="0060567E" w:rsidP="0060567E">
      <w:pPr>
        <w:spacing w:before="120" w:after="120"/>
        <w:rPr>
          <w:rFonts w:eastAsiaTheme="majorEastAsia" w:cstheme="majorBidi"/>
          <w:i/>
          <w:color w:val="303F51"/>
          <w:lang w:eastAsia="ja-JP"/>
        </w:rPr>
      </w:pPr>
      <w:r w:rsidRPr="002D77FE">
        <w:rPr>
          <w:rFonts w:eastAsiaTheme="majorEastAsia" w:cstheme="majorBidi"/>
          <w:i/>
          <w:color w:val="303F51"/>
          <w:lang w:eastAsia="ja-JP"/>
        </w:rPr>
        <w:t>Tax</w:t>
      </w:r>
      <w:r>
        <w:rPr>
          <w:rFonts w:eastAsiaTheme="majorEastAsia" w:cstheme="majorBidi"/>
          <w:i/>
          <w:color w:val="303F51"/>
          <w:lang w:eastAsia="ja-JP"/>
        </w:rPr>
        <w:t>able income adjustments</w:t>
      </w:r>
    </w:p>
    <w:p w14:paraId="05AFFADC" w14:textId="67607AE7" w:rsidR="002213D0" w:rsidRPr="002519BF" w:rsidRDefault="002213D0" w:rsidP="002213D0">
      <w:pPr>
        <w:pStyle w:val="Heading4"/>
        <w:tabs>
          <w:tab w:val="clear" w:pos="1021"/>
        </w:tabs>
        <w:ind w:left="567" w:hanging="567"/>
        <w:rPr>
          <w:b w:val="0"/>
          <w:bCs w:val="0"/>
          <w:lang w:eastAsia="ja-JP"/>
        </w:rPr>
      </w:pPr>
      <w:r w:rsidRPr="002519BF">
        <w:rPr>
          <w:b w:val="0"/>
          <w:bCs w:val="0"/>
          <w:lang w:eastAsia="ja-JP"/>
        </w:rPr>
        <w:t xml:space="preserve">The </w:t>
      </w:r>
      <w:r>
        <w:rPr>
          <w:b w:val="0"/>
          <w:bCs w:val="0"/>
          <w:i/>
          <w:lang w:eastAsia="ja-JP"/>
        </w:rPr>
        <w:t>TNSP</w:t>
      </w:r>
      <w:r w:rsidRPr="002519BF">
        <w:rPr>
          <w:b w:val="0"/>
          <w:bCs w:val="0"/>
          <w:i/>
          <w:lang w:eastAsia="ja-JP"/>
        </w:rPr>
        <w:t xml:space="preserve"> </w:t>
      </w:r>
      <w:r w:rsidRPr="002519BF">
        <w:rPr>
          <w:b w:val="0"/>
          <w:bCs w:val="0"/>
          <w:lang w:eastAsia="ja-JP"/>
        </w:rPr>
        <w:t xml:space="preserve">must report any cumulative carried forward tax losses from the provision of core regulated services from the prior </w:t>
      </w:r>
      <w:r w:rsidRPr="002519BF">
        <w:rPr>
          <w:b w:val="0"/>
          <w:bCs w:val="0"/>
          <w:i/>
          <w:lang w:eastAsia="ja-JP"/>
        </w:rPr>
        <w:t>reporting period</w:t>
      </w:r>
      <w:r w:rsidRPr="002519BF">
        <w:rPr>
          <w:b w:val="0"/>
          <w:bCs w:val="0"/>
          <w:lang w:eastAsia="ja-JP"/>
        </w:rPr>
        <w:t>.</w:t>
      </w:r>
    </w:p>
    <w:p w14:paraId="4B378557" w14:textId="287DA9D6" w:rsidR="002213D0" w:rsidRPr="002519BF" w:rsidRDefault="002213D0" w:rsidP="002213D0">
      <w:pPr>
        <w:pStyle w:val="Heading4"/>
        <w:tabs>
          <w:tab w:val="clear" w:pos="1021"/>
        </w:tabs>
        <w:ind w:left="567" w:hanging="567"/>
        <w:rPr>
          <w:b w:val="0"/>
          <w:bCs w:val="0"/>
          <w:lang w:eastAsia="ja-JP"/>
        </w:rPr>
      </w:pPr>
      <w:r w:rsidRPr="002519BF">
        <w:rPr>
          <w:b w:val="0"/>
          <w:bCs w:val="0"/>
          <w:lang w:eastAsia="ja-JP"/>
        </w:rPr>
        <w:t xml:space="preserve">Where the </w:t>
      </w:r>
      <w:r>
        <w:rPr>
          <w:b w:val="0"/>
          <w:bCs w:val="0"/>
          <w:i/>
          <w:lang w:eastAsia="ja-JP"/>
        </w:rPr>
        <w:t>TNSP</w:t>
      </w:r>
      <w:r w:rsidRPr="002519BF">
        <w:rPr>
          <w:b w:val="0"/>
          <w:bCs w:val="0"/>
          <w:i/>
          <w:lang w:eastAsia="ja-JP"/>
        </w:rPr>
        <w:t xml:space="preserve"> </w:t>
      </w:r>
      <w:r w:rsidRPr="002519BF">
        <w:rPr>
          <w:b w:val="0"/>
          <w:bCs w:val="0"/>
          <w:lang w:eastAsia="ja-JP"/>
        </w:rPr>
        <w:t xml:space="preserve">has recognised any cumulative carried forward tax losses from the provision of core regulated services from the prior </w:t>
      </w:r>
      <w:r w:rsidRPr="002519BF">
        <w:rPr>
          <w:b w:val="0"/>
          <w:bCs w:val="0"/>
          <w:i/>
          <w:lang w:eastAsia="ja-JP"/>
        </w:rPr>
        <w:t xml:space="preserve">reporting period </w:t>
      </w:r>
      <w:r w:rsidRPr="002519BF">
        <w:rPr>
          <w:b w:val="0"/>
          <w:bCs w:val="0"/>
          <w:lang w:eastAsia="ja-JP"/>
        </w:rPr>
        <w:t xml:space="preserve">it must explain in its </w:t>
      </w:r>
      <w:r w:rsidRPr="002519BF">
        <w:rPr>
          <w:b w:val="0"/>
          <w:bCs w:val="0"/>
          <w:i/>
          <w:lang w:eastAsia="ja-JP"/>
        </w:rPr>
        <w:t xml:space="preserve">basis of preparation </w:t>
      </w:r>
      <w:r w:rsidRPr="002519BF">
        <w:rPr>
          <w:b w:val="0"/>
          <w:bCs w:val="0"/>
          <w:lang w:eastAsia="ja-JP"/>
        </w:rPr>
        <w:t>the factors that have resulted in the generation of the carried forward tax losses.</w:t>
      </w:r>
    </w:p>
    <w:p w14:paraId="67F46C32" w14:textId="23616442" w:rsidR="0060567E" w:rsidRDefault="0060567E" w:rsidP="0060567E">
      <w:pPr>
        <w:pStyle w:val="Noparagraph"/>
        <w:ind w:left="709"/>
      </w:pPr>
      <w:r>
        <w:t xml:space="preserve">The </w:t>
      </w:r>
      <w:r w:rsidR="00375AB1" w:rsidRPr="00375AB1">
        <w:rPr>
          <w:i/>
          <w:iCs w:val="0"/>
        </w:rPr>
        <w:t>TNSP</w:t>
      </w:r>
      <w:r>
        <w:t xml:space="preserve"> must report the total taxable revenue and/or income for customer contributions and/or gifted assets.</w:t>
      </w:r>
    </w:p>
    <w:p w14:paraId="26E79DE5" w14:textId="1941B935" w:rsidR="0060567E" w:rsidRDefault="0060567E" w:rsidP="0060567E">
      <w:pPr>
        <w:pStyle w:val="Noparagraph"/>
        <w:ind w:left="709"/>
      </w:pPr>
      <w:r>
        <w:lastRenderedPageBreak/>
        <w:t xml:space="preserve">The </w:t>
      </w:r>
      <w:r w:rsidR="00375AB1" w:rsidRPr="00375AB1">
        <w:rPr>
          <w:i/>
          <w:iCs w:val="0"/>
        </w:rPr>
        <w:t>TNSP</w:t>
      </w:r>
      <w:r>
        <w:t xml:space="preserve"> must report the permanent differences due to disallowed interest expenditure – these are self-assessed. This is interest expenditure, which is non-deductible for tax purposes pursuant to the Income Tax Assessment Act 1997. </w:t>
      </w:r>
    </w:p>
    <w:p w14:paraId="1EA12AF7" w14:textId="67517D03" w:rsidR="0060567E" w:rsidRDefault="0060567E" w:rsidP="0060567E">
      <w:pPr>
        <w:pStyle w:val="Noparagraph"/>
        <w:ind w:left="709"/>
      </w:pPr>
      <w:r>
        <w:t xml:space="preserve">The </w:t>
      </w:r>
      <w:r w:rsidR="00375AB1" w:rsidRPr="00375AB1">
        <w:rPr>
          <w:i/>
          <w:iCs w:val="0"/>
        </w:rPr>
        <w:t>TNSP</w:t>
      </w:r>
      <w:r>
        <w:t xml:space="preserve"> must report the permanent differences due to adjustments to prior year returns. This can occur when:</w:t>
      </w:r>
    </w:p>
    <w:p w14:paraId="27FA183A" w14:textId="70624141" w:rsidR="0060567E" w:rsidRDefault="00636091" w:rsidP="0079620D">
      <w:pPr>
        <w:pStyle w:val="Noparagraph"/>
        <w:numPr>
          <w:ilvl w:val="2"/>
          <w:numId w:val="47"/>
        </w:numPr>
        <w:ind w:left="1418" w:hanging="180"/>
      </w:pPr>
      <w:r>
        <w:t xml:space="preserve"> </w:t>
      </w:r>
      <w:r w:rsidR="0060567E">
        <w:t>a prior year’s income tax assessments for the network service provider are amended following dispute with the Australian Tax Office or a change in legislation (such as court judgement</w:t>
      </w:r>
      <w:proofErr w:type="gramStart"/>
      <w:r w:rsidR="0060567E">
        <w:t>);</w:t>
      </w:r>
      <w:proofErr w:type="gramEnd"/>
    </w:p>
    <w:p w14:paraId="40804263" w14:textId="01004395" w:rsidR="0060567E" w:rsidRDefault="00636091" w:rsidP="0079620D">
      <w:pPr>
        <w:pStyle w:val="Noparagraph"/>
        <w:numPr>
          <w:ilvl w:val="2"/>
          <w:numId w:val="47"/>
        </w:numPr>
        <w:ind w:left="1418" w:hanging="180"/>
      </w:pPr>
      <w:r>
        <w:t xml:space="preserve"> </w:t>
      </w:r>
      <w:r w:rsidR="0060567E">
        <w:t>the revenues or expenditure relating to the amendment is within the regulatory ring-fence; and</w:t>
      </w:r>
    </w:p>
    <w:p w14:paraId="137F973A" w14:textId="3DC50A85" w:rsidR="0060567E" w:rsidRDefault="00636091" w:rsidP="0079620D">
      <w:pPr>
        <w:pStyle w:val="Noparagraph"/>
        <w:numPr>
          <w:ilvl w:val="2"/>
          <w:numId w:val="47"/>
        </w:numPr>
        <w:ind w:left="1418" w:hanging="180"/>
      </w:pPr>
      <w:r>
        <w:t xml:space="preserve"> </w:t>
      </w:r>
      <w:r w:rsidR="0060567E">
        <w:t>the adjustment resulting from the amendment is permanent in nature.</w:t>
      </w:r>
    </w:p>
    <w:p w14:paraId="20D93595" w14:textId="77777777" w:rsidR="0060567E" w:rsidRDefault="0060567E" w:rsidP="0060567E">
      <w:pPr>
        <w:spacing w:before="120" w:after="120"/>
        <w:rPr>
          <w:rFonts w:eastAsiaTheme="majorEastAsia" w:cstheme="majorBidi"/>
          <w:i/>
          <w:color w:val="303F51"/>
          <w:lang w:eastAsia="ja-JP"/>
        </w:rPr>
      </w:pPr>
      <w:r>
        <w:rPr>
          <w:rFonts w:eastAsiaTheme="majorEastAsia" w:cstheme="majorBidi"/>
          <w:i/>
          <w:color w:val="303F51"/>
          <w:lang w:eastAsia="ja-JP"/>
        </w:rPr>
        <w:t>Interest expense (Debt and equity)</w:t>
      </w:r>
    </w:p>
    <w:p w14:paraId="47E960BB" w14:textId="51EF0FE6" w:rsidR="0060567E" w:rsidRDefault="0060567E" w:rsidP="0060567E">
      <w:pPr>
        <w:pStyle w:val="Noparagraph"/>
        <w:ind w:left="709"/>
      </w:pPr>
      <w:r>
        <w:t xml:space="preserve">The </w:t>
      </w:r>
      <w:r w:rsidR="00375AB1" w:rsidRPr="00375AB1">
        <w:rPr>
          <w:i/>
          <w:iCs w:val="0"/>
        </w:rPr>
        <w:t>TNSP</w:t>
      </w:r>
      <w:r>
        <w:t xml:space="preserve"> must report the </w:t>
      </w:r>
      <w:proofErr w:type="gramStart"/>
      <w:r>
        <w:t>interest bearing</w:t>
      </w:r>
      <w:proofErr w:type="gramEnd"/>
      <w:r>
        <w:t xml:space="preserve"> liabilities held by the </w:t>
      </w:r>
      <w:r w:rsidR="00375AB1" w:rsidRPr="00375AB1">
        <w:rPr>
          <w:i/>
          <w:iCs w:val="0"/>
        </w:rPr>
        <w:t>TNSP</w:t>
      </w:r>
      <w:r>
        <w:t xml:space="preserve"> at the beginning of the </w:t>
      </w:r>
      <w:r w:rsidR="00375AB1">
        <w:t>reporting period</w:t>
      </w:r>
      <w:r>
        <w:t xml:space="preserve"> to fund the operation of, and investment into, its core regulated services; </w:t>
      </w:r>
    </w:p>
    <w:p w14:paraId="5F30CA56" w14:textId="7ABF8E9A" w:rsidR="0060567E" w:rsidRDefault="0060567E" w:rsidP="0060567E">
      <w:pPr>
        <w:pStyle w:val="Noparagraph"/>
        <w:ind w:left="709"/>
      </w:pPr>
      <w:r>
        <w:t xml:space="preserve">The </w:t>
      </w:r>
      <w:r w:rsidR="00375AB1" w:rsidRPr="00375AB1">
        <w:rPr>
          <w:i/>
          <w:iCs w:val="0"/>
        </w:rPr>
        <w:t>TNSP</w:t>
      </w:r>
      <w:r>
        <w:t xml:space="preserve"> must report the total interest expense incurred during the </w:t>
      </w:r>
      <w:r w:rsidR="00375AB1">
        <w:t>reporting period</w:t>
      </w:r>
      <w:r>
        <w:t xml:space="preserve">. The </w:t>
      </w:r>
      <w:r w:rsidR="00375AB1" w:rsidRPr="00375AB1">
        <w:rPr>
          <w:i/>
          <w:iCs w:val="0"/>
        </w:rPr>
        <w:t>TNSP</w:t>
      </w:r>
      <w:r>
        <w:t xml:space="preserve"> must calculate its actual interest expenditure arising from interest bearing liabilities used to fund the operation of, and investment into the core regulated services of the </w:t>
      </w:r>
      <w:r w:rsidR="00375AB1" w:rsidRPr="00375AB1">
        <w:rPr>
          <w:i/>
          <w:iCs w:val="0"/>
        </w:rPr>
        <w:t>TNSP</w:t>
      </w:r>
      <w:r>
        <w:t>.</w:t>
      </w:r>
    </w:p>
    <w:p w14:paraId="6DCF2E5D" w14:textId="4ABFB11A" w:rsidR="0060567E" w:rsidRPr="0060567E" w:rsidRDefault="0060567E" w:rsidP="0060567E">
      <w:pPr>
        <w:pStyle w:val="Noparagraph"/>
        <w:ind w:left="709"/>
      </w:pPr>
      <w:r>
        <w:t xml:space="preserve">The </w:t>
      </w:r>
      <w:r w:rsidR="00375AB1" w:rsidRPr="00375AB1">
        <w:rPr>
          <w:i/>
          <w:iCs w:val="0"/>
        </w:rPr>
        <w:t>TNSP</w:t>
      </w:r>
      <w:r>
        <w:t xml:space="preserve"> must report the interest expense paid to a related party of the </w:t>
      </w:r>
      <w:r w:rsidR="00375AB1" w:rsidRPr="00375AB1">
        <w:rPr>
          <w:i/>
          <w:iCs w:val="0"/>
        </w:rPr>
        <w:t>TNSP</w:t>
      </w:r>
      <w:r>
        <w:rPr>
          <w:i/>
          <w:iCs w:val="0"/>
        </w:rPr>
        <w:t>.</w:t>
      </w:r>
    </w:p>
    <w:p w14:paraId="33F23FD4" w14:textId="002C45E4" w:rsidR="006E5C5D" w:rsidRPr="007E0DB3" w:rsidRDefault="006E5C5D" w:rsidP="006E5C5D">
      <w:pPr>
        <w:spacing w:before="120" w:after="120"/>
        <w:rPr>
          <w:rFonts w:eastAsiaTheme="majorEastAsia" w:cstheme="majorBidi"/>
          <w:b/>
          <w:bCs/>
          <w:iCs/>
          <w:color w:val="0000CC"/>
          <w:lang w:eastAsia="ja-JP"/>
        </w:rPr>
      </w:pPr>
      <w:r>
        <w:rPr>
          <w:rFonts w:eastAsiaTheme="majorEastAsia" w:cstheme="majorBidi"/>
          <w:b/>
          <w:bCs/>
          <w:iCs/>
          <w:color w:val="303F51"/>
          <w:lang w:eastAsia="ja-JP"/>
        </w:rPr>
        <w:t xml:space="preserve">Disaggregated </w:t>
      </w:r>
      <w:r w:rsidR="00B02B14">
        <w:rPr>
          <w:rFonts w:eastAsiaTheme="majorEastAsia" w:cstheme="majorBidi"/>
          <w:b/>
          <w:bCs/>
          <w:iCs/>
          <w:color w:val="303F51"/>
          <w:lang w:eastAsia="ja-JP"/>
        </w:rPr>
        <w:t>r</w:t>
      </w:r>
      <w:r>
        <w:rPr>
          <w:rFonts w:eastAsiaTheme="majorEastAsia" w:cstheme="majorBidi"/>
          <w:b/>
          <w:bCs/>
          <w:iCs/>
          <w:color w:val="303F51"/>
          <w:lang w:eastAsia="ja-JP"/>
        </w:rPr>
        <w:t>evenue</w:t>
      </w:r>
      <w:r w:rsidR="007E0DB3">
        <w:rPr>
          <w:rFonts w:eastAsiaTheme="majorEastAsia" w:cstheme="majorBidi"/>
          <w:b/>
          <w:bCs/>
          <w:iCs/>
          <w:color w:val="303F51"/>
          <w:lang w:eastAsia="ja-JP"/>
        </w:rPr>
        <w:t xml:space="preserve"> </w:t>
      </w:r>
      <w:bookmarkStart w:id="117" w:name="_Hlk199426883"/>
      <w:r w:rsidR="007E0DB3">
        <w:rPr>
          <w:rFonts w:eastAsiaTheme="majorEastAsia" w:cstheme="majorBidi"/>
          <w:b/>
          <w:bCs/>
          <w:iCs/>
          <w:color w:val="0000CC"/>
          <w:lang w:eastAsia="ja-JP"/>
        </w:rPr>
        <w:t>(table 3.1.2, table 3.1.3)</w:t>
      </w:r>
      <w:bookmarkEnd w:id="117"/>
    </w:p>
    <w:p w14:paraId="6F8766CE" w14:textId="074F02CC" w:rsidR="006E5C5D" w:rsidRDefault="006E5C5D" w:rsidP="006E5C5D">
      <w:pPr>
        <w:pStyle w:val="Noparagraph"/>
        <w:spacing w:after="120"/>
        <w:ind w:left="567" w:hanging="567"/>
        <w:rPr>
          <w:rFonts w:cs="Arial"/>
        </w:rPr>
      </w:pPr>
      <w:r>
        <w:rPr>
          <w:rFonts w:cs="Arial"/>
        </w:rPr>
        <w:t>The</w:t>
      </w:r>
      <w:r w:rsidRPr="00264EF1">
        <w:rPr>
          <w:rFonts w:cs="Arial"/>
          <w:i/>
          <w:iCs w:val="0"/>
        </w:rPr>
        <w:t xml:space="preserve"> </w:t>
      </w:r>
      <w:r w:rsidR="00375AB1" w:rsidRPr="00375AB1">
        <w:rPr>
          <w:rFonts w:cs="Arial"/>
          <w:i/>
          <w:iCs w:val="0"/>
        </w:rPr>
        <w:t>TNSP</w:t>
      </w:r>
      <w:r>
        <w:rPr>
          <w:rFonts w:cs="Arial"/>
        </w:rPr>
        <w:t xml:space="preserve"> </w:t>
      </w:r>
      <w:r w:rsidRPr="00264EF1">
        <w:rPr>
          <w:rFonts w:cs="Arial"/>
        </w:rPr>
        <w:t xml:space="preserve">must report revenues split in accordance with the categories in the </w:t>
      </w:r>
      <w:r>
        <w:rPr>
          <w:rFonts w:cs="Arial"/>
          <w:i/>
          <w:iCs w:val="0"/>
        </w:rPr>
        <w:t>data workbooks</w:t>
      </w:r>
      <w:r w:rsidRPr="00264EF1">
        <w:rPr>
          <w:rFonts w:cs="Arial"/>
        </w:rPr>
        <w:t xml:space="preserve">. </w:t>
      </w:r>
    </w:p>
    <w:p w14:paraId="387FCEEB" w14:textId="77AC0249" w:rsidR="006E5C5D" w:rsidRPr="00264EF1" w:rsidRDefault="006E5C5D" w:rsidP="006E5C5D">
      <w:pPr>
        <w:pStyle w:val="Noparagraph"/>
        <w:spacing w:after="120"/>
        <w:ind w:left="567" w:hanging="567"/>
        <w:rPr>
          <w:rFonts w:cs="Arial"/>
        </w:rPr>
      </w:pPr>
      <w:r w:rsidRPr="00264EF1">
        <w:rPr>
          <w:rFonts w:cs="Arial"/>
        </w:rPr>
        <w:t xml:space="preserve">The </w:t>
      </w:r>
      <w:r>
        <w:rPr>
          <w:rFonts w:cs="Arial"/>
          <w:i/>
          <w:iCs w:val="0"/>
        </w:rPr>
        <w:t>data workbooks</w:t>
      </w:r>
      <w:r w:rsidRPr="00264EF1">
        <w:rPr>
          <w:rFonts w:cs="Arial"/>
        </w:rPr>
        <w:t xml:space="preserve"> require </w:t>
      </w:r>
      <w:r>
        <w:rPr>
          <w:rFonts w:cs="Arial"/>
        </w:rPr>
        <w:t>the</w:t>
      </w:r>
      <w:r w:rsidRPr="00264EF1">
        <w:rPr>
          <w:rFonts w:cs="Arial"/>
          <w:i/>
          <w:iCs w:val="0"/>
        </w:rPr>
        <w:t xml:space="preserve"> </w:t>
      </w:r>
      <w:r w:rsidR="00375AB1" w:rsidRPr="00375AB1">
        <w:rPr>
          <w:rFonts w:cs="Arial"/>
          <w:i/>
          <w:iCs w:val="0"/>
        </w:rPr>
        <w:t>TNSP</w:t>
      </w:r>
      <w:r>
        <w:rPr>
          <w:rFonts w:cs="Arial"/>
        </w:rPr>
        <w:t xml:space="preserve"> </w:t>
      </w:r>
      <w:r w:rsidRPr="00264EF1">
        <w:rPr>
          <w:rFonts w:cs="Arial"/>
        </w:rPr>
        <w:t xml:space="preserve">to report revenues by </w:t>
      </w:r>
      <w:r w:rsidR="004231AC">
        <w:rPr>
          <w:rFonts w:cs="Arial"/>
        </w:rPr>
        <w:t>type of connected equipment</w:t>
      </w:r>
      <w:r w:rsidRPr="00264EF1">
        <w:rPr>
          <w:rFonts w:cs="Arial"/>
        </w:rPr>
        <w:t xml:space="preserve">. </w:t>
      </w:r>
      <w:r>
        <w:rPr>
          <w:rFonts w:cs="Arial"/>
        </w:rPr>
        <w:t>The</w:t>
      </w:r>
      <w:r w:rsidRPr="00264EF1">
        <w:rPr>
          <w:rFonts w:cs="Arial"/>
          <w:i/>
          <w:iCs w:val="0"/>
        </w:rPr>
        <w:t xml:space="preserve"> </w:t>
      </w:r>
      <w:r w:rsidR="00375AB1" w:rsidRPr="00375AB1">
        <w:rPr>
          <w:rFonts w:cs="Arial"/>
          <w:i/>
          <w:iCs w:val="0"/>
        </w:rPr>
        <w:t>TNSP</w:t>
      </w:r>
      <w:r w:rsidRPr="00264EF1">
        <w:rPr>
          <w:rFonts w:cs="Arial"/>
        </w:rPr>
        <w:t xml:space="preserve"> must also separately </w:t>
      </w:r>
      <w:r w:rsidR="00636091">
        <w:rPr>
          <w:rFonts w:cs="Arial"/>
        </w:rPr>
        <w:t>report</w:t>
      </w:r>
      <w:r w:rsidR="00636091" w:rsidRPr="00264EF1">
        <w:rPr>
          <w:rFonts w:cs="Arial"/>
        </w:rPr>
        <w:t xml:space="preserve"> </w:t>
      </w:r>
      <w:r w:rsidRPr="00264EF1">
        <w:rPr>
          <w:rFonts w:cs="Arial"/>
        </w:rPr>
        <w:t>revenues received or deducted as a result of incentive schemes.</w:t>
      </w:r>
    </w:p>
    <w:p w14:paraId="1A31DE5F" w14:textId="3411CD17" w:rsidR="006E5C5D" w:rsidRDefault="006E5C5D" w:rsidP="006E5C5D">
      <w:pPr>
        <w:pStyle w:val="Noparagraph"/>
        <w:spacing w:after="120"/>
        <w:ind w:left="567" w:hanging="567"/>
        <w:rPr>
          <w:rFonts w:cs="Arial"/>
        </w:rPr>
      </w:pPr>
      <w:r>
        <w:rPr>
          <w:rFonts w:cs="Arial"/>
        </w:rPr>
        <w:t xml:space="preserve">The </w:t>
      </w:r>
      <w:r w:rsidR="00375AB1" w:rsidRPr="00375AB1">
        <w:rPr>
          <w:rFonts w:cs="Arial"/>
          <w:i/>
          <w:iCs w:val="0"/>
        </w:rPr>
        <w:t>TNSP</w:t>
      </w:r>
      <w:r w:rsidRPr="00362D07">
        <w:rPr>
          <w:rFonts w:cs="Arial"/>
        </w:rPr>
        <w:t xml:space="preserve"> must enter ‘0’ into cells that have no effect on the revenues of </w:t>
      </w:r>
      <w:r>
        <w:rPr>
          <w:rFonts w:cs="Arial"/>
        </w:rPr>
        <w:t xml:space="preserve">the </w:t>
      </w:r>
      <w:r w:rsidR="00375AB1" w:rsidRPr="00375AB1">
        <w:rPr>
          <w:rFonts w:cs="Arial"/>
          <w:i/>
          <w:iCs w:val="0"/>
        </w:rPr>
        <w:t>TNSP</w:t>
      </w:r>
      <w:r w:rsidRPr="00362D07">
        <w:rPr>
          <w:rFonts w:cs="Arial"/>
        </w:rPr>
        <w:t xml:space="preserve">. </w:t>
      </w:r>
    </w:p>
    <w:p w14:paraId="062CA38E" w14:textId="5DF3191E" w:rsidR="006E5C5D" w:rsidRPr="00902EED" w:rsidRDefault="00636091" w:rsidP="006E5C5D">
      <w:pPr>
        <w:pStyle w:val="Noparagraph"/>
        <w:spacing w:after="120"/>
        <w:ind w:left="567" w:hanging="567"/>
        <w:rPr>
          <w:rFonts w:cs="Arial"/>
        </w:rPr>
      </w:pPr>
      <w:r>
        <w:rPr>
          <w:rFonts w:cs="Arial"/>
        </w:rPr>
        <w:t xml:space="preserve">The </w:t>
      </w:r>
      <w:r w:rsidR="008041FA" w:rsidRPr="008041FA">
        <w:rPr>
          <w:rFonts w:cs="Arial"/>
          <w:i/>
        </w:rPr>
        <w:t>TNSP</w:t>
      </w:r>
      <w:r>
        <w:rPr>
          <w:rFonts w:cs="Arial"/>
        </w:rPr>
        <w:t xml:space="preserve"> must report r</w:t>
      </w:r>
      <w:r w:rsidR="006E5C5D" w:rsidRPr="00902EED">
        <w:rPr>
          <w:rFonts w:cs="Arial"/>
        </w:rPr>
        <w:t xml:space="preserve">evenues in accordance with the requirements of, and </w:t>
      </w:r>
      <w:r w:rsidR="00AC6541">
        <w:rPr>
          <w:rFonts w:cs="Arial"/>
        </w:rPr>
        <w:t>must</w:t>
      </w:r>
      <w:r w:rsidR="00AC6541" w:rsidRPr="00902EED">
        <w:rPr>
          <w:rFonts w:cs="Arial"/>
        </w:rPr>
        <w:t xml:space="preserve"> </w:t>
      </w:r>
      <w:r w:rsidR="00260272">
        <w:rPr>
          <w:rFonts w:cs="Arial"/>
        </w:rPr>
        <w:t>reconcile with</w:t>
      </w:r>
      <w:r w:rsidR="006E5C5D" w:rsidRPr="00902EED">
        <w:rPr>
          <w:rFonts w:cs="Arial"/>
        </w:rPr>
        <w:t xml:space="preserve">, the revenues reported in the </w:t>
      </w:r>
      <w:r w:rsidR="006E5C5D">
        <w:rPr>
          <w:rFonts w:cs="Arial"/>
        </w:rPr>
        <w:t>Income statement</w:t>
      </w:r>
      <w:r w:rsidR="006E5C5D" w:rsidRPr="00902EED">
        <w:rPr>
          <w:rFonts w:cs="Arial"/>
        </w:rPr>
        <w:t xml:space="preserve">. </w:t>
      </w:r>
    </w:p>
    <w:p w14:paraId="40B87FFB" w14:textId="77777777" w:rsidR="006E5C5D" w:rsidRPr="00983ABD" w:rsidRDefault="006E5C5D" w:rsidP="006E5C5D">
      <w:pPr>
        <w:spacing w:before="120" w:after="120"/>
        <w:rPr>
          <w:rFonts w:eastAsiaTheme="majorEastAsia" w:cstheme="majorBidi"/>
          <w:i/>
          <w:color w:val="303F51"/>
          <w:lang w:eastAsia="ja-JP"/>
        </w:rPr>
      </w:pPr>
      <w:r>
        <w:rPr>
          <w:rFonts w:eastAsiaTheme="majorEastAsia" w:cstheme="majorBidi"/>
          <w:i/>
          <w:color w:val="303F51"/>
          <w:lang w:eastAsia="ja-JP"/>
        </w:rPr>
        <w:t>Revenue rewards and penalties – Incentive schemes</w:t>
      </w:r>
    </w:p>
    <w:p w14:paraId="01128FC3" w14:textId="1F6D730C" w:rsidR="006E5C5D" w:rsidRPr="00264EF1" w:rsidRDefault="006E5C5D" w:rsidP="006E5C5D">
      <w:pPr>
        <w:pStyle w:val="Noparagraph"/>
        <w:spacing w:after="120"/>
        <w:ind w:left="567" w:hanging="567"/>
        <w:rPr>
          <w:rFonts w:cs="Arial"/>
        </w:rPr>
      </w:pPr>
      <w:r w:rsidRPr="00902EED">
        <w:rPr>
          <w:rFonts w:cs="Arial"/>
        </w:rPr>
        <w:t>The</w:t>
      </w:r>
      <w:r w:rsidRPr="00902EED">
        <w:rPr>
          <w:rFonts w:cs="Arial"/>
          <w:i/>
        </w:rPr>
        <w:t xml:space="preserve"> </w:t>
      </w:r>
      <w:r w:rsidR="00375AB1" w:rsidRPr="00375AB1">
        <w:rPr>
          <w:rFonts w:cs="Arial"/>
          <w:i/>
        </w:rPr>
        <w:t>TNSP</w:t>
      </w:r>
      <w:r w:rsidRPr="00264EF1">
        <w:rPr>
          <w:rFonts w:cs="Arial"/>
        </w:rPr>
        <w:t xml:space="preserve"> must report the penalties or rewards of incentive schemes in this table. </w:t>
      </w:r>
      <w:r w:rsidR="003F38D2">
        <w:rPr>
          <w:rFonts w:cs="Arial"/>
        </w:rPr>
        <w:t xml:space="preserve">The </w:t>
      </w:r>
      <w:r w:rsidR="008041FA" w:rsidRPr="008041FA">
        <w:rPr>
          <w:rFonts w:cs="Arial"/>
          <w:i/>
        </w:rPr>
        <w:t>TNSP</w:t>
      </w:r>
      <w:r w:rsidR="003F38D2">
        <w:rPr>
          <w:rFonts w:cs="Arial"/>
        </w:rPr>
        <w:t xml:space="preserve"> must report t</w:t>
      </w:r>
      <w:r w:rsidRPr="00264EF1">
        <w:rPr>
          <w:rFonts w:cs="Arial"/>
        </w:rPr>
        <w:t>he penalties or rewards from the schemes applied by previous jurisdictional regulators that are equivalent to the service target performance incentive scheme (STPIS) or efficiency benefit sharing scheme (EBSS) against the line items for those schemes.</w:t>
      </w:r>
    </w:p>
    <w:p w14:paraId="4021DB92" w14:textId="6CD6A4D7" w:rsidR="006E5C5D" w:rsidRDefault="006E5C5D" w:rsidP="006E5C5D">
      <w:pPr>
        <w:pStyle w:val="Noparagraph"/>
        <w:spacing w:after="120"/>
        <w:ind w:left="567" w:hanging="567"/>
        <w:rPr>
          <w:rFonts w:cs="Arial"/>
        </w:rPr>
      </w:pPr>
      <w:r w:rsidRPr="00264EF1">
        <w:rPr>
          <w:rFonts w:cs="Arial"/>
        </w:rPr>
        <w:t xml:space="preserve">Revenues reported must reflect the effect on revenues of incentive schemes in the year that the penalty or reward is applied (as opposed to when it was earned which depending on the scheme may be in earlier years). For instance, if </w:t>
      </w:r>
      <w:r>
        <w:rPr>
          <w:rFonts w:cs="Arial"/>
        </w:rPr>
        <w:t xml:space="preserve">the </w:t>
      </w:r>
      <w:r w:rsidR="00375AB1" w:rsidRPr="00375AB1">
        <w:rPr>
          <w:rFonts w:cs="Arial"/>
          <w:i/>
          <w:iCs w:val="0"/>
        </w:rPr>
        <w:t>TNSP</w:t>
      </w:r>
      <w:r w:rsidRPr="00264EF1">
        <w:rPr>
          <w:rFonts w:cs="Arial"/>
        </w:rPr>
        <w:t xml:space="preserve"> is rewarded extra revenues for performance under the STPIS in 20</w:t>
      </w:r>
      <w:r>
        <w:rPr>
          <w:rFonts w:cs="Arial"/>
        </w:rPr>
        <w:t>1</w:t>
      </w:r>
      <w:r w:rsidRPr="00264EF1">
        <w:rPr>
          <w:rFonts w:cs="Arial"/>
        </w:rPr>
        <w:t>9 and gains these revenues in 20</w:t>
      </w:r>
      <w:r>
        <w:rPr>
          <w:rFonts w:cs="Arial"/>
        </w:rPr>
        <w:t>2</w:t>
      </w:r>
      <w:r w:rsidRPr="00264EF1">
        <w:rPr>
          <w:rFonts w:cs="Arial"/>
        </w:rPr>
        <w:t>1 these revenues must be reported in the 20</w:t>
      </w:r>
      <w:r>
        <w:rPr>
          <w:rFonts w:cs="Arial"/>
        </w:rPr>
        <w:t>2</w:t>
      </w:r>
      <w:r w:rsidRPr="00264EF1">
        <w:rPr>
          <w:rFonts w:cs="Arial"/>
        </w:rPr>
        <w:t>1 year only.</w:t>
      </w:r>
    </w:p>
    <w:p w14:paraId="19570451" w14:textId="11530B05" w:rsidR="00E9094E" w:rsidRDefault="00E9094E" w:rsidP="00E9094E">
      <w:pPr>
        <w:pStyle w:val="Heading3"/>
        <w:spacing w:after="240"/>
        <w:ind w:left="578" w:hanging="578"/>
        <w:rPr>
          <w:color w:val="0000CC"/>
          <w:lang w:eastAsia="ja-JP"/>
        </w:rPr>
      </w:pPr>
      <w:bookmarkStart w:id="118" w:name="_Toc162703572"/>
      <w:r>
        <w:rPr>
          <w:lang w:eastAsia="ja-JP"/>
        </w:rPr>
        <w:lastRenderedPageBreak/>
        <w:t>Provisions</w:t>
      </w:r>
      <w:bookmarkEnd w:id="118"/>
      <w:r w:rsidR="00500373">
        <w:rPr>
          <w:lang w:eastAsia="ja-JP"/>
        </w:rPr>
        <w:t xml:space="preserve"> </w:t>
      </w:r>
      <w:bookmarkStart w:id="119" w:name="_Hlk199426895"/>
      <w:r w:rsidR="00500373">
        <w:rPr>
          <w:color w:val="0000CC"/>
          <w:lang w:eastAsia="ja-JP"/>
        </w:rPr>
        <w:t>(</w:t>
      </w:r>
      <w:r w:rsidR="00071C7A">
        <w:rPr>
          <w:color w:val="0000CC"/>
          <w:lang w:eastAsia="ja-JP"/>
        </w:rPr>
        <w:t>3.2.3)</w:t>
      </w:r>
      <w:bookmarkEnd w:id="119"/>
    </w:p>
    <w:p w14:paraId="0ADE4A40" w14:textId="4C6575E9" w:rsidR="00071C7A" w:rsidRPr="00071C7A" w:rsidRDefault="00071C7A" w:rsidP="00071C7A">
      <w:pPr>
        <w:rPr>
          <w:color w:val="0000CC"/>
          <w:lang w:eastAsia="ja-JP"/>
        </w:rPr>
      </w:pPr>
      <w:bookmarkStart w:id="120" w:name="_Hlk199426901"/>
      <w:r w:rsidRPr="00071C7A">
        <w:rPr>
          <w:rFonts w:eastAsia="Times New Roman" w:cs="Times New Roman"/>
          <w:color w:val="0000CC"/>
          <w:lang w:eastAsia="ja-JP"/>
        </w:rPr>
        <w:t>(table 3.2.3)</w:t>
      </w:r>
    </w:p>
    <w:bookmarkEnd w:id="120"/>
    <w:p w14:paraId="6B3C46AD" w14:textId="771E5481" w:rsidR="00E9094E" w:rsidRDefault="00E9094E" w:rsidP="00E9094E">
      <w:pPr>
        <w:pStyle w:val="Noparagraph"/>
        <w:spacing w:after="120"/>
        <w:ind w:left="567" w:hanging="567"/>
      </w:pPr>
      <w:r>
        <w:t xml:space="preserve">The </w:t>
      </w:r>
      <w:r w:rsidR="00375AB1" w:rsidRPr="00375AB1">
        <w:rPr>
          <w:i/>
          <w:iCs w:val="0"/>
        </w:rPr>
        <w:t>TNSP</w:t>
      </w:r>
      <w:r>
        <w:t xml:space="preserve"> must report </w:t>
      </w:r>
      <w:r w:rsidR="00A45E49">
        <w:t xml:space="preserve">data </w:t>
      </w:r>
      <w:r>
        <w:t xml:space="preserve">on total provisions in accordance with the requirements of the Cost Allocation Approach and the Regulatory Accounting Statements that were in effect for the </w:t>
      </w:r>
      <w:r w:rsidRPr="00A45E49">
        <w:rPr>
          <w:i/>
          <w:iCs w:val="0"/>
        </w:rPr>
        <w:t>reporting period</w:t>
      </w:r>
      <w:r>
        <w:t>.</w:t>
      </w:r>
    </w:p>
    <w:p w14:paraId="02703F55" w14:textId="619CBD57" w:rsidR="00E9094E" w:rsidRDefault="00E9094E" w:rsidP="00E9094E">
      <w:pPr>
        <w:pStyle w:val="Noparagraph"/>
        <w:spacing w:after="120"/>
        <w:ind w:left="567" w:hanging="567"/>
      </w:pPr>
      <w:r>
        <w:t xml:space="preserve">The </w:t>
      </w:r>
      <w:r w:rsidR="00375AB1" w:rsidRPr="00375AB1">
        <w:rPr>
          <w:i/>
          <w:iCs w:val="0"/>
        </w:rPr>
        <w:t>TNSP</w:t>
      </w:r>
      <w:r>
        <w:t xml:space="preserve"> must report </w:t>
      </w:r>
      <w:r w:rsidR="00EE4376">
        <w:t xml:space="preserve">data </w:t>
      </w:r>
      <w:r>
        <w:t xml:space="preserve">for each of its individual provisions. A provision is an account </w:t>
      </w:r>
      <w:r w:rsidR="00A45E49">
        <w:t xml:space="preserve">that </w:t>
      </w:r>
      <w:r>
        <w:t xml:space="preserve">records a specific present liability of </w:t>
      </w:r>
      <w:r w:rsidR="00A45E49">
        <w:t xml:space="preserve">the </w:t>
      </w:r>
      <w:r w:rsidR="008041FA" w:rsidRPr="008041FA">
        <w:rPr>
          <w:i/>
        </w:rPr>
        <w:t>TNSP</w:t>
      </w:r>
      <w:r>
        <w:t xml:space="preserve"> to another entity. Examples of provision accounts include employee entitlements, doubtful debts and uninsured losses.</w:t>
      </w:r>
    </w:p>
    <w:p w14:paraId="088BAB67" w14:textId="77777777" w:rsidR="00043809" w:rsidRDefault="00A45E49" w:rsidP="00043809">
      <w:pPr>
        <w:pStyle w:val="Noparagraph"/>
        <w:spacing w:after="120"/>
        <w:ind w:left="567" w:hanging="567"/>
      </w:pPr>
      <w:r>
        <w:t xml:space="preserve">The </w:t>
      </w:r>
      <w:r w:rsidR="008041FA" w:rsidRPr="008041FA">
        <w:rPr>
          <w:i/>
        </w:rPr>
        <w:t>TNSP</w:t>
      </w:r>
      <w:r>
        <w:t xml:space="preserve"> must report p</w:t>
      </w:r>
      <w:r w:rsidR="00E9094E">
        <w:t>rovisions</w:t>
      </w:r>
      <w:r w:rsidR="00E9094E">
        <w:rPr>
          <w:spacing w:val="45"/>
        </w:rPr>
        <w:t xml:space="preserve"> </w:t>
      </w:r>
      <w:r w:rsidR="00E9094E">
        <w:t>in</w:t>
      </w:r>
      <w:r w:rsidR="00E9094E">
        <w:rPr>
          <w:spacing w:val="47"/>
        </w:rPr>
        <w:t xml:space="preserve"> </w:t>
      </w:r>
      <w:r w:rsidR="00E9094E">
        <w:t>accordance</w:t>
      </w:r>
      <w:r w:rsidR="00E9094E">
        <w:rPr>
          <w:spacing w:val="49"/>
        </w:rPr>
        <w:t xml:space="preserve"> </w:t>
      </w:r>
      <w:r w:rsidR="00E9094E">
        <w:t>with</w:t>
      </w:r>
      <w:r w:rsidR="00E9094E">
        <w:rPr>
          <w:spacing w:val="44"/>
        </w:rPr>
        <w:t xml:space="preserve"> </w:t>
      </w:r>
      <w:r w:rsidR="00E9094E">
        <w:t>the</w:t>
      </w:r>
      <w:r w:rsidR="00E9094E">
        <w:rPr>
          <w:spacing w:val="44"/>
        </w:rPr>
        <w:t xml:space="preserve"> </w:t>
      </w:r>
      <w:r w:rsidR="00E9094E">
        <w:t>principles</w:t>
      </w:r>
      <w:r w:rsidR="00E9094E">
        <w:rPr>
          <w:spacing w:val="46"/>
        </w:rPr>
        <w:t xml:space="preserve"> </w:t>
      </w:r>
      <w:r w:rsidR="00E9094E">
        <w:t>and</w:t>
      </w:r>
      <w:r w:rsidR="00E9094E">
        <w:rPr>
          <w:spacing w:val="47"/>
        </w:rPr>
        <w:t xml:space="preserve"> </w:t>
      </w:r>
      <w:r w:rsidR="00E9094E">
        <w:t>policies</w:t>
      </w:r>
      <w:r w:rsidR="00E9094E">
        <w:rPr>
          <w:spacing w:val="48"/>
        </w:rPr>
        <w:t xml:space="preserve"> </w:t>
      </w:r>
      <w:r w:rsidR="00E01A34">
        <w:t>applying in the</w:t>
      </w:r>
      <w:r w:rsidR="00E9094E">
        <w:rPr>
          <w:spacing w:val="-2"/>
        </w:rPr>
        <w:t xml:space="preserve"> </w:t>
      </w:r>
      <w:r w:rsidR="00E9094E" w:rsidRPr="00E9094E">
        <w:rPr>
          <w:i/>
          <w:iCs w:val="0"/>
        </w:rPr>
        <w:t>reporting period</w:t>
      </w:r>
      <w:r w:rsidR="00043809">
        <w:t>, and apply the following presentation standards:</w:t>
      </w:r>
    </w:p>
    <w:p w14:paraId="50B1B511" w14:textId="2E0879D1" w:rsidR="005449A5" w:rsidRDefault="005449A5" w:rsidP="005449A5">
      <w:pPr>
        <w:pStyle w:val="Noparagraph"/>
        <w:numPr>
          <w:ilvl w:val="2"/>
          <w:numId w:val="61"/>
        </w:numPr>
      </w:pPr>
      <w:bookmarkStart w:id="121" w:name="_Hlk150842076"/>
      <w:r>
        <w:t xml:space="preserve">if the opening balance has a credit balance and represents a liability associated with the provision, it should be reported as a positive number </w:t>
      </w:r>
    </w:p>
    <w:p w14:paraId="4C7C219F" w14:textId="369D98B0" w:rsidR="005449A5" w:rsidRDefault="005449A5" w:rsidP="005449A5">
      <w:pPr>
        <w:pStyle w:val="Noparagraph"/>
        <w:numPr>
          <w:ilvl w:val="2"/>
          <w:numId w:val="61"/>
        </w:numPr>
      </w:pPr>
      <w:r>
        <w:t>if the opening balance has a debit balance and represents a ‘negative’ liability associated with the provision it should be reported as a negative number</w:t>
      </w:r>
    </w:p>
    <w:p w14:paraId="51229F70" w14:textId="24D2C7F6" w:rsidR="005449A5" w:rsidRDefault="005449A5" w:rsidP="005449A5">
      <w:pPr>
        <w:pStyle w:val="Noparagraph"/>
        <w:numPr>
          <w:ilvl w:val="2"/>
          <w:numId w:val="61"/>
        </w:numPr>
      </w:pPr>
      <w:r>
        <w:t>a movement in provisions that increases the liability should be reported as a positive number</w:t>
      </w:r>
    </w:p>
    <w:p w14:paraId="53B0E42B" w14:textId="79C39BE5" w:rsidR="005449A5" w:rsidRDefault="005449A5" w:rsidP="005449A5">
      <w:pPr>
        <w:pStyle w:val="Noparagraph"/>
        <w:numPr>
          <w:ilvl w:val="2"/>
          <w:numId w:val="61"/>
        </w:numPr>
      </w:pPr>
      <w:r>
        <w:t>a movement in provisions that decreases the liability should be reported as a negative number.</w:t>
      </w:r>
    </w:p>
    <w:p w14:paraId="18390FE2" w14:textId="33CACB39" w:rsidR="00E9094E" w:rsidRDefault="00E9094E" w:rsidP="00E9094E">
      <w:pPr>
        <w:pStyle w:val="Heading3"/>
        <w:spacing w:after="240"/>
        <w:ind w:left="578" w:hanging="578"/>
        <w:rPr>
          <w:lang w:eastAsia="ja-JP"/>
        </w:rPr>
      </w:pPr>
      <w:bookmarkStart w:id="122" w:name="_Toc162703573"/>
      <w:bookmarkEnd w:id="121"/>
      <w:r>
        <w:rPr>
          <w:lang w:eastAsia="ja-JP"/>
        </w:rPr>
        <w:t>Other financial information</w:t>
      </w:r>
      <w:bookmarkEnd w:id="122"/>
      <w:r w:rsidR="00B5753E">
        <w:rPr>
          <w:lang w:eastAsia="ja-JP"/>
        </w:rPr>
        <w:t xml:space="preserve"> </w:t>
      </w:r>
      <w:bookmarkStart w:id="123" w:name="_Hlk199426927"/>
      <w:r w:rsidR="00B5753E">
        <w:rPr>
          <w:color w:val="0000CC"/>
          <w:lang w:eastAsia="ja-JP"/>
        </w:rPr>
        <w:t>(8.7, 8.8, 7.7, 7.6)</w:t>
      </w:r>
      <w:bookmarkEnd w:id="123"/>
    </w:p>
    <w:p w14:paraId="67B6F943" w14:textId="61B7A7D5" w:rsidR="00562660" w:rsidRPr="008B6CE6" w:rsidRDefault="00562660" w:rsidP="00562660">
      <w:pPr>
        <w:spacing w:before="120" w:after="120"/>
        <w:rPr>
          <w:rFonts w:eastAsiaTheme="majorEastAsia" w:cstheme="majorBidi"/>
          <w:b/>
          <w:bCs/>
          <w:iCs/>
          <w:color w:val="0000CC"/>
          <w:lang w:eastAsia="ja-JP"/>
        </w:rPr>
      </w:pPr>
      <w:r w:rsidRPr="00562660">
        <w:rPr>
          <w:rFonts w:eastAsiaTheme="majorEastAsia" w:cstheme="majorBidi"/>
          <w:b/>
          <w:bCs/>
          <w:iCs/>
          <w:color w:val="303F51"/>
          <w:lang w:eastAsia="ja-JP"/>
        </w:rPr>
        <w:t>Balance sheet and other items</w:t>
      </w:r>
      <w:r w:rsidR="008B6CE6">
        <w:rPr>
          <w:rFonts w:eastAsiaTheme="majorEastAsia" w:cstheme="majorBidi"/>
          <w:b/>
          <w:bCs/>
          <w:iCs/>
          <w:color w:val="303F51"/>
          <w:lang w:eastAsia="ja-JP"/>
        </w:rPr>
        <w:t xml:space="preserve"> </w:t>
      </w:r>
      <w:r w:rsidR="008B6CE6">
        <w:rPr>
          <w:rFonts w:eastAsiaTheme="majorEastAsia" w:cstheme="majorBidi"/>
          <w:b/>
          <w:bCs/>
          <w:iCs/>
          <w:color w:val="0000CC"/>
          <w:lang w:eastAsia="ja-JP"/>
        </w:rPr>
        <w:t>(table 8.7.2)</w:t>
      </w:r>
    </w:p>
    <w:p w14:paraId="7B230099" w14:textId="423FDDE4" w:rsidR="00562660" w:rsidRDefault="0009655A" w:rsidP="0009655A">
      <w:pPr>
        <w:pStyle w:val="Noparagraph"/>
        <w:spacing w:after="120"/>
        <w:ind w:left="567" w:hanging="567"/>
      </w:pPr>
      <w:r>
        <w:t xml:space="preserve">The </w:t>
      </w:r>
      <w:r w:rsidR="00375AB1" w:rsidRPr="00375AB1">
        <w:rPr>
          <w:i/>
        </w:rPr>
        <w:t>TNSP</w:t>
      </w:r>
      <w:r>
        <w:t xml:space="preserve"> must report the balance</w:t>
      </w:r>
      <w:r w:rsidR="00A45E49">
        <w:t>,</w:t>
      </w:r>
      <w:r>
        <w:t xml:space="preserve"> as at the end of the </w:t>
      </w:r>
      <w:r w:rsidRPr="00A45E49">
        <w:rPr>
          <w:i/>
          <w:iCs w:val="0"/>
        </w:rPr>
        <w:t>reporting period</w:t>
      </w:r>
      <w:r w:rsidR="00A45E49">
        <w:t>,</w:t>
      </w:r>
      <w:r>
        <w:t xml:space="preserve"> of </w:t>
      </w:r>
      <w:r w:rsidRPr="0009655A">
        <w:t xml:space="preserve">the </w:t>
      </w:r>
      <w:r w:rsidR="00A45E49" w:rsidRPr="0009655A">
        <w:t>interest-bearing</w:t>
      </w:r>
      <w:r w:rsidRPr="0009655A">
        <w:t xml:space="preserve"> liabilities held by the </w:t>
      </w:r>
      <w:r w:rsidR="00375AB1" w:rsidRPr="00375AB1">
        <w:rPr>
          <w:i/>
        </w:rPr>
        <w:t>TNSP</w:t>
      </w:r>
      <w:r w:rsidRPr="0009655A">
        <w:t xml:space="preserve"> to fund the operation of, and investment into, its core regulated services</w:t>
      </w:r>
      <w:r w:rsidR="001207DE">
        <w:t xml:space="preserve">. </w:t>
      </w:r>
    </w:p>
    <w:p w14:paraId="779E5450" w14:textId="1883F8ED" w:rsidR="001207DE" w:rsidRDefault="001207DE" w:rsidP="00C14564">
      <w:pPr>
        <w:pStyle w:val="Noparagraph"/>
        <w:spacing w:after="120"/>
        <w:ind w:left="567" w:hanging="567"/>
      </w:pPr>
      <w:r>
        <w:t xml:space="preserve">For each </w:t>
      </w:r>
      <w:r w:rsidR="00095912" w:rsidRPr="00CB467C">
        <w:rPr>
          <w:i/>
          <w:iCs w:val="0"/>
        </w:rPr>
        <w:t>reporting period</w:t>
      </w:r>
      <w:r>
        <w:t xml:space="preserve">, the </w:t>
      </w:r>
      <w:r w:rsidR="00375AB1" w:rsidRPr="00375AB1">
        <w:rPr>
          <w:i/>
        </w:rPr>
        <w:t>TNSP</w:t>
      </w:r>
      <w:r w:rsidR="00F37221">
        <w:t xml:space="preserve"> must</w:t>
      </w:r>
      <w:r>
        <w:t xml:space="preserve"> report the tax</w:t>
      </w:r>
      <w:r w:rsidR="00F37221">
        <w:t xml:space="preserve"> </w:t>
      </w:r>
      <w:r>
        <w:t xml:space="preserve">depreciation of </w:t>
      </w:r>
      <w:r w:rsidR="00F37221">
        <w:t>its</w:t>
      </w:r>
      <w:r>
        <w:t xml:space="preserve"> </w:t>
      </w:r>
      <w:r w:rsidR="00F37221">
        <w:t>tax asset base</w:t>
      </w:r>
      <w:r>
        <w:t xml:space="preserve">. This </w:t>
      </w:r>
      <w:r w:rsidR="00CB467C">
        <w:t>must</w:t>
      </w:r>
      <w:r>
        <w:t xml:space="preserve"> </w:t>
      </w:r>
      <w:r w:rsidR="00260272">
        <w:t>reconcile with</w:t>
      </w:r>
      <w:r>
        <w:t>:</w:t>
      </w:r>
    </w:p>
    <w:p w14:paraId="2315AA93" w14:textId="613F009A" w:rsidR="001207DE" w:rsidRDefault="001207DE" w:rsidP="0079620D">
      <w:pPr>
        <w:pStyle w:val="Noparagraph"/>
        <w:numPr>
          <w:ilvl w:val="2"/>
          <w:numId w:val="53"/>
        </w:numPr>
        <w:ind w:left="1276"/>
      </w:pPr>
      <w:r>
        <w:t xml:space="preserve">the applicable final decision that the </w:t>
      </w:r>
      <w:r w:rsidR="00375AB1" w:rsidRPr="00375AB1">
        <w:rPr>
          <w:i/>
        </w:rPr>
        <w:t>AER</w:t>
      </w:r>
      <w:r>
        <w:t xml:space="preserve"> has made in relation to the</w:t>
      </w:r>
      <w:r w:rsidR="00F37221">
        <w:t xml:space="preserve"> </w:t>
      </w:r>
      <w:r>
        <w:t xml:space="preserve">historical tax depreciation of the </w:t>
      </w:r>
      <w:r w:rsidR="00375AB1" w:rsidRPr="00375AB1">
        <w:rPr>
          <w:i/>
        </w:rPr>
        <w:t>TNSP’s</w:t>
      </w:r>
      <w:r>
        <w:t xml:space="preserve"> </w:t>
      </w:r>
      <w:r w:rsidR="00F37221">
        <w:t>tax asset base</w:t>
      </w:r>
      <w:r>
        <w:t>; or</w:t>
      </w:r>
    </w:p>
    <w:p w14:paraId="5CA929AE" w14:textId="2F046E55" w:rsidR="001207DE" w:rsidRDefault="001207DE" w:rsidP="0079620D">
      <w:pPr>
        <w:pStyle w:val="Noparagraph"/>
        <w:numPr>
          <w:ilvl w:val="2"/>
          <w:numId w:val="53"/>
        </w:numPr>
        <w:ind w:left="1276"/>
      </w:pPr>
      <w:r>
        <w:t xml:space="preserve">for any </w:t>
      </w:r>
      <w:r w:rsidR="00375AB1" w:rsidRPr="00CB467C">
        <w:rPr>
          <w:i/>
          <w:iCs w:val="0"/>
        </w:rPr>
        <w:t>reporting period</w:t>
      </w:r>
      <w:r>
        <w:t xml:space="preserve"> where the </w:t>
      </w:r>
      <w:r w:rsidR="00375AB1" w:rsidRPr="00375AB1">
        <w:rPr>
          <w:i/>
        </w:rPr>
        <w:t>AER</w:t>
      </w:r>
      <w:r>
        <w:t xml:space="preserve"> has not made a final decision in</w:t>
      </w:r>
      <w:r w:rsidR="00F37221">
        <w:t xml:space="preserve"> </w:t>
      </w:r>
      <w:r>
        <w:t xml:space="preserve">relation to the historical tax depreciation of the </w:t>
      </w:r>
      <w:r w:rsidR="00375AB1" w:rsidRPr="00375AB1">
        <w:rPr>
          <w:i/>
        </w:rPr>
        <w:t>TNSP’s</w:t>
      </w:r>
      <w:r w:rsidR="00095912">
        <w:t xml:space="preserve"> </w:t>
      </w:r>
      <w:r w:rsidR="00F37221">
        <w:t>tax asset base</w:t>
      </w:r>
      <w:r>
        <w:t>:</w:t>
      </w:r>
    </w:p>
    <w:p w14:paraId="1A2038F8" w14:textId="02333B31" w:rsidR="001207DE" w:rsidRDefault="001207DE" w:rsidP="0079620D">
      <w:pPr>
        <w:pStyle w:val="Noparagraph"/>
        <w:numPr>
          <w:ilvl w:val="2"/>
          <w:numId w:val="54"/>
        </w:numPr>
        <w:ind w:left="1985"/>
      </w:pPr>
      <w:r>
        <w:t xml:space="preserve">any historical depreciation of the </w:t>
      </w:r>
      <w:r w:rsidR="00375AB1" w:rsidRPr="00375AB1">
        <w:rPr>
          <w:i/>
        </w:rPr>
        <w:t>TNSP’s</w:t>
      </w:r>
      <w:r w:rsidR="00095912">
        <w:t xml:space="preserve"> </w:t>
      </w:r>
      <w:r w:rsidR="00F37221">
        <w:t xml:space="preserve">tax asset base </w:t>
      </w:r>
      <w:r>
        <w:t xml:space="preserve">provided by the </w:t>
      </w:r>
      <w:r w:rsidR="00375AB1" w:rsidRPr="00375AB1">
        <w:rPr>
          <w:i/>
        </w:rPr>
        <w:t>TNSP</w:t>
      </w:r>
      <w:r w:rsidR="00095912">
        <w:t xml:space="preserve"> </w:t>
      </w:r>
      <w:r>
        <w:t>in a revised regulatory</w:t>
      </w:r>
      <w:r w:rsidR="00F37221">
        <w:t xml:space="preserve"> </w:t>
      </w:r>
      <w:r>
        <w:t>proposal for a regulatory determination; or if not available</w:t>
      </w:r>
    </w:p>
    <w:p w14:paraId="2A457922" w14:textId="7F93B598" w:rsidR="001207DE" w:rsidRDefault="001207DE" w:rsidP="0079620D">
      <w:pPr>
        <w:pStyle w:val="Noparagraph"/>
        <w:numPr>
          <w:ilvl w:val="2"/>
          <w:numId w:val="54"/>
        </w:numPr>
        <w:ind w:left="1985"/>
      </w:pPr>
      <w:r>
        <w:t xml:space="preserve">any draft decision that the </w:t>
      </w:r>
      <w:r w:rsidR="00375AB1" w:rsidRPr="00375AB1">
        <w:rPr>
          <w:i/>
        </w:rPr>
        <w:t>AER</w:t>
      </w:r>
      <w:r>
        <w:t xml:space="preserve"> has made in relation to the historical</w:t>
      </w:r>
      <w:r w:rsidR="00F37221">
        <w:t xml:space="preserve"> </w:t>
      </w:r>
      <w:r>
        <w:t xml:space="preserve">tax depreciation of the </w:t>
      </w:r>
      <w:r w:rsidR="00375AB1" w:rsidRPr="00375AB1">
        <w:rPr>
          <w:i/>
        </w:rPr>
        <w:t>TNSP’s</w:t>
      </w:r>
      <w:r w:rsidR="00095912">
        <w:t xml:space="preserve"> </w:t>
      </w:r>
      <w:r w:rsidR="00F37221">
        <w:t>tax asset base</w:t>
      </w:r>
      <w:r>
        <w:t>; or if not</w:t>
      </w:r>
      <w:r w:rsidR="00F37221">
        <w:t xml:space="preserve"> </w:t>
      </w:r>
      <w:r>
        <w:t>available</w:t>
      </w:r>
    </w:p>
    <w:p w14:paraId="4BCEE94E" w14:textId="1CF3ACA8" w:rsidR="001207DE" w:rsidRDefault="001207DE" w:rsidP="0079620D">
      <w:pPr>
        <w:pStyle w:val="Noparagraph"/>
        <w:numPr>
          <w:ilvl w:val="2"/>
          <w:numId w:val="54"/>
        </w:numPr>
        <w:ind w:left="1985"/>
      </w:pPr>
      <w:r>
        <w:t xml:space="preserve">any historical depreciation of the </w:t>
      </w:r>
      <w:r w:rsidR="00375AB1" w:rsidRPr="00375AB1">
        <w:rPr>
          <w:i/>
        </w:rPr>
        <w:t>TNSP’s</w:t>
      </w:r>
      <w:r w:rsidR="00095912">
        <w:t xml:space="preserve"> </w:t>
      </w:r>
      <w:r w:rsidR="00F37221">
        <w:t xml:space="preserve">tax asset base </w:t>
      </w:r>
      <w:r>
        <w:t xml:space="preserve">provided by the </w:t>
      </w:r>
      <w:r w:rsidR="00375AB1" w:rsidRPr="00375AB1">
        <w:rPr>
          <w:i/>
        </w:rPr>
        <w:t>TNSP</w:t>
      </w:r>
      <w:r w:rsidR="00095912">
        <w:t xml:space="preserve"> </w:t>
      </w:r>
      <w:r>
        <w:t>in an initial regulatory</w:t>
      </w:r>
      <w:r w:rsidR="00F37221">
        <w:t xml:space="preserve"> </w:t>
      </w:r>
      <w:r>
        <w:t>proposal for a regulatory determination; or if not available</w:t>
      </w:r>
    </w:p>
    <w:p w14:paraId="0E2B5FB8" w14:textId="4E383830" w:rsidR="001207DE" w:rsidRDefault="001207DE" w:rsidP="0079620D">
      <w:pPr>
        <w:pStyle w:val="Noparagraph"/>
        <w:numPr>
          <w:ilvl w:val="2"/>
          <w:numId w:val="54"/>
        </w:numPr>
        <w:ind w:left="1985"/>
      </w:pPr>
      <w:r>
        <w:lastRenderedPageBreak/>
        <w:t xml:space="preserve">an estimate of the </w:t>
      </w:r>
      <w:r w:rsidR="00375AB1" w:rsidRPr="00375AB1">
        <w:rPr>
          <w:i/>
        </w:rPr>
        <w:t>TNSP’s</w:t>
      </w:r>
      <w:r w:rsidR="00095912">
        <w:t xml:space="preserve"> </w:t>
      </w:r>
      <w:r>
        <w:t xml:space="preserve">actual </w:t>
      </w:r>
      <w:r w:rsidR="00095912">
        <w:t xml:space="preserve">a tax asset base </w:t>
      </w:r>
      <w:r>
        <w:t>depreciation</w:t>
      </w:r>
      <w:r w:rsidR="00F37221">
        <w:t xml:space="preserve"> </w:t>
      </w:r>
      <w:r>
        <w:t xml:space="preserve">based on a </w:t>
      </w:r>
      <w:r w:rsidR="00F37221">
        <w:t xml:space="preserve">tax asset base </w:t>
      </w:r>
      <w:r>
        <w:t>from the most recent applicable final decision PTRM</w:t>
      </w:r>
      <w:r w:rsidR="00F37221">
        <w:t xml:space="preserve"> </w:t>
      </w:r>
      <w:r>
        <w:t xml:space="preserve">updated for actual </w:t>
      </w:r>
      <w:r w:rsidR="005D526D" w:rsidRPr="005D526D">
        <w:rPr>
          <w:i/>
        </w:rPr>
        <w:t>capital expenditure</w:t>
      </w:r>
      <w:r>
        <w:t>.</w:t>
      </w:r>
    </w:p>
    <w:p w14:paraId="637B8937" w14:textId="542214C3" w:rsidR="00562660" w:rsidRDefault="00562660" w:rsidP="00562660">
      <w:pPr>
        <w:spacing w:before="120" w:after="120"/>
        <w:rPr>
          <w:rFonts w:eastAsiaTheme="majorEastAsia" w:cstheme="majorBidi"/>
          <w:b/>
          <w:bCs/>
          <w:iCs/>
          <w:color w:val="303F51"/>
          <w:lang w:eastAsia="ja-JP"/>
        </w:rPr>
      </w:pPr>
      <w:bookmarkStart w:id="124" w:name="_Hlk152760131"/>
      <w:r w:rsidRPr="00562660">
        <w:rPr>
          <w:rFonts w:eastAsiaTheme="majorEastAsia" w:cstheme="majorBidi"/>
          <w:b/>
          <w:bCs/>
          <w:iCs/>
          <w:color w:val="303F51"/>
          <w:lang w:eastAsia="ja-JP"/>
        </w:rPr>
        <w:t xml:space="preserve">Revenue </w:t>
      </w:r>
      <w:r w:rsidR="00B02B14">
        <w:rPr>
          <w:rFonts w:eastAsiaTheme="majorEastAsia" w:cstheme="majorBidi"/>
          <w:b/>
          <w:bCs/>
          <w:iCs/>
          <w:color w:val="303F51"/>
          <w:lang w:eastAsia="ja-JP"/>
        </w:rPr>
        <w:t>r</w:t>
      </w:r>
      <w:r w:rsidR="009E269F" w:rsidRPr="00562660">
        <w:rPr>
          <w:rFonts w:eastAsiaTheme="majorEastAsia" w:cstheme="majorBidi"/>
          <w:b/>
          <w:bCs/>
          <w:iCs/>
          <w:color w:val="303F51"/>
          <w:lang w:eastAsia="ja-JP"/>
        </w:rPr>
        <w:t>e</w:t>
      </w:r>
      <w:r w:rsidR="009E269F">
        <w:rPr>
          <w:rFonts w:eastAsiaTheme="majorEastAsia" w:cstheme="majorBidi"/>
          <w:b/>
          <w:bCs/>
          <w:iCs/>
          <w:color w:val="303F51"/>
          <w:lang w:eastAsia="ja-JP"/>
        </w:rPr>
        <w:t>quirements</w:t>
      </w:r>
      <w:r w:rsidR="00781088">
        <w:rPr>
          <w:rFonts w:eastAsiaTheme="majorEastAsia" w:cstheme="majorBidi"/>
          <w:b/>
          <w:bCs/>
          <w:iCs/>
          <w:color w:val="303F51"/>
          <w:lang w:eastAsia="ja-JP"/>
        </w:rPr>
        <w:t xml:space="preserve"> </w:t>
      </w:r>
      <w:bookmarkStart w:id="125" w:name="_Hlk199426941"/>
      <w:r w:rsidR="00781088" w:rsidRPr="00781088">
        <w:rPr>
          <w:rFonts w:eastAsiaTheme="majorEastAsia" w:cstheme="majorBidi"/>
          <w:b/>
          <w:bCs/>
          <w:iCs/>
          <w:color w:val="0000CC"/>
          <w:lang w:eastAsia="ja-JP"/>
        </w:rPr>
        <w:t>(table 8.8.1)</w:t>
      </w:r>
      <w:bookmarkEnd w:id="125"/>
    </w:p>
    <w:p w14:paraId="23C8DD91" w14:textId="37BE1325" w:rsidR="00D9292C" w:rsidRPr="00D9292C" w:rsidRDefault="00D9292C" w:rsidP="00562660">
      <w:pPr>
        <w:spacing w:before="120" w:after="120"/>
        <w:rPr>
          <w:rFonts w:eastAsiaTheme="majorEastAsia" w:cstheme="majorBidi"/>
          <w:i/>
          <w:color w:val="303F51"/>
          <w:lang w:eastAsia="ja-JP"/>
        </w:rPr>
      </w:pPr>
      <w:r w:rsidRPr="00D9292C">
        <w:rPr>
          <w:rFonts w:eastAsiaTheme="majorEastAsia" w:cstheme="majorBidi"/>
          <w:i/>
          <w:color w:val="303F51"/>
          <w:lang w:eastAsia="ja-JP"/>
        </w:rPr>
        <w:t>Adjusted allowed revenue</w:t>
      </w:r>
    </w:p>
    <w:p w14:paraId="3ACB49D0" w14:textId="6B253E33" w:rsidR="0042302E" w:rsidRDefault="0042302E" w:rsidP="009E269F">
      <w:pPr>
        <w:pStyle w:val="Noparagraph"/>
        <w:spacing w:after="120"/>
        <w:ind w:left="567" w:hanging="567"/>
      </w:pPr>
      <w:r>
        <w:t xml:space="preserve">The </w:t>
      </w:r>
      <w:r w:rsidRPr="00D9292C">
        <w:rPr>
          <w:i/>
          <w:iCs w:val="0"/>
        </w:rPr>
        <w:t>TNSP</w:t>
      </w:r>
      <w:r>
        <w:t xml:space="preserve"> must report the </w:t>
      </w:r>
      <w:r w:rsidR="004B4113">
        <w:t xml:space="preserve">maximum </w:t>
      </w:r>
      <w:r>
        <w:t xml:space="preserve">allowed revenue and all adjustments that modify its revenue requirements for the </w:t>
      </w:r>
      <w:r w:rsidRPr="0042302E">
        <w:rPr>
          <w:i/>
          <w:iCs w:val="0"/>
        </w:rPr>
        <w:t>reporting period</w:t>
      </w:r>
      <w:r>
        <w:t xml:space="preserve">. These amounts will match the information used to set prices in the </w:t>
      </w:r>
      <w:r w:rsidRPr="0042302E">
        <w:rPr>
          <w:i/>
          <w:iCs w:val="0"/>
        </w:rPr>
        <w:t>reporting period</w:t>
      </w:r>
      <w:r>
        <w:t>.</w:t>
      </w:r>
    </w:p>
    <w:p w14:paraId="45B288A2" w14:textId="3BBB1C5F" w:rsidR="00D9292C" w:rsidRPr="00D9292C" w:rsidRDefault="00D9292C" w:rsidP="00D9292C">
      <w:pPr>
        <w:keepNext/>
        <w:spacing w:before="120" w:after="120"/>
        <w:rPr>
          <w:rFonts w:eastAsiaTheme="majorEastAsia" w:cstheme="majorBidi"/>
          <w:i/>
          <w:color w:val="303F51"/>
          <w:lang w:eastAsia="ja-JP"/>
        </w:rPr>
      </w:pPr>
      <w:r w:rsidRPr="00D9292C">
        <w:rPr>
          <w:rFonts w:eastAsiaTheme="majorEastAsia" w:cstheme="majorBidi"/>
          <w:i/>
          <w:color w:val="303F51"/>
          <w:lang w:eastAsia="ja-JP"/>
        </w:rPr>
        <w:t>Revenue from prescribed service</w:t>
      </w:r>
      <w:r w:rsidR="00554669">
        <w:rPr>
          <w:rFonts w:eastAsiaTheme="majorEastAsia" w:cstheme="majorBidi"/>
          <w:i/>
          <w:color w:val="303F51"/>
          <w:lang w:eastAsia="ja-JP"/>
        </w:rPr>
        <w:t>s</w:t>
      </w:r>
    </w:p>
    <w:p w14:paraId="0B228491" w14:textId="421ECD46" w:rsidR="00D9292C" w:rsidRDefault="00D9292C" w:rsidP="009E269F">
      <w:pPr>
        <w:pStyle w:val="Noparagraph"/>
        <w:spacing w:after="120"/>
        <w:ind w:left="567" w:hanging="567"/>
      </w:pPr>
      <w:r>
        <w:t xml:space="preserve">The </w:t>
      </w:r>
      <w:r w:rsidRPr="00D9292C">
        <w:rPr>
          <w:i/>
          <w:iCs w:val="0"/>
        </w:rPr>
        <w:t>TNSP</w:t>
      </w:r>
      <w:r>
        <w:t xml:space="preserve"> must report how its revenue requirements were expected to be recovered by service classification. The revenue from prescribed services must be equal to the adjusted allowed revenue.</w:t>
      </w:r>
    </w:p>
    <w:p w14:paraId="6A34BCA4" w14:textId="61118A50" w:rsidR="009E269F" w:rsidRDefault="009E269F" w:rsidP="00562660">
      <w:pPr>
        <w:spacing w:before="120" w:after="120"/>
        <w:rPr>
          <w:rFonts w:eastAsiaTheme="majorEastAsia" w:cstheme="majorBidi"/>
          <w:b/>
          <w:bCs/>
          <w:iCs/>
          <w:color w:val="303F51"/>
          <w:lang w:eastAsia="ja-JP"/>
        </w:rPr>
      </w:pPr>
      <w:r>
        <w:rPr>
          <w:rFonts w:eastAsiaTheme="majorEastAsia" w:cstheme="majorBidi"/>
          <w:b/>
          <w:bCs/>
          <w:iCs/>
          <w:color w:val="303F51"/>
          <w:lang w:eastAsia="ja-JP"/>
        </w:rPr>
        <w:t>Revenue recoveries</w:t>
      </w:r>
      <w:r w:rsidR="00781088">
        <w:rPr>
          <w:rFonts w:eastAsiaTheme="majorEastAsia" w:cstheme="majorBidi"/>
          <w:b/>
          <w:bCs/>
          <w:iCs/>
          <w:color w:val="303F51"/>
          <w:lang w:eastAsia="ja-JP"/>
        </w:rPr>
        <w:t xml:space="preserve"> </w:t>
      </w:r>
      <w:bookmarkStart w:id="126" w:name="_Hlk199426949"/>
      <w:r w:rsidR="00781088" w:rsidRPr="00781088">
        <w:rPr>
          <w:rFonts w:eastAsiaTheme="majorEastAsia" w:cstheme="majorBidi"/>
          <w:b/>
          <w:bCs/>
          <w:iCs/>
          <w:color w:val="0000CC"/>
          <w:lang w:eastAsia="ja-JP"/>
        </w:rPr>
        <w:t>(table 8.8.1)</w:t>
      </w:r>
      <w:bookmarkEnd w:id="126"/>
    </w:p>
    <w:p w14:paraId="3038331A" w14:textId="5F8FCFFB" w:rsidR="0042302E" w:rsidRDefault="00152C40" w:rsidP="0042302E">
      <w:pPr>
        <w:pStyle w:val="Noparagraph"/>
        <w:spacing w:after="120"/>
        <w:ind w:left="567" w:hanging="567"/>
      </w:pPr>
      <w:bookmarkStart w:id="127" w:name="_Hlk161989086"/>
      <w:r>
        <w:t xml:space="preserve">The </w:t>
      </w:r>
      <w:r w:rsidRPr="00152C40">
        <w:rPr>
          <w:i/>
          <w:iCs w:val="0"/>
        </w:rPr>
        <w:t>TNSP</w:t>
      </w:r>
      <w:r>
        <w:t xml:space="preserve"> must report the revenue it has received by service classification for the reporting year. </w:t>
      </w:r>
      <w:bookmarkEnd w:id="127"/>
      <w:r w:rsidR="0042302E">
        <w:t xml:space="preserve">Data requirements are identified by reference to table headings, row descriptors and column headings. They are represented as input cells - shaded green in the </w:t>
      </w:r>
      <w:r w:rsidR="0042302E" w:rsidRPr="00BA4310">
        <w:rPr>
          <w:i/>
          <w:iCs w:val="0"/>
        </w:rPr>
        <w:t>data workbook</w:t>
      </w:r>
      <w:r w:rsidR="0042302E">
        <w:rPr>
          <w:i/>
          <w:iCs w:val="0"/>
        </w:rPr>
        <w:t xml:space="preserve"> 09 –  revenue and financial information. </w:t>
      </w:r>
      <w:r w:rsidR="00D95706" w:rsidRPr="00D95706">
        <w:rPr>
          <w:iCs w:val="0"/>
        </w:rPr>
        <w:t>There are no further instructions</w:t>
      </w:r>
      <w:r w:rsidR="0042302E">
        <w:rPr>
          <w:i/>
          <w:iCs w:val="0"/>
        </w:rPr>
        <w:t>.</w:t>
      </w:r>
    </w:p>
    <w:p w14:paraId="79198036" w14:textId="431C2207" w:rsidR="009E269F" w:rsidRDefault="009E269F" w:rsidP="00562660">
      <w:pPr>
        <w:spacing w:before="120" w:after="120"/>
        <w:rPr>
          <w:rFonts w:eastAsiaTheme="majorEastAsia" w:cstheme="majorBidi"/>
          <w:b/>
          <w:bCs/>
          <w:iCs/>
          <w:color w:val="303F51"/>
          <w:lang w:eastAsia="ja-JP"/>
        </w:rPr>
      </w:pPr>
      <w:r>
        <w:rPr>
          <w:rFonts w:eastAsiaTheme="majorEastAsia" w:cstheme="majorBidi"/>
          <w:b/>
          <w:bCs/>
          <w:iCs/>
          <w:color w:val="303F51"/>
          <w:lang w:eastAsia="ja-JP"/>
        </w:rPr>
        <w:t>Revenue unders</w:t>
      </w:r>
      <w:r w:rsidR="004319EF">
        <w:rPr>
          <w:rFonts w:eastAsiaTheme="majorEastAsia" w:cstheme="majorBidi"/>
          <w:b/>
          <w:bCs/>
          <w:iCs/>
          <w:color w:val="303F51"/>
          <w:lang w:eastAsia="ja-JP"/>
        </w:rPr>
        <w:t xml:space="preserve"> </w:t>
      </w:r>
      <w:r>
        <w:rPr>
          <w:rFonts w:eastAsiaTheme="majorEastAsia" w:cstheme="majorBidi"/>
          <w:b/>
          <w:bCs/>
          <w:iCs/>
          <w:color w:val="303F51"/>
          <w:lang w:eastAsia="ja-JP"/>
        </w:rPr>
        <w:t>/</w:t>
      </w:r>
      <w:r w:rsidR="004319EF">
        <w:rPr>
          <w:rFonts w:eastAsiaTheme="majorEastAsia" w:cstheme="majorBidi"/>
          <w:b/>
          <w:bCs/>
          <w:iCs/>
          <w:color w:val="303F51"/>
          <w:lang w:eastAsia="ja-JP"/>
        </w:rPr>
        <w:t xml:space="preserve"> </w:t>
      </w:r>
      <w:r>
        <w:rPr>
          <w:rFonts w:eastAsiaTheme="majorEastAsia" w:cstheme="majorBidi"/>
          <w:b/>
          <w:bCs/>
          <w:iCs/>
          <w:color w:val="303F51"/>
          <w:lang w:eastAsia="ja-JP"/>
        </w:rPr>
        <w:t>overs</w:t>
      </w:r>
      <w:r w:rsidR="00781088">
        <w:rPr>
          <w:rFonts w:eastAsiaTheme="majorEastAsia" w:cstheme="majorBidi"/>
          <w:b/>
          <w:bCs/>
          <w:iCs/>
          <w:color w:val="303F51"/>
          <w:lang w:eastAsia="ja-JP"/>
        </w:rPr>
        <w:t xml:space="preserve"> </w:t>
      </w:r>
      <w:r w:rsidR="00781088" w:rsidRPr="00781088">
        <w:rPr>
          <w:rFonts w:eastAsiaTheme="majorEastAsia" w:cstheme="majorBidi"/>
          <w:b/>
          <w:bCs/>
          <w:iCs/>
          <w:color w:val="0000CC"/>
          <w:lang w:eastAsia="ja-JP"/>
        </w:rPr>
        <w:t>(table 8.8.1)</w:t>
      </w:r>
    </w:p>
    <w:p w14:paraId="691755E1" w14:textId="2B2AB9D6" w:rsidR="0042302E" w:rsidRDefault="00152C40" w:rsidP="0042302E">
      <w:pPr>
        <w:pStyle w:val="Noparagraph"/>
        <w:spacing w:after="120"/>
        <w:ind w:left="567" w:hanging="567"/>
      </w:pPr>
      <w:bookmarkStart w:id="128" w:name="_Hlk161989113"/>
      <w:r>
        <w:t xml:space="preserve">The </w:t>
      </w:r>
      <w:r w:rsidRPr="00152C40">
        <w:rPr>
          <w:i/>
          <w:iCs w:val="0"/>
        </w:rPr>
        <w:t>TNSP</w:t>
      </w:r>
      <w:r>
        <w:t xml:space="preserve"> must report the opening balance and transactions relating to revenue over and under recoveries. </w:t>
      </w:r>
      <w:r w:rsidR="007C72E6">
        <w:t xml:space="preserve">The </w:t>
      </w:r>
      <w:r w:rsidR="003F654A" w:rsidRPr="003F654A">
        <w:rPr>
          <w:i/>
          <w:iCs w:val="0"/>
        </w:rPr>
        <w:t>TNSP</w:t>
      </w:r>
      <w:r w:rsidR="003F654A">
        <w:t xml:space="preserve"> </w:t>
      </w:r>
      <w:r w:rsidR="007C72E6">
        <w:t>may provide additional disclosures</w:t>
      </w:r>
      <w:r w:rsidR="003F654A">
        <w:t xml:space="preserve"> if required to </w:t>
      </w:r>
      <w:r w:rsidR="00AF3FC6">
        <w:t>explain the changes in the revenue over and under balance in each reporting period.</w:t>
      </w:r>
      <w:r w:rsidR="007C72E6">
        <w:t xml:space="preserve"> </w:t>
      </w:r>
      <w:bookmarkEnd w:id="128"/>
      <w:r w:rsidR="0042302E">
        <w:t xml:space="preserve">Data requirements are identified by reference to table headings, row descriptors and column headings. They are represented as input cells - shaded green in the </w:t>
      </w:r>
      <w:r w:rsidR="0042302E" w:rsidRPr="00BA4310">
        <w:rPr>
          <w:i/>
          <w:iCs w:val="0"/>
        </w:rPr>
        <w:t>data workbook</w:t>
      </w:r>
      <w:r w:rsidR="0042302E">
        <w:rPr>
          <w:i/>
          <w:iCs w:val="0"/>
        </w:rPr>
        <w:t xml:space="preserve"> 09 –  revenue and financial information. </w:t>
      </w:r>
      <w:r w:rsidR="00D95706" w:rsidRPr="00D95706">
        <w:rPr>
          <w:iCs w:val="0"/>
        </w:rPr>
        <w:t>There are no further instructions</w:t>
      </w:r>
      <w:r w:rsidR="0042302E">
        <w:rPr>
          <w:i/>
          <w:iCs w:val="0"/>
        </w:rPr>
        <w:t>.</w:t>
      </w:r>
    </w:p>
    <w:p w14:paraId="7B570B63" w14:textId="559EE8B3" w:rsidR="004319EF" w:rsidRDefault="009E269F" w:rsidP="00AF3FC6">
      <w:pPr>
        <w:keepNext/>
        <w:spacing w:before="120" w:after="120"/>
        <w:rPr>
          <w:rFonts w:eastAsiaTheme="majorEastAsia" w:cstheme="majorBidi"/>
          <w:b/>
          <w:bCs/>
          <w:iCs/>
          <w:color w:val="303F51"/>
          <w:lang w:eastAsia="ja-JP"/>
        </w:rPr>
      </w:pPr>
      <w:r>
        <w:rPr>
          <w:rFonts w:eastAsiaTheme="majorEastAsia" w:cstheme="majorBidi"/>
          <w:b/>
          <w:bCs/>
          <w:iCs/>
          <w:color w:val="303F51"/>
          <w:lang w:eastAsia="ja-JP"/>
        </w:rPr>
        <w:t>Revenue reconciliation</w:t>
      </w:r>
      <w:r w:rsidR="004B6FE1">
        <w:rPr>
          <w:rFonts w:eastAsiaTheme="majorEastAsia" w:cstheme="majorBidi"/>
          <w:b/>
          <w:bCs/>
          <w:iCs/>
          <w:color w:val="303F51"/>
          <w:lang w:eastAsia="ja-JP"/>
        </w:rPr>
        <w:t xml:space="preserve"> </w:t>
      </w:r>
      <w:r w:rsidR="004319EF">
        <w:rPr>
          <w:rFonts w:eastAsiaTheme="majorEastAsia" w:cstheme="majorBidi"/>
          <w:b/>
          <w:bCs/>
          <w:iCs/>
          <w:color w:val="303F51"/>
          <w:lang w:eastAsia="ja-JP"/>
        </w:rPr>
        <w:t>(t-2)</w:t>
      </w:r>
      <w:r w:rsidR="00781088">
        <w:rPr>
          <w:rFonts w:eastAsiaTheme="majorEastAsia" w:cstheme="majorBidi"/>
          <w:b/>
          <w:bCs/>
          <w:iCs/>
          <w:color w:val="303F51"/>
          <w:lang w:eastAsia="ja-JP"/>
        </w:rPr>
        <w:t xml:space="preserve"> </w:t>
      </w:r>
      <w:r w:rsidR="00781088" w:rsidRPr="00781088">
        <w:rPr>
          <w:rFonts w:eastAsiaTheme="majorEastAsia" w:cstheme="majorBidi"/>
          <w:b/>
          <w:bCs/>
          <w:iCs/>
          <w:color w:val="0000CC"/>
          <w:lang w:eastAsia="ja-JP"/>
        </w:rPr>
        <w:t>(table 8.8.1)</w:t>
      </w:r>
    </w:p>
    <w:p w14:paraId="44C94D36" w14:textId="5D7446AA" w:rsidR="004319EF" w:rsidRPr="00CB6705" w:rsidRDefault="004319EF" w:rsidP="004319EF">
      <w:pPr>
        <w:pStyle w:val="Noparagraph"/>
        <w:ind w:left="567" w:hanging="567"/>
      </w:pPr>
      <w:r>
        <w:t>The</w:t>
      </w:r>
      <w:r w:rsidRPr="00CB6705">
        <w:t xml:space="preserve"> </w:t>
      </w:r>
      <w:r w:rsidRPr="00375AB1">
        <w:rPr>
          <w:i/>
          <w:iCs w:val="0"/>
        </w:rPr>
        <w:t>TNSP</w:t>
      </w:r>
      <w:r w:rsidRPr="00CB6705">
        <w:t xml:space="preserve"> must report</w:t>
      </w:r>
      <w:r>
        <w:t xml:space="preserve"> information reconciling its allowed revenues to its out-turn revenue recoveries in the </w:t>
      </w:r>
      <w:r w:rsidRPr="00964D04">
        <w:rPr>
          <w:i/>
          <w:iCs w:val="0"/>
        </w:rPr>
        <w:t>reporting period</w:t>
      </w:r>
      <w:r>
        <w:t xml:space="preserve"> ending two years</w:t>
      </w:r>
      <w:r w:rsidR="00964D04">
        <w:t xml:space="preserve"> (t-2)</w:t>
      </w:r>
      <w:r>
        <w:t xml:space="preserve"> prior to the current </w:t>
      </w:r>
      <w:r w:rsidRPr="00964D04">
        <w:rPr>
          <w:i/>
          <w:iCs w:val="0"/>
        </w:rPr>
        <w:t>reporting period</w:t>
      </w:r>
      <w:r>
        <w:t xml:space="preserve">. For example, if the </w:t>
      </w:r>
      <w:r w:rsidRPr="00964D04">
        <w:rPr>
          <w:i/>
          <w:iCs w:val="0"/>
        </w:rPr>
        <w:t>reporting period</w:t>
      </w:r>
      <w:r>
        <w:t xml:space="preserve"> is for the year ending 30 June 2025, the TNSP must reconcile its revenue allowance and recoveries for the year ending 30 June 2023.</w:t>
      </w:r>
    </w:p>
    <w:p w14:paraId="51779B72" w14:textId="266594D5" w:rsidR="00964D04" w:rsidRPr="00051CBB" w:rsidRDefault="00964D04" w:rsidP="00964D04">
      <w:pPr>
        <w:pStyle w:val="Noparagraph"/>
        <w:spacing w:after="120"/>
        <w:ind w:left="567" w:hanging="567"/>
      </w:pPr>
      <w:bookmarkStart w:id="129" w:name="_Hlk161989175"/>
      <w:r w:rsidRPr="00051CBB">
        <w:t>The</w:t>
      </w:r>
      <w:r w:rsidRPr="00051CBB">
        <w:rPr>
          <w:i/>
          <w:iCs w:val="0"/>
        </w:rPr>
        <w:t xml:space="preserve"> TNSP</w:t>
      </w:r>
      <w:r w:rsidRPr="00051CBB">
        <w:t xml:space="preserve"> must </w:t>
      </w:r>
      <w:r w:rsidR="000B2007">
        <w:t>identify</w:t>
      </w:r>
      <w:r w:rsidRPr="00051CBB">
        <w:t xml:space="preserve"> the dollar terms </w:t>
      </w:r>
      <w:r w:rsidR="000B2007">
        <w:t>used to reconcile its revenue allowance and recoveries for the reporting period (t-2)</w:t>
      </w:r>
      <w:r w:rsidRPr="00051CBB">
        <w:t xml:space="preserve"> </w:t>
      </w:r>
    </w:p>
    <w:p w14:paraId="74934F09" w14:textId="2A9434F5" w:rsidR="00964D04" w:rsidRDefault="00964D04" w:rsidP="00964D04">
      <w:pPr>
        <w:pStyle w:val="Noparagraph"/>
        <w:spacing w:after="120"/>
        <w:ind w:left="567" w:hanging="567"/>
      </w:pPr>
      <w:r>
        <w:t>The</w:t>
      </w:r>
      <w:r w:rsidRPr="00A06E1A">
        <w:rPr>
          <w:i/>
          <w:iCs w:val="0"/>
        </w:rPr>
        <w:t xml:space="preserve"> </w:t>
      </w:r>
      <w:r w:rsidRPr="00375AB1">
        <w:rPr>
          <w:i/>
          <w:iCs w:val="0"/>
        </w:rPr>
        <w:t>TNSP</w:t>
      </w:r>
      <w:r>
        <w:t xml:space="preserve"> must explain the conversion factors used to derive the dollar </w:t>
      </w:r>
      <w:r w:rsidR="000B2007">
        <w:t xml:space="preserve">terms </w:t>
      </w:r>
      <w:r>
        <w:t xml:space="preserve">in its </w:t>
      </w:r>
      <w:r w:rsidRPr="000965B4">
        <w:rPr>
          <w:i/>
          <w:iCs w:val="0"/>
        </w:rPr>
        <w:t>basis of preparation</w:t>
      </w:r>
      <w:r>
        <w:t xml:space="preserve">. </w:t>
      </w:r>
    </w:p>
    <w:p w14:paraId="333D7668" w14:textId="2311B6D8" w:rsidR="000B2007" w:rsidRDefault="000B2007" w:rsidP="00964D04">
      <w:pPr>
        <w:pStyle w:val="Noparagraph"/>
        <w:spacing w:after="120"/>
        <w:ind w:left="567" w:hanging="567"/>
      </w:pPr>
      <w:r>
        <w:t>The TNSP may provide additional disclosures to support its revenue reconciliation(t-2). Additional disclosure</w:t>
      </w:r>
      <w:r w:rsidR="00BB154F">
        <w:t>s</w:t>
      </w:r>
      <w:r>
        <w:t xml:space="preserve"> </w:t>
      </w:r>
      <w:r w:rsidR="00BB154F">
        <w:t xml:space="preserve">must be included in the scope of the audit or review engagement for the information in </w:t>
      </w:r>
      <w:r w:rsidR="00BB154F" w:rsidRPr="00BB154F">
        <w:rPr>
          <w:i/>
          <w:iCs w:val="0"/>
        </w:rPr>
        <w:t>data</w:t>
      </w:r>
      <w:r w:rsidR="00BB154F">
        <w:t xml:space="preserve"> </w:t>
      </w:r>
      <w:r w:rsidR="00BB154F" w:rsidRPr="00BB154F">
        <w:rPr>
          <w:i/>
          <w:iCs w:val="0"/>
        </w:rPr>
        <w:t>workbook 09- revenue and financial information</w:t>
      </w:r>
      <w:r w:rsidR="00BB154F">
        <w:t>.</w:t>
      </w:r>
    </w:p>
    <w:bookmarkEnd w:id="129"/>
    <w:p w14:paraId="28D410AC" w14:textId="6C901EB9" w:rsidR="00562660" w:rsidRDefault="00562660" w:rsidP="004B6FE1">
      <w:pPr>
        <w:keepNext/>
        <w:spacing w:before="120" w:after="120"/>
        <w:rPr>
          <w:rFonts w:eastAsiaTheme="majorEastAsia" w:cstheme="majorBidi"/>
          <w:b/>
          <w:bCs/>
          <w:iCs/>
          <w:color w:val="303F51"/>
          <w:lang w:eastAsia="ja-JP"/>
        </w:rPr>
      </w:pPr>
      <w:r w:rsidRPr="00562660">
        <w:rPr>
          <w:rFonts w:eastAsiaTheme="majorEastAsia" w:cstheme="majorBidi"/>
          <w:b/>
          <w:bCs/>
          <w:iCs/>
          <w:color w:val="303F51"/>
          <w:lang w:eastAsia="ja-JP"/>
        </w:rPr>
        <w:lastRenderedPageBreak/>
        <w:t>Related party</w:t>
      </w:r>
      <w:r w:rsidRPr="00781088">
        <w:rPr>
          <w:rFonts w:eastAsiaTheme="majorEastAsia" w:cstheme="majorBidi"/>
          <w:b/>
          <w:bCs/>
          <w:iCs/>
          <w:lang w:eastAsia="ja-JP"/>
        </w:rPr>
        <w:t xml:space="preserve"> transactions</w:t>
      </w:r>
      <w:r w:rsidR="00DE55B2" w:rsidRPr="00781088">
        <w:rPr>
          <w:rFonts w:eastAsiaTheme="majorEastAsia" w:cstheme="majorBidi"/>
          <w:b/>
          <w:bCs/>
          <w:iCs/>
          <w:lang w:eastAsia="ja-JP"/>
        </w:rPr>
        <w:t xml:space="preserve"> </w:t>
      </w:r>
      <w:bookmarkStart w:id="130" w:name="_Hlk199426974"/>
      <w:r w:rsidR="00DE55B2" w:rsidRPr="00DE55B2">
        <w:rPr>
          <w:rFonts w:eastAsiaTheme="majorEastAsia" w:cstheme="majorBidi"/>
          <w:b/>
          <w:bCs/>
          <w:iCs/>
          <w:color w:val="0000CC"/>
          <w:lang w:eastAsia="ja-JP"/>
        </w:rPr>
        <w:t>(table 7.7.1)</w:t>
      </w:r>
      <w:bookmarkEnd w:id="130"/>
    </w:p>
    <w:p w14:paraId="73F11DCE" w14:textId="7ACCF2EA" w:rsidR="00CB6705" w:rsidRPr="00CB6705" w:rsidRDefault="00B0496A" w:rsidP="00CB6705">
      <w:pPr>
        <w:pStyle w:val="Noparagraph"/>
        <w:ind w:left="567" w:hanging="567"/>
      </w:pPr>
      <w:r>
        <w:t>The</w:t>
      </w:r>
      <w:r w:rsidR="00CB6705" w:rsidRPr="00CB6705">
        <w:t xml:space="preserve"> </w:t>
      </w:r>
      <w:r w:rsidR="00375AB1" w:rsidRPr="00375AB1">
        <w:rPr>
          <w:i/>
          <w:iCs w:val="0"/>
        </w:rPr>
        <w:t>TNSP</w:t>
      </w:r>
      <w:r w:rsidR="00CB6705" w:rsidRPr="00CB6705">
        <w:t xml:space="preserve"> must report</w:t>
      </w:r>
      <w:r w:rsidR="00CB467C">
        <w:t xml:space="preserve"> </w:t>
      </w:r>
      <w:r w:rsidR="004319EF">
        <w:t>information relating to</w:t>
      </w:r>
      <w:r w:rsidR="00CB6705" w:rsidRPr="00CB6705">
        <w:t xml:space="preserve"> any material related party transactions attributed to, or allocated between, categories of transmission services provided by the </w:t>
      </w:r>
      <w:r w:rsidR="00375AB1" w:rsidRPr="00375AB1">
        <w:rPr>
          <w:i/>
        </w:rPr>
        <w:t>TNSP</w:t>
      </w:r>
      <w:r w:rsidR="00CB6705">
        <w:t>.</w:t>
      </w:r>
    </w:p>
    <w:p w14:paraId="3DB29E81" w14:textId="57975580" w:rsidR="00562660" w:rsidRPr="00F83CD3" w:rsidRDefault="00562660" w:rsidP="000D56B4">
      <w:pPr>
        <w:keepNext/>
        <w:spacing w:before="120" w:after="120"/>
        <w:rPr>
          <w:rFonts w:eastAsiaTheme="majorEastAsia" w:cstheme="majorBidi"/>
          <w:b/>
          <w:bCs/>
          <w:iCs/>
          <w:color w:val="0000CC"/>
          <w:lang w:eastAsia="ja-JP"/>
        </w:rPr>
      </w:pPr>
      <w:r w:rsidRPr="00562660">
        <w:rPr>
          <w:rFonts w:eastAsiaTheme="majorEastAsia" w:cstheme="majorBidi"/>
          <w:b/>
          <w:bCs/>
          <w:iCs/>
          <w:color w:val="303F51"/>
          <w:lang w:eastAsia="ja-JP"/>
        </w:rPr>
        <w:t>Price reduction /</w:t>
      </w:r>
      <w:r w:rsidR="004B6FE1">
        <w:rPr>
          <w:rFonts w:eastAsiaTheme="majorEastAsia" w:cstheme="majorBidi"/>
          <w:b/>
          <w:bCs/>
          <w:iCs/>
          <w:color w:val="303F51"/>
          <w:lang w:eastAsia="ja-JP"/>
        </w:rPr>
        <w:t xml:space="preserve"> </w:t>
      </w:r>
      <w:r w:rsidRPr="00562660">
        <w:rPr>
          <w:rFonts w:eastAsiaTheme="majorEastAsia" w:cstheme="majorBidi"/>
          <w:b/>
          <w:bCs/>
          <w:iCs/>
          <w:color w:val="303F51"/>
          <w:lang w:eastAsia="ja-JP"/>
        </w:rPr>
        <w:t>recovery</w:t>
      </w:r>
      <w:r w:rsidR="00F83CD3">
        <w:rPr>
          <w:rFonts w:eastAsiaTheme="majorEastAsia" w:cstheme="majorBidi"/>
          <w:b/>
          <w:bCs/>
          <w:iCs/>
          <w:color w:val="303F51"/>
          <w:lang w:eastAsia="ja-JP"/>
        </w:rPr>
        <w:t xml:space="preserve"> </w:t>
      </w:r>
      <w:bookmarkStart w:id="131" w:name="_Hlk199426983"/>
      <w:r w:rsidR="00F83CD3">
        <w:rPr>
          <w:rFonts w:eastAsiaTheme="majorEastAsia" w:cstheme="majorBidi"/>
          <w:b/>
          <w:bCs/>
          <w:iCs/>
          <w:color w:val="0000CC"/>
          <w:lang w:eastAsia="ja-JP"/>
        </w:rPr>
        <w:t>(table 7.6.1)</w:t>
      </w:r>
      <w:bookmarkEnd w:id="131"/>
    </w:p>
    <w:p w14:paraId="77FA85CD" w14:textId="22373624" w:rsidR="004319EF" w:rsidRDefault="004319EF" w:rsidP="004319EF">
      <w:pPr>
        <w:pStyle w:val="Noparagraph"/>
        <w:spacing w:after="120"/>
        <w:ind w:left="567" w:hanging="567"/>
      </w:pPr>
      <w:r>
        <w:t xml:space="preserve">Data requirements are identified by reference to table headings, row descriptors and column headings. They are represented as input cells - shaded green in the </w:t>
      </w:r>
      <w:r w:rsidRPr="00BA4310">
        <w:rPr>
          <w:i/>
          <w:iCs w:val="0"/>
        </w:rPr>
        <w:t>data workbook</w:t>
      </w:r>
      <w:r>
        <w:rPr>
          <w:i/>
          <w:iCs w:val="0"/>
        </w:rPr>
        <w:t xml:space="preserve"> 09 –  revenue and financial information. </w:t>
      </w:r>
      <w:r w:rsidR="00D95706" w:rsidRPr="00D95706">
        <w:rPr>
          <w:iCs w:val="0"/>
        </w:rPr>
        <w:t>There are no further instructions</w:t>
      </w:r>
      <w:r>
        <w:rPr>
          <w:i/>
          <w:iCs w:val="0"/>
        </w:rPr>
        <w:t>.</w:t>
      </w:r>
    </w:p>
    <w:bookmarkEnd w:id="124"/>
    <w:p w14:paraId="67E709FA" w14:textId="6C47C8CE" w:rsidR="00562660" w:rsidRPr="00562660" w:rsidRDefault="00562660" w:rsidP="00562660">
      <w:pPr>
        <w:rPr>
          <w:lang w:eastAsia="ja-JP"/>
        </w:rPr>
      </w:pPr>
    </w:p>
    <w:sectPr w:rsidR="00562660" w:rsidRPr="00562660" w:rsidSect="00AF0A62">
      <w:footerReference w:type="default" r:id="rId21"/>
      <w:pgSz w:w="11906" w:h="16838"/>
      <w:pgMar w:top="1418" w:right="1418" w:bottom="1276" w:left="1418" w:header="567"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327C9" w14:textId="77777777" w:rsidR="00600516" w:rsidRDefault="00600516">
      <w:r>
        <w:separator/>
      </w:r>
    </w:p>
    <w:p w14:paraId="2A59F64E" w14:textId="77777777" w:rsidR="00600516" w:rsidRDefault="00600516"/>
    <w:p w14:paraId="584ACF39" w14:textId="77777777" w:rsidR="00600516" w:rsidRDefault="00600516"/>
  </w:endnote>
  <w:endnote w:type="continuationSeparator" w:id="0">
    <w:p w14:paraId="1F09539E" w14:textId="77777777" w:rsidR="00600516" w:rsidRDefault="00600516">
      <w:r>
        <w:continuationSeparator/>
      </w:r>
    </w:p>
    <w:p w14:paraId="43D998F5" w14:textId="77777777" w:rsidR="00600516" w:rsidRDefault="00600516"/>
    <w:p w14:paraId="0DCDD090" w14:textId="77777777" w:rsidR="00600516" w:rsidRDefault="00600516"/>
  </w:endnote>
  <w:endnote w:type="continuationNotice" w:id="1">
    <w:p w14:paraId="092B5136" w14:textId="77777777" w:rsidR="00600516" w:rsidRDefault="00600516" w:rsidP="00F556A4">
      <w:pPr>
        <w:pStyle w:val="Footer"/>
      </w:pPr>
    </w:p>
    <w:p w14:paraId="5DD72CB4" w14:textId="77777777" w:rsidR="00600516" w:rsidRDefault="00600516"/>
    <w:p w14:paraId="22DAD60D" w14:textId="77777777" w:rsidR="00600516" w:rsidRDefault="006005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BFD63" w14:textId="77777777" w:rsidR="00790CA7" w:rsidRDefault="00790C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D09AC" w14:textId="77777777" w:rsidR="00790CA7" w:rsidRDefault="00790C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055CD" w14:textId="77777777" w:rsidR="00790CA7" w:rsidRDefault="00790C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94A57" w14:textId="15A8EBAF" w:rsidR="00600516" w:rsidRPr="000B38DF" w:rsidRDefault="00600516" w:rsidP="000168F3">
    <w:pPr>
      <w:pStyle w:val="Footer"/>
      <w:jc w:val="center"/>
    </w:pPr>
    <w:r w:rsidRPr="000B38DF">
      <w:fldChar w:fldCharType="begin"/>
    </w:r>
    <w:r w:rsidRPr="000B38DF">
      <w:instrText xml:space="preserve"> PAGE   \* MERGEFORMAT </w:instrText>
    </w:r>
    <w:r w:rsidRPr="000B38DF">
      <w:fldChar w:fldCharType="separate"/>
    </w:r>
    <w:r>
      <w:t>ii</w:t>
    </w:r>
    <w:r w:rsidRPr="000B38DF">
      <w:fldChar w:fldCharType="end"/>
    </w:r>
  </w:p>
  <w:p w14:paraId="1F55DBDA" w14:textId="77777777" w:rsidR="00600516" w:rsidRPr="004C7999" w:rsidRDefault="00600516" w:rsidP="00F556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0B41E" w14:textId="77777777" w:rsidR="00600516" w:rsidRDefault="00600516"/>
  </w:footnote>
  <w:footnote w:type="continuationSeparator" w:id="0">
    <w:p w14:paraId="1A0409AF" w14:textId="77777777" w:rsidR="00600516" w:rsidRDefault="00600516">
      <w:r>
        <w:continuationSeparator/>
      </w:r>
    </w:p>
    <w:p w14:paraId="27F433B3" w14:textId="77777777" w:rsidR="00600516" w:rsidRDefault="00600516"/>
    <w:p w14:paraId="5E702B8C" w14:textId="77777777" w:rsidR="00600516" w:rsidRDefault="00600516"/>
  </w:footnote>
  <w:footnote w:type="continuationNotice" w:id="1">
    <w:p w14:paraId="0A524252" w14:textId="77777777" w:rsidR="00600516" w:rsidRDefault="00600516" w:rsidP="00F556A4">
      <w:pPr>
        <w:pStyle w:val="Footer"/>
      </w:pPr>
    </w:p>
    <w:p w14:paraId="10C6E86F" w14:textId="77777777" w:rsidR="00600516" w:rsidRDefault="00600516"/>
    <w:p w14:paraId="39CF96FB" w14:textId="77777777" w:rsidR="00600516" w:rsidRDefault="006005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19F5A" w14:textId="77777777" w:rsidR="00790CA7" w:rsidRDefault="00790C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91ED6" w14:textId="6232AA84" w:rsidR="00600516" w:rsidRDefault="00BF1E19">
    <w:pPr>
      <w:pStyle w:val="Header"/>
    </w:pPr>
    <w:r>
      <w:t xml:space="preserve">Annual </w:t>
    </w:r>
    <w:r w:rsidR="002A1CBE">
      <w:t xml:space="preserve">Information </w:t>
    </w:r>
    <w:r>
      <w:t xml:space="preserve">Order </w:t>
    </w:r>
    <w:r w:rsidR="00805614">
      <w:t>–</w:t>
    </w:r>
    <w:r>
      <w:t xml:space="preserve"> </w:t>
    </w:r>
    <w:r w:rsidR="00805614">
      <w:t xml:space="preserve">Electricity </w:t>
    </w:r>
    <w:r w:rsidR="00F3361B">
      <w:t>TNSPs</w:t>
    </w:r>
    <w:r w:rsidR="00600516">
      <w:t xml:space="preserve"> – Appendix A – </w:t>
    </w:r>
    <w:r>
      <w:t>Data workbooks</w:t>
    </w:r>
    <w:r w:rsidR="00600516">
      <w:t xml:space="preserve"> instructions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83407" w14:textId="77777777" w:rsidR="00600516" w:rsidRDefault="00600516">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F31"/>
    <w:multiLevelType w:val="hybridMultilevel"/>
    <w:tmpl w:val="571658F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02896C40"/>
    <w:multiLevelType w:val="multilevel"/>
    <w:tmpl w:val="94D8B004"/>
    <w:lvl w:ilvl="0">
      <w:start w:val="1"/>
      <w:numFmt w:val="decimal"/>
      <w:lvlText w:val="%1."/>
      <w:lvlJc w:val="left"/>
      <w:pPr>
        <w:tabs>
          <w:tab w:val="num" w:pos="567"/>
        </w:tabs>
        <w:ind w:left="567" w:hanging="567"/>
      </w:pPr>
      <w:rPr>
        <w:rFonts w:hint="default"/>
        <w:b/>
        <w:i w:val="0"/>
        <w:sz w:val="24"/>
      </w:rPr>
    </w:lvl>
    <w:lvl w:ilvl="1">
      <w:start w:val="1"/>
      <w:numFmt w:val="decimal"/>
      <w:lvlText w:val="%1.%2"/>
      <w:lvlJc w:val="left"/>
      <w:pPr>
        <w:tabs>
          <w:tab w:val="num" w:pos="993"/>
        </w:tabs>
        <w:ind w:left="993" w:hanging="567"/>
      </w:pPr>
      <w:rPr>
        <w:rFonts w:hint="default"/>
        <w:b w:val="0"/>
        <w:i w:val="0"/>
        <w:sz w:val="24"/>
      </w:rPr>
    </w:lvl>
    <w:lvl w:ilvl="2">
      <w:start w:val="1"/>
      <w:numFmt w:val="lowerLetter"/>
      <w:lvlText w:val="(%3)"/>
      <w:lvlJc w:val="left"/>
      <w:pPr>
        <w:tabs>
          <w:tab w:val="num" w:pos="1134"/>
        </w:tabs>
        <w:ind w:left="1134" w:hanging="567"/>
      </w:pPr>
      <w:rPr>
        <w:rFonts w:hint="default"/>
        <w:b w:val="0"/>
        <w:i w:val="0"/>
        <w:caps w:val="0"/>
        <w:color w:val="auto"/>
        <w:sz w:val="24"/>
      </w:rPr>
    </w:lvl>
    <w:lvl w:ilvl="3">
      <w:start w:val="1"/>
      <w:numFmt w:val="lowerRoman"/>
      <w:lvlText w:val="(%4)"/>
      <w:lvlJc w:val="left"/>
      <w:pPr>
        <w:tabs>
          <w:tab w:val="num" w:pos="1701"/>
        </w:tabs>
        <w:ind w:left="1701" w:hanging="567"/>
      </w:pPr>
      <w:rPr>
        <w:rFonts w:hint="default"/>
        <w:b w:val="0"/>
      </w:rPr>
    </w:lvl>
    <w:lvl w:ilvl="4">
      <w:start w:val="1"/>
      <w:numFmt w:val="decimal"/>
      <w:lvlText w:val="(%5)"/>
      <w:lvlJc w:val="left"/>
      <w:pPr>
        <w:tabs>
          <w:tab w:val="num" w:pos="2268"/>
        </w:tabs>
        <w:ind w:left="2268" w:hanging="567"/>
      </w:pPr>
      <w:rPr>
        <w:rFonts w:hint="default"/>
      </w:rPr>
    </w:lvl>
    <w:lvl w:ilvl="5">
      <w:start w:val="1"/>
      <w:numFmt w:val="upperLetter"/>
      <w:lvlText w:val="(%6)"/>
      <w:lvlJc w:val="left"/>
      <w:pPr>
        <w:tabs>
          <w:tab w:val="num" w:pos="2381"/>
        </w:tabs>
        <w:ind w:left="2381" w:hanging="453"/>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1">
    <w:nsid w:val="031C7FA6"/>
    <w:multiLevelType w:val="hybridMultilevel"/>
    <w:tmpl w:val="1A7E9E04"/>
    <w:lvl w:ilvl="0" w:tplc="A356B254">
      <w:start w:val="1"/>
      <w:numFmt w:val="bullet"/>
      <w:pStyle w:val="AERbulletlistsecondstyle"/>
      <w:lvlText w:val=""/>
      <w:lvlJc w:val="left"/>
      <w:pPr>
        <w:ind w:left="1077" w:hanging="360"/>
      </w:pPr>
      <w:rPr>
        <w:rFonts w:ascii="Wingdings" w:hAnsi="Wingdings"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 w15:restartNumberingAfterBreak="0">
    <w:nsid w:val="041F530A"/>
    <w:multiLevelType w:val="multilevel"/>
    <w:tmpl w:val="6E065C9A"/>
    <w:lvl w:ilvl="0">
      <w:start w:val="1"/>
      <w:numFmt w:val="decimal"/>
      <w:pStyle w:val="Heading2"/>
      <w:lvlText w:val="%1"/>
      <w:lvlJc w:val="left"/>
      <w:pPr>
        <w:ind w:left="858" w:hanging="432"/>
      </w:pPr>
      <w:rPr>
        <w:rFonts w:hint="default"/>
      </w:rPr>
    </w:lvl>
    <w:lvl w:ilvl="1">
      <w:start w:val="1"/>
      <w:numFmt w:val="decimal"/>
      <w:pStyle w:val="Heading3"/>
      <w:lvlText w:val="%1.%2"/>
      <w:lvlJc w:val="left"/>
      <w:pPr>
        <w:ind w:left="1002" w:hanging="576"/>
      </w:pPr>
      <w:rPr>
        <w:rFonts w:hint="default"/>
        <w:color w:val="auto"/>
      </w:rPr>
    </w:lvl>
    <w:lvl w:ilvl="2">
      <w:start w:val="1"/>
      <w:numFmt w:val="decimal"/>
      <w:pStyle w:val="Heading4"/>
      <w:lvlText w:val="%1.%2.%3"/>
      <w:lvlJc w:val="left"/>
      <w:pPr>
        <w:ind w:left="720" w:hanging="720"/>
      </w:pPr>
      <w:rPr>
        <w:rFonts w:hint="default"/>
        <w:b w:val="0"/>
        <w:i w:val="0"/>
      </w:rPr>
    </w:lvl>
    <w:lvl w:ilvl="3">
      <w:start w:val="1"/>
      <w:numFmt w:val="lowerLetter"/>
      <w:lvlText w:val="%4)"/>
      <w:lvlJc w:val="left"/>
      <w:pPr>
        <w:ind w:left="360" w:hanging="360"/>
      </w:p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50E1984"/>
    <w:multiLevelType w:val="hybridMultilevel"/>
    <w:tmpl w:val="290C20DA"/>
    <w:lvl w:ilvl="0" w:tplc="66928DE6">
      <w:start w:val="1"/>
      <w:numFmt w:val="decimal"/>
      <w:lvlText w:val="(%1)"/>
      <w:lvlJc w:val="left"/>
      <w:pPr>
        <w:ind w:left="1137" w:hanging="570"/>
      </w:pPr>
      <w:rPr>
        <w:rFonts w:eastAsiaTheme="majorEastAsia" w:cstheme="majorBidi" w:hint="default"/>
        <w:i/>
        <w:color w:val="303F51"/>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5" w15:restartNumberingAfterBreak="1">
    <w:nsid w:val="05216BFB"/>
    <w:multiLevelType w:val="multilevel"/>
    <w:tmpl w:val="CF569FE4"/>
    <w:styleLink w:val="AERnumberedlist2"/>
    <w:lvl w:ilvl="0">
      <w:start w:val="1"/>
      <w:numFmt w:val="none"/>
      <w:lvlText w:val=""/>
      <w:lvlJc w:val="left"/>
      <w:pPr>
        <w:ind w:left="0" w:firstLine="0"/>
      </w:pPr>
      <w:rPr>
        <w:rFonts w:hint="default"/>
      </w:rPr>
    </w:lvl>
    <w:lvl w:ilvl="1">
      <w:start w:val="1"/>
      <w:numFmt w:val="decimal"/>
      <w:pStyle w:val="Numberstyle"/>
      <w:lvlText w:val="(%2)"/>
      <w:lvlJc w:val="left"/>
      <w:pPr>
        <w:tabs>
          <w:tab w:val="num" w:pos="720"/>
        </w:tabs>
        <w:ind w:left="720" w:hanging="363"/>
      </w:pPr>
      <w:rPr>
        <w:rFonts w:hint="default"/>
      </w:rPr>
    </w:lvl>
    <w:lvl w:ilvl="2">
      <w:start w:val="1"/>
      <w:numFmt w:val="lowerRoman"/>
      <w:lvlText w:val="%3."/>
      <w:lvlJc w:val="right"/>
      <w:pPr>
        <w:ind w:left="2517" w:hanging="180"/>
      </w:pPr>
      <w:rPr>
        <w:rFonts w:hint="default"/>
      </w:rPr>
    </w:lvl>
    <w:lvl w:ilvl="3">
      <w:start w:val="1"/>
      <w:numFmt w:val="decimal"/>
      <w:lvlText w:val="%4."/>
      <w:lvlJc w:val="left"/>
      <w:pPr>
        <w:ind w:left="3237" w:hanging="360"/>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6" w15:restartNumberingAfterBreak="1">
    <w:nsid w:val="074D3883"/>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1">
    <w:nsid w:val="084E476C"/>
    <w:multiLevelType w:val="multilevel"/>
    <w:tmpl w:val="4D2E5816"/>
    <w:lvl w:ilvl="0">
      <w:start w:val="1"/>
      <w:numFmt w:val="decimal"/>
      <w:lvlText w:val="%1."/>
      <w:lvlJc w:val="left"/>
      <w:pPr>
        <w:tabs>
          <w:tab w:val="num" w:pos="567"/>
        </w:tabs>
        <w:ind w:left="567" w:hanging="567"/>
      </w:pPr>
      <w:rPr>
        <w:rFonts w:hint="default"/>
        <w:b/>
        <w:i w:val="0"/>
        <w:sz w:val="24"/>
      </w:rPr>
    </w:lvl>
    <w:lvl w:ilvl="1">
      <w:start w:val="1"/>
      <w:numFmt w:val="decimal"/>
      <w:lvlText w:val="9.%2"/>
      <w:lvlJc w:val="left"/>
      <w:pPr>
        <w:tabs>
          <w:tab w:val="num" w:pos="567"/>
        </w:tabs>
        <w:ind w:left="567" w:hanging="567"/>
      </w:pPr>
      <w:rPr>
        <w:rFonts w:hint="default"/>
        <w:b w:val="0"/>
        <w:i w:val="0"/>
        <w:sz w:val="22"/>
      </w:rPr>
    </w:lvl>
    <w:lvl w:ilvl="2">
      <w:start w:val="1"/>
      <w:numFmt w:val="lowerLetter"/>
      <w:lvlText w:val="(%3)"/>
      <w:lvlJc w:val="left"/>
      <w:pPr>
        <w:tabs>
          <w:tab w:val="num" w:pos="1134"/>
        </w:tabs>
        <w:ind w:left="1134" w:hanging="567"/>
      </w:pPr>
      <w:rPr>
        <w:rFonts w:hint="default"/>
        <w:b w:val="0"/>
        <w:color w:val="auto"/>
        <w:sz w:val="22"/>
      </w:rPr>
    </w:lvl>
    <w:lvl w:ilvl="3">
      <w:start w:val="1"/>
      <w:numFmt w:val="lowerRoman"/>
      <w:lvlText w:val="(%4)"/>
      <w:lvlJc w:val="left"/>
      <w:pPr>
        <w:tabs>
          <w:tab w:val="num" w:pos="1701"/>
        </w:tabs>
        <w:ind w:left="1701" w:hanging="567"/>
      </w:pPr>
      <w:rPr>
        <w:rFonts w:hint="default"/>
        <w:b w:val="0"/>
      </w:rPr>
    </w:lvl>
    <w:lvl w:ilvl="4">
      <w:start w:val="1"/>
      <w:numFmt w:val="decimal"/>
      <w:lvlText w:val="(%5)"/>
      <w:lvlJc w:val="left"/>
      <w:pPr>
        <w:tabs>
          <w:tab w:val="num" w:pos="2268"/>
        </w:tabs>
        <w:ind w:left="2268" w:hanging="567"/>
      </w:pPr>
      <w:rPr>
        <w:rFonts w:hint="default"/>
      </w:rPr>
    </w:lvl>
    <w:lvl w:ilvl="5">
      <w:start w:val="1"/>
      <w:numFmt w:val="upperLetter"/>
      <w:lvlText w:val="(%6)"/>
      <w:lvlJc w:val="left"/>
      <w:pPr>
        <w:tabs>
          <w:tab w:val="num" w:pos="2381"/>
        </w:tabs>
        <w:ind w:left="2381" w:hanging="453"/>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85A0739"/>
    <w:multiLevelType w:val="hybridMultilevel"/>
    <w:tmpl w:val="FC222E22"/>
    <w:lvl w:ilvl="0" w:tplc="D3FE3378">
      <w:numFmt w:val="bullet"/>
      <w:lvlText w:val="-"/>
      <w:lvlJc w:val="left"/>
      <w:pPr>
        <w:ind w:left="570" w:hanging="360"/>
      </w:pPr>
      <w:rPr>
        <w:rFonts w:ascii="Arial" w:eastAsiaTheme="minorHAnsi" w:hAnsi="Arial" w:cs="Aria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9" w15:restartNumberingAfterBreak="0">
    <w:nsid w:val="0CF9698D"/>
    <w:multiLevelType w:val="multilevel"/>
    <w:tmpl w:val="6CA697E8"/>
    <w:lvl w:ilvl="0">
      <w:start w:val="1"/>
      <w:numFmt w:val="none"/>
      <w:pStyle w:val="Heading5"/>
      <w:lvlText w:val="2."/>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pStyle w:val="Noparagraph2"/>
      <w:lvlText w:val="%2%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1">
    <w:nsid w:val="0EB73DEC"/>
    <w:multiLevelType w:val="hybridMultilevel"/>
    <w:tmpl w:val="8FC28BF0"/>
    <w:lvl w:ilvl="0" w:tplc="DA64E9BE">
      <w:start w:val="1"/>
      <w:numFmt w:val="decimal"/>
      <w:pStyle w:val="Numberlist31"/>
      <w:lvlText w:val="3.%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1">
    <w:nsid w:val="106D5500"/>
    <w:multiLevelType w:val="multilevel"/>
    <w:tmpl w:val="D7789D62"/>
    <w:lvl w:ilvl="0">
      <w:start w:val="1"/>
      <w:numFmt w:val="decimal"/>
      <w:lvlText w:val="%1."/>
      <w:lvlJc w:val="left"/>
      <w:pPr>
        <w:tabs>
          <w:tab w:val="num" w:pos="567"/>
        </w:tabs>
        <w:ind w:left="567" w:hanging="567"/>
      </w:pPr>
      <w:rPr>
        <w:rFonts w:hint="default"/>
        <w:b/>
        <w:i w:val="0"/>
        <w:sz w:val="22"/>
      </w:rPr>
    </w:lvl>
    <w:lvl w:ilvl="1">
      <w:start w:val="1"/>
      <w:numFmt w:val="decimal"/>
      <w:lvlText w:val="2.%2"/>
      <w:lvlJc w:val="left"/>
      <w:pPr>
        <w:tabs>
          <w:tab w:val="num" w:pos="992"/>
        </w:tabs>
        <w:ind w:left="992" w:hanging="567"/>
      </w:pPr>
      <w:rPr>
        <w:rFonts w:hint="default"/>
        <w:b w:val="0"/>
        <w:i w:val="0"/>
        <w:sz w:val="22"/>
      </w:rPr>
    </w:lvl>
    <w:lvl w:ilvl="2">
      <w:start w:val="1"/>
      <w:numFmt w:val="lowerLetter"/>
      <w:lvlText w:val="(%3)"/>
      <w:lvlJc w:val="left"/>
      <w:pPr>
        <w:tabs>
          <w:tab w:val="num" w:pos="1134"/>
        </w:tabs>
        <w:ind w:left="1134" w:hanging="567"/>
      </w:pPr>
      <w:rPr>
        <w:rFonts w:hint="default"/>
        <w:b w:val="0"/>
        <w:i w:val="0"/>
        <w:caps w:val="0"/>
        <w:color w:val="auto"/>
        <w:sz w:val="22"/>
      </w:rPr>
    </w:lvl>
    <w:lvl w:ilvl="3">
      <w:start w:val="1"/>
      <w:numFmt w:val="lowerRoman"/>
      <w:lvlText w:val="(%4)"/>
      <w:lvlJc w:val="left"/>
      <w:pPr>
        <w:tabs>
          <w:tab w:val="num" w:pos="1701"/>
        </w:tabs>
        <w:ind w:left="1701" w:hanging="567"/>
      </w:pPr>
      <w:rPr>
        <w:rFonts w:hint="default"/>
        <w:b w:val="0"/>
      </w:rPr>
    </w:lvl>
    <w:lvl w:ilvl="4">
      <w:start w:val="1"/>
      <w:numFmt w:val="decimal"/>
      <w:lvlText w:val="(%5)"/>
      <w:lvlJc w:val="left"/>
      <w:pPr>
        <w:tabs>
          <w:tab w:val="num" w:pos="2268"/>
        </w:tabs>
        <w:ind w:left="2268" w:hanging="567"/>
      </w:pPr>
      <w:rPr>
        <w:rFonts w:hint="default"/>
      </w:rPr>
    </w:lvl>
    <w:lvl w:ilvl="5">
      <w:start w:val="1"/>
      <w:numFmt w:val="upperLetter"/>
      <w:lvlText w:val="(%6)"/>
      <w:lvlJc w:val="left"/>
      <w:pPr>
        <w:tabs>
          <w:tab w:val="num" w:pos="2381"/>
        </w:tabs>
        <w:ind w:left="2381" w:hanging="453"/>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2056DAA"/>
    <w:multiLevelType w:val="hybridMultilevel"/>
    <w:tmpl w:val="C5CCCECC"/>
    <w:lvl w:ilvl="0" w:tplc="29C8495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1">
    <w:nsid w:val="15494119"/>
    <w:multiLevelType w:val="hybridMultilevel"/>
    <w:tmpl w:val="2F789486"/>
    <w:lvl w:ilvl="0" w:tplc="8E3E8D3E">
      <w:start w:val="1"/>
      <w:numFmt w:val="bullet"/>
      <w:pStyle w:val="Bullets"/>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6B606F"/>
    <w:multiLevelType w:val="hybridMultilevel"/>
    <w:tmpl w:val="E0560262"/>
    <w:lvl w:ilvl="0" w:tplc="B9FA63BE">
      <w:start w:val="1"/>
      <w:numFmt w:val="bullet"/>
      <w:pStyle w:val="TableBullet1"/>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15" w15:restartNumberingAfterBreak="0">
    <w:nsid w:val="199C1F56"/>
    <w:multiLevelType w:val="hybridMultilevel"/>
    <w:tmpl w:val="171626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D4E7F4A"/>
    <w:multiLevelType w:val="multilevel"/>
    <w:tmpl w:val="326CD704"/>
    <w:lvl w:ilvl="0">
      <w:start w:val="1"/>
      <w:numFmt w:val="decimal"/>
      <w:lvlText w:val="%1"/>
      <w:lvlJc w:val="left"/>
      <w:pPr>
        <w:ind w:left="432" w:hanging="432"/>
      </w:pPr>
      <w:rPr>
        <w:rFonts w:hint="default"/>
      </w:rPr>
    </w:lvl>
    <w:lvl w:ilvl="1">
      <w:start w:val="1"/>
      <w:numFmt w:val="decimal"/>
      <w:lvlText w:val="%1.%2"/>
      <w:lvlJc w:val="left"/>
      <w:pPr>
        <w:ind w:left="1428" w:hanging="576"/>
      </w:pPr>
      <w:rPr>
        <w:rFonts w:hint="default"/>
      </w:rPr>
    </w:lvl>
    <w:lvl w:ilvl="2">
      <w:start w:val="1"/>
      <w:numFmt w:val="lowerRoman"/>
      <w:lvlText w:val="(%3)"/>
      <w:lvlJc w:val="left"/>
      <w:pPr>
        <w:ind w:left="720" w:hanging="720"/>
      </w:pPr>
      <w:rPr>
        <w:rFonts w:hint="default"/>
        <w:b w:val="0"/>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1ED33360"/>
    <w:multiLevelType w:val="multilevel"/>
    <w:tmpl w:val="651EB30A"/>
    <w:lvl w:ilvl="0">
      <w:start w:val="1"/>
      <w:numFmt w:val="decimal"/>
      <w:lvlText w:val="%1"/>
      <w:lvlJc w:val="left"/>
      <w:pPr>
        <w:ind w:left="432" w:hanging="432"/>
      </w:pPr>
      <w:rPr>
        <w:rFonts w:hint="default"/>
      </w:rPr>
    </w:lvl>
    <w:lvl w:ilvl="1">
      <w:start w:val="1"/>
      <w:numFmt w:val="decimal"/>
      <w:lvlText w:val="%1.%2"/>
      <w:lvlJc w:val="left"/>
      <w:pPr>
        <w:ind w:left="1428" w:hanging="576"/>
      </w:pPr>
      <w:rPr>
        <w:rFonts w:hint="default"/>
      </w:rPr>
    </w:lvl>
    <w:lvl w:ilvl="2">
      <w:start w:val="1"/>
      <w:numFmt w:val="lowerLetter"/>
      <w:lvlText w:val="%3)"/>
      <w:lvlJc w:val="left"/>
      <w:pPr>
        <w:ind w:left="1713" w:hanging="720"/>
      </w:pPr>
      <w:rPr>
        <w:rFonts w:hint="default"/>
        <w:b w:val="0"/>
        <w:i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1">
    <w:nsid w:val="2134062A"/>
    <w:multiLevelType w:val="hybridMultilevel"/>
    <w:tmpl w:val="D30E4DA0"/>
    <w:lvl w:ilvl="0" w:tplc="42A2ACC8">
      <w:start w:val="1"/>
      <w:numFmt w:val="lowerLetter"/>
      <w:lvlText w:val="(%1)"/>
      <w:lvlJc w:val="left"/>
      <w:pPr>
        <w:ind w:left="1288" w:hanging="360"/>
      </w:pPr>
      <w:rPr>
        <w:rFonts w:hint="default"/>
        <w:b w:val="0"/>
        <w:bCs w:val="0"/>
        <w:i w:val="0"/>
        <w:iCs/>
      </w:rPr>
    </w:lvl>
    <w:lvl w:ilvl="1" w:tplc="0C090019" w:tentative="1">
      <w:start w:val="1"/>
      <w:numFmt w:val="lowerLetter"/>
      <w:lvlText w:val="%2."/>
      <w:lvlJc w:val="left"/>
      <w:pPr>
        <w:ind w:left="2008" w:hanging="360"/>
      </w:pPr>
    </w:lvl>
    <w:lvl w:ilvl="2" w:tplc="0C09001B" w:tentative="1">
      <w:start w:val="1"/>
      <w:numFmt w:val="lowerRoman"/>
      <w:lvlText w:val="%3."/>
      <w:lvlJc w:val="right"/>
      <w:pPr>
        <w:ind w:left="2728" w:hanging="180"/>
      </w:pPr>
    </w:lvl>
    <w:lvl w:ilvl="3" w:tplc="0C09000F" w:tentative="1">
      <w:start w:val="1"/>
      <w:numFmt w:val="decimal"/>
      <w:lvlText w:val="%4."/>
      <w:lvlJc w:val="left"/>
      <w:pPr>
        <w:ind w:left="3448" w:hanging="360"/>
      </w:pPr>
    </w:lvl>
    <w:lvl w:ilvl="4" w:tplc="0C090019" w:tentative="1">
      <w:start w:val="1"/>
      <w:numFmt w:val="lowerLetter"/>
      <w:lvlText w:val="%5."/>
      <w:lvlJc w:val="left"/>
      <w:pPr>
        <w:ind w:left="4168" w:hanging="360"/>
      </w:pPr>
    </w:lvl>
    <w:lvl w:ilvl="5" w:tplc="0C09001B" w:tentative="1">
      <w:start w:val="1"/>
      <w:numFmt w:val="lowerRoman"/>
      <w:lvlText w:val="%6."/>
      <w:lvlJc w:val="right"/>
      <w:pPr>
        <w:ind w:left="4888" w:hanging="180"/>
      </w:pPr>
    </w:lvl>
    <w:lvl w:ilvl="6" w:tplc="0C09000F" w:tentative="1">
      <w:start w:val="1"/>
      <w:numFmt w:val="decimal"/>
      <w:lvlText w:val="%7."/>
      <w:lvlJc w:val="left"/>
      <w:pPr>
        <w:ind w:left="5608" w:hanging="360"/>
      </w:pPr>
    </w:lvl>
    <w:lvl w:ilvl="7" w:tplc="0C090019" w:tentative="1">
      <w:start w:val="1"/>
      <w:numFmt w:val="lowerLetter"/>
      <w:lvlText w:val="%8."/>
      <w:lvlJc w:val="left"/>
      <w:pPr>
        <w:ind w:left="6328" w:hanging="360"/>
      </w:pPr>
    </w:lvl>
    <w:lvl w:ilvl="8" w:tplc="0C09001B" w:tentative="1">
      <w:start w:val="1"/>
      <w:numFmt w:val="lowerRoman"/>
      <w:lvlText w:val="%9."/>
      <w:lvlJc w:val="right"/>
      <w:pPr>
        <w:ind w:left="7048" w:hanging="180"/>
      </w:pPr>
    </w:lvl>
  </w:abstractNum>
  <w:abstractNum w:abstractNumId="19" w15:restartNumberingAfterBreak="0">
    <w:nsid w:val="21A328D5"/>
    <w:multiLevelType w:val="multilevel"/>
    <w:tmpl w:val="BE78A4F8"/>
    <w:numStyleLink w:val="Numberlist"/>
  </w:abstractNum>
  <w:abstractNum w:abstractNumId="20" w15:restartNumberingAfterBreak="0">
    <w:nsid w:val="21BE2060"/>
    <w:multiLevelType w:val="multilevel"/>
    <w:tmpl w:val="6E7C210E"/>
    <w:lvl w:ilvl="0">
      <w:start w:val="1"/>
      <w:numFmt w:val="decimal"/>
      <w:lvlText w:val="%1"/>
      <w:lvlJc w:val="left"/>
      <w:pPr>
        <w:ind w:left="432" w:hanging="432"/>
      </w:pPr>
      <w:rPr>
        <w:rFonts w:hint="default"/>
      </w:rPr>
    </w:lvl>
    <w:lvl w:ilvl="1">
      <w:start w:val="1"/>
      <w:numFmt w:val="decimal"/>
      <w:lvlText w:val="%1.%2"/>
      <w:lvlJc w:val="left"/>
      <w:pPr>
        <w:ind w:left="1428" w:hanging="576"/>
      </w:pPr>
      <w:rPr>
        <w:rFonts w:hint="default"/>
      </w:rPr>
    </w:lvl>
    <w:lvl w:ilvl="2">
      <w:start w:val="1"/>
      <w:numFmt w:val="bullet"/>
      <w:lvlText w:val=""/>
      <w:lvlJc w:val="left"/>
      <w:pPr>
        <w:ind w:left="720" w:hanging="720"/>
      </w:pPr>
      <w:rPr>
        <w:rFonts w:ascii="Symbol" w:hAnsi="Symbol" w:hint="default"/>
        <w:b w:val="0"/>
        <w:i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23802E39"/>
    <w:multiLevelType w:val="multilevel"/>
    <w:tmpl w:val="D4820B82"/>
    <w:lvl w:ilvl="0">
      <w:start w:val="1"/>
      <w:numFmt w:val="decimal"/>
      <w:lvlText w:val="%1"/>
      <w:lvlJc w:val="left"/>
      <w:pPr>
        <w:ind w:left="432" w:hanging="432"/>
      </w:pPr>
      <w:rPr>
        <w:rFonts w:hint="default"/>
      </w:rPr>
    </w:lvl>
    <w:lvl w:ilvl="1">
      <w:start w:val="1"/>
      <w:numFmt w:val="decimal"/>
      <w:lvlText w:val="%1.%2"/>
      <w:lvlJc w:val="left"/>
      <w:pPr>
        <w:ind w:left="1428" w:hanging="576"/>
      </w:pPr>
      <w:rPr>
        <w:rFonts w:hint="default"/>
      </w:rPr>
    </w:lvl>
    <w:lvl w:ilvl="2">
      <w:start w:val="1"/>
      <w:numFmt w:val="lowerRoman"/>
      <w:lvlText w:val="%3."/>
      <w:lvlJc w:val="right"/>
      <w:pPr>
        <w:ind w:left="1713" w:hanging="720"/>
      </w:pPr>
      <w:rPr>
        <w:rFonts w:hint="default"/>
        <w:b w:val="0"/>
        <w:i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24E06C65"/>
    <w:multiLevelType w:val="hybridMultilevel"/>
    <w:tmpl w:val="61BE0B86"/>
    <w:lvl w:ilvl="0" w:tplc="4FA00988">
      <w:start w:val="1"/>
      <w:numFmt w:val="lowerLetter"/>
      <w:lvlText w:val="(%1)"/>
      <w:lvlJc w:val="left"/>
      <w:pPr>
        <w:ind w:left="1287" w:hanging="360"/>
      </w:pPr>
      <w:rPr>
        <w:rFonts w:ascii="Arial" w:hAnsi="Arial" w:cs="Arial" w:hint="default"/>
      </w:rPr>
    </w:lvl>
    <w:lvl w:ilvl="1" w:tplc="FFFFFFFF" w:tentative="1">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4" w15:restartNumberingAfterBreak="0">
    <w:nsid w:val="29FC6109"/>
    <w:multiLevelType w:val="hybridMultilevel"/>
    <w:tmpl w:val="6F28F56C"/>
    <w:lvl w:ilvl="0" w:tplc="5A723F9A">
      <w:start w:val="1"/>
      <w:numFmt w:val="decimal"/>
      <w:lvlText w:val="(%1)"/>
      <w:lvlJc w:val="left"/>
      <w:pPr>
        <w:ind w:left="1137" w:hanging="570"/>
      </w:pPr>
      <w:rPr>
        <w:rFonts w:eastAsiaTheme="majorEastAsia" w:cstheme="majorBidi" w:hint="default"/>
        <w:i/>
        <w:color w:val="303F51"/>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5" w15:restartNumberingAfterBreak="0">
    <w:nsid w:val="2C173223"/>
    <w:multiLevelType w:val="hybridMultilevel"/>
    <w:tmpl w:val="171626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C8F2FA8"/>
    <w:multiLevelType w:val="hybridMultilevel"/>
    <w:tmpl w:val="1EDAEEB8"/>
    <w:lvl w:ilvl="0" w:tplc="655E44CA">
      <w:start w:val="1"/>
      <w:numFmt w:val="bullet"/>
      <w:pStyle w:val="BoxText2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FB612CC"/>
    <w:multiLevelType w:val="multilevel"/>
    <w:tmpl w:val="950A1C52"/>
    <w:styleLink w:val="AERHeadings"/>
    <w:lvl w:ilvl="0">
      <w:start w:val="1"/>
      <w:numFmt w:val="none"/>
      <w:lvlText w:val="%1"/>
      <w:lvlJc w:val="left"/>
      <w:pPr>
        <w:tabs>
          <w:tab w:val="num" w:pos="0"/>
        </w:tabs>
        <w:ind w:left="0" w:firstLine="0"/>
      </w:pPr>
      <w:rPr>
        <w:rFonts w:hint="default"/>
      </w:rPr>
    </w:lvl>
    <w:lvl w:ilvl="1">
      <w:start w:val="1"/>
      <w:numFmt w:val="decimal"/>
      <w:lvlText w:val="%1%2"/>
      <w:lvlJc w:val="left"/>
      <w:pPr>
        <w:tabs>
          <w:tab w:val="num" w:pos="0"/>
        </w:tabs>
        <w:ind w:left="0" w:hanging="851"/>
      </w:pPr>
      <w:rPr>
        <w:rFonts w:hint="default"/>
      </w:rPr>
    </w:lvl>
    <w:lvl w:ilvl="2">
      <w:start w:val="1"/>
      <w:numFmt w:val="decimal"/>
      <w:lvlText w:val="%1%2.%3"/>
      <w:lvlJc w:val="left"/>
      <w:pPr>
        <w:tabs>
          <w:tab w:val="num" w:pos="0"/>
        </w:tabs>
        <w:ind w:left="0" w:hanging="851"/>
      </w:pPr>
      <w:rPr>
        <w:rFonts w:hint="default"/>
      </w:rPr>
    </w:lvl>
    <w:lvl w:ilvl="3">
      <w:start w:val="1"/>
      <w:numFmt w:val="decimal"/>
      <w:lvlText w:val="%2.%3.%4"/>
      <w:lvlJc w:val="left"/>
      <w:pPr>
        <w:tabs>
          <w:tab w:val="num" w:pos="0"/>
        </w:tabs>
        <w:ind w:left="0" w:hanging="851"/>
      </w:pPr>
      <w:rPr>
        <w:rFonts w:hint="default"/>
      </w:rPr>
    </w:lvl>
    <w:lvl w:ilvl="4">
      <w:start w:val="1"/>
      <w:numFmt w:val="upperLetter"/>
      <w:lvlRestart w:val="1"/>
      <w:lvlText w:val="%5"/>
      <w:lvlJc w:val="left"/>
      <w:pPr>
        <w:tabs>
          <w:tab w:val="num" w:pos="0"/>
        </w:tabs>
        <w:ind w:left="0" w:hanging="851"/>
      </w:pPr>
      <w:rPr>
        <w:rFonts w:hint="default"/>
      </w:rPr>
    </w:lvl>
    <w:lvl w:ilvl="5">
      <w:start w:val="1"/>
      <w:numFmt w:val="decimal"/>
      <w:lvlText w:val="%5.%6"/>
      <w:lvlJc w:val="left"/>
      <w:pPr>
        <w:tabs>
          <w:tab w:val="num" w:pos="0"/>
        </w:tabs>
        <w:ind w:left="0" w:hanging="851"/>
      </w:pPr>
      <w:rPr>
        <w:rFonts w:hint="default"/>
      </w:rPr>
    </w:lvl>
    <w:lvl w:ilvl="6">
      <w:start w:val="1"/>
      <w:numFmt w:val="decimal"/>
      <w:lvlText w:val="%5.%6.%7"/>
      <w:lvlJc w:val="left"/>
      <w:pPr>
        <w:tabs>
          <w:tab w:val="num" w:pos="0"/>
        </w:tabs>
        <w:ind w:left="0" w:hanging="851"/>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30765750"/>
    <w:multiLevelType w:val="hybridMultilevel"/>
    <w:tmpl w:val="171626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1">
    <w:nsid w:val="31AA058E"/>
    <w:multiLevelType w:val="hybridMultilevel"/>
    <w:tmpl w:val="3C70101E"/>
    <w:lvl w:ilvl="0" w:tplc="B336B1FC">
      <w:start w:val="1"/>
      <w:numFmt w:val="bullet"/>
      <w:pStyle w:val="AERbulletlistthirdstyle"/>
      <w:lvlText w:val=""/>
      <w:lvlJc w:val="left"/>
      <w:pPr>
        <w:ind w:left="1077" w:hanging="360"/>
      </w:pPr>
      <w:rPr>
        <w:rFonts w:ascii="Wingdings" w:hAnsi="Wingdings" w:hint="default"/>
      </w:rPr>
    </w:lvl>
    <w:lvl w:ilvl="1" w:tplc="0C090003" w:tentative="1">
      <w:start w:val="1"/>
      <w:numFmt w:val="bullet"/>
      <w:lvlText w:val="o"/>
      <w:lvlJc w:val="left"/>
      <w:pPr>
        <w:ind w:left="1797" w:hanging="360"/>
      </w:pPr>
      <w:rPr>
        <w:rFonts w:ascii="Courier New" w:hAnsi="Courier New" w:cs="Courier New" w:hint="default"/>
      </w:rPr>
    </w:lvl>
    <w:lvl w:ilvl="2" w:tplc="0C090005">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0" w15:restartNumberingAfterBreak="0">
    <w:nsid w:val="32576F1A"/>
    <w:multiLevelType w:val="multilevel"/>
    <w:tmpl w:val="1DFEF16A"/>
    <w:lvl w:ilvl="0">
      <w:start w:val="1"/>
      <w:numFmt w:val="decimal"/>
      <w:lvlText w:val="%1"/>
      <w:lvlJc w:val="left"/>
      <w:pPr>
        <w:ind w:left="432" w:hanging="432"/>
      </w:pPr>
      <w:rPr>
        <w:rFonts w:hint="default"/>
      </w:rPr>
    </w:lvl>
    <w:lvl w:ilvl="1">
      <w:start w:val="1"/>
      <w:numFmt w:val="decimal"/>
      <w:lvlText w:val="%1.%2"/>
      <w:lvlJc w:val="left"/>
      <w:pPr>
        <w:ind w:left="1428" w:hanging="576"/>
      </w:pPr>
      <w:rPr>
        <w:rFonts w:hint="default"/>
      </w:rPr>
    </w:lvl>
    <w:lvl w:ilvl="2">
      <w:start w:val="1"/>
      <w:numFmt w:val="lowerLetter"/>
      <w:lvlText w:val="%3)"/>
      <w:lvlJc w:val="left"/>
      <w:pPr>
        <w:ind w:left="1713" w:hanging="720"/>
      </w:pPr>
      <w:rPr>
        <w:rFonts w:hint="default"/>
        <w:b w:val="0"/>
        <w:i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1">
    <w:nsid w:val="33057592"/>
    <w:multiLevelType w:val="hybridMultilevel"/>
    <w:tmpl w:val="0AD0171C"/>
    <w:lvl w:ilvl="0" w:tplc="03C62BA0">
      <w:start w:val="1"/>
      <w:numFmt w:val="decimal"/>
      <w:pStyle w:val="Numberlist21"/>
      <w:lvlText w:val="2.%1"/>
      <w:lvlJc w:val="left"/>
      <w:pPr>
        <w:ind w:left="502"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1">
    <w:nsid w:val="33645218"/>
    <w:multiLevelType w:val="multilevel"/>
    <w:tmpl w:val="64B4A22C"/>
    <w:lvl w:ilvl="0">
      <w:start w:val="1"/>
      <w:numFmt w:val="none"/>
      <w:lvlText w:val="%1"/>
      <w:lvlJc w:val="left"/>
      <w:pPr>
        <w:tabs>
          <w:tab w:val="num" w:pos="0"/>
        </w:tabs>
        <w:ind w:left="0" w:firstLine="0"/>
      </w:pPr>
      <w:rPr>
        <w:rFonts w:hint="default"/>
      </w:rPr>
    </w:lvl>
    <w:lvl w:ilvl="1">
      <w:start w:val="1"/>
      <w:numFmt w:val="decimal"/>
      <w:lvlText w:val="%2."/>
      <w:lvlJc w:val="left"/>
      <w:pPr>
        <w:tabs>
          <w:tab w:val="num" w:pos="567"/>
        </w:tabs>
        <w:ind w:left="567" w:hanging="567"/>
      </w:pPr>
      <w:rPr>
        <w:rFonts w:hint="default"/>
      </w:rPr>
    </w:lvl>
    <w:lvl w:ilvl="2">
      <w:start w:val="1"/>
      <w:numFmt w:val="decimal"/>
      <w:pStyle w:val="Numberlist81"/>
      <w:lvlText w:val="%2.%3"/>
      <w:lvlJc w:val="left"/>
      <w:pPr>
        <w:tabs>
          <w:tab w:val="num" w:pos="567"/>
        </w:tabs>
        <w:ind w:left="567" w:hanging="567"/>
      </w:pPr>
      <w:rPr>
        <w:rFonts w:hint="default"/>
        <w:i w:val="0"/>
      </w:rPr>
    </w:lvl>
    <w:lvl w:ilvl="3">
      <w:start w:val="1"/>
      <w:numFmt w:val="lowerLetter"/>
      <w:lvlText w:val="(%4)"/>
      <w:lvlJc w:val="left"/>
      <w:pPr>
        <w:tabs>
          <w:tab w:val="num" w:pos="1134"/>
        </w:tabs>
        <w:ind w:left="1134" w:hanging="567"/>
      </w:pPr>
      <w:rPr>
        <w:rFonts w:hint="default"/>
        <w:i w:val="0"/>
      </w:rPr>
    </w:lvl>
    <w:lvl w:ilvl="4">
      <w:start w:val="1"/>
      <w:numFmt w:val="lowerRoman"/>
      <w:lvlText w:val="(%5)"/>
      <w:lvlJc w:val="left"/>
      <w:pPr>
        <w:tabs>
          <w:tab w:val="num" w:pos="1701"/>
        </w:tabs>
        <w:ind w:left="1701" w:hanging="567"/>
      </w:pPr>
      <w:rPr>
        <w:rFonts w:hint="default"/>
      </w:rPr>
    </w:lvl>
    <w:lvl w:ilvl="5">
      <w:start w:val="1"/>
      <w:numFmt w:val="upperLetter"/>
      <w:lvlText w:val="(%6)"/>
      <w:lvlJc w:val="left"/>
      <w:pPr>
        <w:tabs>
          <w:tab w:val="num" w:pos="2268"/>
        </w:tabs>
        <w:ind w:left="2268"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Roman"/>
      <w:lvlText w:val="%7."/>
      <w:lvlJc w:val="righ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1">
    <w:nsid w:val="34AC7051"/>
    <w:multiLevelType w:val="multilevel"/>
    <w:tmpl w:val="265C1DE2"/>
    <w:styleLink w:val="OldAERheadings"/>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5053EEA"/>
    <w:multiLevelType w:val="hybridMultilevel"/>
    <w:tmpl w:val="BAD888E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A297931"/>
    <w:multiLevelType w:val="hybridMultilevel"/>
    <w:tmpl w:val="55F868E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1">
    <w:nsid w:val="3AF336BC"/>
    <w:multiLevelType w:val="hybridMultilevel"/>
    <w:tmpl w:val="955A02CC"/>
    <w:lvl w:ilvl="0" w:tplc="C90C7928">
      <w:start w:val="1"/>
      <w:numFmt w:val="bullet"/>
      <w:pStyle w:val="AERbulletlistfirststyle"/>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DE529A0"/>
    <w:multiLevelType w:val="hybridMultilevel"/>
    <w:tmpl w:val="171626F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3F5E3156"/>
    <w:multiLevelType w:val="hybridMultilevel"/>
    <w:tmpl w:val="FEDCCF8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09E1F80"/>
    <w:multiLevelType w:val="multilevel"/>
    <w:tmpl w:val="CB9E1C64"/>
    <w:lvl w:ilvl="0">
      <w:start w:val="1"/>
      <w:numFmt w:val="decimal"/>
      <w:lvlText w:val="%1."/>
      <w:lvlJc w:val="left"/>
      <w:pPr>
        <w:tabs>
          <w:tab w:val="num" w:pos="567"/>
        </w:tabs>
        <w:ind w:left="567" w:hanging="567"/>
      </w:pPr>
      <w:rPr>
        <w:rFonts w:hint="default"/>
        <w:b/>
        <w:i w:val="0"/>
        <w:sz w:val="24"/>
      </w:rPr>
    </w:lvl>
    <w:lvl w:ilvl="1">
      <w:start w:val="1"/>
      <w:numFmt w:val="decimal"/>
      <w:lvlText w:val="9.%2"/>
      <w:lvlJc w:val="left"/>
      <w:pPr>
        <w:tabs>
          <w:tab w:val="num" w:pos="567"/>
        </w:tabs>
        <w:ind w:left="567" w:hanging="567"/>
      </w:pPr>
      <w:rPr>
        <w:rFonts w:hint="default"/>
        <w:b w:val="0"/>
        <w:i w:val="0"/>
        <w:sz w:val="22"/>
      </w:rPr>
    </w:lvl>
    <w:lvl w:ilvl="2">
      <w:start w:val="1"/>
      <w:numFmt w:val="lowerLetter"/>
      <w:lvlText w:val="(%3)"/>
      <w:lvlJc w:val="left"/>
      <w:pPr>
        <w:tabs>
          <w:tab w:val="num" w:pos="1134"/>
        </w:tabs>
        <w:ind w:left="1134" w:hanging="567"/>
      </w:pPr>
      <w:rPr>
        <w:rFonts w:hint="default"/>
        <w:b w:val="0"/>
        <w:color w:val="auto"/>
        <w:sz w:val="22"/>
      </w:rPr>
    </w:lvl>
    <w:lvl w:ilvl="3">
      <w:start w:val="1"/>
      <w:numFmt w:val="lowerRoman"/>
      <w:lvlText w:val="(%4)"/>
      <w:lvlJc w:val="left"/>
      <w:pPr>
        <w:tabs>
          <w:tab w:val="num" w:pos="1701"/>
        </w:tabs>
        <w:ind w:left="1701" w:hanging="567"/>
      </w:pPr>
      <w:rPr>
        <w:rFonts w:hint="default"/>
        <w:b w:val="0"/>
      </w:rPr>
    </w:lvl>
    <w:lvl w:ilvl="4">
      <w:start w:val="1"/>
      <w:numFmt w:val="decimal"/>
      <w:lvlText w:val="(%5)"/>
      <w:lvlJc w:val="left"/>
      <w:pPr>
        <w:tabs>
          <w:tab w:val="num" w:pos="2268"/>
        </w:tabs>
        <w:ind w:left="2268" w:hanging="567"/>
      </w:pPr>
      <w:rPr>
        <w:rFonts w:hint="default"/>
      </w:rPr>
    </w:lvl>
    <w:lvl w:ilvl="5">
      <w:start w:val="1"/>
      <w:numFmt w:val="upperLetter"/>
      <w:lvlText w:val="(%6)"/>
      <w:lvlJc w:val="left"/>
      <w:pPr>
        <w:tabs>
          <w:tab w:val="num" w:pos="2381"/>
        </w:tabs>
        <w:ind w:left="2381" w:hanging="453"/>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1">
    <w:nsid w:val="423D4DBF"/>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48DE2E4A"/>
    <w:multiLevelType w:val="hybridMultilevel"/>
    <w:tmpl w:val="93B0463A"/>
    <w:lvl w:ilvl="0" w:tplc="6FE66B18">
      <w:start w:val="1"/>
      <w:numFmt w:val="bullet"/>
      <w:pStyle w:val="BoxText1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42"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B6A6E9B"/>
    <w:multiLevelType w:val="multilevel"/>
    <w:tmpl w:val="24C649AA"/>
    <w:lvl w:ilvl="0">
      <w:start w:val="1"/>
      <w:numFmt w:val="decimal"/>
      <w:lvlText w:val="%1"/>
      <w:lvlJc w:val="left"/>
      <w:pPr>
        <w:ind w:left="432" w:hanging="432"/>
      </w:pPr>
      <w:rPr>
        <w:rFonts w:hint="default"/>
      </w:rPr>
    </w:lvl>
    <w:lvl w:ilvl="1">
      <w:start w:val="1"/>
      <w:numFmt w:val="decimal"/>
      <w:lvlText w:val="%1.%2"/>
      <w:lvlJc w:val="left"/>
      <w:pPr>
        <w:ind w:left="1428" w:hanging="576"/>
      </w:pPr>
      <w:rPr>
        <w:rFonts w:hint="default"/>
      </w:rPr>
    </w:lvl>
    <w:lvl w:ilvl="2">
      <w:start w:val="1"/>
      <w:numFmt w:val="upperLetter"/>
      <w:lvlText w:val="%3."/>
      <w:lvlJc w:val="left"/>
      <w:pPr>
        <w:ind w:left="720" w:hanging="720"/>
      </w:pPr>
      <w:rPr>
        <w:rFonts w:hint="default"/>
        <w:b w:val="0"/>
        <w:i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1">
    <w:nsid w:val="4BA836EA"/>
    <w:multiLevelType w:val="multilevel"/>
    <w:tmpl w:val="4760AB02"/>
    <w:lvl w:ilvl="0">
      <w:start w:val="1"/>
      <w:numFmt w:val="decimal"/>
      <w:lvlText w:val="%1."/>
      <w:lvlJc w:val="left"/>
      <w:pPr>
        <w:tabs>
          <w:tab w:val="num" w:pos="567"/>
        </w:tabs>
        <w:ind w:left="567" w:hanging="567"/>
      </w:pPr>
      <w:rPr>
        <w:rFonts w:hint="default"/>
        <w:b/>
        <w:i w:val="0"/>
        <w:sz w:val="22"/>
      </w:rPr>
    </w:lvl>
    <w:lvl w:ilvl="1">
      <w:start w:val="1"/>
      <w:numFmt w:val="decimal"/>
      <w:lvlText w:val="%1.%2"/>
      <w:lvlJc w:val="left"/>
      <w:pPr>
        <w:tabs>
          <w:tab w:val="num" w:pos="992"/>
        </w:tabs>
        <w:ind w:left="992" w:hanging="567"/>
      </w:pPr>
      <w:rPr>
        <w:rFonts w:hint="default"/>
        <w:b w:val="0"/>
        <w:i w:val="0"/>
        <w:sz w:val="22"/>
      </w:rPr>
    </w:lvl>
    <w:lvl w:ilvl="2">
      <w:start w:val="1"/>
      <w:numFmt w:val="lowerLetter"/>
      <w:lvlText w:val="(%3)"/>
      <w:lvlJc w:val="left"/>
      <w:pPr>
        <w:tabs>
          <w:tab w:val="num" w:pos="1134"/>
        </w:tabs>
        <w:ind w:left="1134" w:hanging="567"/>
      </w:pPr>
      <w:rPr>
        <w:rFonts w:hint="default"/>
        <w:b w:val="0"/>
        <w:i w:val="0"/>
        <w:caps w:val="0"/>
        <w:color w:val="auto"/>
        <w:sz w:val="22"/>
      </w:rPr>
    </w:lvl>
    <w:lvl w:ilvl="3">
      <w:start w:val="1"/>
      <w:numFmt w:val="lowerRoman"/>
      <w:lvlText w:val="(%4)"/>
      <w:lvlJc w:val="left"/>
      <w:pPr>
        <w:tabs>
          <w:tab w:val="num" w:pos="1701"/>
        </w:tabs>
        <w:ind w:left="1701" w:hanging="567"/>
      </w:pPr>
      <w:rPr>
        <w:rFonts w:hint="default"/>
        <w:b w:val="0"/>
      </w:rPr>
    </w:lvl>
    <w:lvl w:ilvl="4">
      <w:start w:val="1"/>
      <w:numFmt w:val="decimal"/>
      <w:lvlText w:val="(%5)"/>
      <w:lvlJc w:val="left"/>
      <w:pPr>
        <w:tabs>
          <w:tab w:val="num" w:pos="2268"/>
        </w:tabs>
        <w:ind w:left="2268" w:hanging="567"/>
      </w:pPr>
      <w:rPr>
        <w:rFonts w:hint="default"/>
      </w:rPr>
    </w:lvl>
    <w:lvl w:ilvl="5">
      <w:start w:val="1"/>
      <w:numFmt w:val="upperLetter"/>
      <w:lvlText w:val="(%6)"/>
      <w:lvlJc w:val="left"/>
      <w:pPr>
        <w:tabs>
          <w:tab w:val="num" w:pos="2381"/>
        </w:tabs>
        <w:ind w:left="2381" w:hanging="453"/>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1">
    <w:nsid w:val="4EC051F4"/>
    <w:multiLevelType w:val="hybridMultilevel"/>
    <w:tmpl w:val="EDB84046"/>
    <w:lvl w:ilvl="0" w:tplc="4FA00988">
      <w:start w:val="1"/>
      <w:numFmt w:val="lowerLetter"/>
      <w:lvlText w:val="(%1)"/>
      <w:lvlJc w:val="left"/>
      <w:pPr>
        <w:ind w:left="927" w:hanging="360"/>
      </w:pPr>
      <w:rPr>
        <w:rFonts w:ascii="Arial" w:hAnsi="Arial" w:cs="Arial"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6" w15:restartNumberingAfterBreak="1">
    <w:nsid w:val="51487971"/>
    <w:multiLevelType w:val="multilevel"/>
    <w:tmpl w:val="B478DFE6"/>
    <w:styleLink w:val="AERnumbered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decimal"/>
      <w:lvlRestart w:val="1"/>
      <w:lvlText w:val="(%5)"/>
      <w:lvlJc w:val="left"/>
      <w:pPr>
        <w:tabs>
          <w:tab w:val="num" w:pos="357"/>
        </w:tabs>
        <w:ind w:left="357" w:hanging="357"/>
      </w:pPr>
      <w:rPr>
        <w:rFonts w:hint="default"/>
      </w:rPr>
    </w:lvl>
    <w:lvl w:ilvl="5">
      <w:start w:val="1"/>
      <w:numFmt w:val="lowerLetter"/>
      <w:lvlRestart w:val="2"/>
      <w:lvlText w:val="(%6)"/>
      <w:lvlJc w:val="left"/>
      <w:pPr>
        <w:tabs>
          <w:tab w:val="num" w:pos="720"/>
        </w:tabs>
        <w:ind w:left="720" w:hanging="363"/>
      </w:pPr>
      <w:rPr>
        <w:rFonts w:hint="default"/>
      </w:rPr>
    </w:lvl>
    <w:lvl w:ilvl="6">
      <w:start w:val="1"/>
      <w:numFmt w:val="lowerRoman"/>
      <w:lvlRestart w:val="3"/>
      <w:lvlText w:val="(%7)"/>
      <w:lvlJc w:val="left"/>
      <w:pPr>
        <w:tabs>
          <w:tab w:val="num" w:pos="1077"/>
        </w:tabs>
        <w:ind w:left="1077" w:hanging="357"/>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1">
    <w:nsid w:val="52763DB7"/>
    <w:multiLevelType w:val="hybridMultilevel"/>
    <w:tmpl w:val="D5FCD450"/>
    <w:lvl w:ilvl="0" w:tplc="98F8D0CC">
      <w:start w:val="1"/>
      <w:numFmt w:val="decimal"/>
      <w:pStyle w:val="Numberlist41"/>
      <w:lvlText w:val="4.%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5770342E"/>
    <w:multiLevelType w:val="multilevel"/>
    <w:tmpl w:val="887C8464"/>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49" w15:restartNumberingAfterBreak="0">
    <w:nsid w:val="5AA12966"/>
    <w:multiLevelType w:val="multilevel"/>
    <w:tmpl w:val="C50E1CA2"/>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50"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51" w15:restartNumberingAfterBreak="0">
    <w:nsid w:val="61124A8F"/>
    <w:multiLevelType w:val="hybridMultilevel"/>
    <w:tmpl w:val="65447B5C"/>
    <w:lvl w:ilvl="0" w:tplc="F77037F0">
      <w:start w:val="1"/>
      <w:numFmt w:val="lowerLetter"/>
      <w:pStyle w:val="Listalphabet"/>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2" w15:restartNumberingAfterBreak="0">
    <w:nsid w:val="629E0BA3"/>
    <w:multiLevelType w:val="multilevel"/>
    <w:tmpl w:val="56AC6BB2"/>
    <w:lvl w:ilvl="0">
      <w:start w:val="1"/>
      <w:numFmt w:val="decimal"/>
      <w:lvlText w:val="%1"/>
      <w:lvlJc w:val="left"/>
      <w:pPr>
        <w:ind w:left="432" w:hanging="432"/>
      </w:pPr>
      <w:rPr>
        <w:rFonts w:hint="default"/>
      </w:rPr>
    </w:lvl>
    <w:lvl w:ilvl="1">
      <w:start w:val="1"/>
      <w:numFmt w:val="decimal"/>
      <w:lvlText w:val="%1.%2"/>
      <w:lvlJc w:val="left"/>
      <w:pPr>
        <w:ind w:left="1428" w:hanging="576"/>
      </w:pPr>
      <w:rPr>
        <w:rFonts w:hint="default"/>
      </w:rPr>
    </w:lvl>
    <w:lvl w:ilvl="2">
      <w:start w:val="1"/>
      <w:numFmt w:val="lowerLetter"/>
      <w:lvlText w:val="%3)"/>
      <w:lvlJc w:val="left"/>
      <w:pPr>
        <w:ind w:left="1713" w:hanging="720"/>
      </w:pPr>
      <w:rPr>
        <w:rFonts w:hint="default"/>
        <w:b w:val="0"/>
        <w:i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3" w15:restartNumberingAfterBreak="1">
    <w:nsid w:val="63D833E9"/>
    <w:multiLevelType w:val="multilevel"/>
    <w:tmpl w:val="BF768C40"/>
    <w:lvl w:ilvl="0">
      <w:start w:val="1"/>
      <w:numFmt w:val="decimal"/>
      <w:pStyle w:val="AppendixHeading"/>
      <w:lvlText w:val="APPENDIX %1"/>
      <w:lvlJc w:val="left"/>
      <w:pPr>
        <w:tabs>
          <w:tab w:val="num" w:pos="1440"/>
        </w:tabs>
        <w:ind w:left="144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4" w15:restartNumberingAfterBreak="0">
    <w:nsid w:val="65A410FE"/>
    <w:multiLevelType w:val="hybridMultilevel"/>
    <w:tmpl w:val="FCD2BC8A"/>
    <w:lvl w:ilvl="0" w:tplc="9F3AF4AC">
      <w:start w:val="1"/>
      <w:numFmt w:val="lowerLetter"/>
      <w:lvlText w:val="(%1)"/>
      <w:lvlJc w:val="left"/>
      <w:pPr>
        <w:ind w:left="1137" w:hanging="57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55" w15:restartNumberingAfterBreak="0">
    <w:nsid w:val="65AB12D8"/>
    <w:multiLevelType w:val="multilevel"/>
    <w:tmpl w:val="4830B93E"/>
    <w:lvl w:ilvl="0">
      <w:start w:val="1"/>
      <w:numFmt w:val="decimal"/>
      <w:lvlText w:val="%1"/>
      <w:lvlJc w:val="left"/>
      <w:pPr>
        <w:ind w:left="432" w:hanging="432"/>
      </w:pPr>
      <w:rPr>
        <w:rFonts w:hint="default"/>
      </w:rPr>
    </w:lvl>
    <w:lvl w:ilvl="1">
      <w:start w:val="1"/>
      <w:numFmt w:val="decimal"/>
      <w:lvlText w:val="%1.%2"/>
      <w:lvlJc w:val="left"/>
      <w:pPr>
        <w:ind w:left="1428" w:hanging="576"/>
      </w:pPr>
      <w:rPr>
        <w:rFonts w:hint="default"/>
      </w:rPr>
    </w:lvl>
    <w:lvl w:ilvl="2">
      <w:start w:val="1"/>
      <w:numFmt w:val="lowerLetter"/>
      <w:lvlText w:val="%3)"/>
      <w:lvlJc w:val="left"/>
      <w:pPr>
        <w:ind w:left="720" w:hanging="720"/>
      </w:pPr>
      <w:rPr>
        <w:rFonts w:hint="default"/>
        <w:b w:val="0"/>
        <w:i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6" w15:restartNumberingAfterBreak="0">
    <w:nsid w:val="69163C02"/>
    <w:multiLevelType w:val="multilevel"/>
    <w:tmpl w:val="2402C106"/>
    <w:lvl w:ilvl="0">
      <w:start w:val="1"/>
      <w:numFmt w:val="decimal"/>
      <w:lvlText w:val="%1"/>
      <w:lvlJc w:val="left"/>
      <w:pPr>
        <w:ind w:left="432" w:hanging="432"/>
      </w:pPr>
      <w:rPr>
        <w:rFonts w:hint="default"/>
      </w:rPr>
    </w:lvl>
    <w:lvl w:ilvl="1">
      <w:start w:val="1"/>
      <w:numFmt w:val="decimal"/>
      <w:lvlText w:val="%1.%2"/>
      <w:lvlJc w:val="left"/>
      <w:pPr>
        <w:ind w:left="1428" w:hanging="576"/>
      </w:pPr>
      <w:rPr>
        <w:rFonts w:hint="default"/>
      </w:rPr>
    </w:lvl>
    <w:lvl w:ilvl="2">
      <w:start w:val="1"/>
      <w:numFmt w:val="lowerLetter"/>
      <w:lvlText w:val="%3)"/>
      <w:lvlJc w:val="left"/>
      <w:pPr>
        <w:ind w:left="1713" w:hanging="720"/>
      </w:pPr>
      <w:rPr>
        <w:rFonts w:hint="default"/>
        <w:b w:val="0"/>
        <w:i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7" w15:restartNumberingAfterBreak="0">
    <w:nsid w:val="6C74651A"/>
    <w:multiLevelType w:val="hybridMultilevel"/>
    <w:tmpl w:val="CCAC57A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1">
    <w:nsid w:val="70554AD2"/>
    <w:multiLevelType w:val="hybridMultilevel"/>
    <w:tmpl w:val="D30E4DA0"/>
    <w:lvl w:ilvl="0" w:tplc="FFFFFFFF">
      <w:start w:val="1"/>
      <w:numFmt w:val="lowerLetter"/>
      <w:lvlText w:val="(%1)"/>
      <w:lvlJc w:val="left"/>
      <w:pPr>
        <w:ind w:left="1288" w:hanging="360"/>
      </w:pPr>
      <w:rPr>
        <w:rFonts w:hint="default"/>
        <w:b w:val="0"/>
        <w:bCs w:val="0"/>
        <w:i w:val="0"/>
        <w:iCs/>
      </w:rPr>
    </w:lvl>
    <w:lvl w:ilvl="1" w:tplc="FFFFFFFF" w:tentative="1">
      <w:start w:val="1"/>
      <w:numFmt w:val="lowerLetter"/>
      <w:lvlText w:val="%2."/>
      <w:lvlJc w:val="left"/>
      <w:pPr>
        <w:ind w:left="2008" w:hanging="360"/>
      </w:pPr>
    </w:lvl>
    <w:lvl w:ilvl="2" w:tplc="FFFFFFFF" w:tentative="1">
      <w:start w:val="1"/>
      <w:numFmt w:val="lowerRoman"/>
      <w:lvlText w:val="%3."/>
      <w:lvlJc w:val="right"/>
      <w:pPr>
        <w:ind w:left="2728" w:hanging="180"/>
      </w:pPr>
    </w:lvl>
    <w:lvl w:ilvl="3" w:tplc="FFFFFFFF" w:tentative="1">
      <w:start w:val="1"/>
      <w:numFmt w:val="decimal"/>
      <w:lvlText w:val="%4."/>
      <w:lvlJc w:val="left"/>
      <w:pPr>
        <w:ind w:left="3448" w:hanging="360"/>
      </w:pPr>
    </w:lvl>
    <w:lvl w:ilvl="4" w:tplc="FFFFFFFF" w:tentative="1">
      <w:start w:val="1"/>
      <w:numFmt w:val="lowerLetter"/>
      <w:lvlText w:val="%5."/>
      <w:lvlJc w:val="left"/>
      <w:pPr>
        <w:ind w:left="4168" w:hanging="360"/>
      </w:pPr>
    </w:lvl>
    <w:lvl w:ilvl="5" w:tplc="FFFFFFFF" w:tentative="1">
      <w:start w:val="1"/>
      <w:numFmt w:val="lowerRoman"/>
      <w:lvlText w:val="%6."/>
      <w:lvlJc w:val="right"/>
      <w:pPr>
        <w:ind w:left="4888" w:hanging="180"/>
      </w:pPr>
    </w:lvl>
    <w:lvl w:ilvl="6" w:tplc="FFFFFFFF" w:tentative="1">
      <w:start w:val="1"/>
      <w:numFmt w:val="decimal"/>
      <w:lvlText w:val="%7."/>
      <w:lvlJc w:val="left"/>
      <w:pPr>
        <w:ind w:left="5608" w:hanging="360"/>
      </w:pPr>
    </w:lvl>
    <w:lvl w:ilvl="7" w:tplc="FFFFFFFF" w:tentative="1">
      <w:start w:val="1"/>
      <w:numFmt w:val="lowerLetter"/>
      <w:lvlText w:val="%8."/>
      <w:lvlJc w:val="left"/>
      <w:pPr>
        <w:ind w:left="6328" w:hanging="360"/>
      </w:pPr>
    </w:lvl>
    <w:lvl w:ilvl="8" w:tplc="FFFFFFFF" w:tentative="1">
      <w:start w:val="1"/>
      <w:numFmt w:val="lowerRoman"/>
      <w:lvlText w:val="%9."/>
      <w:lvlJc w:val="right"/>
      <w:pPr>
        <w:ind w:left="7048" w:hanging="180"/>
      </w:pPr>
    </w:lvl>
  </w:abstractNum>
  <w:abstractNum w:abstractNumId="59" w15:restartNumberingAfterBreak="0">
    <w:nsid w:val="773C0AC9"/>
    <w:multiLevelType w:val="hybridMultilevel"/>
    <w:tmpl w:val="E0EC4DC4"/>
    <w:lvl w:ilvl="0" w:tplc="DF10F18A">
      <w:start w:val="1"/>
      <w:numFmt w:val="decimal"/>
      <w:lvlText w:val="%1."/>
      <w:lvlJc w:val="left"/>
      <w:pPr>
        <w:ind w:left="720" w:hanging="360"/>
      </w:pPr>
      <w:rPr>
        <w:rFonts w:ascii="Arial" w:eastAsia="Arial" w:hAnsi="Arial" w:cs="Arial" w:hint="default"/>
        <w:b w:val="0"/>
        <w:bCs w:val="0"/>
        <w:i w:val="0"/>
        <w:iCs w:val="0"/>
        <w:spacing w:val="-1"/>
        <w:w w:val="99"/>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1">
    <w:nsid w:val="79DA7806"/>
    <w:multiLevelType w:val="multilevel"/>
    <w:tmpl w:val="555C1EF0"/>
    <w:lvl w:ilvl="0">
      <w:start w:val="1"/>
      <w:numFmt w:val="none"/>
      <w:pStyle w:val="AERbodytext"/>
      <w:lvlText w:val="%1"/>
      <w:lvlJc w:val="left"/>
      <w:pPr>
        <w:tabs>
          <w:tab w:val="num" w:pos="0"/>
        </w:tabs>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decimal"/>
      <w:lvlRestart w:val="1"/>
      <w:lvlText w:val="(%5)"/>
      <w:lvlJc w:val="left"/>
      <w:pPr>
        <w:tabs>
          <w:tab w:val="num" w:pos="357"/>
        </w:tabs>
        <w:ind w:left="357" w:hanging="357"/>
      </w:pPr>
      <w:rPr>
        <w:rFonts w:hint="default"/>
      </w:rPr>
    </w:lvl>
    <w:lvl w:ilvl="5">
      <w:start w:val="1"/>
      <w:numFmt w:val="lowerLetter"/>
      <w:lvlText w:val="(%6)"/>
      <w:lvlJc w:val="left"/>
      <w:pPr>
        <w:tabs>
          <w:tab w:val="num" w:pos="720"/>
        </w:tabs>
        <w:ind w:left="720" w:hanging="363"/>
      </w:pPr>
      <w:rPr>
        <w:rFonts w:hint="default"/>
      </w:rPr>
    </w:lvl>
    <w:lvl w:ilvl="6">
      <w:start w:val="1"/>
      <w:numFmt w:val="lowerRoman"/>
      <w:lvlText w:val="(%7)"/>
      <w:lvlJc w:val="left"/>
      <w:pPr>
        <w:tabs>
          <w:tab w:val="num" w:pos="1077"/>
        </w:tabs>
        <w:ind w:left="1077" w:hanging="357"/>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7AEA3AE1"/>
    <w:multiLevelType w:val="hybridMultilevel"/>
    <w:tmpl w:val="52969776"/>
    <w:lvl w:ilvl="0" w:tplc="1B665800">
      <w:start w:val="1"/>
      <w:numFmt w:val="bullet"/>
      <w:pStyle w:val="AERquotebullet1"/>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1">
    <w:nsid w:val="7CCF6CAD"/>
    <w:multiLevelType w:val="multilevel"/>
    <w:tmpl w:val="FEB62056"/>
    <w:lvl w:ilvl="0">
      <w:start w:val="39"/>
      <w:numFmt w:val="none"/>
      <w:lvlText w:val="%1"/>
      <w:lvlJc w:val="left"/>
      <w:pPr>
        <w:tabs>
          <w:tab w:val="num" w:pos="0"/>
        </w:tabs>
        <w:ind w:left="0" w:firstLine="0"/>
      </w:pPr>
      <w:rPr>
        <w:rFonts w:hint="default"/>
      </w:rPr>
    </w:lvl>
    <w:lvl w:ilvl="1">
      <w:start w:val="1"/>
      <w:numFmt w:val="decimal"/>
      <w:pStyle w:val="Style1"/>
      <w:lvlText w:val="%2."/>
      <w:lvlJc w:val="left"/>
      <w:pPr>
        <w:tabs>
          <w:tab w:val="num" w:pos="1560"/>
        </w:tabs>
        <w:ind w:left="1560" w:hanging="567"/>
      </w:pPr>
      <w:rPr>
        <w:rFonts w:hint="default"/>
      </w:rPr>
    </w:lvl>
    <w:lvl w:ilvl="2">
      <w:start w:val="14"/>
      <w:numFmt w:val="decimal"/>
      <w:lvlText w:val="1.%3"/>
      <w:lvlJc w:val="left"/>
      <w:pPr>
        <w:tabs>
          <w:tab w:val="num" w:pos="851"/>
        </w:tabs>
        <w:ind w:left="851"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5"/>
        </w:tabs>
        <w:ind w:left="1135" w:hanging="567"/>
      </w:pPr>
      <w:rPr>
        <w:rFonts w:hint="default"/>
        <w:i w:val="0"/>
      </w:rPr>
    </w:lvl>
    <w:lvl w:ilvl="4">
      <w:start w:val="1"/>
      <w:numFmt w:val="lowerLetter"/>
      <w:lvlText w:val="(%5)"/>
      <w:lvlJc w:val="left"/>
      <w:pPr>
        <w:tabs>
          <w:tab w:val="num" w:pos="1701"/>
        </w:tabs>
        <w:ind w:left="1701" w:hanging="567"/>
      </w:pPr>
      <w:rPr>
        <w:rFonts w:hint="default"/>
      </w:rPr>
    </w:lvl>
    <w:lvl w:ilvl="5">
      <w:start w:val="1"/>
      <w:numFmt w:val="upperLetter"/>
      <w:lvlText w:val="(%6)"/>
      <w:lvlJc w:val="left"/>
      <w:pPr>
        <w:tabs>
          <w:tab w:val="num" w:pos="2268"/>
        </w:tabs>
        <w:ind w:left="226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6">
      <w:start w:val="1"/>
      <w:numFmt w:val="none"/>
      <w:lvlRestart w:val="0"/>
      <w:lvlText w:val="%7"/>
      <w:lvlJc w:val="left"/>
      <w:pPr>
        <w:ind w:left="0" w:firstLine="0"/>
      </w:pPr>
      <w:rPr>
        <w:rFonts w:hint="default"/>
      </w:rPr>
    </w:lvl>
    <w:lvl w:ilvl="7">
      <w:start w:val="1"/>
      <w:numFmt w:val="decimal"/>
      <w:lvlText w:val="(%8)"/>
      <w:lvlJc w:val="left"/>
      <w:pPr>
        <w:tabs>
          <w:tab w:val="num" w:pos="567"/>
        </w:tabs>
        <w:ind w:left="567" w:hanging="567"/>
      </w:pPr>
      <w:rPr>
        <w:rFonts w:hint="default"/>
      </w:rPr>
    </w:lvl>
    <w:lvl w:ilvl="8">
      <w:start w:val="1"/>
      <w:numFmt w:val="lowerRoman"/>
      <w:lvlText w:val="%9."/>
      <w:lvlJc w:val="right"/>
      <w:pPr>
        <w:ind w:left="6480" w:hanging="180"/>
      </w:pPr>
      <w:rPr>
        <w:rFonts w:hint="default"/>
      </w:rPr>
    </w:lvl>
  </w:abstractNum>
  <w:num w:numId="1" w16cid:durableId="1706177094">
    <w:abstractNumId w:val="41"/>
  </w:num>
  <w:num w:numId="2" w16cid:durableId="1458909384">
    <w:abstractNumId w:val="14"/>
  </w:num>
  <w:num w:numId="3" w16cid:durableId="1188250316">
    <w:abstractNumId w:val="49"/>
    <w:lvlOverride w:ilvl="0">
      <w:lvl w:ilvl="0">
        <w:start w:val="1"/>
        <w:numFmt w:val="bullet"/>
        <w:pStyle w:val="ListBullet"/>
        <w:lvlText w:val=""/>
        <w:lvlJc w:val="left"/>
        <w:pPr>
          <w:ind w:left="425" w:hanging="425"/>
        </w:pPr>
        <w:rPr>
          <w:rFonts w:ascii="Symbol" w:hAnsi="Symbol" w:hint="default"/>
          <w:color w:val="auto"/>
        </w:rPr>
      </w:lvl>
    </w:lvlOverride>
    <w:lvlOverride w:ilvl="1">
      <w:lvl w:ilvl="1">
        <w:start w:val="1"/>
        <w:numFmt w:val="bullet"/>
        <w:pStyle w:val="ListBullet2"/>
        <w:lvlText w:val=""/>
        <w:lvlJc w:val="left"/>
        <w:pPr>
          <w:ind w:left="851" w:hanging="426"/>
        </w:pPr>
        <w:rPr>
          <w:rFonts w:ascii="Symbol" w:hAnsi="Symbol" w:hint="default"/>
          <w:color w:val="auto"/>
        </w:rPr>
      </w:lvl>
    </w:lvlOverride>
  </w:num>
  <w:num w:numId="4" w16cid:durableId="1015422513">
    <w:abstractNumId w:val="50"/>
  </w:num>
  <w:num w:numId="5" w16cid:durableId="1943954381">
    <w:abstractNumId w:val="21"/>
  </w:num>
  <w:num w:numId="6" w16cid:durableId="1890025402">
    <w:abstractNumId w:val="48"/>
  </w:num>
  <w:num w:numId="7" w16cid:durableId="1454788560">
    <w:abstractNumId w:val="19"/>
    <w:lvlOverride w:ilvl="0">
      <w:lvl w:ilvl="0">
        <w:start w:val="1"/>
        <w:numFmt w:val="decimal"/>
        <w:pStyle w:val="ListNumber"/>
        <w:lvlText w:val="%1."/>
        <w:lvlJc w:val="left"/>
        <w:pPr>
          <w:ind w:left="425" w:hanging="425"/>
        </w:pPr>
        <w:rPr>
          <w:rFonts w:hint="default"/>
          <w:color w:val="F4611F"/>
        </w:rPr>
      </w:lvl>
    </w:lvlOverride>
    <w:lvlOverride w:ilvl="1">
      <w:lvl w:ilvl="1">
        <w:start w:val="1"/>
        <w:numFmt w:val="lowerLetter"/>
        <w:pStyle w:val="ListNumber2"/>
        <w:lvlText w:val="%2)"/>
        <w:lvlJc w:val="left"/>
        <w:pPr>
          <w:ind w:left="851" w:hanging="426"/>
        </w:pPr>
        <w:rPr>
          <w:rFonts w:hint="default"/>
        </w:rPr>
      </w:lvl>
    </w:lvlOverride>
    <w:lvlOverride w:ilvl="2">
      <w:lvl w:ilvl="2">
        <w:start w:val="1"/>
        <w:numFmt w:val="lowerRoman"/>
        <w:pStyle w:val="ListNumber3"/>
        <w:lvlText w:val="%3)"/>
        <w:lvlJc w:val="left"/>
        <w:pPr>
          <w:ind w:left="1191" w:hanging="340"/>
        </w:pPr>
        <w:rPr>
          <w:rFonts w:hint="default"/>
        </w:rPr>
      </w:lvl>
    </w:lvlOverride>
    <w:lvlOverride w:ilvl="3">
      <w:lvl w:ilvl="3">
        <w:start w:val="1"/>
        <w:numFmt w:val="decimal"/>
        <w:lvlText w:val="%4."/>
        <w:lvlJc w:val="left"/>
        <w:pPr>
          <w:ind w:left="1276" w:hanging="1276"/>
        </w:pPr>
        <w:rPr>
          <w:rFonts w:hint="default"/>
        </w:rPr>
      </w:lvl>
    </w:lvlOverride>
    <w:lvlOverride w:ilvl="4">
      <w:lvl w:ilvl="4">
        <w:start w:val="1"/>
        <w:numFmt w:val="lowerLetter"/>
        <w:lvlText w:val="%5."/>
        <w:lvlJc w:val="left"/>
        <w:pPr>
          <w:ind w:left="567" w:hanging="567"/>
        </w:pPr>
        <w:rPr>
          <w:rFonts w:hint="default"/>
        </w:rPr>
      </w:lvl>
    </w:lvlOverride>
    <w:lvlOverride w:ilvl="5">
      <w:lvl w:ilvl="5">
        <w:start w:val="1"/>
        <w:numFmt w:val="lowerRoman"/>
        <w:lvlText w:val="%6."/>
        <w:lvlJc w:val="right"/>
        <w:pPr>
          <w:ind w:left="567" w:hanging="567"/>
        </w:pPr>
        <w:rPr>
          <w:rFonts w:hint="default"/>
        </w:rPr>
      </w:lvl>
    </w:lvlOverride>
    <w:lvlOverride w:ilvl="6">
      <w:lvl w:ilvl="6">
        <w:start w:val="1"/>
        <w:numFmt w:val="decimal"/>
        <w:lvlText w:val="%7."/>
        <w:lvlJc w:val="left"/>
        <w:pPr>
          <w:ind w:left="567" w:hanging="567"/>
        </w:pPr>
        <w:rPr>
          <w:rFonts w:hint="default"/>
        </w:rPr>
      </w:lvl>
    </w:lvlOverride>
    <w:lvlOverride w:ilvl="7">
      <w:lvl w:ilvl="7">
        <w:start w:val="1"/>
        <w:numFmt w:val="lowerLetter"/>
        <w:lvlText w:val="%8."/>
        <w:lvlJc w:val="left"/>
        <w:pPr>
          <w:ind w:left="567" w:hanging="567"/>
        </w:pPr>
        <w:rPr>
          <w:rFonts w:hint="default"/>
        </w:rPr>
      </w:lvl>
    </w:lvlOverride>
    <w:lvlOverride w:ilvl="8">
      <w:lvl w:ilvl="8">
        <w:start w:val="1"/>
        <w:numFmt w:val="lowerRoman"/>
        <w:lvlText w:val="%9."/>
        <w:lvlJc w:val="right"/>
        <w:pPr>
          <w:ind w:left="567" w:hanging="567"/>
        </w:pPr>
        <w:rPr>
          <w:rFonts w:hint="default"/>
        </w:rPr>
      </w:lvl>
    </w:lvlOverride>
  </w:num>
  <w:num w:numId="8" w16cid:durableId="1092356650">
    <w:abstractNumId w:val="42"/>
  </w:num>
  <w:num w:numId="9" w16cid:durableId="1586916653">
    <w:abstractNumId w:val="12"/>
  </w:num>
  <w:num w:numId="10" w16cid:durableId="918906927">
    <w:abstractNumId w:val="49"/>
  </w:num>
  <w:num w:numId="11" w16cid:durableId="1467115032">
    <w:abstractNumId w:val="26"/>
  </w:num>
  <w:num w:numId="12" w16cid:durableId="1016804704">
    <w:abstractNumId w:val="3"/>
  </w:num>
  <w:num w:numId="13" w16cid:durableId="1720472420">
    <w:abstractNumId w:val="51"/>
  </w:num>
  <w:num w:numId="14" w16cid:durableId="444273839">
    <w:abstractNumId w:val="53"/>
  </w:num>
  <w:num w:numId="15" w16cid:durableId="317464123">
    <w:abstractNumId w:val="31"/>
  </w:num>
  <w:num w:numId="16" w16cid:durableId="1458336578">
    <w:abstractNumId w:val="13"/>
  </w:num>
  <w:num w:numId="17" w16cid:durableId="1615362954">
    <w:abstractNumId w:val="5"/>
  </w:num>
  <w:num w:numId="18" w16cid:durableId="1038821712">
    <w:abstractNumId w:val="46"/>
  </w:num>
  <w:num w:numId="19" w16cid:durableId="707490071">
    <w:abstractNumId w:val="32"/>
  </w:num>
  <w:num w:numId="20" w16cid:durableId="342517100">
    <w:abstractNumId w:val="36"/>
  </w:num>
  <w:num w:numId="21" w16cid:durableId="2008094424">
    <w:abstractNumId w:val="60"/>
  </w:num>
  <w:num w:numId="22" w16cid:durableId="255676358">
    <w:abstractNumId w:val="40"/>
  </w:num>
  <w:num w:numId="23" w16cid:durableId="2070882197">
    <w:abstractNumId w:val="6"/>
  </w:num>
  <w:num w:numId="24" w16cid:durableId="1712874164">
    <w:abstractNumId w:val="33"/>
  </w:num>
  <w:num w:numId="25" w16cid:durableId="1701469125">
    <w:abstractNumId w:val="2"/>
  </w:num>
  <w:num w:numId="26" w16cid:durableId="184756523">
    <w:abstractNumId w:val="29"/>
  </w:num>
  <w:num w:numId="27" w16cid:durableId="1146168658">
    <w:abstractNumId w:val="10"/>
  </w:num>
  <w:num w:numId="28" w16cid:durableId="1938175289">
    <w:abstractNumId w:val="47"/>
  </w:num>
  <w:num w:numId="29" w16cid:durableId="1302733547">
    <w:abstractNumId w:val="62"/>
  </w:num>
  <w:num w:numId="30" w16cid:durableId="758646720">
    <w:abstractNumId w:val="9"/>
  </w:num>
  <w:num w:numId="31" w16cid:durableId="848180936">
    <w:abstractNumId w:val="44"/>
  </w:num>
  <w:num w:numId="32" w16cid:durableId="1199702602">
    <w:abstractNumId w:val="45"/>
  </w:num>
  <w:num w:numId="33" w16cid:durableId="447091160">
    <w:abstractNumId w:val="1"/>
  </w:num>
  <w:num w:numId="34" w16cid:durableId="1894659071">
    <w:abstractNumId w:val="11"/>
  </w:num>
  <w:num w:numId="35" w16cid:durableId="300303776">
    <w:abstractNumId w:val="35"/>
  </w:num>
  <w:num w:numId="36" w16cid:durableId="200167342">
    <w:abstractNumId w:val="59"/>
  </w:num>
  <w:num w:numId="37" w16cid:durableId="1415200488">
    <w:abstractNumId w:val="0"/>
  </w:num>
  <w:num w:numId="38" w16cid:durableId="1738087350">
    <w:abstractNumId w:val="38"/>
  </w:num>
  <w:num w:numId="39" w16cid:durableId="1769500636">
    <w:abstractNumId w:val="57"/>
  </w:num>
  <w:num w:numId="40" w16cid:durableId="1483886733">
    <w:abstractNumId w:val="34"/>
  </w:num>
  <w:num w:numId="41" w16cid:durableId="607347999">
    <w:abstractNumId w:val="18"/>
  </w:num>
  <w:num w:numId="42" w16cid:durableId="1165319640">
    <w:abstractNumId w:val="7"/>
  </w:num>
  <w:num w:numId="43" w16cid:durableId="32076816">
    <w:abstractNumId w:val="37"/>
  </w:num>
  <w:num w:numId="44" w16cid:durableId="404111382">
    <w:abstractNumId w:val="52"/>
  </w:num>
  <w:num w:numId="45" w16cid:durableId="1392072724">
    <w:abstractNumId w:val="22"/>
  </w:num>
  <w:num w:numId="46" w16cid:durableId="787774070">
    <w:abstractNumId w:val="17"/>
  </w:num>
  <w:num w:numId="47" w16cid:durableId="1374230080">
    <w:abstractNumId w:val="30"/>
  </w:num>
  <w:num w:numId="48" w16cid:durableId="416943918">
    <w:abstractNumId w:val="54"/>
  </w:num>
  <w:num w:numId="49" w16cid:durableId="1601640705">
    <w:abstractNumId w:val="55"/>
  </w:num>
  <w:num w:numId="50" w16cid:durableId="2138252874">
    <w:abstractNumId w:val="8"/>
  </w:num>
  <w:num w:numId="51" w16cid:durableId="1945914647">
    <w:abstractNumId w:val="20"/>
  </w:num>
  <w:num w:numId="52" w16cid:durableId="1896043769">
    <w:abstractNumId w:val="39"/>
  </w:num>
  <w:num w:numId="53" w16cid:durableId="1689062808">
    <w:abstractNumId w:val="16"/>
  </w:num>
  <w:num w:numId="54" w16cid:durableId="1085885652">
    <w:abstractNumId w:val="43"/>
  </w:num>
  <w:num w:numId="55" w16cid:durableId="1134787284">
    <w:abstractNumId w:val="27"/>
  </w:num>
  <w:num w:numId="56" w16cid:durableId="684475184">
    <w:abstractNumId w:val="61"/>
  </w:num>
  <w:num w:numId="57" w16cid:durableId="1881897739">
    <w:abstractNumId w:val="28"/>
  </w:num>
  <w:num w:numId="58" w16cid:durableId="1439521423">
    <w:abstractNumId w:val="15"/>
  </w:num>
  <w:num w:numId="59" w16cid:durableId="577979680">
    <w:abstractNumId w:val="25"/>
  </w:num>
  <w:num w:numId="60" w16cid:durableId="209153680">
    <w:abstractNumId w:val="3"/>
  </w:num>
  <w:num w:numId="61" w16cid:durableId="1230649737">
    <w:abstractNumId w:val="56"/>
  </w:num>
  <w:num w:numId="62" w16cid:durableId="1579747830">
    <w:abstractNumId w:val="23"/>
  </w:num>
  <w:num w:numId="63" w16cid:durableId="501700154">
    <w:abstractNumId w:val="3"/>
  </w:num>
  <w:num w:numId="64" w16cid:durableId="2058190672">
    <w:abstractNumId w:val="3"/>
  </w:num>
  <w:num w:numId="65" w16cid:durableId="505364248">
    <w:abstractNumId w:val="4"/>
  </w:num>
  <w:num w:numId="66" w16cid:durableId="1146432165">
    <w:abstractNumId w:val="24"/>
  </w:num>
  <w:num w:numId="67" w16cid:durableId="320617490">
    <w:abstractNumId w:val="5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ctiveWritingStyle w:appName="MSWord" w:lang="es-ES" w:vendorID="64" w:dllVersion="6" w:nlCheck="1" w:checkStyle="0"/>
  <w:activeWritingStyle w:appName="MSWord" w:lang="en-AU" w:vendorID="64" w:dllVersion="6" w:nlCheck="1" w:checkStyle="1"/>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NotTrackFormatting/>
  <w:defaultTabStop w:val="720"/>
  <w:drawingGridHorizontalSpacing w:val="110"/>
  <w:displayHorizontalDrawingGridEvery w:val="2"/>
  <w:characterSpacingControl w:val="doNotCompress"/>
  <w:hdrShapeDefaults>
    <o:shapedefaults v:ext="edit" spidmax="185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3CA"/>
    <w:rsid w:val="000000C7"/>
    <w:rsid w:val="00000611"/>
    <w:rsid w:val="00000D20"/>
    <w:rsid w:val="0000387B"/>
    <w:rsid w:val="00004940"/>
    <w:rsid w:val="00005FD7"/>
    <w:rsid w:val="00010C38"/>
    <w:rsid w:val="000117B5"/>
    <w:rsid w:val="00011887"/>
    <w:rsid w:val="00013666"/>
    <w:rsid w:val="000168F3"/>
    <w:rsid w:val="00017C8A"/>
    <w:rsid w:val="0002005F"/>
    <w:rsid w:val="000215DD"/>
    <w:rsid w:val="000231E4"/>
    <w:rsid w:val="00025978"/>
    <w:rsid w:val="00025A7B"/>
    <w:rsid w:val="00026194"/>
    <w:rsid w:val="0002658B"/>
    <w:rsid w:val="0002698E"/>
    <w:rsid w:val="00034166"/>
    <w:rsid w:val="000344FC"/>
    <w:rsid w:val="000352C8"/>
    <w:rsid w:val="000352F9"/>
    <w:rsid w:val="00036FA6"/>
    <w:rsid w:val="00037C88"/>
    <w:rsid w:val="0004321E"/>
    <w:rsid w:val="00043809"/>
    <w:rsid w:val="00043CB2"/>
    <w:rsid w:val="0004582C"/>
    <w:rsid w:val="000464B1"/>
    <w:rsid w:val="0004655B"/>
    <w:rsid w:val="00046955"/>
    <w:rsid w:val="00050054"/>
    <w:rsid w:val="00051CBB"/>
    <w:rsid w:val="000523D3"/>
    <w:rsid w:val="00053DF6"/>
    <w:rsid w:val="00054FB7"/>
    <w:rsid w:val="000569AC"/>
    <w:rsid w:val="000601D2"/>
    <w:rsid w:val="0006047E"/>
    <w:rsid w:val="00060557"/>
    <w:rsid w:val="00061927"/>
    <w:rsid w:val="000622C8"/>
    <w:rsid w:val="000630F2"/>
    <w:rsid w:val="000632AD"/>
    <w:rsid w:val="00063979"/>
    <w:rsid w:val="000645AE"/>
    <w:rsid w:val="00066C35"/>
    <w:rsid w:val="00070E96"/>
    <w:rsid w:val="00071C7A"/>
    <w:rsid w:val="000724D2"/>
    <w:rsid w:val="00073B7F"/>
    <w:rsid w:val="00075A2F"/>
    <w:rsid w:val="000767A6"/>
    <w:rsid w:val="00080A9A"/>
    <w:rsid w:val="00080F64"/>
    <w:rsid w:val="00080FE6"/>
    <w:rsid w:val="000816B4"/>
    <w:rsid w:val="00081ABC"/>
    <w:rsid w:val="000823E2"/>
    <w:rsid w:val="00083DAC"/>
    <w:rsid w:val="000869AB"/>
    <w:rsid w:val="00086FB7"/>
    <w:rsid w:val="0008748A"/>
    <w:rsid w:val="00087DC5"/>
    <w:rsid w:val="000906D7"/>
    <w:rsid w:val="000921CF"/>
    <w:rsid w:val="00095912"/>
    <w:rsid w:val="0009655A"/>
    <w:rsid w:val="000965B4"/>
    <w:rsid w:val="0009661A"/>
    <w:rsid w:val="00097784"/>
    <w:rsid w:val="00097FA8"/>
    <w:rsid w:val="00097FCF"/>
    <w:rsid w:val="000A29FF"/>
    <w:rsid w:val="000A2F01"/>
    <w:rsid w:val="000A30C0"/>
    <w:rsid w:val="000A488A"/>
    <w:rsid w:val="000A5A98"/>
    <w:rsid w:val="000A7AAF"/>
    <w:rsid w:val="000A7F72"/>
    <w:rsid w:val="000B0C3C"/>
    <w:rsid w:val="000B2007"/>
    <w:rsid w:val="000B61D4"/>
    <w:rsid w:val="000B6E6E"/>
    <w:rsid w:val="000C0038"/>
    <w:rsid w:val="000C049E"/>
    <w:rsid w:val="000C0F3F"/>
    <w:rsid w:val="000C41B2"/>
    <w:rsid w:val="000C5322"/>
    <w:rsid w:val="000C599B"/>
    <w:rsid w:val="000C6155"/>
    <w:rsid w:val="000C72E3"/>
    <w:rsid w:val="000C738E"/>
    <w:rsid w:val="000C7CA6"/>
    <w:rsid w:val="000D2285"/>
    <w:rsid w:val="000D4A44"/>
    <w:rsid w:val="000D4C78"/>
    <w:rsid w:val="000D56B4"/>
    <w:rsid w:val="000D590B"/>
    <w:rsid w:val="000D751F"/>
    <w:rsid w:val="000E112A"/>
    <w:rsid w:val="000E1E32"/>
    <w:rsid w:val="000E2A46"/>
    <w:rsid w:val="000E4D66"/>
    <w:rsid w:val="000E5503"/>
    <w:rsid w:val="000E5A0C"/>
    <w:rsid w:val="000E5E9D"/>
    <w:rsid w:val="000E6368"/>
    <w:rsid w:val="000E6C86"/>
    <w:rsid w:val="000F01A3"/>
    <w:rsid w:val="000F048C"/>
    <w:rsid w:val="000F054D"/>
    <w:rsid w:val="000F1B90"/>
    <w:rsid w:val="000F20FE"/>
    <w:rsid w:val="000F35DD"/>
    <w:rsid w:val="000F4112"/>
    <w:rsid w:val="000F4222"/>
    <w:rsid w:val="000F5154"/>
    <w:rsid w:val="000F5653"/>
    <w:rsid w:val="000F7304"/>
    <w:rsid w:val="00100255"/>
    <w:rsid w:val="00102F23"/>
    <w:rsid w:val="00102F26"/>
    <w:rsid w:val="00106CF0"/>
    <w:rsid w:val="001073C4"/>
    <w:rsid w:val="00112486"/>
    <w:rsid w:val="001127F6"/>
    <w:rsid w:val="00113EE4"/>
    <w:rsid w:val="00114E15"/>
    <w:rsid w:val="00116C0B"/>
    <w:rsid w:val="001177F6"/>
    <w:rsid w:val="00117CCE"/>
    <w:rsid w:val="001207DE"/>
    <w:rsid w:val="00122C5A"/>
    <w:rsid w:val="00123B2B"/>
    <w:rsid w:val="00124413"/>
    <w:rsid w:val="001266C7"/>
    <w:rsid w:val="0012729B"/>
    <w:rsid w:val="001273D8"/>
    <w:rsid w:val="00130D51"/>
    <w:rsid w:val="00131490"/>
    <w:rsid w:val="001317DE"/>
    <w:rsid w:val="00133064"/>
    <w:rsid w:val="00134442"/>
    <w:rsid w:val="00135261"/>
    <w:rsid w:val="00135C46"/>
    <w:rsid w:val="001369A6"/>
    <w:rsid w:val="001420D5"/>
    <w:rsid w:val="00142241"/>
    <w:rsid w:val="00142937"/>
    <w:rsid w:val="00143B11"/>
    <w:rsid w:val="00146213"/>
    <w:rsid w:val="00146494"/>
    <w:rsid w:val="00150855"/>
    <w:rsid w:val="0015211B"/>
    <w:rsid w:val="00152A4E"/>
    <w:rsid w:val="00152B47"/>
    <w:rsid w:val="00152C40"/>
    <w:rsid w:val="00152F6A"/>
    <w:rsid w:val="0015352B"/>
    <w:rsid w:val="00156832"/>
    <w:rsid w:val="001579B2"/>
    <w:rsid w:val="00160234"/>
    <w:rsid w:val="001627C3"/>
    <w:rsid w:val="00162D12"/>
    <w:rsid w:val="001653A4"/>
    <w:rsid w:val="00165A0F"/>
    <w:rsid w:val="00166707"/>
    <w:rsid w:val="001668E5"/>
    <w:rsid w:val="001706EA"/>
    <w:rsid w:val="00171335"/>
    <w:rsid w:val="001716E9"/>
    <w:rsid w:val="001734A5"/>
    <w:rsid w:val="0017388C"/>
    <w:rsid w:val="0017542E"/>
    <w:rsid w:val="0017699C"/>
    <w:rsid w:val="001769F1"/>
    <w:rsid w:val="00176A9F"/>
    <w:rsid w:val="001771E0"/>
    <w:rsid w:val="00177CAC"/>
    <w:rsid w:val="00177F2D"/>
    <w:rsid w:val="00183B1A"/>
    <w:rsid w:val="0018479E"/>
    <w:rsid w:val="00192E31"/>
    <w:rsid w:val="001932A0"/>
    <w:rsid w:val="0019363D"/>
    <w:rsid w:val="001941E1"/>
    <w:rsid w:val="0019488E"/>
    <w:rsid w:val="00194D94"/>
    <w:rsid w:val="00195D27"/>
    <w:rsid w:val="00195EFC"/>
    <w:rsid w:val="001A0384"/>
    <w:rsid w:val="001A0F43"/>
    <w:rsid w:val="001A13D0"/>
    <w:rsid w:val="001A1CD0"/>
    <w:rsid w:val="001A287F"/>
    <w:rsid w:val="001A2BDB"/>
    <w:rsid w:val="001A4DFB"/>
    <w:rsid w:val="001A7998"/>
    <w:rsid w:val="001A7EED"/>
    <w:rsid w:val="001B0F58"/>
    <w:rsid w:val="001B0FD0"/>
    <w:rsid w:val="001B18FB"/>
    <w:rsid w:val="001B21C5"/>
    <w:rsid w:val="001B2BF1"/>
    <w:rsid w:val="001B4C12"/>
    <w:rsid w:val="001B5A92"/>
    <w:rsid w:val="001B6A47"/>
    <w:rsid w:val="001B6D69"/>
    <w:rsid w:val="001B746A"/>
    <w:rsid w:val="001B7FD3"/>
    <w:rsid w:val="001C1649"/>
    <w:rsid w:val="001C2420"/>
    <w:rsid w:val="001D3E55"/>
    <w:rsid w:val="001D468C"/>
    <w:rsid w:val="001D5245"/>
    <w:rsid w:val="001D5911"/>
    <w:rsid w:val="001D6196"/>
    <w:rsid w:val="001D6D9C"/>
    <w:rsid w:val="001D6F66"/>
    <w:rsid w:val="001D7304"/>
    <w:rsid w:val="001D77E8"/>
    <w:rsid w:val="001E0F14"/>
    <w:rsid w:val="001E1156"/>
    <w:rsid w:val="001E234F"/>
    <w:rsid w:val="001E4D36"/>
    <w:rsid w:val="001E4DA6"/>
    <w:rsid w:val="001E5F7C"/>
    <w:rsid w:val="001F017C"/>
    <w:rsid w:val="001F0555"/>
    <w:rsid w:val="001F24E0"/>
    <w:rsid w:val="001F25BF"/>
    <w:rsid w:val="001F4540"/>
    <w:rsid w:val="001F4714"/>
    <w:rsid w:val="001F5AAA"/>
    <w:rsid w:val="001F79D7"/>
    <w:rsid w:val="001F7B80"/>
    <w:rsid w:val="00201943"/>
    <w:rsid w:val="00201A01"/>
    <w:rsid w:val="00201D09"/>
    <w:rsid w:val="0020214A"/>
    <w:rsid w:val="002026A8"/>
    <w:rsid w:val="00202A24"/>
    <w:rsid w:val="00203BFB"/>
    <w:rsid w:val="00205F0C"/>
    <w:rsid w:val="00205F7D"/>
    <w:rsid w:val="00206DA2"/>
    <w:rsid w:val="00207C66"/>
    <w:rsid w:val="002107CF"/>
    <w:rsid w:val="0021163D"/>
    <w:rsid w:val="002116AE"/>
    <w:rsid w:val="002117B3"/>
    <w:rsid w:val="002118A0"/>
    <w:rsid w:val="002124E5"/>
    <w:rsid w:val="00212B4E"/>
    <w:rsid w:val="002141C0"/>
    <w:rsid w:val="002149CE"/>
    <w:rsid w:val="0021664F"/>
    <w:rsid w:val="002213D0"/>
    <w:rsid w:val="00221FBB"/>
    <w:rsid w:val="00222137"/>
    <w:rsid w:val="00223FFB"/>
    <w:rsid w:val="00224C05"/>
    <w:rsid w:val="0022696E"/>
    <w:rsid w:val="00226C0A"/>
    <w:rsid w:val="00230891"/>
    <w:rsid w:val="0023171F"/>
    <w:rsid w:val="00231CC7"/>
    <w:rsid w:val="002326DA"/>
    <w:rsid w:val="00233526"/>
    <w:rsid w:val="002336C7"/>
    <w:rsid w:val="00233D80"/>
    <w:rsid w:val="002355B7"/>
    <w:rsid w:val="00236A0D"/>
    <w:rsid w:val="002372F0"/>
    <w:rsid w:val="002422EF"/>
    <w:rsid w:val="002427FB"/>
    <w:rsid w:val="0024485D"/>
    <w:rsid w:val="002468A9"/>
    <w:rsid w:val="00250BEB"/>
    <w:rsid w:val="0025275A"/>
    <w:rsid w:val="00257C6C"/>
    <w:rsid w:val="00260272"/>
    <w:rsid w:val="002609BF"/>
    <w:rsid w:val="0026406F"/>
    <w:rsid w:val="0026408D"/>
    <w:rsid w:val="00264670"/>
    <w:rsid w:val="00264F03"/>
    <w:rsid w:val="00270BE8"/>
    <w:rsid w:val="00270E14"/>
    <w:rsid w:val="002714D9"/>
    <w:rsid w:val="00273E3E"/>
    <w:rsid w:val="00274647"/>
    <w:rsid w:val="00275C36"/>
    <w:rsid w:val="00275DF4"/>
    <w:rsid w:val="002765E3"/>
    <w:rsid w:val="002772FE"/>
    <w:rsid w:val="00277C92"/>
    <w:rsid w:val="00277DE4"/>
    <w:rsid w:val="00277DEF"/>
    <w:rsid w:val="00281BB6"/>
    <w:rsid w:val="00284D14"/>
    <w:rsid w:val="002857E2"/>
    <w:rsid w:val="002858C3"/>
    <w:rsid w:val="00286307"/>
    <w:rsid w:val="00286630"/>
    <w:rsid w:val="00287453"/>
    <w:rsid w:val="00290993"/>
    <w:rsid w:val="00291EDC"/>
    <w:rsid w:val="00292411"/>
    <w:rsid w:val="002938B1"/>
    <w:rsid w:val="00294630"/>
    <w:rsid w:val="0029790D"/>
    <w:rsid w:val="002A0340"/>
    <w:rsid w:val="002A04C1"/>
    <w:rsid w:val="002A10DA"/>
    <w:rsid w:val="002A1CBE"/>
    <w:rsid w:val="002A241D"/>
    <w:rsid w:val="002A324F"/>
    <w:rsid w:val="002A3A7E"/>
    <w:rsid w:val="002A5B95"/>
    <w:rsid w:val="002A5BA1"/>
    <w:rsid w:val="002A5DCA"/>
    <w:rsid w:val="002A635D"/>
    <w:rsid w:val="002A6D06"/>
    <w:rsid w:val="002A6F11"/>
    <w:rsid w:val="002B04E3"/>
    <w:rsid w:val="002B16BB"/>
    <w:rsid w:val="002B47B4"/>
    <w:rsid w:val="002B5056"/>
    <w:rsid w:val="002B6664"/>
    <w:rsid w:val="002B6968"/>
    <w:rsid w:val="002C15F1"/>
    <w:rsid w:val="002C32D3"/>
    <w:rsid w:val="002C50F8"/>
    <w:rsid w:val="002C549B"/>
    <w:rsid w:val="002C609A"/>
    <w:rsid w:val="002C7305"/>
    <w:rsid w:val="002D0989"/>
    <w:rsid w:val="002D1106"/>
    <w:rsid w:val="002D113B"/>
    <w:rsid w:val="002D1EA3"/>
    <w:rsid w:val="002D4A14"/>
    <w:rsid w:val="002D60C4"/>
    <w:rsid w:val="002D7400"/>
    <w:rsid w:val="002E03BF"/>
    <w:rsid w:val="002E2FA7"/>
    <w:rsid w:val="002E64D3"/>
    <w:rsid w:val="002E75D8"/>
    <w:rsid w:val="002E7E8B"/>
    <w:rsid w:val="002F02C9"/>
    <w:rsid w:val="002F144B"/>
    <w:rsid w:val="002F154F"/>
    <w:rsid w:val="002F448A"/>
    <w:rsid w:val="00300C84"/>
    <w:rsid w:val="003024BD"/>
    <w:rsid w:val="00302C12"/>
    <w:rsid w:val="00304519"/>
    <w:rsid w:val="00304CAC"/>
    <w:rsid w:val="0030692A"/>
    <w:rsid w:val="0031098E"/>
    <w:rsid w:val="003116C8"/>
    <w:rsid w:val="003141E8"/>
    <w:rsid w:val="00315F4D"/>
    <w:rsid w:val="003228DC"/>
    <w:rsid w:val="00322CDE"/>
    <w:rsid w:val="0032340A"/>
    <w:rsid w:val="00325C20"/>
    <w:rsid w:val="003264B2"/>
    <w:rsid w:val="0033048B"/>
    <w:rsid w:val="00331B66"/>
    <w:rsid w:val="003327C2"/>
    <w:rsid w:val="0033361F"/>
    <w:rsid w:val="003349E6"/>
    <w:rsid w:val="00334A13"/>
    <w:rsid w:val="003357A2"/>
    <w:rsid w:val="0033697D"/>
    <w:rsid w:val="00340421"/>
    <w:rsid w:val="003425BB"/>
    <w:rsid w:val="00343D05"/>
    <w:rsid w:val="00344857"/>
    <w:rsid w:val="00346333"/>
    <w:rsid w:val="00347A49"/>
    <w:rsid w:val="0035144D"/>
    <w:rsid w:val="00351771"/>
    <w:rsid w:val="00351C63"/>
    <w:rsid w:val="003531D3"/>
    <w:rsid w:val="00353A22"/>
    <w:rsid w:val="00355341"/>
    <w:rsid w:val="0035585A"/>
    <w:rsid w:val="003559AB"/>
    <w:rsid w:val="00356554"/>
    <w:rsid w:val="00357807"/>
    <w:rsid w:val="00361CD3"/>
    <w:rsid w:val="00363485"/>
    <w:rsid w:val="0036432B"/>
    <w:rsid w:val="003646DF"/>
    <w:rsid w:val="00365866"/>
    <w:rsid w:val="00367B14"/>
    <w:rsid w:val="00374A91"/>
    <w:rsid w:val="00374B46"/>
    <w:rsid w:val="00375833"/>
    <w:rsid w:val="003759C7"/>
    <w:rsid w:val="00375AB1"/>
    <w:rsid w:val="003768FE"/>
    <w:rsid w:val="00376FBC"/>
    <w:rsid w:val="00377026"/>
    <w:rsid w:val="00377606"/>
    <w:rsid w:val="0038068A"/>
    <w:rsid w:val="00380B4A"/>
    <w:rsid w:val="00381DED"/>
    <w:rsid w:val="00386F2C"/>
    <w:rsid w:val="00387AB3"/>
    <w:rsid w:val="003906F8"/>
    <w:rsid w:val="003938F5"/>
    <w:rsid w:val="00394014"/>
    <w:rsid w:val="00394DE4"/>
    <w:rsid w:val="00395DCF"/>
    <w:rsid w:val="00395FF1"/>
    <w:rsid w:val="00396C86"/>
    <w:rsid w:val="003A06A6"/>
    <w:rsid w:val="003A0AF2"/>
    <w:rsid w:val="003A0B84"/>
    <w:rsid w:val="003A140C"/>
    <w:rsid w:val="003A1AA2"/>
    <w:rsid w:val="003A6156"/>
    <w:rsid w:val="003A7DFB"/>
    <w:rsid w:val="003B2B79"/>
    <w:rsid w:val="003B361F"/>
    <w:rsid w:val="003B4C09"/>
    <w:rsid w:val="003B52C1"/>
    <w:rsid w:val="003B5FB7"/>
    <w:rsid w:val="003B73CA"/>
    <w:rsid w:val="003C0C82"/>
    <w:rsid w:val="003C2258"/>
    <w:rsid w:val="003C4026"/>
    <w:rsid w:val="003C4503"/>
    <w:rsid w:val="003C4E4F"/>
    <w:rsid w:val="003C5A1B"/>
    <w:rsid w:val="003C5BED"/>
    <w:rsid w:val="003C690D"/>
    <w:rsid w:val="003C71B6"/>
    <w:rsid w:val="003C75AC"/>
    <w:rsid w:val="003D12DF"/>
    <w:rsid w:val="003D1AB2"/>
    <w:rsid w:val="003D482F"/>
    <w:rsid w:val="003D4AAF"/>
    <w:rsid w:val="003D5AAA"/>
    <w:rsid w:val="003E0B93"/>
    <w:rsid w:val="003E14E9"/>
    <w:rsid w:val="003E429B"/>
    <w:rsid w:val="003E4D73"/>
    <w:rsid w:val="003E5BD7"/>
    <w:rsid w:val="003E6018"/>
    <w:rsid w:val="003E6476"/>
    <w:rsid w:val="003E6B6D"/>
    <w:rsid w:val="003E7D1F"/>
    <w:rsid w:val="003F21E1"/>
    <w:rsid w:val="003F2E87"/>
    <w:rsid w:val="003F3439"/>
    <w:rsid w:val="003F38D2"/>
    <w:rsid w:val="003F3D32"/>
    <w:rsid w:val="003F4EAD"/>
    <w:rsid w:val="003F654A"/>
    <w:rsid w:val="003F79F6"/>
    <w:rsid w:val="004009E4"/>
    <w:rsid w:val="00404085"/>
    <w:rsid w:val="00410450"/>
    <w:rsid w:val="00410B27"/>
    <w:rsid w:val="00410F06"/>
    <w:rsid w:val="00411747"/>
    <w:rsid w:val="004119A5"/>
    <w:rsid w:val="00411EEE"/>
    <w:rsid w:val="0041492E"/>
    <w:rsid w:val="0041694F"/>
    <w:rsid w:val="00416DAB"/>
    <w:rsid w:val="00420AB0"/>
    <w:rsid w:val="00421AC5"/>
    <w:rsid w:val="00422ACD"/>
    <w:rsid w:val="00422CD4"/>
    <w:rsid w:val="0042302E"/>
    <w:rsid w:val="004231AC"/>
    <w:rsid w:val="004258A6"/>
    <w:rsid w:val="004259DB"/>
    <w:rsid w:val="004319EF"/>
    <w:rsid w:val="00433FDE"/>
    <w:rsid w:val="004341C5"/>
    <w:rsid w:val="004342CC"/>
    <w:rsid w:val="00434640"/>
    <w:rsid w:val="00434906"/>
    <w:rsid w:val="00434F47"/>
    <w:rsid w:val="00435411"/>
    <w:rsid w:val="0043630A"/>
    <w:rsid w:val="0043794B"/>
    <w:rsid w:val="00437CED"/>
    <w:rsid w:val="00440BAC"/>
    <w:rsid w:val="00441311"/>
    <w:rsid w:val="00441D16"/>
    <w:rsid w:val="00443793"/>
    <w:rsid w:val="0044488C"/>
    <w:rsid w:val="00444B06"/>
    <w:rsid w:val="00446290"/>
    <w:rsid w:val="00446BE1"/>
    <w:rsid w:val="0045074D"/>
    <w:rsid w:val="00452B69"/>
    <w:rsid w:val="00452F6A"/>
    <w:rsid w:val="00453571"/>
    <w:rsid w:val="0045393D"/>
    <w:rsid w:val="00455980"/>
    <w:rsid w:val="00457BB6"/>
    <w:rsid w:val="00457ECF"/>
    <w:rsid w:val="00460049"/>
    <w:rsid w:val="00460921"/>
    <w:rsid w:val="0046190A"/>
    <w:rsid w:val="00463BDD"/>
    <w:rsid w:val="0046566D"/>
    <w:rsid w:val="004659B4"/>
    <w:rsid w:val="00467A74"/>
    <w:rsid w:val="0047045A"/>
    <w:rsid w:val="00471A21"/>
    <w:rsid w:val="00472A65"/>
    <w:rsid w:val="0047394F"/>
    <w:rsid w:val="00473C69"/>
    <w:rsid w:val="0047475A"/>
    <w:rsid w:val="00481470"/>
    <w:rsid w:val="0048566D"/>
    <w:rsid w:val="00485BCF"/>
    <w:rsid w:val="00486DA2"/>
    <w:rsid w:val="00490185"/>
    <w:rsid w:val="00490B15"/>
    <w:rsid w:val="00491DE1"/>
    <w:rsid w:val="00491E5F"/>
    <w:rsid w:val="00492C46"/>
    <w:rsid w:val="00493329"/>
    <w:rsid w:val="00493634"/>
    <w:rsid w:val="004970E4"/>
    <w:rsid w:val="004973F5"/>
    <w:rsid w:val="00497734"/>
    <w:rsid w:val="004A0059"/>
    <w:rsid w:val="004A282D"/>
    <w:rsid w:val="004A28DC"/>
    <w:rsid w:val="004A32CF"/>
    <w:rsid w:val="004A3576"/>
    <w:rsid w:val="004A4485"/>
    <w:rsid w:val="004A522B"/>
    <w:rsid w:val="004A72B4"/>
    <w:rsid w:val="004B014F"/>
    <w:rsid w:val="004B1274"/>
    <w:rsid w:val="004B1D54"/>
    <w:rsid w:val="004B4113"/>
    <w:rsid w:val="004B4497"/>
    <w:rsid w:val="004B453F"/>
    <w:rsid w:val="004B4C5A"/>
    <w:rsid w:val="004B6A05"/>
    <w:rsid w:val="004B6DEC"/>
    <w:rsid w:val="004B6FE1"/>
    <w:rsid w:val="004B71A4"/>
    <w:rsid w:val="004C009D"/>
    <w:rsid w:val="004C035E"/>
    <w:rsid w:val="004C0444"/>
    <w:rsid w:val="004C137E"/>
    <w:rsid w:val="004C348A"/>
    <w:rsid w:val="004C54D6"/>
    <w:rsid w:val="004C766E"/>
    <w:rsid w:val="004C7999"/>
    <w:rsid w:val="004D446D"/>
    <w:rsid w:val="004D4983"/>
    <w:rsid w:val="004D49C6"/>
    <w:rsid w:val="004D7092"/>
    <w:rsid w:val="004D7539"/>
    <w:rsid w:val="004E00C1"/>
    <w:rsid w:val="004E070C"/>
    <w:rsid w:val="004E2928"/>
    <w:rsid w:val="004E350F"/>
    <w:rsid w:val="004E3704"/>
    <w:rsid w:val="004E67DE"/>
    <w:rsid w:val="004E6DB4"/>
    <w:rsid w:val="004E759D"/>
    <w:rsid w:val="004F01EC"/>
    <w:rsid w:val="004F0701"/>
    <w:rsid w:val="004F0EE2"/>
    <w:rsid w:val="004F3F88"/>
    <w:rsid w:val="004F3FBF"/>
    <w:rsid w:val="004F46FB"/>
    <w:rsid w:val="004F5E4E"/>
    <w:rsid w:val="004F61F9"/>
    <w:rsid w:val="004F65D0"/>
    <w:rsid w:val="004F724C"/>
    <w:rsid w:val="004F74CF"/>
    <w:rsid w:val="004F7B64"/>
    <w:rsid w:val="00500373"/>
    <w:rsid w:val="00501ED8"/>
    <w:rsid w:val="00503E5E"/>
    <w:rsid w:val="005043EB"/>
    <w:rsid w:val="0050543F"/>
    <w:rsid w:val="005065A7"/>
    <w:rsid w:val="00506771"/>
    <w:rsid w:val="005106C8"/>
    <w:rsid w:val="005120BB"/>
    <w:rsid w:val="00515956"/>
    <w:rsid w:val="0051747D"/>
    <w:rsid w:val="00520D93"/>
    <w:rsid w:val="00521437"/>
    <w:rsid w:val="00522999"/>
    <w:rsid w:val="00522EBC"/>
    <w:rsid w:val="0052326C"/>
    <w:rsid w:val="00524C72"/>
    <w:rsid w:val="00525886"/>
    <w:rsid w:val="00526FA5"/>
    <w:rsid w:val="00527443"/>
    <w:rsid w:val="005303C3"/>
    <w:rsid w:val="005305BB"/>
    <w:rsid w:val="00530813"/>
    <w:rsid w:val="00530A2A"/>
    <w:rsid w:val="0053479B"/>
    <w:rsid w:val="0053740C"/>
    <w:rsid w:val="0054121D"/>
    <w:rsid w:val="005423B3"/>
    <w:rsid w:val="00542BD5"/>
    <w:rsid w:val="0054368E"/>
    <w:rsid w:val="0054465C"/>
    <w:rsid w:val="00544723"/>
    <w:rsid w:val="005449A5"/>
    <w:rsid w:val="0054532A"/>
    <w:rsid w:val="005453C1"/>
    <w:rsid w:val="00545D00"/>
    <w:rsid w:val="00546346"/>
    <w:rsid w:val="00547453"/>
    <w:rsid w:val="0054765E"/>
    <w:rsid w:val="00550FBF"/>
    <w:rsid w:val="00552A85"/>
    <w:rsid w:val="00554396"/>
    <w:rsid w:val="005545B0"/>
    <w:rsid w:val="00554669"/>
    <w:rsid w:val="00554D19"/>
    <w:rsid w:val="00556833"/>
    <w:rsid w:val="00560697"/>
    <w:rsid w:val="00562660"/>
    <w:rsid w:val="005637E7"/>
    <w:rsid w:val="00565A0A"/>
    <w:rsid w:val="00565F3E"/>
    <w:rsid w:val="0057252F"/>
    <w:rsid w:val="005754C5"/>
    <w:rsid w:val="005772A3"/>
    <w:rsid w:val="00577D2F"/>
    <w:rsid w:val="00581893"/>
    <w:rsid w:val="0058381F"/>
    <w:rsid w:val="00584424"/>
    <w:rsid w:val="005852AE"/>
    <w:rsid w:val="00587BF0"/>
    <w:rsid w:val="00590A0A"/>
    <w:rsid w:val="0059177A"/>
    <w:rsid w:val="005918ED"/>
    <w:rsid w:val="00592E63"/>
    <w:rsid w:val="0059379D"/>
    <w:rsid w:val="00595079"/>
    <w:rsid w:val="00595A5D"/>
    <w:rsid w:val="00596453"/>
    <w:rsid w:val="00596706"/>
    <w:rsid w:val="005A2955"/>
    <w:rsid w:val="005A3C24"/>
    <w:rsid w:val="005A5CDE"/>
    <w:rsid w:val="005A6228"/>
    <w:rsid w:val="005A6BAF"/>
    <w:rsid w:val="005A6FAC"/>
    <w:rsid w:val="005A71C7"/>
    <w:rsid w:val="005A7852"/>
    <w:rsid w:val="005B13C0"/>
    <w:rsid w:val="005B1510"/>
    <w:rsid w:val="005B1C4F"/>
    <w:rsid w:val="005B1FCF"/>
    <w:rsid w:val="005B2943"/>
    <w:rsid w:val="005B2C2D"/>
    <w:rsid w:val="005B3CAB"/>
    <w:rsid w:val="005B5022"/>
    <w:rsid w:val="005B7B99"/>
    <w:rsid w:val="005C110F"/>
    <w:rsid w:val="005C1942"/>
    <w:rsid w:val="005C1D9A"/>
    <w:rsid w:val="005C686D"/>
    <w:rsid w:val="005C7063"/>
    <w:rsid w:val="005D1CC3"/>
    <w:rsid w:val="005D29A9"/>
    <w:rsid w:val="005D526D"/>
    <w:rsid w:val="005E0E1D"/>
    <w:rsid w:val="005E25BD"/>
    <w:rsid w:val="005E28EE"/>
    <w:rsid w:val="005E3438"/>
    <w:rsid w:val="005E43F8"/>
    <w:rsid w:val="005E4B4A"/>
    <w:rsid w:val="005E5031"/>
    <w:rsid w:val="005E5349"/>
    <w:rsid w:val="005E7FCB"/>
    <w:rsid w:val="005F0BD4"/>
    <w:rsid w:val="005F0E24"/>
    <w:rsid w:val="005F3790"/>
    <w:rsid w:val="005F55A6"/>
    <w:rsid w:val="005F6529"/>
    <w:rsid w:val="005F7740"/>
    <w:rsid w:val="005F7F67"/>
    <w:rsid w:val="00600516"/>
    <w:rsid w:val="006007B0"/>
    <w:rsid w:val="00600A7D"/>
    <w:rsid w:val="00600E3E"/>
    <w:rsid w:val="0060161D"/>
    <w:rsid w:val="00601C45"/>
    <w:rsid w:val="00603047"/>
    <w:rsid w:val="0060567E"/>
    <w:rsid w:val="00606914"/>
    <w:rsid w:val="00606F03"/>
    <w:rsid w:val="006112AC"/>
    <w:rsid w:val="006138D1"/>
    <w:rsid w:val="00614598"/>
    <w:rsid w:val="00615238"/>
    <w:rsid w:val="0061551A"/>
    <w:rsid w:val="0061577A"/>
    <w:rsid w:val="00615CFF"/>
    <w:rsid w:val="00617AAC"/>
    <w:rsid w:val="006205FB"/>
    <w:rsid w:val="00622C07"/>
    <w:rsid w:val="00626AC2"/>
    <w:rsid w:val="00627706"/>
    <w:rsid w:val="00627802"/>
    <w:rsid w:val="0063148F"/>
    <w:rsid w:val="00633C00"/>
    <w:rsid w:val="00633E18"/>
    <w:rsid w:val="00633F20"/>
    <w:rsid w:val="00634E24"/>
    <w:rsid w:val="00636091"/>
    <w:rsid w:val="00637104"/>
    <w:rsid w:val="00637406"/>
    <w:rsid w:val="00641BCC"/>
    <w:rsid w:val="006424DA"/>
    <w:rsid w:val="00643F68"/>
    <w:rsid w:val="00644E24"/>
    <w:rsid w:val="006467BB"/>
    <w:rsid w:val="00647379"/>
    <w:rsid w:val="00647E64"/>
    <w:rsid w:val="00650D36"/>
    <w:rsid w:val="00651AF2"/>
    <w:rsid w:val="006524F8"/>
    <w:rsid w:val="00652CB9"/>
    <w:rsid w:val="006530B9"/>
    <w:rsid w:val="00653B6C"/>
    <w:rsid w:val="0065564D"/>
    <w:rsid w:val="00656D4D"/>
    <w:rsid w:val="006577B5"/>
    <w:rsid w:val="00662727"/>
    <w:rsid w:val="00664830"/>
    <w:rsid w:val="006648A3"/>
    <w:rsid w:val="006656EB"/>
    <w:rsid w:val="0066659E"/>
    <w:rsid w:val="00666BAA"/>
    <w:rsid w:val="00667512"/>
    <w:rsid w:val="00667F5C"/>
    <w:rsid w:val="00673397"/>
    <w:rsid w:val="00673CE0"/>
    <w:rsid w:val="00674752"/>
    <w:rsid w:val="00675B82"/>
    <w:rsid w:val="006762B2"/>
    <w:rsid w:val="00677C73"/>
    <w:rsid w:val="00680ADA"/>
    <w:rsid w:val="006810C1"/>
    <w:rsid w:val="006820C4"/>
    <w:rsid w:val="0068341A"/>
    <w:rsid w:val="00685097"/>
    <w:rsid w:val="0068641E"/>
    <w:rsid w:val="006867AD"/>
    <w:rsid w:val="00691290"/>
    <w:rsid w:val="0069266A"/>
    <w:rsid w:val="0069406F"/>
    <w:rsid w:val="006941CD"/>
    <w:rsid w:val="00694F22"/>
    <w:rsid w:val="00696EC2"/>
    <w:rsid w:val="00697C91"/>
    <w:rsid w:val="006A16C0"/>
    <w:rsid w:val="006A1B09"/>
    <w:rsid w:val="006A3FC9"/>
    <w:rsid w:val="006A4A35"/>
    <w:rsid w:val="006B15B4"/>
    <w:rsid w:val="006B22C4"/>
    <w:rsid w:val="006B383A"/>
    <w:rsid w:val="006B5F1E"/>
    <w:rsid w:val="006B695E"/>
    <w:rsid w:val="006B70D6"/>
    <w:rsid w:val="006B7BF2"/>
    <w:rsid w:val="006C1334"/>
    <w:rsid w:val="006C16FF"/>
    <w:rsid w:val="006C18C2"/>
    <w:rsid w:val="006C2380"/>
    <w:rsid w:val="006C269B"/>
    <w:rsid w:val="006C30E3"/>
    <w:rsid w:val="006C3849"/>
    <w:rsid w:val="006C468A"/>
    <w:rsid w:val="006C5145"/>
    <w:rsid w:val="006C54F1"/>
    <w:rsid w:val="006C65AB"/>
    <w:rsid w:val="006C7DCD"/>
    <w:rsid w:val="006D0AF6"/>
    <w:rsid w:val="006D21FE"/>
    <w:rsid w:val="006D54FA"/>
    <w:rsid w:val="006D5DF7"/>
    <w:rsid w:val="006D5E07"/>
    <w:rsid w:val="006D6FE5"/>
    <w:rsid w:val="006E1210"/>
    <w:rsid w:val="006E3B37"/>
    <w:rsid w:val="006E4289"/>
    <w:rsid w:val="006E4C2E"/>
    <w:rsid w:val="006E5C5D"/>
    <w:rsid w:val="006E7DC3"/>
    <w:rsid w:val="006F4AAD"/>
    <w:rsid w:val="00700685"/>
    <w:rsid w:val="007037D6"/>
    <w:rsid w:val="007047F9"/>
    <w:rsid w:val="00704FC7"/>
    <w:rsid w:val="00705AA8"/>
    <w:rsid w:val="00705AEF"/>
    <w:rsid w:val="007067F7"/>
    <w:rsid w:val="00706A14"/>
    <w:rsid w:val="00710762"/>
    <w:rsid w:val="00711F27"/>
    <w:rsid w:val="00712478"/>
    <w:rsid w:val="00712A1F"/>
    <w:rsid w:val="00712AB1"/>
    <w:rsid w:val="00712F36"/>
    <w:rsid w:val="00713626"/>
    <w:rsid w:val="007204C8"/>
    <w:rsid w:val="00720DE5"/>
    <w:rsid w:val="00722159"/>
    <w:rsid w:val="00722B02"/>
    <w:rsid w:val="00722CDF"/>
    <w:rsid w:val="00722D48"/>
    <w:rsid w:val="00722F1D"/>
    <w:rsid w:val="007264A3"/>
    <w:rsid w:val="00727705"/>
    <w:rsid w:val="00730468"/>
    <w:rsid w:val="00732061"/>
    <w:rsid w:val="0073312E"/>
    <w:rsid w:val="00733673"/>
    <w:rsid w:val="00733CA9"/>
    <w:rsid w:val="007361F4"/>
    <w:rsid w:val="00736850"/>
    <w:rsid w:val="00736A35"/>
    <w:rsid w:val="00736ED0"/>
    <w:rsid w:val="007371A9"/>
    <w:rsid w:val="007418FA"/>
    <w:rsid w:val="00742C94"/>
    <w:rsid w:val="007456D1"/>
    <w:rsid w:val="0075006D"/>
    <w:rsid w:val="0075043C"/>
    <w:rsid w:val="00750F6F"/>
    <w:rsid w:val="0075112E"/>
    <w:rsid w:val="00751EE7"/>
    <w:rsid w:val="0075373D"/>
    <w:rsid w:val="00755057"/>
    <w:rsid w:val="007556CE"/>
    <w:rsid w:val="007560FB"/>
    <w:rsid w:val="00757AD1"/>
    <w:rsid w:val="00763D32"/>
    <w:rsid w:val="0076424C"/>
    <w:rsid w:val="00764D6A"/>
    <w:rsid w:val="007665D6"/>
    <w:rsid w:val="0076685E"/>
    <w:rsid w:val="0076782F"/>
    <w:rsid w:val="00767D91"/>
    <w:rsid w:val="00771AD6"/>
    <w:rsid w:val="00773056"/>
    <w:rsid w:val="00773978"/>
    <w:rsid w:val="00776879"/>
    <w:rsid w:val="0078106D"/>
    <w:rsid w:val="00781088"/>
    <w:rsid w:val="00781239"/>
    <w:rsid w:val="007818C5"/>
    <w:rsid w:val="00783218"/>
    <w:rsid w:val="00785A65"/>
    <w:rsid w:val="00790337"/>
    <w:rsid w:val="00790A92"/>
    <w:rsid w:val="00790C49"/>
    <w:rsid w:val="00790CA7"/>
    <w:rsid w:val="00792292"/>
    <w:rsid w:val="00792BDB"/>
    <w:rsid w:val="00792CE0"/>
    <w:rsid w:val="007934C7"/>
    <w:rsid w:val="00795076"/>
    <w:rsid w:val="007956AA"/>
    <w:rsid w:val="007959EB"/>
    <w:rsid w:val="0079620D"/>
    <w:rsid w:val="00796A35"/>
    <w:rsid w:val="007973B6"/>
    <w:rsid w:val="00797E60"/>
    <w:rsid w:val="007A0191"/>
    <w:rsid w:val="007A130E"/>
    <w:rsid w:val="007A14A6"/>
    <w:rsid w:val="007A1521"/>
    <w:rsid w:val="007A1C0B"/>
    <w:rsid w:val="007A21A1"/>
    <w:rsid w:val="007A4E7E"/>
    <w:rsid w:val="007A5D23"/>
    <w:rsid w:val="007A7CAF"/>
    <w:rsid w:val="007B1002"/>
    <w:rsid w:val="007B11B0"/>
    <w:rsid w:val="007B135F"/>
    <w:rsid w:val="007B26BC"/>
    <w:rsid w:val="007B2E2D"/>
    <w:rsid w:val="007B6463"/>
    <w:rsid w:val="007B64F9"/>
    <w:rsid w:val="007B684F"/>
    <w:rsid w:val="007C0C93"/>
    <w:rsid w:val="007C187C"/>
    <w:rsid w:val="007C32A8"/>
    <w:rsid w:val="007C358A"/>
    <w:rsid w:val="007C6A19"/>
    <w:rsid w:val="007C72E6"/>
    <w:rsid w:val="007D0E98"/>
    <w:rsid w:val="007D14AD"/>
    <w:rsid w:val="007D2CAB"/>
    <w:rsid w:val="007D3186"/>
    <w:rsid w:val="007D6537"/>
    <w:rsid w:val="007E0318"/>
    <w:rsid w:val="007E0DB3"/>
    <w:rsid w:val="007E18FB"/>
    <w:rsid w:val="007E1DD2"/>
    <w:rsid w:val="007E65A3"/>
    <w:rsid w:val="007F0CDB"/>
    <w:rsid w:val="007F1512"/>
    <w:rsid w:val="007F1646"/>
    <w:rsid w:val="007F229A"/>
    <w:rsid w:val="007F4CA9"/>
    <w:rsid w:val="007F51D2"/>
    <w:rsid w:val="007F6CD6"/>
    <w:rsid w:val="007F791D"/>
    <w:rsid w:val="00801831"/>
    <w:rsid w:val="008020F0"/>
    <w:rsid w:val="0080214F"/>
    <w:rsid w:val="00803CBF"/>
    <w:rsid w:val="008041FA"/>
    <w:rsid w:val="00805614"/>
    <w:rsid w:val="00805B05"/>
    <w:rsid w:val="00810260"/>
    <w:rsid w:val="00814237"/>
    <w:rsid w:val="00814503"/>
    <w:rsid w:val="00815BAE"/>
    <w:rsid w:val="00817A32"/>
    <w:rsid w:val="0082200B"/>
    <w:rsid w:val="008222A4"/>
    <w:rsid w:val="0082303B"/>
    <w:rsid w:val="008230E4"/>
    <w:rsid w:val="00823260"/>
    <w:rsid w:val="0082374B"/>
    <w:rsid w:val="008277AB"/>
    <w:rsid w:val="0083238D"/>
    <w:rsid w:val="00832E99"/>
    <w:rsid w:val="00833D22"/>
    <w:rsid w:val="00835B7E"/>
    <w:rsid w:val="00836FDE"/>
    <w:rsid w:val="008371C0"/>
    <w:rsid w:val="008372AE"/>
    <w:rsid w:val="008372B8"/>
    <w:rsid w:val="00837F36"/>
    <w:rsid w:val="00842DE7"/>
    <w:rsid w:val="00843714"/>
    <w:rsid w:val="00844AFF"/>
    <w:rsid w:val="00845654"/>
    <w:rsid w:val="00845A36"/>
    <w:rsid w:val="008463A2"/>
    <w:rsid w:val="008463BF"/>
    <w:rsid w:val="00852E2D"/>
    <w:rsid w:val="00853F02"/>
    <w:rsid w:val="0085475D"/>
    <w:rsid w:val="00856132"/>
    <w:rsid w:val="00861717"/>
    <w:rsid w:val="00861977"/>
    <w:rsid w:val="00861C8D"/>
    <w:rsid w:val="0086239E"/>
    <w:rsid w:val="0086318F"/>
    <w:rsid w:val="00863BEC"/>
    <w:rsid w:val="008644D1"/>
    <w:rsid w:val="00870363"/>
    <w:rsid w:val="00871F11"/>
    <w:rsid w:val="00872211"/>
    <w:rsid w:val="00873E4B"/>
    <w:rsid w:val="00874132"/>
    <w:rsid w:val="0087579F"/>
    <w:rsid w:val="00876D83"/>
    <w:rsid w:val="0087794E"/>
    <w:rsid w:val="00877C04"/>
    <w:rsid w:val="00880541"/>
    <w:rsid w:val="008807B5"/>
    <w:rsid w:val="00885AB0"/>
    <w:rsid w:val="00887C0F"/>
    <w:rsid w:val="00891A46"/>
    <w:rsid w:val="008931DE"/>
    <w:rsid w:val="00893E61"/>
    <w:rsid w:val="00893F60"/>
    <w:rsid w:val="00896694"/>
    <w:rsid w:val="00897BAC"/>
    <w:rsid w:val="008A033B"/>
    <w:rsid w:val="008A5A66"/>
    <w:rsid w:val="008A6E01"/>
    <w:rsid w:val="008A6F2C"/>
    <w:rsid w:val="008A78E3"/>
    <w:rsid w:val="008B058D"/>
    <w:rsid w:val="008B0776"/>
    <w:rsid w:val="008B0836"/>
    <w:rsid w:val="008B0E5C"/>
    <w:rsid w:val="008B1EBC"/>
    <w:rsid w:val="008B28B2"/>
    <w:rsid w:val="008B2B6D"/>
    <w:rsid w:val="008B576C"/>
    <w:rsid w:val="008B59D8"/>
    <w:rsid w:val="008B645D"/>
    <w:rsid w:val="008B6AB3"/>
    <w:rsid w:val="008B6CE6"/>
    <w:rsid w:val="008B71AA"/>
    <w:rsid w:val="008B7304"/>
    <w:rsid w:val="008B7882"/>
    <w:rsid w:val="008C0E92"/>
    <w:rsid w:val="008C215C"/>
    <w:rsid w:val="008C405D"/>
    <w:rsid w:val="008C457C"/>
    <w:rsid w:val="008C4C2F"/>
    <w:rsid w:val="008C4E22"/>
    <w:rsid w:val="008C5F20"/>
    <w:rsid w:val="008C614F"/>
    <w:rsid w:val="008D303C"/>
    <w:rsid w:val="008D3CF9"/>
    <w:rsid w:val="008D4F75"/>
    <w:rsid w:val="008D4F8A"/>
    <w:rsid w:val="008D531D"/>
    <w:rsid w:val="008D5B6A"/>
    <w:rsid w:val="008D616E"/>
    <w:rsid w:val="008D619B"/>
    <w:rsid w:val="008E06EF"/>
    <w:rsid w:val="008E29A6"/>
    <w:rsid w:val="008E347D"/>
    <w:rsid w:val="008E5D08"/>
    <w:rsid w:val="008E67CA"/>
    <w:rsid w:val="008E750F"/>
    <w:rsid w:val="008F3A1A"/>
    <w:rsid w:val="008F7504"/>
    <w:rsid w:val="009029CE"/>
    <w:rsid w:val="00903321"/>
    <w:rsid w:val="00903D1C"/>
    <w:rsid w:val="00906E68"/>
    <w:rsid w:val="00910EB4"/>
    <w:rsid w:val="00911EA7"/>
    <w:rsid w:val="00913299"/>
    <w:rsid w:val="00913A70"/>
    <w:rsid w:val="009142F3"/>
    <w:rsid w:val="009160D7"/>
    <w:rsid w:val="0091719E"/>
    <w:rsid w:val="009200D5"/>
    <w:rsid w:val="00920230"/>
    <w:rsid w:val="0092077E"/>
    <w:rsid w:val="009218B2"/>
    <w:rsid w:val="00923C86"/>
    <w:rsid w:val="009241B8"/>
    <w:rsid w:val="00924B2C"/>
    <w:rsid w:val="009255C0"/>
    <w:rsid w:val="009261D5"/>
    <w:rsid w:val="009266E2"/>
    <w:rsid w:val="00931A79"/>
    <w:rsid w:val="00932082"/>
    <w:rsid w:val="00932ABB"/>
    <w:rsid w:val="00932CE4"/>
    <w:rsid w:val="009330A1"/>
    <w:rsid w:val="00933198"/>
    <w:rsid w:val="00933547"/>
    <w:rsid w:val="00935DB6"/>
    <w:rsid w:val="00935E6C"/>
    <w:rsid w:val="00936033"/>
    <w:rsid w:val="00940A6C"/>
    <w:rsid w:val="00941E01"/>
    <w:rsid w:val="009440DC"/>
    <w:rsid w:val="00944CEA"/>
    <w:rsid w:val="009453A9"/>
    <w:rsid w:val="0094610B"/>
    <w:rsid w:val="009534E0"/>
    <w:rsid w:val="009544E5"/>
    <w:rsid w:val="00955574"/>
    <w:rsid w:val="00956E94"/>
    <w:rsid w:val="00960049"/>
    <w:rsid w:val="0096129E"/>
    <w:rsid w:val="00961A13"/>
    <w:rsid w:val="00961B13"/>
    <w:rsid w:val="00962204"/>
    <w:rsid w:val="00964D04"/>
    <w:rsid w:val="00966E47"/>
    <w:rsid w:val="00970F99"/>
    <w:rsid w:val="0097158F"/>
    <w:rsid w:val="00972961"/>
    <w:rsid w:val="00974910"/>
    <w:rsid w:val="0097491D"/>
    <w:rsid w:val="009753F7"/>
    <w:rsid w:val="00976210"/>
    <w:rsid w:val="00980ED8"/>
    <w:rsid w:val="0098229C"/>
    <w:rsid w:val="00982F8F"/>
    <w:rsid w:val="00984D86"/>
    <w:rsid w:val="00986E7C"/>
    <w:rsid w:val="00987788"/>
    <w:rsid w:val="00991A86"/>
    <w:rsid w:val="00991F7B"/>
    <w:rsid w:val="00992150"/>
    <w:rsid w:val="009938BF"/>
    <w:rsid w:val="00994A5C"/>
    <w:rsid w:val="00994D74"/>
    <w:rsid w:val="0099501A"/>
    <w:rsid w:val="00997084"/>
    <w:rsid w:val="00997218"/>
    <w:rsid w:val="009A064A"/>
    <w:rsid w:val="009A1467"/>
    <w:rsid w:val="009A2307"/>
    <w:rsid w:val="009A2313"/>
    <w:rsid w:val="009A2553"/>
    <w:rsid w:val="009A31DE"/>
    <w:rsid w:val="009A45F3"/>
    <w:rsid w:val="009A504C"/>
    <w:rsid w:val="009A6635"/>
    <w:rsid w:val="009B06B4"/>
    <w:rsid w:val="009B1016"/>
    <w:rsid w:val="009B4122"/>
    <w:rsid w:val="009B4FBA"/>
    <w:rsid w:val="009B522D"/>
    <w:rsid w:val="009B559B"/>
    <w:rsid w:val="009B6D88"/>
    <w:rsid w:val="009B7E22"/>
    <w:rsid w:val="009C2CE0"/>
    <w:rsid w:val="009C3BF1"/>
    <w:rsid w:val="009C42A5"/>
    <w:rsid w:val="009C4B9A"/>
    <w:rsid w:val="009C55DA"/>
    <w:rsid w:val="009C569B"/>
    <w:rsid w:val="009C6095"/>
    <w:rsid w:val="009C6C95"/>
    <w:rsid w:val="009D17A0"/>
    <w:rsid w:val="009D4F4A"/>
    <w:rsid w:val="009D5007"/>
    <w:rsid w:val="009D53CE"/>
    <w:rsid w:val="009D78AA"/>
    <w:rsid w:val="009E178E"/>
    <w:rsid w:val="009E250A"/>
    <w:rsid w:val="009E269F"/>
    <w:rsid w:val="009E2D59"/>
    <w:rsid w:val="009E2E77"/>
    <w:rsid w:val="009E3265"/>
    <w:rsid w:val="009E3DF1"/>
    <w:rsid w:val="009E4DDB"/>
    <w:rsid w:val="009E5F00"/>
    <w:rsid w:val="009E66CA"/>
    <w:rsid w:val="009E709B"/>
    <w:rsid w:val="009E79C7"/>
    <w:rsid w:val="009E7BC6"/>
    <w:rsid w:val="009E7EF2"/>
    <w:rsid w:val="009F0CC3"/>
    <w:rsid w:val="009F3784"/>
    <w:rsid w:val="009F4F94"/>
    <w:rsid w:val="009F527A"/>
    <w:rsid w:val="009F60CD"/>
    <w:rsid w:val="009F6556"/>
    <w:rsid w:val="00A006B3"/>
    <w:rsid w:val="00A0162C"/>
    <w:rsid w:val="00A03982"/>
    <w:rsid w:val="00A04567"/>
    <w:rsid w:val="00A0582E"/>
    <w:rsid w:val="00A0764D"/>
    <w:rsid w:val="00A07C0B"/>
    <w:rsid w:val="00A11058"/>
    <w:rsid w:val="00A113C2"/>
    <w:rsid w:val="00A11DAF"/>
    <w:rsid w:val="00A131BE"/>
    <w:rsid w:val="00A138B3"/>
    <w:rsid w:val="00A178A3"/>
    <w:rsid w:val="00A17BBA"/>
    <w:rsid w:val="00A17C4D"/>
    <w:rsid w:val="00A20E0A"/>
    <w:rsid w:val="00A212C5"/>
    <w:rsid w:val="00A2368A"/>
    <w:rsid w:val="00A24EDD"/>
    <w:rsid w:val="00A2724E"/>
    <w:rsid w:val="00A27F0A"/>
    <w:rsid w:val="00A31D9D"/>
    <w:rsid w:val="00A32CD1"/>
    <w:rsid w:val="00A330AC"/>
    <w:rsid w:val="00A337E7"/>
    <w:rsid w:val="00A34D9F"/>
    <w:rsid w:val="00A3587A"/>
    <w:rsid w:val="00A376BD"/>
    <w:rsid w:val="00A37A8A"/>
    <w:rsid w:val="00A42A82"/>
    <w:rsid w:val="00A43616"/>
    <w:rsid w:val="00A45E49"/>
    <w:rsid w:val="00A46C60"/>
    <w:rsid w:val="00A47298"/>
    <w:rsid w:val="00A506D0"/>
    <w:rsid w:val="00A51935"/>
    <w:rsid w:val="00A52484"/>
    <w:rsid w:val="00A53767"/>
    <w:rsid w:val="00A56D2A"/>
    <w:rsid w:val="00A5743D"/>
    <w:rsid w:val="00A574CF"/>
    <w:rsid w:val="00A60265"/>
    <w:rsid w:val="00A60F70"/>
    <w:rsid w:val="00A621C2"/>
    <w:rsid w:val="00A62F1E"/>
    <w:rsid w:val="00A630C4"/>
    <w:rsid w:val="00A63906"/>
    <w:rsid w:val="00A64F38"/>
    <w:rsid w:val="00A656FE"/>
    <w:rsid w:val="00A66BB1"/>
    <w:rsid w:val="00A67309"/>
    <w:rsid w:val="00A703FB"/>
    <w:rsid w:val="00A74427"/>
    <w:rsid w:val="00A77B63"/>
    <w:rsid w:val="00A80C08"/>
    <w:rsid w:val="00A80E6F"/>
    <w:rsid w:val="00A8192D"/>
    <w:rsid w:val="00A8394C"/>
    <w:rsid w:val="00A84C7B"/>
    <w:rsid w:val="00A85B0B"/>
    <w:rsid w:val="00A86DDC"/>
    <w:rsid w:val="00A8737D"/>
    <w:rsid w:val="00A87E90"/>
    <w:rsid w:val="00A90244"/>
    <w:rsid w:val="00A90742"/>
    <w:rsid w:val="00A944D2"/>
    <w:rsid w:val="00A9552F"/>
    <w:rsid w:val="00A95DE7"/>
    <w:rsid w:val="00A97882"/>
    <w:rsid w:val="00AA0707"/>
    <w:rsid w:val="00AA3503"/>
    <w:rsid w:val="00AA4170"/>
    <w:rsid w:val="00AB1739"/>
    <w:rsid w:val="00AB2D1A"/>
    <w:rsid w:val="00AB356E"/>
    <w:rsid w:val="00AB392B"/>
    <w:rsid w:val="00AB579E"/>
    <w:rsid w:val="00AB6E49"/>
    <w:rsid w:val="00AC0EB2"/>
    <w:rsid w:val="00AC200D"/>
    <w:rsid w:val="00AC35F5"/>
    <w:rsid w:val="00AC3CB8"/>
    <w:rsid w:val="00AC3CC3"/>
    <w:rsid w:val="00AC4DAB"/>
    <w:rsid w:val="00AC6541"/>
    <w:rsid w:val="00AC7869"/>
    <w:rsid w:val="00AC79F4"/>
    <w:rsid w:val="00AD1E77"/>
    <w:rsid w:val="00AD2BA4"/>
    <w:rsid w:val="00AD3039"/>
    <w:rsid w:val="00AD4565"/>
    <w:rsid w:val="00AD54CB"/>
    <w:rsid w:val="00AD7942"/>
    <w:rsid w:val="00AE0632"/>
    <w:rsid w:val="00AE0C8C"/>
    <w:rsid w:val="00AE16FB"/>
    <w:rsid w:val="00AE2F29"/>
    <w:rsid w:val="00AE3547"/>
    <w:rsid w:val="00AE3EFE"/>
    <w:rsid w:val="00AE4237"/>
    <w:rsid w:val="00AE43E0"/>
    <w:rsid w:val="00AE6C0B"/>
    <w:rsid w:val="00AE75FF"/>
    <w:rsid w:val="00AE78E3"/>
    <w:rsid w:val="00AE7C18"/>
    <w:rsid w:val="00AF0A62"/>
    <w:rsid w:val="00AF10D1"/>
    <w:rsid w:val="00AF1C79"/>
    <w:rsid w:val="00AF3BAB"/>
    <w:rsid w:val="00AF3FC6"/>
    <w:rsid w:val="00AF42B1"/>
    <w:rsid w:val="00AF4A80"/>
    <w:rsid w:val="00AF4EBB"/>
    <w:rsid w:val="00AF51B3"/>
    <w:rsid w:val="00B01E8A"/>
    <w:rsid w:val="00B01EEB"/>
    <w:rsid w:val="00B02B14"/>
    <w:rsid w:val="00B02F37"/>
    <w:rsid w:val="00B034BE"/>
    <w:rsid w:val="00B04006"/>
    <w:rsid w:val="00B0496A"/>
    <w:rsid w:val="00B05937"/>
    <w:rsid w:val="00B05C45"/>
    <w:rsid w:val="00B069F6"/>
    <w:rsid w:val="00B133DC"/>
    <w:rsid w:val="00B16E89"/>
    <w:rsid w:val="00B17333"/>
    <w:rsid w:val="00B1744C"/>
    <w:rsid w:val="00B21223"/>
    <w:rsid w:val="00B21E09"/>
    <w:rsid w:val="00B22459"/>
    <w:rsid w:val="00B22EF2"/>
    <w:rsid w:val="00B22FBD"/>
    <w:rsid w:val="00B2515A"/>
    <w:rsid w:val="00B25BBD"/>
    <w:rsid w:val="00B271E8"/>
    <w:rsid w:val="00B3128F"/>
    <w:rsid w:val="00B31DB7"/>
    <w:rsid w:val="00B33539"/>
    <w:rsid w:val="00B353D4"/>
    <w:rsid w:val="00B3547F"/>
    <w:rsid w:val="00B4285E"/>
    <w:rsid w:val="00B479F0"/>
    <w:rsid w:val="00B51042"/>
    <w:rsid w:val="00B51D45"/>
    <w:rsid w:val="00B53012"/>
    <w:rsid w:val="00B53078"/>
    <w:rsid w:val="00B533C1"/>
    <w:rsid w:val="00B534B3"/>
    <w:rsid w:val="00B5359A"/>
    <w:rsid w:val="00B5468A"/>
    <w:rsid w:val="00B553E7"/>
    <w:rsid w:val="00B554E3"/>
    <w:rsid w:val="00B55683"/>
    <w:rsid w:val="00B56D11"/>
    <w:rsid w:val="00B573B3"/>
    <w:rsid w:val="00B5740E"/>
    <w:rsid w:val="00B5753E"/>
    <w:rsid w:val="00B623B3"/>
    <w:rsid w:val="00B6492C"/>
    <w:rsid w:val="00B64D73"/>
    <w:rsid w:val="00B6588A"/>
    <w:rsid w:val="00B662E8"/>
    <w:rsid w:val="00B66EB2"/>
    <w:rsid w:val="00B708B3"/>
    <w:rsid w:val="00B7108D"/>
    <w:rsid w:val="00B72545"/>
    <w:rsid w:val="00B72D44"/>
    <w:rsid w:val="00B76EEE"/>
    <w:rsid w:val="00B7752E"/>
    <w:rsid w:val="00B81331"/>
    <w:rsid w:val="00B815D5"/>
    <w:rsid w:val="00B81687"/>
    <w:rsid w:val="00B81930"/>
    <w:rsid w:val="00B828BB"/>
    <w:rsid w:val="00B837B8"/>
    <w:rsid w:val="00B84741"/>
    <w:rsid w:val="00B85002"/>
    <w:rsid w:val="00B861B4"/>
    <w:rsid w:val="00B90615"/>
    <w:rsid w:val="00B9070A"/>
    <w:rsid w:val="00B90713"/>
    <w:rsid w:val="00B90BB2"/>
    <w:rsid w:val="00B950F5"/>
    <w:rsid w:val="00B96569"/>
    <w:rsid w:val="00B97E61"/>
    <w:rsid w:val="00BA2B1D"/>
    <w:rsid w:val="00BA2B8E"/>
    <w:rsid w:val="00BA5603"/>
    <w:rsid w:val="00BA5ECD"/>
    <w:rsid w:val="00BA6625"/>
    <w:rsid w:val="00BA7510"/>
    <w:rsid w:val="00BB0C7C"/>
    <w:rsid w:val="00BB154F"/>
    <w:rsid w:val="00BB3566"/>
    <w:rsid w:val="00BB3946"/>
    <w:rsid w:val="00BB4514"/>
    <w:rsid w:val="00BB62B6"/>
    <w:rsid w:val="00BB6BB1"/>
    <w:rsid w:val="00BB7DC0"/>
    <w:rsid w:val="00BC000D"/>
    <w:rsid w:val="00BC085E"/>
    <w:rsid w:val="00BC1616"/>
    <w:rsid w:val="00BC1CEF"/>
    <w:rsid w:val="00BC322C"/>
    <w:rsid w:val="00BC4E4F"/>
    <w:rsid w:val="00BC65D2"/>
    <w:rsid w:val="00BC7076"/>
    <w:rsid w:val="00BC7F3B"/>
    <w:rsid w:val="00BD58B7"/>
    <w:rsid w:val="00BD791D"/>
    <w:rsid w:val="00BE0EDD"/>
    <w:rsid w:val="00BE189E"/>
    <w:rsid w:val="00BE2164"/>
    <w:rsid w:val="00BE3E4A"/>
    <w:rsid w:val="00BE561A"/>
    <w:rsid w:val="00BE64B5"/>
    <w:rsid w:val="00BF0E5A"/>
    <w:rsid w:val="00BF1E19"/>
    <w:rsid w:val="00BF2D5F"/>
    <w:rsid w:val="00BF4496"/>
    <w:rsid w:val="00BF4786"/>
    <w:rsid w:val="00C003C5"/>
    <w:rsid w:val="00C02519"/>
    <w:rsid w:val="00C03CB7"/>
    <w:rsid w:val="00C05EAD"/>
    <w:rsid w:val="00C07152"/>
    <w:rsid w:val="00C07E10"/>
    <w:rsid w:val="00C10116"/>
    <w:rsid w:val="00C11B36"/>
    <w:rsid w:val="00C12ACE"/>
    <w:rsid w:val="00C14564"/>
    <w:rsid w:val="00C14E63"/>
    <w:rsid w:val="00C153C6"/>
    <w:rsid w:val="00C15771"/>
    <w:rsid w:val="00C168B0"/>
    <w:rsid w:val="00C20AB7"/>
    <w:rsid w:val="00C20D94"/>
    <w:rsid w:val="00C21E1E"/>
    <w:rsid w:val="00C22DE8"/>
    <w:rsid w:val="00C2372A"/>
    <w:rsid w:val="00C24892"/>
    <w:rsid w:val="00C25CEC"/>
    <w:rsid w:val="00C304CD"/>
    <w:rsid w:val="00C305A9"/>
    <w:rsid w:val="00C321E7"/>
    <w:rsid w:val="00C33358"/>
    <w:rsid w:val="00C35452"/>
    <w:rsid w:val="00C377DF"/>
    <w:rsid w:val="00C40C48"/>
    <w:rsid w:val="00C4151E"/>
    <w:rsid w:val="00C416EC"/>
    <w:rsid w:val="00C43CCE"/>
    <w:rsid w:val="00C44B12"/>
    <w:rsid w:val="00C44ED7"/>
    <w:rsid w:val="00C4741B"/>
    <w:rsid w:val="00C476DE"/>
    <w:rsid w:val="00C52B18"/>
    <w:rsid w:val="00C54502"/>
    <w:rsid w:val="00C54A79"/>
    <w:rsid w:val="00C54BD8"/>
    <w:rsid w:val="00C55D6E"/>
    <w:rsid w:val="00C560E3"/>
    <w:rsid w:val="00C5666E"/>
    <w:rsid w:val="00C56CFE"/>
    <w:rsid w:val="00C631CD"/>
    <w:rsid w:val="00C63E6A"/>
    <w:rsid w:val="00C64FA4"/>
    <w:rsid w:val="00C66072"/>
    <w:rsid w:val="00C7375D"/>
    <w:rsid w:val="00C737B6"/>
    <w:rsid w:val="00C7586B"/>
    <w:rsid w:val="00C76BCC"/>
    <w:rsid w:val="00C7707F"/>
    <w:rsid w:val="00C800E9"/>
    <w:rsid w:val="00C8128A"/>
    <w:rsid w:val="00C823F9"/>
    <w:rsid w:val="00C826FB"/>
    <w:rsid w:val="00C82B9B"/>
    <w:rsid w:val="00C82BA0"/>
    <w:rsid w:val="00C84823"/>
    <w:rsid w:val="00C85C62"/>
    <w:rsid w:val="00C8611B"/>
    <w:rsid w:val="00C87B90"/>
    <w:rsid w:val="00C91A80"/>
    <w:rsid w:val="00C934EE"/>
    <w:rsid w:val="00C93C9A"/>
    <w:rsid w:val="00C954E2"/>
    <w:rsid w:val="00CA02A2"/>
    <w:rsid w:val="00CA03EC"/>
    <w:rsid w:val="00CA36E1"/>
    <w:rsid w:val="00CA4E3B"/>
    <w:rsid w:val="00CA73CE"/>
    <w:rsid w:val="00CB4651"/>
    <w:rsid w:val="00CB467C"/>
    <w:rsid w:val="00CB4D03"/>
    <w:rsid w:val="00CB5011"/>
    <w:rsid w:val="00CB5ADB"/>
    <w:rsid w:val="00CB648E"/>
    <w:rsid w:val="00CB6705"/>
    <w:rsid w:val="00CB7713"/>
    <w:rsid w:val="00CC034F"/>
    <w:rsid w:val="00CC080B"/>
    <w:rsid w:val="00CC26F6"/>
    <w:rsid w:val="00CC2892"/>
    <w:rsid w:val="00CC3871"/>
    <w:rsid w:val="00CC4A37"/>
    <w:rsid w:val="00CC4EF3"/>
    <w:rsid w:val="00CC581A"/>
    <w:rsid w:val="00CC5E24"/>
    <w:rsid w:val="00CC64FF"/>
    <w:rsid w:val="00CC65D2"/>
    <w:rsid w:val="00CC69CF"/>
    <w:rsid w:val="00CC6E3F"/>
    <w:rsid w:val="00CD155B"/>
    <w:rsid w:val="00CD2A4E"/>
    <w:rsid w:val="00CD4FB1"/>
    <w:rsid w:val="00CD6786"/>
    <w:rsid w:val="00CD6AA0"/>
    <w:rsid w:val="00CD7CF7"/>
    <w:rsid w:val="00CE18AB"/>
    <w:rsid w:val="00CE1AAF"/>
    <w:rsid w:val="00CE1F74"/>
    <w:rsid w:val="00CE2F1D"/>
    <w:rsid w:val="00CE461F"/>
    <w:rsid w:val="00CE4F24"/>
    <w:rsid w:val="00CE664D"/>
    <w:rsid w:val="00CF1BE7"/>
    <w:rsid w:val="00CF5FD1"/>
    <w:rsid w:val="00CF7852"/>
    <w:rsid w:val="00D0283F"/>
    <w:rsid w:val="00D03271"/>
    <w:rsid w:val="00D04CCB"/>
    <w:rsid w:val="00D05679"/>
    <w:rsid w:val="00D05D01"/>
    <w:rsid w:val="00D0622A"/>
    <w:rsid w:val="00D06D58"/>
    <w:rsid w:val="00D10C2B"/>
    <w:rsid w:val="00D12388"/>
    <w:rsid w:val="00D12C9F"/>
    <w:rsid w:val="00D14388"/>
    <w:rsid w:val="00D15173"/>
    <w:rsid w:val="00D15394"/>
    <w:rsid w:val="00D1623C"/>
    <w:rsid w:val="00D16C9A"/>
    <w:rsid w:val="00D1774C"/>
    <w:rsid w:val="00D20E1B"/>
    <w:rsid w:val="00D244EA"/>
    <w:rsid w:val="00D26970"/>
    <w:rsid w:val="00D34D8C"/>
    <w:rsid w:val="00D353C4"/>
    <w:rsid w:val="00D355FD"/>
    <w:rsid w:val="00D35B71"/>
    <w:rsid w:val="00D368D1"/>
    <w:rsid w:val="00D40775"/>
    <w:rsid w:val="00D42BFF"/>
    <w:rsid w:val="00D4372F"/>
    <w:rsid w:val="00D44B93"/>
    <w:rsid w:val="00D47121"/>
    <w:rsid w:val="00D51AEC"/>
    <w:rsid w:val="00D535E7"/>
    <w:rsid w:val="00D553D2"/>
    <w:rsid w:val="00D6183E"/>
    <w:rsid w:val="00D61B3F"/>
    <w:rsid w:val="00D62643"/>
    <w:rsid w:val="00D62C20"/>
    <w:rsid w:val="00D6487E"/>
    <w:rsid w:val="00D64990"/>
    <w:rsid w:val="00D6626A"/>
    <w:rsid w:val="00D71B07"/>
    <w:rsid w:val="00D71E71"/>
    <w:rsid w:val="00D7379C"/>
    <w:rsid w:val="00D74966"/>
    <w:rsid w:val="00D749A4"/>
    <w:rsid w:val="00D74CF2"/>
    <w:rsid w:val="00D76ECB"/>
    <w:rsid w:val="00D778B2"/>
    <w:rsid w:val="00D809B2"/>
    <w:rsid w:val="00D8142B"/>
    <w:rsid w:val="00D8286A"/>
    <w:rsid w:val="00D83319"/>
    <w:rsid w:val="00D86D22"/>
    <w:rsid w:val="00D872B8"/>
    <w:rsid w:val="00D878D7"/>
    <w:rsid w:val="00D9292C"/>
    <w:rsid w:val="00D93DD7"/>
    <w:rsid w:val="00D94536"/>
    <w:rsid w:val="00D9520F"/>
    <w:rsid w:val="00D954BA"/>
    <w:rsid w:val="00D95706"/>
    <w:rsid w:val="00D96F7D"/>
    <w:rsid w:val="00D97001"/>
    <w:rsid w:val="00DA0984"/>
    <w:rsid w:val="00DA3E78"/>
    <w:rsid w:val="00DA60EB"/>
    <w:rsid w:val="00DA64D2"/>
    <w:rsid w:val="00DA707E"/>
    <w:rsid w:val="00DB1A6F"/>
    <w:rsid w:val="00DB4EBB"/>
    <w:rsid w:val="00DB5C1F"/>
    <w:rsid w:val="00DB6583"/>
    <w:rsid w:val="00DC4053"/>
    <w:rsid w:val="00DC45E8"/>
    <w:rsid w:val="00DC5A09"/>
    <w:rsid w:val="00DC66FB"/>
    <w:rsid w:val="00DC6AA4"/>
    <w:rsid w:val="00DD0E1B"/>
    <w:rsid w:val="00DD41BB"/>
    <w:rsid w:val="00DD6357"/>
    <w:rsid w:val="00DD7AB1"/>
    <w:rsid w:val="00DD7E7D"/>
    <w:rsid w:val="00DE09CC"/>
    <w:rsid w:val="00DE1575"/>
    <w:rsid w:val="00DE1749"/>
    <w:rsid w:val="00DE24ED"/>
    <w:rsid w:val="00DE34E5"/>
    <w:rsid w:val="00DE55B2"/>
    <w:rsid w:val="00DE6409"/>
    <w:rsid w:val="00DF02BD"/>
    <w:rsid w:val="00DF0AAB"/>
    <w:rsid w:val="00DF1421"/>
    <w:rsid w:val="00DF14E5"/>
    <w:rsid w:val="00DF1BA9"/>
    <w:rsid w:val="00DF3495"/>
    <w:rsid w:val="00DF3B1D"/>
    <w:rsid w:val="00DF5E4E"/>
    <w:rsid w:val="00DF6AF5"/>
    <w:rsid w:val="00DF78DD"/>
    <w:rsid w:val="00E01831"/>
    <w:rsid w:val="00E01A34"/>
    <w:rsid w:val="00E03592"/>
    <w:rsid w:val="00E0665E"/>
    <w:rsid w:val="00E07BB0"/>
    <w:rsid w:val="00E13943"/>
    <w:rsid w:val="00E14707"/>
    <w:rsid w:val="00E158B3"/>
    <w:rsid w:val="00E159BC"/>
    <w:rsid w:val="00E15BA7"/>
    <w:rsid w:val="00E15DB8"/>
    <w:rsid w:val="00E1777E"/>
    <w:rsid w:val="00E20810"/>
    <w:rsid w:val="00E20886"/>
    <w:rsid w:val="00E21BF0"/>
    <w:rsid w:val="00E2298C"/>
    <w:rsid w:val="00E22D32"/>
    <w:rsid w:val="00E238DD"/>
    <w:rsid w:val="00E25E01"/>
    <w:rsid w:val="00E2710D"/>
    <w:rsid w:val="00E30959"/>
    <w:rsid w:val="00E34833"/>
    <w:rsid w:val="00E350E8"/>
    <w:rsid w:val="00E36F38"/>
    <w:rsid w:val="00E41734"/>
    <w:rsid w:val="00E424F6"/>
    <w:rsid w:val="00E46826"/>
    <w:rsid w:val="00E47377"/>
    <w:rsid w:val="00E47C8D"/>
    <w:rsid w:val="00E52DC0"/>
    <w:rsid w:val="00E535DA"/>
    <w:rsid w:val="00E53B40"/>
    <w:rsid w:val="00E54F09"/>
    <w:rsid w:val="00E55EAF"/>
    <w:rsid w:val="00E600A1"/>
    <w:rsid w:val="00E60452"/>
    <w:rsid w:val="00E60EF9"/>
    <w:rsid w:val="00E64D14"/>
    <w:rsid w:val="00E65C83"/>
    <w:rsid w:val="00E66A10"/>
    <w:rsid w:val="00E67DEF"/>
    <w:rsid w:val="00E72374"/>
    <w:rsid w:val="00E72E8A"/>
    <w:rsid w:val="00E73122"/>
    <w:rsid w:val="00E740A0"/>
    <w:rsid w:val="00E741C2"/>
    <w:rsid w:val="00E75323"/>
    <w:rsid w:val="00E75B18"/>
    <w:rsid w:val="00E75DF2"/>
    <w:rsid w:val="00E801FE"/>
    <w:rsid w:val="00E805C5"/>
    <w:rsid w:val="00E8209B"/>
    <w:rsid w:val="00E825E8"/>
    <w:rsid w:val="00E83CE0"/>
    <w:rsid w:val="00E84FC3"/>
    <w:rsid w:val="00E85086"/>
    <w:rsid w:val="00E85224"/>
    <w:rsid w:val="00E86B9D"/>
    <w:rsid w:val="00E90862"/>
    <w:rsid w:val="00E9094E"/>
    <w:rsid w:val="00E914AE"/>
    <w:rsid w:val="00E91D72"/>
    <w:rsid w:val="00EA1C8F"/>
    <w:rsid w:val="00EA2DA9"/>
    <w:rsid w:val="00EA4403"/>
    <w:rsid w:val="00EA4946"/>
    <w:rsid w:val="00EA5AD1"/>
    <w:rsid w:val="00EA7523"/>
    <w:rsid w:val="00EB0DB0"/>
    <w:rsid w:val="00EB0F39"/>
    <w:rsid w:val="00EB1EDB"/>
    <w:rsid w:val="00EB244C"/>
    <w:rsid w:val="00EB5A63"/>
    <w:rsid w:val="00EC0E9F"/>
    <w:rsid w:val="00EC14D2"/>
    <w:rsid w:val="00EC3514"/>
    <w:rsid w:val="00EC43FB"/>
    <w:rsid w:val="00EC546A"/>
    <w:rsid w:val="00EC63E3"/>
    <w:rsid w:val="00EC7F26"/>
    <w:rsid w:val="00EC7FF7"/>
    <w:rsid w:val="00ED3893"/>
    <w:rsid w:val="00ED5FD0"/>
    <w:rsid w:val="00EE014C"/>
    <w:rsid w:val="00EE0F5F"/>
    <w:rsid w:val="00EE2471"/>
    <w:rsid w:val="00EE4376"/>
    <w:rsid w:val="00EE50E1"/>
    <w:rsid w:val="00EF03A9"/>
    <w:rsid w:val="00EF0854"/>
    <w:rsid w:val="00EF0A22"/>
    <w:rsid w:val="00EF4D57"/>
    <w:rsid w:val="00EF55CC"/>
    <w:rsid w:val="00EF7844"/>
    <w:rsid w:val="00F001B0"/>
    <w:rsid w:val="00F00600"/>
    <w:rsid w:val="00F01242"/>
    <w:rsid w:val="00F024D2"/>
    <w:rsid w:val="00F02CBD"/>
    <w:rsid w:val="00F04636"/>
    <w:rsid w:val="00F04729"/>
    <w:rsid w:val="00F04C6C"/>
    <w:rsid w:val="00F0753C"/>
    <w:rsid w:val="00F07B0E"/>
    <w:rsid w:val="00F10008"/>
    <w:rsid w:val="00F10A3E"/>
    <w:rsid w:val="00F15094"/>
    <w:rsid w:val="00F15A29"/>
    <w:rsid w:val="00F15BA2"/>
    <w:rsid w:val="00F17696"/>
    <w:rsid w:val="00F20612"/>
    <w:rsid w:val="00F20AC9"/>
    <w:rsid w:val="00F20EAB"/>
    <w:rsid w:val="00F22E50"/>
    <w:rsid w:val="00F23166"/>
    <w:rsid w:val="00F254DD"/>
    <w:rsid w:val="00F2749A"/>
    <w:rsid w:val="00F279CF"/>
    <w:rsid w:val="00F30640"/>
    <w:rsid w:val="00F32C46"/>
    <w:rsid w:val="00F3361B"/>
    <w:rsid w:val="00F34CEB"/>
    <w:rsid w:val="00F35D8F"/>
    <w:rsid w:val="00F365C2"/>
    <w:rsid w:val="00F37221"/>
    <w:rsid w:val="00F40936"/>
    <w:rsid w:val="00F41F0A"/>
    <w:rsid w:val="00F422CE"/>
    <w:rsid w:val="00F426A0"/>
    <w:rsid w:val="00F42D81"/>
    <w:rsid w:val="00F44DA4"/>
    <w:rsid w:val="00F45726"/>
    <w:rsid w:val="00F4720F"/>
    <w:rsid w:val="00F479CE"/>
    <w:rsid w:val="00F50501"/>
    <w:rsid w:val="00F5080F"/>
    <w:rsid w:val="00F51288"/>
    <w:rsid w:val="00F52B42"/>
    <w:rsid w:val="00F52D7F"/>
    <w:rsid w:val="00F53450"/>
    <w:rsid w:val="00F535C3"/>
    <w:rsid w:val="00F539C8"/>
    <w:rsid w:val="00F556A4"/>
    <w:rsid w:val="00F55B12"/>
    <w:rsid w:val="00F60F26"/>
    <w:rsid w:val="00F60F54"/>
    <w:rsid w:val="00F61135"/>
    <w:rsid w:val="00F611EE"/>
    <w:rsid w:val="00F616C8"/>
    <w:rsid w:val="00F639D1"/>
    <w:rsid w:val="00F64E43"/>
    <w:rsid w:val="00F66552"/>
    <w:rsid w:val="00F6710A"/>
    <w:rsid w:val="00F7132F"/>
    <w:rsid w:val="00F73018"/>
    <w:rsid w:val="00F73580"/>
    <w:rsid w:val="00F73D55"/>
    <w:rsid w:val="00F74C3C"/>
    <w:rsid w:val="00F76B06"/>
    <w:rsid w:val="00F76DCF"/>
    <w:rsid w:val="00F7746F"/>
    <w:rsid w:val="00F8042A"/>
    <w:rsid w:val="00F808D8"/>
    <w:rsid w:val="00F815B1"/>
    <w:rsid w:val="00F82297"/>
    <w:rsid w:val="00F83CD3"/>
    <w:rsid w:val="00F84350"/>
    <w:rsid w:val="00F849B2"/>
    <w:rsid w:val="00F85B31"/>
    <w:rsid w:val="00F85E20"/>
    <w:rsid w:val="00F86EB5"/>
    <w:rsid w:val="00F87334"/>
    <w:rsid w:val="00F87360"/>
    <w:rsid w:val="00F90E86"/>
    <w:rsid w:val="00F9183A"/>
    <w:rsid w:val="00F91B6E"/>
    <w:rsid w:val="00F91FD9"/>
    <w:rsid w:val="00F92166"/>
    <w:rsid w:val="00F92C20"/>
    <w:rsid w:val="00F9333F"/>
    <w:rsid w:val="00F938EC"/>
    <w:rsid w:val="00F94DB9"/>
    <w:rsid w:val="00F95D55"/>
    <w:rsid w:val="00F97613"/>
    <w:rsid w:val="00FA2743"/>
    <w:rsid w:val="00FA399D"/>
    <w:rsid w:val="00FA3C24"/>
    <w:rsid w:val="00FA454C"/>
    <w:rsid w:val="00FA5B51"/>
    <w:rsid w:val="00FA7D8F"/>
    <w:rsid w:val="00FB1623"/>
    <w:rsid w:val="00FB1779"/>
    <w:rsid w:val="00FB252A"/>
    <w:rsid w:val="00FB3600"/>
    <w:rsid w:val="00FB443F"/>
    <w:rsid w:val="00FB4602"/>
    <w:rsid w:val="00FB574E"/>
    <w:rsid w:val="00FB64AB"/>
    <w:rsid w:val="00FC1759"/>
    <w:rsid w:val="00FC262A"/>
    <w:rsid w:val="00FC3EEA"/>
    <w:rsid w:val="00FC4663"/>
    <w:rsid w:val="00FC466D"/>
    <w:rsid w:val="00FC4CB4"/>
    <w:rsid w:val="00FC5931"/>
    <w:rsid w:val="00FC6F06"/>
    <w:rsid w:val="00FC79EC"/>
    <w:rsid w:val="00FD0F02"/>
    <w:rsid w:val="00FD3DA8"/>
    <w:rsid w:val="00FD40AD"/>
    <w:rsid w:val="00FD435B"/>
    <w:rsid w:val="00FD5178"/>
    <w:rsid w:val="00FD537D"/>
    <w:rsid w:val="00FD53F2"/>
    <w:rsid w:val="00FD6034"/>
    <w:rsid w:val="00FD6BCC"/>
    <w:rsid w:val="00FE1185"/>
    <w:rsid w:val="00FE274C"/>
    <w:rsid w:val="00FE45D9"/>
    <w:rsid w:val="00FE6C89"/>
    <w:rsid w:val="00FE7A66"/>
    <w:rsid w:val="00FF09AD"/>
    <w:rsid w:val="00FF2FA1"/>
    <w:rsid w:val="00FF3E97"/>
    <w:rsid w:val="00FF4C93"/>
    <w:rsid w:val="00FF4FC8"/>
    <w:rsid w:val="00FF5A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5345"/>
    <o:shapelayout v:ext="edit">
      <o:idmap v:ext="edit" data="1"/>
    </o:shapelayout>
  </w:shapeDefaults>
  <w:decimalSymbol w:val="."/>
  <w:listSeparator w:val=","/>
  <w14:docId w14:val="3E79F133"/>
  <w15:docId w15:val="{9F747C62-2615-4C5B-9BE1-3FEAF4672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locked="1" w:uiPriority="21" w:qFormat="1"/>
    <w:lsdException w:name="Subtle Reference" w:semiHidden="1" w:uiPriority="31" w:unhideWhenUsed="1" w:qFormat="1"/>
    <w:lsdException w:name="Intense Reference" w:locked="1" w:semiHidden="1"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669"/>
    <w:pPr>
      <w:spacing w:after="200" w:line="276" w:lineRule="auto"/>
    </w:pPr>
    <w:rPr>
      <w:rFonts w:ascii="Arial" w:eastAsiaTheme="minorHAnsi" w:hAnsi="Arial" w:cstheme="minorBidi"/>
      <w:sz w:val="22"/>
      <w:szCs w:val="22"/>
      <w:lang w:eastAsia="en-US"/>
    </w:rPr>
  </w:style>
  <w:style w:type="paragraph" w:styleId="Heading1">
    <w:name w:val="heading 1"/>
    <w:next w:val="Normal"/>
    <w:link w:val="Heading1Char"/>
    <w:uiPriority w:val="9"/>
    <w:qFormat/>
    <w:rsid w:val="00972961"/>
    <w:pPr>
      <w:widowControl w:val="0"/>
      <w:spacing w:before="2280" w:line="276" w:lineRule="auto"/>
      <w:ind w:left="432" w:hanging="432"/>
      <w:contextualSpacing/>
      <w:outlineLvl w:val="0"/>
    </w:pPr>
    <w:rPr>
      <w:rFonts w:ascii="Arial" w:eastAsiaTheme="minorHAnsi" w:hAnsi="Arial" w:cstheme="minorBidi"/>
      <w:b/>
      <w:bCs/>
      <w:color w:val="FFFFFF" w:themeColor="background1"/>
      <w:spacing w:val="5"/>
      <w:kern w:val="28"/>
      <w:sz w:val="104"/>
      <w:szCs w:val="28"/>
      <w:lang w:eastAsia="en-US"/>
    </w:rPr>
  </w:style>
  <w:style w:type="paragraph" w:styleId="Heading2">
    <w:name w:val="heading 2"/>
    <w:basedOn w:val="Normal"/>
    <w:next w:val="Normal"/>
    <w:link w:val="Heading2Char"/>
    <w:qFormat/>
    <w:rsid w:val="00773978"/>
    <w:pPr>
      <w:pageBreakBefore/>
      <w:numPr>
        <w:numId w:val="12"/>
      </w:numPr>
      <w:spacing w:after="240"/>
      <w:ind w:left="432"/>
      <w:outlineLvl w:val="1"/>
    </w:pPr>
    <w:rPr>
      <w:rFonts w:eastAsiaTheme="minorEastAsia"/>
      <w:b/>
      <w:bCs/>
      <w:color w:val="303F51"/>
      <w:sz w:val="36"/>
      <w:szCs w:val="28"/>
      <w:lang w:eastAsia="ja-JP"/>
    </w:rPr>
  </w:style>
  <w:style w:type="paragraph" w:styleId="Heading3">
    <w:name w:val="heading 3"/>
    <w:next w:val="Normal"/>
    <w:link w:val="Heading3Char"/>
    <w:qFormat/>
    <w:rsid w:val="007E65A3"/>
    <w:pPr>
      <w:keepNext/>
      <w:keepLines/>
      <w:numPr>
        <w:ilvl w:val="1"/>
        <w:numId w:val="12"/>
      </w:numPr>
      <w:outlineLvl w:val="2"/>
    </w:pPr>
    <w:rPr>
      <w:rFonts w:ascii="Arial" w:eastAsia="Times New Roman" w:hAnsi="Arial"/>
      <w:b/>
      <w:bCs/>
      <w:color w:val="303F51"/>
      <w:sz w:val="32"/>
      <w:szCs w:val="24"/>
      <w:lang w:eastAsia="en-US"/>
    </w:rPr>
  </w:style>
  <w:style w:type="paragraph" w:styleId="Heading4">
    <w:name w:val="heading 4"/>
    <w:basedOn w:val="Normal"/>
    <w:next w:val="Normal"/>
    <w:link w:val="Heading4Char"/>
    <w:qFormat/>
    <w:rsid w:val="005B2943"/>
    <w:pPr>
      <w:numPr>
        <w:ilvl w:val="2"/>
        <w:numId w:val="12"/>
      </w:numPr>
      <w:tabs>
        <w:tab w:val="left" w:pos="1021"/>
      </w:tabs>
      <w:spacing w:before="120" w:after="60"/>
      <w:outlineLvl w:val="3"/>
    </w:pPr>
    <w:rPr>
      <w:rFonts w:eastAsiaTheme="majorEastAsia" w:cstheme="majorBidi"/>
      <w:b/>
      <w:bCs/>
      <w:iCs/>
      <w:color w:val="303F51"/>
    </w:rPr>
  </w:style>
  <w:style w:type="paragraph" w:styleId="Heading5">
    <w:name w:val="heading 5"/>
    <w:next w:val="Normal"/>
    <w:link w:val="Heading5Char"/>
    <w:uiPriority w:val="9"/>
    <w:qFormat/>
    <w:rsid w:val="00722159"/>
    <w:pPr>
      <w:numPr>
        <w:numId w:val="30"/>
      </w:numPr>
      <w:tabs>
        <w:tab w:val="left" w:pos="1361"/>
      </w:tabs>
      <w:spacing w:before="100" w:after="100" w:line="240" w:lineRule="atLeast"/>
      <w:outlineLvl w:val="4"/>
    </w:pPr>
    <w:rPr>
      <w:rFonts w:ascii="Arial" w:eastAsiaTheme="majorEastAsia" w:hAnsi="Arial" w:cstheme="majorBidi"/>
      <w:b/>
      <w:color w:val="303F51"/>
      <w:sz w:val="22"/>
      <w:szCs w:val="22"/>
      <w:lang w:eastAsia="en-US"/>
    </w:rPr>
  </w:style>
  <w:style w:type="paragraph" w:styleId="Heading6">
    <w:name w:val="heading 6"/>
    <w:basedOn w:val="Normal"/>
    <w:next w:val="Normal"/>
    <w:link w:val="Heading6Char"/>
    <w:uiPriority w:val="9"/>
    <w:qFormat/>
    <w:rsid w:val="005B2943"/>
    <w:pPr>
      <w:tabs>
        <w:tab w:val="left" w:pos="1361"/>
      </w:tabs>
      <w:spacing w:before="120" w:after="100"/>
      <w:outlineLvl w:val="5"/>
    </w:pPr>
    <w:rPr>
      <w:rFonts w:eastAsiaTheme="majorEastAsia" w:cstheme="majorBidi"/>
      <w:b/>
      <w:i/>
      <w:iCs/>
      <w:color w:val="303F51"/>
    </w:rPr>
  </w:style>
  <w:style w:type="paragraph" w:styleId="Heading7">
    <w:name w:val="heading 7"/>
    <w:basedOn w:val="UnnumberedHeading"/>
    <w:next w:val="AERbodytext"/>
    <w:link w:val="Heading7Char"/>
    <w:uiPriority w:val="9"/>
    <w:qFormat/>
    <w:rsid w:val="00D62643"/>
    <w:pPr>
      <w:tabs>
        <w:tab w:val="clear" w:pos="0"/>
      </w:tabs>
      <w:ind w:left="1008" w:hanging="1008"/>
      <w:outlineLvl w:val="6"/>
    </w:pPr>
    <w:rPr>
      <w:iCs/>
      <w:szCs w:val="24"/>
    </w:rPr>
  </w:style>
  <w:style w:type="paragraph" w:styleId="Heading8">
    <w:name w:val="heading 8"/>
    <w:basedOn w:val="Heading7"/>
    <w:next w:val="AERbodytext"/>
    <w:link w:val="Heading8Char"/>
    <w:uiPriority w:val="9"/>
    <w:qFormat/>
    <w:rsid w:val="00D62643"/>
    <w:pPr>
      <w:pageBreakBefore w:val="0"/>
      <w:ind w:left="1152" w:hanging="1152"/>
      <w:outlineLvl w:val="7"/>
    </w:pPr>
    <w:rPr>
      <w:sz w:val="28"/>
      <w:szCs w:val="20"/>
    </w:rPr>
  </w:style>
  <w:style w:type="paragraph" w:styleId="Heading9">
    <w:name w:val="heading 9"/>
    <w:basedOn w:val="Heading8"/>
    <w:next w:val="AERbodytext"/>
    <w:link w:val="Heading9Char"/>
    <w:uiPriority w:val="9"/>
    <w:qFormat/>
    <w:rsid w:val="00D62643"/>
    <w:pPr>
      <w:ind w:left="1296" w:hanging="1296"/>
      <w:outlineLvl w:val="8"/>
    </w:pPr>
    <w:rPr>
      <w:iCs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HAnsi" w:cstheme="minorBidi"/>
      <w:lang w:eastAsia="en-US"/>
    </w:rPr>
  </w:style>
  <w:style w:type="paragraph" w:styleId="Header">
    <w:name w:val="header"/>
    <w:basedOn w:val="Normal"/>
    <w:link w:val="HeaderChar"/>
    <w:uiPriority w:val="99"/>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99"/>
    <w:rPr>
      <w:rFonts w:ascii="Calibri" w:eastAsiaTheme="minorHAnsi" w:hAnsi="Calibri" w:cstheme="minorBidi"/>
      <w:szCs w:val="22"/>
      <w:lang w:eastAsia="en-US"/>
    </w:rPr>
  </w:style>
  <w:style w:type="paragraph" w:styleId="Footer">
    <w:name w:val="footer"/>
    <w:basedOn w:val="Normal"/>
    <w:link w:val="FooterChar"/>
    <w:uiPriority w:val="99"/>
    <w:qFormat/>
    <w:rsid w:val="00F556A4"/>
    <w:pPr>
      <w:spacing w:after="0" w:line="240" w:lineRule="auto"/>
    </w:pPr>
    <w:rPr>
      <w:rFonts w:cs="Arial"/>
      <w:color w:val="303F51"/>
      <w:sz w:val="18"/>
      <w:szCs w:val="18"/>
    </w:rPr>
  </w:style>
  <w:style w:type="character" w:customStyle="1" w:styleId="FooterChar">
    <w:name w:val="Footer Char"/>
    <w:basedOn w:val="DefaultParagraphFont"/>
    <w:link w:val="Footer"/>
    <w:uiPriority w:val="99"/>
    <w:rsid w:val="00F556A4"/>
    <w:rPr>
      <w:rFonts w:ascii="Arial" w:eastAsiaTheme="minorHAnsi" w:hAnsi="Arial" w:cs="Arial"/>
      <w:color w:val="303F51"/>
      <w:sz w:val="18"/>
      <w:szCs w:val="18"/>
      <w:lang w:eastAsia="en-US"/>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HAnsi" w:cstheme="minorBidi"/>
      <w:b/>
      <w:bCs/>
      <w:lang w:eastAsia="en-US"/>
    </w:rPr>
  </w:style>
  <w:style w:type="paragraph" w:styleId="BalloonText">
    <w:name w:val="Balloon Text"/>
    <w:basedOn w:val="Normal"/>
    <w:link w:val="BalloonTextChar"/>
    <w:uiPriority w:val="99"/>
    <w:semiHidden/>
    <w:unhideWhenUsed/>
    <w:rPr>
      <w:rFonts w:ascii="Calibri" w:hAnsi="Calibri"/>
      <w:sz w:val="18"/>
      <w:szCs w:val="18"/>
    </w:rPr>
  </w:style>
  <w:style w:type="character" w:customStyle="1" w:styleId="BalloonTextChar">
    <w:name w:val="Balloon Text Char"/>
    <w:basedOn w:val="DefaultParagraphFont"/>
    <w:link w:val="BalloonText"/>
    <w:uiPriority w:val="99"/>
    <w:semiHidden/>
    <w:rPr>
      <w:rFonts w:ascii="Calibri" w:eastAsiaTheme="minorHAnsi" w:hAnsi="Calibri" w:cstheme="minorBidi"/>
      <w:sz w:val="18"/>
      <w:szCs w:val="18"/>
      <w:lang w:eastAsia="en-US"/>
    </w:rPr>
  </w:style>
  <w:style w:type="table" w:styleId="TableGrid">
    <w:name w:val="Table Grid"/>
    <w:aliases w:val="ACCC Table"/>
    <w:basedOn w:val="TableNormal"/>
    <w:uiPriority w:val="5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Text2">
    <w:name w:val="Box Text 2"/>
    <w:basedOn w:val="BoxText1"/>
    <w:qFormat/>
    <w:rsid w:val="00A56D2A"/>
    <w:pPr>
      <w:pBdr>
        <w:top w:val="single" w:sz="12" w:space="10" w:color="629DD1"/>
        <w:left w:val="single" w:sz="12" w:space="10" w:color="629DD1"/>
        <w:bottom w:val="single" w:sz="12" w:space="10" w:color="629DD1"/>
        <w:right w:val="single" w:sz="12" w:space="10" w:color="629DD1"/>
      </w:pBdr>
      <w:shd w:val="clear" w:color="auto" w:fill="auto"/>
    </w:pPr>
  </w:style>
  <w:style w:type="character" w:customStyle="1" w:styleId="Heading1Char">
    <w:name w:val="Heading 1 Char"/>
    <w:basedOn w:val="DefaultParagraphFont"/>
    <w:link w:val="Heading1"/>
    <w:uiPriority w:val="9"/>
    <w:rsid w:val="00972961"/>
    <w:rPr>
      <w:rFonts w:ascii="Arial" w:eastAsiaTheme="minorHAnsi" w:hAnsi="Arial" w:cstheme="minorBidi"/>
      <w:b/>
      <w:bCs/>
      <w:color w:val="FFFFFF" w:themeColor="background1"/>
      <w:spacing w:val="5"/>
      <w:kern w:val="28"/>
      <w:sz w:val="104"/>
      <w:szCs w:val="28"/>
      <w:lang w:eastAsia="en-US"/>
    </w:rPr>
  </w:style>
  <w:style w:type="character" w:customStyle="1" w:styleId="Heading2Char">
    <w:name w:val="Heading 2 Char"/>
    <w:basedOn w:val="DefaultParagraphFont"/>
    <w:link w:val="Heading2"/>
    <w:uiPriority w:val="9"/>
    <w:rsid w:val="00773978"/>
    <w:rPr>
      <w:rFonts w:ascii="Arial" w:eastAsiaTheme="minorEastAsia" w:hAnsi="Arial" w:cstheme="minorBidi"/>
      <w:b/>
      <w:bCs/>
      <w:color w:val="303F51"/>
      <w:sz w:val="36"/>
      <w:szCs w:val="28"/>
      <w:lang w:eastAsia="ja-JP"/>
    </w:rPr>
  </w:style>
  <w:style w:type="character" w:customStyle="1" w:styleId="Heading3Char">
    <w:name w:val="Heading 3 Char"/>
    <w:basedOn w:val="DefaultParagraphFont"/>
    <w:link w:val="Heading3"/>
    <w:uiPriority w:val="9"/>
    <w:rsid w:val="007E65A3"/>
    <w:rPr>
      <w:rFonts w:ascii="Arial" w:eastAsia="Times New Roman" w:hAnsi="Arial"/>
      <w:b/>
      <w:bCs/>
      <w:color w:val="303F51"/>
      <w:sz w:val="32"/>
      <w:szCs w:val="24"/>
      <w:lang w:eastAsia="en-US"/>
    </w:rPr>
  </w:style>
  <w:style w:type="character" w:customStyle="1" w:styleId="Heading4Char">
    <w:name w:val="Heading 4 Char"/>
    <w:basedOn w:val="DefaultParagraphFont"/>
    <w:link w:val="Heading4"/>
    <w:uiPriority w:val="9"/>
    <w:rsid w:val="005B2943"/>
    <w:rPr>
      <w:rFonts w:ascii="Arial" w:eastAsiaTheme="majorEastAsia" w:hAnsi="Arial" w:cstheme="majorBidi"/>
      <w:b/>
      <w:bCs/>
      <w:iCs/>
      <w:color w:val="303F51"/>
      <w:sz w:val="22"/>
      <w:szCs w:val="22"/>
      <w:lang w:eastAsia="en-US"/>
    </w:rPr>
  </w:style>
  <w:style w:type="character" w:customStyle="1" w:styleId="Heading5Char">
    <w:name w:val="Heading 5 Char"/>
    <w:basedOn w:val="DefaultParagraphFont"/>
    <w:link w:val="Heading5"/>
    <w:uiPriority w:val="9"/>
    <w:rsid w:val="00722159"/>
    <w:rPr>
      <w:rFonts w:ascii="Arial" w:eastAsiaTheme="majorEastAsia" w:hAnsi="Arial" w:cstheme="majorBidi"/>
      <w:b/>
      <w:color w:val="303F51"/>
      <w:sz w:val="22"/>
      <w:szCs w:val="22"/>
      <w:lang w:eastAsia="en-US"/>
    </w:rPr>
  </w:style>
  <w:style w:type="paragraph" w:styleId="Quote">
    <w:name w:val="Quote"/>
    <w:basedOn w:val="Normal"/>
    <w:next w:val="Normal"/>
    <w:link w:val="QuoteChar"/>
    <w:uiPriority w:val="18"/>
    <w:qFormat/>
    <w:pPr>
      <w:ind w:left="709" w:right="567"/>
    </w:pPr>
    <w:rPr>
      <w:iCs/>
      <w:color w:val="000000"/>
    </w:rPr>
  </w:style>
  <w:style w:type="character" w:customStyle="1" w:styleId="QuoteChar">
    <w:name w:val="Quote Char"/>
    <w:basedOn w:val="DefaultParagraphFont"/>
    <w:link w:val="Quote"/>
    <w:uiPriority w:val="18"/>
    <w:rPr>
      <w:rFonts w:eastAsiaTheme="minorHAnsi" w:cstheme="minorBidi"/>
      <w:iCs/>
      <w:color w:val="000000"/>
      <w:sz w:val="22"/>
      <w:szCs w:val="22"/>
      <w:lang w:eastAsia="en-US"/>
    </w:rPr>
  </w:style>
  <w:style w:type="paragraph" w:customStyle="1" w:styleId="BoxText1">
    <w:name w:val="Box Text 1"/>
    <w:basedOn w:val="Normal"/>
    <w:uiPriority w:val="19"/>
    <w:qFormat/>
    <w:rsid w:val="004258A6"/>
    <w:pPr>
      <w:pBdr>
        <w:top w:val="single" w:sz="4" w:space="10" w:color="D9D9D9" w:themeColor="background1" w:themeShade="D9"/>
        <w:left w:val="single" w:sz="4" w:space="10" w:color="D9D9D9" w:themeColor="background1" w:themeShade="D9"/>
        <w:bottom w:val="single" w:sz="4" w:space="10" w:color="D9D9D9" w:themeColor="background1" w:themeShade="D9"/>
        <w:right w:val="single" w:sz="4" w:space="10" w:color="D9D9D9" w:themeColor="background1" w:themeShade="D9"/>
      </w:pBdr>
      <w:shd w:val="pct10" w:color="auto" w:fill="auto"/>
      <w:spacing w:before="120" w:after="120"/>
    </w:pPr>
    <w:rPr>
      <w:lang w:eastAsia="ja-JP"/>
    </w:rPr>
  </w:style>
  <w:style w:type="paragraph" w:styleId="Caption">
    <w:name w:val="caption"/>
    <w:basedOn w:val="Normal"/>
    <w:next w:val="Normal"/>
    <w:uiPriority w:val="35"/>
    <w:qFormat/>
    <w:rsid w:val="000724D2"/>
    <w:pPr>
      <w:keepNext/>
      <w:spacing w:before="120" w:after="120" w:line="240" w:lineRule="auto"/>
    </w:pPr>
    <w:rPr>
      <w:b/>
      <w:bCs/>
      <w:color w:val="F4611F"/>
      <w:szCs w:val="18"/>
    </w:rPr>
  </w:style>
  <w:style w:type="paragraph" w:customStyle="1" w:styleId="FigureTableNoteSource">
    <w:name w:val="Figure/Table Note/Source"/>
    <w:basedOn w:val="Normal"/>
    <w:next w:val="Normal"/>
    <w:uiPriority w:val="16"/>
    <w:qFormat/>
    <w:rsid w:val="000344FC"/>
    <w:pPr>
      <w:spacing w:before="120" w:line="264" w:lineRule="auto"/>
      <w:contextualSpacing/>
    </w:pPr>
    <w:rPr>
      <w:sz w:val="18"/>
    </w:rPr>
  </w:style>
  <w:style w:type="paragraph" w:styleId="Subtitle">
    <w:name w:val="Subtitle"/>
    <w:basedOn w:val="Heading1"/>
    <w:next w:val="Normal"/>
    <w:link w:val="SubtitleChar"/>
    <w:uiPriority w:val="23"/>
    <w:qFormat/>
    <w:rsid w:val="00972961"/>
    <w:pPr>
      <w:spacing w:before="120"/>
    </w:pPr>
    <w:rPr>
      <w:sz w:val="56"/>
      <w:szCs w:val="56"/>
    </w:rPr>
  </w:style>
  <w:style w:type="character" w:customStyle="1" w:styleId="SubtitleChar">
    <w:name w:val="Subtitle Char"/>
    <w:basedOn w:val="DefaultParagraphFont"/>
    <w:link w:val="Subtitle"/>
    <w:uiPriority w:val="23"/>
    <w:rsid w:val="00972961"/>
    <w:rPr>
      <w:rFonts w:ascii="Arial" w:eastAsiaTheme="minorHAnsi" w:hAnsi="Arial" w:cstheme="minorBidi"/>
      <w:b/>
      <w:bCs/>
      <w:color w:val="FFFFFF" w:themeColor="background1"/>
      <w:spacing w:val="5"/>
      <w:kern w:val="28"/>
      <w:sz w:val="56"/>
      <w:szCs w:val="56"/>
      <w:lang w:eastAsia="en-US"/>
    </w:rPr>
  </w:style>
  <w:style w:type="paragraph" w:styleId="TOCHeading">
    <w:name w:val="TOC Heading"/>
    <w:next w:val="Normal"/>
    <w:uiPriority w:val="39"/>
    <w:qFormat/>
    <w:rsid w:val="008D4F75"/>
    <w:pPr>
      <w:spacing w:before="480" w:after="120" w:line="276" w:lineRule="auto"/>
    </w:pPr>
    <w:rPr>
      <w:rFonts w:ascii="Arial" w:eastAsiaTheme="minorEastAsia" w:hAnsi="Arial" w:cstheme="minorBidi"/>
      <w:b/>
      <w:bCs/>
      <w:color w:val="F4611F"/>
      <w:sz w:val="36"/>
      <w:szCs w:val="28"/>
      <w:lang w:eastAsia="ja-JP"/>
    </w:rPr>
  </w:style>
  <w:style w:type="paragraph" w:styleId="TOC1">
    <w:name w:val="toc 1"/>
    <w:basedOn w:val="Normal"/>
    <w:next w:val="Normal"/>
    <w:uiPriority w:val="39"/>
    <w:unhideWhenUsed/>
    <w:qFormat/>
    <w:rsid w:val="000344FC"/>
    <w:pPr>
      <w:tabs>
        <w:tab w:val="left" w:pos="426"/>
        <w:tab w:val="right" w:leader="dot" w:pos="9072"/>
      </w:tabs>
      <w:spacing w:before="120" w:after="120" w:line="240" w:lineRule="auto"/>
    </w:pPr>
    <w:rPr>
      <w:b/>
      <w:noProof/>
      <w:color w:val="303F51"/>
    </w:rPr>
  </w:style>
  <w:style w:type="paragraph" w:styleId="TOC2">
    <w:name w:val="toc 2"/>
    <w:basedOn w:val="Normal"/>
    <w:next w:val="Normal"/>
    <w:uiPriority w:val="39"/>
    <w:unhideWhenUsed/>
    <w:qFormat/>
    <w:rsid w:val="000344FC"/>
    <w:pPr>
      <w:tabs>
        <w:tab w:val="right" w:leader="dot" w:pos="9060"/>
      </w:tabs>
      <w:spacing w:before="120" w:after="120" w:line="240" w:lineRule="auto"/>
      <w:ind w:firstLine="425"/>
    </w:pPr>
    <w:rPr>
      <w:noProof/>
      <w:color w:val="303F51"/>
    </w:rPr>
  </w:style>
  <w:style w:type="paragraph" w:styleId="TOC3">
    <w:name w:val="toc 3"/>
    <w:basedOn w:val="Normal"/>
    <w:next w:val="Normal"/>
    <w:uiPriority w:val="39"/>
    <w:unhideWhenUsed/>
    <w:qFormat/>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Pr>
      <w:color w:val="165788"/>
      <w:u w:val="single"/>
    </w:rPr>
  </w:style>
  <w:style w:type="paragraph" w:styleId="ListBullet">
    <w:name w:val="List Bullet"/>
    <w:basedOn w:val="Normal"/>
    <w:uiPriority w:val="99"/>
    <w:qFormat/>
    <w:rsid w:val="007C32A8"/>
    <w:pPr>
      <w:numPr>
        <w:numId w:val="3"/>
      </w:numPr>
      <w:spacing w:before="120" w:after="120"/>
    </w:pPr>
  </w:style>
  <w:style w:type="paragraph" w:styleId="TableofFigures">
    <w:name w:val="table of figures"/>
    <w:basedOn w:val="Normal"/>
    <w:next w:val="Normal"/>
    <w:uiPriority w:val="99"/>
    <w:pPr>
      <w:spacing w:before="120" w:after="120" w:line="240" w:lineRule="auto"/>
    </w:pPr>
  </w:style>
  <w:style w:type="paragraph" w:styleId="ListBullet2">
    <w:name w:val="List Bullet 2"/>
    <w:basedOn w:val="Normal"/>
    <w:uiPriority w:val="8"/>
    <w:qFormat/>
    <w:pPr>
      <w:numPr>
        <w:ilvl w:val="1"/>
        <w:numId w:val="3"/>
      </w:numPr>
      <w:spacing w:before="120" w:after="120"/>
      <w:contextualSpacing/>
    </w:pPr>
  </w:style>
  <w:style w:type="paragraph" w:styleId="ListNumber">
    <w:name w:val="List Number"/>
    <w:basedOn w:val="Normal"/>
    <w:uiPriority w:val="9"/>
    <w:qFormat/>
    <w:pPr>
      <w:numPr>
        <w:numId w:val="7"/>
      </w:numPr>
      <w:tabs>
        <w:tab w:val="left" w:pos="142"/>
      </w:tabs>
      <w:spacing w:before="120" w:after="120"/>
    </w:pPr>
  </w:style>
  <w:style w:type="paragraph" w:styleId="ListNumber2">
    <w:name w:val="List Number 2"/>
    <w:uiPriority w:val="10"/>
    <w:qFormat/>
    <w:rsid w:val="000344FC"/>
    <w:pPr>
      <w:numPr>
        <w:ilvl w:val="1"/>
        <w:numId w:val="7"/>
      </w:numPr>
      <w:tabs>
        <w:tab w:val="left" w:pos="567"/>
      </w:tabs>
      <w:spacing w:before="120" w:after="120" w:line="264" w:lineRule="auto"/>
    </w:pPr>
    <w:rPr>
      <w:rFonts w:ascii="Arial" w:eastAsia="Times New Roman" w:hAnsi="Arial"/>
      <w:sz w:val="22"/>
      <w:szCs w:val="24"/>
      <w:lang w:eastAsia="en-US"/>
    </w:rPr>
  </w:style>
  <w:style w:type="paragraph" w:styleId="ListNumber3">
    <w:name w:val="List Number 3"/>
    <w:uiPriority w:val="11"/>
    <w:qFormat/>
    <w:rsid w:val="000344FC"/>
    <w:pPr>
      <w:numPr>
        <w:ilvl w:val="2"/>
        <w:numId w:val="7"/>
      </w:numPr>
      <w:spacing w:before="120" w:after="120" w:line="264" w:lineRule="auto"/>
    </w:pPr>
    <w:rPr>
      <w:rFonts w:ascii="Arial" w:eastAsia="Times New Roman" w:hAnsi="Arial"/>
      <w:sz w:val="22"/>
      <w:szCs w:val="24"/>
      <w:lang w:eastAsia="en-US"/>
    </w:r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pPr>
      <w:spacing w:before="60" w:after="60" w:line="240" w:lineRule="auto"/>
    </w:pPr>
    <w:rPr>
      <w:sz w:val="18"/>
    </w:rPr>
  </w:style>
  <w:style w:type="table" w:styleId="TableGrid1">
    <w:name w:val="Table Grid 1"/>
    <w:basedOn w:val="TableNormal"/>
    <w:uiPriority w:val="99"/>
    <w:semiHidden/>
    <w:unhideWhenUse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link w:val="TableHeadingChar"/>
    <w:uiPriority w:val="14"/>
    <w:qFormat/>
    <w:rsid w:val="005E28EE"/>
    <w:pPr>
      <w:keepNext/>
    </w:pPr>
    <w:rPr>
      <w:b/>
      <w:color w:val="FFFFFF" w:themeColor="background1"/>
    </w:rPr>
  </w:style>
  <w:style w:type="character" w:styleId="PlaceholderText">
    <w:name w:val="Placeholder Text"/>
    <w:basedOn w:val="DefaultParagraphFont"/>
    <w:uiPriority w:val="99"/>
    <w:rPr>
      <w:color w:val="808080"/>
    </w:rPr>
  </w:style>
  <w:style w:type="paragraph" w:customStyle="1" w:styleId="Author">
    <w:name w:val="Author"/>
    <w:basedOn w:val="Normal"/>
    <w:next w:val="Normal"/>
    <w:uiPriority w:val="24"/>
    <w:qFormat/>
    <w:pPr>
      <w:spacing w:after="60"/>
    </w:pPr>
    <w:rPr>
      <w:b/>
      <w:sz w:val="28"/>
      <w:szCs w:val="28"/>
    </w:rPr>
  </w:style>
  <w:style w:type="paragraph" w:customStyle="1" w:styleId="AuthorOrganisationAffiliation">
    <w:name w:val="Author Organisation/Affiliation"/>
    <w:basedOn w:val="Normal"/>
    <w:next w:val="Normal"/>
    <w:uiPriority w:val="25"/>
    <w:qFormat/>
    <w:pPr>
      <w:spacing w:after="720"/>
    </w:pPr>
  </w:style>
  <w:style w:type="character" w:styleId="Strong">
    <w:name w:val="Strong"/>
    <w:basedOn w:val="DefaultParagraphFont"/>
    <w:uiPriority w:val="22"/>
    <w:qFormat/>
    <w:rPr>
      <w:b/>
      <w:bCs/>
    </w:rPr>
  </w:style>
  <w:style w:type="paragraph" w:customStyle="1" w:styleId="Glossary">
    <w:name w:val="Glossary"/>
    <w:basedOn w:val="Normal"/>
    <w:link w:val="GlossaryChar"/>
    <w:uiPriority w:val="28"/>
    <w:semiHidden/>
    <w:locke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Pr>
      <w:rFonts w:eastAsia="Calibri" w:cstheme="minorBidi"/>
      <w:color w:val="000000"/>
      <w:sz w:val="22"/>
      <w:szCs w:val="22"/>
      <w:lang w:eastAsia="en-US"/>
    </w:rPr>
  </w:style>
  <w:style w:type="character" w:styleId="Emphasis">
    <w:name w:val="Emphasis"/>
    <w:basedOn w:val="DefaultParagraphFont"/>
    <w:uiPriority w:val="20"/>
    <w:qFormat/>
    <w:rPr>
      <w:i/>
      <w:iCs/>
    </w:rPr>
  </w:style>
  <w:style w:type="paragraph" w:styleId="TOAHeading">
    <w:name w:val="toa heading"/>
    <w:basedOn w:val="Heading1"/>
    <w:next w:val="Normal"/>
    <w:uiPriority w:val="99"/>
    <w:semiHidden/>
    <w:unhideWhenUsed/>
    <w:pPr>
      <w:spacing w:before="120"/>
    </w:pPr>
    <w:rPr>
      <w:bCs w:val="0"/>
      <w:sz w:val="24"/>
    </w:rPr>
  </w:style>
  <w:style w:type="paragraph" w:styleId="NormalWeb">
    <w:name w:val="Normal (Web)"/>
    <w:basedOn w:val="Normal"/>
    <w:uiPriority w:val="99"/>
    <w:semiHidden/>
    <w:unhideWhenUsed/>
    <w:pPr>
      <w:spacing w:after="168" w:line="168" w:lineRule="atLeast"/>
      <w:jc w:val="both"/>
    </w:pPr>
    <w:rPr>
      <w:rFonts w:ascii="Times New Roman" w:hAnsi="Times New Roman"/>
      <w:sz w:val="13"/>
      <w:szCs w:val="13"/>
      <w:lang w:eastAsia="en-AU"/>
    </w:rPr>
  </w:style>
  <w:style w:type="paragraph" w:customStyle="1" w:styleId="BoxText1Bullet">
    <w:name w:val="Box Text 1 Bullet"/>
    <w:basedOn w:val="BoxText1"/>
    <w:uiPriority w:val="21"/>
    <w:qFormat/>
    <w:pPr>
      <w:numPr>
        <w:numId w:val="1"/>
      </w:numPr>
      <w:ind w:left="357" w:hanging="357"/>
    </w:pPr>
  </w:style>
  <w:style w:type="paragraph" w:customStyle="1" w:styleId="TableBullet1">
    <w:name w:val="Table Bullet 1"/>
    <w:basedOn w:val="TableText"/>
    <w:uiPriority w:val="15"/>
    <w:qFormat/>
    <w:pPr>
      <w:numPr>
        <w:numId w:val="2"/>
      </w:numPr>
      <w:ind w:left="284" w:hanging="284"/>
    </w:pPr>
  </w:style>
  <w:style w:type="paragraph" w:styleId="DocumentMap">
    <w:name w:val="Document Map"/>
    <w:basedOn w:val="Normal"/>
    <w:link w:val="DocumentMapChar"/>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semiHidden/>
    <w:rPr>
      <w:rFonts w:ascii="Tahoma" w:eastAsiaTheme="minorHAnsi" w:hAnsi="Tahoma" w:cs="Tahoma"/>
      <w:sz w:val="16"/>
      <w:szCs w:val="16"/>
      <w:lang w:eastAsia="en-US"/>
    </w:rPr>
  </w:style>
  <w:style w:type="paragraph" w:customStyle="1" w:styleId="BoxHeading">
    <w:name w:val="Box Heading"/>
    <w:basedOn w:val="BoxText1"/>
    <w:uiPriority w:val="20"/>
    <w:qFormat/>
    <w:pPr>
      <w:spacing w:line="240" w:lineRule="auto"/>
    </w:pPr>
    <w:rPr>
      <w:b/>
    </w:rPr>
  </w:style>
  <w:style w:type="paragraph" w:customStyle="1" w:styleId="Picture">
    <w:name w:val="Picture"/>
    <w:basedOn w:val="Normal"/>
    <w:uiPriority w:val="17"/>
    <w:qFormat/>
    <w:pPr>
      <w:spacing w:before="120" w:after="120" w:line="240" w:lineRule="auto"/>
    </w:pPr>
    <w:rPr>
      <w:noProof/>
      <w:lang w:eastAsia="en-AU"/>
    </w:rPr>
  </w:style>
  <w:style w:type="paragraph" w:customStyle="1" w:styleId="Securityclassification">
    <w:name w:val="Security classification"/>
    <w:basedOn w:val="Header"/>
    <w:next w:val="Header"/>
    <w:uiPriority w:val="26"/>
    <w:qFormat/>
    <w:pPr>
      <w:spacing w:after="0"/>
    </w:pPr>
    <w:rPr>
      <w:b/>
      <w:color w:val="FF0000"/>
      <w:sz w:val="36"/>
      <w:szCs w:val="36"/>
    </w:rPr>
  </w:style>
  <w:style w:type="paragraph" w:customStyle="1" w:styleId="DisseminationLimitingMarker">
    <w:name w:val="Dissemination Limiting Marker"/>
    <w:basedOn w:val="Header"/>
    <w:next w:val="Header"/>
    <w:uiPriority w:val="27"/>
    <w:pPr>
      <w:spacing w:after="0"/>
    </w:pPr>
    <w:rPr>
      <w:b/>
      <w:sz w:val="36"/>
      <w:szCs w:val="36"/>
    </w:rPr>
  </w:style>
  <w:style w:type="paragraph" w:styleId="FootnoteText">
    <w:name w:val="footnote text"/>
    <w:aliases w:val="Footnote Text1,Footnote Text2,ALTS FOOTNOTE2,Footnote Text11,(NECG) Footnote Text,(NECG) Footnote Text1,ALTS FOOTNOTE,Footnote text,AR Footnote Text,AR Footnote Text Char Char Char Char Char Char,AR Footnote Text Char Char Char Char Char,f"/>
    <w:basedOn w:val="Normal"/>
    <w:link w:val="FootnoteTextChar"/>
    <w:uiPriority w:val="99"/>
    <w:unhideWhenUsed/>
    <w:qFormat/>
    <w:pPr>
      <w:spacing w:after="60" w:line="264" w:lineRule="auto"/>
    </w:pPr>
    <w:rPr>
      <w:sz w:val="20"/>
      <w:szCs w:val="20"/>
    </w:rPr>
  </w:style>
  <w:style w:type="character" w:customStyle="1" w:styleId="FootnoteTextChar">
    <w:name w:val="Footnote Text Char"/>
    <w:aliases w:val="Footnote Text1 Char,Footnote Text2 Char,ALTS FOOTNOTE2 Char,Footnote Text11 Char,(NECG) Footnote Text Char,(NECG) Footnote Text1 Char,ALTS FOOTNOTE Char,Footnote text Char,AR Footnote Text Char,f Char"/>
    <w:basedOn w:val="DefaultParagraphFont"/>
    <w:link w:val="FootnoteText"/>
    <w:uiPriority w:val="99"/>
    <w:rPr>
      <w:rFonts w:eastAsiaTheme="minorHAnsi" w:cstheme="minorBidi"/>
      <w:lang w:eastAsia="en-US"/>
    </w:rPr>
  </w:style>
  <w:style w:type="character" w:styleId="FootnoteReference">
    <w:name w:val="footnote reference"/>
    <w:aliases w:val="(NECG) Footnote Reference,(NECG) Footnote Reference1,(NECG) Footnote Reference2,o,Style 3,Style 12,fr,Appel note de bas de p,Style 124,(NECG) Footnote Reference3,(NECG) Footnote Reference4,(NECG) Footnote Reference5"/>
    <w:basedOn w:val="DefaultParagraphFont"/>
    <w:uiPriority w:val="99"/>
    <w:unhideWhenUsed/>
    <w:rPr>
      <w:vertAlign w:val="superscript"/>
    </w:rPr>
  </w:style>
  <w:style w:type="paragraph" w:styleId="EndnoteText">
    <w:name w:val="endnote text"/>
    <w:basedOn w:val="Normal"/>
    <w:link w:val="EndnoteTextChar"/>
    <w:uiPriority w:val="99"/>
    <w:unhideWhenUsed/>
    <w:pPr>
      <w:spacing w:after="60" w:line="264" w:lineRule="auto"/>
    </w:pPr>
    <w:rPr>
      <w:sz w:val="20"/>
      <w:szCs w:val="20"/>
    </w:rPr>
  </w:style>
  <w:style w:type="character" w:customStyle="1" w:styleId="EndnoteTextChar">
    <w:name w:val="Endnote Text Char"/>
    <w:basedOn w:val="DefaultParagraphFont"/>
    <w:link w:val="EndnoteText"/>
    <w:uiPriority w:val="99"/>
    <w:rPr>
      <w:rFonts w:eastAsiaTheme="minorHAnsi" w:cstheme="minorBidi"/>
      <w:lang w:eastAsia="en-US"/>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unhideWhenUsed/>
    <w:rPr>
      <w:color w:val="800080"/>
      <w:u w:val="single"/>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pPr>
      <w:numPr>
        <w:numId w:val="10"/>
      </w:numPr>
    </w:pPr>
  </w:style>
  <w:style w:type="paragraph" w:styleId="Title">
    <w:name w:val="Title"/>
    <w:basedOn w:val="Normal"/>
    <w:next w:val="Normal"/>
    <w:link w:val="TitleChar"/>
    <w:uiPriority w:val="10"/>
    <w:semiHidden/>
    <w:qFormat/>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Pr>
      <w:rFonts w:eastAsiaTheme="majorEastAsia" w:cstheme="majorBidi"/>
      <w:b/>
      <w:spacing w:val="5"/>
      <w:kern w:val="28"/>
      <w:sz w:val="72"/>
      <w:szCs w:val="52"/>
      <w:lang w:eastAsia="en-US"/>
    </w:rPr>
  </w:style>
  <w:style w:type="paragraph" w:customStyle="1" w:styleId="TOCHeading2">
    <w:name w:val="TOC Heading 2"/>
    <w:next w:val="Normal"/>
    <w:qFormat/>
    <w:rPr>
      <w:rFonts w:ascii="Calibri Light" w:eastAsiaTheme="minorHAnsi" w:hAnsi="Calibri Light" w:cstheme="minorBidi"/>
      <w:sz w:val="36"/>
      <w:szCs w:val="22"/>
      <w:lang w:eastAsia="en-US"/>
    </w:rPr>
  </w:style>
  <w:style w:type="numbering" w:customStyle="1" w:styleId="Numberlist">
    <w:name w:val="Number list"/>
    <w:uiPriority w:val="99"/>
    <w:pPr>
      <w:numPr>
        <w:numId w:val="4"/>
      </w:numPr>
    </w:pPr>
  </w:style>
  <w:style w:type="numbering" w:customStyle="1" w:styleId="Headinglist">
    <w:name w:val="Heading list"/>
    <w:uiPriority w:val="99"/>
    <w:pPr>
      <w:numPr>
        <w:numId w:val="5"/>
      </w:numPr>
    </w:pPr>
  </w:style>
  <w:style w:type="paragraph" w:customStyle="1" w:styleId="Normalsmall">
    <w:name w:val="Normal small"/>
    <w:qFormat/>
    <w:rsid w:val="008D4F75"/>
    <w:pPr>
      <w:spacing w:after="120" w:line="276" w:lineRule="auto"/>
    </w:pPr>
    <w:rPr>
      <w:rFonts w:ascii="Arial" w:eastAsiaTheme="minorHAnsi" w:hAnsi="Arial" w:cstheme="minorBidi"/>
      <w:szCs w:val="18"/>
      <w:lang w:eastAsia="en-US"/>
    </w:rPr>
  </w:style>
  <w:style w:type="paragraph" w:styleId="ListBullet3">
    <w:name w:val="List Bullet 3"/>
    <w:basedOn w:val="Normal"/>
    <w:uiPriority w:val="99"/>
    <w:semiHidden/>
    <w:pPr>
      <w:numPr>
        <w:ilvl w:val="2"/>
        <w:numId w:val="3"/>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numberedlist">
    <w:name w:val="Table numbered list"/>
    <w:uiPriority w:val="99"/>
    <w:qFormat/>
    <w:rsid w:val="000344FC"/>
    <w:pPr>
      <w:numPr>
        <w:numId w:val="6"/>
      </w:numPr>
      <w:spacing w:before="60" w:after="60"/>
      <w:ind w:left="403"/>
      <w:contextualSpacing/>
    </w:pPr>
    <w:rPr>
      <w:rFonts w:ascii="Arial" w:eastAsia="Calibri" w:hAnsi="Arial"/>
      <w:color w:val="000000" w:themeColor="text1"/>
      <w:sz w:val="18"/>
      <w:szCs w:val="22"/>
      <w:lang w:eastAsia="en-US"/>
    </w:rPr>
  </w:style>
  <w:style w:type="character" w:styleId="IntenseEmphasis">
    <w:name w:val="Intense Emphasis"/>
    <w:basedOn w:val="DefaultParagraphFont"/>
    <w:uiPriority w:val="21"/>
    <w:semiHidden/>
    <w:qFormat/>
    <w:locked/>
    <w:rPr>
      <w:i/>
      <w:iCs/>
      <w:color w:val="4F81BD" w:themeColor="accent1"/>
    </w:rPr>
  </w:style>
  <w:style w:type="paragraph" w:customStyle="1" w:styleId="TableBullet2">
    <w:name w:val="Table Bullet 2"/>
    <w:basedOn w:val="TableBullet1"/>
    <w:qFormat/>
    <w:pPr>
      <w:numPr>
        <w:numId w:val="9"/>
      </w:numPr>
      <w:tabs>
        <w:tab w:val="num" w:pos="284"/>
      </w:tabs>
      <w:ind w:left="568" w:hanging="284"/>
    </w:pPr>
  </w:style>
  <w:style w:type="numbering" w:customStyle="1" w:styleId="TableBulletlist">
    <w:name w:val="Table Bullet list"/>
    <w:uiPriority w:val="99"/>
    <w:pPr>
      <w:numPr>
        <w:numId w:val="8"/>
      </w:numPr>
    </w:pPr>
  </w:style>
  <w:style w:type="paragraph" w:styleId="Date">
    <w:name w:val="Date"/>
    <w:basedOn w:val="Normal"/>
    <w:next w:val="Normal"/>
    <w:link w:val="DateChar"/>
    <w:uiPriority w:val="99"/>
    <w:unhideWhenUsed/>
    <w:rsid w:val="00B4285E"/>
    <w:rPr>
      <w:b/>
      <w:color w:val="303F51"/>
      <w:sz w:val="32"/>
    </w:rPr>
  </w:style>
  <w:style w:type="character" w:customStyle="1" w:styleId="DateChar">
    <w:name w:val="Date Char"/>
    <w:basedOn w:val="DefaultParagraphFont"/>
    <w:link w:val="Date"/>
    <w:uiPriority w:val="99"/>
    <w:rsid w:val="00B4285E"/>
    <w:rPr>
      <w:rFonts w:ascii="Arial" w:eastAsiaTheme="minorHAnsi" w:hAnsi="Arial" w:cstheme="minorBidi"/>
      <w:b/>
      <w:color w:val="303F51"/>
      <w:sz w:val="32"/>
      <w:szCs w:val="22"/>
      <w:lang w:eastAsia="en-US"/>
    </w:rPr>
  </w:style>
  <w:style w:type="paragraph" w:styleId="ListParagraph">
    <w:name w:val="List Paragraph"/>
    <w:basedOn w:val="Normal"/>
    <w:uiPriority w:val="1"/>
    <w:unhideWhenUsed/>
    <w:qFormat/>
    <w:rsid w:val="00606F03"/>
    <w:pPr>
      <w:ind w:left="720"/>
      <w:contextualSpacing/>
    </w:pPr>
  </w:style>
  <w:style w:type="character" w:customStyle="1" w:styleId="Heading6Char">
    <w:name w:val="Heading 6 Char"/>
    <w:basedOn w:val="DefaultParagraphFont"/>
    <w:link w:val="Heading6"/>
    <w:uiPriority w:val="9"/>
    <w:rsid w:val="005B2943"/>
    <w:rPr>
      <w:rFonts w:ascii="Arial" w:eastAsiaTheme="majorEastAsia" w:hAnsi="Arial" w:cstheme="majorBidi"/>
      <w:b/>
      <w:i/>
      <w:iCs/>
      <w:color w:val="303F51"/>
      <w:sz w:val="22"/>
      <w:szCs w:val="22"/>
      <w:lang w:eastAsia="en-US"/>
    </w:rPr>
  </w:style>
  <w:style w:type="paragraph" w:customStyle="1" w:styleId="BoxText2Bullet">
    <w:name w:val="Box Text 2 Bullet"/>
    <w:basedOn w:val="BoxText2"/>
    <w:qFormat/>
    <w:rsid w:val="004258A6"/>
    <w:pPr>
      <w:numPr>
        <w:numId w:val="11"/>
      </w:numPr>
      <w:ind w:left="357" w:hanging="357"/>
    </w:pPr>
  </w:style>
  <w:style w:type="paragraph" w:customStyle="1" w:styleId="BoxHeading2">
    <w:name w:val="Box Heading 2"/>
    <w:basedOn w:val="BoxText2"/>
    <w:next w:val="BoxText2"/>
    <w:qFormat/>
    <w:rsid w:val="004258A6"/>
    <w:rPr>
      <w:b/>
    </w:rPr>
  </w:style>
  <w:style w:type="paragraph" w:customStyle="1" w:styleId="PullQuote">
    <w:name w:val="Pull Quote"/>
    <w:basedOn w:val="Quote"/>
    <w:next w:val="Normal"/>
    <w:qFormat/>
    <w:rsid w:val="009E3DF1"/>
    <w:rPr>
      <w:color w:val="629DD1"/>
      <w:sz w:val="28"/>
      <w:szCs w:val="28"/>
      <w:lang w:eastAsia="ja-JP"/>
    </w:rPr>
  </w:style>
  <w:style w:type="paragraph" w:customStyle="1" w:styleId="Listalphabet">
    <w:name w:val="List alphabet"/>
    <w:qFormat/>
    <w:rsid w:val="00F95D55"/>
    <w:pPr>
      <w:numPr>
        <w:numId w:val="13"/>
      </w:numPr>
      <w:tabs>
        <w:tab w:val="left" w:pos="340"/>
      </w:tabs>
      <w:spacing w:before="120"/>
      <w:ind w:left="720" w:hanging="720"/>
    </w:pPr>
    <w:rPr>
      <w:rFonts w:ascii="Arial" w:eastAsia="Calibri" w:hAnsi="Arial"/>
      <w:sz w:val="22"/>
      <w:szCs w:val="22"/>
      <w:lang w:eastAsia="en-US"/>
    </w:rPr>
  </w:style>
  <w:style w:type="paragraph" w:customStyle="1" w:styleId="AppendixHeading">
    <w:name w:val="Appendix Heading"/>
    <w:basedOn w:val="Heading1"/>
    <w:next w:val="Normal"/>
    <w:rsid w:val="00F95D55"/>
    <w:pPr>
      <w:keepNext/>
      <w:keepLines/>
      <w:widowControl/>
      <w:numPr>
        <w:numId w:val="14"/>
      </w:numPr>
      <w:pBdr>
        <w:bottom w:val="single" w:sz="4" w:space="1" w:color="auto"/>
      </w:pBdr>
      <w:spacing w:before="240" w:after="60" w:line="240" w:lineRule="auto"/>
      <w:contextualSpacing w:val="0"/>
    </w:pPr>
    <w:rPr>
      <w:rFonts w:eastAsia="Times New Roman" w:cs="Arial"/>
      <w:caps/>
      <w:color w:val="auto"/>
      <w:spacing w:val="0"/>
      <w:kern w:val="32"/>
      <w:sz w:val="32"/>
      <w:szCs w:val="32"/>
      <w:lang w:val="en-US"/>
    </w:rPr>
  </w:style>
  <w:style w:type="paragraph" w:customStyle="1" w:styleId="Body-regular">
    <w:name w:val="Body-regular"/>
    <w:qFormat/>
    <w:rsid w:val="00CD6AA0"/>
    <w:pPr>
      <w:spacing w:after="120"/>
    </w:pPr>
    <w:rPr>
      <w:rFonts w:ascii="Arial" w:eastAsiaTheme="minorHAnsi" w:hAnsi="Arial" w:cs="Arial"/>
      <w:color w:val="2F3F51"/>
      <w:sz w:val="22"/>
      <w:szCs w:val="22"/>
      <w:lang w:eastAsia="en-US"/>
    </w:rPr>
  </w:style>
  <w:style w:type="paragraph" w:customStyle="1" w:styleId="Numberlist2">
    <w:name w:val="Number list 2"/>
    <w:basedOn w:val="Normal"/>
    <w:qFormat/>
    <w:rsid w:val="00FB4602"/>
    <w:pPr>
      <w:tabs>
        <w:tab w:val="num" w:pos="1135"/>
      </w:tabs>
      <w:spacing w:after="120" w:line="288" w:lineRule="auto"/>
      <w:ind w:left="1135" w:hanging="567"/>
      <w:jc w:val="both"/>
      <w:outlineLvl w:val="1"/>
    </w:pPr>
    <w:rPr>
      <w:bCs/>
      <w:szCs w:val="26"/>
      <w:lang w:eastAsia="en-AU"/>
    </w:rPr>
  </w:style>
  <w:style w:type="paragraph" w:customStyle="1" w:styleId="Numberlist3">
    <w:name w:val="Number list 3"/>
    <w:basedOn w:val="Numberlist2"/>
    <w:qFormat/>
    <w:rsid w:val="00FB4602"/>
    <w:pPr>
      <w:tabs>
        <w:tab w:val="clear" w:pos="1135"/>
        <w:tab w:val="num" w:pos="1701"/>
      </w:tabs>
      <w:ind w:left="1701"/>
    </w:pPr>
  </w:style>
  <w:style w:type="paragraph" w:customStyle="1" w:styleId="Numberlist4">
    <w:name w:val="Number list 4"/>
    <w:basedOn w:val="Numberlist3"/>
    <w:qFormat/>
    <w:rsid w:val="00FB4602"/>
    <w:pPr>
      <w:tabs>
        <w:tab w:val="clear" w:pos="1701"/>
        <w:tab w:val="num" w:pos="2268"/>
      </w:tabs>
      <w:ind w:left="2268"/>
    </w:pPr>
  </w:style>
  <w:style w:type="character" w:styleId="UnresolvedMention">
    <w:name w:val="Unresolved Mention"/>
    <w:basedOn w:val="DefaultParagraphFont"/>
    <w:uiPriority w:val="99"/>
    <w:semiHidden/>
    <w:unhideWhenUsed/>
    <w:rsid w:val="00FA399D"/>
    <w:rPr>
      <w:color w:val="605E5C"/>
      <w:shd w:val="clear" w:color="auto" w:fill="E1DFDD"/>
    </w:rPr>
  </w:style>
  <w:style w:type="paragraph" w:customStyle="1" w:styleId="Numberlist1">
    <w:name w:val="Number list 1"/>
    <w:basedOn w:val="Heading2"/>
    <w:link w:val="Numberlist1Char"/>
    <w:qFormat/>
    <w:rsid w:val="00530813"/>
    <w:pPr>
      <w:pageBreakBefore w:val="0"/>
      <w:numPr>
        <w:numId w:val="0"/>
      </w:numPr>
      <w:spacing w:after="120" w:line="288" w:lineRule="auto"/>
      <w:jc w:val="both"/>
    </w:pPr>
    <w:rPr>
      <w:rFonts w:eastAsiaTheme="minorHAnsi"/>
      <w:b w:val="0"/>
      <w:color w:val="auto"/>
      <w:sz w:val="22"/>
      <w:szCs w:val="26"/>
      <w:lang w:eastAsia="en-AU"/>
    </w:rPr>
  </w:style>
  <w:style w:type="paragraph" w:customStyle="1" w:styleId="Numberlist11">
    <w:name w:val="Number list 1.1"/>
    <w:basedOn w:val="Heading2"/>
    <w:qFormat/>
    <w:rsid w:val="00736850"/>
    <w:pPr>
      <w:pageBreakBefore w:val="0"/>
      <w:numPr>
        <w:numId w:val="0"/>
      </w:numPr>
      <w:spacing w:after="120" w:line="288" w:lineRule="auto"/>
      <w:jc w:val="both"/>
    </w:pPr>
    <w:rPr>
      <w:rFonts w:eastAsiaTheme="minorHAnsi"/>
      <w:b w:val="0"/>
      <w:color w:val="auto"/>
      <w:sz w:val="22"/>
      <w:szCs w:val="26"/>
      <w:lang w:eastAsia="en-AU"/>
    </w:rPr>
  </w:style>
  <w:style w:type="paragraph" w:customStyle="1" w:styleId="Numberlist21">
    <w:name w:val="Number list 2.1"/>
    <w:basedOn w:val="Numberlist1"/>
    <w:link w:val="Numberlist21Char"/>
    <w:qFormat/>
    <w:rsid w:val="00201D09"/>
    <w:pPr>
      <w:numPr>
        <w:numId w:val="15"/>
      </w:numPr>
    </w:pPr>
  </w:style>
  <w:style w:type="paragraph" w:styleId="NoSpacing">
    <w:name w:val="No Spacing"/>
    <w:uiPriority w:val="1"/>
    <w:qFormat/>
    <w:rsid w:val="005A6FAC"/>
    <w:pPr>
      <w:spacing w:line="288" w:lineRule="auto"/>
      <w:jc w:val="both"/>
    </w:pPr>
    <w:rPr>
      <w:rFonts w:ascii="Arial" w:eastAsiaTheme="minorHAnsi" w:hAnsi="Arial" w:cstheme="minorBidi"/>
      <w:sz w:val="22"/>
      <w:szCs w:val="22"/>
      <w:lang w:eastAsia="en-US"/>
    </w:rPr>
  </w:style>
  <w:style w:type="paragraph" w:customStyle="1" w:styleId="Numberstyle">
    <w:name w:val="Number style"/>
    <w:basedOn w:val="Normal"/>
    <w:qFormat/>
    <w:rsid w:val="005A6FAC"/>
    <w:pPr>
      <w:numPr>
        <w:ilvl w:val="1"/>
        <w:numId w:val="17"/>
      </w:numPr>
      <w:spacing w:after="240" w:line="288" w:lineRule="auto"/>
      <w:jc w:val="both"/>
    </w:pPr>
  </w:style>
  <w:style w:type="paragraph" w:customStyle="1" w:styleId="Bullets">
    <w:name w:val="Bullets"/>
    <w:basedOn w:val="Normal"/>
    <w:qFormat/>
    <w:rsid w:val="005A6FAC"/>
    <w:pPr>
      <w:numPr>
        <w:numId w:val="16"/>
      </w:numPr>
      <w:spacing w:after="240" w:line="288" w:lineRule="auto"/>
      <w:jc w:val="both"/>
    </w:pPr>
    <w:rPr>
      <w:rFonts w:cs="Arial"/>
    </w:rPr>
  </w:style>
  <w:style w:type="paragraph" w:customStyle="1" w:styleId="Body">
    <w:name w:val="Body"/>
    <w:basedOn w:val="Normal"/>
    <w:qFormat/>
    <w:rsid w:val="005A6FAC"/>
    <w:pPr>
      <w:spacing w:after="240" w:line="288" w:lineRule="auto"/>
      <w:jc w:val="both"/>
    </w:pPr>
  </w:style>
  <w:style w:type="paragraph" w:styleId="Revision">
    <w:name w:val="Revision"/>
    <w:hidden/>
    <w:uiPriority w:val="99"/>
    <w:semiHidden/>
    <w:rsid w:val="005A6FAC"/>
    <w:rPr>
      <w:rFonts w:asciiTheme="minorHAnsi" w:eastAsiaTheme="minorHAnsi" w:hAnsiTheme="minorHAnsi" w:cstheme="minorBidi"/>
      <w:sz w:val="22"/>
      <w:szCs w:val="22"/>
      <w:lang w:eastAsia="en-US"/>
    </w:rPr>
  </w:style>
  <w:style w:type="numbering" w:customStyle="1" w:styleId="AERnumberedlist">
    <w:name w:val="AER numbered list"/>
    <w:rsid w:val="005A6FAC"/>
    <w:pPr>
      <w:numPr>
        <w:numId w:val="18"/>
      </w:numPr>
    </w:pPr>
  </w:style>
  <w:style w:type="table" w:customStyle="1" w:styleId="TableGrid10">
    <w:name w:val="Table Grid1"/>
    <w:basedOn w:val="TableNormal"/>
    <w:next w:val="TableGrid"/>
    <w:uiPriority w:val="59"/>
    <w:rsid w:val="005A6FA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5A6FAC"/>
    <w:rPr>
      <w:i/>
      <w:iCs/>
      <w:color w:val="808080" w:themeColor="text1" w:themeTint="7F"/>
    </w:rPr>
  </w:style>
  <w:style w:type="table" w:styleId="LightShading-Accent1">
    <w:name w:val="Light Shading Accent 1"/>
    <w:basedOn w:val="TableNormal"/>
    <w:uiPriority w:val="60"/>
    <w:rsid w:val="005A6FAC"/>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AERtabletextleft">
    <w:name w:val="AER table text left"/>
    <w:qFormat/>
    <w:rsid w:val="005A6FAC"/>
    <w:pPr>
      <w:spacing w:before="80" w:after="120" w:line="288" w:lineRule="auto"/>
    </w:pPr>
    <w:rPr>
      <w:rFonts w:ascii="Gautami" w:eastAsia="Times New Roman" w:hAnsi="Gautami"/>
      <w:sz w:val="16"/>
      <w:szCs w:val="24"/>
      <w:lang w:eastAsia="en-US"/>
    </w:rPr>
  </w:style>
  <w:style w:type="table" w:styleId="MediumShading1-Accent1">
    <w:name w:val="Medium Shading 1 Accent 1"/>
    <w:basedOn w:val="TableNormal"/>
    <w:uiPriority w:val="63"/>
    <w:rsid w:val="005A6FAC"/>
    <w:rPr>
      <w:rFonts w:ascii="Times New Roman" w:eastAsia="Times New Roman" w:hAnsi="Times New Roman"/>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BodyText3">
    <w:name w:val="Body Text 3"/>
    <w:basedOn w:val="Normal"/>
    <w:link w:val="BodyText3Char"/>
    <w:rsid w:val="005A6FAC"/>
    <w:pPr>
      <w:spacing w:after="120" w:line="240" w:lineRule="auto"/>
    </w:pPr>
    <w:rPr>
      <w:rFonts w:ascii="Helvetica" w:eastAsia="Times New Roman" w:hAnsi="Helvetica" w:cs="Times New Roman"/>
      <w:sz w:val="16"/>
      <w:szCs w:val="16"/>
      <w:lang w:val="en-GB" w:eastAsia="en-AU"/>
    </w:rPr>
  </w:style>
  <w:style w:type="character" w:customStyle="1" w:styleId="BodyText3Char">
    <w:name w:val="Body Text 3 Char"/>
    <w:basedOn w:val="DefaultParagraphFont"/>
    <w:link w:val="BodyText3"/>
    <w:rsid w:val="005A6FAC"/>
    <w:rPr>
      <w:rFonts w:ascii="Helvetica" w:eastAsia="Times New Roman" w:hAnsi="Helvetica"/>
      <w:sz w:val="16"/>
      <w:szCs w:val="16"/>
      <w:lang w:val="en-GB"/>
    </w:rPr>
  </w:style>
  <w:style w:type="character" w:customStyle="1" w:styleId="AERtextitalic">
    <w:name w:val="AER text italic"/>
    <w:uiPriority w:val="99"/>
    <w:qFormat/>
    <w:rsid w:val="005A6FAC"/>
    <w:rPr>
      <w:i/>
    </w:rPr>
  </w:style>
  <w:style w:type="character" w:customStyle="1" w:styleId="AERtextbolditalics">
    <w:name w:val="AER text bold italics"/>
    <w:basedOn w:val="DefaultParagraphFont"/>
    <w:qFormat/>
    <w:rsid w:val="005A6FAC"/>
    <w:rPr>
      <w:b/>
      <w:i/>
    </w:rPr>
  </w:style>
  <w:style w:type="character" w:customStyle="1" w:styleId="CharSectno">
    <w:name w:val="CharSectno"/>
    <w:basedOn w:val="DefaultParagraphFont"/>
    <w:rsid w:val="005A6FAC"/>
  </w:style>
  <w:style w:type="paragraph" w:customStyle="1" w:styleId="paragraph">
    <w:name w:val="paragraph"/>
    <w:aliases w:val="a"/>
    <w:rsid w:val="005A6FAC"/>
    <w:pPr>
      <w:tabs>
        <w:tab w:val="right" w:pos="1531"/>
      </w:tabs>
      <w:spacing w:before="40"/>
      <w:ind w:left="1644" w:hanging="1644"/>
    </w:pPr>
    <w:rPr>
      <w:rFonts w:ascii="Times New Roman" w:eastAsia="SimSun" w:hAnsi="Times New Roman"/>
      <w:sz w:val="22"/>
      <w:szCs w:val="22"/>
    </w:rPr>
  </w:style>
  <w:style w:type="paragraph" w:customStyle="1" w:styleId="paragraphsub">
    <w:name w:val="paragraph(sub)"/>
    <w:aliases w:val="aa"/>
    <w:basedOn w:val="paragraph"/>
    <w:rsid w:val="005A6FAC"/>
    <w:pPr>
      <w:tabs>
        <w:tab w:val="clear" w:pos="1531"/>
        <w:tab w:val="right" w:pos="1985"/>
      </w:tabs>
      <w:ind w:left="2098" w:hanging="2098"/>
    </w:pPr>
  </w:style>
  <w:style w:type="paragraph" w:customStyle="1" w:styleId="subsection">
    <w:name w:val="subsection"/>
    <w:aliases w:val="ss"/>
    <w:rsid w:val="005A6FAC"/>
    <w:pPr>
      <w:tabs>
        <w:tab w:val="right" w:pos="1021"/>
      </w:tabs>
      <w:spacing w:before="180"/>
      <w:ind w:left="1134" w:hanging="1134"/>
    </w:pPr>
    <w:rPr>
      <w:rFonts w:ascii="Times New Roman" w:eastAsia="SimSun" w:hAnsi="Times New Roman"/>
      <w:sz w:val="22"/>
      <w:szCs w:val="22"/>
    </w:rPr>
  </w:style>
  <w:style w:type="paragraph" w:customStyle="1" w:styleId="notetext">
    <w:name w:val="note(text)"/>
    <w:aliases w:val="n"/>
    <w:rsid w:val="005A6FAC"/>
    <w:pPr>
      <w:spacing w:before="122" w:line="198" w:lineRule="exact"/>
      <w:ind w:left="1985" w:hanging="851"/>
    </w:pPr>
    <w:rPr>
      <w:rFonts w:ascii="Times New Roman" w:eastAsia="SimSun" w:hAnsi="Times New Roman"/>
      <w:sz w:val="18"/>
      <w:szCs w:val="18"/>
    </w:rPr>
  </w:style>
  <w:style w:type="paragraph" w:customStyle="1" w:styleId="subsection2">
    <w:name w:val="subsection2"/>
    <w:aliases w:val="ss2"/>
    <w:basedOn w:val="subsection"/>
    <w:next w:val="subsection"/>
    <w:rsid w:val="005A6FAC"/>
    <w:pPr>
      <w:tabs>
        <w:tab w:val="clear" w:pos="1021"/>
      </w:tabs>
      <w:spacing w:before="40"/>
      <w:ind w:firstLine="0"/>
    </w:pPr>
  </w:style>
  <w:style w:type="paragraph" w:customStyle="1" w:styleId="SubsectionHead">
    <w:name w:val="SubsectionHead"/>
    <w:aliases w:val="ssh"/>
    <w:basedOn w:val="subsection"/>
    <w:next w:val="subsection"/>
    <w:rsid w:val="005A6FAC"/>
    <w:pPr>
      <w:keepNext/>
      <w:keepLines/>
      <w:tabs>
        <w:tab w:val="clear" w:pos="1021"/>
      </w:tabs>
      <w:spacing w:before="240"/>
      <w:ind w:firstLine="0"/>
    </w:pPr>
    <w:rPr>
      <w:i/>
      <w:iCs/>
    </w:rPr>
  </w:style>
  <w:style w:type="paragraph" w:customStyle="1" w:styleId="ActHead5">
    <w:name w:val="ActHead 5"/>
    <w:aliases w:val="s"/>
    <w:basedOn w:val="Normal"/>
    <w:next w:val="Normal"/>
    <w:rsid w:val="005A6FAC"/>
    <w:pPr>
      <w:keepNext/>
      <w:keepLines/>
      <w:spacing w:before="280" w:after="0" w:line="240" w:lineRule="auto"/>
      <w:ind w:left="1134" w:hanging="1134"/>
      <w:outlineLvl w:val="4"/>
    </w:pPr>
    <w:rPr>
      <w:rFonts w:ascii="Times New Roman" w:eastAsia="SimSun" w:hAnsi="Times New Roman" w:cs="Calibri"/>
      <w:b/>
      <w:bCs/>
      <w:kern w:val="28"/>
      <w:szCs w:val="24"/>
    </w:rPr>
  </w:style>
  <w:style w:type="paragraph" w:customStyle="1" w:styleId="AERbodytext">
    <w:name w:val="AER body text"/>
    <w:link w:val="AERbodytextChar"/>
    <w:uiPriority w:val="99"/>
    <w:qFormat/>
    <w:rsid w:val="005A6FAC"/>
    <w:pPr>
      <w:numPr>
        <w:numId w:val="21"/>
      </w:numPr>
      <w:spacing w:after="240" w:line="288" w:lineRule="auto"/>
      <w:jc w:val="both"/>
    </w:pPr>
    <w:rPr>
      <w:rFonts w:ascii="Gautami" w:eastAsia="Times New Roman" w:hAnsi="Gautami"/>
      <w:szCs w:val="24"/>
      <w:lang w:eastAsia="en-US"/>
    </w:rPr>
  </w:style>
  <w:style w:type="paragraph" w:customStyle="1" w:styleId="AERbulletlistfirststyle">
    <w:name w:val="AER bullet list (first style)"/>
    <w:basedOn w:val="AERbodytext"/>
    <w:qFormat/>
    <w:rsid w:val="005A6FAC"/>
    <w:pPr>
      <w:numPr>
        <w:numId w:val="20"/>
      </w:numPr>
      <w:tabs>
        <w:tab w:val="left" w:pos="357"/>
      </w:tabs>
      <w:spacing w:after="200"/>
      <w:ind w:left="357" w:hanging="357"/>
    </w:pPr>
  </w:style>
  <w:style w:type="character" w:customStyle="1" w:styleId="AERbodytextChar">
    <w:name w:val="AER body text Char"/>
    <w:basedOn w:val="DefaultParagraphFont"/>
    <w:link w:val="AERbodytext"/>
    <w:uiPriority w:val="99"/>
    <w:rsid w:val="005A6FAC"/>
    <w:rPr>
      <w:rFonts w:ascii="Gautami" w:eastAsia="Times New Roman" w:hAnsi="Gautami"/>
      <w:szCs w:val="24"/>
      <w:lang w:eastAsia="en-US"/>
    </w:rPr>
  </w:style>
  <w:style w:type="table" w:customStyle="1" w:styleId="TableGrid2">
    <w:name w:val="Table Grid2"/>
    <w:basedOn w:val="TableNormal"/>
    <w:next w:val="TableGrid"/>
    <w:uiPriority w:val="59"/>
    <w:rsid w:val="005A6FA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A6FA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next w:val="LightShading-Accent1"/>
    <w:uiPriority w:val="60"/>
    <w:rsid w:val="005A6FAC"/>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AERquote">
    <w:name w:val="AER quote"/>
    <w:next w:val="AERbodytext"/>
    <w:qFormat/>
    <w:rsid w:val="005A6FAC"/>
    <w:pPr>
      <w:tabs>
        <w:tab w:val="num" w:pos="709"/>
      </w:tabs>
      <w:spacing w:after="160" w:line="288" w:lineRule="auto"/>
      <w:ind w:left="709" w:right="720"/>
      <w:jc w:val="both"/>
    </w:pPr>
    <w:rPr>
      <w:rFonts w:ascii="Gautami" w:eastAsia="Times New Roman" w:hAnsi="Gautami"/>
      <w:color w:val="000000"/>
      <w:sz w:val="16"/>
      <w:szCs w:val="24"/>
      <w:lang w:eastAsia="en-US"/>
    </w:rPr>
  </w:style>
  <w:style w:type="table" w:customStyle="1" w:styleId="MediumShading1-Accent11">
    <w:name w:val="Medium Shading 1 - Accent 11"/>
    <w:basedOn w:val="TableNormal"/>
    <w:next w:val="MediumShading1-Accent1"/>
    <w:uiPriority w:val="63"/>
    <w:rsid w:val="005A6FAC"/>
    <w:rPr>
      <w:rFonts w:ascii="Times New Roman" w:eastAsia="Times New Roman" w:hAnsi="Times New Roman"/>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AERnumberedlistfirststyle">
    <w:name w:val="AER numbered list (first style)"/>
    <w:basedOn w:val="AERbodytext"/>
    <w:uiPriority w:val="99"/>
    <w:qFormat/>
    <w:rsid w:val="005A6FAC"/>
    <w:pPr>
      <w:numPr>
        <w:numId w:val="0"/>
      </w:numPr>
      <w:tabs>
        <w:tab w:val="num" w:pos="357"/>
      </w:tabs>
      <w:spacing w:after="200"/>
      <w:ind w:left="357" w:hanging="357"/>
    </w:pPr>
  </w:style>
  <w:style w:type="paragraph" w:customStyle="1" w:styleId="AERnumberedlistsecondstyle">
    <w:name w:val="AER numbered list (second style)"/>
    <w:basedOn w:val="AERnumberedlistfirststyle"/>
    <w:uiPriority w:val="99"/>
    <w:qFormat/>
    <w:rsid w:val="005A6FAC"/>
    <w:pPr>
      <w:tabs>
        <w:tab w:val="clear" w:pos="357"/>
        <w:tab w:val="num" w:pos="720"/>
      </w:tabs>
      <w:ind w:left="720" w:hanging="363"/>
    </w:pPr>
  </w:style>
  <w:style w:type="paragraph" w:customStyle="1" w:styleId="AERnumberedlistthirdstyle">
    <w:name w:val="AER numbered list (third style)"/>
    <w:basedOn w:val="AERnumberedlistsecondstyle"/>
    <w:uiPriority w:val="99"/>
    <w:qFormat/>
    <w:rsid w:val="005A6FAC"/>
    <w:pPr>
      <w:tabs>
        <w:tab w:val="clear" w:pos="720"/>
        <w:tab w:val="num" w:pos="1077"/>
      </w:tabs>
      <w:ind w:left="1077" w:hanging="357"/>
    </w:pPr>
  </w:style>
  <w:style w:type="paragraph" w:customStyle="1" w:styleId="AERnumberedlist2first">
    <w:name w:val="AER numbered list 2 first"/>
    <w:basedOn w:val="AERbodytext"/>
    <w:uiPriority w:val="99"/>
    <w:qFormat/>
    <w:rsid w:val="005A6FAC"/>
    <w:pPr>
      <w:numPr>
        <w:numId w:val="0"/>
      </w:numPr>
      <w:tabs>
        <w:tab w:val="num" w:pos="454"/>
      </w:tabs>
      <w:ind w:left="454" w:hanging="454"/>
    </w:pPr>
  </w:style>
  <w:style w:type="paragraph" w:customStyle="1" w:styleId="AERnumberedlist2second">
    <w:name w:val="AER numbered list 2 second"/>
    <w:basedOn w:val="AERnumberedlist2first"/>
    <w:uiPriority w:val="99"/>
    <w:qFormat/>
    <w:rsid w:val="005A6FAC"/>
    <w:pPr>
      <w:tabs>
        <w:tab w:val="clear" w:pos="454"/>
        <w:tab w:val="num" w:pos="811"/>
      </w:tabs>
      <w:ind w:left="811" w:hanging="357"/>
    </w:pPr>
  </w:style>
  <w:style w:type="paragraph" w:customStyle="1" w:styleId="AERnumberedlist2third">
    <w:name w:val="AER numbered list 2 third"/>
    <w:basedOn w:val="AERnumberedlist2second"/>
    <w:uiPriority w:val="99"/>
    <w:qFormat/>
    <w:rsid w:val="005A6FAC"/>
    <w:pPr>
      <w:tabs>
        <w:tab w:val="clear" w:pos="811"/>
        <w:tab w:val="num" w:pos="1446"/>
      </w:tabs>
      <w:ind w:left="1446" w:hanging="635"/>
    </w:pPr>
  </w:style>
  <w:style w:type="table" w:customStyle="1" w:styleId="AERtable">
    <w:name w:val="AER table"/>
    <w:basedOn w:val="TableGrid"/>
    <w:rsid w:val="005A6FAC"/>
    <w:pPr>
      <w:spacing w:before="40" w:after="40"/>
    </w:pPr>
    <w:rPr>
      <w:rFonts w:ascii="Times New Roman" w:hAnsi="Times New Roman"/>
      <w:sz w:val="22"/>
    </w:rPr>
    <w:tblPr>
      <w:tblBorders>
        <w:top w:val="single" w:sz="12" w:space="0" w:color="auto"/>
        <w:left w:val="none" w:sz="0" w:space="0" w:color="auto"/>
        <w:bottom w:val="none" w:sz="0" w:space="0" w:color="auto"/>
        <w:right w:val="none" w:sz="0" w:space="0" w:color="auto"/>
        <w:insideH w:val="none" w:sz="0" w:space="0" w:color="auto"/>
        <w:insideV w:val="none" w:sz="0" w:space="0" w:color="auto"/>
      </w:tblBorders>
    </w:tblPr>
    <w:tcPr>
      <w:noWrap/>
      <w:tcMar>
        <w:top w:w="0" w:type="dxa"/>
        <w:bottom w:w="0" w:type="dxa"/>
      </w:tcMar>
    </w:tcPr>
    <w:tblStylePr w:type="firstRow">
      <w:rPr>
        <w:rFonts w:ascii="Times New Roman" w:hAnsi="Times New Roman"/>
        <w:b/>
        <w:sz w:val="22"/>
      </w:rPr>
      <w:tblPr/>
      <w:tcPr>
        <w:tcBorders>
          <w:top w:val="single" w:sz="12" w:space="0" w:color="auto"/>
          <w:left w:val="nil"/>
          <w:bottom w:val="single" w:sz="4" w:space="0" w:color="auto"/>
          <w:right w:val="nil"/>
          <w:insideH w:val="nil"/>
          <w:insideV w:val="nil"/>
          <w:tl2br w:val="nil"/>
          <w:tr2bl w:val="nil"/>
        </w:tcBorders>
      </w:tcPr>
    </w:tblStylePr>
  </w:style>
  <w:style w:type="table" w:customStyle="1" w:styleId="3">
    <w:name w:val="3"/>
    <w:rsid w:val="005A6FAC"/>
    <w:pPr>
      <w:widowControl w:val="0"/>
      <w:autoSpaceDE w:val="0"/>
      <w:autoSpaceDN w:val="0"/>
      <w:adjustRightInd w:val="0"/>
    </w:pPr>
    <w:rPr>
      <w:rFonts w:ascii="Times New Roman" w:eastAsia="Times New Roman" w:hAnsi="Times New Roman"/>
      <w:sz w:val="24"/>
      <w:szCs w:val="24"/>
    </w:rPr>
    <w:tblPr>
      <w:tblInd w:w="0" w:type="dxa"/>
      <w:tblBorders>
        <w:top w:val="single" w:sz="12" w:space="0" w:color="auto"/>
        <w:bottom w:val="single" w:sz="4" w:space="0" w:color="auto"/>
      </w:tblBorders>
      <w:tblCellMar>
        <w:top w:w="0" w:type="dxa"/>
        <w:left w:w="108" w:type="dxa"/>
        <w:bottom w:w="0" w:type="dxa"/>
        <w:right w:w="108" w:type="dxa"/>
      </w:tblCellMar>
    </w:tblPr>
  </w:style>
  <w:style w:type="numbering" w:styleId="1ai">
    <w:name w:val="Outline List 1"/>
    <w:basedOn w:val="NoList"/>
    <w:rsid w:val="005A6FAC"/>
    <w:pPr>
      <w:numPr>
        <w:numId w:val="22"/>
      </w:numPr>
    </w:pPr>
  </w:style>
  <w:style w:type="numbering" w:styleId="111111">
    <w:name w:val="Outline List 2"/>
    <w:basedOn w:val="NoList"/>
    <w:rsid w:val="005A6FAC"/>
    <w:pPr>
      <w:numPr>
        <w:numId w:val="23"/>
      </w:numPr>
    </w:pPr>
  </w:style>
  <w:style w:type="table" w:customStyle="1" w:styleId="TableGrid21">
    <w:name w:val="Table Grid21"/>
    <w:basedOn w:val="TableNormal"/>
    <w:next w:val="TableGrid"/>
    <w:uiPriority w:val="59"/>
    <w:rsid w:val="005A6F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ldAERheadings">
    <w:name w:val="Old AER headings"/>
    <w:uiPriority w:val="99"/>
    <w:locked/>
    <w:rsid w:val="005A6FAC"/>
    <w:pPr>
      <w:numPr>
        <w:numId w:val="24"/>
      </w:numPr>
    </w:pPr>
  </w:style>
  <w:style w:type="table" w:customStyle="1" w:styleId="TableGrid3">
    <w:name w:val="Table Grid3"/>
    <w:basedOn w:val="TableNormal"/>
    <w:next w:val="TableGrid"/>
    <w:uiPriority w:val="59"/>
    <w:rsid w:val="005A6F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Normal"/>
    <w:next w:val="Normal"/>
    <w:uiPriority w:val="39"/>
    <w:rsid w:val="005A6FAC"/>
    <w:pPr>
      <w:tabs>
        <w:tab w:val="right" w:leader="dot" w:pos="9016"/>
      </w:tabs>
      <w:spacing w:before="120" w:after="100" w:line="240" w:lineRule="atLeast"/>
      <w:ind w:left="2977"/>
    </w:pPr>
    <w:rPr>
      <w:noProof/>
    </w:rPr>
  </w:style>
  <w:style w:type="paragraph" w:styleId="TOC9">
    <w:name w:val="toc 9"/>
    <w:basedOn w:val="Normal"/>
    <w:next w:val="Normal"/>
    <w:uiPriority w:val="39"/>
    <w:rsid w:val="005A6FAC"/>
    <w:pPr>
      <w:tabs>
        <w:tab w:val="right" w:leader="dot" w:pos="9016"/>
      </w:tabs>
      <w:spacing w:before="120" w:after="100" w:line="240" w:lineRule="atLeast"/>
      <w:ind w:left="3402"/>
    </w:pPr>
    <w:rPr>
      <w:noProof/>
    </w:rPr>
  </w:style>
  <w:style w:type="paragraph" w:styleId="TOC4">
    <w:name w:val="toc 4"/>
    <w:basedOn w:val="Normal"/>
    <w:next w:val="Normal"/>
    <w:uiPriority w:val="39"/>
    <w:rsid w:val="005A6FAC"/>
    <w:pPr>
      <w:tabs>
        <w:tab w:val="right" w:leader="dot" w:pos="9016"/>
      </w:tabs>
      <w:spacing w:before="120" w:after="100" w:line="240" w:lineRule="atLeast"/>
      <w:ind w:left="1276"/>
    </w:pPr>
    <w:rPr>
      <w:noProof/>
    </w:rPr>
  </w:style>
  <w:style w:type="paragraph" w:styleId="TOC5">
    <w:name w:val="toc 5"/>
    <w:basedOn w:val="Normal"/>
    <w:next w:val="Normal"/>
    <w:uiPriority w:val="39"/>
    <w:rsid w:val="005A6FAC"/>
    <w:pPr>
      <w:tabs>
        <w:tab w:val="right" w:leader="dot" w:pos="9016"/>
      </w:tabs>
      <w:spacing w:before="120" w:after="100" w:line="240" w:lineRule="atLeast"/>
      <w:ind w:left="1701"/>
    </w:pPr>
    <w:rPr>
      <w:noProof/>
    </w:rPr>
  </w:style>
  <w:style w:type="paragraph" w:styleId="TOC6">
    <w:name w:val="toc 6"/>
    <w:basedOn w:val="Normal"/>
    <w:next w:val="Normal"/>
    <w:uiPriority w:val="39"/>
    <w:rsid w:val="005A6FAC"/>
    <w:pPr>
      <w:tabs>
        <w:tab w:val="right" w:leader="dot" w:pos="9016"/>
      </w:tabs>
      <w:spacing w:before="120" w:after="100" w:line="240" w:lineRule="atLeast"/>
      <w:ind w:left="2127"/>
    </w:pPr>
    <w:rPr>
      <w:noProof/>
    </w:rPr>
  </w:style>
  <w:style w:type="paragraph" w:styleId="TOC7">
    <w:name w:val="toc 7"/>
    <w:basedOn w:val="Normal"/>
    <w:next w:val="Normal"/>
    <w:uiPriority w:val="39"/>
    <w:rsid w:val="005A6FAC"/>
    <w:pPr>
      <w:tabs>
        <w:tab w:val="right" w:leader="dot" w:pos="9016"/>
      </w:tabs>
      <w:spacing w:before="120" w:after="100" w:line="240" w:lineRule="atLeast"/>
      <w:ind w:left="2552"/>
    </w:pPr>
    <w:rPr>
      <w:noProof/>
    </w:rPr>
  </w:style>
  <w:style w:type="paragraph" w:customStyle="1" w:styleId="Style1">
    <w:name w:val="Style1"/>
    <w:basedOn w:val="Heading2"/>
    <w:qFormat/>
    <w:rsid w:val="005A6FAC"/>
    <w:pPr>
      <w:keepNext/>
      <w:pageBreakBefore w:val="0"/>
      <w:numPr>
        <w:ilvl w:val="1"/>
        <w:numId w:val="29"/>
      </w:numPr>
      <w:spacing w:after="120" w:line="288" w:lineRule="auto"/>
      <w:jc w:val="both"/>
    </w:pPr>
    <w:rPr>
      <w:rFonts w:eastAsiaTheme="minorHAnsi"/>
      <w:color w:val="auto"/>
      <w:sz w:val="22"/>
      <w:szCs w:val="26"/>
      <w:lang w:eastAsia="en-AU"/>
    </w:rPr>
  </w:style>
  <w:style w:type="numbering" w:customStyle="1" w:styleId="AERnumberedlist2">
    <w:name w:val="AER numbered list2"/>
    <w:rsid w:val="005A6FAC"/>
    <w:pPr>
      <w:numPr>
        <w:numId w:val="17"/>
      </w:numPr>
    </w:pPr>
  </w:style>
  <w:style w:type="character" w:customStyle="1" w:styleId="AERbody">
    <w:name w:val="AER body"/>
    <w:basedOn w:val="DefaultParagraphFont"/>
    <w:uiPriority w:val="99"/>
    <w:qFormat/>
    <w:rsid w:val="005A6FAC"/>
    <w:rPr>
      <w:rFonts w:ascii="Gautami" w:hAnsi="Gautami"/>
      <w:color w:val="auto"/>
      <w:sz w:val="20"/>
    </w:rPr>
  </w:style>
  <w:style w:type="paragraph" w:customStyle="1" w:styleId="AERbulletlistsecondstyle">
    <w:name w:val="AER bullet list (second style)"/>
    <w:basedOn w:val="AERbodytext"/>
    <w:qFormat/>
    <w:rsid w:val="005A6FAC"/>
    <w:pPr>
      <w:numPr>
        <w:numId w:val="25"/>
      </w:numPr>
      <w:tabs>
        <w:tab w:val="num" w:pos="567"/>
        <w:tab w:val="left" w:pos="709"/>
      </w:tabs>
      <w:spacing w:after="200"/>
      <w:ind w:left="714" w:hanging="357"/>
    </w:pPr>
  </w:style>
  <w:style w:type="table" w:customStyle="1" w:styleId="AERtable-numbers">
    <w:name w:val="AER table - numbers"/>
    <w:basedOn w:val="TableNormal"/>
    <w:uiPriority w:val="99"/>
    <w:rsid w:val="005A6FAC"/>
    <w:pPr>
      <w:spacing w:before="120" w:after="80"/>
      <w:jc w:val="right"/>
    </w:pPr>
    <w:rPr>
      <w:rFonts w:ascii="Gautami" w:eastAsia="Calibri" w:hAnsi="Gautami"/>
      <w:sz w:val="16"/>
    </w:rPr>
    <w:tblPr>
      <w:tblStyleRowBandSize w:val="1"/>
      <w:tblBorders>
        <w:bottom w:val="single" w:sz="4" w:space="0" w:color="365F91"/>
      </w:tblBorders>
    </w:tblPr>
    <w:tcPr>
      <w:vAlign w:val="center"/>
    </w:tcPr>
    <w:tblStylePr w:type="firstRow">
      <w:rPr>
        <w:b/>
        <w:color w:val="FFFFFF"/>
      </w:rPr>
      <w:tblPr/>
      <w:tcPr>
        <w:shd w:val="clear" w:color="auto" w:fill="365F91"/>
      </w:tcPr>
    </w:tblStylePr>
    <w:tblStylePr w:type="firstCol">
      <w:pPr>
        <w:jc w:val="left"/>
      </w:pPr>
    </w:tblStylePr>
    <w:tblStylePr w:type="band2Horz">
      <w:tblPr/>
      <w:tcPr>
        <w:shd w:val="clear" w:color="auto" w:fill="DBE5F1"/>
      </w:tcPr>
    </w:tblStylePr>
  </w:style>
  <w:style w:type="paragraph" w:customStyle="1" w:styleId="HeadingBoldBlue">
    <w:name w:val="Heading Bold Blue"/>
    <w:basedOn w:val="AERbodytext"/>
    <w:next w:val="AERbodytext"/>
    <w:link w:val="HeadingBoldBlueChar"/>
    <w:uiPriority w:val="99"/>
    <w:qFormat/>
    <w:rsid w:val="005A6FAC"/>
    <w:pPr>
      <w:keepNext/>
      <w:numPr>
        <w:numId w:val="0"/>
      </w:numPr>
      <w:tabs>
        <w:tab w:val="num" w:pos="0"/>
      </w:tabs>
      <w:spacing w:before="120" w:after="120"/>
      <w:jc w:val="left"/>
    </w:pPr>
    <w:rPr>
      <w:b/>
      <w:color w:val="365F91" w:themeColor="accent1" w:themeShade="BF"/>
      <w:sz w:val="24"/>
    </w:rPr>
  </w:style>
  <w:style w:type="paragraph" w:customStyle="1" w:styleId="HeadingBoldItalic">
    <w:name w:val="Heading Bold Italic"/>
    <w:basedOn w:val="AERbodytext"/>
    <w:next w:val="AERbodytext"/>
    <w:qFormat/>
    <w:rsid w:val="005A6FAC"/>
    <w:pPr>
      <w:keepNext/>
      <w:numPr>
        <w:numId w:val="0"/>
      </w:numPr>
      <w:tabs>
        <w:tab w:val="num" w:pos="0"/>
      </w:tabs>
      <w:spacing w:before="120" w:after="120"/>
      <w:jc w:val="left"/>
    </w:pPr>
    <w:rPr>
      <w:b/>
      <w:i/>
      <w:color w:val="E36C0A"/>
      <w:sz w:val="22"/>
    </w:rPr>
  </w:style>
  <w:style w:type="character" w:customStyle="1" w:styleId="HeadingBoldBlueChar">
    <w:name w:val="Heading Bold Blue Char"/>
    <w:basedOn w:val="AERbodytextChar"/>
    <w:link w:val="HeadingBoldBlue"/>
    <w:uiPriority w:val="99"/>
    <w:rsid w:val="005A6FAC"/>
    <w:rPr>
      <w:rFonts w:ascii="Gautami" w:eastAsia="Times New Roman" w:hAnsi="Gautami"/>
      <w:b/>
      <w:color w:val="365F91" w:themeColor="accent1" w:themeShade="BF"/>
      <w:sz w:val="24"/>
      <w:szCs w:val="24"/>
      <w:lang w:eastAsia="en-US"/>
    </w:rPr>
  </w:style>
  <w:style w:type="paragraph" w:customStyle="1" w:styleId="AERbulletlistthirdstyle">
    <w:name w:val="AER bullet list (third style)"/>
    <w:basedOn w:val="AERbodytext"/>
    <w:qFormat/>
    <w:rsid w:val="005A6FAC"/>
    <w:pPr>
      <w:numPr>
        <w:numId w:val="26"/>
      </w:numPr>
      <w:tabs>
        <w:tab w:val="left" w:pos="1077"/>
      </w:tabs>
      <w:spacing w:after="200"/>
      <w:ind w:left="1071" w:hanging="357"/>
    </w:pPr>
  </w:style>
  <w:style w:type="paragraph" w:customStyle="1" w:styleId="AERbodytextindent2">
    <w:name w:val="AER body text (indent 2)"/>
    <w:basedOn w:val="Normal"/>
    <w:qFormat/>
    <w:rsid w:val="005A6FAC"/>
    <w:pPr>
      <w:spacing w:after="240" w:line="288" w:lineRule="auto"/>
      <w:ind w:left="709"/>
      <w:jc w:val="both"/>
    </w:pPr>
    <w:rPr>
      <w:rFonts w:ascii="Gautami" w:eastAsia="Times New Roman" w:hAnsi="Gautami" w:cs="Times New Roman"/>
      <w:sz w:val="20"/>
      <w:szCs w:val="24"/>
    </w:rPr>
  </w:style>
  <w:style w:type="paragraph" w:customStyle="1" w:styleId="HeadingItalic">
    <w:name w:val="Heading Italic"/>
    <w:basedOn w:val="AERbodytext"/>
    <w:next w:val="AERbodytext"/>
    <w:qFormat/>
    <w:rsid w:val="005A6FAC"/>
    <w:pPr>
      <w:keepNext/>
      <w:numPr>
        <w:numId w:val="0"/>
      </w:numPr>
      <w:tabs>
        <w:tab w:val="num" w:pos="0"/>
      </w:tabs>
      <w:spacing w:before="120" w:after="120"/>
      <w:jc w:val="left"/>
    </w:pPr>
    <w:rPr>
      <w:b/>
      <w:i/>
      <w:color w:val="365F91" w:themeColor="accent1" w:themeShade="BF"/>
      <w:sz w:val="22"/>
    </w:rPr>
  </w:style>
  <w:style w:type="paragraph" w:customStyle="1" w:styleId="Numberlist31">
    <w:name w:val="Number list 3.1"/>
    <w:basedOn w:val="Numberlist21"/>
    <w:rsid w:val="005A6FAC"/>
    <w:pPr>
      <w:numPr>
        <w:numId w:val="27"/>
      </w:numPr>
    </w:pPr>
  </w:style>
  <w:style w:type="paragraph" w:customStyle="1" w:styleId="Numberlist41">
    <w:name w:val="Number list 4.1"/>
    <w:basedOn w:val="Numberlist31"/>
    <w:qFormat/>
    <w:rsid w:val="005A6FAC"/>
    <w:pPr>
      <w:numPr>
        <w:numId w:val="28"/>
      </w:numPr>
      <w:ind w:left="2629"/>
    </w:pPr>
  </w:style>
  <w:style w:type="character" w:styleId="PageNumber">
    <w:name w:val="page number"/>
    <w:basedOn w:val="DefaultParagraphFont"/>
    <w:rsid w:val="005A6FAC"/>
  </w:style>
  <w:style w:type="character" w:customStyle="1" w:styleId="st1">
    <w:name w:val="st1"/>
    <w:basedOn w:val="DefaultParagraphFont"/>
    <w:rsid w:val="005A6FAC"/>
  </w:style>
  <w:style w:type="paragraph" w:customStyle="1" w:styleId="Numberlista">
    <w:name w:val="Number list (a)"/>
    <w:basedOn w:val="Numberlist11"/>
    <w:qFormat/>
    <w:rsid w:val="005A6FAC"/>
    <w:pPr>
      <w:tabs>
        <w:tab w:val="num" w:pos="993"/>
      </w:tabs>
      <w:ind w:left="993" w:hanging="567"/>
    </w:pPr>
  </w:style>
  <w:style w:type="paragraph" w:customStyle="1" w:styleId="Numberlist81">
    <w:name w:val="Number list 8.1"/>
    <w:basedOn w:val="Normal"/>
    <w:qFormat/>
    <w:rsid w:val="005A6FAC"/>
    <w:pPr>
      <w:numPr>
        <w:ilvl w:val="2"/>
        <w:numId w:val="19"/>
      </w:numPr>
      <w:spacing w:after="120" w:line="288" w:lineRule="auto"/>
      <w:jc w:val="both"/>
      <w:outlineLvl w:val="1"/>
    </w:pPr>
    <w:rPr>
      <w:bCs/>
      <w:szCs w:val="26"/>
      <w:lang w:eastAsia="en-AU"/>
      <w14:scene3d>
        <w14:camera w14:prst="orthographicFront"/>
        <w14:lightRig w14:rig="threePt" w14:dir="t">
          <w14:rot w14:lat="0" w14:lon="0" w14:rev="0"/>
        </w14:lightRig>
      </w14:scene3d>
    </w:rPr>
  </w:style>
  <w:style w:type="paragraph" w:customStyle="1" w:styleId="Noparagraph2">
    <w:name w:val="No. paragraph 2"/>
    <w:basedOn w:val="Numberlist21"/>
    <w:link w:val="Noparagraph2Char"/>
    <w:rsid w:val="00142241"/>
    <w:pPr>
      <w:numPr>
        <w:ilvl w:val="2"/>
        <w:numId w:val="30"/>
      </w:numPr>
    </w:pPr>
  </w:style>
  <w:style w:type="paragraph" w:customStyle="1" w:styleId="Nopara1">
    <w:name w:val="No. para 1"/>
    <w:basedOn w:val="Heading3"/>
    <w:link w:val="Nopara1Char"/>
    <w:rsid w:val="00142241"/>
    <w:rPr>
      <w:szCs w:val="26"/>
    </w:rPr>
  </w:style>
  <w:style w:type="character" w:customStyle="1" w:styleId="Numberlist1Char">
    <w:name w:val="Number list 1 Char"/>
    <w:basedOn w:val="Heading2Char"/>
    <w:link w:val="Numberlist1"/>
    <w:rsid w:val="00142241"/>
    <w:rPr>
      <w:rFonts w:ascii="Arial" w:eastAsiaTheme="minorHAnsi" w:hAnsi="Arial" w:cstheme="minorBidi"/>
      <w:b w:val="0"/>
      <w:bCs/>
      <w:color w:val="303F51"/>
      <w:sz w:val="22"/>
      <w:szCs w:val="26"/>
      <w:lang w:eastAsia="ja-JP"/>
    </w:rPr>
  </w:style>
  <w:style w:type="character" w:customStyle="1" w:styleId="Numberlist21Char">
    <w:name w:val="Number list 2.1 Char"/>
    <w:basedOn w:val="Numberlist1Char"/>
    <w:link w:val="Numberlist21"/>
    <w:rsid w:val="00142241"/>
    <w:rPr>
      <w:rFonts w:ascii="Arial" w:eastAsiaTheme="minorHAnsi" w:hAnsi="Arial" w:cstheme="minorBidi"/>
      <w:b w:val="0"/>
      <w:bCs/>
      <w:color w:val="303F51"/>
      <w:sz w:val="22"/>
      <w:szCs w:val="26"/>
      <w:lang w:eastAsia="ja-JP"/>
    </w:rPr>
  </w:style>
  <w:style w:type="character" w:customStyle="1" w:styleId="Noparagraph2Char">
    <w:name w:val="No. paragraph 2 Char"/>
    <w:basedOn w:val="Numberlist21Char"/>
    <w:link w:val="Noparagraph2"/>
    <w:rsid w:val="00142241"/>
    <w:rPr>
      <w:rFonts w:ascii="Arial" w:eastAsiaTheme="minorHAnsi" w:hAnsi="Arial" w:cstheme="minorBidi"/>
      <w:b w:val="0"/>
      <w:bCs/>
      <w:color w:val="303F51"/>
      <w:sz w:val="22"/>
      <w:szCs w:val="26"/>
      <w:lang w:eastAsia="ja-JP"/>
    </w:rPr>
  </w:style>
  <w:style w:type="paragraph" w:customStyle="1" w:styleId="Nopara1x1">
    <w:name w:val="No. para 1.x.1"/>
    <w:basedOn w:val="Heading4"/>
    <w:link w:val="Nopara1x1Char"/>
    <w:rsid w:val="00B76EEE"/>
    <w:rPr>
      <w:b w:val="0"/>
      <w:bCs w:val="0"/>
    </w:rPr>
  </w:style>
  <w:style w:type="character" w:customStyle="1" w:styleId="Nopara1Char">
    <w:name w:val="No. para 1 Char"/>
    <w:basedOn w:val="Heading3Char"/>
    <w:link w:val="Nopara1"/>
    <w:rsid w:val="00142241"/>
    <w:rPr>
      <w:rFonts w:ascii="Arial" w:eastAsia="Times New Roman" w:hAnsi="Arial"/>
      <w:b/>
      <w:bCs/>
      <w:color w:val="303F51"/>
      <w:sz w:val="32"/>
      <w:szCs w:val="26"/>
      <w:lang w:eastAsia="en-US"/>
    </w:rPr>
  </w:style>
  <w:style w:type="paragraph" w:customStyle="1" w:styleId="Noparagraph">
    <w:name w:val="No. paragraph"/>
    <w:basedOn w:val="Heading4"/>
    <w:link w:val="NoparagraphChar"/>
    <w:qFormat/>
    <w:rsid w:val="00485BCF"/>
    <w:pPr>
      <w:tabs>
        <w:tab w:val="clear" w:pos="1021"/>
        <w:tab w:val="left" w:pos="567"/>
      </w:tabs>
    </w:pPr>
    <w:rPr>
      <w:b w:val="0"/>
      <w:bCs w:val="0"/>
      <w:color w:val="auto"/>
    </w:rPr>
  </w:style>
  <w:style w:type="character" w:customStyle="1" w:styleId="Nopara1x1Char">
    <w:name w:val="No. para 1.x.1 Char"/>
    <w:basedOn w:val="Heading4Char"/>
    <w:link w:val="Nopara1x1"/>
    <w:rsid w:val="00B76EEE"/>
    <w:rPr>
      <w:rFonts w:ascii="Arial" w:eastAsiaTheme="majorEastAsia" w:hAnsi="Arial" w:cstheme="majorBidi"/>
      <w:b w:val="0"/>
      <w:bCs w:val="0"/>
      <w:iCs/>
      <w:color w:val="303F51"/>
      <w:sz w:val="22"/>
      <w:szCs w:val="22"/>
      <w:lang w:eastAsia="en-US"/>
    </w:rPr>
  </w:style>
  <w:style w:type="character" w:customStyle="1" w:styleId="NoparagraphChar">
    <w:name w:val="No. paragraph Char"/>
    <w:basedOn w:val="Heading4Char"/>
    <w:link w:val="Noparagraph"/>
    <w:rsid w:val="00485BCF"/>
    <w:rPr>
      <w:rFonts w:ascii="Arial" w:eastAsiaTheme="majorEastAsia" w:hAnsi="Arial" w:cstheme="majorBidi"/>
      <w:b w:val="0"/>
      <w:bCs w:val="0"/>
      <w:iCs/>
      <w:color w:val="303F51"/>
      <w:sz w:val="22"/>
      <w:szCs w:val="22"/>
      <w:lang w:eastAsia="en-US"/>
    </w:rPr>
  </w:style>
  <w:style w:type="paragraph" w:customStyle="1" w:styleId="NER-RC-List-1-MNum">
    <w:name w:val="NER-RC-List-1-MNum"/>
    <w:basedOn w:val="Normal"/>
    <w:uiPriority w:val="99"/>
    <w:rsid w:val="004F61F9"/>
    <w:pPr>
      <w:tabs>
        <w:tab w:val="left" w:pos="1701"/>
      </w:tabs>
      <w:autoSpaceDE w:val="0"/>
      <w:autoSpaceDN w:val="0"/>
      <w:adjustRightInd w:val="0"/>
      <w:spacing w:before="120" w:after="120" w:line="240" w:lineRule="auto"/>
      <w:ind w:left="1701" w:hanging="567"/>
      <w:jc w:val="both"/>
    </w:pPr>
    <w:rPr>
      <w:rFonts w:ascii="Times New Roman" w:eastAsiaTheme="minorEastAsia" w:hAnsi="Times New Roman" w:cs="Times New Roman"/>
      <w:color w:val="000000"/>
      <w:sz w:val="24"/>
      <w:szCs w:val="24"/>
      <w:lang w:val="en-US"/>
    </w:rPr>
  </w:style>
  <w:style w:type="paragraph" w:customStyle="1" w:styleId="NER-RC-List-2-MNum">
    <w:name w:val="NER-RC-List-2-MNum"/>
    <w:basedOn w:val="Normal"/>
    <w:uiPriority w:val="99"/>
    <w:rsid w:val="004F61F9"/>
    <w:pPr>
      <w:tabs>
        <w:tab w:val="left" w:pos="2268"/>
      </w:tabs>
      <w:autoSpaceDE w:val="0"/>
      <w:autoSpaceDN w:val="0"/>
      <w:adjustRightInd w:val="0"/>
      <w:spacing w:before="120" w:after="120" w:line="240" w:lineRule="auto"/>
      <w:ind w:left="2268" w:hanging="567"/>
      <w:jc w:val="both"/>
    </w:pPr>
    <w:rPr>
      <w:rFonts w:ascii="Times New Roman" w:eastAsiaTheme="minorEastAsia" w:hAnsi="Times New Roman" w:cs="Times New Roman"/>
      <w:color w:val="000000"/>
      <w:sz w:val="24"/>
      <w:szCs w:val="24"/>
      <w:lang w:val="en-US"/>
    </w:rPr>
  </w:style>
  <w:style w:type="paragraph" w:styleId="BodyText">
    <w:name w:val="Body Text"/>
    <w:basedOn w:val="Normal"/>
    <w:link w:val="BodyTextChar"/>
    <w:uiPriority w:val="99"/>
    <w:unhideWhenUsed/>
    <w:rsid w:val="00836FDE"/>
    <w:pPr>
      <w:spacing w:after="120"/>
    </w:pPr>
  </w:style>
  <w:style w:type="character" w:customStyle="1" w:styleId="BodyTextChar">
    <w:name w:val="Body Text Char"/>
    <w:basedOn w:val="DefaultParagraphFont"/>
    <w:link w:val="BodyText"/>
    <w:uiPriority w:val="99"/>
    <w:rsid w:val="00836FDE"/>
    <w:rPr>
      <w:rFonts w:ascii="Arial" w:eastAsiaTheme="minorHAnsi" w:hAnsi="Arial" w:cstheme="minorBidi"/>
      <w:sz w:val="22"/>
      <w:szCs w:val="22"/>
      <w:lang w:eastAsia="en-US"/>
    </w:rPr>
  </w:style>
  <w:style w:type="character" w:customStyle="1" w:styleId="Heading7Char">
    <w:name w:val="Heading 7 Char"/>
    <w:basedOn w:val="DefaultParagraphFont"/>
    <w:link w:val="Heading7"/>
    <w:uiPriority w:val="9"/>
    <w:rsid w:val="00D62643"/>
    <w:rPr>
      <w:rFonts w:ascii="Gautami" w:eastAsia="Times New Roman" w:hAnsi="Gautami" w:cstheme="minorBidi"/>
      <w:b/>
      <w:bCs/>
      <w:iCs/>
      <w:color w:val="E36C0A"/>
      <w:spacing w:val="5"/>
      <w:kern w:val="28"/>
      <w:sz w:val="36"/>
      <w:szCs w:val="24"/>
      <w:lang w:eastAsia="en-US"/>
    </w:rPr>
  </w:style>
  <w:style w:type="character" w:customStyle="1" w:styleId="Heading8Char">
    <w:name w:val="Heading 8 Char"/>
    <w:basedOn w:val="DefaultParagraphFont"/>
    <w:link w:val="Heading8"/>
    <w:uiPriority w:val="9"/>
    <w:rsid w:val="00D62643"/>
    <w:rPr>
      <w:rFonts w:ascii="Gautami" w:eastAsia="Times New Roman" w:hAnsi="Gautami" w:cstheme="minorBidi"/>
      <w:b/>
      <w:bCs/>
      <w:iCs/>
      <w:color w:val="E36C0A"/>
      <w:spacing w:val="5"/>
      <w:kern w:val="28"/>
      <w:sz w:val="28"/>
      <w:lang w:eastAsia="en-US"/>
    </w:rPr>
  </w:style>
  <w:style w:type="character" w:customStyle="1" w:styleId="Heading9Char">
    <w:name w:val="Heading 9 Char"/>
    <w:basedOn w:val="DefaultParagraphFont"/>
    <w:link w:val="Heading9"/>
    <w:uiPriority w:val="9"/>
    <w:rsid w:val="00D62643"/>
    <w:rPr>
      <w:rFonts w:ascii="Gautami" w:eastAsia="Times New Roman" w:hAnsi="Gautami" w:cstheme="minorBidi"/>
      <w:b/>
      <w:bCs/>
      <w:color w:val="E36C0A"/>
      <w:spacing w:val="5"/>
      <w:kern w:val="28"/>
      <w:sz w:val="24"/>
      <w:lang w:eastAsia="en-US"/>
    </w:rPr>
  </w:style>
  <w:style w:type="numbering" w:customStyle="1" w:styleId="AERHeadings">
    <w:name w:val="AER Headings"/>
    <w:uiPriority w:val="99"/>
    <w:rsid w:val="00D62643"/>
    <w:pPr>
      <w:numPr>
        <w:numId w:val="55"/>
      </w:numPr>
    </w:pPr>
  </w:style>
  <w:style w:type="paragraph" w:customStyle="1" w:styleId="AERbodytextindent1">
    <w:name w:val="AER body text (indent 1)"/>
    <w:basedOn w:val="AERbodytext"/>
    <w:uiPriority w:val="99"/>
    <w:qFormat/>
    <w:rsid w:val="00D62643"/>
    <w:pPr>
      <w:numPr>
        <w:numId w:val="0"/>
      </w:numPr>
      <w:ind w:left="357"/>
    </w:pPr>
  </w:style>
  <w:style w:type="paragraph" w:customStyle="1" w:styleId="AERbodytextindent3">
    <w:name w:val="AER body text (indent 3)"/>
    <w:basedOn w:val="AERbodytext"/>
    <w:qFormat/>
    <w:rsid w:val="00D62643"/>
    <w:pPr>
      <w:numPr>
        <w:numId w:val="0"/>
      </w:numPr>
      <w:ind w:left="1077"/>
    </w:pPr>
  </w:style>
  <w:style w:type="character" w:customStyle="1" w:styleId="AERtextconfidential">
    <w:name w:val="AER text confidential"/>
    <w:qFormat/>
    <w:rsid w:val="00D62643"/>
    <w:rPr>
      <w:bdr w:val="none" w:sz="0" w:space="0" w:color="auto"/>
      <w:shd w:val="clear" w:color="auto" w:fill="CCFFFF"/>
    </w:rPr>
  </w:style>
  <w:style w:type="paragraph" w:customStyle="1" w:styleId="AERquoteindent1">
    <w:name w:val="AER quote (indent 1)"/>
    <w:basedOn w:val="AERquote"/>
    <w:qFormat/>
    <w:rsid w:val="00D62643"/>
    <w:pPr>
      <w:tabs>
        <w:tab w:val="clear" w:pos="709"/>
        <w:tab w:val="num" w:pos="1077"/>
      </w:tabs>
      <w:ind w:left="1077" w:right="1440"/>
    </w:pPr>
  </w:style>
  <w:style w:type="paragraph" w:customStyle="1" w:styleId="AERquoteindent2">
    <w:name w:val="AER quote (indent 2)"/>
    <w:basedOn w:val="AERquoteindent1"/>
    <w:qFormat/>
    <w:rsid w:val="00D62643"/>
    <w:pPr>
      <w:tabs>
        <w:tab w:val="clear" w:pos="1077"/>
        <w:tab w:val="left" w:pos="1440"/>
      </w:tabs>
      <w:ind w:left="1440" w:right="1797"/>
    </w:pPr>
  </w:style>
  <w:style w:type="paragraph" w:customStyle="1" w:styleId="AERquoteindent3">
    <w:name w:val="AER quote (indent 3)"/>
    <w:basedOn w:val="AERquoteindent2"/>
    <w:qFormat/>
    <w:rsid w:val="00D62643"/>
    <w:pPr>
      <w:tabs>
        <w:tab w:val="clear" w:pos="1440"/>
        <w:tab w:val="left" w:pos="1803"/>
      </w:tabs>
      <w:ind w:left="1803" w:right="2160"/>
    </w:pPr>
  </w:style>
  <w:style w:type="paragraph" w:customStyle="1" w:styleId="AERquotebullet1">
    <w:name w:val="AER quote bullet 1"/>
    <w:basedOn w:val="Normal"/>
    <w:qFormat/>
    <w:rsid w:val="00D62643"/>
    <w:pPr>
      <w:numPr>
        <w:numId w:val="56"/>
      </w:numPr>
      <w:tabs>
        <w:tab w:val="left" w:pos="1077"/>
      </w:tabs>
      <w:spacing w:after="240" w:line="200" w:lineRule="atLeast"/>
      <w:ind w:left="1077" w:right="663" w:hanging="357"/>
      <w:jc w:val="both"/>
    </w:pPr>
    <w:rPr>
      <w:rFonts w:ascii="Gautami" w:eastAsia="Times New Roman" w:hAnsi="Gautami" w:cs="Times New Roman"/>
      <w:sz w:val="16"/>
      <w:szCs w:val="16"/>
    </w:rPr>
  </w:style>
  <w:style w:type="paragraph" w:customStyle="1" w:styleId="AERrevisionbox">
    <w:name w:val="AER revision box"/>
    <w:basedOn w:val="AERbodytext"/>
    <w:qFormat/>
    <w:rsid w:val="00D62643"/>
    <w:pPr>
      <w:numPr>
        <w:numId w:val="0"/>
      </w:numPr>
      <w:pBdr>
        <w:top w:val="single" w:sz="4" w:space="1" w:color="auto"/>
        <w:left w:val="single" w:sz="4" w:space="4" w:color="auto"/>
        <w:bottom w:val="single" w:sz="4" w:space="1" w:color="auto"/>
        <w:right w:val="single" w:sz="4" w:space="4" w:color="auto"/>
      </w:pBdr>
      <w:shd w:val="clear" w:color="auto" w:fill="E0E0E0"/>
      <w:ind w:left="340" w:hanging="340"/>
    </w:pPr>
  </w:style>
  <w:style w:type="character" w:customStyle="1" w:styleId="AERsubscript">
    <w:name w:val="AER subscript"/>
    <w:qFormat/>
    <w:rsid w:val="00D62643"/>
    <w:rPr>
      <w:rFonts w:ascii="Gautami" w:hAnsi="Gautami"/>
      <w:vertAlign w:val="subscript"/>
    </w:rPr>
  </w:style>
  <w:style w:type="character" w:customStyle="1" w:styleId="AERsuperscript">
    <w:name w:val="AER superscript"/>
    <w:qFormat/>
    <w:rsid w:val="00D62643"/>
    <w:rPr>
      <w:rFonts w:ascii="Gautami" w:hAnsi="Gautami"/>
      <w:vertAlign w:val="superscript"/>
    </w:rPr>
  </w:style>
  <w:style w:type="paragraph" w:customStyle="1" w:styleId="AERtablesource">
    <w:name w:val="AER table source"/>
    <w:next w:val="AERbodytext"/>
    <w:qFormat/>
    <w:rsid w:val="00D62643"/>
    <w:pPr>
      <w:tabs>
        <w:tab w:val="left" w:pos="794"/>
      </w:tabs>
      <w:spacing w:before="40" w:after="240"/>
      <w:ind w:left="794" w:hanging="794"/>
      <w:contextualSpacing/>
      <w:jc w:val="both"/>
    </w:pPr>
    <w:rPr>
      <w:rFonts w:ascii="Gautami" w:eastAsia="Times New Roman" w:hAnsi="Gautami"/>
      <w:sz w:val="16"/>
      <w:szCs w:val="24"/>
      <w:lang w:eastAsia="en-US"/>
    </w:rPr>
  </w:style>
  <w:style w:type="table" w:customStyle="1" w:styleId="AERtable-text">
    <w:name w:val="AER table - text"/>
    <w:basedOn w:val="TableNormal"/>
    <w:uiPriority w:val="99"/>
    <w:rsid w:val="00D62643"/>
    <w:pPr>
      <w:spacing w:before="120" w:after="80"/>
    </w:pPr>
    <w:rPr>
      <w:rFonts w:ascii="Gautami" w:eastAsia="Calibri" w:hAnsi="Gautami"/>
      <w:sz w:val="16"/>
    </w:rPr>
    <w:tblPr>
      <w:tblStyleRowBandSize w:val="1"/>
      <w:tblBorders>
        <w:bottom w:val="single" w:sz="4" w:space="0" w:color="365F91"/>
      </w:tblBorders>
    </w:tblPr>
    <w:tcPr>
      <w:vAlign w:val="center"/>
    </w:tcPr>
    <w:tblStylePr w:type="firstRow">
      <w:rPr>
        <w:b/>
        <w:color w:val="FFFFFF"/>
      </w:rPr>
      <w:tblPr/>
      <w:tcPr>
        <w:shd w:val="clear" w:color="auto" w:fill="365F91"/>
      </w:tcPr>
    </w:tblStylePr>
    <w:tblStylePr w:type="band2Horz">
      <w:tblPr/>
      <w:tcPr>
        <w:shd w:val="clear" w:color="auto" w:fill="DBE5F1"/>
      </w:tcPr>
    </w:tblStylePr>
  </w:style>
  <w:style w:type="character" w:customStyle="1" w:styleId="AERtextbold">
    <w:name w:val="AER text bold"/>
    <w:uiPriority w:val="99"/>
    <w:qFormat/>
    <w:rsid w:val="00D62643"/>
    <w:rPr>
      <w:b/>
    </w:rPr>
  </w:style>
  <w:style w:type="character" w:customStyle="1" w:styleId="AERtextboldunderline">
    <w:name w:val="AER text bold underline"/>
    <w:qFormat/>
    <w:rsid w:val="00D62643"/>
    <w:rPr>
      <w:b/>
      <w:u w:val="single"/>
    </w:rPr>
  </w:style>
  <w:style w:type="character" w:customStyle="1" w:styleId="AERtexthighlight">
    <w:name w:val="AER text highlight"/>
    <w:qFormat/>
    <w:rsid w:val="00D62643"/>
    <w:rPr>
      <w:bdr w:val="none" w:sz="0" w:space="0" w:color="auto"/>
      <w:shd w:val="clear" w:color="auto" w:fill="FFFF00"/>
    </w:rPr>
  </w:style>
  <w:style w:type="character" w:customStyle="1" w:styleId="AERtextunderline">
    <w:name w:val="AER text underline"/>
    <w:qFormat/>
    <w:rsid w:val="00D62643"/>
    <w:rPr>
      <w:u w:val="single"/>
    </w:rPr>
  </w:style>
  <w:style w:type="paragraph" w:customStyle="1" w:styleId="UnnumberedHeading">
    <w:name w:val="Unnumbered Heading"/>
    <w:basedOn w:val="Heading1"/>
    <w:next w:val="AERbodytext"/>
    <w:link w:val="UnnumberedHeadingChar"/>
    <w:qFormat/>
    <w:rsid w:val="00D62643"/>
    <w:pPr>
      <w:keepNext/>
      <w:keepLines/>
      <w:pageBreakBefore/>
      <w:widowControl/>
      <w:tabs>
        <w:tab w:val="num" w:pos="0"/>
      </w:tabs>
      <w:spacing w:before="120" w:after="120" w:line="288" w:lineRule="auto"/>
      <w:ind w:left="0" w:firstLine="0"/>
      <w:contextualSpacing w:val="0"/>
    </w:pPr>
    <w:rPr>
      <w:rFonts w:ascii="Gautami" w:eastAsia="Times New Roman" w:hAnsi="Gautami"/>
      <w:color w:val="E36C0A"/>
      <w:sz w:val="36"/>
    </w:rPr>
  </w:style>
  <w:style w:type="character" w:customStyle="1" w:styleId="AERtextorange">
    <w:name w:val="AER text orange"/>
    <w:uiPriority w:val="1"/>
    <w:qFormat/>
    <w:rsid w:val="00D62643"/>
    <w:rPr>
      <w:color w:val="E36C0A"/>
    </w:rPr>
  </w:style>
  <w:style w:type="paragraph" w:customStyle="1" w:styleId="AERtitle1">
    <w:name w:val="AER title 1"/>
    <w:qFormat/>
    <w:rsid w:val="00D62643"/>
    <w:pPr>
      <w:spacing w:after="240" w:line="288" w:lineRule="auto"/>
      <w:jc w:val="center"/>
    </w:pPr>
    <w:rPr>
      <w:rFonts w:ascii="Gautami" w:eastAsia="Times New Roman" w:hAnsi="Gautami"/>
      <w:b/>
      <w:sz w:val="40"/>
      <w:szCs w:val="24"/>
    </w:rPr>
  </w:style>
  <w:style w:type="paragraph" w:customStyle="1" w:styleId="AERtitle2">
    <w:name w:val="AER title 2"/>
    <w:qFormat/>
    <w:rsid w:val="00D62643"/>
    <w:pPr>
      <w:spacing w:after="240" w:line="288" w:lineRule="auto"/>
      <w:jc w:val="center"/>
    </w:pPr>
    <w:rPr>
      <w:rFonts w:ascii="Gautami" w:eastAsia="Times New Roman" w:hAnsi="Gautami"/>
      <w:sz w:val="32"/>
      <w:szCs w:val="24"/>
      <w:lang w:eastAsia="en-US"/>
    </w:rPr>
  </w:style>
  <w:style w:type="character" w:customStyle="1" w:styleId="AERtextblue">
    <w:name w:val="AER text blue"/>
    <w:uiPriority w:val="1"/>
    <w:qFormat/>
    <w:rsid w:val="00D62643"/>
    <w:rPr>
      <w:color w:val="365F91"/>
    </w:rPr>
  </w:style>
  <w:style w:type="character" w:customStyle="1" w:styleId="UnnumberedHeadingChar">
    <w:name w:val="Unnumbered Heading Char"/>
    <w:basedOn w:val="Heading1Char"/>
    <w:link w:val="UnnumberedHeading"/>
    <w:rsid w:val="00D62643"/>
    <w:rPr>
      <w:rFonts w:ascii="Gautami" w:eastAsia="Times New Roman" w:hAnsi="Gautami" w:cstheme="minorBidi"/>
      <w:b/>
      <w:bCs/>
      <w:color w:val="E36C0A"/>
      <w:spacing w:val="5"/>
      <w:kern w:val="28"/>
      <w:sz w:val="36"/>
      <w:szCs w:val="28"/>
      <w:lang w:eastAsia="en-US"/>
    </w:rPr>
  </w:style>
  <w:style w:type="paragraph" w:customStyle="1" w:styleId="AERbodytextnospace">
    <w:name w:val="AER body text no space"/>
    <w:basedOn w:val="AERbodytext"/>
    <w:qFormat/>
    <w:rsid w:val="00D62643"/>
    <w:pPr>
      <w:numPr>
        <w:numId w:val="0"/>
      </w:numPr>
      <w:spacing w:after="0"/>
      <w:ind w:left="340" w:hanging="340"/>
    </w:pPr>
  </w:style>
  <w:style w:type="paragraph" w:customStyle="1" w:styleId="AERtabletextright">
    <w:name w:val="AER table text right"/>
    <w:basedOn w:val="AERtabletextleft"/>
    <w:qFormat/>
    <w:rsid w:val="00D62643"/>
    <w:pPr>
      <w:spacing w:before="120" w:after="80"/>
      <w:jc w:val="right"/>
    </w:pPr>
  </w:style>
  <w:style w:type="character" w:customStyle="1" w:styleId="AERtextsize8">
    <w:name w:val="AER text size 8"/>
    <w:uiPriority w:val="1"/>
    <w:qFormat/>
    <w:rsid w:val="00D62643"/>
    <w:rPr>
      <w:sz w:val="16"/>
    </w:rPr>
  </w:style>
  <w:style w:type="character" w:customStyle="1" w:styleId="AERtextsize10">
    <w:name w:val="AER text size 10"/>
    <w:uiPriority w:val="1"/>
    <w:qFormat/>
    <w:rsid w:val="00D62643"/>
    <w:rPr>
      <w:sz w:val="20"/>
    </w:rPr>
  </w:style>
  <w:style w:type="paragraph" w:customStyle="1" w:styleId="AERbodytextnospaceleftalign">
    <w:name w:val="AER body text no space left align"/>
    <w:basedOn w:val="AERbodytextnospace"/>
    <w:qFormat/>
    <w:rsid w:val="00D62643"/>
    <w:pPr>
      <w:tabs>
        <w:tab w:val="num" w:pos="0"/>
      </w:tabs>
      <w:ind w:left="0" w:firstLine="0"/>
      <w:jc w:val="left"/>
    </w:pPr>
  </w:style>
  <w:style w:type="paragraph" w:customStyle="1" w:styleId="AERbodytextleftalign">
    <w:name w:val="AER body text left align"/>
    <w:basedOn w:val="AERbodytext"/>
    <w:qFormat/>
    <w:rsid w:val="00D62643"/>
    <w:pPr>
      <w:numPr>
        <w:numId w:val="0"/>
      </w:numPr>
      <w:ind w:left="340" w:hanging="340"/>
      <w:jc w:val="left"/>
    </w:pPr>
  </w:style>
  <w:style w:type="paragraph" w:customStyle="1" w:styleId="AERbodytextcentre">
    <w:name w:val="AER body text centre"/>
    <w:basedOn w:val="AERbodytext"/>
    <w:qFormat/>
    <w:rsid w:val="00D62643"/>
    <w:pPr>
      <w:numPr>
        <w:numId w:val="0"/>
      </w:numPr>
      <w:ind w:left="340" w:hanging="340"/>
      <w:jc w:val="center"/>
    </w:pPr>
  </w:style>
  <w:style w:type="paragraph" w:customStyle="1" w:styleId="AERbodytextnospacecentre">
    <w:name w:val="AER body text no space centre"/>
    <w:basedOn w:val="AERbodytextnospace"/>
    <w:qFormat/>
    <w:rsid w:val="00D62643"/>
    <w:pPr>
      <w:jc w:val="center"/>
    </w:pPr>
  </w:style>
  <w:style w:type="paragraph" w:customStyle="1" w:styleId="HeadingOrange">
    <w:name w:val="Heading Orange"/>
    <w:basedOn w:val="HeadingBoldItalic"/>
    <w:qFormat/>
    <w:rsid w:val="00D62643"/>
    <w:pPr>
      <w:tabs>
        <w:tab w:val="clear" w:pos="0"/>
      </w:tabs>
      <w:ind w:left="340" w:hanging="340"/>
    </w:pPr>
    <w:rPr>
      <w:i w:val="0"/>
      <w:sz w:val="20"/>
    </w:rPr>
  </w:style>
  <w:style w:type="character" w:customStyle="1" w:styleId="TableHeadingChar">
    <w:name w:val="Table Heading Char"/>
    <w:basedOn w:val="DefaultParagraphFont"/>
    <w:link w:val="TableHeading"/>
    <w:uiPriority w:val="14"/>
    <w:rsid w:val="00805614"/>
    <w:rPr>
      <w:rFonts w:ascii="Arial" w:eastAsiaTheme="minorHAnsi" w:hAnsi="Arial" w:cstheme="minorBidi"/>
      <w:b/>
      <w:color w:val="FFFFFF" w:themeColor="background1"/>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tworksinformation@aer.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ick\AppData\Local\Microsoft\Windows\INetCache\Content.Outlook\TNKVD0PV\AER%20repor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HarvardAGPS.XSL" StyleName="Harvard - AGPS*"/>
</file>

<file path=customXml/item3.xml><?xml version="1.0" encoding="utf-8"?>
<ct:contentTypeSchema xmlns:ct="http://schemas.microsoft.com/office/2006/metadata/contentType" xmlns:ma="http://schemas.microsoft.com/office/2006/metadata/properties/metaAttributes" ct:_="" ma:_="" ma:contentTypeName="Document" ma:contentTypeID="0x0101004A7FB25C6BD88945B43274A2B55CC893" ma:contentTypeVersion="8" ma:contentTypeDescription="Create a new document." ma:contentTypeScope="" ma:versionID="66fa147d1a090996fdbfbd07790f31d0">
  <xsd:schema xmlns:xsd="http://www.w3.org/2001/XMLSchema" xmlns:xs="http://www.w3.org/2001/XMLSchema" xmlns:p="http://schemas.microsoft.com/office/2006/metadata/properties" xmlns:ns1="http://schemas.microsoft.com/sharepoint/v3" xmlns:ns2="7cf0e0db-f490-4122-abae-21917392c748" targetNamespace="http://schemas.microsoft.com/office/2006/metadata/properties" ma:root="true" ma:fieldsID="b4c7fdbaab2653067f148b97a858fdeb" ns1:_="" ns2:_="">
    <xsd:import namespace="http://schemas.microsoft.com/sharepoint/v3"/>
    <xsd:import namespace="7cf0e0db-f490-4122-abae-21917392c748"/>
    <xsd:element name="properties">
      <xsd:complexType>
        <xsd:sequence>
          <xsd:element name="documentManagement">
            <xsd:complexType>
              <xsd:all>
                <xsd:element ref="ns1:PublishingStartDate" minOccurs="0"/>
                <xsd:element ref="ns1:PublishingExpirationDate" minOccurs="0"/>
                <xsd:element ref="ns2:Topic" minOccurs="0"/>
                <xsd:element ref="ns2:Display_x0020_as" minOccurs="0"/>
                <xsd:element ref="ns2:bb374297174b4bdba831a078c8472ed4"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f0e0db-f490-4122-abae-21917392c748" elementFormDefault="qualified">
    <xsd:import namespace="http://schemas.microsoft.com/office/2006/documentManagement/types"/>
    <xsd:import namespace="http://schemas.microsoft.com/office/infopath/2007/PartnerControls"/>
    <xsd:element name="Topic" ma:index="10" nillable="true" ma:displayName="Topic" ma:format="Dropdown" ma:internalName="Topic">
      <xsd:simpleType>
        <xsd:restriction base="dms:Choice">
          <xsd:enumeration value="About the Department"/>
          <xsd:enumeration value="AAIs"/>
          <xsd:enumeration value="Administrative design"/>
          <xsd:enumeration value="Awards and recognition"/>
          <xsd:enumeration value="Budget and Annual Report"/>
          <xsd:enumeration value="Building access"/>
          <xsd:enumeration value="Business Continuity"/>
          <xsd:enumeration value="Business improvement"/>
          <xsd:enumeration value="Canberra Facilities"/>
          <xsd:enumeration value="Car parking"/>
          <xsd:enumeration value="Committees and Networks"/>
          <xsd:enumeration value="Conduct and behavior"/>
          <xsd:enumeration value="Contacts"/>
          <xsd:enumeration value="Corporate and Business Plans"/>
          <xsd:enumeration value="Delegations"/>
          <xsd:enumeration value="Emergency"/>
          <xsd:enumeration value="Enterprise Agreement"/>
          <xsd:enumeration value="FaBS Service Centre"/>
          <xsd:enumeration value="Finance"/>
          <xsd:enumeration value="Finance Training"/>
          <xsd:enumeration value="FOI and Privacy"/>
          <xsd:enumeration value="Fraud and Security"/>
          <xsd:enumeration value="Grants Management"/>
          <xsd:enumeration value="Health and safety"/>
          <xsd:enumeration value="IML"/>
          <xsd:enumeration value="Information/Records Management"/>
          <xsd:enumeration value="IT Services"/>
          <xsd:enumeration value="Learning and development"/>
          <xsd:enumeration value="Leave"/>
          <xsd:enumeration value="Legal"/>
          <xsd:enumeration value="Legislation, regulation and regulatory reform"/>
          <xsd:enumeration value="Mail and Freight"/>
          <xsd:enumeration value="Media and speeches"/>
          <xsd:enumeration value="Minister"/>
          <xsd:enumeration value="Ministerial and parliamentary"/>
          <xsd:enumeration value="News and Events"/>
          <xsd:enumeration value="Office supplies"/>
          <xsd:enumeration value="Online publishing"/>
          <xsd:enumeration value="Performance Management"/>
          <xsd:enumeration value="Program and Project Management"/>
          <xsd:enumeration value="Properties, facilities and supplies"/>
          <xsd:enumeration value="Publications"/>
          <xsd:enumeration value="Recruitment"/>
          <xsd:enumeration value="Risk Management"/>
          <xsd:enumeration value="Salary"/>
          <xsd:enumeration value="Secretary and Executive"/>
          <xsd:enumeration value="Service Delivery"/>
          <xsd:enumeration value="Service Delivery Modernisation"/>
          <xsd:enumeration value="Social"/>
          <xsd:enumeration value="Social Media"/>
          <xsd:enumeration value="Staff Surveys"/>
          <xsd:enumeration value="Structure"/>
          <xsd:enumeration value="Style guides and writing"/>
          <xsd:enumeration value="Tools and Systems"/>
          <xsd:enumeration value="Travel"/>
          <xsd:enumeration value="Vehicles - Fleet"/>
          <xsd:enumeration value="Working arrangements"/>
          <xsd:enumeration value="Worklife balance"/>
          <xsd:enumeration value="Workplace diversity"/>
        </xsd:restriction>
      </xsd:simpleType>
    </xsd:element>
    <xsd:element name="Display_x0020_as" ma:index="11" nillable="true" ma:displayName="Display as" ma:default="N/A" ma:description="for identifying policies procedures, forms and templates" ma:internalName="Display_x0020_as">
      <xsd:complexType>
        <xsd:complexContent>
          <xsd:extension base="dms:MultiChoice">
            <xsd:sequence>
              <xsd:element name="Value" maxOccurs="unbounded" minOccurs="0" nillable="true">
                <xsd:simpleType>
                  <xsd:restriction base="dms:Choice">
                    <xsd:enumeration value="Policy"/>
                    <xsd:enumeration value="Procedure"/>
                    <xsd:enumeration value="Form"/>
                    <xsd:enumeration value="Template"/>
                    <xsd:enumeration value="Checklist"/>
                    <xsd:enumeration value="Contact"/>
                    <xsd:enumeration value="News"/>
                    <xsd:enumeration value="N/A"/>
                  </xsd:restriction>
                </xsd:simpleType>
              </xsd:element>
            </xsd:sequence>
          </xsd:extension>
        </xsd:complexContent>
      </xsd:complexType>
    </xsd:element>
    <xsd:element name="bb374297174b4bdba831a078c8472ed4" ma:index="12" nillable="true" ma:taxonomy="true" ma:internalName="bb374297174b4bdba831a078c8472ed4" ma:taxonomyFieldName="Document_x0020_Type" ma:displayName="Document Type" ma:default="" ma:fieldId="{bb374297-174b-4bdb-a831-a078c8472ed4}" ma:sspId="09220d36-2b40-42d2-98de-701753724435" ma:termSetId="4ce58473-0306-406e-a93f-f5dd13a02506" ma:anchorId="38d06e9b-17d5-490d-973f-9a1f4cecc264" ma:open="false" ma:isKeyword="false">
      <xsd:complexType>
        <xsd:sequence>
          <xsd:element ref="pc:Terms" minOccurs="0" maxOccurs="1"/>
        </xsd:sequence>
      </xsd:complexType>
    </xsd:element>
    <xsd:element name="TaxCatchAll" ma:index="13" nillable="true" ma:displayName="Taxonomy Catch All Column" ma:hidden="true" ma:list="{d6f63d10-0b52-4490-b9e7-721c0b21adac}" ma:internalName="TaxCatchAll" ma:showField="CatchAllData" ma:web="7cf0e0db-f490-4122-abae-21917392c748">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d6f63d10-0b52-4490-b9e7-721c0b21adac}" ma:internalName="TaxCatchAllLabel" ma:readOnly="true" ma:showField="CatchAllDataLabel" ma:web="7cf0e0db-f490-4122-abae-21917392c7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opic xmlns="7cf0e0db-f490-4122-abae-21917392c748" xsi:nil="true"/>
    <PublishingExpirationDate xmlns="http://schemas.microsoft.com/sharepoint/v3" xsi:nil="true"/>
    <PublishingStartDate xmlns="http://schemas.microsoft.com/sharepoint/v3" xsi:nil="true"/>
    <Display_x0020_as xmlns="7cf0e0db-f490-4122-abae-21917392c748"/>
    <bb374297174b4bdba831a078c8472ed4 xmlns="7cf0e0db-f490-4122-abae-21917392c748">
      <Terms xmlns="http://schemas.microsoft.com/office/infopath/2007/PartnerControls"/>
    </bb374297174b4bdba831a078c8472ed4>
    <TaxCatchAll xmlns="7cf0e0db-f490-4122-abae-21917392c748"/>
  </documentManagement>
</p:properties>
</file>

<file path=customXml/itemProps1.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2.xml><?xml version="1.0" encoding="utf-8"?>
<ds:datastoreItem xmlns:ds="http://schemas.openxmlformats.org/officeDocument/2006/customXml" ds:itemID="{22ED0D68-0104-4842-8F42-2A7A91AAD54C}">
  <ds:schemaRefs>
    <ds:schemaRef ds:uri="http://schemas.openxmlformats.org/officeDocument/2006/bibliography"/>
  </ds:schemaRefs>
</ds:datastoreItem>
</file>

<file path=customXml/itemProps3.xml><?xml version="1.0" encoding="utf-8"?>
<ds:datastoreItem xmlns:ds="http://schemas.openxmlformats.org/officeDocument/2006/customXml" ds:itemID="{6DCF07A3-2ED5-4901-97F9-F2B2E221F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f0e0db-f490-4122-abae-21917392c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1CAD33-3B39-4665-A5E6-666D035120E9}">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cf0e0db-f490-4122-abae-21917392c74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AER report template</Template>
  <TotalTime>112</TotalTime>
  <Pages>34</Pages>
  <Words>10413</Words>
  <Characters>57695</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Report template</vt:lpstr>
    </vt:vector>
  </TitlesOfParts>
  <Company/>
  <LinksUpToDate>false</LinksUpToDate>
  <CharactersWithSpaces>67973</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dc:title>
  <dc:subject/>
  <dc:creator>Hogan, Susan</dc:creator>
  <cp:keywords/>
  <cp:lastModifiedBy>Jane Kelly</cp:lastModifiedBy>
  <cp:revision>8</cp:revision>
  <cp:lastPrinted>2023-12-06T02:07:00Z</cp:lastPrinted>
  <dcterms:created xsi:type="dcterms:W3CDTF">2025-05-08T11:56:00Z</dcterms:created>
  <dcterms:modified xsi:type="dcterms:W3CDTF">2025-05-29T07:39:00Z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0x0101004A7FB25C6BD88945B43274A2B55CC893</vt:lpwstr>
  </property>
  <property fmtid="{D5CDD505-2E9C-101B-9397-08002B2CF9AE}" pid="3" name="MSIP_Label_d9d5a995-dfdf-4407-9a97-edbbc68c9f53_Enabled">
    <vt:lpwstr>true</vt:lpwstr>
  </property>
  <property fmtid="{D5CDD505-2E9C-101B-9397-08002B2CF9AE}" pid="4" name="MSIP_Label_d9d5a995-dfdf-4407-9a97-edbbc68c9f53_SetDate">
    <vt:lpwstr>2025-05-08T09:49:47Z</vt:lpwstr>
  </property>
  <property fmtid="{D5CDD505-2E9C-101B-9397-08002B2CF9AE}" pid="5" name="MSIP_Label_d9d5a995-dfdf-4407-9a97-edbbc68c9f53_Method">
    <vt:lpwstr>Privileged</vt:lpwstr>
  </property>
  <property fmtid="{D5CDD505-2E9C-101B-9397-08002B2CF9AE}" pid="6" name="MSIP_Label_d9d5a995-dfdf-4407-9a97-edbbc68c9f53_Name">
    <vt:lpwstr>OFFICIAL</vt:lpwstr>
  </property>
  <property fmtid="{D5CDD505-2E9C-101B-9397-08002B2CF9AE}" pid="7" name="MSIP_Label_d9d5a995-dfdf-4407-9a97-edbbc68c9f53_SiteId">
    <vt:lpwstr>b33e9e1a-e443-4edd-9789-24bed26d38d6</vt:lpwstr>
  </property>
  <property fmtid="{D5CDD505-2E9C-101B-9397-08002B2CF9AE}" pid="8" name="MSIP_Label_d9d5a995-dfdf-4407-9a97-edbbc68c9f53_ActionId">
    <vt:lpwstr>71593cef-ab03-492d-9684-2813e965b54e</vt:lpwstr>
  </property>
  <property fmtid="{D5CDD505-2E9C-101B-9397-08002B2CF9AE}" pid="9" name="MSIP_Label_d9d5a995-dfdf-4407-9a97-edbbc68c9f53_ContentBits">
    <vt:lpwstr>0</vt:lpwstr>
  </property>
</Properties>
</file>