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heme="minorBidi"/>
          <w:b w:val="0"/>
          <w:color w:val="000000" w:themeColor="text1"/>
          <w:kern w:val="0"/>
          <w:sz w:val="21"/>
          <w:szCs w:val="21"/>
        </w:rPr>
        <w:id w:val="-458037949"/>
        <w:docPartObj>
          <w:docPartGallery w:val="Cover Pages"/>
          <w:docPartUnique/>
        </w:docPartObj>
      </w:sdtPr>
      <w:sdtContent>
        <w:p w14:paraId="13B534EC" w14:textId="7A7A2F9B" w:rsidR="00253F78" w:rsidRPr="00267190" w:rsidRDefault="00253F78" w:rsidP="001A6B49">
          <w:pPr>
            <w:pStyle w:val="Title"/>
          </w:pPr>
          <w:r>
            <w:rPr>
              <w:noProof/>
              <w:lang w:eastAsia="en-AU"/>
            </w:rPr>
            <w:drawing>
              <wp:anchor distT="0" distB="0" distL="114300" distR="114300" simplePos="0" relativeHeight="251658244" behindDoc="1" locked="0" layoutInCell="1" allowOverlap="1" wp14:anchorId="5D972EC7" wp14:editId="1D786D99">
                <wp:simplePos x="0" y="0"/>
                <wp:positionH relativeFrom="page">
                  <wp:align>left</wp:align>
                </wp:positionH>
                <wp:positionV relativeFrom="page">
                  <wp:align>top</wp:align>
                </wp:positionV>
                <wp:extent cx="7560000" cy="10695600"/>
                <wp:effectExtent l="0" t="0" r="3175" b="0"/>
                <wp:wrapNone/>
                <wp:docPr id="28" name="Picture 28"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urfac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Pr="00267190">
            <w:rPr>
              <w:noProof/>
              <w:lang w:eastAsia="en-AU"/>
            </w:rPr>
            <mc:AlternateContent>
              <mc:Choice Requires="wps">
                <w:drawing>
                  <wp:anchor distT="0" distB="0" distL="114300" distR="114300" simplePos="0" relativeHeight="251658240" behindDoc="1" locked="0" layoutInCell="1" allowOverlap="1" wp14:anchorId="0BEA81E8" wp14:editId="214BD358">
                    <wp:simplePos x="0" y="0"/>
                    <wp:positionH relativeFrom="page">
                      <wp:align>left</wp:align>
                    </wp:positionH>
                    <wp:positionV relativeFrom="page">
                      <wp:align>top</wp:align>
                    </wp:positionV>
                    <wp:extent cx="7560000" cy="10692000"/>
                    <wp:effectExtent l="0" t="0" r="3175" b="0"/>
                    <wp:wrapNone/>
                    <wp:docPr id="27" name="Rectangle 27"/>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rect id="Rectangle 27" style="position:absolute;margin-left:0;margin-top:0;width:595.3pt;height:841.9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white [3212]" stroked="f" strokeweight="1pt" w14:anchorId="162D65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">
                    <w10:wrap anchorx="page" anchory="page"/>
                  </v:rect>
                </w:pict>
              </mc:Fallback>
            </mc:AlternateContent>
          </w:r>
          <w:r w:rsidRPr="00267190">
            <w:rPr>
              <w:noProof/>
              <w:lang w:eastAsia="en-AU"/>
            </w:rPr>
            <w:drawing>
              <wp:anchor distT="0" distB="0" distL="114300" distR="114300" simplePos="0" relativeHeight="251658241" behindDoc="0" locked="0" layoutInCell="1" allowOverlap="1" wp14:anchorId="3E864D31" wp14:editId="5C9A4EA1">
                <wp:simplePos x="0" y="0"/>
                <wp:positionH relativeFrom="margin">
                  <wp:align>right</wp:align>
                </wp:positionH>
                <wp:positionV relativeFrom="page">
                  <wp:posOffset>720090</wp:posOffset>
                </wp:positionV>
                <wp:extent cx="1929600" cy="1548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9600" cy="154800"/>
                        </a:xfrm>
                        <a:prstGeom prst="rect">
                          <a:avLst/>
                        </a:prstGeom>
                      </pic:spPr>
                    </pic:pic>
                  </a:graphicData>
                </a:graphic>
                <wp14:sizeRelH relativeFrom="margin">
                  <wp14:pctWidth>0</wp14:pctWidth>
                </wp14:sizeRelH>
                <wp14:sizeRelV relativeFrom="margin">
                  <wp14:pctHeight>0</wp14:pctHeight>
                </wp14:sizeRelV>
              </wp:anchor>
            </w:drawing>
          </w:r>
          <w:r w:rsidRPr="00267190">
            <w:rPr>
              <w:noProof/>
              <w:lang w:eastAsia="en-AU"/>
            </w:rPr>
            <w:drawing>
              <wp:anchor distT="0" distB="0" distL="114300" distR="114300" simplePos="0" relativeHeight="251658242" behindDoc="0" locked="0" layoutInCell="1" allowOverlap="1" wp14:anchorId="414C1536" wp14:editId="49E55B38">
                <wp:simplePos x="0" y="0"/>
                <wp:positionH relativeFrom="margin">
                  <wp:posOffset>-635</wp:posOffset>
                </wp:positionH>
                <wp:positionV relativeFrom="page">
                  <wp:posOffset>396240</wp:posOffset>
                </wp:positionV>
                <wp:extent cx="1839600" cy="565200"/>
                <wp:effectExtent l="0" t="0" r="8255"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1839600" cy="565200"/>
                        </a:xfrm>
                        <a:prstGeom prst="rect">
                          <a:avLst/>
                        </a:prstGeom>
                      </pic:spPr>
                    </pic:pic>
                  </a:graphicData>
                </a:graphic>
                <wp14:sizeRelH relativeFrom="margin">
                  <wp14:pctWidth>0</wp14:pctWidth>
                </wp14:sizeRelH>
                <wp14:sizeRelV relativeFrom="margin">
                  <wp14:pctHeight>0</wp14:pctHeight>
                </wp14:sizeRelV>
              </wp:anchor>
            </w:drawing>
          </w:r>
          <w:sdt>
            <w:sdtPr>
              <w:id w:val="-949153502"/>
              <w:picture/>
            </w:sdtPr>
            <w:sdtContent/>
          </w:sdt>
          <w:r>
            <w:rPr>
              <w:noProof/>
              <w:lang w:eastAsia="en-AU"/>
            </w:rPr>
            <w:drawing>
              <wp:anchor distT="0" distB="0" distL="114300" distR="114300" simplePos="0" relativeHeight="251658243" behindDoc="1" locked="0" layoutInCell="1" allowOverlap="1" wp14:anchorId="1ED68C3D" wp14:editId="56D59AA9">
                <wp:simplePos x="0" y="0"/>
                <wp:positionH relativeFrom="page">
                  <wp:align>left</wp:align>
                </wp:positionH>
                <wp:positionV relativeFrom="page">
                  <wp:align>top</wp:align>
                </wp:positionV>
                <wp:extent cx="7560000" cy="8809200"/>
                <wp:effectExtent l="0" t="0" r="3175" b="0"/>
                <wp:wrapNone/>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0000" cy="8809200"/>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2145153573"/>
              <w:placeholder>
                <w:docPart w:val="814ECFABC0784436B32010B0C5FD7021"/>
              </w:placeholder>
              <w:dataBinding w:prefixMappings="xmlns:ns0='http://purl.org/dc/elements/1.1/' xmlns:ns1='http://schemas.openxmlformats.org/package/2006/metadata/core-properties' " w:xpath="/ns1:coreProperties[1]/ns0:title[1]" w:storeItemID="{6C3C8BC8-F283-45AE-878A-BAB7291924A1}"/>
              <w:text/>
            </w:sdtPr>
            <w:sdtContent>
              <w:r w:rsidR="00E96221">
                <w:t>Confidentiality Claim</w:t>
              </w:r>
              <w:r w:rsidR="005B0667">
                <w:t>s</w:t>
              </w:r>
            </w:sdtContent>
          </w:sdt>
        </w:p>
        <w:p w14:paraId="29BBF9DB" w14:textId="783407C2" w:rsidR="00253F78" w:rsidRDefault="00000000" w:rsidP="001A6B49">
          <w:pPr>
            <w:pStyle w:val="Subtitle"/>
          </w:pPr>
          <w:sdt>
            <w:sdtPr>
              <w:alias w:val="Subject"/>
              <w:tag w:val=""/>
              <w:id w:val="1414512117"/>
              <w:placeholder>
                <w:docPart w:val="BF50BB79D3254A9C861361ED82F0FEE9"/>
              </w:placeholder>
              <w:dataBinding w:prefixMappings="xmlns:ns0='http://purl.org/dc/elements/1.1/' xmlns:ns1='http://schemas.openxmlformats.org/package/2006/metadata/core-properties' " w:xpath="/ns1:coreProperties[1]/ns0:subject[1]" w:storeItemID="{6C3C8BC8-F283-45AE-878A-BAB7291924A1}"/>
              <w:text/>
            </w:sdtPr>
            <w:sdtContent>
              <w:r w:rsidR="00637792">
                <w:t>PEC Reopener Application</w:t>
              </w:r>
            </w:sdtContent>
          </w:sdt>
        </w:p>
        <w:p w14:paraId="2B6D2246" w14:textId="7013B989" w:rsidR="00253F78" w:rsidRPr="001A6B49" w:rsidRDefault="004C68D1" w:rsidP="001A6B49">
          <w:r>
            <w:t xml:space="preserve">March </w:t>
          </w:r>
          <w:r w:rsidR="003E10AF">
            <w:t>2026</w:t>
          </w:r>
        </w:p>
        <w:p w14:paraId="14C8977F" w14:textId="77777777" w:rsidR="00253F78" w:rsidRDefault="00253F78">
          <w:r>
            <w:br w:type="page"/>
          </w:r>
        </w:p>
      </w:sdtContent>
    </w:sdt>
    <w:p w14:paraId="6E68A239" w14:textId="77777777" w:rsidR="002D7DF6" w:rsidRDefault="00E30372" w:rsidP="00E30372">
      <w:pPr>
        <w:pStyle w:val="TOCHeading"/>
      </w:pPr>
      <w:r>
        <w:lastRenderedPageBreak/>
        <w:t>Contents</w:t>
      </w:r>
    </w:p>
    <w:p w14:paraId="0A7B3A6B" w14:textId="6738602D" w:rsidR="00302E1D" w:rsidRDefault="004D1559">
      <w:pPr>
        <w:pStyle w:val="TOC1"/>
        <w:rPr>
          <w:rFonts w:eastAsiaTheme="minorEastAsia"/>
          <w:b w:val="0"/>
          <w:noProof/>
          <w:color w:val="auto"/>
          <w:kern w:val="2"/>
          <w:sz w:val="24"/>
          <w:szCs w:val="24"/>
          <w:lang w:eastAsia="en-AU"/>
          <w14:ligatures w14:val="standardContextual"/>
        </w:rPr>
      </w:pPr>
      <w:r>
        <w:rPr>
          <w:sz w:val="30"/>
        </w:rPr>
        <w:fldChar w:fldCharType="begin"/>
      </w:r>
      <w:r w:rsidRPr="0010435C">
        <w:instrText xml:space="preserve"> TOC \o "1-3" \h \z \u \t "Heading 8,1,Heading 9,2" </w:instrText>
      </w:r>
      <w:r>
        <w:rPr>
          <w:sz w:val="30"/>
        </w:rPr>
        <w:fldChar w:fldCharType="separate"/>
      </w:r>
      <w:hyperlink w:anchor="_Toc221874642" w:history="1">
        <w:r w:rsidR="00302E1D" w:rsidRPr="00F135C1">
          <w:rPr>
            <w:rStyle w:val="Hyperlink"/>
            <w:noProof/>
          </w:rPr>
          <w:t>1. Confidentiality Claims</w:t>
        </w:r>
        <w:r w:rsidR="00302E1D">
          <w:rPr>
            <w:noProof/>
            <w:webHidden/>
          </w:rPr>
          <w:tab/>
        </w:r>
        <w:r w:rsidR="00302E1D">
          <w:rPr>
            <w:noProof/>
            <w:webHidden/>
          </w:rPr>
          <w:fldChar w:fldCharType="begin"/>
        </w:r>
        <w:r w:rsidR="00302E1D">
          <w:rPr>
            <w:noProof/>
            <w:webHidden/>
          </w:rPr>
          <w:instrText xml:space="preserve"> PAGEREF _Toc221874642 \h </w:instrText>
        </w:r>
        <w:r w:rsidR="00302E1D">
          <w:rPr>
            <w:noProof/>
            <w:webHidden/>
          </w:rPr>
        </w:r>
        <w:r w:rsidR="00302E1D">
          <w:rPr>
            <w:noProof/>
            <w:webHidden/>
          </w:rPr>
          <w:fldChar w:fldCharType="separate"/>
        </w:r>
        <w:r w:rsidR="00302E1D">
          <w:rPr>
            <w:noProof/>
            <w:webHidden/>
          </w:rPr>
          <w:t>2</w:t>
        </w:r>
        <w:r w:rsidR="00302E1D">
          <w:rPr>
            <w:noProof/>
            <w:webHidden/>
          </w:rPr>
          <w:fldChar w:fldCharType="end"/>
        </w:r>
      </w:hyperlink>
    </w:p>
    <w:p w14:paraId="347CD23E" w14:textId="0E74B53C" w:rsidR="00302E1D" w:rsidRDefault="00302E1D">
      <w:pPr>
        <w:pStyle w:val="TOC1"/>
        <w:rPr>
          <w:rFonts w:eastAsiaTheme="minorEastAsia"/>
          <w:b w:val="0"/>
          <w:noProof/>
          <w:color w:val="auto"/>
          <w:kern w:val="2"/>
          <w:sz w:val="24"/>
          <w:szCs w:val="24"/>
          <w:lang w:eastAsia="en-AU"/>
          <w14:ligatures w14:val="standardContextual"/>
        </w:rPr>
      </w:pPr>
      <w:hyperlink w:anchor="_Toc221874643" w:history="1">
        <w:r w:rsidRPr="00F135C1">
          <w:rPr>
            <w:rStyle w:val="Hyperlink"/>
            <w:noProof/>
          </w:rPr>
          <w:t>2. Locations of Cells with Confidential Material</w:t>
        </w:r>
        <w:r>
          <w:rPr>
            <w:noProof/>
            <w:webHidden/>
          </w:rPr>
          <w:tab/>
        </w:r>
        <w:r>
          <w:rPr>
            <w:noProof/>
            <w:webHidden/>
          </w:rPr>
          <w:fldChar w:fldCharType="begin"/>
        </w:r>
        <w:r>
          <w:rPr>
            <w:noProof/>
            <w:webHidden/>
          </w:rPr>
          <w:instrText xml:space="preserve"> PAGEREF _Toc221874643 \h </w:instrText>
        </w:r>
        <w:r>
          <w:rPr>
            <w:noProof/>
            <w:webHidden/>
          </w:rPr>
        </w:r>
        <w:r>
          <w:rPr>
            <w:noProof/>
            <w:webHidden/>
          </w:rPr>
          <w:fldChar w:fldCharType="separate"/>
        </w:r>
        <w:r>
          <w:rPr>
            <w:noProof/>
            <w:webHidden/>
          </w:rPr>
          <w:t>34</w:t>
        </w:r>
        <w:r>
          <w:rPr>
            <w:noProof/>
            <w:webHidden/>
          </w:rPr>
          <w:fldChar w:fldCharType="end"/>
        </w:r>
      </w:hyperlink>
    </w:p>
    <w:p w14:paraId="339A7748" w14:textId="1C634414" w:rsidR="00302E1D" w:rsidRDefault="00302E1D">
      <w:pPr>
        <w:pStyle w:val="TOC1"/>
        <w:rPr>
          <w:rFonts w:eastAsiaTheme="minorEastAsia"/>
          <w:b w:val="0"/>
          <w:noProof/>
          <w:color w:val="auto"/>
          <w:kern w:val="2"/>
          <w:sz w:val="24"/>
          <w:szCs w:val="24"/>
          <w:lang w:eastAsia="en-AU"/>
          <w14:ligatures w14:val="standardContextual"/>
        </w:rPr>
      </w:pPr>
      <w:hyperlink w:anchor="_Toc221874644" w:history="1">
        <w:r w:rsidRPr="00F135C1">
          <w:rPr>
            <w:rStyle w:val="Hyperlink"/>
            <w:noProof/>
          </w:rPr>
          <w:t>3. Proportion of Confidential Material</w:t>
        </w:r>
        <w:r>
          <w:rPr>
            <w:noProof/>
            <w:webHidden/>
          </w:rPr>
          <w:tab/>
        </w:r>
        <w:r>
          <w:rPr>
            <w:noProof/>
            <w:webHidden/>
          </w:rPr>
          <w:fldChar w:fldCharType="begin"/>
        </w:r>
        <w:r>
          <w:rPr>
            <w:noProof/>
            <w:webHidden/>
          </w:rPr>
          <w:instrText xml:space="preserve"> PAGEREF _Toc221874644 \h </w:instrText>
        </w:r>
        <w:r>
          <w:rPr>
            <w:noProof/>
            <w:webHidden/>
          </w:rPr>
        </w:r>
        <w:r>
          <w:rPr>
            <w:noProof/>
            <w:webHidden/>
          </w:rPr>
          <w:fldChar w:fldCharType="separate"/>
        </w:r>
        <w:r>
          <w:rPr>
            <w:noProof/>
            <w:webHidden/>
          </w:rPr>
          <w:t>40</w:t>
        </w:r>
        <w:r>
          <w:rPr>
            <w:noProof/>
            <w:webHidden/>
          </w:rPr>
          <w:fldChar w:fldCharType="end"/>
        </w:r>
      </w:hyperlink>
    </w:p>
    <w:p w14:paraId="71E9D445" w14:textId="47DEC811" w:rsidR="00A14E52" w:rsidRDefault="004D1559">
      <w:r>
        <w:fldChar w:fldCharType="end"/>
      </w:r>
      <w:r w:rsidR="00A14E52">
        <w:br w:type="page"/>
      </w:r>
    </w:p>
    <w:p w14:paraId="328143F8" w14:textId="77777777" w:rsidR="00D30A58" w:rsidRPr="00D30A58" w:rsidRDefault="000B2199" w:rsidP="000B2199">
      <w:pPr>
        <w:pStyle w:val="Heading1"/>
      </w:pPr>
      <w:bookmarkStart w:id="0" w:name="_Toc221874642"/>
      <w:r>
        <w:lastRenderedPageBreak/>
        <w:t>Confidentiality Claims</w:t>
      </w:r>
      <w:bookmarkEnd w:id="0"/>
    </w:p>
    <w:p w14:paraId="24193FF6" w14:textId="5FEDC3D8" w:rsidR="001A6B49" w:rsidRDefault="001A6B49" w:rsidP="001F67F4">
      <w:r>
        <w:t xml:space="preserve">This document sets out </w:t>
      </w:r>
      <w:r w:rsidR="000B2199">
        <w:t xml:space="preserve">confidentiality claims for </w:t>
      </w:r>
      <w:r w:rsidR="707F88C7">
        <w:t>Transgrid's</w:t>
      </w:r>
      <w:r w:rsidR="00F92C45">
        <w:t xml:space="preserve"> </w:t>
      </w:r>
      <w:r w:rsidR="00972D3D">
        <w:t>application the reopen the 2023-2028 Revenue Determination (Reopener Application).</w:t>
      </w:r>
    </w:p>
    <w:p w14:paraId="77B7830D" w14:textId="77777777" w:rsidR="001A6B49" w:rsidRDefault="001A6B49" w:rsidP="001F67F4"/>
    <w:p w14:paraId="562B7CE3" w14:textId="77777777" w:rsidR="001A6B49" w:rsidRDefault="001A6B49" w:rsidP="001F67F4">
      <w:pPr>
        <w:sectPr w:rsidR="001A6B49" w:rsidSect="005767E8">
          <w:headerReference w:type="even" r:id="rId18"/>
          <w:headerReference w:type="default" r:id="rId19"/>
          <w:footerReference w:type="even" r:id="rId20"/>
          <w:footerReference w:type="default" r:id="rId21"/>
          <w:headerReference w:type="first" r:id="rId22"/>
          <w:footerReference w:type="first" r:id="rId23"/>
          <w:pgSz w:w="11906" w:h="16838"/>
          <w:pgMar w:top="1985" w:right="964" w:bottom="1418" w:left="964" w:header="709" w:footer="709" w:gutter="0"/>
          <w:pgNumType w:start="0"/>
          <w:cols w:space="708"/>
          <w:titlePg/>
          <w:docGrid w:linePitch="360"/>
        </w:sectPr>
      </w:pPr>
    </w:p>
    <w:tbl>
      <w:tblPr>
        <w:tblStyle w:val="TableGrid"/>
        <w:tblpPr w:leftFromText="180" w:rightFromText="180" w:vertAnchor="text" w:tblpX="-3" w:tblpY="1"/>
        <w:tblOverlap w:val="never"/>
        <w:tblW w:w="15306" w:type="dxa"/>
        <w:tblLayout w:type="fixed"/>
        <w:tblLook w:val="04A0" w:firstRow="1" w:lastRow="0" w:firstColumn="1" w:lastColumn="0" w:noHBand="0" w:noVBand="1"/>
      </w:tblPr>
      <w:tblGrid>
        <w:gridCol w:w="2124"/>
        <w:gridCol w:w="1559"/>
        <w:gridCol w:w="1701"/>
        <w:gridCol w:w="1559"/>
        <w:gridCol w:w="1985"/>
        <w:gridCol w:w="2551"/>
        <w:gridCol w:w="2552"/>
        <w:gridCol w:w="1275"/>
      </w:tblGrid>
      <w:tr w:rsidR="00531438" w:rsidRPr="00BF5F1E" w14:paraId="13E9E8F2" w14:textId="77777777" w:rsidTr="358799A6">
        <w:trPr>
          <w:cnfStyle w:val="100000000000" w:firstRow="1" w:lastRow="0" w:firstColumn="0" w:lastColumn="0" w:oddVBand="0" w:evenVBand="0" w:oddHBand="0" w:evenHBand="0" w:firstRowFirstColumn="0" w:firstRowLastColumn="0" w:lastRowFirstColumn="0" w:lastRowLastColumn="0"/>
          <w:cantSplit/>
          <w:trHeight w:val="563"/>
          <w:tblHeader/>
        </w:trPr>
        <w:tc>
          <w:tcPr>
            <w:tcW w:w="2124" w:type="dxa"/>
            <w:tcBorders>
              <w:bottom w:val="single" w:sz="2" w:space="0" w:color="BFBFBF" w:themeColor="background1" w:themeShade="BF"/>
            </w:tcBorders>
          </w:tcPr>
          <w:p w14:paraId="4DE0F2D7" w14:textId="77777777" w:rsidR="004745F1" w:rsidRPr="005D07AE" w:rsidRDefault="004745F1" w:rsidP="00BF5F1E">
            <w:pPr>
              <w:rPr>
                <w:sz w:val="18"/>
                <w:szCs w:val="18"/>
              </w:rPr>
            </w:pPr>
            <w:r w:rsidRPr="005D07AE">
              <w:rPr>
                <w:sz w:val="18"/>
                <w:szCs w:val="18"/>
              </w:rPr>
              <w:lastRenderedPageBreak/>
              <w:t xml:space="preserve">Title, page and paragraph number </w:t>
            </w:r>
          </w:p>
          <w:p w14:paraId="49D0F3B4" w14:textId="77777777" w:rsidR="004745F1" w:rsidRPr="005D07AE" w:rsidRDefault="004745F1" w:rsidP="00BF5F1E">
            <w:pPr>
              <w:rPr>
                <w:sz w:val="18"/>
                <w:szCs w:val="18"/>
              </w:rPr>
            </w:pPr>
            <w:r w:rsidRPr="005D07AE">
              <w:rPr>
                <w:sz w:val="18"/>
                <w:szCs w:val="18"/>
              </w:rPr>
              <w:t>(i.e. section and page number)</w:t>
            </w:r>
          </w:p>
        </w:tc>
        <w:tc>
          <w:tcPr>
            <w:tcW w:w="1559" w:type="dxa"/>
            <w:tcBorders>
              <w:bottom w:val="single" w:sz="2" w:space="0" w:color="BFBFBF" w:themeColor="background1" w:themeShade="BF"/>
            </w:tcBorders>
          </w:tcPr>
          <w:p w14:paraId="702212CF" w14:textId="2FD20DB6" w:rsidR="004745F1" w:rsidRPr="005D07AE" w:rsidRDefault="004745F1" w:rsidP="00BF5F1E">
            <w:pPr>
              <w:rPr>
                <w:sz w:val="18"/>
                <w:szCs w:val="18"/>
              </w:rPr>
            </w:pPr>
            <w:r w:rsidRPr="005D07AE">
              <w:rPr>
                <w:sz w:val="18"/>
                <w:szCs w:val="18"/>
              </w:rPr>
              <w:t>Description of the confidential information</w:t>
            </w:r>
          </w:p>
          <w:p w14:paraId="663887E8" w14:textId="77777777" w:rsidR="004745F1" w:rsidRPr="005D07AE" w:rsidRDefault="004745F1" w:rsidP="00BF5F1E">
            <w:pPr>
              <w:rPr>
                <w:sz w:val="18"/>
                <w:szCs w:val="18"/>
              </w:rPr>
            </w:pPr>
          </w:p>
        </w:tc>
        <w:tc>
          <w:tcPr>
            <w:tcW w:w="1701" w:type="dxa"/>
            <w:tcBorders>
              <w:bottom w:val="single" w:sz="2" w:space="0" w:color="BFBFBF" w:themeColor="background1" w:themeShade="BF"/>
            </w:tcBorders>
          </w:tcPr>
          <w:p w14:paraId="21C2C119" w14:textId="2864D549" w:rsidR="004745F1" w:rsidRPr="005D07AE" w:rsidRDefault="004745F1" w:rsidP="00BF5F1E">
            <w:pPr>
              <w:rPr>
                <w:sz w:val="18"/>
                <w:szCs w:val="18"/>
              </w:rPr>
            </w:pPr>
            <w:r w:rsidRPr="005D07AE">
              <w:rPr>
                <w:sz w:val="18"/>
                <w:szCs w:val="18"/>
              </w:rPr>
              <w:t xml:space="preserve">Topic of the confidential information </w:t>
            </w:r>
          </w:p>
        </w:tc>
        <w:tc>
          <w:tcPr>
            <w:tcW w:w="1559" w:type="dxa"/>
            <w:tcBorders>
              <w:bottom w:val="single" w:sz="2" w:space="0" w:color="BFBFBF" w:themeColor="background1" w:themeShade="BF"/>
            </w:tcBorders>
          </w:tcPr>
          <w:p w14:paraId="4776B28D" w14:textId="0FD302DC" w:rsidR="004745F1" w:rsidRPr="005D07AE" w:rsidRDefault="004745F1" w:rsidP="00BF5F1E">
            <w:pPr>
              <w:rPr>
                <w:sz w:val="18"/>
                <w:szCs w:val="18"/>
              </w:rPr>
            </w:pPr>
            <w:r w:rsidRPr="005D07AE">
              <w:rPr>
                <w:sz w:val="18"/>
                <w:szCs w:val="18"/>
              </w:rPr>
              <w:t xml:space="preserve">Confidentiality category </w:t>
            </w:r>
          </w:p>
          <w:p w14:paraId="2FAC963A" w14:textId="77777777" w:rsidR="004745F1" w:rsidRPr="005D07AE" w:rsidRDefault="004745F1" w:rsidP="00BF5F1E">
            <w:pPr>
              <w:rPr>
                <w:sz w:val="18"/>
                <w:szCs w:val="18"/>
              </w:rPr>
            </w:pPr>
          </w:p>
        </w:tc>
        <w:tc>
          <w:tcPr>
            <w:tcW w:w="1985" w:type="dxa"/>
            <w:tcBorders>
              <w:bottom w:val="single" w:sz="2" w:space="0" w:color="BFBFBF" w:themeColor="background1" w:themeShade="BF"/>
            </w:tcBorders>
          </w:tcPr>
          <w:p w14:paraId="66B91015" w14:textId="4152F5C3" w:rsidR="004745F1" w:rsidRPr="005D07AE" w:rsidRDefault="004745F1" w:rsidP="00BF5F1E">
            <w:pPr>
              <w:rPr>
                <w:sz w:val="18"/>
                <w:szCs w:val="18"/>
              </w:rPr>
            </w:pPr>
            <w:r w:rsidRPr="005D07AE">
              <w:rPr>
                <w:sz w:val="18"/>
                <w:szCs w:val="18"/>
              </w:rPr>
              <w:t>Why the confidential information falls into the selected category</w:t>
            </w:r>
          </w:p>
        </w:tc>
        <w:tc>
          <w:tcPr>
            <w:tcW w:w="2551" w:type="dxa"/>
            <w:tcBorders>
              <w:bottom w:val="single" w:sz="2" w:space="0" w:color="BFBFBF" w:themeColor="background1" w:themeShade="BF"/>
            </w:tcBorders>
          </w:tcPr>
          <w:p w14:paraId="64AAECC3" w14:textId="01CDC27F" w:rsidR="004745F1" w:rsidRPr="005D07AE" w:rsidRDefault="004745F1" w:rsidP="00BF5F1E">
            <w:pPr>
              <w:rPr>
                <w:sz w:val="18"/>
                <w:szCs w:val="18"/>
              </w:rPr>
            </w:pPr>
            <w:r w:rsidRPr="005D07AE">
              <w:rPr>
                <w:sz w:val="18"/>
                <w:szCs w:val="18"/>
              </w:rPr>
              <w:t>How and why detriment would be caused from disclosing the confidential information</w:t>
            </w:r>
          </w:p>
        </w:tc>
        <w:tc>
          <w:tcPr>
            <w:tcW w:w="2552" w:type="dxa"/>
            <w:tcBorders>
              <w:bottom w:val="single" w:sz="2" w:space="0" w:color="BFBFBF" w:themeColor="background1" w:themeShade="BF"/>
            </w:tcBorders>
          </w:tcPr>
          <w:p w14:paraId="0B30C558" w14:textId="74F541BA" w:rsidR="004745F1" w:rsidRPr="005D07AE" w:rsidRDefault="004745F1" w:rsidP="00BF5F1E">
            <w:pPr>
              <w:rPr>
                <w:sz w:val="18"/>
                <w:szCs w:val="18"/>
              </w:rPr>
            </w:pPr>
            <w:r w:rsidRPr="005D07AE">
              <w:rPr>
                <w:sz w:val="18"/>
                <w:szCs w:val="18"/>
              </w:rPr>
              <w:t xml:space="preserve">Why the identified detriment is not outweighed by the public benefit </w:t>
            </w:r>
          </w:p>
        </w:tc>
        <w:tc>
          <w:tcPr>
            <w:tcW w:w="1275" w:type="dxa"/>
            <w:tcBorders>
              <w:bottom w:val="single" w:sz="2" w:space="0" w:color="BFBFBF" w:themeColor="background1" w:themeShade="BF"/>
            </w:tcBorders>
          </w:tcPr>
          <w:p w14:paraId="690F8839" w14:textId="77777777" w:rsidR="004745F1" w:rsidRPr="005D07AE" w:rsidRDefault="004745F1" w:rsidP="00BF5F1E">
            <w:pPr>
              <w:rPr>
                <w:sz w:val="18"/>
                <w:szCs w:val="18"/>
              </w:rPr>
            </w:pPr>
            <w:r w:rsidRPr="005D07AE">
              <w:rPr>
                <w:sz w:val="18"/>
                <w:szCs w:val="18"/>
              </w:rPr>
              <w:t xml:space="preserve">Number of confidential pages </w:t>
            </w:r>
          </w:p>
        </w:tc>
      </w:tr>
      <w:tr w:rsidR="004745F1" w:rsidRPr="00BF5F1E" w14:paraId="2F1C475C" w14:textId="77777777" w:rsidTr="358799A6">
        <w:trPr>
          <w:cantSplit/>
          <w:trHeight w:val="300"/>
        </w:trPr>
        <w:tc>
          <w:tcPr>
            <w:tcW w:w="15306" w:type="dxa"/>
            <w:gridSpan w:val="8"/>
            <w:tcBorders>
              <w:bottom w:val="single" w:sz="2" w:space="0" w:color="BFBFBF" w:themeColor="background1" w:themeShade="BF"/>
            </w:tcBorders>
            <w:shd w:val="clear" w:color="auto" w:fill="D8EFD7" w:themeFill="accent1" w:themeFillTint="33"/>
          </w:tcPr>
          <w:p w14:paraId="0F9A5785" w14:textId="5DEDB738" w:rsidR="004745F1" w:rsidRPr="00BF5F1E" w:rsidRDefault="004745F1" w:rsidP="00BF5F1E">
            <w:pPr>
              <w:rPr>
                <w:b/>
              </w:rPr>
            </w:pPr>
            <w:r>
              <w:rPr>
                <w:b/>
              </w:rPr>
              <w:t>Main Application</w:t>
            </w:r>
          </w:p>
        </w:tc>
      </w:tr>
      <w:tr w:rsidR="00CA1766" w:rsidRPr="00BF5F1E" w14:paraId="0287C57D" w14:textId="77777777" w:rsidTr="358799A6">
        <w:trPr>
          <w:cantSplit/>
          <w:trHeight w:val="2308"/>
        </w:trPr>
        <w:tc>
          <w:tcPr>
            <w:tcW w:w="2124" w:type="dxa"/>
            <w:tcBorders>
              <w:bottom w:val="single" w:sz="2" w:space="0" w:color="BFBFBF" w:themeColor="background1" w:themeShade="BF"/>
            </w:tcBorders>
          </w:tcPr>
          <w:p w14:paraId="78E7C749" w14:textId="77777777" w:rsidR="004745F1" w:rsidRDefault="004745F1" w:rsidP="00FD295A">
            <w:pPr>
              <w:textAlignment w:val="baseline"/>
              <w:rPr>
                <w:rFonts w:ascii="Arial" w:hAnsi="Arial" w:cs="Arial"/>
                <w:color w:val="000000"/>
                <w:szCs w:val="21"/>
              </w:rPr>
            </w:pPr>
            <w:r>
              <w:rPr>
                <w:rFonts w:ascii="Arial" w:hAnsi="Arial" w:cs="Arial"/>
                <w:color w:val="000000"/>
                <w:szCs w:val="21"/>
              </w:rPr>
              <w:t xml:space="preserve">Section 2.3.1 Engaging an alternative contractor </w:t>
            </w:r>
          </w:p>
          <w:p w14:paraId="4D330FCA" w14:textId="6EFB0FA7" w:rsidR="004745F1" w:rsidRDefault="004745F1" w:rsidP="00FD295A">
            <w:pPr>
              <w:textAlignment w:val="baseline"/>
              <w:rPr>
                <w:rFonts w:ascii="Arial" w:hAnsi="Arial" w:cs="Arial"/>
                <w:color w:val="000000"/>
                <w:szCs w:val="21"/>
              </w:rPr>
            </w:pPr>
            <w:r w:rsidRPr="4EDD322C">
              <w:rPr>
                <w:rFonts w:ascii="Arial" w:hAnsi="Arial" w:cs="Arial"/>
              </w:rPr>
              <w:t xml:space="preserve">(Box 2, which sets out a summary of the tender process), </w:t>
            </w:r>
            <w:r w:rsidR="576BBAD9" w:rsidRPr="4EDD322C">
              <w:rPr>
                <w:rFonts w:ascii="Arial" w:hAnsi="Arial" w:cs="Arial"/>
              </w:rPr>
              <w:t>p</w:t>
            </w:r>
            <w:r w:rsidR="16831D71" w:rsidRPr="4EDD322C">
              <w:rPr>
                <w:rFonts w:ascii="Arial" w:hAnsi="Arial" w:cs="Arial"/>
              </w:rPr>
              <w:t xml:space="preserve"> </w:t>
            </w:r>
            <w:r w:rsidR="576BBAD9" w:rsidRPr="4EDD322C">
              <w:rPr>
                <w:rFonts w:ascii="Arial" w:hAnsi="Arial" w:cs="Arial"/>
              </w:rPr>
              <w:t>21</w:t>
            </w:r>
          </w:p>
          <w:p w14:paraId="7A5A06AB" w14:textId="77777777" w:rsidR="004745F1" w:rsidRDefault="004745F1" w:rsidP="00FD295A">
            <w:pPr>
              <w:textAlignment w:val="baseline"/>
              <w:rPr>
                <w:rFonts w:ascii="Arial" w:hAnsi="Arial" w:cs="Arial"/>
                <w:color w:val="000000"/>
                <w:szCs w:val="21"/>
              </w:rPr>
            </w:pPr>
          </w:p>
          <w:p w14:paraId="6AEA572E" w14:textId="4C858CE8" w:rsidR="004745F1" w:rsidRPr="00BF5F1E" w:rsidRDefault="004745F1" w:rsidP="00473B2E">
            <w:pPr>
              <w:pStyle w:val="ListBullet"/>
              <w:numPr>
                <w:ilvl w:val="0"/>
                <w:numId w:val="0"/>
              </w:numPr>
              <w:ind w:left="360"/>
              <w:rPr>
                <w:rFonts w:eastAsiaTheme="majorEastAsia"/>
              </w:rPr>
            </w:pPr>
          </w:p>
        </w:tc>
        <w:tc>
          <w:tcPr>
            <w:tcW w:w="1559" w:type="dxa"/>
            <w:tcBorders>
              <w:bottom w:val="single" w:sz="2" w:space="0" w:color="BFBFBF" w:themeColor="background1" w:themeShade="BF"/>
            </w:tcBorders>
          </w:tcPr>
          <w:p w14:paraId="3B1F79D8" w14:textId="0BEB0ADB" w:rsidR="004745F1" w:rsidRPr="00BF5F1E" w:rsidRDefault="004745F1" w:rsidP="00BF5F1E">
            <w:r>
              <w:rPr>
                <w:rFonts w:ascii="Arial" w:hAnsi="Arial" w:cs="Arial"/>
                <w:color w:val="000000"/>
                <w:szCs w:val="21"/>
              </w:rPr>
              <w:t>Third party (organisation) names</w:t>
            </w:r>
          </w:p>
        </w:tc>
        <w:tc>
          <w:tcPr>
            <w:tcW w:w="1701" w:type="dxa"/>
            <w:tcBorders>
              <w:bottom w:val="single" w:sz="2" w:space="0" w:color="BFBFBF" w:themeColor="background1" w:themeShade="BF"/>
            </w:tcBorders>
          </w:tcPr>
          <w:p w14:paraId="4192304E" w14:textId="029B714E" w:rsidR="004745F1" w:rsidRPr="00BF5F1E" w:rsidRDefault="004745F1" w:rsidP="00BF5F1E">
            <w:r>
              <w:rPr>
                <w:rFonts w:ascii="Arial" w:hAnsi="Arial" w:cs="Arial"/>
                <w:color w:val="000000"/>
                <w:szCs w:val="21"/>
              </w:rPr>
              <w:t>Alternative tender process</w:t>
            </w:r>
          </w:p>
        </w:tc>
        <w:tc>
          <w:tcPr>
            <w:tcW w:w="1559" w:type="dxa"/>
            <w:tcBorders>
              <w:bottom w:val="single" w:sz="2" w:space="0" w:color="BFBFBF" w:themeColor="background1" w:themeShade="BF"/>
            </w:tcBorders>
          </w:tcPr>
          <w:p w14:paraId="2053FC33" w14:textId="3CD72D8C" w:rsidR="004745F1" w:rsidRPr="00BF5F1E" w:rsidRDefault="004745F1" w:rsidP="00BF5F1E">
            <w:r>
              <w:rPr>
                <w:rFonts w:ascii="Arial" w:hAnsi="Arial" w:cs="Arial"/>
                <w:color w:val="000000"/>
                <w:szCs w:val="21"/>
              </w:rPr>
              <w:t>Market sensitive cost inputs / other – third party confidentiality</w:t>
            </w:r>
          </w:p>
        </w:tc>
        <w:tc>
          <w:tcPr>
            <w:tcW w:w="1985" w:type="dxa"/>
            <w:tcBorders>
              <w:bottom w:val="single" w:sz="2" w:space="0" w:color="BFBFBF" w:themeColor="background1" w:themeShade="BF"/>
            </w:tcBorders>
          </w:tcPr>
          <w:p w14:paraId="61775E41" w14:textId="6E0A676A" w:rsidR="004745F1" w:rsidRPr="00A425AB" w:rsidRDefault="604DD20E" w:rsidP="00BF5F1E">
            <w:pPr>
              <w:rPr>
                <w:rFonts w:ascii="Arial" w:hAnsi="Arial" w:cs="Arial"/>
              </w:rPr>
            </w:pPr>
            <w:r w:rsidRPr="3ED11A25">
              <w:rPr>
                <w:rFonts w:ascii="Arial" w:hAnsi="Arial" w:cs="Arial"/>
              </w:rPr>
              <w:t xml:space="preserve">The information reveals </w:t>
            </w:r>
            <w:r w:rsidR="004745F1">
              <w:rPr>
                <w:rFonts w:ascii="Arial" w:hAnsi="Arial" w:cs="Arial"/>
              </w:rPr>
              <w:t xml:space="preserve">the names of organisations involved in the alternative tender process </w:t>
            </w:r>
            <w:r w:rsidR="6CD1BDBC" w:rsidRPr="3ED11A25">
              <w:rPr>
                <w:rFonts w:ascii="Arial" w:hAnsi="Arial" w:cs="Arial"/>
              </w:rPr>
              <w:t>and</w:t>
            </w:r>
            <w:r w:rsidR="004745F1" w:rsidRPr="3ED11A25">
              <w:rPr>
                <w:rFonts w:ascii="Arial" w:hAnsi="Arial" w:cs="Arial"/>
              </w:rPr>
              <w:t xml:space="preserve"> </w:t>
            </w:r>
            <w:r w:rsidR="004745F1">
              <w:rPr>
                <w:rFonts w:ascii="Arial" w:hAnsi="Arial" w:cs="Arial"/>
              </w:rPr>
              <w:t xml:space="preserve">could </w:t>
            </w:r>
            <w:r w:rsidR="004745F1" w:rsidRPr="1508E407">
              <w:rPr>
                <w:rFonts w:ascii="Arial" w:hAnsi="Arial" w:cs="Arial"/>
              </w:rPr>
              <w:t>affect</w:t>
            </w:r>
            <w:r w:rsidR="004745F1">
              <w:rPr>
                <w:rFonts w:ascii="Arial" w:hAnsi="Arial" w:cs="Arial"/>
              </w:rPr>
              <w:t xml:space="preserve"> their ability to compete effectively for similar tenders in the future</w:t>
            </w:r>
            <w:r w:rsidR="004745F1" w:rsidRPr="1508E407">
              <w:rPr>
                <w:rFonts w:ascii="Arial" w:hAnsi="Arial" w:cs="Arial"/>
              </w:rPr>
              <w:t xml:space="preserve"> and for Transgrid to obtain competitive tenders in future transactions</w:t>
            </w:r>
            <w:r w:rsidR="004745F1">
              <w:rPr>
                <w:rFonts w:ascii="Arial" w:hAnsi="Arial" w:cs="Arial"/>
              </w:rPr>
              <w:t xml:space="preserve">. </w:t>
            </w:r>
          </w:p>
        </w:tc>
        <w:tc>
          <w:tcPr>
            <w:tcW w:w="2551" w:type="dxa"/>
            <w:tcBorders>
              <w:bottom w:val="single" w:sz="2" w:space="0" w:color="BFBFBF" w:themeColor="background1" w:themeShade="BF"/>
            </w:tcBorders>
          </w:tcPr>
          <w:p w14:paraId="15A25F67" w14:textId="32E76923" w:rsidR="004745F1" w:rsidRPr="00BF5F1E" w:rsidRDefault="004745F1" w:rsidP="00543858">
            <w:pPr>
              <w:rPr>
                <w:rFonts w:ascii="Arial" w:hAnsi="Arial" w:cs="Arial"/>
              </w:rPr>
            </w:pPr>
            <w:r w:rsidRPr="1508E407">
              <w:rPr>
                <w:rFonts w:ascii="Arial" w:hAnsi="Arial" w:cs="Arial"/>
              </w:rPr>
              <w:t>Disclosing this information could harm the commercial interests of third parties and Transgrid, as it reveals risk profiles the parties were and were not willing to accept, which could influence tenderer behaviour in future tender processes and transactions.</w:t>
            </w:r>
          </w:p>
        </w:tc>
        <w:tc>
          <w:tcPr>
            <w:tcW w:w="2552" w:type="dxa"/>
            <w:tcBorders>
              <w:bottom w:val="single" w:sz="2" w:space="0" w:color="BFBFBF" w:themeColor="background1" w:themeShade="BF"/>
            </w:tcBorders>
          </w:tcPr>
          <w:p w14:paraId="212ED306" w14:textId="6AEC238F" w:rsidR="004745F1" w:rsidRPr="00C93F36" w:rsidRDefault="004745F1" w:rsidP="00BF5F1E">
            <w:pPr>
              <w:rPr>
                <w:rFonts w:ascii="Arial" w:hAnsi="Arial" w:cs="Arial"/>
                <w:i/>
              </w:rPr>
            </w:pPr>
            <w:r w:rsidRPr="0039476F">
              <w:rPr>
                <w:rFonts w:ascii="Arial" w:hAnsi="Arial" w:cs="Arial"/>
              </w:rPr>
              <w:t>Protecting sensitive tender information of third parties and Transgrid ensures that Transgrid can obtain competitive pricing and maintain consumer affordability.</w:t>
            </w:r>
          </w:p>
        </w:tc>
        <w:tc>
          <w:tcPr>
            <w:tcW w:w="1275" w:type="dxa"/>
            <w:tcBorders>
              <w:bottom w:val="single" w:sz="2" w:space="0" w:color="BFBFBF" w:themeColor="background1" w:themeShade="BF"/>
            </w:tcBorders>
          </w:tcPr>
          <w:p w14:paraId="1C624F45" w14:textId="4D5A5C5F" w:rsidR="004745F1" w:rsidRPr="00BF5F1E" w:rsidRDefault="004745F1" w:rsidP="00BF5F1E">
            <w:r w:rsidRPr="00BF5F1E">
              <w:t>1</w:t>
            </w:r>
            <w:r>
              <w:t xml:space="preserve"> page</w:t>
            </w:r>
          </w:p>
        </w:tc>
      </w:tr>
      <w:tr w:rsidR="00903336" w:rsidRPr="00BF5F1E" w14:paraId="784B2C0A" w14:textId="77777777" w:rsidTr="358799A6">
        <w:trPr>
          <w:cantSplit/>
          <w:trHeight w:val="2517"/>
        </w:trPr>
        <w:tc>
          <w:tcPr>
            <w:tcW w:w="2124" w:type="dxa"/>
            <w:tcBorders>
              <w:bottom w:val="single" w:sz="2" w:space="0" w:color="BFBFBF" w:themeColor="background1" w:themeShade="BF"/>
            </w:tcBorders>
            <w:shd w:val="clear" w:color="auto" w:fill="FFFFFF" w:themeFill="background1"/>
          </w:tcPr>
          <w:p w14:paraId="3043C181" w14:textId="7D9CBCF3" w:rsidR="004745F1" w:rsidRPr="0001487E" w:rsidRDefault="004745F1" w:rsidP="0001487E">
            <w:pPr>
              <w:rPr>
                <w:rFonts w:ascii="Arial" w:hAnsi="Arial" w:cs="Arial"/>
                <w:color w:val="000000"/>
              </w:rPr>
            </w:pPr>
            <w:r w:rsidRPr="0001487E">
              <w:rPr>
                <w:rFonts w:ascii="Arial" w:eastAsiaTheme="majorEastAsia" w:hAnsi="Arial" w:cs="Arial"/>
                <w:color w:val="auto"/>
                <w:lang w:eastAsia="en-AU"/>
              </w:rPr>
              <w:t>Section 3.2 ICC contract cost (Figure 8: Methodology for determining the reopener amount for the Contract Costs</w:t>
            </w:r>
            <w:r w:rsidR="25A73E23" w:rsidRPr="39CA6CFF">
              <w:rPr>
                <w:rFonts w:ascii="Arial" w:eastAsiaTheme="majorEastAsia" w:hAnsi="Arial" w:cs="Arial"/>
                <w:color w:val="auto"/>
                <w:lang w:eastAsia="en-AU"/>
              </w:rPr>
              <w:t>, explanation of ‘Our approach’</w:t>
            </w:r>
            <w:r w:rsidRPr="0001487E">
              <w:rPr>
                <w:rFonts w:ascii="Arial" w:eastAsiaTheme="majorEastAsia" w:hAnsi="Arial" w:cs="Arial"/>
                <w:color w:val="auto"/>
                <w:lang w:eastAsia="en-AU"/>
              </w:rPr>
              <w:t xml:space="preserve">), </w:t>
            </w:r>
            <w:r w:rsidRPr="65377ED7">
              <w:rPr>
                <w:rFonts w:ascii="Arial" w:eastAsiaTheme="majorEastAsia" w:hAnsi="Arial" w:cs="Arial"/>
                <w:color w:val="auto"/>
                <w:lang w:eastAsia="en-AU"/>
              </w:rPr>
              <w:t>p</w:t>
            </w:r>
            <w:r w:rsidR="111723ED" w:rsidRPr="65377ED7">
              <w:rPr>
                <w:rFonts w:ascii="Arial" w:eastAsiaTheme="majorEastAsia" w:hAnsi="Arial" w:cs="Arial"/>
                <w:color w:val="auto"/>
                <w:lang w:eastAsia="en-AU"/>
              </w:rPr>
              <w:t xml:space="preserve"> </w:t>
            </w:r>
            <w:r w:rsidRPr="65377ED7">
              <w:rPr>
                <w:rFonts w:ascii="Arial" w:eastAsiaTheme="majorEastAsia" w:hAnsi="Arial" w:cs="Arial"/>
                <w:color w:val="auto"/>
                <w:lang w:eastAsia="en-AU"/>
              </w:rPr>
              <w:t>27</w:t>
            </w:r>
          </w:p>
        </w:tc>
        <w:tc>
          <w:tcPr>
            <w:tcW w:w="1559" w:type="dxa"/>
            <w:tcBorders>
              <w:bottom w:val="single" w:sz="2" w:space="0" w:color="BFBFBF" w:themeColor="background1" w:themeShade="BF"/>
            </w:tcBorders>
            <w:shd w:val="clear" w:color="auto" w:fill="FFFFFF" w:themeFill="background1"/>
          </w:tcPr>
          <w:p w14:paraId="3263519F" w14:textId="097510AB" w:rsidR="004745F1" w:rsidRDefault="00A3679F" w:rsidP="00BF5F1E">
            <w:pPr>
              <w:rPr>
                <w:rFonts w:ascii="Arial" w:hAnsi="Arial" w:cs="Arial"/>
                <w:color w:val="000000"/>
              </w:rPr>
            </w:pPr>
            <w:r w:rsidRPr="00302E1D">
              <w:rPr>
                <w:rFonts w:ascii="Arial" w:hAnsi="Arial" w:cs="Arial"/>
                <w:color w:val="000000"/>
              </w:rPr>
              <w:t>C</w:t>
            </w:r>
            <w:r w:rsidR="00933528">
              <w:rPr>
                <w:rFonts w:ascii="Arial" w:hAnsi="Arial" w:cs="Arial"/>
                <w:color w:val="000000"/>
              </w:rPr>
              <w:t>ontract terms</w:t>
            </w:r>
          </w:p>
        </w:tc>
        <w:tc>
          <w:tcPr>
            <w:tcW w:w="1701" w:type="dxa"/>
            <w:tcBorders>
              <w:bottom w:val="single" w:sz="2" w:space="0" w:color="BFBFBF" w:themeColor="background1" w:themeShade="BF"/>
            </w:tcBorders>
            <w:shd w:val="clear" w:color="auto" w:fill="FFFFFF" w:themeFill="background1"/>
          </w:tcPr>
          <w:p w14:paraId="273F1FD9" w14:textId="4F496464" w:rsidR="004745F1" w:rsidRDefault="00A3679F" w:rsidP="00BF5F1E">
            <w:pPr>
              <w:rPr>
                <w:rFonts w:ascii="Arial" w:hAnsi="Arial" w:cs="Arial"/>
                <w:color w:val="000000"/>
              </w:rPr>
            </w:pPr>
            <w:r>
              <w:rPr>
                <w:rFonts w:ascii="Arial" w:hAnsi="Arial" w:cs="Arial"/>
                <w:color w:val="000000"/>
              </w:rPr>
              <w:t xml:space="preserve">Contractor information </w:t>
            </w:r>
          </w:p>
        </w:tc>
        <w:tc>
          <w:tcPr>
            <w:tcW w:w="1559" w:type="dxa"/>
            <w:tcBorders>
              <w:bottom w:val="single" w:sz="2" w:space="0" w:color="BFBFBF" w:themeColor="background1" w:themeShade="BF"/>
            </w:tcBorders>
            <w:shd w:val="clear" w:color="auto" w:fill="FFFFFF" w:themeFill="background1"/>
          </w:tcPr>
          <w:p w14:paraId="3BB58E91" w14:textId="06EEE401" w:rsidR="004745F1" w:rsidRDefault="004745F1" w:rsidP="00BF5F1E">
            <w:pPr>
              <w:rPr>
                <w:rFonts w:ascii="Arial" w:hAnsi="Arial" w:cs="Arial"/>
                <w:color w:val="000000"/>
              </w:rPr>
            </w:pPr>
            <w:r w:rsidRPr="15675AA4">
              <w:rPr>
                <w:rFonts w:ascii="Arial" w:hAnsi="Arial" w:cs="Arial"/>
              </w:rPr>
              <w:t>Market intelligence / other – third party confidentiality</w:t>
            </w:r>
          </w:p>
        </w:tc>
        <w:tc>
          <w:tcPr>
            <w:tcW w:w="1985" w:type="dxa"/>
            <w:tcBorders>
              <w:bottom w:val="single" w:sz="2" w:space="0" w:color="BFBFBF" w:themeColor="background1" w:themeShade="BF"/>
            </w:tcBorders>
            <w:shd w:val="clear" w:color="auto" w:fill="FFFFFF" w:themeFill="background1"/>
          </w:tcPr>
          <w:p w14:paraId="3F2B1622" w14:textId="625478B6" w:rsidR="004745F1" w:rsidRDefault="00A3679F" w:rsidP="00BF5F1E">
            <w:pPr>
              <w:rPr>
                <w:rFonts w:ascii="Arial" w:hAnsi="Arial" w:cs="Arial"/>
              </w:rPr>
            </w:pPr>
            <w:r w:rsidRPr="00DA1E80">
              <w:rPr>
                <w:rFonts w:ascii="Arial" w:hAnsi="Arial" w:cs="Arial"/>
              </w:rPr>
              <w:t>Elecnor Australia maintains that the information is highly commercially and legally sensitive, disclosure of which may prejudice Elecnor Australia’s legal position</w:t>
            </w:r>
            <w:r>
              <w:rPr>
                <w:rFonts w:ascii="Arial" w:hAnsi="Arial" w:cs="Arial"/>
              </w:rPr>
              <w:t>.</w:t>
            </w:r>
          </w:p>
        </w:tc>
        <w:tc>
          <w:tcPr>
            <w:tcW w:w="2551" w:type="dxa"/>
            <w:tcBorders>
              <w:bottom w:val="single" w:sz="2" w:space="0" w:color="BFBFBF" w:themeColor="background1" w:themeShade="BF"/>
            </w:tcBorders>
            <w:shd w:val="clear" w:color="auto" w:fill="FFFFFF" w:themeFill="background1"/>
          </w:tcPr>
          <w:p w14:paraId="6108228A" w14:textId="77777777" w:rsidR="00A3679F" w:rsidRPr="002F4278" w:rsidRDefault="00A3679F" w:rsidP="00A3679F">
            <w:pPr>
              <w:rPr>
                <w:rFonts w:ascii="Arial" w:hAnsi="Arial" w:cs="Arial"/>
              </w:rPr>
            </w:pPr>
            <w:r w:rsidRPr="002F4278">
              <w:rPr>
                <w:rFonts w:ascii="Arial" w:hAnsi="Arial" w:cs="Arial"/>
              </w:rPr>
              <w:t>Revealing this information may prejudice Elecnor Australia’s legal position</w:t>
            </w:r>
            <w:r>
              <w:rPr>
                <w:rFonts w:ascii="Arial" w:hAnsi="Arial" w:cs="Arial"/>
              </w:rPr>
              <w:t>.</w:t>
            </w:r>
          </w:p>
          <w:p w14:paraId="72FCFECC" w14:textId="284231E8" w:rsidR="004745F1" w:rsidRDefault="004745F1" w:rsidP="00543858">
            <w:pPr>
              <w:rPr>
                <w:rFonts w:ascii="Arial" w:hAnsi="Arial" w:cs="Arial"/>
              </w:rPr>
            </w:pPr>
          </w:p>
        </w:tc>
        <w:tc>
          <w:tcPr>
            <w:tcW w:w="2552" w:type="dxa"/>
            <w:tcBorders>
              <w:bottom w:val="single" w:sz="2" w:space="0" w:color="BFBFBF" w:themeColor="background1" w:themeShade="BF"/>
            </w:tcBorders>
            <w:shd w:val="clear" w:color="auto" w:fill="FFFFFF" w:themeFill="background1"/>
          </w:tcPr>
          <w:p w14:paraId="6EC7E040" w14:textId="2B19D2E3" w:rsidR="004745F1" w:rsidRPr="00DD4FBC" w:rsidRDefault="00EB20F9" w:rsidP="00BF5F1E">
            <w:pPr>
              <w:rPr>
                <w:rFonts w:ascii="Arial" w:hAnsi="Arial" w:cs="Arial"/>
                <w:color w:val="000000"/>
              </w:rPr>
            </w:pPr>
            <w:r>
              <w:rPr>
                <w:rFonts w:ascii="Arial" w:hAnsi="Arial" w:cs="Arial"/>
              </w:rPr>
              <w:t>The detriment arising from d</w:t>
            </w:r>
            <w:r w:rsidRPr="004F2175">
              <w:rPr>
                <w:rFonts w:ascii="Arial" w:hAnsi="Arial" w:cs="Arial"/>
              </w:rPr>
              <w:t xml:space="preserve">isclosure would </w:t>
            </w:r>
            <w:r>
              <w:rPr>
                <w:rFonts w:ascii="Arial" w:hAnsi="Arial" w:cs="Arial"/>
              </w:rPr>
              <w:t>outweigh public benefit</w:t>
            </w:r>
            <w:r w:rsidRPr="004F2175">
              <w:rPr>
                <w:rFonts w:ascii="Arial" w:hAnsi="Arial" w:cs="Arial"/>
              </w:rPr>
              <w:t>, given the considerable prejudice to Elecnor</w:t>
            </w:r>
            <w:r>
              <w:rPr>
                <w:rFonts w:ascii="Arial" w:hAnsi="Arial" w:cs="Arial"/>
              </w:rPr>
              <w:t xml:space="preserve"> Australia.</w:t>
            </w:r>
          </w:p>
        </w:tc>
        <w:tc>
          <w:tcPr>
            <w:tcW w:w="1275" w:type="dxa"/>
            <w:tcBorders>
              <w:bottom w:val="single" w:sz="2" w:space="0" w:color="BFBFBF" w:themeColor="background1" w:themeShade="BF"/>
            </w:tcBorders>
            <w:shd w:val="clear" w:color="auto" w:fill="FFFFFF" w:themeFill="background1"/>
          </w:tcPr>
          <w:p w14:paraId="04F2F91B" w14:textId="6A82F4D7" w:rsidR="004745F1" w:rsidRDefault="004745F1" w:rsidP="00BF5F1E">
            <w:r>
              <w:t>2 pages</w:t>
            </w:r>
          </w:p>
        </w:tc>
      </w:tr>
      <w:tr w:rsidR="004745F1" w:rsidRPr="00BF5F1E" w14:paraId="5434D66C" w14:textId="77777777" w:rsidTr="358799A6">
        <w:trPr>
          <w:cantSplit/>
          <w:trHeight w:val="300"/>
        </w:trPr>
        <w:tc>
          <w:tcPr>
            <w:tcW w:w="15306" w:type="dxa"/>
            <w:gridSpan w:val="8"/>
            <w:tcBorders>
              <w:bottom w:val="single" w:sz="2" w:space="0" w:color="BFBFBF" w:themeColor="background1" w:themeShade="BF"/>
            </w:tcBorders>
            <w:shd w:val="clear" w:color="auto" w:fill="D8EFD7" w:themeFill="accent1" w:themeFillTint="33"/>
          </w:tcPr>
          <w:p w14:paraId="2DB00176" w14:textId="64E7FAD8" w:rsidR="004745F1" w:rsidRPr="00BF5F1E" w:rsidRDefault="004745F1" w:rsidP="00BF5F1E">
            <w:pPr>
              <w:rPr>
                <w:b/>
              </w:rPr>
            </w:pPr>
            <w:r>
              <w:rPr>
                <w:b/>
              </w:rPr>
              <w:t>Attachment 2 – Project EnergyConnect and Contract Failure</w:t>
            </w:r>
          </w:p>
        </w:tc>
      </w:tr>
      <w:tr w:rsidR="00134770" w:rsidRPr="00BF5F1E" w14:paraId="6F7FD4B1"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27C34406" w14:textId="09945E93" w:rsidR="004745F1" w:rsidRDefault="004745F1" w:rsidP="003E0395">
            <w:r>
              <w:t xml:space="preserve">The following locations in this document: </w:t>
            </w:r>
          </w:p>
          <w:p w14:paraId="46B0DED6" w14:textId="02B60E57" w:rsidR="004745F1" w:rsidRPr="003E0395" w:rsidRDefault="004745F1" w:rsidP="005937CE">
            <w:pPr>
              <w:pStyle w:val="ListParagraph"/>
              <w:numPr>
                <w:ilvl w:val="0"/>
                <w:numId w:val="15"/>
              </w:numPr>
              <w:rPr>
                <w:rFonts w:ascii="Arial" w:eastAsiaTheme="majorEastAsia" w:hAnsi="Arial" w:cs="Arial"/>
                <w:color w:val="auto"/>
                <w:lang w:eastAsia="en-AU"/>
              </w:rPr>
            </w:pPr>
            <w:r w:rsidRPr="00001389">
              <w:rPr>
                <w:rFonts w:ascii="Arial" w:eastAsiaTheme="majorEastAsia" w:hAnsi="Arial" w:cs="Arial"/>
                <w:color w:val="auto"/>
                <w:lang w:eastAsia="en-AU"/>
              </w:rPr>
              <w:lastRenderedPageBreak/>
              <w:t>Section 4.3 Key terms and conditions</w:t>
            </w:r>
            <w:r>
              <w:rPr>
                <w:rFonts w:ascii="Arial" w:eastAsiaTheme="majorEastAsia" w:hAnsi="Arial" w:cs="Arial"/>
                <w:color w:val="auto"/>
                <w:lang w:eastAsia="en-AU"/>
              </w:rPr>
              <w:t xml:space="preserve"> (</w:t>
            </w:r>
            <w:r w:rsidRPr="003E0395">
              <w:t xml:space="preserve">Table 1: Summary of key terms and conditions for the EPC contract), </w:t>
            </w:r>
            <w:r w:rsidR="3F550AD6">
              <w:t>p</w:t>
            </w:r>
            <w:r w:rsidR="7CF51992">
              <w:t xml:space="preserve"> </w:t>
            </w:r>
            <w:r w:rsidR="3F550AD6">
              <w:t>1</w:t>
            </w:r>
            <w:r w:rsidR="6948CA3D">
              <w:t>1</w:t>
            </w:r>
            <w:r w:rsidRPr="003E0395">
              <w:t xml:space="preserve"> </w:t>
            </w:r>
          </w:p>
          <w:p w14:paraId="21F4F0CA" w14:textId="1D50CC0A" w:rsidR="004745F1" w:rsidRPr="00E20F1A" w:rsidRDefault="004745F1" w:rsidP="005937CE">
            <w:pPr>
              <w:pStyle w:val="ListParagraph"/>
              <w:numPr>
                <w:ilvl w:val="0"/>
                <w:numId w:val="15"/>
              </w:numPr>
            </w:pPr>
            <w:r>
              <w:rPr>
                <w:rFonts w:ascii="Arial" w:eastAsiaTheme="majorEastAsia" w:hAnsi="Arial" w:cs="Arial"/>
                <w:color w:val="auto"/>
                <w:lang w:eastAsia="en-AU"/>
              </w:rPr>
              <w:t xml:space="preserve">Section 8 Emerging evidence of Contract Failure: August 2020 to October 2023, </w:t>
            </w:r>
            <w:r w:rsidRPr="319EFD52">
              <w:rPr>
                <w:rFonts w:ascii="Arial" w:eastAsiaTheme="majorEastAsia" w:hAnsi="Arial" w:cs="Arial"/>
                <w:color w:val="auto"/>
                <w:lang w:eastAsia="en-AU"/>
              </w:rPr>
              <w:t>p</w:t>
            </w:r>
            <w:r w:rsidR="220E240A" w:rsidRPr="319EFD52">
              <w:rPr>
                <w:rFonts w:ascii="Arial" w:eastAsiaTheme="majorEastAsia" w:hAnsi="Arial" w:cs="Arial"/>
                <w:color w:val="auto"/>
                <w:lang w:eastAsia="en-AU"/>
              </w:rPr>
              <w:t xml:space="preserve"> </w:t>
            </w:r>
            <w:r w:rsidRPr="319EFD52">
              <w:rPr>
                <w:rFonts w:ascii="Arial" w:eastAsiaTheme="majorEastAsia" w:hAnsi="Arial" w:cs="Arial"/>
                <w:color w:val="auto"/>
                <w:lang w:eastAsia="en-AU"/>
              </w:rPr>
              <w:t>2</w:t>
            </w:r>
            <w:r w:rsidR="3FEEBF9F" w:rsidRPr="319EFD52">
              <w:rPr>
                <w:rFonts w:ascii="Arial" w:eastAsiaTheme="majorEastAsia" w:hAnsi="Arial" w:cs="Arial"/>
                <w:color w:val="auto"/>
                <w:lang w:eastAsia="en-AU"/>
              </w:rPr>
              <w:t>2</w:t>
            </w:r>
          </w:p>
        </w:tc>
        <w:tc>
          <w:tcPr>
            <w:tcW w:w="1559" w:type="dxa"/>
            <w:tcBorders>
              <w:bottom w:val="single" w:sz="2" w:space="0" w:color="BFBFBF" w:themeColor="background1" w:themeShade="BF"/>
            </w:tcBorders>
            <w:shd w:val="clear" w:color="auto" w:fill="FFFFFF" w:themeFill="background1"/>
          </w:tcPr>
          <w:p w14:paraId="4CC645DB" w14:textId="55F54BDE" w:rsidR="004745F1" w:rsidRDefault="004745F1" w:rsidP="003E0395">
            <w:pPr>
              <w:rPr>
                <w:rFonts w:ascii="Arial" w:hAnsi="Arial" w:cs="Arial"/>
              </w:rPr>
            </w:pPr>
            <w:r>
              <w:rPr>
                <w:rFonts w:ascii="Arial" w:hAnsi="Arial" w:cs="Arial"/>
              </w:rPr>
              <w:lastRenderedPageBreak/>
              <w:t>Performance securities and contract price</w:t>
            </w:r>
          </w:p>
        </w:tc>
        <w:tc>
          <w:tcPr>
            <w:tcW w:w="1701" w:type="dxa"/>
            <w:tcBorders>
              <w:bottom w:val="single" w:sz="2" w:space="0" w:color="BFBFBF" w:themeColor="background1" w:themeShade="BF"/>
            </w:tcBorders>
            <w:shd w:val="clear" w:color="auto" w:fill="FFFFFF" w:themeFill="background1"/>
          </w:tcPr>
          <w:p w14:paraId="6D72BF8B" w14:textId="35E1DB8F" w:rsidR="004745F1" w:rsidRDefault="004745F1" w:rsidP="003E0395">
            <w:pPr>
              <w:rPr>
                <w:rFonts w:ascii="Arial" w:hAnsi="Arial" w:cs="Arial"/>
              </w:rPr>
            </w:pPr>
            <w:r>
              <w:rPr>
                <w:rFonts w:ascii="Arial" w:hAnsi="Arial" w:cs="Arial"/>
                <w:color w:val="000000"/>
              </w:rPr>
              <w:t>Contractual arrangement</w:t>
            </w:r>
            <w:r w:rsidR="00DE06B7">
              <w:rPr>
                <w:rFonts w:ascii="Arial" w:hAnsi="Arial" w:cs="Arial"/>
                <w:color w:val="000000"/>
              </w:rPr>
              <w:t>s</w:t>
            </w:r>
            <w:r>
              <w:rPr>
                <w:rFonts w:ascii="Arial" w:hAnsi="Arial" w:cs="Arial"/>
                <w:color w:val="000000"/>
              </w:rPr>
              <w:t xml:space="preserve">, </w:t>
            </w:r>
            <w:r w:rsidR="00F62A3F">
              <w:rPr>
                <w:rFonts w:ascii="Arial" w:hAnsi="Arial" w:cs="Arial"/>
                <w:color w:val="000000"/>
              </w:rPr>
              <w:t>c</w:t>
            </w:r>
            <w:r>
              <w:rPr>
                <w:rFonts w:ascii="Arial" w:hAnsi="Arial" w:cs="Arial"/>
                <w:color w:val="000000"/>
              </w:rPr>
              <w:t>osts</w:t>
            </w:r>
          </w:p>
        </w:tc>
        <w:tc>
          <w:tcPr>
            <w:tcW w:w="1559" w:type="dxa"/>
            <w:tcBorders>
              <w:bottom w:val="single" w:sz="2" w:space="0" w:color="BFBFBF" w:themeColor="background1" w:themeShade="BF"/>
            </w:tcBorders>
            <w:shd w:val="clear" w:color="auto" w:fill="FFFFFF" w:themeFill="background1"/>
          </w:tcPr>
          <w:p w14:paraId="662B214B" w14:textId="6C201B74" w:rsidR="004745F1" w:rsidRPr="462BED03" w:rsidRDefault="004745F1" w:rsidP="003E0395">
            <w:pPr>
              <w:rPr>
                <w:rFonts w:ascii="Arial" w:hAnsi="Arial" w:cs="Arial"/>
              </w:rPr>
            </w:pPr>
            <w:r>
              <w:t>Market intelligence</w:t>
            </w:r>
          </w:p>
        </w:tc>
        <w:tc>
          <w:tcPr>
            <w:tcW w:w="1985" w:type="dxa"/>
            <w:tcBorders>
              <w:bottom w:val="single" w:sz="2" w:space="0" w:color="BFBFBF" w:themeColor="background1" w:themeShade="BF"/>
            </w:tcBorders>
            <w:shd w:val="clear" w:color="auto" w:fill="FFFFFF" w:themeFill="background1"/>
          </w:tcPr>
          <w:p w14:paraId="1FA9265F" w14:textId="793694E5" w:rsidR="004745F1" w:rsidRPr="615FD57C" w:rsidRDefault="004745F1" w:rsidP="003E0395">
            <w:pPr>
              <w:rPr>
                <w:rFonts w:ascii="Arial" w:hAnsi="Arial" w:cs="Arial"/>
              </w:rPr>
            </w:pPr>
            <w:r>
              <w:rPr>
                <w:rFonts w:ascii="Arial" w:hAnsi="Arial" w:cs="Arial"/>
              </w:rPr>
              <w:t xml:space="preserve">This information is commercially sensitive to </w:t>
            </w:r>
            <w:r w:rsidR="00401556">
              <w:rPr>
                <w:rFonts w:ascii="Arial" w:hAnsi="Arial" w:cs="Arial"/>
              </w:rPr>
              <w:t>Transgrid,</w:t>
            </w:r>
            <w:r>
              <w:rPr>
                <w:rFonts w:ascii="Arial" w:hAnsi="Arial" w:cs="Arial"/>
              </w:rPr>
              <w:t xml:space="preserve"> as this </w:t>
            </w:r>
            <w:r>
              <w:rPr>
                <w:rFonts w:ascii="Arial" w:hAnsi="Arial" w:cs="Arial"/>
              </w:rPr>
              <w:lastRenderedPageBreak/>
              <w:t>section</w:t>
            </w:r>
            <w:r w:rsidRPr="62EE48A0">
              <w:rPr>
                <w:rFonts w:ascii="Arial" w:eastAsia="Arial" w:hAnsi="Arial" w:cs="Arial"/>
              </w:rPr>
              <w:t xml:space="preserve"> describe</w:t>
            </w:r>
            <w:r>
              <w:rPr>
                <w:rFonts w:ascii="Arial" w:eastAsia="Arial" w:hAnsi="Arial" w:cs="Arial"/>
              </w:rPr>
              <w:t>s</w:t>
            </w:r>
            <w:r w:rsidRPr="62EE48A0">
              <w:rPr>
                <w:rFonts w:ascii="Arial" w:eastAsia="Arial" w:hAnsi="Arial" w:cs="Arial"/>
              </w:rPr>
              <w:t xml:space="preserve"> the contractual terms negotiated between Transgrid and Elecnor Australia in the </w:t>
            </w:r>
            <w:r>
              <w:rPr>
                <w:rFonts w:ascii="Arial" w:eastAsia="Arial" w:hAnsi="Arial" w:cs="Arial"/>
              </w:rPr>
              <w:t xml:space="preserve">EPC </w:t>
            </w:r>
            <w:r w:rsidRPr="62EE48A0">
              <w:rPr>
                <w:rFonts w:ascii="Arial" w:eastAsia="Arial" w:hAnsi="Arial" w:cs="Arial"/>
              </w:rPr>
              <w:t>contract</w:t>
            </w:r>
            <w:r>
              <w:rPr>
                <w:rFonts w:ascii="Arial" w:hAnsi="Arial" w:cs="Arial"/>
              </w:rPr>
              <w:t>.</w:t>
            </w:r>
          </w:p>
        </w:tc>
        <w:tc>
          <w:tcPr>
            <w:tcW w:w="2551" w:type="dxa"/>
            <w:tcBorders>
              <w:bottom w:val="single" w:sz="2" w:space="0" w:color="BFBFBF" w:themeColor="background1" w:themeShade="BF"/>
            </w:tcBorders>
            <w:shd w:val="clear" w:color="auto" w:fill="FFFFFF" w:themeFill="background1"/>
          </w:tcPr>
          <w:p w14:paraId="3731C21C" w14:textId="31237B7B" w:rsidR="004745F1" w:rsidRDefault="004745F1" w:rsidP="003E0395">
            <w:pPr>
              <w:rPr>
                <w:rFonts w:ascii="Arial" w:hAnsi="Arial" w:cs="Arial"/>
              </w:rPr>
            </w:pPr>
            <w:r>
              <w:rPr>
                <w:rFonts w:ascii="Arial" w:eastAsia="Arial" w:hAnsi="Arial" w:cs="Arial"/>
              </w:rPr>
              <w:lastRenderedPageBreak/>
              <w:t xml:space="preserve">Revealing the securities that Transgrid was able to negotiate, as well as the contract price, would </w:t>
            </w:r>
            <w:r>
              <w:rPr>
                <w:rFonts w:ascii="Arial" w:eastAsia="Arial" w:hAnsi="Arial" w:cs="Arial"/>
              </w:rPr>
              <w:lastRenderedPageBreak/>
              <w:t xml:space="preserve">disclose key contractual terms which could prejudice Transgrid </w:t>
            </w:r>
            <w:r w:rsidR="1914303A" w:rsidRPr="39CA6CFF">
              <w:rPr>
                <w:rFonts w:ascii="Arial" w:eastAsia="Arial" w:hAnsi="Arial" w:cs="Arial"/>
              </w:rPr>
              <w:t>and be detrimental to its commercial interests</w:t>
            </w:r>
            <w:r w:rsidRPr="39CA6CFF">
              <w:rPr>
                <w:rFonts w:ascii="Arial" w:eastAsia="Arial" w:hAnsi="Arial" w:cs="Arial"/>
              </w:rPr>
              <w:t xml:space="preserve"> </w:t>
            </w:r>
            <w:r>
              <w:rPr>
                <w:rFonts w:ascii="Arial" w:eastAsia="Arial" w:hAnsi="Arial" w:cs="Arial"/>
              </w:rPr>
              <w:t>in future negotiations with contractors.</w:t>
            </w:r>
          </w:p>
        </w:tc>
        <w:tc>
          <w:tcPr>
            <w:tcW w:w="2552" w:type="dxa"/>
            <w:tcBorders>
              <w:bottom w:val="single" w:sz="2" w:space="0" w:color="BFBFBF" w:themeColor="background1" w:themeShade="BF"/>
            </w:tcBorders>
            <w:shd w:val="clear" w:color="auto" w:fill="FFFFFF" w:themeFill="background1"/>
          </w:tcPr>
          <w:p w14:paraId="0AF07D79" w14:textId="4AF94F50" w:rsidR="004745F1" w:rsidRPr="51CE6CC3" w:rsidRDefault="004745F1" w:rsidP="003E0395">
            <w:pPr>
              <w:rPr>
                <w:rFonts w:ascii="Arial" w:hAnsi="Arial" w:cs="Arial"/>
              </w:rPr>
            </w:pPr>
            <w:r>
              <w:rPr>
                <w:rFonts w:ascii="Arial" w:eastAsia="Arial" w:hAnsi="Arial" w:cs="Arial"/>
              </w:rPr>
              <w:lastRenderedPageBreak/>
              <w:t>T</w:t>
            </w:r>
            <w:r w:rsidRPr="002B6130">
              <w:rPr>
                <w:rFonts w:ascii="Arial" w:eastAsia="Arial" w:hAnsi="Arial" w:cs="Arial"/>
              </w:rPr>
              <w:t xml:space="preserve">he </w:t>
            </w:r>
            <w:r>
              <w:rPr>
                <w:rFonts w:ascii="Arial" w:eastAsia="Arial" w:hAnsi="Arial" w:cs="Arial"/>
              </w:rPr>
              <w:t>security arrangements</w:t>
            </w:r>
            <w:r w:rsidRPr="002B6130">
              <w:rPr>
                <w:rFonts w:ascii="Arial" w:eastAsia="Arial" w:hAnsi="Arial" w:cs="Arial"/>
              </w:rPr>
              <w:t xml:space="preserve"> negotiated under the contract </w:t>
            </w:r>
            <w:r>
              <w:rPr>
                <w:rFonts w:ascii="Arial" w:eastAsia="Arial" w:hAnsi="Arial" w:cs="Arial"/>
              </w:rPr>
              <w:t>are</w:t>
            </w:r>
            <w:r w:rsidRPr="002B6130">
              <w:rPr>
                <w:rFonts w:ascii="Arial" w:eastAsia="Arial" w:hAnsi="Arial" w:cs="Arial"/>
              </w:rPr>
              <w:t xml:space="preserve"> commercially sensitive </w:t>
            </w:r>
            <w:r w:rsidRPr="002B6130">
              <w:rPr>
                <w:rFonts w:ascii="Arial" w:eastAsia="Arial" w:hAnsi="Arial" w:cs="Arial"/>
              </w:rPr>
              <w:lastRenderedPageBreak/>
              <w:t>and reflect the outcome of confidential commercial negotiations</w:t>
            </w:r>
            <w:r w:rsidR="12960AAF" w:rsidRPr="39CA6CFF">
              <w:rPr>
                <w:rFonts w:ascii="Arial" w:eastAsia="Arial" w:hAnsi="Arial" w:cs="Arial"/>
              </w:rPr>
              <w:t xml:space="preserve">. </w:t>
            </w:r>
            <w:r w:rsidR="27917271" w:rsidRPr="39CA6CFF">
              <w:rPr>
                <w:rFonts w:ascii="Arial" w:eastAsia="Arial" w:hAnsi="Arial" w:cs="Arial"/>
              </w:rPr>
              <w:t>T</w:t>
            </w:r>
            <w:r w:rsidR="12960AAF" w:rsidRPr="39CA6CFF">
              <w:rPr>
                <w:rFonts w:ascii="Arial" w:eastAsia="Arial" w:hAnsi="Arial" w:cs="Arial"/>
              </w:rPr>
              <w:t>his</w:t>
            </w:r>
            <w:r w:rsidRPr="39CA6CFF">
              <w:rPr>
                <w:rFonts w:ascii="Arial" w:eastAsia="Arial" w:hAnsi="Arial" w:cs="Arial"/>
              </w:rPr>
              <w:t xml:space="preserve"> </w:t>
            </w:r>
            <w:r w:rsidR="27917271" w:rsidRPr="39CA6CFF">
              <w:rPr>
                <w:rFonts w:ascii="Arial" w:eastAsia="Arial" w:hAnsi="Arial" w:cs="Arial"/>
              </w:rPr>
              <w:t>information</w:t>
            </w:r>
            <w:r w:rsidRPr="002B6130">
              <w:rPr>
                <w:rFonts w:ascii="Arial" w:eastAsia="Arial" w:hAnsi="Arial" w:cs="Arial"/>
              </w:rPr>
              <w:t xml:space="preserve"> does not affect the </w:t>
            </w:r>
            <w:r>
              <w:rPr>
                <w:rFonts w:ascii="Arial" w:eastAsia="Arial" w:hAnsi="Arial" w:cs="Arial"/>
              </w:rPr>
              <w:t>a</w:t>
            </w:r>
            <w:r w:rsidRPr="002B6130">
              <w:rPr>
                <w:rFonts w:ascii="Arial" w:eastAsia="Arial" w:hAnsi="Arial" w:cs="Arial"/>
              </w:rPr>
              <w:t>pplication. Publishing this information would provide limited, if any, public benefit, as it does not influence consumer outcomes or regulatory decision</w:t>
            </w:r>
            <w:r w:rsidRPr="002B6130">
              <w:rPr>
                <w:rFonts w:ascii="Cambria Math" w:eastAsia="Arial" w:hAnsi="Cambria Math" w:cs="Cambria Math"/>
              </w:rPr>
              <w:t>‑</w:t>
            </w:r>
            <w:r w:rsidRPr="002B6130">
              <w:rPr>
                <w:rFonts w:ascii="Arial" w:eastAsia="Arial" w:hAnsi="Arial" w:cs="Arial"/>
              </w:rPr>
              <w:t xml:space="preserve">making. However, disclosure could materially disadvantage Transgrid in future commercial negotiations by revealing its negotiating position and risk appetite, ultimately </w:t>
            </w:r>
            <w:r>
              <w:rPr>
                <w:rFonts w:ascii="Arial" w:eastAsia="Arial" w:hAnsi="Arial" w:cs="Arial"/>
              </w:rPr>
              <w:t>to the detriment of</w:t>
            </w:r>
            <w:r w:rsidRPr="002B6130">
              <w:rPr>
                <w:rFonts w:ascii="Arial" w:eastAsia="Arial" w:hAnsi="Arial" w:cs="Arial"/>
              </w:rPr>
              <w:t xml:space="preserve"> the long</w:t>
            </w:r>
            <w:r w:rsidRPr="002B6130">
              <w:rPr>
                <w:rFonts w:ascii="Cambria Math" w:eastAsia="Arial" w:hAnsi="Cambria Math" w:cs="Cambria Math"/>
              </w:rPr>
              <w:t>‑</w:t>
            </w:r>
            <w:r w:rsidRPr="002B6130">
              <w:rPr>
                <w:rFonts w:ascii="Arial" w:eastAsia="Arial" w:hAnsi="Arial" w:cs="Arial"/>
              </w:rPr>
              <w:t>term interests of consumers.</w:t>
            </w:r>
          </w:p>
        </w:tc>
        <w:tc>
          <w:tcPr>
            <w:tcW w:w="1275" w:type="dxa"/>
            <w:tcBorders>
              <w:bottom w:val="single" w:sz="2" w:space="0" w:color="BFBFBF" w:themeColor="background1" w:themeShade="BF"/>
            </w:tcBorders>
            <w:shd w:val="clear" w:color="auto" w:fill="FFFFFF" w:themeFill="background1"/>
          </w:tcPr>
          <w:p w14:paraId="470A4181" w14:textId="666EBABF" w:rsidR="004745F1" w:rsidRPr="462BED03" w:rsidRDefault="004745F1" w:rsidP="003E0395">
            <w:pPr>
              <w:rPr>
                <w:rFonts w:ascii="Arial" w:hAnsi="Arial" w:cs="Arial"/>
              </w:rPr>
            </w:pPr>
            <w:r>
              <w:rPr>
                <w:rFonts w:ascii="Arial" w:hAnsi="Arial" w:cs="Arial"/>
              </w:rPr>
              <w:lastRenderedPageBreak/>
              <w:t>2 pages</w:t>
            </w:r>
          </w:p>
        </w:tc>
      </w:tr>
      <w:tr w:rsidR="00134770" w:rsidRPr="00BF5F1E" w14:paraId="5E3308BA"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0E9809C6" w14:textId="212B6427" w:rsidR="004745F1" w:rsidRDefault="004745F1" w:rsidP="00C97C14">
            <w:r>
              <w:t>The following locations in this document:</w:t>
            </w:r>
          </w:p>
          <w:p w14:paraId="72ADC6F3" w14:textId="6DF0FEA4" w:rsidR="004745F1" w:rsidRPr="0093115A" w:rsidRDefault="004745F1" w:rsidP="005937CE">
            <w:pPr>
              <w:pStyle w:val="ListParagraph"/>
              <w:numPr>
                <w:ilvl w:val="0"/>
                <w:numId w:val="15"/>
              </w:numPr>
            </w:pPr>
            <w:r w:rsidRPr="0093115A">
              <w:rPr>
                <w:rFonts w:ascii="Arial" w:eastAsiaTheme="majorEastAsia" w:hAnsi="Arial" w:cs="Arial"/>
                <w:color w:val="auto"/>
                <w:lang w:eastAsia="en-AU"/>
              </w:rPr>
              <w:t xml:space="preserve">Section 7 Emerging project issues: January 2023 - July 2023, </w:t>
            </w:r>
            <w:r w:rsidRPr="319EFD52">
              <w:rPr>
                <w:rFonts w:ascii="Arial" w:eastAsiaTheme="majorEastAsia" w:hAnsi="Arial" w:cs="Arial"/>
                <w:color w:val="auto"/>
                <w:lang w:eastAsia="en-AU"/>
              </w:rPr>
              <w:t>p</w:t>
            </w:r>
            <w:r w:rsidR="55C860E0" w:rsidRPr="319EFD52">
              <w:rPr>
                <w:rFonts w:ascii="Arial" w:eastAsiaTheme="majorEastAsia" w:hAnsi="Arial" w:cs="Arial"/>
                <w:color w:val="auto"/>
                <w:lang w:eastAsia="en-AU"/>
              </w:rPr>
              <w:t xml:space="preserve"> </w:t>
            </w:r>
            <w:r w:rsidRPr="319EFD52">
              <w:rPr>
                <w:rFonts w:ascii="Arial" w:eastAsiaTheme="majorEastAsia" w:hAnsi="Arial" w:cs="Arial"/>
                <w:color w:val="auto"/>
                <w:lang w:eastAsia="en-AU"/>
              </w:rPr>
              <w:t>1</w:t>
            </w:r>
            <w:r w:rsidR="3BB3BF0D" w:rsidRPr="319EFD52">
              <w:rPr>
                <w:rFonts w:ascii="Arial" w:eastAsiaTheme="majorEastAsia" w:hAnsi="Arial" w:cs="Arial"/>
                <w:color w:val="auto"/>
                <w:lang w:eastAsia="en-AU"/>
              </w:rPr>
              <w:t>7</w:t>
            </w:r>
            <w:r>
              <w:rPr>
                <w:rFonts w:ascii="Arial" w:eastAsiaTheme="majorEastAsia" w:hAnsi="Arial" w:cs="Arial"/>
                <w:color w:val="auto"/>
                <w:lang w:eastAsia="en-AU"/>
              </w:rPr>
              <w:t xml:space="preserve"> </w:t>
            </w:r>
          </w:p>
          <w:p w14:paraId="4A2F6D55" w14:textId="5165C83F" w:rsidR="004745F1" w:rsidRPr="0093115A" w:rsidRDefault="004745F1" w:rsidP="005937CE">
            <w:pPr>
              <w:pStyle w:val="ListParagraph"/>
              <w:numPr>
                <w:ilvl w:val="0"/>
                <w:numId w:val="15"/>
              </w:numPr>
            </w:pPr>
            <w:r>
              <w:rPr>
                <w:rFonts w:ascii="Arial" w:eastAsiaTheme="majorEastAsia" w:hAnsi="Arial" w:cs="Arial"/>
                <w:color w:val="auto"/>
                <w:lang w:eastAsia="en-AU"/>
              </w:rPr>
              <w:t xml:space="preserve">Section 9 The event – Contract Failure, </w:t>
            </w:r>
            <w:r w:rsidRPr="319EFD52">
              <w:rPr>
                <w:rFonts w:ascii="Arial" w:eastAsiaTheme="majorEastAsia" w:hAnsi="Arial" w:cs="Arial"/>
                <w:color w:val="auto"/>
                <w:lang w:eastAsia="en-AU"/>
              </w:rPr>
              <w:t>p</w:t>
            </w:r>
            <w:r w:rsidR="55C860E0" w:rsidRPr="319EFD52">
              <w:rPr>
                <w:rFonts w:ascii="Arial" w:eastAsiaTheme="majorEastAsia" w:hAnsi="Arial" w:cs="Arial"/>
                <w:color w:val="auto"/>
                <w:lang w:eastAsia="en-AU"/>
              </w:rPr>
              <w:t xml:space="preserve"> </w:t>
            </w:r>
            <w:r w:rsidRPr="319EFD52">
              <w:rPr>
                <w:rFonts w:ascii="Arial" w:eastAsiaTheme="majorEastAsia" w:hAnsi="Arial" w:cs="Arial"/>
                <w:color w:val="auto"/>
                <w:lang w:eastAsia="en-AU"/>
              </w:rPr>
              <w:t>2</w:t>
            </w:r>
            <w:r w:rsidR="117CC0B3" w:rsidRPr="319EFD52">
              <w:rPr>
                <w:rFonts w:ascii="Arial" w:eastAsiaTheme="majorEastAsia" w:hAnsi="Arial" w:cs="Arial"/>
                <w:color w:val="auto"/>
                <w:lang w:eastAsia="en-AU"/>
              </w:rPr>
              <w:t>4</w:t>
            </w:r>
          </w:p>
        </w:tc>
        <w:tc>
          <w:tcPr>
            <w:tcW w:w="1559" w:type="dxa"/>
            <w:tcBorders>
              <w:bottom w:val="single" w:sz="2" w:space="0" w:color="BFBFBF" w:themeColor="background1" w:themeShade="BF"/>
            </w:tcBorders>
            <w:shd w:val="clear" w:color="auto" w:fill="FFFFFF" w:themeFill="background1"/>
          </w:tcPr>
          <w:p w14:paraId="188225C1" w14:textId="3BA12BCE" w:rsidR="004745F1" w:rsidRDefault="007538F5" w:rsidP="00C97C14">
            <w:pPr>
              <w:rPr>
                <w:rFonts w:ascii="Arial" w:hAnsi="Arial" w:cs="Arial"/>
                <w:color w:val="000000"/>
              </w:rPr>
            </w:pPr>
            <w:r>
              <w:rPr>
                <w:rFonts w:ascii="Arial" w:hAnsi="Arial" w:cs="Arial"/>
                <w:color w:val="000000"/>
              </w:rPr>
              <w:t>Contract terms</w:t>
            </w:r>
          </w:p>
        </w:tc>
        <w:tc>
          <w:tcPr>
            <w:tcW w:w="1701" w:type="dxa"/>
            <w:tcBorders>
              <w:bottom w:val="single" w:sz="2" w:space="0" w:color="BFBFBF" w:themeColor="background1" w:themeShade="BF"/>
            </w:tcBorders>
            <w:shd w:val="clear" w:color="auto" w:fill="FFFFFF" w:themeFill="background1"/>
          </w:tcPr>
          <w:p w14:paraId="53EF28B7" w14:textId="58A87048" w:rsidR="004745F1" w:rsidRDefault="00945613" w:rsidP="00C97C14">
            <w:pPr>
              <w:rPr>
                <w:rFonts w:ascii="Arial" w:hAnsi="Arial" w:cs="Arial"/>
                <w:color w:val="000000"/>
              </w:rPr>
            </w:pPr>
            <w:r>
              <w:rPr>
                <w:rFonts w:ascii="Arial" w:hAnsi="Arial" w:cs="Arial"/>
              </w:rPr>
              <w:t>Contractor information</w:t>
            </w:r>
          </w:p>
        </w:tc>
        <w:tc>
          <w:tcPr>
            <w:tcW w:w="1559" w:type="dxa"/>
            <w:tcBorders>
              <w:bottom w:val="single" w:sz="2" w:space="0" w:color="BFBFBF" w:themeColor="background1" w:themeShade="BF"/>
            </w:tcBorders>
            <w:shd w:val="clear" w:color="auto" w:fill="FFFFFF" w:themeFill="background1"/>
          </w:tcPr>
          <w:p w14:paraId="4B26EC9C" w14:textId="44E2FB6F" w:rsidR="004745F1" w:rsidRDefault="004745F1" w:rsidP="00C97C14">
            <w:pPr>
              <w:rPr>
                <w:rFonts w:ascii="Arial" w:hAnsi="Arial" w:cs="Arial"/>
              </w:rPr>
            </w:pPr>
            <w:r w:rsidRPr="462BED03">
              <w:rPr>
                <w:rFonts w:ascii="Arial" w:hAnsi="Arial" w:cs="Arial"/>
              </w:rPr>
              <w:t xml:space="preserve">Market intelligence / other – third party confidentiality </w:t>
            </w:r>
          </w:p>
          <w:p w14:paraId="18F9D8E3" w14:textId="74C764F2" w:rsidR="004745F1" w:rsidRDefault="004745F1" w:rsidP="00C97C14">
            <w:pPr>
              <w:rPr>
                <w:rFonts w:ascii="Arial" w:hAnsi="Arial" w:cs="Arial"/>
              </w:rPr>
            </w:pPr>
          </w:p>
        </w:tc>
        <w:tc>
          <w:tcPr>
            <w:tcW w:w="1985" w:type="dxa"/>
            <w:tcBorders>
              <w:bottom w:val="single" w:sz="2" w:space="0" w:color="BFBFBF" w:themeColor="background1" w:themeShade="BF"/>
            </w:tcBorders>
            <w:shd w:val="clear" w:color="auto" w:fill="FFFFFF" w:themeFill="background1"/>
          </w:tcPr>
          <w:p w14:paraId="44023F3A" w14:textId="45A86CFE" w:rsidR="004745F1" w:rsidRDefault="70B7ABF3" w:rsidP="00C97C14">
            <w:pPr>
              <w:rPr>
                <w:rFonts w:ascii="Arial" w:hAnsi="Arial" w:cs="Arial"/>
              </w:rPr>
            </w:pPr>
            <w:r w:rsidRPr="613B1A9F">
              <w:rPr>
                <w:rFonts w:ascii="Arial" w:hAnsi="Arial" w:cs="Arial"/>
              </w:rPr>
              <w:t xml:space="preserve">Elecnor Australia maintains </w:t>
            </w:r>
            <w:r w:rsidRPr="4D3B2247">
              <w:rPr>
                <w:rFonts w:ascii="Arial" w:hAnsi="Arial" w:cs="Arial"/>
              </w:rPr>
              <w:t xml:space="preserve">that the information is highly commercially and legally sensitive, disclosure of which may </w:t>
            </w:r>
            <w:r w:rsidRPr="512568D4">
              <w:rPr>
                <w:rFonts w:ascii="Arial" w:hAnsi="Arial" w:cs="Arial"/>
              </w:rPr>
              <w:t xml:space="preserve">prejudice Elecnor Australia’s legal position. </w:t>
            </w:r>
          </w:p>
        </w:tc>
        <w:tc>
          <w:tcPr>
            <w:tcW w:w="2551" w:type="dxa"/>
            <w:tcBorders>
              <w:bottom w:val="single" w:sz="2" w:space="0" w:color="BFBFBF" w:themeColor="background1" w:themeShade="BF"/>
            </w:tcBorders>
            <w:shd w:val="clear" w:color="auto" w:fill="FFFFFF" w:themeFill="background1"/>
          </w:tcPr>
          <w:p w14:paraId="254067D8" w14:textId="107B899F" w:rsidR="004745F1" w:rsidRDefault="004745F1" w:rsidP="00C97C14">
            <w:pPr>
              <w:rPr>
                <w:rFonts w:ascii="Arial" w:hAnsi="Arial" w:cs="Arial"/>
              </w:rPr>
            </w:pPr>
            <w:r>
              <w:rPr>
                <w:rFonts w:ascii="Arial" w:hAnsi="Arial" w:cs="Arial"/>
              </w:rPr>
              <w:t xml:space="preserve">Revealing </w:t>
            </w:r>
            <w:r w:rsidR="00945613">
              <w:rPr>
                <w:rFonts w:ascii="Arial" w:hAnsi="Arial" w:cs="Arial"/>
              </w:rPr>
              <w:t>this information</w:t>
            </w:r>
            <w:r>
              <w:rPr>
                <w:rFonts w:ascii="Arial" w:hAnsi="Arial" w:cs="Arial"/>
              </w:rPr>
              <w:t xml:space="preserve"> </w:t>
            </w:r>
            <w:r w:rsidR="284B3E85" w:rsidRPr="5986A983">
              <w:rPr>
                <w:rFonts w:ascii="Arial" w:hAnsi="Arial" w:cs="Arial"/>
              </w:rPr>
              <w:t xml:space="preserve">may prejudice Elecnor </w:t>
            </w:r>
            <w:r w:rsidR="284B3E85" w:rsidRPr="04408067">
              <w:rPr>
                <w:rFonts w:ascii="Arial" w:hAnsi="Arial" w:cs="Arial"/>
              </w:rPr>
              <w:t>Australia’s legal position.</w:t>
            </w:r>
            <w:r w:rsidRPr="5986A983">
              <w:rPr>
                <w:rFonts w:ascii="Arial" w:hAnsi="Arial" w:cs="Arial"/>
              </w:rPr>
              <w:t xml:space="preserve"> </w:t>
            </w:r>
          </w:p>
        </w:tc>
        <w:tc>
          <w:tcPr>
            <w:tcW w:w="2552" w:type="dxa"/>
            <w:tcBorders>
              <w:bottom w:val="single" w:sz="2" w:space="0" w:color="BFBFBF" w:themeColor="background1" w:themeShade="BF"/>
            </w:tcBorders>
            <w:shd w:val="clear" w:color="auto" w:fill="FFFFFF" w:themeFill="background1"/>
          </w:tcPr>
          <w:p w14:paraId="32DC7FCB" w14:textId="1264B22C" w:rsidR="004745F1" w:rsidRDefault="004745F1" w:rsidP="00C97C14">
            <w:pPr>
              <w:rPr>
                <w:rFonts w:ascii="Arial" w:hAnsi="Arial" w:cs="Arial"/>
              </w:rPr>
            </w:pPr>
            <w:r w:rsidRPr="51CE6CC3">
              <w:rPr>
                <w:rFonts w:ascii="Arial" w:hAnsi="Arial" w:cs="Arial"/>
              </w:rPr>
              <w:t>The detriment of disclosing this information would outweigh any potential public interest, given the considerable prejudice to Elecnor</w:t>
            </w:r>
            <w:r w:rsidR="00DA1DBB">
              <w:rPr>
                <w:rFonts w:ascii="Arial" w:hAnsi="Arial" w:cs="Arial"/>
              </w:rPr>
              <w:t xml:space="preserve"> Australia</w:t>
            </w:r>
            <w:r w:rsidRPr="51CE6CC3">
              <w:rPr>
                <w:rFonts w:ascii="Arial" w:hAnsi="Arial" w:cs="Arial"/>
              </w:rPr>
              <w:t>.</w:t>
            </w:r>
          </w:p>
        </w:tc>
        <w:tc>
          <w:tcPr>
            <w:tcW w:w="1275" w:type="dxa"/>
            <w:tcBorders>
              <w:bottom w:val="single" w:sz="2" w:space="0" w:color="BFBFBF" w:themeColor="background1" w:themeShade="BF"/>
            </w:tcBorders>
            <w:shd w:val="clear" w:color="auto" w:fill="FFFFFF" w:themeFill="background1"/>
          </w:tcPr>
          <w:p w14:paraId="18E09E44" w14:textId="6407507A" w:rsidR="004745F1" w:rsidRPr="462BED03" w:rsidRDefault="004745F1" w:rsidP="00C97C14">
            <w:pPr>
              <w:rPr>
                <w:rFonts w:ascii="Arial" w:hAnsi="Arial" w:cs="Arial"/>
              </w:rPr>
            </w:pPr>
            <w:r w:rsidRPr="462BED03">
              <w:rPr>
                <w:rFonts w:ascii="Arial" w:hAnsi="Arial" w:cs="Arial"/>
              </w:rPr>
              <w:t xml:space="preserve"> </w:t>
            </w:r>
            <w:r>
              <w:rPr>
                <w:rFonts w:ascii="Arial" w:hAnsi="Arial" w:cs="Arial"/>
              </w:rPr>
              <w:t>3</w:t>
            </w:r>
            <w:r w:rsidRPr="462BED03">
              <w:rPr>
                <w:rFonts w:ascii="Arial" w:hAnsi="Arial" w:cs="Arial"/>
              </w:rPr>
              <w:t xml:space="preserve"> pages</w:t>
            </w:r>
          </w:p>
        </w:tc>
      </w:tr>
      <w:tr w:rsidR="004B5EC7" w:rsidRPr="00BF5F1E" w14:paraId="15E31F46" w14:textId="77777777" w:rsidTr="358799A6">
        <w:trPr>
          <w:cantSplit/>
          <w:trHeight w:val="300"/>
        </w:trPr>
        <w:tc>
          <w:tcPr>
            <w:tcW w:w="15306" w:type="dxa"/>
            <w:gridSpan w:val="8"/>
            <w:tcBorders>
              <w:bottom w:val="single" w:sz="2" w:space="0" w:color="BFBFBF" w:themeColor="background1" w:themeShade="BF"/>
            </w:tcBorders>
            <w:shd w:val="clear" w:color="auto" w:fill="D8EFD7" w:themeFill="accent1" w:themeFillTint="33"/>
          </w:tcPr>
          <w:p w14:paraId="43CC764C" w14:textId="4DE6A232" w:rsidR="004B5EC7" w:rsidRPr="00302E1D" w:rsidRDefault="004B5EC7" w:rsidP="00C97C14">
            <w:pPr>
              <w:rPr>
                <w:rFonts w:ascii="Arial" w:hAnsi="Arial" w:cs="Arial"/>
                <w:b/>
                <w:bCs/>
              </w:rPr>
            </w:pPr>
            <w:r w:rsidRPr="00302E1D">
              <w:rPr>
                <w:rFonts w:ascii="Arial" w:hAnsi="Arial" w:cs="Arial"/>
                <w:b/>
                <w:bCs/>
              </w:rPr>
              <w:lastRenderedPageBreak/>
              <w:t>Appendix 2a: Letter of support – Elecnor Australia</w:t>
            </w:r>
          </w:p>
        </w:tc>
      </w:tr>
      <w:tr w:rsidR="004B5EC7" w:rsidRPr="00BF5F1E" w14:paraId="093D6396"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1F3C04E7" w14:textId="55826C5B" w:rsidR="004B5EC7" w:rsidRDefault="004B5EC7" w:rsidP="004B5EC7">
            <w:r>
              <w:t>Page 5</w:t>
            </w:r>
          </w:p>
        </w:tc>
        <w:tc>
          <w:tcPr>
            <w:tcW w:w="1559" w:type="dxa"/>
            <w:tcBorders>
              <w:bottom w:val="single" w:sz="2" w:space="0" w:color="BFBFBF" w:themeColor="background1" w:themeShade="BF"/>
            </w:tcBorders>
            <w:shd w:val="clear" w:color="auto" w:fill="FFFFFF" w:themeFill="background1"/>
          </w:tcPr>
          <w:p w14:paraId="5C94C372" w14:textId="40260E47" w:rsidR="004B5EC7" w:rsidRPr="00AB0D1B" w:rsidDel="007538F5" w:rsidRDefault="004B5EC7" w:rsidP="004B5EC7">
            <w:pPr>
              <w:rPr>
                <w:rFonts w:ascii="Arial" w:hAnsi="Arial" w:cs="Arial"/>
                <w:color w:val="000000"/>
              </w:rPr>
            </w:pPr>
            <w:r w:rsidRPr="4DBA6690">
              <w:rPr>
                <w:rFonts w:ascii="Arial" w:hAnsi="Arial" w:cs="Arial"/>
              </w:rPr>
              <w:t xml:space="preserve">Individual </w:t>
            </w:r>
            <w:r w:rsidR="7F9D10EA" w:rsidRPr="29CD410B">
              <w:rPr>
                <w:rFonts w:ascii="Arial" w:hAnsi="Arial" w:cs="Arial"/>
              </w:rPr>
              <w:t xml:space="preserve">name and </w:t>
            </w:r>
            <w:r w:rsidRPr="4DBA6690">
              <w:rPr>
                <w:rFonts w:ascii="Arial" w:hAnsi="Arial" w:cs="Arial"/>
              </w:rPr>
              <w:t>signature</w:t>
            </w:r>
          </w:p>
        </w:tc>
        <w:tc>
          <w:tcPr>
            <w:tcW w:w="1701" w:type="dxa"/>
            <w:tcBorders>
              <w:bottom w:val="single" w:sz="2" w:space="0" w:color="BFBFBF" w:themeColor="background1" w:themeShade="BF"/>
            </w:tcBorders>
            <w:shd w:val="clear" w:color="auto" w:fill="FFFFFF" w:themeFill="background1"/>
          </w:tcPr>
          <w:p w14:paraId="521AC8BA" w14:textId="3BF6F285" w:rsidR="004B5EC7" w:rsidRPr="3ED11A25" w:rsidDel="00945613" w:rsidRDefault="004B5EC7" w:rsidP="004B5EC7">
            <w:pPr>
              <w:rPr>
                <w:rFonts w:ascii="Arial" w:hAnsi="Arial" w:cs="Arial"/>
              </w:rPr>
            </w:pPr>
            <w:r>
              <w:rPr>
                <w:rFonts w:ascii="Arial" w:hAnsi="Arial" w:cs="Arial"/>
                <w:color w:val="000000"/>
              </w:rPr>
              <w:t>Individual details</w:t>
            </w:r>
          </w:p>
        </w:tc>
        <w:tc>
          <w:tcPr>
            <w:tcW w:w="1559" w:type="dxa"/>
            <w:tcBorders>
              <w:bottom w:val="single" w:sz="2" w:space="0" w:color="BFBFBF" w:themeColor="background1" w:themeShade="BF"/>
            </w:tcBorders>
            <w:shd w:val="clear" w:color="auto" w:fill="FFFFFF" w:themeFill="background1"/>
          </w:tcPr>
          <w:p w14:paraId="68935904" w14:textId="0BC29A1B" w:rsidR="004B5EC7" w:rsidRPr="462BED03" w:rsidRDefault="004B5EC7" w:rsidP="004B5EC7">
            <w:pPr>
              <w:rPr>
                <w:rFonts w:ascii="Arial" w:hAnsi="Arial" w:cs="Arial"/>
              </w:rPr>
            </w:pPr>
            <w:r>
              <w:rPr>
                <w:rFonts w:ascii="Arial" w:hAnsi="Arial" w:cs="Arial"/>
                <w:color w:val="000000"/>
              </w:rPr>
              <w:t>Personal information</w:t>
            </w:r>
          </w:p>
        </w:tc>
        <w:tc>
          <w:tcPr>
            <w:tcW w:w="1985" w:type="dxa"/>
            <w:tcBorders>
              <w:bottom w:val="single" w:sz="2" w:space="0" w:color="BFBFBF" w:themeColor="background1" w:themeShade="BF"/>
            </w:tcBorders>
            <w:shd w:val="clear" w:color="auto" w:fill="FFFFFF" w:themeFill="background1"/>
          </w:tcPr>
          <w:p w14:paraId="77CAD94C" w14:textId="1F1D0CFA" w:rsidR="004B5EC7" w:rsidRPr="615FD57C" w:rsidRDefault="004B5EC7" w:rsidP="004B5EC7">
            <w:pPr>
              <w:rPr>
                <w:rFonts w:ascii="Arial" w:hAnsi="Arial" w:cs="Arial"/>
              </w:rPr>
            </w:pPr>
            <w:r>
              <w:t xml:space="preserve">Revealing the </w:t>
            </w:r>
            <w:r w:rsidDel="00DF162C">
              <w:t xml:space="preserve">name </w:t>
            </w:r>
            <w:r w:rsidR="7E54CC35">
              <w:t xml:space="preserve">and </w:t>
            </w:r>
            <w:r w:rsidR="00DF162C">
              <w:t xml:space="preserve">signature of the Elecnor Australia </w:t>
            </w:r>
            <w:r w:rsidR="00C404FD">
              <w:t xml:space="preserve">PEC </w:t>
            </w:r>
            <w:r w:rsidR="00DF162C">
              <w:t>Project Director</w:t>
            </w:r>
            <w:r>
              <w:t xml:space="preserve"> raises privacy concerns.</w:t>
            </w:r>
          </w:p>
        </w:tc>
        <w:tc>
          <w:tcPr>
            <w:tcW w:w="2551" w:type="dxa"/>
            <w:tcBorders>
              <w:bottom w:val="single" w:sz="2" w:space="0" w:color="BFBFBF" w:themeColor="background1" w:themeShade="BF"/>
            </w:tcBorders>
            <w:shd w:val="clear" w:color="auto" w:fill="FFFFFF" w:themeFill="background1"/>
          </w:tcPr>
          <w:p w14:paraId="3CC72F61" w14:textId="77777777" w:rsidR="004B5EC7" w:rsidRDefault="004B5EC7" w:rsidP="004B5EC7">
            <w:r>
              <w:t xml:space="preserve">Revealing this information would have adverse privacy implications for the individual involved. </w:t>
            </w:r>
          </w:p>
          <w:p w14:paraId="4071654B" w14:textId="77777777" w:rsidR="004B5EC7" w:rsidRDefault="004B5EC7" w:rsidP="004B5EC7">
            <w:pPr>
              <w:rPr>
                <w:szCs w:val="21"/>
              </w:rPr>
            </w:pPr>
            <w:r>
              <w:rPr>
                <w:szCs w:val="21"/>
              </w:rPr>
              <w:t xml:space="preserve"> </w:t>
            </w:r>
          </w:p>
          <w:p w14:paraId="3BFF3990" w14:textId="77777777" w:rsidR="004B5EC7" w:rsidRDefault="004B5EC7" w:rsidP="004B5EC7">
            <w:pPr>
              <w:rPr>
                <w:rFonts w:ascii="Arial" w:hAnsi="Arial" w:cs="Arial"/>
              </w:rPr>
            </w:pPr>
          </w:p>
        </w:tc>
        <w:tc>
          <w:tcPr>
            <w:tcW w:w="2552" w:type="dxa"/>
            <w:tcBorders>
              <w:bottom w:val="single" w:sz="2" w:space="0" w:color="BFBFBF" w:themeColor="background1" w:themeShade="BF"/>
            </w:tcBorders>
            <w:shd w:val="clear" w:color="auto" w:fill="FFFFFF" w:themeFill="background1"/>
          </w:tcPr>
          <w:p w14:paraId="5947CBE8" w14:textId="77777777" w:rsidR="004B5EC7" w:rsidRDefault="004B5EC7" w:rsidP="004B5EC7">
            <w:pPr>
              <w:rPr>
                <w:rFonts w:ascii="Arial" w:hAnsi="Arial" w:cs="Arial"/>
                <w:i/>
                <w:iCs/>
              </w:rPr>
            </w:pPr>
            <w:r>
              <w:t>Revealing this information would have adverse privacy implications for the individual involved.</w:t>
            </w:r>
          </w:p>
          <w:p w14:paraId="49501404" w14:textId="32665F12" w:rsidR="004B5EC7" w:rsidRPr="51CE6CC3" w:rsidDel="00945613" w:rsidRDefault="004B5EC7" w:rsidP="004B5EC7">
            <w:pPr>
              <w:rPr>
                <w:rFonts w:ascii="Arial" w:hAnsi="Arial" w:cs="Arial"/>
              </w:rPr>
            </w:pPr>
            <w:r>
              <w:t>There is no apparent</w:t>
            </w:r>
            <w:r w:rsidRPr="00BF5F1E">
              <w:t xml:space="preserve"> public benefit in disclosing this information that could outweigh </w:t>
            </w:r>
            <w:r>
              <w:t xml:space="preserve">this </w:t>
            </w:r>
            <w:r w:rsidRPr="00BF5F1E">
              <w:t>detriment</w:t>
            </w:r>
            <w:r>
              <w:t>.</w:t>
            </w:r>
          </w:p>
        </w:tc>
        <w:tc>
          <w:tcPr>
            <w:tcW w:w="1275" w:type="dxa"/>
            <w:tcBorders>
              <w:bottom w:val="single" w:sz="2" w:space="0" w:color="BFBFBF" w:themeColor="background1" w:themeShade="BF"/>
            </w:tcBorders>
            <w:shd w:val="clear" w:color="auto" w:fill="FFFFFF" w:themeFill="background1"/>
          </w:tcPr>
          <w:p w14:paraId="201CBAF7" w14:textId="05618FD4" w:rsidR="004B5EC7" w:rsidRPr="462BED03" w:rsidRDefault="004B5EC7" w:rsidP="004B5EC7">
            <w:pPr>
              <w:rPr>
                <w:rFonts w:ascii="Arial" w:hAnsi="Arial" w:cs="Arial"/>
              </w:rPr>
            </w:pPr>
            <w:r>
              <w:rPr>
                <w:rFonts w:ascii="Arial" w:hAnsi="Arial" w:cs="Arial"/>
              </w:rPr>
              <w:t>1 page</w:t>
            </w:r>
          </w:p>
        </w:tc>
      </w:tr>
      <w:tr w:rsidR="00B133A9" w:rsidRPr="00BF5F1E" w14:paraId="6AC46CD3" w14:textId="77777777" w:rsidTr="358799A6">
        <w:trPr>
          <w:cantSplit/>
          <w:trHeight w:val="300"/>
        </w:trPr>
        <w:tc>
          <w:tcPr>
            <w:tcW w:w="15306" w:type="dxa"/>
            <w:gridSpan w:val="8"/>
            <w:tcBorders>
              <w:bottom w:val="single" w:sz="2" w:space="0" w:color="BFBFBF" w:themeColor="background1" w:themeShade="BF"/>
            </w:tcBorders>
            <w:shd w:val="clear" w:color="auto" w:fill="D8EFD7" w:themeFill="accent1" w:themeFillTint="33"/>
          </w:tcPr>
          <w:p w14:paraId="3726E8F9" w14:textId="15FF349E" w:rsidR="00B133A9" w:rsidRDefault="00B133A9" w:rsidP="004B5EC7">
            <w:pPr>
              <w:rPr>
                <w:rFonts w:ascii="Arial" w:hAnsi="Arial" w:cs="Arial"/>
              </w:rPr>
            </w:pPr>
            <w:r>
              <w:rPr>
                <w:b/>
              </w:rPr>
              <w:t>Appendix 2b: Cost Estimate Report</w:t>
            </w:r>
            <w:r w:rsidR="0042411C">
              <w:rPr>
                <w:b/>
              </w:rPr>
              <w:t>s</w:t>
            </w:r>
            <w:r>
              <w:rPr>
                <w:b/>
              </w:rPr>
              <w:t xml:space="preserve"> – </w:t>
            </w:r>
            <w:r w:rsidR="008D6B93">
              <w:rPr>
                <w:b/>
              </w:rPr>
              <w:t xml:space="preserve">Fission </w:t>
            </w:r>
          </w:p>
        </w:tc>
      </w:tr>
      <w:tr w:rsidR="00117550" w:rsidRPr="00BF5F1E" w14:paraId="53DA09E1"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5825DD5E" w14:textId="1B5BD5E2" w:rsidR="00117550" w:rsidRDefault="00117550" w:rsidP="00117550">
            <w:r w:rsidRPr="00AC5613">
              <w:t>Cov</w:t>
            </w:r>
            <w:r>
              <w:t>ering note, p iii</w:t>
            </w:r>
          </w:p>
        </w:tc>
        <w:tc>
          <w:tcPr>
            <w:tcW w:w="1559" w:type="dxa"/>
            <w:tcBorders>
              <w:bottom w:val="single" w:sz="2" w:space="0" w:color="BFBFBF" w:themeColor="background1" w:themeShade="BF"/>
            </w:tcBorders>
            <w:shd w:val="clear" w:color="auto" w:fill="FFFFFF" w:themeFill="background1"/>
          </w:tcPr>
          <w:p w14:paraId="3FAA4E1E" w14:textId="2D290EAD" w:rsidR="00117550" w:rsidRPr="4DBA6690" w:rsidRDefault="00117550" w:rsidP="00117550">
            <w:pPr>
              <w:rPr>
                <w:rFonts w:ascii="Arial" w:hAnsi="Arial" w:cs="Arial"/>
              </w:rPr>
            </w:pPr>
            <w:r>
              <w:rPr>
                <w:rFonts w:ascii="Arial" w:hAnsi="Arial" w:cs="Arial"/>
                <w:color w:val="000000"/>
              </w:rPr>
              <w:t>Scenario 2 – delivery by an alternative contractor</w:t>
            </w:r>
          </w:p>
        </w:tc>
        <w:tc>
          <w:tcPr>
            <w:tcW w:w="1701" w:type="dxa"/>
            <w:tcBorders>
              <w:bottom w:val="single" w:sz="2" w:space="0" w:color="BFBFBF" w:themeColor="background1" w:themeShade="BF"/>
            </w:tcBorders>
            <w:shd w:val="clear" w:color="auto" w:fill="FFFFFF" w:themeFill="background1"/>
          </w:tcPr>
          <w:p w14:paraId="0383AF1E" w14:textId="1B24D8F1" w:rsidR="00117550" w:rsidRDefault="00117550" w:rsidP="00117550">
            <w:pPr>
              <w:rPr>
                <w:rFonts w:ascii="Arial" w:hAnsi="Arial" w:cs="Arial"/>
                <w:color w:val="000000"/>
              </w:rPr>
            </w:pPr>
            <w:r>
              <w:rPr>
                <w:rFonts w:ascii="Arial" w:hAnsi="Arial" w:cs="Arial"/>
              </w:rPr>
              <w:t>Additional commercial costs and total out-turn cost</w:t>
            </w:r>
          </w:p>
        </w:tc>
        <w:tc>
          <w:tcPr>
            <w:tcW w:w="1559" w:type="dxa"/>
            <w:tcBorders>
              <w:bottom w:val="single" w:sz="2" w:space="0" w:color="BFBFBF" w:themeColor="background1" w:themeShade="BF"/>
            </w:tcBorders>
            <w:shd w:val="clear" w:color="auto" w:fill="FFFFFF" w:themeFill="background1"/>
          </w:tcPr>
          <w:p w14:paraId="6DE1B9AF" w14:textId="6FA36413" w:rsidR="00117550" w:rsidRDefault="00117550" w:rsidP="00117550">
            <w:pPr>
              <w:rPr>
                <w:rFonts w:ascii="Arial" w:hAnsi="Arial" w:cs="Arial"/>
                <w:color w:val="000000"/>
              </w:rPr>
            </w:pPr>
            <w:r>
              <w:rPr>
                <w:rFonts w:ascii="Arial" w:hAnsi="Arial" w:cs="Arial"/>
              </w:rPr>
              <w:t>Market intelligence</w:t>
            </w:r>
          </w:p>
        </w:tc>
        <w:tc>
          <w:tcPr>
            <w:tcW w:w="1985" w:type="dxa"/>
            <w:tcBorders>
              <w:bottom w:val="single" w:sz="2" w:space="0" w:color="BFBFBF" w:themeColor="background1" w:themeShade="BF"/>
            </w:tcBorders>
            <w:shd w:val="clear" w:color="auto" w:fill="FFFFFF" w:themeFill="background1"/>
          </w:tcPr>
          <w:p w14:paraId="079D59BA" w14:textId="6A431487" w:rsidR="00117550" w:rsidRDefault="00117550" w:rsidP="00117550">
            <w:r>
              <w:rPr>
                <w:rFonts w:ascii="Arial" w:hAnsi="Arial" w:cs="Arial"/>
              </w:rPr>
              <w:t xml:space="preserve">Fission’s estimate of the additional commercial costs and resulting cost of delivering the contract under an alternative contractor is commercially sensitive. </w:t>
            </w:r>
          </w:p>
        </w:tc>
        <w:tc>
          <w:tcPr>
            <w:tcW w:w="2551" w:type="dxa"/>
            <w:tcBorders>
              <w:bottom w:val="single" w:sz="2" w:space="0" w:color="BFBFBF" w:themeColor="background1" w:themeShade="BF"/>
            </w:tcBorders>
            <w:shd w:val="clear" w:color="auto" w:fill="FFFFFF" w:themeFill="background1"/>
          </w:tcPr>
          <w:p w14:paraId="66E20A69" w14:textId="0312E4A7" w:rsidR="00316E76" w:rsidRPr="00634958" w:rsidRDefault="00316E76" w:rsidP="00634958">
            <w:pPr>
              <w:rPr>
                <w:rFonts w:ascii="Arial" w:hAnsi="Arial" w:cs="Arial"/>
              </w:rPr>
            </w:pPr>
            <w:r w:rsidRPr="00634958">
              <w:rPr>
                <w:rFonts w:ascii="Arial" w:hAnsi="Arial" w:cs="Arial"/>
              </w:rPr>
              <w:t>Disclosing the estimate that includes Transgrid’s potential contract</w:t>
            </w:r>
            <w:r w:rsidR="0027302F">
              <w:rPr>
                <w:rFonts w:ascii="Arial" w:hAnsi="Arial" w:cs="Arial"/>
              </w:rPr>
              <w:t xml:space="preserve"> </w:t>
            </w:r>
            <w:r w:rsidRPr="00634958">
              <w:rPr>
                <w:rFonts w:ascii="Arial" w:hAnsi="Arial" w:cs="Arial"/>
              </w:rPr>
              <w:t xml:space="preserve">termination costs would cause detriment because it exposes information that directly affects Transgrid’s commercial leverage. Once that figure becomes public, third parties can infer how costly it would be for Transgrid to exit an arrangement and therefore how much negotiating flexibility Transgrid truly has. Third parties who know the financial impact of termination can harden </w:t>
            </w:r>
            <w:r w:rsidRPr="00634958">
              <w:rPr>
                <w:rFonts w:ascii="Arial" w:hAnsi="Arial" w:cs="Arial"/>
              </w:rPr>
              <w:lastRenderedPageBreak/>
              <w:t>their position, delay concessions, or adjust their pricing strategy to Transgrid’s disadvantage. What is intended as an internal assessment of risk and cost becomes a strategic vulnerability that others can exploit, weakening Transgrid’s ability to negotiate on equal terms.</w:t>
            </w:r>
          </w:p>
          <w:p w14:paraId="3A87DE75" w14:textId="5EDE0993" w:rsidR="00117550" w:rsidRPr="00634958" w:rsidRDefault="00316E76" w:rsidP="0037505E">
            <w:pPr>
              <w:rPr>
                <w:rFonts w:ascii="Arial" w:hAnsi="Arial" w:cs="Arial"/>
              </w:rPr>
            </w:pPr>
            <w:r w:rsidRPr="00634958">
              <w:rPr>
                <w:rFonts w:ascii="Arial" w:hAnsi="Arial" w:cs="Arial"/>
              </w:rPr>
              <w:t>The detriment also arises from the way such information can be misinterpreted or taken out of context. Termination</w:t>
            </w:r>
            <w:r w:rsidRPr="00634958">
              <w:rPr>
                <w:rFonts w:ascii="Arial" w:hAnsi="Arial" w:cs="Arial"/>
              </w:rPr>
              <w:noBreakHyphen/>
              <w:t xml:space="preserve">cost estimates often reflect internal considerations such as risk assessments, commercial concerns, or contingency planning. Even if released at high level publicly, these details could be misconstrued by third parties. In addition, the estimates may reveal commercially sensitive information such as penalty structures or </w:t>
            </w:r>
            <w:r w:rsidRPr="00634958">
              <w:rPr>
                <w:rFonts w:ascii="Arial" w:hAnsi="Arial" w:cs="Arial"/>
              </w:rPr>
              <w:lastRenderedPageBreak/>
              <w:t>pricing assumptions, which could undermine future negotiations or breach confidentiality obligations. For these reasons, releasing the cost information would expose Transgrid to commercial harm.</w:t>
            </w:r>
          </w:p>
        </w:tc>
        <w:tc>
          <w:tcPr>
            <w:tcW w:w="2552" w:type="dxa"/>
            <w:tcBorders>
              <w:bottom w:val="single" w:sz="2" w:space="0" w:color="BFBFBF" w:themeColor="background1" w:themeShade="BF"/>
            </w:tcBorders>
            <w:shd w:val="clear" w:color="auto" w:fill="FFFFFF" w:themeFill="background1"/>
          </w:tcPr>
          <w:p w14:paraId="0D93D361" w14:textId="47804366" w:rsidR="00F62CD3" w:rsidRPr="00634958" w:rsidRDefault="00F62CD3" w:rsidP="00634958">
            <w:pPr>
              <w:rPr>
                <w:color w:val="auto"/>
              </w:rPr>
            </w:pPr>
            <w:r w:rsidRPr="00634958">
              <w:rPr>
                <w:color w:val="auto"/>
              </w:rPr>
              <w:lastRenderedPageBreak/>
              <w:t>While the disclosure of this information may be of interest to some stakeholders, its redaction does not prevent stakeholders from understanding the Application or engaging with the AER’s consultation process</w:t>
            </w:r>
            <w:r w:rsidR="00623441">
              <w:rPr>
                <w:color w:val="auto"/>
              </w:rPr>
              <w:t xml:space="preserve"> g</w:t>
            </w:r>
            <w:r w:rsidRPr="00634958">
              <w:rPr>
                <w:color w:val="auto"/>
              </w:rPr>
              <w:t>iven that the issues Transgrid considered are identified, even if the costs are redacted.</w:t>
            </w:r>
          </w:p>
          <w:p w14:paraId="096DF697" w14:textId="1FC53283" w:rsidR="00117550" w:rsidRPr="00634958" w:rsidRDefault="00F62CD3" w:rsidP="0037505E">
            <w:pPr>
              <w:rPr>
                <w:color w:val="auto"/>
              </w:rPr>
            </w:pPr>
            <w:r w:rsidRPr="00634958">
              <w:rPr>
                <w:color w:val="auto"/>
              </w:rPr>
              <w:t xml:space="preserve">By contrast, the harm from disclosure is significant and concrete. Revealing the estimate would expose Transgrid’s commercial </w:t>
            </w:r>
            <w:r w:rsidRPr="00634958">
              <w:rPr>
                <w:color w:val="auto"/>
              </w:rPr>
              <w:lastRenderedPageBreak/>
              <w:t>strategy, weaken its negotiating position, and risk misinterpretation by suppliers, unions, and other stakeholders.  This could lead to increased costs and industrial pressure, all of which ultimately undermine the efficiency and stability that the regulatory framework is designed to protect. On balance, therefore, Transgrid’s position is that the information should be redacted.</w:t>
            </w:r>
          </w:p>
        </w:tc>
        <w:tc>
          <w:tcPr>
            <w:tcW w:w="1275" w:type="dxa"/>
            <w:tcBorders>
              <w:bottom w:val="single" w:sz="2" w:space="0" w:color="BFBFBF" w:themeColor="background1" w:themeShade="BF"/>
            </w:tcBorders>
            <w:shd w:val="clear" w:color="auto" w:fill="FFFFFF" w:themeFill="background1"/>
          </w:tcPr>
          <w:p w14:paraId="5A99A84A" w14:textId="59A1A90E" w:rsidR="00117550" w:rsidRDefault="00117550" w:rsidP="00117550">
            <w:pPr>
              <w:rPr>
                <w:rFonts w:ascii="Arial" w:hAnsi="Arial" w:cs="Arial"/>
              </w:rPr>
            </w:pPr>
            <w:r>
              <w:rPr>
                <w:rFonts w:ascii="Arial" w:hAnsi="Arial" w:cs="Arial"/>
              </w:rPr>
              <w:lastRenderedPageBreak/>
              <w:t>1 page</w:t>
            </w:r>
          </w:p>
        </w:tc>
      </w:tr>
      <w:tr w:rsidR="00D706EA" w:rsidRPr="00BF5F1E" w14:paraId="048C75DE"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078C4788" w14:textId="5A741AAD" w:rsidR="00D706EA" w:rsidRDefault="004B15E7" w:rsidP="00D706EA">
            <w:r>
              <w:rPr>
                <w:rFonts w:ascii="Arial" w:hAnsi="Arial" w:cs="Arial"/>
                <w:color w:val="000000"/>
              </w:rPr>
              <w:lastRenderedPageBreak/>
              <w:t>14</w:t>
            </w:r>
            <w:r w:rsidRPr="004B15E7">
              <w:rPr>
                <w:rFonts w:ascii="Arial" w:hAnsi="Arial" w:cs="Arial"/>
                <w:color w:val="000000"/>
                <w:vertAlign w:val="superscript"/>
              </w:rPr>
              <w:t>th</w:t>
            </w:r>
            <w:r>
              <w:rPr>
                <w:rFonts w:ascii="Arial" w:hAnsi="Arial" w:cs="Arial"/>
                <w:color w:val="000000"/>
              </w:rPr>
              <w:t xml:space="preserve"> August </w:t>
            </w:r>
            <w:r w:rsidR="002210BD">
              <w:rPr>
                <w:rFonts w:ascii="Arial" w:hAnsi="Arial" w:cs="Arial"/>
                <w:color w:val="000000"/>
              </w:rPr>
              <w:t xml:space="preserve">2023 </w:t>
            </w:r>
            <w:r>
              <w:rPr>
                <w:rFonts w:ascii="Arial" w:hAnsi="Arial" w:cs="Arial"/>
                <w:color w:val="000000"/>
              </w:rPr>
              <w:t xml:space="preserve">Report - </w:t>
            </w:r>
            <w:r w:rsidR="00D706EA">
              <w:rPr>
                <w:rFonts w:ascii="Arial" w:hAnsi="Arial" w:cs="Arial"/>
                <w:color w:val="000000"/>
              </w:rPr>
              <w:t>Executive Summary, p3</w:t>
            </w:r>
          </w:p>
        </w:tc>
        <w:tc>
          <w:tcPr>
            <w:tcW w:w="1559" w:type="dxa"/>
            <w:tcBorders>
              <w:bottom w:val="single" w:sz="2" w:space="0" w:color="BFBFBF" w:themeColor="background1" w:themeShade="BF"/>
            </w:tcBorders>
            <w:shd w:val="clear" w:color="auto" w:fill="FFFFFF" w:themeFill="background1"/>
          </w:tcPr>
          <w:p w14:paraId="2BA0D060" w14:textId="1F101CF5" w:rsidR="00D706EA" w:rsidRPr="4DBA6690" w:rsidRDefault="00D706EA" w:rsidP="00D706EA">
            <w:pPr>
              <w:rPr>
                <w:rFonts w:ascii="Arial" w:hAnsi="Arial" w:cs="Arial"/>
              </w:rPr>
            </w:pPr>
            <w:r>
              <w:rPr>
                <w:rFonts w:ascii="Arial" w:hAnsi="Arial" w:cs="Arial"/>
                <w:color w:val="000000"/>
              </w:rPr>
              <w:t>Individual names</w:t>
            </w:r>
          </w:p>
        </w:tc>
        <w:tc>
          <w:tcPr>
            <w:tcW w:w="1701" w:type="dxa"/>
            <w:tcBorders>
              <w:bottom w:val="single" w:sz="2" w:space="0" w:color="BFBFBF" w:themeColor="background1" w:themeShade="BF"/>
            </w:tcBorders>
            <w:shd w:val="clear" w:color="auto" w:fill="FFFFFF" w:themeFill="background1"/>
          </w:tcPr>
          <w:p w14:paraId="5366AD8B" w14:textId="4833A04C" w:rsidR="00D706EA" w:rsidRDefault="00D706EA" w:rsidP="00D706EA">
            <w:pPr>
              <w:rPr>
                <w:rFonts w:ascii="Arial" w:hAnsi="Arial" w:cs="Arial"/>
                <w:color w:val="000000"/>
              </w:rPr>
            </w:pPr>
            <w:r>
              <w:rPr>
                <w:rFonts w:ascii="Arial" w:hAnsi="Arial" w:cs="Arial"/>
                <w:color w:val="000000"/>
              </w:rPr>
              <w:t>Individual details</w:t>
            </w:r>
          </w:p>
        </w:tc>
        <w:tc>
          <w:tcPr>
            <w:tcW w:w="1559" w:type="dxa"/>
            <w:tcBorders>
              <w:bottom w:val="single" w:sz="2" w:space="0" w:color="BFBFBF" w:themeColor="background1" w:themeShade="BF"/>
            </w:tcBorders>
            <w:shd w:val="clear" w:color="auto" w:fill="FFFFFF" w:themeFill="background1"/>
          </w:tcPr>
          <w:p w14:paraId="251C8FF4" w14:textId="7F99646A" w:rsidR="00D706EA" w:rsidRDefault="00D706EA" w:rsidP="00D706EA">
            <w:pPr>
              <w:rPr>
                <w:rFonts w:ascii="Arial" w:hAnsi="Arial" w:cs="Arial"/>
                <w:color w:val="000000"/>
              </w:rPr>
            </w:pPr>
            <w:r>
              <w:rPr>
                <w:rFonts w:ascii="Arial" w:hAnsi="Arial" w:cs="Arial"/>
                <w:color w:val="000000"/>
              </w:rPr>
              <w:t>Personal information</w:t>
            </w:r>
          </w:p>
        </w:tc>
        <w:tc>
          <w:tcPr>
            <w:tcW w:w="1985" w:type="dxa"/>
            <w:tcBorders>
              <w:bottom w:val="single" w:sz="2" w:space="0" w:color="BFBFBF" w:themeColor="background1" w:themeShade="BF"/>
            </w:tcBorders>
            <w:shd w:val="clear" w:color="auto" w:fill="FFFFFF" w:themeFill="background1"/>
          </w:tcPr>
          <w:p w14:paraId="53CB510A" w14:textId="3AAE2A6C" w:rsidR="00D706EA" w:rsidRDefault="00D706EA" w:rsidP="00D706EA">
            <w:r>
              <w:rPr>
                <w:szCs w:val="21"/>
              </w:rPr>
              <w:t>Revealing the author and recipient names raises privacy concerns.</w:t>
            </w:r>
          </w:p>
        </w:tc>
        <w:tc>
          <w:tcPr>
            <w:tcW w:w="2551" w:type="dxa"/>
            <w:tcBorders>
              <w:bottom w:val="single" w:sz="2" w:space="0" w:color="BFBFBF" w:themeColor="background1" w:themeShade="BF"/>
            </w:tcBorders>
            <w:shd w:val="clear" w:color="auto" w:fill="FFFFFF" w:themeFill="background1"/>
          </w:tcPr>
          <w:p w14:paraId="469E4B13" w14:textId="77777777" w:rsidR="00D706EA" w:rsidRDefault="00D706EA" w:rsidP="00D706EA">
            <w:r>
              <w:t xml:space="preserve">Revealing this information would have adverse privacy implications for the individuals involved. </w:t>
            </w:r>
          </w:p>
          <w:p w14:paraId="41B2E993" w14:textId="77777777" w:rsidR="00D706EA" w:rsidRDefault="00D706EA" w:rsidP="00D706EA">
            <w:pPr>
              <w:rPr>
                <w:szCs w:val="21"/>
              </w:rPr>
            </w:pPr>
            <w:r>
              <w:rPr>
                <w:szCs w:val="21"/>
              </w:rPr>
              <w:t xml:space="preserve"> </w:t>
            </w:r>
          </w:p>
          <w:p w14:paraId="39F0DED3" w14:textId="77777777" w:rsidR="00D706EA" w:rsidRDefault="00D706EA" w:rsidP="00D706EA"/>
        </w:tc>
        <w:tc>
          <w:tcPr>
            <w:tcW w:w="2552" w:type="dxa"/>
            <w:tcBorders>
              <w:bottom w:val="single" w:sz="2" w:space="0" w:color="BFBFBF" w:themeColor="background1" w:themeShade="BF"/>
            </w:tcBorders>
            <w:shd w:val="clear" w:color="auto" w:fill="FFFFFF" w:themeFill="background1"/>
          </w:tcPr>
          <w:p w14:paraId="07B785CC" w14:textId="6E5FE2C2" w:rsidR="00D706EA" w:rsidRDefault="00D706EA" w:rsidP="00D706EA">
            <w:pPr>
              <w:rPr>
                <w:rFonts w:ascii="Arial" w:hAnsi="Arial" w:cs="Arial"/>
                <w:i/>
                <w:iCs/>
              </w:rPr>
            </w:pPr>
            <w:r>
              <w:t xml:space="preserve">Revealing this information would have adverse privacy implications for the individuals involved and outweighs any public benefit in disclosing that information. </w:t>
            </w:r>
          </w:p>
          <w:p w14:paraId="68A11799" w14:textId="77777777" w:rsidR="00D706EA" w:rsidRDefault="00D706EA" w:rsidP="00D706EA"/>
        </w:tc>
        <w:tc>
          <w:tcPr>
            <w:tcW w:w="1275" w:type="dxa"/>
            <w:tcBorders>
              <w:bottom w:val="single" w:sz="2" w:space="0" w:color="BFBFBF" w:themeColor="background1" w:themeShade="BF"/>
            </w:tcBorders>
            <w:shd w:val="clear" w:color="auto" w:fill="FFFFFF" w:themeFill="background1"/>
          </w:tcPr>
          <w:p w14:paraId="07132559" w14:textId="26948AF9" w:rsidR="00D706EA" w:rsidRDefault="00D706EA" w:rsidP="00D706EA">
            <w:pPr>
              <w:rPr>
                <w:rFonts w:ascii="Arial" w:hAnsi="Arial" w:cs="Arial"/>
              </w:rPr>
            </w:pPr>
            <w:r>
              <w:t>1 page</w:t>
            </w:r>
          </w:p>
        </w:tc>
      </w:tr>
      <w:tr w:rsidR="00D706EA" w:rsidRPr="00BF5F1E" w14:paraId="0CA9E257"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0A1B7C60" w14:textId="0C3B6892" w:rsidR="00D706EA" w:rsidRDefault="004B15E7" w:rsidP="00D706EA">
            <w:r>
              <w:rPr>
                <w:rFonts w:ascii="Arial" w:hAnsi="Arial" w:cs="Arial"/>
                <w:color w:val="000000"/>
              </w:rPr>
              <w:t>14</w:t>
            </w:r>
            <w:r w:rsidRPr="004B15E7">
              <w:rPr>
                <w:rFonts w:ascii="Arial" w:hAnsi="Arial" w:cs="Arial"/>
                <w:color w:val="000000"/>
                <w:vertAlign w:val="superscript"/>
              </w:rPr>
              <w:t>th</w:t>
            </w:r>
            <w:r>
              <w:rPr>
                <w:rFonts w:ascii="Arial" w:hAnsi="Arial" w:cs="Arial"/>
                <w:color w:val="000000"/>
              </w:rPr>
              <w:t xml:space="preserve"> August </w:t>
            </w:r>
            <w:r w:rsidR="002210BD">
              <w:rPr>
                <w:rFonts w:ascii="Arial" w:hAnsi="Arial" w:cs="Arial"/>
                <w:color w:val="000000"/>
              </w:rPr>
              <w:t xml:space="preserve">2023 </w:t>
            </w:r>
            <w:r>
              <w:rPr>
                <w:rFonts w:ascii="Arial" w:hAnsi="Arial" w:cs="Arial"/>
                <w:color w:val="000000"/>
              </w:rPr>
              <w:t xml:space="preserve">Report - </w:t>
            </w:r>
            <w:r w:rsidR="00D706EA">
              <w:rPr>
                <w:rFonts w:ascii="Arial" w:hAnsi="Arial" w:cs="Arial"/>
                <w:color w:val="000000"/>
              </w:rPr>
              <w:t>Total Out-turn Cost (TOTC) summary, p4</w:t>
            </w:r>
          </w:p>
        </w:tc>
        <w:tc>
          <w:tcPr>
            <w:tcW w:w="1559" w:type="dxa"/>
            <w:tcBorders>
              <w:bottom w:val="single" w:sz="2" w:space="0" w:color="BFBFBF" w:themeColor="background1" w:themeShade="BF"/>
            </w:tcBorders>
            <w:shd w:val="clear" w:color="auto" w:fill="FFFFFF" w:themeFill="background1"/>
          </w:tcPr>
          <w:p w14:paraId="5B7F3455" w14:textId="56F36998" w:rsidR="00D706EA" w:rsidRPr="4DBA6690" w:rsidRDefault="00D706EA" w:rsidP="00D706EA">
            <w:pPr>
              <w:rPr>
                <w:rFonts w:ascii="Arial" w:hAnsi="Arial" w:cs="Arial"/>
              </w:rPr>
            </w:pPr>
            <w:r>
              <w:rPr>
                <w:rFonts w:ascii="Arial" w:hAnsi="Arial" w:cs="Arial"/>
                <w:color w:val="000000"/>
              </w:rPr>
              <w:t>TOTC summary</w:t>
            </w:r>
          </w:p>
        </w:tc>
        <w:tc>
          <w:tcPr>
            <w:tcW w:w="1701" w:type="dxa"/>
            <w:tcBorders>
              <w:bottom w:val="single" w:sz="2" w:space="0" w:color="BFBFBF" w:themeColor="background1" w:themeShade="BF"/>
            </w:tcBorders>
            <w:shd w:val="clear" w:color="auto" w:fill="FFFFFF" w:themeFill="background1"/>
          </w:tcPr>
          <w:p w14:paraId="3A078954" w14:textId="5326CD1A" w:rsidR="00D706EA" w:rsidRDefault="00D706EA" w:rsidP="00D706EA">
            <w:pPr>
              <w:rPr>
                <w:rFonts w:ascii="Arial" w:hAnsi="Arial" w:cs="Arial"/>
                <w:color w:val="000000"/>
              </w:rPr>
            </w:pPr>
            <w:r>
              <w:rPr>
                <w:rFonts w:ascii="Arial" w:hAnsi="Arial" w:cs="Arial"/>
                <w:color w:val="000000"/>
              </w:rPr>
              <w:t>Cost estimate for completion of PEC</w:t>
            </w:r>
          </w:p>
        </w:tc>
        <w:tc>
          <w:tcPr>
            <w:tcW w:w="1559" w:type="dxa"/>
            <w:tcBorders>
              <w:bottom w:val="single" w:sz="2" w:space="0" w:color="BFBFBF" w:themeColor="background1" w:themeShade="BF"/>
            </w:tcBorders>
            <w:shd w:val="clear" w:color="auto" w:fill="FFFFFF" w:themeFill="background1"/>
          </w:tcPr>
          <w:p w14:paraId="4E2C3D4C" w14:textId="129732F8" w:rsidR="00D706EA" w:rsidRDefault="00D706EA" w:rsidP="00D706EA">
            <w:pPr>
              <w:rPr>
                <w:rFonts w:ascii="Arial" w:hAnsi="Arial" w:cs="Arial"/>
                <w:color w:val="000000"/>
              </w:rPr>
            </w:pPr>
            <w:r w:rsidRPr="004B44E8">
              <w:t>Market sensitive cost input</w:t>
            </w:r>
            <w:r>
              <w:t>s /</w:t>
            </w:r>
            <w:r w:rsidRPr="004B44E8">
              <w:t xml:space="preserve"> market intelligence</w:t>
            </w:r>
          </w:p>
        </w:tc>
        <w:tc>
          <w:tcPr>
            <w:tcW w:w="1985" w:type="dxa"/>
            <w:tcBorders>
              <w:bottom w:val="single" w:sz="2" w:space="0" w:color="BFBFBF" w:themeColor="background1" w:themeShade="BF"/>
            </w:tcBorders>
            <w:shd w:val="clear" w:color="auto" w:fill="FFFFFF" w:themeFill="background1"/>
          </w:tcPr>
          <w:p w14:paraId="12386806" w14:textId="4D8B035F" w:rsidR="00D706EA" w:rsidRDefault="00D706EA" w:rsidP="00D706EA">
            <w:r>
              <w:rPr>
                <w:rFonts w:ascii="Arial" w:hAnsi="Arial" w:cs="Arial"/>
              </w:rPr>
              <w:t>Fission’s estimate of the total cost to complete PEC (including an estimate of prolongation costs) by Elecnor Australia under an ‘open book cost plus margin’ model is commercially sensitive to both Transgrid and Elecnor Australia.</w:t>
            </w:r>
          </w:p>
        </w:tc>
        <w:tc>
          <w:tcPr>
            <w:tcW w:w="2551" w:type="dxa"/>
            <w:tcBorders>
              <w:bottom w:val="single" w:sz="2" w:space="0" w:color="BFBFBF" w:themeColor="background1" w:themeShade="BF"/>
            </w:tcBorders>
            <w:shd w:val="clear" w:color="auto" w:fill="FFFFFF" w:themeFill="background1"/>
          </w:tcPr>
          <w:p w14:paraId="690D44F3" w14:textId="55B6CAB3" w:rsidR="00D706EA" w:rsidRPr="00230A6F" w:rsidRDefault="00D706EA" w:rsidP="00D706EA">
            <w:pPr>
              <w:rPr>
                <w:rFonts w:ascii="Arial" w:hAnsi="Arial" w:cs="Arial"/>
              </w:rPr>
            </w:pPr>
            <w:r w:rsidRPr="00230A6F">
              <w:rPr>
                <w:rFonts w:ascii="Arial" w:hAnsi="Arial" w:cs="Arial"/>
              </w:rPr>
              <w:t>Although Transgrid has released the total project cost, the next level of cost detail remains commercially sensitive because it reveals how Transgrid allocates costs across major components of the project</w:t>
            </w:r>
            <w:r w:rsidR="00916037">
              <w:rPr>
                <w:rFonts w:ascii="Arial" w:hAnsi="Arial" w:cs="Arial"/>
              </w:rPr>
              <w:t xml:space="preserve"> and when c</w:t>
            </w:r>
            <w:r w:rsidRPr="00230A6F">
              <w:rPr>
                <w:rFonts w:ascii="Arial" w:hAnsi="Arial" w:cs="Arial"/>
              </w:rPr>
              <w:t xml:space="preserve">ombined with publicly available </w:t>
            </w:r>
            <w:r w:rsidR="00484E75" w:rsidRPr="00230A6F">
              <w:rPr>
                <w:rFonts w:ascii="Arial" w:hAnsi="Arial" w:cs="Arial"/>
              </w:rPr>
              <w:t>information</w:t>
            </w:r>
            <w:r w:rsidR="00484E75">
              <w:rPr>
                <w:rFonts w:ascii="Arial" w:hAnsi="Arial" w:cs="Arial"/>
              </w:rPr>
              <w:t>, third</w:t>
            </w:r>
            <w:r w:rsidR="00D91B09">
              <w:rPr>
                <w:rFonts w:ascii="Arial" w:hAnsi="Arial" w:cs="Arial"/>
              </w:rPr>
              <w:t xml:space="preserve"> parties </w:t>
            </w:r>
            <w:r w:rsidR="003A6EA1">
              <w:rPr>
                <w:rFonts w:ascii="Arial" w:hAnsi="Arial" w:cs="Arial"/>
              </w:rPr>
              <w:t>would have access</w:t>
            </w:r>
            <w:r w:rsidRPr="00230A6F">
              <w:rPr>
                <w:rFonts w:ascii="Arial" w:hAnsi="Arial" w:cs="Arial"/>
              </w:rPr>
              <w:t xml:space="preserve"> to approximate unit rates</w:t>
            </w:r>
            <w:r w:rsidR="003A6EA1">
              <w:rPr>
                <w:rFonts w:ascii="Arial" w:hAnsi="Arial" w:cs="Arial"/>
              </w:rPr>
              <w:t>.</w:t>
            </w:r>
          </w:p>
          <w:p w14:paraId="18FB78BC" w14:textId="5C4A8470" w:rsidR="00D706EA" w:rsidRDefault="00D706EA" w:rsidP="00D706EA">
            <w:r w:rsidRPr="00230A6F">
              <w:rPr>
                <w:rFonts w:ascii="Arial" w:hAnsi="Arial" w:cs="Arial"/>
              </w:rPr>
              <w:lastRenderedPageBreak/>
              <w:t xml:space="preserve">This insight would influence how </w:t>
            </w:r>
            <w:r w:rsidR="003A6EA1">
              <w:rPr>
                <w:rFonts w:ascii="Arial" w:hAnsi="Arial" w:cs="Arial"/>
              </w:rPr>
              <w:t>third parties</w:t>
            </w:r>
            <w:r w:rsidRPr="00230A6F">
              <w:rPr>
                <w:rFonts w:ascii="Arial" w:hAnsi="Arial" w:cs="Arial"/>
              </w:rPr>
              <w:t xml:space="preserve"> approach future tenders. Instead of pricing based on their </w:t>
            </w:r>
            <w:r w:rsidRPr="35CEBB87">
              <w:rPr>
                <w:rFonts w:ascii="Arial" w:hAnsi="Arial" w:cs="Arial"/>
              </w:rPr>
              <w:t>efficient costs</w:t>
            </w:r>
            <w:r w:rsidRPr="00230A6F">
              <w:rPr>
                <w:rFonts w:ascii="Arial" w:hAnsi="Arial" w:cs="Arial"/>
              </w:rPr>
              <w:t xml:space="preserve">, they could shape their bids </w:t>
            </w:r>
            <w:r w:rsidR="00C33329">
              <w:rPr>
                <w:rFonts w:ascii="Arial" w:hAnsi="Arial" w:cs="Arial"/>
              </w:rPr>
              <w:t>these</w:t>
            </w:r>
            <w:r w:rsidRPr="00230A6F">
              <w:rPr>
                <w:rFonts w:ascii="Arial" w:hAnsi="Arial" w:cs="Arial"/>
              </w:rPr>
              <w:t xml:space="preserve"> cost expectations, reducing competitive tension</w:t>
            </w:r>
            <w:r w:rsidR="00C33329">
              <w:rPr>
                <w:rFonts w:ascii="Arial" w:hAnsi="Arial" w:cs="Arial"/>
              </w:rPr>
              <w:t>.</w:t>
            </w:r>
          </w:p>
        </w:tc>
        <w:tc>
          <w:tcPr>
            <w:tcW w:w="2552" w:type="dxa"/>
            <w:tcBorders>
              <w:bottom w:val="single" w:sz="2" w:space="0" w:color="BFBFBF" w:themeColor="background1" w:themeShade="BF"/>
            </w:tcBorders>
            <w:shd w:val="clear" w:color="auto" w:fill="FFFFFF" w:themeFill="background1"/>
          </w:tcPr>
          <w:p w14:paraId="025393E0" w14:textId="5472E619" w:rsidR="00D706EA" w:rsidRDefault="00D706EA" w:rsidP="00D706EA">
            <w:r w:rsidRPr="2582AA55">
              <w:rPr>
                <w:rFonts w:eastAsia="Arial"/>
                <w:color w:val="auto"/>
                <w:lang w:eastAsia="en-AU"/>
              </w:rPr>
              <w:lastRenderedPageBreak/>
              <w:t xml:space="preserve">While some </w:t>
            </w:r>
            <w:r w:rsidRPr="1C281CA2">
              <w:rPr>
                <w:rFonts w:eastAsia="Arial"/>
                <w:color w:val="auto"/>
                <w:lang w:eastAsia="en-AU"/>
              </w:rPr>
              <w:t xml:space="preserve">stakeholders may find </w:t>
            </w:r>
            <w:r w:rsidRPr="7622A284">
              <w:rPr>
                <w:rFonts w:eastAsia="Arial"/>
                <w:color w:val="auto"/>
                <w:lang w:eastAsia="en-AU"/>
              </w:rPr>
              <w:t xml:space="preserve">the additional information of </w:t>
            </w:r>
            <w:r w:rsidRPr="636065CC">
              <w:rPr>
                <w:rFonts w:eastAsia="Arial"/>
                <w:color w:val="auto"/>
                <w:lang w:eastAsia="en-AU"/>
              </w:rPr>
              <w:t>interest</w:t>
            </w:r>
            <w:r w:rsidRPr="41DE9AEE">
              <w:rPr>
                <w:rFonts w:eastAsia="Arial"/>
                <w:color w:val="auto"/>
                <w:lang w:eastAsia="en-AU"/>
              </w:rPr>
              <w:t xml:space="preserve">, </w:t>
            </w:r>
            <w:r w:rsidRPr="2523D713">
              <w:rPr>
                <w:rFonts w:eastAsia="Arial"/>
                <w:color w:val="auto"/>
                <w:lang w:eastAsia="en-AU"/>
              </w:rPr>
              <w:t xml:space="preserve">its </w:t>
            </w:r>
            <w:r w:rsidRPr="2D3832AF">
              <w:rPr>
                <w:rFonts w:eastAsia="Arial"/>
                <w:color w:val="auto"/>
                <w:lang w:eastAsia="en-AU"/>
              </w:rPr>
              <w:t>non-</w:t>
            </w:r>
            <w:r w:rsidRPr="2FA9E780">
              <w:rPr>
                <w:rFonts w:eastAsia="Arial"/>
                <w:color w:val="auto"/>
                <w:lang w:eastAsia="en-AU"/>
              </w:rPr>
              <w:t xml:space="preserve">disclosure will not affect </w:t>
            </w:r>
            <w:r w:rsidRPr="585B2A56">
              <w:rPr>
                <w:rFonts w:eastAsia="Arial"/>
                <w:color w:val="auto"/>
                <w:lang w:eastAsia="en-AU"/>
              </w:rPr>
              <w:t xml:space="preserve">stakeholders’ </w:t>
            </w:r>
            <w:r w:rsidRPr="147FA8B5">
              <w:rPr>
                <w:rFonts w:eastAsia="Arial"/>
                <w:color w:val="auto"/>
                <w:lang w:eastAsia="en-AU"/>
              </w:rPr>
              <w:t xml:space="preserve">ability to understand the </w:t>
            </w:r>
            <w:r w:rsidRPr="6A0CAFB3">
              <w:rPr>
                <w:rFonts w:eastAsia="Arial"/>
                <w:color w:val="auto"/>
                <w:lang w:eastAsia="en-AU"/>
              </w:rPr>
              <w:t xml:space="preserve">Application or to </w:t>
            </w:r>
            <w:r w:rsidRPr="2341B950">
              <w:rPr>
                <w:rFonts w:eastAsia="Arial"/>
                <w:color w:val="auto"/>
                <w:lang w:eastAsia="en-AU"/>
              </w:rPr>
              <w:t xml:space="preserve">engage </w:t>
            </w:r>
            <w:r w:rsidRPr="601F4502">
              <w:rPr>
                <w:rFonts w:eastAsia="Arial"/>
                <w:color w:val="auto"/>
                <w:lang w:eastAsia="en-AU"/>
              </w:rPr>
              <w:t>with</w:t>
            </w:r>
            <w:r w:rsidRPr="2341B950">
              <w:rPr>
                <w:rFonts w:eastAsia="Arial"/>
                <w:color w:val="auto"/>
                <w:lang w:eastAsia="en-AU"/>
              </w:rPr>
              <w:t xml:space="preserve"> the </w:t>
            </w:r>
            <w:r w:rsidRPr="0DEF40B8">
              <w:rPr>
                <w:rFonts w:eastAsia="Arial"/>
                <w:color w:val="auto"/>
                <w:lang w:eastAsia="en-AU"/>
              </w:rPr>
              <w:t xml:space="preserve">AER’s </w:t>
            </w:r>
            <w:r w:rsidRPr="1735E122">
              <w:rPr>
                <w:rFonts w:eastAsia="Arial"/>
                <w:color w:val="auto"/>
                <w:lang w:eastAsia="en-AU"/>
              </w:rPr>
              <w:t xml:space="preserve">consultation process. </w:t>
            </w:r>
            <w:r w:rsidRPr="7D798FD4">
              <w:rPr>
                <w:rFonts w:eastAsia="Arial"/>
                <w:color w:val="auto"/>
                <w:lang w:eastAsia="en-AU"/>
              </w:rPr>
              <w:t xml:space="preserve">On the other hand, the disclosure exposes Transgrid and </w:t>
            </w:r>
            <w:r w:rsidRPr="70C37046">
              <w:rPr>
                <w:rFonts w:eastAsia="Arial"/>
                <w:color w:val="auto"/>
                <w:lang w:eastAsia="en-AU"/>
              </w:rPr>
              <w:t xml:space="preserve">consumers to the </w:t>
            </w:r>
            <w:r w:rsidRPr="4CE26461">
              <w:rPr>
                <w:rFonts w:eastAsia="Arial"/>
                <w:color w:val="auto"/>
                <w:lang w:eastAsia="en-AU"/>
              </w:rPr>
              <w:t xml:space="preserve">risk of less competitive tender </w:t>
            </w:r>
            <w:r w:rsidRPr="4CE26461">
              <w:rPr>
                <w:rFonts w:eastAsia="Arial"/>
                <w:color w:val="auto"/>
                <w:lang w:eastAsia="en-AU"/>
              </w:rPr>
              <w:lastRenderedPageBreak/>
              <w:t xml:space="preserve">processes, and higher </w:t>
            </w:r>
            <w:r w:rsidRPr="1192E74F">
              <w:rPr>
                <w:rFonts w:eastAsia="Arial"/>
                <w:color w:val="auto"/>
                <w:lang w:eastAsia="en-AU"/>
              </w:rPr>
              <w:t xml:space="preserve">contract prices. </w:t>
            </w:r>
          </w:p>
        </w:tc>
        <w:tc>
          <w:tcPr>
            <w:tcW w:w="1275" w:type="dxa"/>
            <w:tcBorders>
              <w:bottom w:val="single" w:sz="2" w:space="0" w:color="BFBFBF" w:themeColor="background1" w:themeShade="BF"/>
            </w:tcBorders>
            <w:shd w:val="clear" w:color="auto" w:fill="FFFFFF" w:themeFill="background1"/>
          </w:tcPr>
          <w:p w14:paraId="5B5CA81A" w14:textId="56F21E3A" w:rsidR="00D706EA" w:rsidRDefault="00D706EA" w:rsidP="00D706EA">
            <w:pPr>
              <w:rPr>
                <w:rFonts w:ascii="Arial" w:hAnsi="Arial" w:cs="Arial"/>
              </w:rPr>
            </w:pPr>
            <w:r>
              <w:lastRenderedPageBreak/>
              <w:t>1 page</w:t>
            </w:r>
          </w:p>
        </w:tc>
      </w:tr>
      <w:tr w:rsidR="00D706EA" w:rsidRPr="00BF5F1E" w14:paraId="56417D30"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217E8C69" w14:textId="3156BC44" w:rsidR="00D706EA" w:rsidRDefault="004B15E7" w:rsidP="00D706EA">
            <w:pPr>
              <w:rPr>
                <w:rFonts w:ascii="Arial" w:hAnsi="Arial" w:cs="Arial"/>
                <w:color w:val="000000"/>
              </w:rPr>
            </w:pPr>
            <w:r>
              <w:rPr>
                <w:rFonts w:ascii="Arial" w:hAnsi="Arial" w:cs="Arial"/>
                <w:color w:val="000000"/>
              </w:rPr>
              <w:t>14</w:t>
            </w:r>
            <w:r w:rsidRPr="004B15E7">
              <w:rPr>
                <w:rFonts w:ascii="Arial" w:hAnsi="Arial" w:cs="Arial"/>
                <w:color w:val="000000"/>
                <w:vertAlign w:val="superscript"/>
              </w:rPr>
              <w:t>th</w:t>
            </w:r>
            <w:r>
              <w:rPr>
                <w:rFonts w:ascii="Arial" w:hAnsi="Arial" w:cs="Arial"/>
                <w:color w:val="000000"/>
              </w:rPr>
              <w:t xml:space="preserve"> August </w:t>
            </w:r>
            <w:r w:rsidR="002210BD">
              <w:rPr>
                <w:rFonts w:ascii="Arial" w:hAnsi="Arial" w:cs="Arial"/>
                <w:color w:val="000000"/>
              </w:rPr>
              <w:t xml:space="preserve">2023 </w:t>
            </w:r>
            <w:r>
              <w:rPr>
                <w:rFonts w:ascii="Arial" w:hAnsi="Arial" w:cs="Arial"/>
                <w:color w:val="000000"/>
              </w:rPr>
              <w:t xml:space="preserve">Report - </w:t>
            </w:r>
            <w:r w:rsidR="00D706EA">
              <w:rPr>
                <w:rFonts w:ascii="Arial" w:hAnsi="Arial" w:cs="Arial"/>
                <w:color w:val="000000"/>
              </w:rPr>
              <w:t xml:space="preserve">The following locations in this document: </w:t>
            </w:r>
          </w:p>
          <w:p w14:paraId="0EDD5CDB" w14:textId="77777777" w:rsidR="00D706EA" w:rsidRDefault="00D706EA" w:rsidP="00D706EA">
            <w:pPr>
              <w:pStyle w:val="ListParagraph"/>
              <w:numPr>
                <w:ilvl w:val="0"/>
                <w:numId w:val="21"/>
              </w:numPr>
              <w:ind w:left="414" w:hanging="357"/>
              <w:rPr>
                <w:rFonts w:ascii="Arial" w:hAnsi="Arial" w:cs="Arial"/>
                <w:color w:val="000000"/>
              </w:rPr>
            </w:pPr>
            <w:r w:rsidRPr="008104B8">
              <w:rPr>
                <w:rFonts w:ascii="Arial" w:hAnsi="Arial" w:cs="Arial"/>
                <w:color w:val="000000"/>
              </w:rPr>
              <w:t>Basis of estimate, p6</w:t>
            </w:r>
            <w:r>
              <w:rPr>
                <w:rFonts w:ascii="Arial" w:hAnsi="Arial" w:cs="Arial"/>
                <w:color w:val="000000"/>
              </w:rPr>
              <w:t xml:space="preserve"> </w:t>
            </w:r>
          </w:p>
          <w:p w14:paraId="5D4006B0" w14:textId="77777777" w:rsidR="00D706EA" w:rsidRDefault="00D706EA" w:rsidP="00D706EA">
            <w:pPr>
              <w:pStyle w:val="ListParagraph"/>
              <w:numPr>
                <w:ilvl w:val="0"/>
                <w:numId w:val="21"/>
              </w:numPr>
              <w:ind w:left="414" w:hanging="357"/>
              <w:rPr>
                <w:rFonts w:ascii="Arial" w:hAnsi="Arial" w:cs="Arial"/>
                <w:color w:val="000000"/>
              </w:rPr>
            </w:pPr>
            <w:r>
              <w:rPr>
                <w:rFonts w:ascii="Arial" w:hAnsi="Arial" w:cs="Arial"/>
                <w:color w:val="000000"/>
              </w:rPr>
              <w:t xml:space="preserve">Section 1 Basis of TOTC Cost Plan, p7-8 </w:t>
            </w:r>
          </w:p>
          <w:p w14:paraId="39FCB6FA" w14:textId="7C4D7290" w:rsidR="00D706EA" w:rsidRDefault="00D706EA" w:rsidP="00D706EA">
            <w:r>
              <w:rPr>
                <w:rFonts w:ascii="Arial" w:hAnsi="Arial" w:cs="Arial"/>
                <w:color w:val="000000"/>
              </w:rPr>
              <w:t xml:space="preserve">Section 4 Risk assumption p8 </w:t>
            </w:r>
          </w:p>
        </w:tc>
        <w:tc>
          <w:tcPr>
            <w:tcW w:w="1559" w:type="dxa"/>
            <w:tcBorders>
              <w:bottom w:val="single" w:sz="2" w:space="0" w:color="BFBFBF" w:themeColor="background1" w:themeShade="BF"/>
            </w:tcBorders>
            <w:shd w:val="clear" w:color="auto" w:fill="FFFFFF" w:themeFill="background1"/>
          </w:tcPr>
          <w:p w14:paraId="2F046405" w14:textId="4230FC58" w:rsidR="00D706EA" w:rsidRPr="4DBA6690" w:rsidRDefault="00D706EA" w:rsidP="00D706EA">
            <w:pPr>
              <w:rPr>
                <w:rFonts w:ascii="Arial" w:hAnsi="Arial" w:cs="Arial"/>
              </w:rPr>
            </w:pPr>
            <w:r>
              <w:rPr>
                <w:rFonts w:ascii="Arial" w:hAnsi="Arial" w:cs="Arial"/>
                <w:color w:val="000000"/>
              </w:rPr>
              <w:t xml:space="preserve">Basis of Estimate </w:t>
            </w:r>
          </w:p>
        </w:tc>
        <w:tc>
          <w:tcPr>
            <w:tcW w:w="1701" w:type="dxa"/>
            <w:tcBorders>
              <w:bottom w:val="single" w:sz="2" w:space="0" w:color="BFBFBF" w:themeColor="background1" w:themeShade="BF"/>
            </w:tcBorders>
            <w:shd w:val="clear" w:color="auto" w:fill="FFFFFF" w:themeFill="background1"/>
          </w:tcPr>
          <w:p w14:paraId="567DED6E" w14:textId="6C4D8386" w:rsidR="00D706EA" w:rsidRDefault="00D706EA" w:rsidP="00D706EA">
            <w:pPr>
              <w:rPr>
                <w:rFonts w:ascii="Arial" w:hAnsi="Arial" w:cs="Arial"/>
                <w:color w:val="000000"/>
              </w:rPr>
            </w:pPr>
            <w:r>
              <w:rPr>
                <w:rFonts w:ascii="Arial" w:hAnsi="Arial" w:cs="Arial"/>
                <w:color w:val="000000"/>
              </w:rPr>
              <w:t>Assumptions</w:t>
            </w:r>
          </w:p>
        </w:tc>
        <w:tc>
          <w:tcPr>
            <w:tcW w:w="1559" w:type="dxa"/>
            <w:tcBorders>
              <w:bottom w:val="single" w:sz="2" w:space="0" w:color="BFBFBF" w:themeColor="background1" w:themeShade="BF"/>
            </w:tcBorders>
            <w:shd w:val="clear" w:color="auto" w:fill="FFFFFF" w:themeFill="background1"/>
          </w:tcPr>
          <w:p w14:paraId="380A7818" w14:textId="74BB976C" w:rsidR="00D706EA" w:rsidRDefault="00D706EA" w:rsidP="00D706EA">
            <w:pPr>
              <w:rPr>
                <w:rFonts w:ascii="Arial" w:hAnsi="Arial" w:cs="Arial"/>
                <w:color w:val="000000"/>
              </w:rPr>
            </w:pPr>
            <w:r w:rsidRPr="004B44E8">
              <w:t>Market sensitive cost input</w:t>
            </w:r>
            <w:r>
              <w:t>s /</w:t>
            </w:r>
            <w:r w:rsidRPr="004B44E8">
              <w:t xml:space="preserve"> market intelligence</w:t>
            </w:r>
          </w:p>
        </w:tc>
        <w:tc>
          <w:tcPr>
            <w:tcW w:w="1985" w:type="dxa"/>
            <w:tcBorders>
              <w:bottom w:val="single" w:sz="2" w:space="0" w:color="BFBFBF" w:themeColor="background1" w:themeShade="BF"/>
            </w:tcBorders>
            <w:shd w:val="clear" w:color="auto" w:fill="FFFFFF" w:themeFill="background1"/>
          </w:tcPr>
          <w:p w14:paraId="04ADF01D" w14:textId="31C7B10D" w:rsidR="00D706EA" w:rsidRDefault="00D706EA" w:rsidP="00D706EA">
            <w:r w:rsidRPr="07BB0F4A">
              <w:rPr>
                <w:rFonts w:ascii="Arial" w:hAnsi="Arial" w:cs="Arial"/>
              </w:rPr>
              <w:t>The basis on which Fission has developed its TOTC estimate, and the assumptions underpinning this (including project risk contingency, completion duration and other program data, certain percentage and rate estimates are commercially sensitive to both Transgrid and Fission</w:t>
            </w:r>
          </w:p>
        </w:tc>
        <w:tc>
          <w:tcPr>
            <w:tcW w:w="2551" w:type="dxa"/>
            <w:tcBorders>
              <w:bottom w:val="single" w:sz="2" w:space="0" w:color="BFBFBF" w:themeColor="background1" w:themeShade="BF"/>
            </w:tcBorders>
            <w:shd w:val="clear" w:color="auto" w:fill="FFFFFF" w:themeFill="background1"/>
          </w:tcPr>
          <w:p w14:paraId="19A12EFD" w14:textId="34F04E42" w:rsidR="00D706EA" w:rsidRPr="00B870EC" w:rsidRDefault="00D706EA" w:rsidP="00D706EA">
            <w:pPr>
              <w:rPr>
                <w:rFonts w:ascii="Arial" w:hAnsi="Arial" w:cs="Arial"/>
              </w:rPr>
            </w:pPr>
            <w:r>
              <w:rPr>
                <w:rFonts w:ascii="Arial" w:hAnsi="Arial" w:cs="Arial"/>
              </w:rPr>
              <w:t xml:space="preserve">The </w:t>
            </w:r>
            <w:r w:rsidRPr="00B870EC">
              <w:rPr>
                <w:rFonts w:ascii="Arial" w:hAnsi="Arial" w:cs="Arial"/>
              </w:rPr>
              <w:t xml:space="preserve">basis of estimate is commercially sensitive because it exposes the internal mechanics of how Transgrid builds up its project costs. It includes assumptions about productivity rates, labour hours, cost per hour, equipment utilisation, subcontractor allowances, contingency logic and risk weightings. </w:t>
            </w:r>
          </w:p>
          <w:p w14:paraId="1FE12F46" w14:textId="01F71BC3" w:rsidR="00D706EA" w:rsidRDefault="000E10D4" w:rsidP="00D706EA">
            <w:r>
              <w:rPr>
                <w:rFonts w:ascii="Arial" w:hAnsi="Arial" w:cs="Arial"/>
              </w:rPr>
              <w:t>Maki9ng this information public</w:t>
            </w:r>
            <w:r w:rsidR="00D706EA" w:rsidRPr="00B870EC">
              <w:rPr>
                <w:rFonts w:ascii="Arial" w:hAnsi="Arial" w:cs="Arial"/>
              </w:rPr>
              <w:t xml:space="preserve"> directly affects future tender behaviour.</w:t>
            </w:r>
          </w:p>
        </w:tc>
        <w:tc>
          <w:tcPr>
            <w:tcW w:w="2552" w:type="dxa"/>
            <w:tcBorders>
              <w:bottom w:val="single" w:sz="2" w:space="0" w:color="BFBFBF" w:themeColor="background1" w:themeShade="BF"/>
            </w:tcBorders>
            <w:shd w:val="clear" w:color="auto" w:fill="FFFFFF" w:themeFill="background1"/>
          </w:tcPr>
          <w:p w14:paraId="1CDF66C0" w14:textId="704CEEC3" w:rsidR="00D706EA" w:rsidRDefault="00D706EA" w:rsidP="00D706EA">
            <w:r w:rsidRPr="6D8C9924">
              <w:rPr>
                <w:rFonts w:ascii="Arial" w:hAnsi="Arial" w:cs="Arial"/>
              </w:rPr>
              <w:t xml:space="preserve">Revealing this information could harm Transgrid’s commercial interests in future tenders as it reveals how Transgrid approaches assumptions for budget preparation. This information is also commercially sensitive for Fission. </w:t>
            </w:r>
            <w:r w:rsidRPr="292E20C9">
              <w:rPr>
                <w:rFonts w:ascii="Arial" w:hAnsi="Arial" w:cs="Arial"/>
              </w:rPr>
              <w:t>As</w:t>
            </w:r>
            <w:r w:rsidRPr="72BB43F0">
              <w:rPr>
                <w:rFonts w:ascii="Arial" w:hAnsi="Arial" w:cs="Arial"/>
              </w:rPr>
              <w:t xml:space="preserve"> noted </w:t>
            </w:r>
            <w:r w:rsidRPr="674ADBBC">
              <w:rPr>
                <w:rFonts w:ascii="Arial" w:hAnsi="Arial" w:cs="Arial"/>
              </w:rPr>
              <w:t xml:space="preserve">above, </w:t>
            </w:r>
            <w:r w:rsidRPr="3877243E">
              <w:rPr>
                <w:rFonts w:ascii="Arial" w:hAnsi="Arial" w:cs="Arial"/>
              </w:rPr>
              <w:t xml:space="preserve">Transgrid does not consider the </w:t>
            </w:r>
            <w:r w:rsidRPr="29FFD1A3">
              <w:rPr>
                <w:rFonts w:ascii="Arial" w:hAnsi="Arial" w:cs="Arial"/>
              </w:rPr>
              <w:t xml:space="preserve">non-disclosure of this detailed information </w:t>
            </w:r>
            <w:r w:rsidRPr="5D3BF6BB">
              <w:rPr>
                <w:rFonts w:ascii="Arial" w:hAnsi="Arial" w:cs="Arial"/>
              </w:rPr>
              <w:t xml:space="preserve">will undermine stakeholders’ </w:t>
            </w:r>
            <w:r w:rsidRPr="3C612455">
              <w:rPr>
                <w:rFonts w:ascii="Arial" w:hAnsi="Arial" w:cs="Arial"/>
              </w:rPr>
              <w:t xml:space="preserve">ability to understand the Application or </w:t>
            </w:r>
            <w:r w:rsidRPr="0D1D6677">
              <w:rPr>
                <w:rFonts w:ascii="Arial" w:hAnsi="Arial" w:cs="Arial"/>
              </w:rPr>
              <w:t xml:space="preserve">to engage with the AER’s consultation </w:t>
            </w:r>
            <w:r w:rsidRPr="20CA5103">
              <w:rPr>
                <w:rFonts w:ascii="Arial" w:hAnsi="Arial" w:cs="Arial"/>
              </w:rPr>
              <w:t xml:space="preserve">process. For that reason, </w:t>
            </w:r>
            <w:r w:rsidRPr="67D8A74F">
              <w:rPr>
                <w:rFonts w:ascii="Arial" w:hAnsi="Arial" w:cs="Arial"/>
              </w:rPr>
              <w:t xml:space="preserve">Transgrid </w:t>
            </w:r>
            <w:r w:rsidRPr="3394DEC3">
              <w:rPr>
                <w:rFonts w:ascii="Arial" w:hAnsi="Arial" w:cs="Arial"/>
              </w:rPr>
              <w:t>considers that this information should</w:t>
            </w:r>
            <w:r w:rsidRPr="31626672">
              <w:rPr>
                <w:rFonts w:ascii="Arial" w:hAnsi="Arial" w:cs="Arial"/>
              </w:rPr>
              <w:t xml:space="preserve"> be redacted.</w:t>
            </w:r>
          </w:p>
        </w:tc>
        <w:tc>
          <w:tcPr>
            <w:tcW w:w="1275" w:type="dxa"/>
            <w:tcBorders>
              <w:bottom w:val="single" w:sz="2" w:space="0" w:color="BFBFBF" w:themeColor="background1" w:themeShade="BF"/>
            </w:tcBorders>
            <w:shd w:val="clear" w:color="auto" w:fill="FFFFFF" w:themeFill="background1"/>
          </w:tcPr>
          <w:p w14:paraId="417590D1" w14:textId="5270B2B6" w:rsidR="00D706EA" w:rsidRDefault="00D706EA" w:rsidP="00D706EA">
            <w:pPr>
              <w:rPr>
                <w:rFonts w:ascii="Arial" w:hAnsi="Arial" w:cs="Arial"/>
              </w:rPr>
            </w:pPr>
            <w:r>
              <w:t>3 pages</w:t>
            </w:r>
          </w:p>
        </w:tc>
      </w:tr>
      <w:tr w:rsidR="00D706EA" w:rsidRPr="00BF5F1E" w14:paraId="15AFD167"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4884E455" w14:textId="0897B580" w:rsidR="00D706EA" w:rsidRDefault="004B15E7" w:rsidP="00D706EA">
            <w:pPr>
              <w:rPr>
                <w:rFonts w:ascii="Arial" w:hAnsi="Arial" w:cs="Arial"/>
                <w:color w:val="000000"/>
              </w:rPr>
            </w:pPr>
            <w:r>
              <w:rPr>
                <w:rFonts w:ascii="Arial" w:hAnsi="Arial" w:cs="Arial"/>
                <w:color w:val="000000"/>
              </w:rPr>
              <w:lastRenderedPageBreak/>
              <w:t>14</w:t>
            </w:r>
            <w:r w:rsidRPr="004B15E7">
              <w:rPr>
                <w:rFonts w:ascii="Arial" w:hAnsi="Arial" w:cs="Arial"/>
                <w:color w:val="000000"/>
                <w:vertAlign w:val="superscript"/>
              </w:rPr>
              <w:t>th</w:t>
            </w:r>
            <w:r>
              <w:rPr>
                <w:rFonts w:ascii="Arial" w:hAnsi="Arial" w:cs="Arial"/>
                <w:color w:val="000000"/>
              </w:rPr>
              <w:t xml:space="preserve"> August </w:t>
            </w:r>
            <w:r w:rsidR="002210BD">
              <w:rPr>
                <w:rFonts w:ascii="Arial" w:hAnsi="Arial" w:cs="Arial"/>
                <w:color w:val="000000"/>
              </w:rPr>
              <w:t xml:space="preserve">2023 </w:t>
            </w:r>
            <w:r>
              <w:rPr>
                <w:rFonts w:ascii="Arial" w:hAnsi="Arial" w:cs="Arial"/>
                <w:color w:val="000000"/>
              </w:rPr>
              <w:t xml:space="preserve">Report - </w:t>
            </w:r>
            <w:r w:rsidR="00D706EA">
              <w:rPr>
                <w:rFonts w:ascii="Arial" w:hAnsi="Arial" w:cs="Arial"/>
                <w:color w:val="000000"/>
              </w:rPr>
              <w:t xml:space="preserve">The following locations in this document: </w:t>
            </w:r>
          </w:p>
          <w:p w14:paraId="2D386028" w14:textId="77777777" w:rsidR="00D706EA" w:rsidRDefault="00D706EA" w:rsidP="00D706EA">
            <w:pPr>
              <w:pStyle w:val="ListParagraph"/>
              <w:numPr>
                <w:ilvl w:val="0"/>
                <w:numId w:val="21"/>
              </w:numPr>
              <w:ind w:left="414" w:hanging="357"/>
              <w:rPr>
                <w:rFonts w:ascii="Arial" w:hAnsi="Arial" w:cs="Arial"/>
                <w:color w:val="000000"/>
              </w:rPr>
            </w:pPr>
            <w:r>
              <w:rPr>
                <w:rFonts w:ascii="Arial" w:hAnsi="Arial" w:cs="Arial"/>
                <w:color w:val="000000"/>
              </w:rPr>
              <w:t>TOTC Summary, p4</w:t>
            </w:r>
          </w:p>
          <w:p w14:paraId="66CD98C0" w14:textId="77777777" w:rsidR="00D706EA" w:rsidRPr="00AC5B90" w:rsidRDefault="00D706EA" w:rsidP="00D706EA">
            <w:pPr>
              <w:pStyle w:val="ListParagraph"/>
              <w:numPr>
                <w:ilvl w:val="0"/>
                <w:numId w:val="21"/>
              </w:numPr>
              <w:ind w:left="414" w:hanging="357"/>
              <w:rPr>
                <w:rFonts w:ascii="Arial" w:hAnsi="Arial" w:cs="Arial"/>
                <w:color w:val="000000"/>
              </w:rPr>
            </w:pPr>
            <w:r w:rsidRPr="00AC5B90">
              <w:rPr>
                <w:rFonts w:ascii="Arial" w:hAnsi="Arial" w:cs="Arial"/>
                <w:color w:val="000000"/>
              </w:rPr>
              <w:t>Transgrid cost plan estimate methodology</w:t>
            </w:r>
            <w:r>
              <w:rPr>
                <w:rFonts w:ascii="Arial" w:hAnsi="Arial" w:cs="Arial"/>
                <w:color w:val="000000"/>
              </w:rPr>
              <w:t>,</w:t>
            </w:r>
            <w:r w:rsidRPr="00AC5B90">
              <w:rPr>
                <w:rFonts w:ascii="Arial" w:hAnsi="Arial" w:cs="Arial"/>
                <w:color w:val="000000"/>
              </w:rPr>
              <w:t xml:space="preserve"> p</w:t>
            </w:r>
            <w:r>
              <w:rPr>
                <w:rFonts w:ascii="Arial" w:hAnsi="Arial" w:cs="Arial"/>
                <w:color w:val="000000"/>
              </w:rPr>
              <w:t>5</w:t>
            </w:r>
          </w:p>
          <w:p w14:paraId="1F53305C" w14:textId="7869DCC2" w:rsidR="00D706EA" w:rsidRDefault="00D706EA" w:rsidP="00D706EA">
            <w:r>
              <w:rPr>
                <w:rFonts w:ascii="Arial" w:hAnsi="Arial" w:cs="Arial"/>
                <w:color w:val="000000"/>
              </w:rPr>
              <w:t>Section 5 Program assumption p9</w:t>
            </w:r>
          </w:p>
        </w:tc>
        <w:tc>
          <w:tcPr>
            <w:tcW w:w="1559" w:type="dxa"/>
            <w:tcBorders>
              <w:bottom w:val="single" w:sz="2" w:space="0" w:color="BFBFBF" w:themeColor="background1" w:themeShade="BF"/>
            </w:tcBorders>
            <w:shd w:val="clear" w:color="auto" w:fill="FFFFFF" w:themeFill="background1"/>
          </w:tcPr>
          <w:p w14:paraId="5572FF2E" w14:textId="7EA6F4A1" w:rsidR="00D706EA" w:rsidRPr="4DBA6690" w:rsidRDefault="00533276" w:rsidP="00D706EA">
            <w:pPr>
              <w:rPr>
                <w:rFonts w:ascii="Arial" w:hAnsi="Arial" w:cs="Arial"/>
              </w:rPr>
            </w:pPr>
            <w:r>
              <w:t>Forecast p</w:t>
            </w:r>
            <w:r w:rsidR="00D706EA">
              <w:t xml:space="preserve">ractical completion dates </w:t>
            </w:r>
            <w:r w:rsidR="005C0FDA">
              <w:t xml:space="preserve">for </w:t>
            </w:r>
            <w:r w:rsidR="00850A8D">
              <w:t>scenario analysis</w:t>
            </w:r>
          </w:p>
        </w:tc>
        <w:tc>
          <w:tcPr>
            <w:tcW w:w="1701" w:type="dxa"/>
            <w:tcBorders>
              <w:bottom w:val="single" w:sz="2" w:space="0" w:color="BFBFBF" w:themeColor="background1" w:themeShade="BF"/>
            </w:tcBorders>
            <w:shd w:val="clear" w:color="auto" w:fill="FFFFFF" w:themeFill="background1"/>
          </w:tcPr>
          <w:p w14:paraId="37B465AC" w14:textId="21E09EE1" w:rsidR="00D706EA" w:rsidRDefault="005C0FDA" w:rsidP="00D706EA">
            <w:pPr>
              <w:rPr>
                <w:rFonts w:ascii="Arial" w:hAnsi="Arial" w:cs="Arial"/>
                <w:color w:val="000000"/>
              </w:rPr>
            </w:pPr>
            <w:r>
              <w:rPr>
                <w:rFonts w:ascii="Arial" w:hAnsi="Arial" w:cs="Arial"/>
                <w:color w:val="000000"/>
              </w:rPr>
              <w:t>Assumptions</w:t>
            </w:r>
          </w:p>
        </w:tc>
        <w:tc>
          <w:tcPr>
            <w:tcW w:w="1559" w:type="dxa"/>
            <w:tcBorders>
              <w:bottom w:val="single" w:sz="2" w:space="0" w:color="BFBFBF" w:themeColor="background1" w:themeShade="BF"/>
            </w:tcBorders>
            <w:shd w:val="clear" w:color="auto" w:fill="FFFFFF" w:themeFill="background1"/>
          </w:tcPr>
          <w:p w14:paraId="1EAD48C9" w14:textId="09B5E76A" w:rsidR="00D706EA" w:rsidRDefault="00D706EA" w:rsidP="00D706EA">
            <w:pPr>
              <w:rPr>
                <w:rFonts w:ascii="Arial" w:hAnsi="Arial" w:cs="Arial"/>
                <w:color w:val="000000"/>
              </w:rPr>
            </w:pPr>
            <w:r>
              <w:t>Market intelligence</w:t>
            </w:r>
          </w:p>
        </w:tc>
        <w:tc>
          <w:tcPr>
            <w:tcW w:w="1985" w:type="dxa"/>
            <w:tcBorders>
              <w:bottom w:val="single" w:sz="2" w:space="0" w:color="BFBFBF" w:themeColor="background1" w:themeShade="BF"/>
            </w:tcBorders>
            <w:shd w:val="clear" w:color="auto" w:fill="FFFFFF" w:themeFill="background1"/>
          </w:tcPr>
          <w:p w14:paraId="78CDFD90" w14:textId="227B8854" w:rsidR="00D706EA" w:rsidRDefault="00D706EA" w:rsidP="00D706EA">
            <w:r>
              <w:t>The information reveals re-forecast practical completion dates which are confidential and commercially sensitive to Transgrid and Elecnor Australia.</w:t>
            </w:r>
          </w:p>
        </w:tc>
        <w:tc>
          <w:tcPr>
            <w:tcW w:w="2551" w:type="dxa"/>
            <w:tcBorders>
              <w:bottom w:val="single" w:sz="2" w:space="0" w:color="BFBFBF" w:themeColor="background1" w:themeShade="BF"/>
            </w:tcBorders>
            <w:shd w:val="clear" w:color="auto" w:fill="FFFFFF" w:themeFill="background1"/>
          </w:tcPr>
          <w:p w14:paraId="7829C88B" w14:textId="1CF1089B" w:rsidR="00D706EA" w:rsidRDefault="00D706EA" w:rsidP="00D706EA">
            <w:r>
              <w:t>While Transgrid can safely disclose the overall program dates</w:t>
            </w:r>
            <w:r w:rsidR="00E97E3C">
              <w:t xml:space="preserve"> and the </w:t>
            </w:r>
            <w:r w:rsidR="002046D8">
              <w:t>actual Separable Portions dates in both the EPC and ICCC</w:t>
            </w:r>
            <w:r>
              <w:t xml:space="preserve">, the next level of program detail </w:t>
            </w:r>
            <w:r w:rsidR="00B16E70">
              <w:t>in estimates</w:t>
            </w:r>
            <w:r>
              <w:t xml:space="preserve"> </w:t>
            </w:r>
            <w:r w:rsidR="00F97668">
              <w:t>for</w:t>
            </w:r>
            <w:r w:rsidR="00407A12">
              <w:t xml:space="preserve"> forecast assumptions </w:t>
            </w:r>
            <w:r>
              <w:t xml:space="preserve">becomes commercially sensitive because it reveals the assumptions that underpin Transgrid’s scheduling logic. </w:t>
            </w:r>
          </w:p>
          <w:p w14:paraId="11858682" w14:textId="728CFAAB" w:rsidR="00D706EA" w:rsidRDefault="00D706EA" w:rsidP="00D706EA">
            <w:r>
              <w:t xml:space="preserve">This would influence how </w:t>
            </w:r>
            <w:r w:rsidR="0031015D">
              <w:t xml:space="preserve">third </w:t>
            </w:r>
            <w:r w:rsidR="00753478">
              <w:t>parties</w:t>
            </w:r>
            <w:r>
              <w:t xml:space="preserve"> price risk, allocate resources and structure their bids. modelling rather than delivering the best value.</w:t>
            </w:r>
          </w:p>
        </w:tc>
        <w:tc>
          <w:tcPr>
            <w:tcW w:w="2552" w:type="dxa"/>
            <w:tcBorders>
              <w:bottom w:val="single" w:sz="2" w:space="0" w:color="BFBFBF" w:themeColor="background1" w:themeShade="BF"/>
            </w:tcBorders>
            <w:shd w:val="clear" w:color="auto" w:fill="FFFFFF" w:themeFill="background1"/>
          </w:tcPr>
          <w:p w14:paraId="4A85F32E" w14:textId="4D0D1471" w:rsidR="00D706EA" w:rsidRDefault="00D706EA" w:rsidP="00D706EA">
            <w:r w:rsidRPr="645F6000">
              <w:rPr>
                <w:rFonts w:ascii="Arial" w:hAnsi="Arial" w:cs="Arial"/>
              </w:rPr>
              <w:t>Revealing this information could harm Transgrid’s commercial interests in future negotiations as it reveals how Transgrid approaches commercial negotiations</w:t>
            </w:r>
            <w:r w:rsidR="00623441">
              <w:rPr>
                <w:rFonts w:ascii="Arial" w:hAnsi="Arial" w:cs="Arial"/>
              </w:rPr>
              <w:t xml:space="preserve">. It </w:t>
            </w:r>
            <w:r w:rsidRPr="645F6000">
              <w:rPr>
                <w:rFonts w:ascii="Arial" w:hAnsi="Arial" w:cs="Arial"/>
              </w:rPr>
              <w:t xml:space="preserve">could </w:t>
            </w:r>
            <w:r w:rsidR="00623441">
              <w:rPr>
                <w:rFonts w:ascii="Arial" w:hAnsi="Arial" w:cs="Arial"/>
              </w:rPr>
              <w:t xml:space="preserve">also </w:t>
            </w:r>
            <w:r w:rsidRPr="645F6000">
              <w:rPr>
                <w:rFonts w:ascii="Arial" w:hAnsi="Arial" w:cs="Arial"/>
              </w:rPr>
              <w:t xml:space="preserve">give rise to claims for non-delivery if there are factors impacting the delivery of the practical completion milestones. </w:t>
            </w:r>
            <w:r w:rsidRPr="3C675389">
              <w:rPr>
                <w:rFonts w:ascii="Arial" w:hAnsi="Arial" w:cs="Arial"/>
              </w:rPr>
              <w:t xml:space="preserve">While the disclosure of this information may be of interest to some </w:t>
            </w:r>
            <w:r w:rsidRPr="73919A96">
              <w:rPr>
                <w:rFonts w:ascii="Arial" w:hAnsi="Arial" w:cs="Arial"/>
              </w:rPr>
              <w:t xml:space="preserve">stakeholders it </w:t>
            </w:r>
            <w:r w:rsidRPr="459D4750">
              <w:rPr>
                <w:rFonts w:ascii="Arial" w:hAnsi="Arial" w:cs="Arial"/>
              </w:rPr>
              <w:t xml:space="preserve">has limited </w:t>
            </w:r>
            <w:r w:rsidRPr="29E7101D">
              <w:rPr>
                <w:rFonts w:ascii="Arial" w:hAnsi="Arial" w:cs="Arial"/>
              </w:rPr>
              <w:t xml:space="preserve">direct </w:t>
            </w:r>
            <w:r w:rsidRPr="13DD92B0">
              <w:rPr>
                <w:rFonts w:ascii="Arial" w:hAnsi="Arial" w:cs="Arial"/>
              </w:rPr>
              <w:t xml:space="preserve">relevance to the </w:t>
            </w:r>
            <w:r w:rsidRPr="29E7101D">
              <w:rPr>
                <w:rFonts w:ascii="Arial" w:hAnsi="Arial" w:cs="Arial"/>
              </w:rPr>
              <w:t>Application</w:t>
            </w:r>
            <w:r w:rsidRPr="1015893B">
              <w:rPr>
                <w:rFonts w:ascii="Arial" w:hAnsi="Arial" w:cs="Arial"/>
              </w:rPr>
              <w:t xml:space="preserve">. </w:t>
            </w:r>
            <w:r w:rsidRPr="7A24610E">
              <w:rPr>
                <w:rFonts w:ascii="Arial" w:hAnsi="Arial" w:cs="Arial"/>
              </w:rPr>
              <w:t>For that reason, Transgrid considers that this information should be redacted.</w:t>
            </w:r>
            <w:r w:rsidRPr="42CBBE9A">
              <w:rPr>
                <w:rFonts w:ascii="Arial" w:hAnsi="Arial" w:cs="Arial"/>
              </w:rPr>
              <w:t xml:space="preserve"> </w:t>
            </w:r>
          </w:p>
        </w:tc>
        <w:tc>
          <w:tcPr>
            <w:tcW w:w="1275" w:type="dxa"/>
            <w:tcBorders>
              <w:bottom w:val="single" w:sz="2" w:space="0" w:color="BFBFBF" w:themeColor="background1" w:themeShade="BF"/>
            </w:tcBorders>
            <w:shd w:val="clear" w:color="auto" w:fill="FFFFFF" w:themeFill="background1"/>
          </w:tcPr>
          <w:p w14:paraId="0FCF1045" w14:textId="3F23528A" w:rsidR="00D706EA" w:rsidRDefault="00D706EA" w:rsidP="00D706EA">
            <w:pPr>
              <w:rPr>
                <w:rFonts w:ascii="Arial" w:hAnsi="Arial" w:cs="Arial"/>
              </w:rPr>
            </w:pPr>
            <w:r>
              <w:t>3 pages</w:t>
            </w:r>
          </w:p>
        </w:tc>
      </w:tr>
      <w:tr w:rsidR="00D706EA" w:rsidRPr="00BF5F1E" w14:paraId="05A895B5"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5738208C" w14:textId="640593DB" w:rsidR="00D706EA" w:rsidRDefault="004B15E7" w:rsidP="00D706EA">
            <w:r>
              <w:rPr>
                <w:rFonts w:ascii="Arial" w:hAnsi="Arial" w:cs="Arial"/>
                <w:color w:val="000000"/>
              </w:rPr>
              <w:t>14</w:t>
            </w:r>
            <w:r w:rsidRPr="004B15E7">
              <w:rPr>
                <w:rFonts w:ascii="Arial" w:hAnsi="Arial" w:cs="Arial"/>
                <w:color w:val="000000"/>
                <w:vertAlign w:val="superscript"/>
              </w:rPr>
              <w:t>th</w:t>
            </w:r>
            <w:r>
              <w:rPr>
                <w:rFonts w:ascii="Arial" w:hAnsi="Arial" w:cs="Arial"/>
                <w:color w:val="000000"/>
              </w:rPr>
              <w:t xml:space="preserve"> August </w:t>
            </w:r>
            <w:r w:rsidR="002210BD">
              <w:rPr>
                <w:rFonts w:ascii="Arial" w:hAnsi="Arial" w:cs="Arial"/>
                <w:color w:val="000000"/>
              </w:rPr>
              <w:t xml:space="preserve">2023 </w:t>
            </w:r>
            <w:r>
              <w:rPr>
                <w:rFonts w:ascii="Arial" w:hAnsi="Arial" w:cs="Arial"/>
                <w:color w:val="000000"/>
              </w:rPr>
              <w:t xml:space="preserve">Report - </w:t>
            </w:r>
            <w:r w:rsidR="00D706EA">
              <w:rPr>
                <w:rFonts w:ascii="Arial" w:hAnsi="Arial" w:cs="Arial"/>
                <w:color w:val="000000"/>
              </w:rPr>
              <w:t>Benchmarking, p10</w:t>
            </w:r>
          </w:p>
        </w:tc>
        <w:tc>
          <w:tcPr>
            <w:tcW w:w="1559" w:type="dxa"/>
            <w:tcBorders>
              <w:bottom w:val="single" w:sz="2" w:space="0" w:color="BFBFBF" w:themeColor="background1" w:themeShade="BF"/>
            </w:tcBorders>
            <w:shd w:val="clear" w:color="auto" w:fill="FFFFFF" w:themeFill="background1"/>
          </w:tcPr>
          <w:p w14:paraId="1F45741A" w14:textId="451FAA16" w:rsidR="00D706EA" w:rsidRPr="4DBA6690" w:rsidRDefault="00D706EA" w:rsidP="00D706EA">
            <w:pPr>
              <w:rPr>
                <w:rFonts w:ascii="Arial" w:hAnsi="Arial" w:cs="Arial"/>
              </w:rPr>
            </w:pPr>
            <w:r>
              <w:rPr>
                <w:rFonts w:ascii="Arial" w:hAnsi="Arial" w:cs="Arial"/>
                <w:color w:val="000000"/>
              </w:rPr>
              <w:t>D&amp;C cost benchmarking</w:t>
            </w:r>
          </w:p>
        </w:tc>
        <w:tc>
          <w:tcPr>
            <w:tcW w:w="1701" w:type="dxa"/>
            <w:tcBorders>
              <w:bottom w:val="single" w:sz="2" w:space="0" w:color="BFBFBF" w:themeColor="background1" w:themeShade="BF"/>
            </w:tcBorders>
            <w:shd w:val="clear" w:color="auto" w:fill="FFFFFF" w:themeFill="background1"/>
          </w:tcPr>
          <w:p w14:paraId="4683C9BC" w14:textId="6ACCE01C" w:rsidR="00D706EA" w:rsidRDefault="00D706EA" w:rsidP="00D706EA">
            <w:pPr>
              <w:rPr>
                <w:rFonts w:ascii="Arial" w:hAnsi="Arial" w:cs="Arial"/>
                <w:color w:val="000000"/>
              </w:rPr>
            </w:pPr>
            <w:r>
              <w:rPr>
                <w:rFonts w:ascii="Arial" w:hAnsi="Arial" w:cs="Arial"/>
                <w:color w:val="000000"/>
              </w:rPr>
              <w:t>Transmission project costs</w:t>
            </w:r>
          </w:p>
        </w:tc>
        <w:tc>
          <w:tcPr>
            <w:tcW w:w="1559" w:type="dxa"/>
            <w:tcBorders>
              <w:bottom w:val="single" w:sz="2" w:space="0" w:color="BFBFBF" w:themeColor="background1" w:themeShade="BF"/>
            </w:tcBorders>
            <w:shd w:val="clear" w:color="auto" w:fill="FFFFFF" w:themeFill="background1"/>
          </w:tcPr>
          <w:p w14:paraId="48DF054B" w14:textId="50BE955F" w:rsidR="00D706EA" w:rsidRDefault="00D706EA" w:rsidP="00D706EA">
            <w:pPr>
              <w:rPr>
                <w:rFonts w:ascii="Arial" w:hAnsi="Arial" w:cs="Arial"/>
                <w:color w:val="000000"/>
              </w:rPr>
            </w:pPr>
            <w:r>
              <w:rPr>
                <w:rFonts w:ascii="Arial" w:hAnsi="Arial" w:cs="Arial"/>
                <w:color w:val="000000"/>
              </w:rPr>
              <w:t>Market sensitive cost inputs</w:t>
            </w:r>
          </w:p>
        </w:tc>
        <w:tc>
          <w:tcPr>
            <w:tcW w:w="1985" w:type="dxa"/>
            <w:tcBorders>
              <w:bottom w:val="single" w:sz="2" w:space="0" w:color="BFBFBF" w:themeColor="background1" w:themeShade="BF"/>
            </w:tcBorders>
            <w:shd w:val="clear" w:color="auto" w:fill="FFFFFF" w:themeFill="background1"/>
          </w:tcPr>
          <w:p w14:paraId="2EDAD97A" w14:textId="3A753973" w:rsidR="00D706EA" w:rsidRDefault="00D706EA" w:rsidP="00D706EA">
            <w:r w:rsidRPr="2607D4C4">
              <w:rPr>
                <w:rFonts w:ascii="Arial" w:hAnsi="Arial" w:cs="Arial"/>
              </w:rPr>
              <w:t>Benchmarking is confidential and commercially sensitive.</w:t>
            </w:r>
          </w:p>
        </w:tc>
        <w:tc>
          <w:tcPr>
            <w:tcW w:w="2551" w:type="dxa"/>
            <w:tcBorders>
              <w:bottom w:val="single" w:sz="2" w:space="0" w:color="BFBFBF" w:themeColor="background1" w:themeShade="BF"/>
            </w:tcBorders>
            <w:shd w:val="clear" w:color="auto" w:fill="FFFFFF" w:themeFill="background1"/>
          </w:tcPr>
          <w:p w14:paraId="1CD5DEE3" w14:textId="0BD2565A" w:rsidR="00D706EA" w:rsidRDefault="00D706EA" w:rsidP="00D706EA">
            <w:r w:rsidRPr="2607D4C4">
              <w:rPr>
                <w:rFonts w:ascii="Arial" w:hAnsi="Arial" w:cs="Arial"/>
              </w:rPr>
              <w:t xml:space="preserve">Disclosing benchmarking costs would give contractors and other participants in the market insight into Transgrid and third parties internal cost structures, budgets, and willingness to pay costs. </w:t>
            </w:r>
            <w:r w:rsidRPr="00A50E4F">
              <w:rPr>
                <w:rFonts w:ascii="Arial" w:hAnsi="Arial" w:cs="Arial"/>
              </w:rPr>
              <w:t xml:space="preserve">Instead of competing on genuine efficiency, they </w:t>
            </w:r>
            <w:r w:rsidRPr="00A50E4F">
              <w:rPr>
                <w:rFonts w:ascii="Arial" w:hAnsi="Arial" w:cs="Arial"/>
              </w:rPr>
              <w:lastRenderedPageBreak/>
              <w:t>can simply price just below the benchmark</w:t>
            </w:r>
            <w:r>
              <w:rPr>
                <w:rFonts w:ascii="Arial" w:hAnsi="Arial" w:cs="Arial"/>
              </w:rPr>
              <w:t xml:space="preserve">. </w:t>
            </w:r>
            <w:r w:rsidRPr="2607D4C4">
              <w:rPr>
                <w:rFonts w:ascii="Arial" w:hAnsi="Arial" w:cs="Arial"/>
              </w:rPr>
              <w:t>This would weaken Transgrid’s bargaining positions and increase the cost of future contracts. Those higher costs would ultimately flow through to consumers.</w:t>
            </w:r>
          </w:p>
        </w:tc>
        <w:tc>
          <w:tcPr>
            <w:tcW w:w="2552" w:type="dxa"/>
            <w:tcBorders>
              <w:bottom w:val="single" w:sz="2" w:space="0" w:color="BFBFBF" w:themeColor="background1" w:themeShade="BF"/>
            </w:tcBorders>
            <w:shd w:val="clear" w:color="auto" w:fill="FFFFFF" w:themeFill="background1"/>
          </w:tcPr>
          <w:p w14:paraId="53D45B78" w14:textId="6394097A" w:rsidR="00D706EA" w:rsidRDefault="00D706EA" w:rsidP="00D706EA">
            <w:r w:rsidRPr="5CD9D928">
              <w:rPr>
                <w:rFonts w:ascii="Arial" w:hAnsi="Arial" w:cs="Arial"/>
              </w:rPr>
              <w:lastRenderedPageBreak/>
              <w:t xml:space="preserve">There is significant public benefit in maintaining the confidentiality </w:t>
            </w:r>
            <w:r w:rsidRPr="46CF03FF">
              <w:rPr>
                <w:rFonts w:ascii="Arial" w:hAnsi="Arial" w:cs="Arial"/>
              </w:rPr>
              <w:t>of Transgrid</w:t>
            </w:r>
            <w:r>
              <w:rPr>
                <w:rFonts w:ascii="Arial" w:hAnsi="Arial" w:cs="Arial"/>
              </w:rPr>
              <w:t xml:space="preserve"> and others’</w:t>
            </w:r>
            <w:r w:rsidRPr="46CF03FF">
              <w:rPr>
                <w:rFonts w:ascii="Arial" w:hAnsi="Arial" w:cs="Arial"/>
              </w:rPr>
              <w:t xml:space="preserve"> benchmarking costs and other </w:t>
            </w:r>
            <w:r w:rsidRPr="14097088">
              <w:rPr>
                <w:rFonts w:ascii="Arial" w:hAnsi="Arial" w:cs="Arial"/>
              </w:rPr>
              <w:t xml:space="preserve">commercially sensitive information, as this ensures that Transgrid </w:t>
            </w:r>
            <w:r>
              <w:rPr>
                <w:rFonts w:ascii="Arial" w:hAnsi="Arial" w:cs="Arial"/>
              </w:rPr>
              <w:t xml:space="preserve">and other TNSPs </w:t>
            </w:r>
            <w:r w:rsidRPr="14097088">
              <w:rPr>
                <w:rFonts w:ascii="Arial" w:hAnsi="Arial" w:cs="Arial"/>
              </w:rPr>
              <w:t xml:space="preserve">can obtain </w:t>
            </w:r>
            <w:r w:rsidRPr="14097088">
              <w:rPr>
                <w:rFonts w:ascii="Arial" w:hAnsi="Arial" w:cs="Arial"/>
              </w:rPr>
              <w:lastRenderedPageBreak/>
              <w:t xml:space="preserve">competitive pricing in future projects and maintain consumer </w:t>
            </w:r>
            <w:r w:rsidRPr="4B04C93B">
              <w:rPr>
                <w:rFonts w:ascii="Arial" w:hAnsi="Arial" w:cs="Arial"/>
              </w:rPr>
              <w:t>affordability.</w:t>
            </w:r>
            <w:r w:rsidRPr="5CD9D928">
              <w:rPr>
                <w:rFonts w:ascii="Arial" w:hAnsi="Arial" w:cs="Arial"/>
              </w:rPr>
              <w:t xml:space="preserve"> </w:t>
            </w:r>
          </w:p>
        </w:tc>
        <w:tc>
          <w:tcPr>
            <w:tcW w:w="1275" w:type="dxa"/>
            <w:tcBorders>
              <w:bottom w:val="single" w:sz="2" w:space="0" w:color="BFBFBF" w:themeColor="background1" w:themeShade="BF"/>
            </w:tcBorders>
            <w:shd w:val="clear" w:color="auto" w:fill="FFFFFF" w:themeFill="background1"/>
          </w:tcPr>
          <w:p w14:paraId="14C5DC7E" w14:textId="413C6609" w:rsidR="00D706EA" w:rsidRDefault="00D706EA" w:rsidP="00D706EA">
            <w:pPr>
              <w:rPr>
                <w:rFonts w:ascii="Arial" w:hAnsi="Arial" w:cs="Arial"/>
              </w:rPr>
            </w:pPr>
            <w:r>
              <w:lastRenderedPageBreak/>
              <w:t>1 page</w:t>
            </w:r>
          </w:p>
        </w:tc>
      </w:tr>
      <w:tr w:rsidR="00540BEC" w:rsidRPr="00BF5F1E" w14:paraId="4748BDA7"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41B4815C" w14:textId="4C0E837F" w:rsidR="00540BEC" w:rsidRDefault="00540BEC" w:rsidP="00540BEC">
            <w:r>
              <w:rPr>
                <w:rFonts w:ascii="Arial" w:hAnsi="Arial" w:cs="Arial"/>
                <w:color w:val="000000"/>
              </w:rPr>
              <w:t>17</w:t>
            </w:r>
            <w:r w:rsidRPr="004B15E7">
              <w:rPr>
                <w:rFonts w:ascii="Arial" w:hAnsi="Arial" w:cs="Arial"/>
                <w:color w:val="000000"/>
                <w:vertAlign w:val="superscript"/>
              </w:rPr>
              <w:t>th</w:t>
            </w:r>
            <w:r>
              <w:rPr>
                <w:rFonts w:ascii="Arial" w:hAnsi="Arial" w:cs="Arial"/>
                <w:color w:val="000000"/>
              </w:rPr>
              <w:t xml:space="preserve"> August 2023 Report - Executive Summary, p3</w:t>
            </w:r>
          </w:p>
        </w:tc>
        <w:tc>
          <w:tcPr>
            <w:tcW w:w="1559" w:type="dxa"/>
            <w:tcBorders>
              <w:bottom w:val="single" w:sz="2" w:space="0" w:color="BFBFBF" w:themeColor="background1" w:themeShade="BF"/>
            </w:tcBorders>
            <w:shd w:val="clear" w:color="auto" w:fill="FFFFFF" w:themeFill="background1"/>
          </w:tcPr>
          <w:p w14:paraId="44D38CB3" w14:textId="1F41BFCE" w:rsidR="00540BEC" w:rsidRPr="4DBA6690" w:rsidRDefault="00540BEC" w:rsidP="00540BEC">
            <w:pPr>
              <w:rPr>
                <w:rFonts w:ascii="Arial" w:hAnsi="Arial" w:cs="Arial"/>
              </w:rPr>
            </w:pPr>
            <w:r>
              <w:rPr>
                <w:rFonts w:ascii="Arial" w:hAnsi="Arial" w:cs="Arial"/>
                <w:color w:val="000000"/>
              </w:rPr>
              <w:t>Individual names</w:t>
            </w:r>
          </w:p>
        </w:tc>
        <w:tc>
          <w:tcPr>
            <w:tcW w:w="1701" w:type="dxa"/>
            <w:tcBorders>
              <w:bottom w:val="single" w:sz="2" w:space="0" w:color="BFBFBF" w:themeColor="background1" w:themeShade="BF"/>
            </w:tcBorders>
            <w:shd w:val="clear" w:color="auto" w:fill="FFFFFF" w:themeFill="background1"/>
          </w:tcPr>
          <w:p w14:paraId="02C9868C" w14:textId="38680D11" w:rsidR="00540BEC" w:rsidRDefault="00540BEC" w:rsidP="00540BEC">
            <w:pPr>
              <w:rPr>
                <w:rFonts w:ascii="Arial" w:hAnsi="Arial" w:cs="Arial"/>
                <w:color w:val="000000"/>
              </w:rPr>
            </w:pPr>
            <w:r>
              <w:rPr>
                <w:rFonts w:ascii="Arial" w:hAnsi="Arial" w:cs="Arial"/>
                <w:color w:val="000000"/>
              </w:rPr>
              <w:t>Individual details</w:t>
            </w:r>
          </w:p>
        </w:tc>
        <w:tc>
          <w:tcPr>
            <w:tcW w:w="1559" w:type="dxa"/>
            <w:tcBorders>
              <w:bottom w:val="single" w:sz="2" w:space="0" w:color="BFBFBF" w:themeColor="background1" w:themeShade="BF"/>
            </w:tcBorders>
            <w:shd w:val="clear" w:color="auto" w:fill="FFFFFF" w:themeFill="background1"/>
          </w:tcPr>
          <w:p w14:paraId="083B6255" w14:textId="0ACA06BE" w:rsidR="00540BEC" w:rsidRDefault="00540BEC" w:rsidP="00540BEC">
            <w:pPr>
              <w:rPr>
                <w:rFonts w:ascii="Arial" w:hAnsi="Arial" w:cs="Arial"/>
                <w:color w:val="000000"/>
              </w:rPr>
            </w:pPr>
            <w:r>
              <w:rPr>
                <w:rFonts w:ascii="Arial" w:hAnsi="Arial" w:cs="Arial"/>
                <w:color w:val="000000"/>
              </w:rPr>
              <w:t>Personal information</w:t>
            </w:r>
          </w:p>
        </w:tc>
        <w:tc>
          <w:tcPr>
            <w:tcW w:w="1985" w:type="dxa"/>
            <w:tcBorders>
              <w:bottom w:val="single" w:sz="2" w:space="0" w:color="BFBFBF" w:themeColor="background1" w:themeShade="BF"/>
            </w:tcBorders>
            <w:shd w:val="clear" w:color="auto" w:fill="FFFFFF" w:themeFill="background1"/>
          </w:tcPr>
          <w:p w14:paraId="69381691" w14:textId="03715808" w:rsidR="00540BEC" w:rsidRDefault="00540BEC" w:rsidP="00540BEC">
            <w:r>
              <w:rPr>
                <w:szCs w:val="21"/>
              </w:rPr>
              <w:t>Revealing the author and recipient names raises privacy concerns.</w:t>
            </w:r>
          </w:p>
        </w:tc>
        <w:tc>
          <w:tcPr>
            <w:tcW w:w="2551" w:type="dxa"/>
            <w:tcBorders>
              <w:bottom w:val="single" w:sz="2" w:space="0" w:color="BFBFBF" w:themeColor="background1" w:themeShade="BF"/>
            </w:tcBorders>
            <w:shd w:val="clear" w:color="auto" w:fill="FFFFFF" w:themeFill="background1"/>
          </w:tcPr>
          <w:p w14:paraId="2E4AD671" w14:textId="77777777" w:rsidR="00540BEC" w:rsidRDefault="00540BEC" w:rsidP="00540BEC">
            <w:r>
              <w:t xml:space="preserve">Revealing this information would have adverse privacy implications for the individuals involved. </w:t>
            </w:r>
          </w:p>
          <w:p w14:paraId="081174FC" w14:textId="77777777" w:rsidR="00540BEC" w:rsidRDefault="00540BEC" w:rsidP="00540BEC">
            <w:pPr>
              <w:rPr>
                <w:szCs w:val="21"/>
              </w:rPr>
            </w:pPr>
            <w:r>
              <w:rPr>
                <w:szCs w:val="21"/>
              </w:rPr>
              <w:t xml:space="preserve"> </w:t>
            </w:r>
          </w:p>
          <w:p w14:paraId="27C6B8A5" w14:textId="77777777" w:rsidR="00540BEC" w:rsidRDefault="00540BEC" w:rsidP="00540BEC"/>
        </w:tc>
        <w:tc>
          <w:tcPr>
            <w:tcW w:w="2552" w:type="dxa"/>
            <w:tcBorders>
              <w:bottom w:val="single" w:sz="2" w:space="0" w:color="BFBFBF" w:themeColor="background1" w:themeShade="BF"/>
            </w:tcBorders>
            <w:shd w:val="clear" w:color="auto" w:fill="FFFFFF" w:themeFill="background1"/>
          </w:tcPr>
          <w:p w14:paraId="20C1A969" w14:textId="77777777" w:rsidR="00540BEC" w:rsidRDefault="00540BEC" w:rsidP="00540BEC">
            <w:pPr>
              <w:rPr>
                <w:rFonts w:ascii="Arial" w:hAnsi="Arial" w:cs="Arial"/>
                <w:i/>
                <w:iCs/>
              </w:rPr>
            </w:pPr>
            <w:r>
              <w:t>Revealing this information would have adverse privacy implications for the individuals involved.</w:t>
            </w:r>
          </w:p>
          <w:p w14:paraId="0DA665CA" w14:textId="408CEE05" w:rsidR="00540BEC" w:rsidRDefault="00540BEC" w:rsidP="00540BEC">
            <w:r>
              <w:t>There is minimal</w:t>
            </w:r>
            <w:r w:rsidRPr="00BF5F1E">
              <w:t xml:space="preserve"> public benefit in disclosing this information that could outweigh </w:t>
            </w:r>
            <w:r>
              <w:t xml:space="preserve">this </w:t>
            </w:r>
            <w:r w:rsidRPr="00BF5F1E">
              <w:t>detriment</w:t>
            </w:r>
            <w:r>
              <w:t>.</w:t>
            </w:r>
          </w:p>
        </w:tc>
        <w:tc>
          <w:tcPr>
            <w:tcW w:w="1275" w:type="dxa"/>
            <w:tcBorders>
              <w:bottom w:val="single" w:sz="2" w:space="0" w:color="BFBFBF" w:themeColor="background1" w:themeShade="BF"/>
            </w:tcBorders>
            <w:shd w:val="clear" w:color="auto" w:fill="FFFFFF" w:themeFill="background1"/>
          </w:tcPr>
          <w:p w14:paraId="439BB3AD" w14:textId="79941D97" w:rsidR="00540BEC" w:rsidRDefault="00540BEC" w:rsidP="00540BEC">
            <w:pPr>
              <w:rPr>
                <w:rFonts w:ascii="Arial" w:hAnsi="Arial" w:cs="Arial"/>
              </w:rPr>
            </w:pPr>
            <w:r>
              <w:t>1 page</w:t>
            </w:r>
          </w:p>
        </w:tc>
      </w:tr>
      <w:tr w:rsidR="00540BEC" w:rsidRPr="00BF5F1E" w14:paraId="666D8D9C"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424019A6" w14:textId="146F24AE" w:rsidR="00540BEC" w:rsidRDefault="00540BEC" w:rsidP="00540BEC">
            <w:r>
              <w:rPr>
                <w:rFonts w:ascii="Arial" w:hAnsi="Arial" w:cs="Arial"/>
                <w:color w:val="000000"/>
              </w:rPr>
              <w:t>17</w:t>
            </w:r>
            <w:r w:rsidRPr="004B15E7">
              <w:rPr>
                <w:rFonts w:ascii="Arial" w:hAnsi="Arial" w:cs="Arial"/>
                <w:color w:val="000000"/>
                <w:vertAlign w:val="superscript"/>
              </w:rPr>
              <w:t>th</w:t>
            </w:r>
            <w:r>
              <w:rPr>
                <w:rFonts w:ascii="Arial" w:hAnsi="Arial" w:cs="Arial"/>
                <w:color w:val="000000"/>
              </w:rPr>
              <w:t xml:space="preserve"> August 2023 Report - </w:t>
            </w:r>
            <w:r>
              <w:t xml:space="preserve">The following locations in this document: </w:t>
            </w:r>
          </w:p>
          <w:p w14:paraId="3024CF72" w14:textId="77777777" w:rsidR="00540BEC" w:rsidRDefault="00540BEC" w:rsidP="00540BEC">
            <w:pPr>
              <w:pStyle w:val="ListParagraph"/>
              <w:numPr>
                <w:ilvl w:val="0"/>
                <w:numId w:val="22"/>
              </w:numPr>
              <w:ind w:left="414" w:hanging="357"/>
            </w:pPr>
            <w:r w:rsidRPr="000C6E07">
              <w:t>Design and Construction Cost Summar</w:t>
            </w:r>
            <w:r>
              <w:t>y,</w:t>
            </w:r>
            <w:r w:rsidRPr="000C6E07">
              <w:t xml:space="preserve"> p4  </w:t>
            </w:r>
            <w:r>
              <w:t xml:space="preserve"> </w:t>
            </w:r>
          </w:p>
          <w:p w14:paraId="0F370F99" w14:textId="77777777" w:rsidR="00540BEC" w:rsidRDefault="00540BEC" w:rsidP="00540BEC">
            <w:pPr>
              <w:pStyle w:val="ListParagraph"/>
              <w:numPr>
                <w:ilvl w:val="0"/>
                <w:numId w:val="22"/>
              </w:numPr>
              <w:ind w:left="414" w:hanging="357"/>
            </w:pPr>
            <w:r>
              <w:t xml:space="preserve">Basis of Estimate, p6 </w:t>
            </w:r>
          </w:p>
          <w:p w14:paraId="4E5E297D" w14:textId="77777777" w:rsidR="00540BEC" w:rsidRPr="000C6E07" w:rsidRDefault="00540BEC" w:rsidP="00540BEC">
            <w:pPr>
              <w:pStyle w:val="ListParagraph"/>
              <w:numPr>
                <w:ilvl w:val="0"/>
                <w:numId w:val="22"/>
              </w:numPr>
              <w:ind w:left="414" w:hanging="357"/>
            </w:pPr>
            <w:r>
              <w:t>p10</w:t>
            </w:r>
          </w:p>
          <w:p w14:paraId="6780EC13" w14:textId="77777777" w:rsidR="00540BEC" w:rsidRDefault="00540BEC" w:rsidP="00540BEC"/>
        </w:tc>
        <w:tc>
          <w:tcPr>
            <w:tcW w:w="1559" w:type="dxa"/>
            <w:tcBorders>
              <w:bottom w:val="single" w:sz="2" w:space="0" w:color="BFBFBF" w:themeColor="background1" w:themeShade="BF"/>
            </w:tcBorders>
            <w:shd w:val="clear" w:color="auto" w:fill="FFFFFF" w:themeFill="background1"/>
          </w:tcPr>
          <w:p w14:paraId="57ED7FAD" w14:textId="0D6A7023" w:rsidR="00540BEC" w:rsidRPr="4DBA6690" w:rsidRDefault="00540BEC" w:rsidP="00540BEC">
            <w:pPr>
              <w:rPr>
                <w:rFonts w:ascii="Arial" w:hAnsi="Arial" w:cs="Arial"/>
              </w:rPr>
            </w:pPr>
            <w:r>
              <w:rPr>
                <w:rFonts w:ascii="Arial" w:hAnsi="Arial" w:cs="Arial"/>
                <w:color w:val="000000"/>
              </w:rPr>
              <w:t>TOTC summary</w:t>
            </w:r>
          </w:p>
        </w:tc>
        <w:tc>
          <w:tcPr>
            <w:tcW w:w="1701" w:type="dxa"/>
            <w:tcBorders>
              <w:bottom w:val="single" w:sz="2" w:space="0" w:color="BFBFBF" w:themeColor="background1" w:themeShade="BF"/>
            </w:tcBorders>
            <w:shd w:val="clear" w:color="auto" w:fill="FFFFFF" w:themeFill="background1"/>
          </w:tcPr>
          <w:p w14:paraId="4D47E378" w14:textId="475CAC61" w:rsidR="00540BEC" w:rsidRDefault="00540BEC" w:rsidP="00540BEC">
            <w:pPr>
              <w:rPr>
                <w:rFonts w:ascii="Arial" w:hAnsi="Arial" w:cs="Arial"/>
                <w:color w:val="000000"/>
              </w:rPr>
            </w:pPr>
            <w:r>
              <w:rPr>
                <w:rFonts w:ascii="Arial" w:hAnsi="Arial" w:cs="Arial"/>
                <w:color w:val="000000"/>
              </w:rPr>
              <w:t>Cost estimates for completion of PEC</w:t>
            </w:r>
          </w:p>
        </w:tc>
        <w:tc>
          <w:tcPr>
            <w:tcW w:w="1559" w:type="dxa"/>
            <w:tcBorders>
              <w:bottom w:val="single" w:sz="2" w:space="0" w:color="BFBFBF" w:themeColor="background1" w:themeShade="BF"/>
            </w:tcBorders>
            <w:shd w:val="clear" w:color="auto" w:fill="FFFFFF" w:themeFill="background1"/>
          </w:tcPr>
          <w:p w14:paraId="59EE4158" w14:textId="494DF1E2" w:rsidR="00540BEC" w:rsidRDefault="00540BEC" w:rsidP="00540BEC">
            <w:pPr>
              <w:rPr>
                <w:rFonts w:ascii="Arial" w:hAnsi="Arial" w:cs="Arial"/>
                <w:color w:val="000000"/>
              </w:rPr>
            </w:pPr>
            <w:r w:rsidRPr="004B44E8">
              <w:t>Market sensitive cost input</w:t>
            </w:r>
            <w:r>
              <w:t>s /</w:t>
            </w:r>
            <w:r w:rsidRPr="004B44E8">
              <w:t xml:space="preserve"> market intelligence</w:t>
            </w:r>
          </w:p>
        </w:tc>
        <w:tc>
          <w:tcPr>
            <w:tcW w:w="1985" w:type="dxa"/>
            <w:tcBorders>
              <w:bottom w:val="single" w:sz="2" w:space="0" w:color="BFBFBF" w:themeColor="background1" w:themeShade="BF"/>
            </w:tcBorders>
            <w:shd w:val="clear" w:color="auto" w:fill="FFFFFF" w:themeFill="background1"/>
          </w:tcPr>
          <w:p w14:paraId="244DA323" w14:textId="4E45537A" w:rsidR="00540BEC" w:rsidRDefault="00540BEC" w:rsidP="00540BEC">
            <w:r>
              <w:rPr>
                <w:rFonts w:ascii="Arial" w:hAnsi="Arial" w:cs="Arial"/>
              </w:rPr>
              <w:t>Fissions</w:t>
            </w:r>
            <w:r w:rsidRPr="00C2729E">
              <w:rPr>
                <w:rFonts w:ascii="Arial" w:hAnsi="Arial" w:cs="Arial"/>
              </w:rPr>
              <w:t xml:space="preserve"> estimate of the cost to complete the remaining scope of PEC (Stage 2) is commercially sensitive to Transgrid.  </w:t>
            </w:r>
          </w:p>
        </w:tc>
        <w:tc>
          <w:tcPr>
            <w:tcW w:w="2551" w:type="dxa"/>
            <w:tcBorders>
              <w:bottom w:val="single" w:sz="2" w:space="0" w:color="BFBFBF" w:themeColor="background1" w:themeShade="BF"/>
            </w:tcBorders>
            <w:shd w:val="clear" w:color="auto" w:fill="FFFFFF" w:themeFill="background1"/>
          </w:tcPr>
          <w:p w14:paraId="54A04A22" w14:textId="11ED2493" w:rsidR="00540BEC" w:rsidRDefault="00540BEC" w:rsidP="00540BEC">
            <w:pPr>
              <w:rPr>
                <w:rFonts w:ascii="Arial" w:hAnsi="Arial" w:cs="Arial"/>
              </w:rPr>
            </w:pPr>
            <w:r>
              <w:rPr>
                <w:rFonts w:ascii="Arial" w:hAnsi="Arial" w:cs="Arial"/>
              </w:rPr>
              <w:t>Fission’s Class 3-4 estimate of the total cost to complete PEC under an ‘alternative delivery model’ scenario is commercially sensitive to Transgrid,</w:t>
            </w:r>
            <w:r>
              <w:t xml:space="preserve"> </w:t>
            </w:r>
            <w:r w:rsidRPr="00E22A5B">
              <w:rPr>
                <w:rFonts w:ascii="Arial" w:hAnsi="Arial" w:cs="Arial"/>
              </w:rPr>
              <w:t>reflect</w:t>
            </w:r>
            <w:r w:rsidR="00850A8D">
              <w:rPr>
                <w:rFonts w:ascii="Arial" w:hAnsi="Arial" w:cs="Arial"/>
              </w:rPr>
              <w:t>ing</w:t>
            </w:r>
            <w:r w:rsidRPr="00E22A5B">
              <w:rPr>
                <w:rFonts w:ascii="Arial" w:hAnsi="Arial" w:cs="Arial"/>
              </w:rPr>
              <w:t xml:space="preserve"> Transgrid’s internal assumptions about risk allocation, procurement strategy</w:t>
            </w:r>
            <w:r>
              <w:rPr>
                <w:rFonts w:ascii="Arial" w:hAnsi="Arial" w:cs="Arial"/>
              </w:rPr>
              <w:t xml:space="preserve"> </w:t>
            </w:r>
            <w:r w:rsidRPr="00E22A5B">
              <w:rPr>
                <w:rFonts w:ascii="Arial" w:hAnsi="Arial" w:cs="Arial"/>
              </w:rPr>
              <w:t xml:space="preserve">and the likely cost impacts of shifting to different delivery approaches. If this </w:t>
            </w:r>
            <w:r w:rsidRPr="00E22A5B">
              <w:rPr>
                <w:rFonts w:ascii="Arial" w:hAnsi="Arial" w:cs="Arial"/>
              </w:rPr>
              <w:lastRenderedPageBreak/>
              <w:t xml:space="preserve">information were made public, </w:t>
            </w:r>
            <w:r w:rsidR="00E859AB">
              <w:rPr>
                <w:rFonts w:ascii="Arial" w:hAnsi="Arial" w:cs="Arial"/>
              </w:rPr>
              <w:t>third parties</w:t>
            </w:r>
            <w:r w:rsidRPr="00E22A5B">
              <w:rPr>
                <w:rFonts w:ascii="Arial" w:hAnsi="Arial" w:cs="Arial"/>
              </w:rPr>
              <w:t xml:space="preserve"> could use it to anticipate how Transgrid may approach future procurements and tailor their bids accordingly. Instead of competing aggressively, they could anchor their pricing to Transgrid’s own internal expectations, reducing competitive tension and increasing the cost of future projects.</w:t>
            </w:r>
          </w:p>
          <w:p w14:paraId="51784B35" w14:textId="77777777" w:rsidR="00540BEC" w:rsidRDefault="00540BEC" w:rsidP="00540BEC"/>
        </w:tc>
        <w:tc>
          <w:tcPr>
            <w:tcW w:w="2552" w:type="dxa"/>
            <w:tcBorders>
              <w:bottom w:val="single" w:sz="2" w:space="0" w:color="BFBFBF" w:themeColor="background1" w:themeShade="BF"/>
            </w:tcBorders>
            <w:shd w:val="clear" w:color="auto" w:fill="FFFFFF" w:themeFill="background1"/>
          </w:tcPr>
          <w:p w14:paraId="0EEA13C3" w14:textId="2448D9E3" w:rsidR="00540BEC" w:rsidRDefault="00540BEC" w:rsidP="00540BEC">
            <w:r>
              <w:rPr>
                <w:rFonts w:eastAsia="Arial"/>
                <w:color w:val="auto"/>
                <w:lang w:eastAsia="en-AU"/>
              </w:rPr>
              <w:lastRenderedPageBreak/>
              <w:t xml:space="preserve">Transgrid has provided sufficient detail in the Application on the options to deliver PEC under an alternative contractor. </w:t>
            </w:r>
            <w:r>
              <w:rPr>
                <w:rFonts w:ascii="Arial" w:hAnsi="Arial" w:cs="Arial"/>
              </w:rPr>
              <w:t xml:space="preserve">The </w:t>
            </w:r>
            <w:r w:rsidRPr="31D2157B">
              <w:rPr>
                <w:rFonts w:ascii="Arial" w:hAnsi="Arial" w:cs="Arial"/>
              </w:rPr>
              <w:t xml:space="preserve">redaction </w:t>
            </w:r>
            <w:r>
              <w:rPr>
                <w:rFonts w:ascii="Arial" w:hAnsi="Arial" w:cs="Arial"/>
              </w:rPr>
              <w:t>of detailed information here</w:t>
            </w:r>
            <w:r w:rsidRPr="31D2157B">
              <w:rPr>
                <w:rFonts w:ascii="Arial" w:hAnsi="Arial" w:cs="Arial"/>
              </w:rPr>
              <w:t xml:space="preserve"> does not prevent </w:t>
            </w:r>
            <w:r w:rsidRPr="6EC74456">
              <w:rPr>
                <w:rFonts w:ascii="Arial" w:hAnsi="Arial" w:cs="Arial"/>
              </w:rPr>
              <w:t xml:space="preserve">stakeholders from understanding </w:t>
            </w:r>
            <w:r w:rsidRPr="5F085987">
              <w:rPr>
                <w:rFonts w:ascii="Arial" w:hAnsi="Arial" w:cs="Arial"/>
              </w:rPr>
              <w:t xml:space="preserve">the Application </w:t>
            </w:r>
            <w:r w:rsidRPr="6EC74456">
              <w:rPr>
                <w:rFonts w:ascii="Arial" w:hAnsi="Arial" w:cs="Arial"/>
              </w:rPr>
              <w:t xml:space="preserve">or </w:t>
            </w:r>
            <w:r w:rsidRPr="208532A7">
              <w:rPr>
                <w:rFonts w:ascii="Arial" w:hAnsi="Arial" w:cs="Arial"/>
              </w:rPr>
              <w:t>engaging with the AER’s consultation</w:t>
            </w:r>
            <w:r w:rsidRPr="5C3B4054">
              <w:rPr>
                <w:rFonts w:ascii="Arial" w:hAnsi="Arial" w:cs="Arial"/>
              </w:rPr>
              <w:t xml:space="preserve"> </w:t>
            </w:r>
            <w:r w:rsidRPr="69B0ED75">
              <w:rPr>
                <w:rFonts w:ascii="Arial" w:hAnsi="Arial" w:cs="Arial"/>
              </w:rPr>
              <w:t xml:space="preserve">process. </w:t>
            </w:r>
          </w:p>
        </w:tc>
        <w:tc>
          <w:tcPr>
            <w:tcW w:w="1275" w:type="dxa"/>
            <w:tcBorders>
              <w:bottom w:val="single" w:sz="2" w:space="0" w:color="BFBFBF" w:themeColor="background1" w:themeShade="BF"/>
            </w:tcBorders>
            <w:shd w:val="clear" w:color="auto" w:fill="FFFFFF" w:themeFill="background1"/>
          </w:tcPr>
          <w:p w14:paraId="4504DBB5" w14:textId="19DBA3A6" w:rsidR="00540BEC" w:rsidRDefault="00540BEC" w:rsidP="00540BEC">
            <w:pPr>
              <w:rPr>
                <w:rFonts w:ascii="Arial" w:hAnsi="Arial" w:cs="Arial"/>
              </w:rPr>
            </w:pPr>
            <w:r>
              <w:rPr>
                <w:rFonts w:ascii="Arial" w:hAnsi="Arial" w:cs="Arial"/>
              </w:rPr>
              <w:t>3 pages</w:t>
            </w:r>
          </w:p>
        </w:tc>
      </w:tr>
      <w:tr w:rsidR="00540BEC" w:rsidRPr="00BF5F1E" w14:paraId="230E664A"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1A21C40A" w14:textId="0A25EE94" w:rsidR="00540BEC" w:rsidRDefault="00540BEC" w:rsidP="00540BEC">
            <w:r>
              <w:rPr>
                <w:rFonts w:ascii="Arial" w:hAnsi="Arial" w:cs="Arial"/>
                <w:color w:val="000000"/>
              </w:rPr>
              <w:t>17</w:t>
            </w:r>
            <w:r w:rsidRPr="004B15E7">
              <w:rPr>
                <w:rFonts w:ascii="Arial" w:hAnsi="Arial" w:cs="Arial"/>
                <w:color w:val="000000"/>
                <w:vertAlign w:val="superscript"/>
              </w:rPr>
              <w:t>th</w:t>
            </w:r>
            <w:r>
              <w:rPr>
                <w:rFonts w:ascii="Arial" w:hAnsi="Arial" w:cs="Arial"/>
                <w:color w:val="000000"/>
              </w:rPr>
              <w:t xml:space="preserve"> August 2023 Report - </w:t>
            </w:r>
            <w:r>
              <w:t xml:space="preserve">The following locations in this document:   </w:t>
            </w:r>
          </w:p>
          <w:p w14:paraId="1C6A77F8" w14:textId="77777777" w:rsidR="00540BEC" w:rsidRDefault="00540BEC" w:rsidP="00540BEC">
            <w:pPr>
              <w:pStyle w:val="ListParagraph"/>
              <w:numPr>
                <w:ilvl w:val="0"/>
                <w:numId w:val="23"/>
              </w:numPr>
              <w:ind w:left="414" w:hanging="357"/>
            </w:pPr>
            <w:r>
              <w:t xml:space="preserve">Basis of Estimate p6-8 </w:t>
            </w:r>
          </w:p>
          <w:p w14:paraId="5676F1C8" w14:textId="3B8931BF" w:rsidR="00540BEC" w:rsidRDefault="00540BEC" w:rsidP="00540BEC">
            <w:r>
              <w:t>Section 4 Risk assumption p9</w:t>
            </w:r>
          </w:p>
        </w:tc>
        <w:tc>
          <w:tcPr>
            <w:tcW w:w="1559" w:type="dxa"/>
            <w:tcBorders>
              <w:bottom w:val="single" w:sz="2" w:space="0" w:color="BFBFBF" w:themeColor="background1" w:themeShade="BF"/>
            </w:tcBorders>
            <w:shd w:val="clear" w:color="auto" w:fill="FFFFFF" w:themeFill="background1"/>
          </w:tcPr>
          <w:p w14:paraId="2C2666D7" w14:textId="19463F43" w:rsidR="00540BEC" w:rsidRPr="4DBA6690" w:rsidRDefault="00540BEC" w:rsidP="00540BEC">
            <w:pPr>
              <w:rPr>
                <w:rFonts w:ascii="Arial" w:hAnsi="Arial" w:cs="Arial"/>
              </w:rPr>
            </w:pPr>
            <w:r>
              <w:rPr>
                <w:rFonts w:ascii="Arial" w:hAnsi="Arial" w:cs="Arial"/>
                <w:color w:val="000000"/>
              </w:rPr>
              <w:t>Estimate basis and assumptions</w:t>
            </w:r>
          </w:p>
        </w:tc>
        <w:tc>
          <w:tcPr>
            <w:tcW w:w="1701" w:type="dxa"/>
            <w:tcBorders>
              <w:bottom w:val="single" w:sz="2" w:space="0" w:color="BFBFBF" w:themeColor="background1" w:themeShade="BF"/>
            </w:tcBorders>
            <w:shd w:val="clear" w:color="auto" w:fill="FFFFFF" w:themeFill="background1"/>
          </w:tcPr>
          <w:p w14:paraId="58441022" w14:textId="36F59CC5" w:rsidR="00540BEC" w:rsidRDefault="00540BEC" w:rsidP="00540BEC">
            <w:pPr>
              <w:rPr>
                <w:rFonts w:ascii="Arial" w:hAnsi="Arial" w:cs="Arial"/>
                <w:color w:val="000000"/>
              </w:rPr>
            </w:pPr>
            <w:r>
              <w:rPr>
                <w:rFonts w:ascii="Arial" w:hAnsi="Arial" w:cs="Arial"/>
                <w:color w:val="000000"/>
              </w:rPr>
              <w:t>Estimate basis and assumptions</w:t>
            </w:r>
          </w:p>
        </w:tc>
        <w:tc>
          <w:tcPr>
            <w:tcW w:w="1559" w:type="dxa"/>
            <w:tcBorders>
              <w:bottom w:val="single" w:sz="2" w:space="0" w:color="BFBFBF" w:themeColor="background1" w:themeShade="BF"/>
            </w:tcBorders>
            <w:shd w:val="clear" w:color="auto" w:fill="FFFFFF" w:themeFill="background1"/>
          </w:tcPr>
          <w:p w14:paraId="462BD3E0" w14:textId="078C0A96" w:rsidR="00540BEC" w:rsidRDefault="00540BEC" w:rsidP="00540BEC">
            <w:pPr>
              <w:rPr>
                <w:rFonts w:ascii="Arial" w:hAnsi="Arial" w:cs="Arial"/>
                <w:color w:val="000000"/>
              </w:rPr>
            </w:pPr>
            <w:r w:rsidRPr="004B44E8">
              <w:t>Market sensitive cost input</w:t>
            </w:r>
            <w:r>
              <w:t>s /</w:t>
            </w:r>
            <w:r w:rsidRPr="004B44E8">
              <w:t xml:space="preserve"> market intelligence</w:t>
            </w:r>
          </w:p>
        </w:tc>
        <w:tc>
          <w:tcPr>
            <w:tcW w:w="1985" w:type="dxa"/>
            <w:tcBorders>
              <w:bottom w:val="single" w:sz="2" w:space="0" w:color="BFBFBF" w:themeColor="background1" w:themeShade="BF"/>
            </w:tcBorders>
            <w:shd w:val="clear" w:color="auto" w:fill="FFFFFF" w:themeFill="background1"/>
          </w:tcPr>
          <w:p w14:paraId="1A6C04F4" w14:textId="227EC7E1" w:rsidR="00540BEC" w:rsidRDefault="00540BEC" w:rsidP="00540BEC">
            <w:r w:rsidRPr="003F1173">
              <w:rPr>
                <w:rFonts w:ascii="Arial" w:hAnsi="Arial" w:cs="Arial"/>
              </w:rPr>
              <w:t xml:space="preserve">Fissions estimate of the cost to complete the remaining scope of PEC (Stage 2) is commercially sensitive to Transgrid.  </w:t>
            </w:r>
          </w:p>
        </w:tc>
        <w:tc>
          <w:tcPr>
            <w:tcW w:w="2551" w:type="dxa"/>
            <w:tcBorders>
              <w:bottom w:val="single" w:sz="2" w:space="0" w:color="BFBFBF" w:themeColor="background1" w:themeShade="BF"/>
            </w:tcBorders>
            <w:shd w:val="clear" w:color="auto" w:fill="FFFFFF" w:themeFill="background1"/>
          </w:tcPr>
          <w:p w14:paraId="3D06D08B" w14:textId="74C6BCBB" w:rsidR="00540BEC" w:rsidRDefault="00540BEC" w:rsidP="00540BEC">
            <w:r>
              <w:rPr>
                <w:rFonts w:ascii="Arial" w:hAnsi="Arial" w:cs="Arial"/>
              </w:rPr>
              <w:t xml:space="preserve">The basis on which Fission has developed its TOTC estimate, and the assumptions underpinning this (including Fission’s assessment of project risk, the accuracy range for Class 3-4 estimates, assumed figure for sunk costs, percentages for contractor margins and design fees and an applicable annual escalation rate) are commercially sensitive to both Transgrid and Fission and could be </w:t>
            </w:r>
            <w:r>
              <w:rPr>
                <w:rFonts w:ascii="Arial" w:hAnsi="Arial" w:cs="Arial"/>
              </w:rPr>
              <w:lastRenderedPageBreak/>
              <w:t xml:space="preserve">used to </w:t>
            </w:r>
            <w:r w:rsidRPr="00C159DF">
              <w:rPr>
                <w:rFonts w:ascii="Arial" w:hAnsi="Arial" w:cs="Arial"/>
              </w:rPr>
              <w:t xml:space="preserve">tailor bids to align with those assumptions rather than competing on genuine efficiency. Instead of sharpening pricing, </w:t>
            </w:r>
            <w:r>
              <w:rPr>
                <w:rFonts w:ascii="Arial" w:hAnsi="Arial" w:cs="Arial"/>
              </w:rPr>
              <w:t>contractors</w:t>
            </w:r>
            <w:r w:rsidRPr="00C159DF">
              <w:rPr>
                <w:rFonts w:ascii="Arial" w:hAnsi="Arial" w:cs="Arial"/>
              </w:rPr>
              <w:t xml:space="preserve"> could simply price just below Transgrid’s known allowances, weakening competitive tension and increasing the cost of future projects.</w:t>
            </w:r>
          </w:p>
        </w:tc>
        <w:tc>
          <w:tcPr>
            <w:tcW w:w="2552" w:type="dxa"/>
            <w:tcBorders>
              <w:bottom w:val="single" w:sz="2" w:space="0" w:color="BFBFBF" w:themeColor="background1" w:themeShade="BF"/>
            </w:tcBorders>
            <w:shd w:val="clear" w:color="auto" w:fill="FFFFFF" w:themeFill="background1"/>
          </w:tcPr>
          <w:p w14:paraId="497B3E69" w14:textId="07434268" w:rsidR="00540BEC" w:rsidRDefault="00540BEC" w:rsidP="00540BEC">
            <w:r w:rsidRPr="645F6000">
              <w:rPr>
                <w:rFonts w:ascii="Arial" w:hAnsi="Arial" w:cs="Arial"/>
              </w:rPr>
              <w:lastRenderedPageBreak/>
              <w:t>Revealing this information could harm Transgrid’s commercial interests in future negotiations</w:t>
            </w:r>
            <w:r>
              <w:rPr>
                <w:rFonts w:ascii="Arial" w:hAnsi="Arial" w:cs="Arial"/>
              </w:rPr>
              <w:t xml:space="preserve">. </w:t>
            </w:r>
            <w:r w:rsidRPr="292E20C9">
              <w:rPr>
                <w:rFonts w:ascii="Arial" w:hAnsi="Arial" w:cs="Arial"/>
              </w:rPr>
              <w:t>As noted above, Transgrid does not consider the non-</w:t>
            </w:r>
            <w:r w:rsidRPr="0BC94220">
              <w:rPr>
                <w:rFonts w:ascii="Arial" w:hAnsi="Arial" w:cs="Arial"/>
              </w:rPr>
              <w:t xml:space="preserve">disclosure of this detailed information will undermine stakeholders’ ability to understand the Application or to engage with the AER’s consultation </w:t>
            </w:r>
            <w:r w:rsidRPr="209696AC">
              <w:rPr>
                <w:rFonts w:ascii="Arial" w:hAnsi="Arial" w:cs="Arial"/>
              </w:rPr>
              <w:t xml:space="preserve">process. </w:t>
            </w:r>
          </w:p>
        </w:tc>
        <w:tc>
          <w:tcPr>
            <w:tcW w:w="1275" w:type="dxa"/>
            <w:tcBorders>
              <w:bottom w:val="single" w:sz="2" w:space="0" w:color="BFBFBF" w:themeColor="background1" w:themeShade="BF"/>
            </w:tcBorders>
            <w:shd w:val="clear" w:color="auto" w:fill="FFFFFF" w:themeFill="background1"/>
          </w:tcPr>
          <w:p w14:paraId="18161ACA" w14:textId="3A57359F" w:rsidR="00540BEC" w:rsidRDefault="00540BEC" w:rsidP="00540BEC">
            <w:pPr>
              <w:rPr>
                <w:rFonts w:ascii="Arial" w:hAnsi="Arial" w:cs="Arial"/>
              </w:rPr>
            </w:pPr>
            <w:r>
              <w:rPr>
                <w:rFonts w:ascii="Arial" w:hAnsi="Arial" w:cs="Arial"/>
              </w:rPr>
              <w:t>4 pages</w:t>
            </w:r>
          </w:p>
        </w:tc>
      </w:tr>
      <w:tr w:rsidR="00540BEC" w:rsidRPr="00BF5F1E" w14:paraId="0D796F12" w14:textId="77777777" w:rsidTr="358799A6">
        <w:trPr>
          <w:cantSplit/>
          <w:trHeight w:val="300"/>
        </w:trPr>
        <w:tc>
          <w:tcPr>
            <w:tcW w:w="15306" w:type="dxa"/>
            <w:gridSpan w:val="8"/>
            <w:tcBorders>
              <w:bottom w:val="single" w:sz="2" w:space="0" w:color="BFBFBF" w:themeColor="background1" w:themeShade="BF"/>
            </w:tcBorders>
            <w:shd w:val="clear" w:color="auto" w:fill="D8EFD7" w:themeFill="accent1" w:themeFillTint="33"/>
          </w:tcPr>
          <w:p w14:paraId="3125AD63" w14:textId="12E4E346" w:rsidR="00540BEC" w:rsidRPr="00A66AFF" w:rsidRDefault="00540BEC" w:rsidP="00540BEC">
            <w:pPr>
              <w:rPr>
                <w:b/>
                <w:bCs/>
              </w:rPr>
            </w:pPr>
            <w:r w:rsidRPr="00A66AFF">
              <w:rPr>
                <w:b/>
                <w:bCs/>
              </w:rPr>
              <w:t>Attachment 3 – Rectification actions and options report</w:t>
            </w:r>
          </w:p>
        </w:tc>
      </w:tr>
      <w:tr w:rsidR="00540BEC" w:rsidRPr="00BF5F1E" w14:paraId="304B03E5" w14:textId="77777777" w:rsidTr="358799A6">
        <w:trPr>
          <w:cantSplit/>
          <w:trHeight w:val="300"/>
        </w:trPr>
        <w:tc>
          <w:tcPr>
            <w:tcW w:w="2124" w:type="dxa"/>
            <w:tcBorders>
              <w:bottom w:val="single" w:sz="2" w:space="0" w:color="BFBFBF" w:themeColor="background1" w:themeShade="BF"/>
            </w:tcBorders>
          </w:tcPr>
          <w:p w14:paraId="081E0F26" w14:textId="24F419B7" w:rsidR="00540BEC" w:rsidRDefault="00540BEC" w:rsidP="00540BEC">
            <w:r>
              <w:t xml:space="preserve">Section 4 Contract enforcement and possible termination, p 7 </w:t>
            </w:r>
          </w:p>
        </w:tc>
        <w:tc>
          <w:tcPr>
            <w:tcW w:w="1559" w:type="dxa"/>
            <w:tcBorders>
              <w:bottom w:val="single" w:sz="2" w:space="0" w:color="BFBFBF" w:themeColor="background1" w:themeShade="BF"/>
            </w:tcBorders>
          </w:tcPr>
          <w:p w14:paraId="0437CBC5" w14:textId="64C2BE78" w:rsidR="00540BEC" w:rsidRDefault="00540BEC" w:rsidP="00540BEC">
            <w:pPr>
              <w:rPr>
                <w:rFonts w:ascii="Arial" w:hAnsi="Arial" w:cs="Arial"/>
                <w:color w:val="000000"/>
              </w:rPr>
            </w:pPr>
            <w:r>
              <w:rPr>
                <w:rFonts w:ascii="Arial" w:hAnsi="Arial" w:cs="Arial"/>
              </w:rPr>
              <w:t xml:space="preserve">Performance securities </w:t>
            </w:r>
          </w:p>
        </w:tc>
        <w:tc>
          <w:tcPr>
            <w:tcW w:w="1701" w:type="dxa"/>
            <w:tcBorders>
              <w:bottom w:val="single" w:sz="2" w:space="0" w:color="BFBFBF" w:themeColor="background1" w:themeShade="BF"/>
            </w:tcBorders>
          </w:tcPr>
          <w:p w14:paraId="6B91096C" w14:textId="1E1200E6" w:rsidR="00540BEC" w:rsidRPr="3ED11A25" w:rsidRDefault="00540BEC" w:rsidP="00540BEC">
            <w:pPr>
              <w:rPr>
                <w:rFonts w:ascii="Arial" w:hAnsi="Arial" w:cs="Arial"/>
              </w:rPr>
            </w:pPr>
            <w:r>
              <w:rPr>
                <w:rFonts w:ascii="Arial" w:hAnsi="Arial" w:cs="Arial"/>
                <w:color w:val="000000"/>
              </w:rPr>
              <w:t>Contractual arrangements</w:t>
            </w:r>
          </w:p>
        </w:tc>
        <w:tc>
          <w:tcPr>
            <w:tcW w:w="1559" w:type="dxa"/>
            <w:tcBorders>
              <w:bottom w:val="single" w:sz="2" w:space="0" w:color="BFBFBF" w:themeColor="background1" w:themeShade="BF"/>
            </w:tcBorders>
          </w:tcPr>
          <w:p w14:paraId="362371AA" w14:textId="6AA7BC55" w:rsidR="00540BEC" w:rsidRPr="3ED11A25" w:rsidRDefault="00540BEC" w:rsidP="00540BEC">
            <w:pPr>
              <w:rPr>
                <w:rFonts w:ascii="Arial" w:hAnsi="Arial" w:cs="Arial"/>
              </w:rPr>
            </w:pPr>
            <w:r>
              <w:t>Market intelligence / market sensitive cost inputs</w:t>
            </w:r>
          </w:p>
        </w:tc>
        <w:tc>
          <w:tcPr>
            <w:tcW w:w="1985" w:type="dxa"/>
            <w:tcBorders>
              <w:bottom w:val="single" w:sz="2" w:space="0" w:color="BFBFBF" w:themeColor="background1" w:themeShade="BF"/>
            </w:tcBorders>
          </w:tcPr>
          <w:p w14:paraId="08CC634C" w14:textId="3FF0E6EA" w:rsidR="00540BEC" w:rsidRPr="3ED11A25" w:rsidRDefault="00540BEC" w:rsidP="00540BEC">
            <w:pPr>
              <w:rPr>
                <w:rFonts w:ascii="Arial" w:hAnsi="Arial" w:cs="Arial"/>
              </w:rPr>
            </w:pPr>
            <w:r>
              <w:rPr>
                <w:rFonts w:ascii="Arial" w:hAnsi="Arial" w:cs="Arial"/>
              </w:rPr>
              <w:t xml:space="preserve">This information is commercially sensitive to Transgrid, as </w:t>
            </w:r>
            <w:r w:rsidRPr="645F6000">
              <w:rPr>
                <w:rFonts w:ascii="Arial" w:eastAsia="Arial" w:hAnsi="Arial" w:cs="Arial"/>
              </w:rPr>
              <w:t xml:space="preserve">it </w:t>
            </w:r>
            <w:r w:rsidRPr="62EE48A0">
              <w:rPr>
                <w:rFonts w:ascii="Arial" w:eastAsia="Arial" w:hAnsi="Arial" w:cs="Arial"/>
              </w:rPr>
              <w:t>describe</w:t>
            </w:r>
            <w:r>
              <w:rPr>
                <w:rFonts w:ascii="Arial" w:eastAsia="Arial" w:hAnsi="Arial" w:cs="Arial"/>
              </w:rPr>
              <w:t>s</w:t>
            </w:r>
            <w:r w:rsidRPr="62EE48A0">
              <w:rPr>
                <w:rFonts w:ascii="Arial" w:eastAsia="Arial" w:hAnsi="Arial" w:cs="Arial"/>
              </w:rPr>
              <w:t xml:space="preserve"> the contractual terms negotiated between Transgrid and Elecnor Australia in the ICC contract</w:t>
            </w:r>
            <w:r>
              <w:rPr>
                <w:rFonts w:ascii="Arial" w:hAnsi="Arial" w:cs="Arial"/>
              </w:rPr>
              <w:t>.</w:t>
            </w:r>
          </w:p>
        </w:tc>
        <w:tc>
          <w:tcPr>
            <w:tcW w:w="2551" w:type="dxa"/>
            <w:tcBorders>
              <w:bottom w:val="single" w:sz="2" w:space="0" w:color="BFBFBF" w:themeColor="background1" w:themeShade="BF"/>
            </w:tcBorders>
          </w:tcPr>
          <w:p w14:paraId="240A1A9A" w14:textId="275CCD98" w:rsidR="00540BEC" w:rsidRPr="51CE6CC3" w:rsidRDefault="00540BEC" w:rsidP="00540BEC">
            <w:pPr>
              <w:rPr>
                <w:rFonts w:ascii="Arial" w:hAnsi="Arial" w:cs="Arial"/>
              </w:rPr>
            </w:pPr>
            <w:r>
              <w:rPr>
                <w:rFonts w:ascii="Arial" w:eastAsia="Arial" w:hAnsi="Arial" w:cs="Arial"/>
              </w:rPr>
              <w:t>Revealing the securities that Transgrid was able to negotiate would disclose key contractual terms which could prejudice Transgrid in future negotiations with contractors.</w:t>
            </w:r>
            <w:r w:rsidR="007D17AC">
              <w:rPr>
                <w:rFonts w:ascii="Arial" w:eastAsia="Arial" w:hAnsi="Arial" w:cs="Arial"/>
              </w:rPr>
              <w:t xml:space="preserve"> </w:t>
            </w:r>
          </w:p>
        </w:tc>
        <w:tc>
          <w:tcPr>
            <w:tcW w:w="2552" w:type="dxa"/>
            <w:tcBorders>
              <w:bottom w:val="single" w:sz="2" w:space="0" w:color="BFBFBF" w:themeColor="background1" w:themeShade="BF"/>
            </w:tcBorders>
          </w:tcPr>
          <w:p w14:paraId="32AB3E11" w14:textId="40079138" w:rsidR="00540BEC" w:rsidRPr="00AFA7D3" w:rsidRDefault="00540BEC" w:rsidP="00540BEC">
            <w:pPr>
              <w:rPr>
                <w:rFonts w:ascii="Arial" w:eastAsia="Arial" w:hAnsi="Arial" w:cs="Arial"/>
              </w:rPr>
            </w:pPr>
            <w:r>
              <w:rPr>
                <w:rFonts w:ascii="Arial" w:eastAsia="Arial" w:hAnsi="Arial" w:cs="Arial"/>
              </w:rPr>
              <w:t>T</w:t>
            </w:r>
            <w:r w:rsidRPr="002B6130">
              <w:rPr>
                <w:rFonts w:ascii="Arial" w:eastAsia="Arial" w:hAnsi="Arial" w:cs="Arial"/>
              </w:rPr>
              <w:t xml:space="preserve">he </w:t>
            </w:r>
            <w:r>
              <w:rPr>
                <w:rFonts w:ascii="Arial" w:eastAsia="Arial" w:hAnsi="Arial" w:cs="Arial"/>
              </w:rPr>
              <w:t xml:space="preserve">security </w:t>
            </w:r>
            <w:r w:rsidRPr="645F6000">
              <w:rPr>
                <w:rFonts w:ascii="Arial" w:eastAsia="Arial" w:hAnsi="Arial" w:cs="Arial"/>
              </w:rPr>
              <w:t>arrangements</w:t>
            </w:r>
            <w:r w:rsidRPr="002B6130">
              <w:rPr>
                <w:rFonts w:ascii="Arial" w:eastAsia="Arial" w:hAnsi="Arial" w:cs="Arial"/>
              </w:rPr>
              <w:t xml:space="preserve"> negotiated under the contract </w:t>
            </w:r>
            <w:r>
              <w:rPr>
                <w:rFonts w:ascii="Arial" w:eastAsia="Arial" w:hAnsi="Arial" w:cs="Arial"/>
              </w:rPr>
              <w:t>are</w:t>
            </w:r>
            <w:r w:rsidRPr="002B6130">
              <w:rPr>
                <w:rFonts w:ascii="Arial" w:eastAsia="Arial" w:hAnsi="Arial" w:cs="Arial"/>
              </w:rPr>
              <w:t xml:space="preserve"> commercially sensitive</w:t>
            </w:r>
            <w:r w:rsidRPr="645F6000">
              <w:rPr>
                <w:rFonts w:ascii="Arial" w:eastAsia="Arial" w:hAnsi="Arial" w:cs="Arial"/>
              </w:rPr>
              <w:t xml:space="preserve">, </w:t>
            </w:r>
            <w:r w:rsidRPr="002B6130">
              <w:rPr>
                <w:rFonts w:ascii="Arial" w:eastAsia="Arial" w:hAnsi="Arial" w:cs="Arial"/>
              </w:rPr>
              <w:t xml:space="preserve">reflect the outcome of confidential commercial negotiations and </w:t>
            </w:r>
            <w:r w:rsidRPr="645F6000">
              <w:rPr>
                <w:rFonts w:ascii="Arial" w:eastAsia="Arial" w:hAnsi="Arial" w:cs="Arial"/>
              </w:rPr>
              <w:t xml:space="preserve">do </w:t>
            </w:r>
            <w:r w:rsidRPr="002B6130">
              <w:rPr>
                <w:rFonts w:ascii="Arial" w:eastAsia="Arial" w:hAnsi="Arial" w:cs="Arial"/>
              </w:rPr>
              <w:t xml:space="preserve">not affect the </w:t>
            </w:r>
            <w:r>
              <w:rPr>
                <w:rFonts w:ascii="Arial" w:eastAsia="Arial" w:hAnsi="Arial" w:cs="Arial"/>
              </w:rPr>
              <w:t>A</w:t>
            </w:r>
            <w:r w:rsidRPr="002B6130">
              <w:rPr>
                <w:rFonts w:ascii="Arial" w:eastAsia="Arial" w:hAnsi="Arial" w:cs="Arial"/>
              </w:rPr>
              <w:t>pplication. Publishing this information would provide limited, if any, public benefit, as it does not influence consumer outcomes or regulatory decision</w:t>
            </w:r>
            <w:r w:rsidRPr="002B6130">
              <w:rPr>
                <w:rFonts w:ascii="Cambria Math" w:eastAsia="Arial" w:hAnsi="Cambria Math" w:cs="Cambria Math"/>
              </w:rPr>
              <w:t>‑</w:t>
            </w:r>
            <w:r w:rsidRPr="002B6130">
              <w:rPr>
                <w:rFonts w:ascii="Arial" w:eastAsia="Arial" w:hAnsi="Arial" w:cs="Arial"/>
              </w:rPr>
              <w:t xml:space="preserve">making. However, disclosure could materially disadvantage Transgrid in future commercial negotiations by revealing </w:t>
            </w:r>
            <w:r w:rsidRPr="002B6130">
              <w:rPr>
                <w:rFonts w:ascii="Arial" w:eastAsia="Arial" w:hAnsi="Arial" w:cs="Arial"/>
              </w:rPr>
              <w:lastRenderedPageBreak/>
              <w:t xml:space="preserve">its negotiating position and risk appetite, ultimately </w:t>
            </w:r>
            <w:r>
              <w:rPr>
                <w:rFonts w:ascii="Arial" w:eastAsia="Arial" w:hAnsi="Arial" w:cs="Arial"/>
              </w:rPr>
              <w:t>to the detriment of</w:t>
            </w:r>
            <w:r w:rsidRPr="002B6130">
              <w:rPr>
                <w:rFonts w:ascii="Arial" w:eastAsia="Arial" w:hAnsi="Arial" w:cs="Arial"/>
              </w:rPr>
              <w:t xml:space="preserve"> the long</w:t>
            </w:r>
            <w:r w:rsidRPr="002B6130">
              <w:rPr>
                <w:rFonts w:ascii="Cambria Math" w:eastAsia="Arial" w:hAnsi="Cambria Math" w:cs="Cambria Math"/>
              </w:rPr>
              <w:t>‑</w:t>
            </w:r>
            <w:r w:rsidRPr="002B6130">
              <w:rPr>
                <w:rFonts w:ascii="Arial" w:eastAsia="Arial" w:hAnsi="Arial" w:cs="Arial"/>
              </w:rPr>
              <w:t>term interests of consumers.</w:t>
            </w:r>
          </w:p>
        </w:tc>
        <w:tc>
          <w:tcPr>
            <w:tcW w:w="1275" w:type="dxa"/>
            <w:tcBorders>
              <w:bottom w:val="single" w:sz="2" w:space="0" w:color="BFBFBF" w:themeColor="background1" w:themeShade="BF"/>
            </w:tcBorders>
          </w:tcPr>
          <w:p w14:paraId="6E78EDE3" w14:textId="6F82636D" w:rsidR="00540BEC" w:rsidRPr="462BED03" w:rsidRDefault="00540BEC" w:rsidP="00540BEC">
            <w:pPr>
              <w:rPr>
                <w:rFonts w:ascii="Arial" w:hAnsi="Arial" w:cs="Arial"/>
              </w:rPr>
            </w:pPr>
            <w:r>
              <w:rPr>
                <w:rFonts w:ascii="Arial" w:hAnsi="Arial" w:cs="Arial"/>
              </w:rPr>
              <w:lastRenderedPageBreak/>
              <w:t>1 page</w:t>
            </w:r>
          </w:p>
        </w:tc>
      </w:tr>
      <w:tr w:rsidR="00540BEC" w:rsidRPr="00BF5F1E" w14:paraId="61737854" w14:textId="77777777" w:rsidTr="358799A6">
        <w:trPr>
          <w:cantSplit/>
          <w:trHeight w:val="300"/>
        </w:trPr>
        <w:tc>
          <w:tcPr>
            <w:tcW w:w="2124" w:type="dxa"/>
            <w:tcBorders>
              <w:bottom w:val="single" w:sz="2" w:space="0" w:color="BFBFBF" w:themeColor="background1" w:themeShade="BF"/>
            </w:tcBorders>
          </w:tcPr>
          <w:p w14:paraId="06A6B4EF" w14:textId="66E202AD" w:rsidR="00540BEC" w:rsidRPr="00BF5F1E" w:rsidRDefault="00540BEC" w:rsidP="00540BEC">
            <w:r>
              <w:t>Section 5.1 Market sounding and section 5.2 Expression of Interest, pp 9-10</w:t>
            </w:r>
          </w:p>
        </w:tc>
        <w:tc>
          <w:tcPr>
            <w:tcW w:w="1559" w:type="dxa"/>
            <w:tcBorders>
              <w:bottom w:val="single" w:sz="2" w:space="0" w:color="BFBFBF" w:themeColor="background1" w:themeShade="BF"/>
            </w:tcBorders>
          </w:tcPr>
          <w:p w14:paraId="4477F72C" w14:textId="081F27DA" w:rsidR="00540BEC" w:rsidRPr="00BF5F1E" w:rsidRDefault="00540BEC" w:rsidP="00540BEC">
            <w:pPr>
              <w:rPr>
                <w:rFonts w:ascii="Arial" w:hAnsi="Arial" w:cs="Arial"/>
                <w:color w:val="000000"/>
              </w:rPr>
            </w:pPr>
            <w:r>
              <w:rPr>
                <w:rFonts w:ascii="Arial" w:hAnsi="Arial" w:cs="Arial"/>
                <w:color w:val="000000"/>
                <w:szCs w:val="21"/>
              </w:rPr>
              <w:t>Third party (organisation) names</w:t>
            </w:r>
          </w:p>
        </w:tc>
        <w:tc>
          <w:tcPr>
            <w:tcW w:w="1701" w:type="dxa"/>
            <w:tcBorders>
              <w:bottom w:val="single" w:sz="2" w:space="0" w:color="BFBFBF" w:themeColor="background1" w:themeShade="BF"/>
            </w:tcBorders>
          </w:tcPr>
          <w:p w14:paraId="495239F9" w14:textId="0703FB09" w:rsidR="00540BEC" w:rsidRPr="00BF5F1E" w:rsidRDefault="00540BEC" w:rsidP="00540BEC">
            <w:pPr>
              <w:rPr>
                <w:rFonts w:ascii="Arial" w:hAnsi="Arial" w:cs="Arial"/>
                <w:color w:val="000000"/>
              </w:rPr>
            </w:pPr>
            <w:r w:rsidRPr="3ED11A25">
              <w:rPr>
                <w:rFonts w:ascii="Arial" w:hAnsi="Arial" w:cs="Arial"/>
              </w:rPr>
              <w:t>Confidential market sounding process</w:t>
            </w:r>
          </w:p>
        </w:tc>
        <w:tc>
          <w:tcPr>
            <w:tcW w:w="1559" w:type="dxa"/>
            <w:tcBorders>
              <w:bottom w:val="single" w:sz="2" w:space="0" w:color="BFBFBF" w:themeColor="background1" w:themeShade="BF"/>
            </w:tcBorders>
          </w:tcPr>
          <w:p w14:paraId="3C258D4A" w14:textId="3CDC9BA9" w:rsidR="00540BEC" w:rsidRPr="00BF5F1E" w:rsidRDefault="00540BEC" w:rsidP="00540BEC">
            <w:pPr>
              <w:rPr>
                <w:rFonts w:ascii="Arial" w:hAnsi="Arial" w:cs="Arial"/>
              </w:rPr>
            </w:pPr>
            <w:r w:rsidRPr="3ED11A25">
              <w:rPr>
                <w:rFonts w:ascii="Arial" w:hAnsi="Arial" w:cs="Arial"/>
              </w:rPr>
              <w:t>Market sensitive cost inputs / other – third party confidentiality</w:t>
            </w:r>
          </w:p>
        </w:tc>
        <w:tc>
          <w:tcPr>
            <w:tcW w:w="1985" w:type="dxa"/>
            <w:tcBorders>
              <w:bottom w:val="single" w:sz="2" w:space="0" w:color="BFBFBF" w:themeColor="background1" w:themeShade="BF"/>
            </w:tcBorders>
          </w:tcPr>
          <w:p w14:paraId="07AA2455" w14:textId="764C891E" w:rsidR="00540BEC" w:rsidRPr="006C658B" w:rsidRDefault="00540BEC" w:rsidP="00540BEC">
            <w:pPr>
              <w:rPr>
                <w:rFonts w:ascii="Arial" w:hAnsi="Arial" w:cs="Arial"/>
              </w:rPr>
            </w:pPr>
            <w:r w:rsidRPr="3ED11A25">
              <w:rPr>
                <w:rFonts w:ascii="Arial" w:hAnsi="Arial" w:cs="Arial"/>
              </w:rPr>
              <w:t xml:space="preserve">The information reveals </w:t>
            </w:r>
            <w:r>
              <w:rPr>
                <w:rFonts w:ascii="Arial" w:hAnsi="Arial" w:cs="Arial"/>
              </w:rPr>
              <w:t xml:space="preserve">the names of organisations involved in the alternative tender process </w:t>
            </w:r>
            <w:r w:rsidRPr="3ED11A25">
              <w:rPr>
                <w:rFonts w:ascii="Arial" w:hAnsi="Arial" w:cs="Arial"/>
              </w:rPr>
              <w:t xml:space="preserve">and </w:t>
            </w:r>
            <w:r>
              <w:rPr>
                <w:rFonts w:ascii="Arial" w:hAnsi="Arial" w:cs="Arial"/>
              </w:rPr>
              <w:t xml:space="preserve">could </w:t>
            </w:r>
            <w:r w:rsidRPr="51CE6CC3">
              <w:rPr>
                <w:rFonts w:ascii="Arial" w:hAnsi="Arial" w:cs="Arial"/>
              </w:rPr>
              <w:t>affect</w:t>
            </w:r>
            <w:r>
              <w:rPr>
                <w:rFonts w:ascii="Arial" w:hAnsi="Arial" w:cs="Arial"/>
              </w:rPr>
              <w:t xml:space="preserve"> their ability to compete effectively for similar tenders in the future</w:t>
            </w:r>
            <w:r w:rsidRPr="51CE6CC3">
              <w:rPr>
                <w:rFonts w:ascii="Arial" w:hAnsi="Arial" w:cs="Arial"/>
              </w:rPr>
              <w:t xml:space="preserve"> </w:t>
            </w:r>
            <w:r w:rsidRPr="3ED11A25">
              <w:rPr>
                <w:rFonts w:ascii="Arial" w:eastAsia="Arial" w:hAnsi="Arial" w:cs="Arial"/>
              </w:rPr>
              <w:t>and for Transgrid to obtain competitive tenders in future transactions.</w:t>
            </w:r>
            <w:r>
              <w:rPr>
                <w:rFonts w:ascii="Arial" w:hAnsi="Arial" w:cs="Arial"/>
              </w:rPr>
              <w:t xml:space="preserve"> </w:t>
            </w:r>
          </w:p>
        </w:tc>
        <w:tc>
          <w:tcPr>
            <w:tcW w:w="2551" w:type="dxa"/>
            <w:tcBorders>
              <w:bottom w:val="single" w:sz="2" w:space="0" w:color="BFBFBF" w:themeColor="background1" w:themeShade="BF"/>
            </w:tcBorders>
          </w:tcPr>
          <w:p w14:paraId="25407931" w14:textId="7B3BFDFF" w:rsidR="00540BEC" w:rsidRPr="00BF5F1E" w:rsidRDefault="00540BEC" w:rsidP="00540BEC">
            <w:pPr>
              <w:rPr>
                <w:rFonts w:ascii="Arial" w:hAnsi="Arial" w:cs="Arial"/>
              </w:rPr>
            </w:pPr>
            <w:r w:rsidRPr="51CE6CC3">
              <w:rPr>
                <w:rFonts w:ascii="Arial" w:hAnsi="Arial" w:cs="Arial"/>
              </w:rPr>
              <w:t>Disclosing this information could harm the commercial interests of third parties and Transgrid, as it reveals risk profiles the parties were and were not willing to accept</w:t>
            </w:r>
            <w:r w:rsidRPr="51CE6CC3">
              <w:rPr>
                <w:rFonts w:ascii="Arial" w:eastAsia="Arial" w:hAnsi="Arial" w:cs="Arial"/>
                <w:szCs w:val="21"/>
              </w:rPr>
              <w:t>, which could influence tenderer behaviour in future tender processes and transactions</w:t>
            </w:r>
            <w:r w:rsidRPr="51CE6CC3">
              <w:rPr>
                <w:rFonts w:ascii="Arial" w:hAnsi="Arial" w:cs="Arial"/>
              </w:rPr>
              <w:t>.</w:t>
            </w:r>
          </w:p>
        </w:tc>
        <w:tc>
          <w:tcPr>
            <w:tcW w:w="2552" w:type="dxa"/>
            <w:tcBorders>
              <w:bottom w:val="single" w:sz="2" w:space="0" w:color="BFBFBF" w:themeColor="background1" w:themeShade="BF"/>
            </w:tcBorders>
          </w:tcPr>
          <w:p w14:paraId="289E6031" w14:textId="52BF1A71" w:rsidR="00540BEC" w:rsidRPr="00BF5F1E" w:rsidRDefault="00540BEC" w:rsidP="00540BEC">
            <w:pPr>
              <w:rPr>
                <w:rFonts w:ascii="Arial" w:eastAsia="Arial" w:hAnsi="Arial" w:cs="Arial"/>
              </w:rPr>
            </w:pPr>
            <w:r w:rsidRPr="00AFA7D3">
              <w:rPr>
                <w:rFonts w:ascii="Arial" w:eastAsia="Arial" w:hAnsi="Arial" w:cs="Arial"/>
              </w:rPr>
              <w:t>Protecting sensitive tender information of third parties and Transgrid ensures that Transgrid can obtain competitive pricing and maintain consumer affordability.</w:t>
            </w:r>
          </w:p>
        </w:tc>
        <w:tc>
          <w:tcPr>
            <w:tcW w:w="1275" w:type="dxa"/>
            <w:tcBorders>
              <w:bottom w:val="single" w:sz="2" w:space="0" w:color="BFBFBF" w:themeColor="background1" w:themeShade="BF"/>
            </w:tcBorders>
          </w:tcPr>
          <w:p w14:paraId="4083B2DA" w14:textId="47849701" w:rsidR="00540BEC" w:rsidRPr="462BED03" w:rsidRDefault="00540BEC" w:rsidP="00540BEC">
            <w:pPr>
              <w:rPr>
                <w:rFonts w:ascii="Arial" w:hAnsi="Arial" w:cs="Arial"/>
              </w:rPr>
            </w:pPr>
            <w:r w:rsidRPr="462BED03">
              <w:rPr>
                <w:rFonts w:ascii="Arial" w:hAnsi="Arial" w:cs="Arial"/>
              </w:rPr>
              <w:t xml:space="preserve">2 pages </w:t>
            </w:r>
          </w:p>
        </w:tc>
      </w:tr>
      <w:tr w:rsidR="00540BEC" w:rsidRPr="00BF5F1E" w14:paraId="5AA78907"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12076CF4" w14:textId="7CCA64DD" w:rsidR="00540BEC" w:rsidRDefault="00540BEC" w:rsidP="00540BEC">
            <w:r>
              <w:t>Section 6 Options analysis, p 16</w:t>
            </w:r>
          </w:p>
        </w:tc>
        <w:tc>
          <w:tcPr>
            <w:tcW w:w="1559" w:type="dxa"/>
            <w:tcBorders>
              <w:bottom w:val="single" w:sz="2" w:space="0" w:color="BFBFBF" w:themeColor="background1" w:themeShade="BF"/>
            </w:tcBorders>
            <w:shd w:val="clear" w:color="auto" w:fill="FFFFFF" w:themeFill="background1"/>
          </w:tcPr>
          <w:p w14:paraId="41EB8270" w14:textId="20AB873E" w:rsidR="00540BEC" w:rsidRDefault="00540BEC" w:rsidP="00540BEC">
            <w:pPr>
              <w:rPr>
                <w:rFonts w:ascii="Arial" w:hAnsi="Arial" w:cs="Arial"/>
                <w:color w:val="000000"/>
              </w:rPr>
            </w:pPr>
            <w:r>
              <w:rPr>
                <w:rFonts w:ascii="Arial" w:hAnsi="Arial" w:cs="Arial"/>
                <w:color w:val="000000"/>
              </w:rPr>
              <w:t>Contract terms</w:t>
            </w:r>
          </w:p>
        </w:tc>
        <w:tc>
          <w:tcPr>
            <w:tcW w:w="1701" w:type="dxa"/>
            <w:tcBorders>
              <w:bottom w:val="single" w:sz="2" w:space="0" w:color="BFBFBF" w:themeColor="background1" w:themeShade="BF"/>
            </w:tcBorders>
            <w:shd w:val="clear" w:color="auto" w:fill="FFFFFF" w:themeFill="background1"/>
          </w:tcPr>
          <w:p w14:paraId="02F7EC91" w14:textId="6F700793" w:rsidR="00540BEC" w:rsidRDefault="00540BEC" w:rsidP="00540BEC">
            <w:pPr>
              <w:rPr>
                <w:rFonts w:ascii="Arial" w:hAnsi="Arial" w:cs="Arial"/>
                <w:color w:val="000000"/>
              </w:rPr>
            </w:pPr>
            <w:r>
              <w:rPr>
                <w:rFonts w:ascii="Arial" w:hAnsi="Arial" w:cs="Arial"/>
              </w:rPr>
              <w:t>Contractor information</w:t>
            </w:r>
          </w:p>
        </w:tc>
        <w:tc>
          <w:tcPr>
            <w:tcW w:w="1559" w:type="dxa"/>
            <w:tcBorders>
              <w:bottom w:val="single" w:sz="2" w:space="0" w:color="BFBFBF" w:themeColor="background1" w:themeShade="BF"/>
            </w:tcBorders>
            <w:shd w:val="clear" w:color="auto" w:fill="FFFFFF" w:themeFill="background1"/>
          </w:tcPr>
          <w:p w14:paraId="7C3B1D09" w14:textId="14DB3E61" w:rsidR="00540BEC" w:rsidRDefault="00540BEC" w:rsidP="00540BEC">
            <w:pPr>
              <w:rPr>
                <w:rFonts w:ascii="Arial" w:hAnsi="Arial" w:cs="Arial"/>
                <w:color w:val="000000"/>
              </w:rPr>
            </w:pPr>
            <w:r w:rsidRPr="51CE6CC3">
              <w:rPr>
                <w:rFonts w:ascii="Arial" w:hAnsi="Arial" w:cs="Arial"/>
              </w:rPr>
              <w:t>Market intelligence / other – third party confidentiality</w:t>
            </w:r>
          </w:p>
        </w:tc>
        <w:tc>
          <w:tcPr>
            <w:tcW w:w="1985" w:type="dxa"/>
            <w:tcBorders>
              <w:bottom w:val="single" w:sz="2" w:space="0" w:color="BFBFBF" w:themeColor="background1" w:themeShade="BF"/>
            </w:tcBorders>
            <w:shd w:val="clear" w:color="auto" w:fill="FFFFFF" w:themeFill="background1"/>
          </w:tcPr>
          <w:p w14:paraId="02D5E27A" w14:textId="3EC11594" w:rsidR="00540BEC" w:rsidRDefault="00540BEC" w:rsidP="00540BEC">
            <w:pPr>
              <w:rPr>
                <w:rFonts w:ascii="Arial" w:hAnsi="Arial" w:cs="Arial"/>
              </w:rPr>
            </w:pPr>
            <w:r w:rsidRPr="6BA314AB">
              <w:rPr>
                <w:rFonts w:ascii="Arial" w:eastAsia="Arial" w:hAnsi="Arial" w:cs="Arial"/>
              </w:rPr>
              <w:t>Elecnor Australia maintains that the information is highly commercially and legally sensitive,</w:t>
            </w:r>
            <w:r w:rsidRPr="55488B86">
              <w:rPr>
                <w:rFonts w:ascii="Arial" w:eastAsia="Arial" w:hAnsi="Arial" w:cs="Arial"/>
              </w:rPr>
              <w:t xml:space="preserve"> disclosure of which may prejudice Elecnor Australia’s legal position. </w:t>
            </w:r>
            <w:r w:rsidRPr="2C2A150D">
              <w:rPr>
                <w:rFonts w:ascii="Arial" w:eastAsia="Arial" w:hAnsi="Arial" w:cs="Arial"/>
              </w:rPr>
              <w:t xml:space="preserve"> </w:t>
            </w:r>
          </w:p>
        </w:tc>
        <w:tc>
          <w:tcPr>
            <w:tcW w:w="2551" w:type="dxa"/>
            <w:tcBorders>
              <w:bottom w:val="single" w:sz="2" w:space="0" w:color="BFBFBF" w:themeColor="background1" w:themeShade="BF"/>
            </w:tcBorders>
            <w:shd w:val="clear" w:color="auto" w:fill="FFFFFF" w:themeFill="background1"/>
          </w:tcPr>
          <w:p w14:paraId="625E24A1" w14:textId="31580D9B" w:rsidR="00540BEC" w:rsidRPr="00BF5F1E" w:rsidRDefault="00540BEC" w:rsidP="00540BEC">
            <w:pPr>
              <w:rPr>
                <w:rFonts w:ascii="Arial" w:hAnsi="Arial" w:cs="Arial"/>
              </w:rPr>
            </w:pPr>
            <w:r>
              <w:rPr>
                <w:rFonts w:ascii="Arial" w:hAnsi="Arial" w:cs="Arial"/>
              </w:rPr>
              <w:t xml:space="preserve">Revealing this information </w:t>
            </w:r>
            <w:r w:rsidRPr="7ED2A666">
              <w:rPr>
                <w:rFonts w:ascii="Arial" w:hAnsi="Arial" w:cs="Arial"/>
              </w:rPr>
              <w:t>may prejudice Elecnor Australia’s legal position.</w:t>
            </w:r>
            <w:r w:rsidR="000D40EF">
              <w:rPr>
                <w:rFonts w:ascii="Arial" w:hAnsi="Arial" w:cs="Arial"/>
              </w:rPr>
              <w:t xml:space="preserve"> </w:t>
            </w:r>
            <w:r w:rsidR="000D40EF">
              <w:rPr>
                <w:rFonts w:ascii="Arial" w:eastAsia="Arial" w:hAnsi="Arial" w:cs="Arial"/>
              </w:rPr>
              <w:t xml:space="preserve"> This information is not central to consumers’ understanding of the Application.</w:t>
            </w:r>
            <w:r w:rsidRPr="7ED2A666">
              <w:rPr>
                <w:rFonts w:ascii="Arial" w:hAnsi="Arial" w:cs="Arial"/>
              </w:rPr>
              <w:t xml:space="preserve"> </w:t>
            </w:r>
          </w:p>
        </w:tc>
        <w:tc>
          <w:tcPr>
            <w:tcW w:w="2552" w:type="dxa"/>
            <w:tcBorders>
              <w:bottom w:val="single" w:sz="2" w:space="0" w:color="BFBFBF" w:themeColor="background1" w:themeShade="BF"/>
            </w:tcBorders>
            <w:shd w:val="clear" w:color="auto" w:fill="FFFFFF" w:themeFill="background1"/>
          </w:tcPr>
          <w:p w14:paraId="50B02B2D" w14:textId="68743BD7" w:rsidR="00540BEC" w:rsidRDefault="00540BEC" w:rsidP="00540BEC">
            <w:pPr>
              <w:rPr>
                <w:rFonts w:ascii="Arial" w:hAnsi="Arial" w:cs="Arial"/>
                <w:color w:val="000000"/>
              </w:rPr>
            </w:pPr>
            <w:r w:rsidRPr="16E19166">
              <w:rPr>
                <w:rFonts w:ascii="Arial" w:eastAsia="Arial" w:hAnsi="Arial" w:cs="Arial"/>
              </w:rPr>
              <w:t>Disclosure would outweigh any potential public interest, given the considerable prejudice to Elecnor</w:t>
            </w:r>
            <w:r>
              <w:rPr>
                <w:rFonts w:ascii="Arial" w:eastAsia="Arial" w:hAnsi="Arial" w:cs="Arial"/>
              </w:rPr>
              <w:t xml:space="preserve"> Australia</w:t>
            </w:r>
            <w:r w:rsidRPr="16E19166">
              <w:rPr>
                <w:rFonts w:ascii="Arial" w:eastAsia="Arial" w:hAnsi="Arial" w:cs="Arial"/>
              </w:rPr>
              <w:t xml:space="preserve">. </w:t>
            </w:r>
          </w:p>
        </w:tc>
        <w:tc>
          <w:tcPr>
            <w:tcW w:w="1275" w:type="dxa"/>
            <w:tcBorders>
              <w:bottom w:val="single" w:sz="2" w:space="0" w:color="BFBFBF" w:themeColor="background1" w:themeShade="BF"/>
            </w:tcBorders>
            <w:shd w:val="clear" w:color="auto" w:fill="FFFFFF" w:themeFill="background1"/>
          </w:tcPr>
          <w:p w14:paraId="35F7F868" w14:textId="44140F7C" w:rsidR="00540BEC" w:rsidRPr="462BED03" w:rsidRDefault="00540BEC" w:rsidP="00540BEC">
            <w:pPr>
              <w:rPr>
                <w:rFonts w:ascii="Arial" w:hAnsi="Arial" w:cs="Arial"/>
              </w:rPr>
            </w:pPr>
            <w:r w:rsidRPr="462BED03">
              <w:rPr>
                <w:rFonts w:ascii="Arial" w:hAnsi="Arial" w:cs="Arial"/>
              </w:rPr>
              <w:t>1 page</w:t>
            </w:r>
          </w:p>
        </w:tc>
      </w:tr>
      <w:tr w:rsidR="00540BEC" w:rsidRPr="00BF5F1E" w14:paraId="481C6E37" w14:textId="77777777" w:rsidTr="358799A6">
        <w:trPr>
          <w:cantSplit/>
          <w:trHeight w:val="300"/>
        </w:trPr>
        <w:tc>
          <w:tcPr>
            <w:tcW w:w="15306" w:type="dxa"/>
            <w:gridSpan w:val="8"/>
            <w:tcBorders>
              <w:bottom w:val="single" w:sz="2" w:space="0" w:color="BFBFBF" w:themeColor="background1" w:themeShade="BF"/>
            </w:tcBorders>
            <w:shd w:val="clear" w:color="auto" w:fill="D8EFD7" w:themeFill="accent1" w:themeFillTint="33"/>
          </w:tcPr>
          <w:p w14:paraId="1CD23A89" w14:textId="110D33E9" w:rsidR="00540BEC" w:rsidRDefault="00540BEC" w:rsidP="00540BEC">
            <w:r w:rsidRPr="008943CD">
              <w:rPr>
                <w:b/>
                <w:bCs/>
              </w:rPr>
              <w:t>Appendix 3a</w:t>
            </w:r>
            <w:r>
              <w:rPr>
                <w:b/>
                <w:bCs/>
              </w:rPr>
              <w:t>: Net market benefits assessment</w:t>
            </w:r>
          </w:p>
        </w:tc>
      </w:tr>
      <w:tr w:rsidR="00540BEC" w:rsidRPr="00BF5F1E" w14:paraId="079D8EB6"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4CDE5CF6" w14:textId="25F9DA93" w:rsidR="00540BEC" w:rsidRDefault="00540BEC" w:rsidP="00540BEC">
            <w:r>
              <w:lastRenderedPageBreak/>
              <w:t>Section 2.5.2 Cost to complete PEC, p 16</w:t>
            </w:r>
          </w:p>
        </w:tc>
        <w:tc>
          <w:tcPr>
            <w:tcW w:w="1559" w:type="dxa"/>
            <w:tcBorders>
              <w:bottom w:val="single" w:sz="2" w:space="0" w:color="BFBFBF" w:themeColor="background1" w:themeShade="BF"/>
            </w:tcBorders>
            <w:shd w:val="clear" w:color="auto" w:fill="FFFFFF" w:themeFill="background1"/>
          </w:tcPr>
          <w:p w14:paraId="09A130C6" w14:textId="4E62CB75" w:rsidR="00540BEC" w:rsidRDefault="00540BEC" w:rsidP="00540BEC">
            <w:pPr>
              <w:rPr>
                <w:rFonts w:ascii="Arial" w:hAnsi="Arial" w:cs="Arial"/>
              </w:rPr>
            </w:pPr>
            <w:r>
              <w:rPr>
                <w:rFonts w:ascii="Arial" w:hAnsi="Arial" w:cs="Arial"/>
              </w:rPr>
              <w:t>Adjustment for escalation</w:t>
            </w:r>
          </w:p>
        </w:tc>
        <w:tc>
          <w:tcPr>
            <w:tcW w:w="1701" w:type="dxa"/>
            <w:tcBorders>
              <w:bottom w:val="single" w:sz="2" w:space="0" w:color="BFBFBF" w:themeColor="background1" w:themeShade="BF"/>
            </w:tcBorders>
            <w:shd w:val="clear" w:color="auto" w:fill="FFFFFF" w:themeFill="background1"/>
          </w:tcPr>
          <w:p w14:paraId="07D8C286" w14:textId="148537E9" w:rsidR="00540BEC" w:rsidRDefault="00540BEC" w:rsidP="00540BEC">
            <w:pPr>
              <w:rPr>
                <w:rFonts w:ascii="Arial" w:hAnsi="Arial" w:cs="Arial"/>
              </w:rPr>
            </w:pPr>
            <w:r>
              <w:rPr>
                <w:rFonts w:ascii="Arial" w:hAnsi="Arial" w:cs="Arial"/>
              </w:rPr>
              <w:t>Options analysis</w:t>
            </w:r>
          </w:p>
        </w:tc>
        <w:tc>
          <w:tcPr>
            <w:tcW w:w="1559" w:type="dxa"/>
            <w:tcBorders>
              <w:bottom w:val="single" w:sz="2" w:space="0" w:color="BFBFBF" w:themeColor="background1" w:themeShade="BF"/>
            </w:tcBorders>
            <w:shd w:val="clear" w:color="auto" w:fill="FFFFFF" w:themeFill="background1"/>
          </w:tcPr>
          <w:p w14:paraId="21AB30B3" w14:textId="0E49CF24" w:rsidR="00540BEC" w:rsidRPr="004B44E8" w:rsidRDefault="00540BEC" w:rsidP="00540BEC">
            <w:r w:rsidRPr="004B44E8">
              <w:t>Market sensitive cost input</w:t>
            </w:r>
            <w:r>
              <w:t>s /</w:t>
            </w:r>
            <w:r w:rsidRPr="004B44E8">
              <w:t xml:space="preserve"> market intelligence</w:t>
            </w:r>
          </w:p>
        </w:tc>
        <w:tc>
          <w:tcPr>
            <w:tcW w:w="1985" w:type="dxa"/>
            <w:tcBorders>
              <w:bottom w:val="single" w:sz="2" w:space="0" w:color="BFBFBF" w:themeColor="background1" w:themeShade="BF"/>
            </w:tcBorders>
            <w:shd w:val="clear" w:color="auto" w:fill="FFFFFF" w:themeFill="background1"/>
          </w:tcPr>
          <w:p w14:paraId="3F780856" w14:textId="3BE5EFAB" w:rsidR="00540BEC" w:rsidRPr="00AC26A2" w:rsidRDefault="00540BEC" w:rsidP="00540BEC">
            <w:pPr>
              <w:rPr>
                <w:color w:val="FF0000"/>
              </w:rPr>
            </w:pPr>
            <w:r>
              <w:t>The information reveals</w:t>
            </w:r>
            <w:r w:rsidRPr="004B44E8">
              <w:t xml:space="preserve"> details of </w:t>
            </w:r>
            <w:r>
              <w:t xml:space="preserve">adjustments </w:t>
            </w:r>
            <w:r w:rsidRPr="004B44E8">
              <w:t>that</w:t>
            </w:r>
            <w:r>
              <w:t xml:space="preserve"> Transgrid considered was required to rectify the adverse consequences of Contract Failure. This information is confidential and commercially sensitive to </w:t>
            </w:r>
            <w:r w:rsidRPr="004B44E8">
              <w:t>Transgrid.</w:t>
            </w:r>
          </w:p>
        </w:tc>
        <w:tc>
          <w:tcPr>
            <w:tcW w:w="2551" w:type="dxa"/>
            <w:tcBorders>
              <w:bottom w:val="single" w:sz="2" w:space="0" w:color="BFBFBF" w:themeColor="background1" w:themeShade="BF"/>
            </w:tcBorders>
            <w:shd w:val="clear" w:color="auto" w:fill="FFFFFF" w:themeFill="background1"/>
          </w:tcPr>
          <w:p w14:paraId="7AE4A5C1" w14:textId="75FD7541" w:rsidR="00540BEC" w:rsidRPr="004B44E8" w:rsidRDefault="00540BEC" w:rsidP="00540BEC">
            <w:r w:rsidRPr="00F25E01">
              <w:t>Disclosure of the forward</w:t>
            </w:r>
            <w:r w:rsidRPr="00F25E01">
              <w:rPr>
                <w:rFonts w:ascii="Cambria Math" w:hAnsi="Cambria Math" w:cs="Cambria Math"/>
              </w:rPr>
              <w:t>‑</w:t>
            </w:r>
            <w:r w:rsidRPr="00F25E01">
              <w:t>looking escalation</w:t>
            </w:r>
            <w:r>
              <w:t xml:space="preserve"> adjustment</w:t>
            </w:r>
            <w:r w:rsidRPr="00F25E01">
              <w:t xml:space="preserve"> amounts would cause a material detriment to Transgrid by revealing commercially sensitive information that could adversely affect future procurement, contract negotiations, and market interactions. These figures reflect Transgrid</w:t>
            </w:r>
            <w:r w:rsidRPr="00F25E01">
              <w:rPr>
                <w:rFonts w:ascii="Arial" w:hAnsi="Arial" w:cs="Arial"/>
              </w:rPr>
              <w:t>’</w:t>
            </w:r>
            <w:r w:rsidRPr="00F25E01">
              <w:t xml:space="preserve">s internal cost expectations, pricing assumptions, and commercial strategy. If made public, counterparties could use this information to influence their pricing behaviour, reduce competitive tension, or anchor future </w:t>
            </w:r>
            <w:r w:rsidRPr="009076FF">
              <w:t>claims</w:t>
            </w:r>
            <w:r w:rsidRPr="00F25E01">
              <w:t xml:space="preserve"> or bids to Transgrid’s</w:t>
            </w:r>
            <w:r>
              <w:t xml:space="preserve"> detriment.</w:t>
            </w:r>
          </w:p>
        </w:tc>
        <w:tc>
          <w:tcPr>
            <w:tcW w:w="2552" w:type="dxa"/>
            <w:tcBorders>
              <w:bottom w:val="single" w:sz="2" w:space="0" w:color="BFBFBF" w:themeColor="background1" w:themeShade="BF"/>
            </w:tcBorders>
            <w:shd w:val="clear" w:color="auto" w:fill="FFFFFF" w:themeFill="background1"/>
          </w:tcPr>
          <w:p w14:paraId="30B7C723" w14:textId="4E3F3BBE" w:rsidR="00540BEC" w:rsidRPr="004B44E8" w:rsidRDefault="00540BEC" w:rsidP="00540BEC">
            <w:pPr>
              <w:rPr>
                <w:rFonts w:eastAsia="Arial"/>
                <w:color w:val="auto"/>
                <w:lang w:eastAsia="en-AU"/>
              </w:rPr>
            </w:pPr>
            <w:r w:rsidRPr="005939B7">
              <w:rPr>
                <w:rFonts w:eastAsia="Arial"/>
                <w:color w:val="auto"/>
                <w:lang w:eastAsia="en-AU"/>
              </w:rPr>
              <w:t xml:space="preserve">The public benefit of disclosing this information is limited. The AER </w:t>
            </w:r>
            <w:proofErr w:type="gramStart"/>
            <w:r w:rsidRPr="005939B7">
              <w:rPr>
                <w:rFonts w:eastAsia="Arial"/>
                <w:color w:val="auto"/>
                <w:lang w:eastAsia="en-AU"/>
              </w:rPr>
              <w:t>is able to</w:t>
            </w:r>
            <w:proofErr w:type="gramEnd"/>
            <w:r w:rsidRPr="005939B7">
              <w:rPr>
                <w:rFonts w:eastAsia="Arial"/>
                <w:color w:val="auto"/>
                <w:lang w:eastAsia="en-AU"/>
              </w:rPr>
              <w:t xml:space="preserve"> assess the prudency and efficiency of the project without the publication of granular forward</w:t>
            </w:r>
            <w:r w:rsidRPr="005939B7">
              <w:rPr>
                <w:rFonts w:ascii="Cambria Math" w:eastAsia="Arial" w:hAnsi="Cambria Math" w:cs="Cambria Math"/>
                <w:color w:val="auto"/>
                <w:lang w:eastAsia="en-AU"/>
              </w:rPr>
              <w:t>‑</w:t>
            </w:r>
            <w:r w:rsidRPr="005939B7">
              <w:rPr>
                <w:rFonts w:eastAsia="Arial"/>
                <w:color w:val="auto"/>
                <w:lang w:eastAsia="en-AU"/>
              </w:rPr>
              <w:t xml:space="preserve">looking escalation amounts, and the broader public does not require access to this level of commercially sensitive detail to understand the basis of the </w:t>
            </w:r>
            <w:r>
              <w:rPr>
                <w:rFonts w:eastAsia="Arial"/>
                <w:color w:val="auto"/>
                <w:lang w:eastAsia="en-AU"/>
              </w:rPr>
              <w:t>A</w:t>
            </w:r>
            <w:r w:rsidRPr="005939B7">
              <w:rPr>
                <w:rFonts w:eastAsia="Arial"/>
                <w:color w:val="auto"/>
                <w:lang w:eastAsia="en-AU"/>
              </w:rPr>
              <w:t>pplication.</w:t>
            </w:r>
          </w:p>
        </w:tc>
        <w:tc>
          <w:tcPr>
            <w:tcW w:w="1275" w:type="dxa"/>
            <w:tcBorders>
              <w:bottom w:val="single" w:sz="2" w:space="0" w:color="BFBFBF" w:themeColor="background1" w:themeShade="BF"/>
            </w:tcBorders>
            <w:shd w:val="clear" w:color="auto" w:fill="FFFFFF" w:themeFill="background1"/>
          </w:tcPr>
          <w:p w14:paraId="155F6475" w14:textId="313D6A9B" w:rsidR="00540BEC" w:rsidRDefault="00540BEC" w:rsidP="00540BEC">
            <w:pPr>
              <w:rPr>
                <w:rFonts w:ascii="Arial" w:hAnsi="Arial" w:cs="Arial"/>
              </w:rPr>
            </w:pPr>
            <w:r>
              <w:rPr>
                <w:rFonts w:ascii="Arial" w:hAnsi="Arial" w:cs="Arial"/>
              </w:rPr>
              <w:t>1 page</w:t>
            </w:r>
          </w:p>
        </w:tc>
      </w:tr>
      <w:tr w:rsidR="00540BEC" w:rsidRPr="00BF5F1E" w14:paraId="7298F26C"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22228607" w14:textId="5BFE6FF0" w:rsidR="00540BEC" w:rsidRDefault="00540BEC" w:rsidP="00540BEC">
            <w:r>
              <w:t>Section 2.5.5, (including Table 6), p 17</w:t>
            </w:r>
          </w:p>
        </w:tc>
        <w:tc>
          <w:tcPr>
            <w:tcW w:w="1559" w:type="dxa"/>
            <w:tcBorders>
              <w:bottom w:val="single" w:sz="2" w:space="0" w:color="BFBFBF" w:themeColor="background1" w:themeShade="BF"/>
            </w:tcBorders>
            <w:shd w:val="clear" w:color="auto" w:fill="FFFFFF" w:themeFill="background1"/>
          </w:tcPr>
          <w:p w14:paraId="69B80D09" w14:textId="4C55864E" w:rsidR="00540BEC" w:rsidRDefault="00540BEC" w:rsidP="00540BEC">
            <w:pPr>
              <w:rPr>
                <w:rFonts w:ascii="Arial" w:hAnsi="Arial" w:cs="Arial"/>
              </w:rPr>
            </w:pPr>
            <w:r w:rsidRPr="3570FF82">
              <w:rPr>
                <w:rFonts w:ascii="Arial" w:hAnsi="Arial" w:cs="Arial"/>
              </w:rPr>
              <w:t xml:space="preserve">Estimates of amounts available under </w:t>
            </w:r>
            <w:r>
              <w:rPr>
                <w:rFonts w:ascii="Arial" w:hAnsi="Arial" w:cs="Arial"/>
              </w:rPr>
              <w:t>contractual arrangements</w:t>
            </w:r>
          </w:p>
          <w:p w14:paraId="217C701E" w14:textId="769516BF" w:rsidR="00540BEC" w:rsidRDefault="00540BEC" w:rsidP="00540BEC">
            <w:pPr>
              <w:rPr>
                <w:rFonts w:ascii="Arial" w:hAnsi="Arial" w:cs="Arial"/>
              </w:rPr>
            </w:pPr>
          </w:p>
        </w:tc>
        <w:tc>
          <w:tcPr>
            <w:tcW w:w="1701" w:type="dxa"/>
            <w:tcBorders>
              <w:bottom w:val="single" w:sz="2" w:space="0" w:color="BFBFBF" w:themeColor="background1" w:themeShade="BF"/>
            </w:tcBorders>
            <w:shd w:val="clear" w:color="auto" w:fill="FFFFFF" w:themeFill="background1"/>
          </w:tcPr>
          <w:p w14:paraId="3DE603DE" w14:textId="07530F82" w:rsidR="00540BEC" w:rsidRDefault="00540BEC" w:rsidP="00540BEC">
            <w:pPr>
              <w:rPr>
                <w:rFonts w:ascii="Arial" w:hAnsi="Arial" w:cs="Arial"/>
                <w:color w:val="000000"/>
              </w:rPr>
            </w:pPr>
            <w:r w:rsidRPr="3570FF82">
              <w:rPr>
                <w:rFonts w:ascii="Arial" w:hAnsi="Arial" w:cs="Arial"/>
              </w:rPr>
              <w:t xml:space="preserve">Estimate of external contributions </w:t>
            </w:r>
            <w:r w:rsidRPr="3ED11A25">
              <w:rPr>
                <w:rFonts w:ascii="Arial" w:hAnsi="Arial" w:cs="Arial"/>
              </w:rPr>
              <w:t xml:space="preserve">for each rectification option recoverable </w:t>
            </w:r>
            <w:r w:rsidRPr="3570FF82">
              <w:rPr>
                <w:rFonts w:ascii="Arial" w:hAnsi="Arial" w:cs="Arial"/>
              </w:rPr>
              <w:lastRenderedPageBreak/>
              <w:t xml:space="preserve">under the EPC </w:t>
            </w:r>
            <w:r>
              <w:rPr>
                <w:rFonts w:ascii="Arial" w:hAnsi="Arial" w:cs="Arial"/>
              </w:rPr>
              <w:t>c</w:t>
            </w:r>
            <w:r w:rsidRPr="3570FF82">
              <w:rPr>
                <w:rFonts w:ascii="Arial" w:hAnsi="Arial" w:cs="Arial"/>
              </w:rPr>
              <w:t>ontract</w:t>
            </w:r>
          </w:p>
        </w:tc>
        <w:tc>
          <w:tcPr>
            <w:tcW w:w="1559" w:type="dxa"/>
            <w:tcBorders>
              <w:bottom w:val="single" w:sz="2" w:space="0" w:color="BFBFBF" w:themeColor="background1" w:themeShade="BF"/>
            </w:tcBorders>
            <w:shd w:val="clear" w:color="auto" w:fill="FFFFFF" w:themeFill="background1"/>
          </w:tcPr>
          <w:p w14:paraId="3C2F34BD" w14:textId="3A70D6A3" w:rsidR="00540BEC" w:rsidRDefault="00540BEC" w:rsidP="00540BEC">
            <w:pPr>
              <w:rPr>
                <w:rFonts w:ascii="Arial" w:hAnsi="Arial" w:cs="Arial"/>
                <w:color w:val="000000"/>
              </w:rPr>
            </w:pPr>
            <w:r w:rsidRPr="3570FF82">
              <w:rPr>
                <w:rFonts w:ascii="Arial" w:hAnsi="Arial" w:cs="Arial"/>
              </w:rPr>
              <w:lastRenderedPageBreak/>
              <w:t>Market intelligence / other – third party confidentiality</w:t>
            </w:r>
          </w:p>
        </w:tc>
        <w:tc>
          <w:tcPr>
            <w:tcW w:w="1985" w:type="dxa"/>
            <w:tcBorders>
              <w:bottom w:val="single" w:sz="2" w:space="0" w:color="BFBFBF" w:themeColor="background1" w:themeShade="BF"/>
            </w:tcBorders>
            <w:shd w:val="clear" w:color="auto" w:fill="FFFFFF" w:themeFill="background1"/>
          </w:tcPr>
          <w:p w14:paraId="488D5979" w14:textId="1B74C892" w:rsidR="00540BEC" w:rsidRDefault="00540BEC" w:rsidP="00540BEC">
            <w:pPr>
              <w:rPr>
                <w:rFonts w:ascii="Arial" w:hAnsi="Arial" w:cs="Arial"/>
              </w:rPr>
            </w:pPr>
            <w:r w:rsidRPr="3570FF82">
              <w:rPr>
                <w:rFonts w:ascii="Arial" w:hAnsi="Arial" w:cs="Arial"/>
              </w:rPr>
              <w:t xml:space="preserve">The external contribution amounts under the EPC </w:t>
            </w:r>
            <w:r>
              <w:rPr>
                <w:rFonts w:ascii="Arial" w:hAnsi="Arial" w:cs="Arial"/>
              </w:rPr>
              <w:t>c</w:t>
            </w:r>
            <w:r w:rsidRPr="3570FF82">
              <w:rPr>
                <w:rFonts w:ascii="Arial" w:hAnsi="Arial" w:cs="Arial"/>
              </w:rPr>
              <w:t xml:space="preserve">ontract are highly commercially sensitive to Elecnor Australia </w:t>
            </w:r>
            <w:r w:rsidRPr="3570FF82">
              <w:rPr>
                <w:rFonts w:ascii="Arial" w:hAnsi="Arial" w:cs="Arial"/>
              </w:rPr>
              <w:lastRenderedPageBreak/>
              <w:t xml:space="preserve">and its parent company. </w:t>
            </w:r>
            <w:r w:rsidRPr="63A845C1">
              <w:rPr>
                <w:rFonts w:ascii="Arial" w:hAnsi="Arial" w:cs="Arial"/>
              </w:rPr>
              <w:t xml:space="preserve">Elecnor Australia maintains that the information is highly commercially and legally sensitive disclosure of </w:t>
            </w:r>
            <w:r w:rsidRPr="3479399D">
              <w:rPr>
                <w:rFonts w:ascii="Arial" w:hAnsi="Arial" w:cs="Arial"/>
              </w:rPr>
              <w:t xml:space="preserve">which may prejudice Elecnor Australia’s legal position. </w:t>
            </w:r>
          </w:p>
          <w:p w14:paraId="7A070F5F" w14:textId="6A3F5457" w:rsidR="00540BEC" w:rsidRDefault="00540BEC" w:rsidP="00540BEC">
            <w:pPr>
              <w:rPr>
                <w:rFonts w:ascii="Arial" w:hAnsi="Arial" w:cs="Arial"/>
              </w:rPr>
            </w:pPr>
            <w:r w:rsidRPr="3ED11A25">
              <w:rPr>
                <w:rFonts w:ascii="Arial" w:hAnsi="Arial" w:cs="Arial"/>
              </w:rPr>
              <w:t>Certain</w:t>
            </w:r>
            <w:r w:rsidRPr="001064F9">
              <w:rPr>
                <w:rFonts w:ascii="Arial" w:hAnsi="Arial" w:cs="Arial"/>
              </w:rPr>
              <w:t xml:space="preserve"> assumptions referenced in the further options analysis</w:t>
            </w:r>
            <w:r>
              <w:rPr>
                <w:rFonts w:ascii="Arial" w:hAnsi="Arial" w:cs="Arial"/>
              </w:rPr>
              <w:t xml:space="preserve"> </w:t>
            </w:r>
            <w:r w:rsidRPr="3ED11A25">
              <w:rPr>
                <w:rFonts w:ascii="Arial" w:hAnsi="Arial" w:cs="Arial"/>
              </w:rPr>
              <w:t xml:space="preserve">are also confidential and commercially sensitive, </w:t>
            </w:r>
            <w:r w:rsidRPr="001064F9">
              <w:rPr>
                <w:rFonts w:ascii="Arial" w:hAnsi="Arial" w:cs="Arial"/>
              </w:rPr>
              <w:t>as disclosure could prejudice Transgrid’s commercial position in future negotiations or proceedings.</w:t>
            </w:r>
          </w:p>
        </w:tc>
        <w:tc>
          <w:tcPr>
            <w:tcW w:w="2551" w:type="dxa"/>
            <w:tcBorders>
              <w:bottom w:val="single" w:sz="2" w:space="0" w:color="BFBFBF" w:themeColor="background1" w:themeShade="BF"/>
            </w:tcBorders>
            <w:shd w:val="clear" w:color="auto" w:fill="FFFFFF" w:themeFill="background1"/>
          </w:tcPr>
          <w:p w14:paraId="06B559EF" w14:textId="77777777" w:rsidR="0071525A" w:rsidRDefault="0071525A" w:rsidP="0071525A">
            <w:pPr>
              <w:rPr>
                <w:rFonts w:ascii="Arial" w:hAnsi="Arial" w:cs="Arial"/>
              </w:rPr>
            </w:pPr>
            <w:r w:rsidRPr="3570FF82">
              <w:rPr>
                <w:rFonts w:ascii="Arial" w:hAnsi="Arial" w:cs="Arial"/>
              </w:rPr>
              <w:lastRenderedPageBreak/>
              <w:t>Disclosing the external contribution amounts</w:t>
            </w:r>
            <w:r w:rsidRPr="3ED11A25">
              <w:rPr>
                <w:rFonts w:ascii="Arial" w:hAnsi="Arial" w:cs="Arial"/>
              </w:rPr>
              <w:t xml:space="preserve"> </w:t>
            </w:r>
            <w:r w:rsidRPr="3570FF82">
              <w:rPr>
                <w:rFonts w:ascii="Arial" w:hAnsi="Arial" w:cs="Arial"/>
              </w:rPr>
              <w:t xml:space="preserve">could prejudice Elecnor Australia’s </w:t>
            </w:r>
            <w:r w:rsidRPr="3FC7D0E7">
              <w:rPr>
                <w:rFonts w:ascii="Arial" w:hAnsi="Arial" w:cs="Arial"/>
              </w:rPr>
              <w:t>legal position</w:t>
            </w:r>
            <w:r w:rsidRPr="3570FF82">
              <w:rPr>
                <w:rFonts w:ascii="Arial" w:hAnsi="Arial" w:cs="Arial"/>
              </w:rPr>
              <w:t xml:space="preserve">. It would also potentially harm the commercial interests of Elecnor Australia’s parent </w:t>
            </w:r>
            <w:r w:rsidRPr="3570FF82">
              <w:rPr>
                <w:rFonts w:ascii="Arial" w:hAnsi="Arial" w:cs="Arial"/>
              </w:rPr>
              <w:lastRenderedPageBreak/>
              <w:t>company in future negotiations and contractual arrangements.</w:t>
            </w:r>
            <w:r>
              <w:rPr>
                <w:rFonts w:ascii="Arial" w:hAnsi="Arial" w:cs="Arial"/>
              </w:rPr>
              <w:t xml:space="preserve"> </w:t>
            </w:r>
          </w:p>
          <w:p w14:paraId="7BE5B21C" w14:textId="477BDFBB" w:rsidR="00540BEC" w:rsidRDefault="0071525A" w:rsidP="0071525A">
            <w:pPr>
              <w:rPr>
                <w:rFonts w:ascii="Arial" w:hAnsi="Arial" w:cs="Arial"/>
              </w:rPr>
            </w:pPr>
            <w:r>
              <w:rPr>
                <w:rFonts w:ascii="Arial" w:hAnsi="Arial" w:cs="Arial"/>
                <w:color w:val="000000"/>
              </w:rPr>
              <w:t>Further, the information relates to commercially sensitive future negotiations and potential recovery actions, which could be undermined through disclosure.</w:t>
            </w:r>
            <w:r w:rsidRPr="3570FF82">
              <w:rPr>
                <w:rFonts w:ascii="Arial" w:hAnsi="Arial" w:cs="Arial"/>
              </w:rPr>
              <w:t xml:space="preserve"> </w:t>
            </w:r>
          </w:p>
        </w:tc>
        <w:tc>
          <w:tcPr>
            <w:tcW w:w="2552" w:type="dxa"/>
            <w:tcBorders>
              <w:bottom w:val="single" w:sz="2" w:space="0" w:color="BFBFBF" w:themeColor="background1" w:themeShade="BF"/>
            </w:tcBorders>
            <w:shd w:val="clear" w:color="auto" w:fill="FFFFFF" w:themeFill="background1"/>
          </w:tcPr>
          <w:p w14:paraId="451957B0" w14:textId="77777777" w:rsidR="003E75BD" w:rsidRDefault="003E75BD" w:rsidP="003E75BD">
            <w:pPr>
              <w:rPr>
                <w:rFonts w:ascii="Arial" w:hAnsi="Arial" w:cs="Arial"/>
              </w:rPr>
            </w:pPr>
            <w:r>
              <w:rPr>
                <w:rFonts w:ascii="Arial" w:hAnsi="Arial" w:cs="Arial"/>
              </w:rPr>
              <w:lastRenderedPageBreak/>
              <w:t>Revealing contribution amounts</w:t>
            </w:r>
            <w:r w:rsidRPr="3570FF82">
              <w:rPr>
                <w:rFonts w:ascii="Arial" w:hAnsi="Arial" w:cs="Arial"/>
              </w:rPr>
              <w:t xml:space="preserve"> </w:t>
            </w:r>
            <w:r>
              <w:rPr>
                <w:rFonts w:ascii="Arial" w:hAnsi="Arial" w:cs="Arial"/>
              </w:rPr>
              <w:t xml:space="preserve">would cause </w:t>
            </w:r>
            <w:r w:rsidRPr="3570FF82">
              <w:rPr>
                <w:rFonts w:ascii="Arial" w:hAnsi="Arial" w:cs="Arial"/>
              </w:rPr>
              <w:t xml:space="preserve">significant </w:t>
            </w:r>
            <w:r>
              <w:rPr>
                <w:rFonts w:ascii="Arial" w:hAnsi="Arial" w:cs="Arial"/>
              </w:rPr>
              <w:t xml:space="preserve">legal and </w:t>
            </w:r>
            <w:r w:rsidRPr="3570FF82">
              <w:rPr>
                <w:rFonts w:ascii="Arial" w:hAnsi="Arial" w:cs="Arial"/>
              </w:rPr>
              <w:t>commercial detriment to Elecnor Australia and its parent company.</w:t>
            </w:r>
            <w:r>
              <w:rPr>
                <w:rFonts w:ascii="Arial" w:hAnsi="Arial" w:cs="Arial"/>
              </w:rPr>
              <w:t xml:space="preserve"> </w:t>
            </w:r>
          </w:p>
          <w:p w14:paraId="7845C8A3" w14:textId="77777777" w:rsidR="003E75BD" w:rsidRDefault="003E75BD" w:rsidP="003E75BD">
            <w:pPr>
              <w:rPr>
                <w:rFonts w:ascii="Arial" w:hAnsi="Arial" w:cs="Arial"/>
              </w:rPr>
            </w:pPr>
            <w:r w:rsidRPr="0BAE85EF">
              <w:rPr>
                <w:rFonts w:ascii="Arial" w:hAnsi="Arial" w:cs="Arial"/>
              </w:rPr>
              <w:t xml:space="preserve">Public disclosure of this information would </w:t>
            </w:r>
            <w:r w:rsidRPr="4C5A54E6">
              <w:rPr>
                <w:rFonts w:ascii="Arial" w:hAnsi="Arial" w:cs="Arial"/>
              </w:rPr>
              <w:t xml:space="preserve">also </w:t>
            </w:r>
            <w:r w:rsidRPr="0BAE85EF">
              <w:rPr>
                <w:rFonts w:ascii="Arial" w:hAnsi="Arial" w:cs="Arial"/>
              </w:rPr>
              <w:lastRenderedPageBreak/>
              <w:t xml:space="preserve">undermine Transgrid’s ability to secure the best commercial outcome for consumers, </w:t>
            </w:r>
            <w:r w:rsidRPr="4C5A54E6">
              <w:rPr>
                <w:rFonts w:ascii="Arial" w:hAnsi="Arial" w:cs="Arial"/>
              </w:rPr>
              <w:t xml:space="preserve">by disclosing its commercial negotiations and </w:t>
            </w:r>
            <w:r>
              <w:rPr>
                <w:rFonts w:ascii="Arial" w:hAnsi="Arial" w:cs="Arial"/>
              </w:rPr>
              <w:t>related information</w:t>
            </w:r>
            <w:r w:rsidRPr="4C5A54E6">
              <w:rPr>
                <w:rFonts w:ascii="Arial" w:hAnsi="Arial" w:cs="Arial"/>
              </w:rPr>
              <w:t xml:space="preserve">. </w:t>
            </w:r>
          </w:p>
          <w:p w14:paraId="35EECD17" w14:textId="3B88C6C1" w:rsidR="00540BEC" w:rsidRDefault="003E75BD" w:rsidP="00540BEC">
            <w:pPr>
              <w:rPr>
                <w:rFonts w:ascii="Arial" w:hAnsi="Arial" w:cs="Arial"/>
              </w:rPr>
            </w:pPr>
            <w:r>
              <w:rPr>
                <w:rFonts w:ascii="Arial" w:hAnsi="Arial" w:cs="Arial"/>
              </w:rPr>
              <w:t>In the Application, Transgrid describes the drivers for differences in the options amounts, which allows the public to infer the relative value of the commercial consequences without disclosing the exact values.</w:t>
            </w:r>
          </w:p>
        </w:tc>
        <w:tc>
          <w:tcPr>
            <w:tcW w:w="1275" w:type="dxa"/>
            <w:tcBorders>
              <w:bottom w:val="single" w:sz="2" w:space="0" w:color="BFBFBF" w:themeColor="background1" w:themeShade="BF"/>
            </w:tcBorders>
            <w:shd w:val="clear" w:color="auto" w:fill="FFFFFF" w:themeFill="background1"/>
          </w:tcPr>
          <w:p w14:paraId="65CDAC87" w14:textId="26006C20" w:rsidR="00540BEC" w:rsidRDefault="00540BEC" w:rsidP="00540BEC">
            <w:pPr>
              <w:rPr>
                <w:rFonts w:ascii="Arial" w:hAnsi="Arial" w:cs="Arial"/>
              </w:rPr>
            </w:pPr>
            <w:r w:rsidRPr="3570FF82">
              <w:rPr>
                <w:rFonts w:ascii="Arial" w:hAnsi="Arial" w:cs="Arial"/>
              </w:rPr>
              <w:lastRenderedPageBreak/>
              <w:t>1 page</w:t>
            </w:r>
          </w:p>
        </w:tc>
      </w:tr>
      <w:tr w:rsidR="00540BEC" w:rsidRPr="00BF5F1E" w14:paraId="691CC25A" w14:textId="77777777" w:rsidTr="358799A6">
        <w:trPr>
          <w:cantSplit/>
          <w:trHeight w:val="300"/>
        </w:trPr>
        <w:tc>
          <w:tcPr>
            <w:tcW w:w="15306" w:type="dxa"/>
            <w:gridSpan w:val="8"/>
            <w:tcBorders>
              <w:bottom w:val="single" w:sz="2" w:space="0" w:color="BFBFBF" w:themeColor="background1" w:themeShade="BF"/>
            </w:tcBorders>
            <w:shd w:val="clear" w:color="auto" w:fill="D8EFD7" w:themeFill="accent1" w:themeFillTint="33"/>
          </w:tcPr>
          <w:p w14:paraId="7078E602" w14:textId="5AC4BABF" w:rsidR="00540BEC" w:rsidRPr="00C77E48" w:rsidRDefault="00540BEC" w:rsidP="00540BEC">
            <w:pPr>
              <w:rPr>
                <w:b/>
                <w:bCs/>
              </w:rPr>
            </w:pPr>
            <w:r w:rsidRPr="00C77E48">
              <w:rPr>
                <w:b/>
                <w:bCs/>
              </w:rPr>
              <w:t>Appendi</w:t>
            </w:r>
            <w:r>
              <w:rPr>
                <w:b/>
                <w:bCs/>
              </w:rPr>
              <w:t xml:space="preserve">ces </w:t>
            </w:r>
            <w:r w:rsidRPr="00C77E48">
              <w:rPr>
                <w:b/>
                <w:bCs/>
              </w:rPr>
              <w:t>3b</w:t>
            </w:r>
            <w:r>
              <w:rPr>
                <w:b/>
                <w:bCs/>
              </w:rPr>
              <w:t xml:space="preserve"> and 3c</w:t>
            </w:r>
            <w:r w:rsidRPr="00C77E48">
              <w:rPr>
                <w:b/>
                <w:bCs/>
              </w:rPr>
              <w:t>: Net market benefits NPV model</w:t>
            </w:r>
          </w:p>
        </w:tc>
      </w:tr>
      <w:tr w:rsidR="00540BEC" w:rsidRPr="00BF5F1E" w14:paraId="54F43FA1" w14:textId="77777777" w:rsidTr="358799A6">
        <w:trPr>
          <w:cantSplit/>
          <w:trHeight w:val="300"/>
        </w:trPr>
        <w:tc>
          <w:tcPr>
            <w:tcW w:w="2124" w:type="dxa"/>
            <w:tcBorders>
              <w:bottom w:val="single" w:sz="2" w:space="0" w:color="BFBFBF" w:themeColor="background1" w:themeShade="BF"/>
            </w:tcBorders>
          </w:tcPr>
          <w:p w14:paraId="76F884CA" w14:textId="227617E5" w:rsidR="00540BEC" w:rsidRPr="0002489F" w:rsidRDefault="00540BEC" w:rsidP="00540BEC">
            <w:pPr>
              <w:rPr>
                <w:rFonts w:ascii="Arial" w:eastAsiaTheme="majorEastAsia" w:hAnsi="Arial" w:cs="Arial"/>
                <w:color w:val="auto"/>
                <w:lang w:eastAsia="en-AU"/>
              </w:rPr>
            </w:pPr>
            <w:r>
              <w:rPr>
                <w:rFonts w:ascii="Arial" w:eastAsiaTheme="majorEastAsia" w:hAnsi="Arial" w:cs="Arial"/>
                <w:color w:val="auto"/>
                <w:lang w:eastAsia="en-AU"/>
              </w:rPr>
              <w:t>Refer to section 2 for document locations and cell references</w:t>
            </w:r>
          </w:p>
        </w:tc>
        <w:tc>
          <w:tcPr>
            <w:tcW w:w="1559" w:type="dxa"/>
            <w:tcBorders>
              <w:bottom w:val="single" w:sz="2" w:space="0" w:color="BFBFBF" w:themeColor="background1" w:themeShade="BF"/>
            </w:tcBorders>
          </w:tcPr>
          <w:p w14:paraId="370B2B33" w14:textId="3D9959CE" w:rsidR="00540BEC" w:rsidRDefault="00540BEC" w:rsidP="00540BEC">
            <w:pPr>
              <w:rPr>
                <w:rFonts w:ascii="Arial" w:hAnsi="Arial" w:cs="Arial"/>
                <w:color w:val="000000"/>
              </w:rPr>
            </w:pPr>
            <w:r w:rsidRPr="0113C515">
              <w:rPr>
                <w:rFonts w:ascii="Arial" w:hAnsi="Arial" w:cs="Arial"/>
              </w:rPr>
              <w:t xml:space="preserve">External contribution amounts </w:t>
            </w:r>
          </w:p>
        </w:tc>
        <w:tc>
          <w:tcPr>
            <w:tcW w:w="1701" w:type="dxa"/>
            <w:tcBorders>
              <w:bottom w:val="single" w:sz="2" w:space="0" w:color="BFBFBF" w:themeColor="background1" w:themeShade="BF"/>
            </w:tcBorders>
          </w:tcPr>
          <w:p w14:paraId="42851A12" w14:textId="7188C21F" w:rsidR="00540BEC" w:rsidRDefault="00540BEC" w:rsidP="00540BEC">
            <w:pPr>
              <w:rPr>
                <w:rFonts w:ascii="Arial" w:hAnsi="Arial" w:cs="Arial"/>
              </w:rPr>
            </w:pPr>
            <w:r>
              <w:rPr>
                <w:rFonts w:ascii="Arial" w:hAnsi="Arial" w:cs="Arial"/>
              </w:rPr>
              <w:t>Contractor information</w:t>
            </w:r>
          </w:p>
        </w:tc>
        <w:tc>
          <w:tcPr>
            <w:tcW w:w="1559" w:type="dxa"/>
            <w:tcBorders>
              <w:bottom w:val="single" w:sz="2" w:space="0" w:color="BFBFBF" w:themeColor="background1" w:themeShade="BF"/>
            </w:tcBorders>
          </w:tcPr>
          <w:p w14:paraId="0745F684" w14:textId="0705D69B" w:rsidR="00540BEC" w:rsidRDefault="00540BEC" w:rsidP="00540BEC">
            <w:pPr>
              <w:rPr>
                <w:rFonts w:ascii="Arial" w:hAnsi="Arial" w:cs="Arial"/>
                <w:color w:val="000000"/>
              </w:rPr>
            </w:pPr>
            <w:r w:rsidRPr="51CE6CC3">
              <w:rPr>
                <w:rFonts w:ascii="Arial" w:hAnsi="Arial" w:cs="Arial"/>
              </w:rPr>
              <w:t xml:space="preserve">Market intelligence / other – third </w:t>
            </w:r>
            <w:r w:rsidRPr="51CE6CC3">
              <w:rPr>
                <w:rFonts w:ascii="Arial" w:hAnsi="Arial" w:cs="Arial"/>
              </w:rPr>
              <w:lastRenderedPageBreak/>
              <w:t>party confidentiality</w:t>
            </w:r>
          </w:p>
        </w:tc>
        <w:tc>
          <w:tcPr>
            <w:tcW w:w="1985" w:type="dxa"/>
            <w:tcBorders>
              <w:bottom w:val="single" w:sz="2" w:space="0" w:color="BFBFBF" w:themeColor="background1" w:themeShade="BF"/>
            </w:tcBorders>
          </w:tcPr>
          <w:p w14:paraId="220ECE7E" w14:textId="1DB7B1AE" w:rsidR="00540BEC" w:rsidRDefault="00540BEC" w:rsidP="00540BEC">
            <w:pPr>
              <w:rPr>
                <w:rFonts w:ascii="Arial" w:hAnsi="Arial" w:cs="Arial"/>
              </w:rPr>
            </w:pPr>
            <w:r w:rsidRPr="633AD1EC">
              <w:rPr>
                <w:rFonts w:ascii="Arial" w:eastAsia="Arial" w:hAnsi="Arial" w:cs="Arial"/>
              </w:rPr>
              <w:lastRenderedPageBreak/>
              <w:t xml:space="preserve">Elecnor Australia maintains that the information is highly </w:t>
            </w:r>
            <w:r w:rsidRPr="633AD1EC">
              <w:rPr>
                <w:rFonts w:ascii="Arial" w:eastAsia="Arial" w:hAnsi="Arial" w:cs="Arial"/>
              </w:rPr>
              <w:lastRenderedPageBreak/>
              <w:t xml:space="preserve">commercially and legally </w:t>
            </w:r>
            <w:r w:rsidRPr="59759462">
              <w:rPr>
                <w:rFonts w:ascii="Arial" w:eastAsia="Arial" w:hAnsi="Arial" w:cs="Arial"/>
              </w:rPr>
              <w:t>sensitive, disclosure of which may prejudice Elecnor Australia’s legal position.</w:t>
            </w:r>
            <w:r w:rsidRPr="29CD410B">
              <w:rPr>
                <w:rFonts w:ascii="Arial" w:eastAsia="Arial" w:hAnsi="Arial" w:cs="Arial"/>
              </w:rPr>
              <w:t xml:space="preserve">  </w:t>
            </w:r>
          </w:p>
        </w:tc>
        <w:tc>
          <w:tcPr>
            <w:tcW w:w="2551" w:type="dxa"/>
            <w:tcBorders>
              <w:bottom w:val="single" w:sz="2" w:space="0" w:color="BFBFBF" w:themeColor="background1" w:themeShade="BF"/>
            </w:tcBorders>
          </w:tcPr>
          <w:p w14:paraId="2D147584" w14:textId="24A1CB7C" w:rsidR="00540BEC" w:rsidRDefault="00540BEC" w:rsidP="00540BEC">
            <w:pPr>
              <w:rPr>
                <w:rFonts w:ascii="Arial" w:hAnsi="Arial" w:cs="Arial"/>
              </w:rPr>
            </w:pPr>
            <w:r>
              <w:rPr>
                <w:rFonts w:ascii="Arial" w:hAnsi="Arial" w:cs="Arial"/>
              </w:rPr>
              <w:lastRenderedPageBreak/>
              <w:t xml:space="preserve">Revealing this information </w:t>
            </w:r>
            <w:r w:rsidRPr="1E218F2F">
              <w:rPr>
                <w:rFonts w:ascii="Arial" w:hAnsi="Arial" w:cs="Arial"/>
              </w:rPr>
              <w:t xml:space="preserve">may prejudice Elecnor Australia’s legal position. </w:t>
            </w:r>
          </w:p>
        </w:tc>
        <w:tc>
          <w:tcPr>
            <w:tcW w:w="2552" w:type="dxa"/>
            <w:tcBorders>
              <w:bottom w:val="single" w:sz="2" w:space="0" w:color="BFBFBF" w:themeColor="background1" w:themeShade="BF"/>
            </w:tcBorders>
          </w:tcPr>
          <w:p w14:paraId="60290BC0" w14:textId="097BBA4B" w:rsidR="00540BEC" w:rsidRDefault="00540BEC" w:rsidP="00540BEC">
            <w:pPr>
              <w:rPr>
                <w:rFonts w:ascii="Arial" w:hAnsi="Arial" w:cs="Arial"/>
              </w:rPr>
            </w:pPr>
            <w:r w:rsidRPr="51CE6CC3">
              <w:rPr>
                <w:rFonts w:ascii="Arial" w:hAnsi="Arial" w:cs="Arial"/>
              </w:rPr>
              <w:t xml:space="preserve">The detriment of disclosing this information would outweigh any potential </w:t>
            </w:r>
            <w:r w:rsidRPr="51CE6CC3">
              <w:rPr>
                <w:rFonts w:ascii="Arial" w:hAnsi="Arial" w:cs="Arial"/>
              </w:rPr>
              <w:lastRenderedPageBreak/>
              <w:t>public interest, given the considerable prejudice to Elecnor</w:t>
            </w:r>
            <w:r>
              <w:rPr>
                <w:rFonts w:ascii="Arial" w:hAnsi="Arial" w:cs="Arial"/>
              </w:rPr>
              <w:t xml:space="preserve"> Australia</w:t>
            </w:r>
            <w:r w:rsidRPr="51CE6CC3">
              <w:rPr>
                <w:rFonts w:ascii="Arial" w:hAnsi="Arial" w:cs="Arial"/>
              </w:rPr>
              <w:t>.</w:t>
            </w:r>
            <w:r w:rsidRPr="34A33344">
              <w:rPr>
                <w:rFonts w:ascii="Arial" w:hAnsi="Arial" w:cs="Arial"/>
              </w:rPr>
              <w:t xml:space="preserve"> </w:t>
            </w:r>
          </w:p>
          <w:p w14:paraId="04ED1635" w14:textId="487DBAC6" w:rsidR="00540BEC" w:rsidRDefault="00540BEC" w:rsidP="00540BEC">
            <w:pPr>
              <w:rPr>
                <w:rFonts w:ascii="Arial" w:hAnsi="Arial" w:cs="Arial"/>
                <w:color w:val="000000"/>
              </w:rPr>
            </w:pPr>
          </w:p>
        </w:tc>
        <w:tc>
          <w:tcPr>
            <w:tcW w:w="1275" w:type="dxa"/>
            <w:tcBorders>
              <w:bottom w:val="single" w:sz="2" w:space="0" w:color="BFBFBF" w:themeColor="background1" w:themeShade="BF"/>
            </w:tcBorders>
          </w:tcPr>
          <w:p w14:paraId="18ECA876" w14:textId="12093E2C" w:rsidR="00540BEC" w:rsidRDefault="00540BEC" w:rsidP="00540BEC">
            <w:pPr>
              <w:rPr>
                <w:rFonts w:ascii="Arial" w:hAnsi="Arial" w:cs="Arial"/>
              </w:rPr>
            </w:pPr>
            <w:r>
              <w:rPr>
                <w:rFonts w:ascii="Arial" w:hAnsi="Arial" w:cs="Arial"/>
              </w:rPr>
              <w:lastRenderedPageBreak/>
              <w:t>2 pages</w:t>
            </w:r>
          </w:p>
        </w:tc>
      </w:tr>
      <w:tr w:rsidR="00540BEC" w:rsidRPr="00BF5F1E" w14:paraId="6A211055" w14:textId="77777777" w:rsidTr="358799A6">
        <w:trPr>
          <w:cantSplit/>
          <w:trHeight w:val="300"/>
        </w:trPr>
        <w:tc>
          <w:tcPr>
            <w:tcW w:w="15306" w:type="dxa"/>
            <w:gridSpan w:val="8"/>
            <w:tcBorders>
              <w:bottom w:val="single" w:sz="2" w:space="0" w:color="BFBFBF" w:themeColor="background1" w:themeShade="BF"/>
            </w:tcBorders>
            <w:shd w:val="clear" w:color="auto" w:fill="D8EFD7" w:themeFill="accent1" w:themeFillTint="33"/>
          </w:tcPr>
          <w:p w14:paraId="7A56AC68" w14:textId="6703A25B" w:rsidR="00540BEC" w:rsidRPr="005F2734" w:rsidRDefault="00540BEC" w:rsidP="00540BEC">
            <w:pPr>
              <w:rPr>
                <w:rFonts w:ascii="Arial" w:hAnsi="Arial" w:cs="Arial"/>
                <w:b/>
                <w:bCs/>
              </w:rPr>
            </w:pPr>
            <w:r w:rsidRPr="005F2734">
              <w:rPr>
                <w:rFonts w:ascii="Arial" w:eastAsiaTheme="majorEastAsia" w:hAnsi="Arial" w:cs="Arial"/>
                <w:b/>
                <w:bCs/>
                <w:lang w:eastAsia="en-AU"/>
              </w:rPr>
              <w:t>Appendix 3</w:t>
            </w:r>
            <w:r>
              <w:rPr>
                <w:rFonts w:ascii="Arial" w:eastAsiaTheme="majorEastAsia" w:hAnsi="Arial" w:cs="Arial"/>
                <w:b/>
                <w:bCs/>
                <w:lang w:eastAsia="en-AU"/>
              </w:rPr>
              <w:t>d</w:t>
            </w:r>
            <w:r w:rsidRPr="005F2734">
              <w:rPr>
                <w:rFonts w:ascii="Arial" w:eastAsiaTheme="majorEastAsia" w:hAnsi="Arial" w:cs="Arial"/>
                <w:b/>
                <w:bCs/>
                <w:lang w:eastAsia="en-AU"/>
              </w:rPr>
              <w:t>: Gross market benefits assessment - EY</w:t>
            </w:r>
          </w:p>
        </w:tc>
      </w:tr>
      <w:tr w:rsidR="00540BEC" w:rsidRPr="00BF5F1E" w14:paraId="562D8578" w14:textId="77777777" w:rsidTr="358799A6">
        <w:trPr>
          <w:cantSplit/>
          <w:trHeight w:val="300"/>
        </w:trPr>
        <w:tc>
          <w:tcPr>
            <w:tcW w:w="2124" w:type="dxa"/>
            <w:tcBorders>
              <w:bottom w:val="single" w:sz="2" w:space="0" w:color="BFBFBF" w:themeColor="background1" w:themeShade="BF"/>
            </w:tcBorders>
          </w:tcPr>
          <w:p w14:paraId="4DA552F8" w14:textId="4B2EE26D" w:rsidR="00540BEC" w:rsidRPr="005E343E" w:rsidRDefault="00540BEC" w:rsidP="00540BEC">
            <w:pPr>
              <w:rPr>
                <w:rFonts w:ascii="Arial" w:eastAsiaTheme="majorEastAsia" w:hAnsi="Arial" w:cs="Arial"/>
                <w:lang w:eastAsia="en-AU"/>
              </w:rPr>
            </w:pPr>
            <w:r>
              <w:rPr>
                <w:rFonts w:ascii="Arial" w:eastAsiaTheme="majorEastAsia" w:hAnsi="Arial" w:cs="Arial"/>
                <w:lang w:eastAsia="en-AU"/>
              </w:rPr>
              <w:t xml:space="preserve">Covering letter, </w:t>
            </w:r>
            <w:r w:rsidRPr="428C1C58">
              <w:rPr>
                <w:rFonts w:ascii="Arial" w:eastAsiaTheme="majorEastAsia" w:hAnsi="Arial" w:cs="Arial"/>
                <w:lang w:eastAsia="en-AU"/>
              </w:rPr>
              <w:t>p iii</w:t>
            </w:r>
            <w:r>
              <w:rPr>
                <w:rFonts w:ascii="Arial" w:eastAsiaTheme="majorEastAsia" w:hAnsi="Arial" w:cs="Arial"/>
                <w:lang w:eastAsia="en-AU"/>
              </w:rPr>
              <w:t xml:space="preserve"> and iv</w:t>
            </w:r>
          </w:p>
        </w:tc>
        <w:tc>
          <w:tcPr>
            <w:tcW w:w="1559" w:type="dxa"/>
            <w:tcBorders>
              <w:bottom w:val="single" w:sz="2" w:space="0" w:color="BFBFBF" w:themeColor="background1" w:themeShade="BF"/>
            </w:tcBorders>
          </w:tcPr>
          <w:p w14:paraId="5A6CC5B0" w14:textId="6DC25B95" w:rsidR="00540BEC" w:rsidRPr="005E343E" w:rsidRDefault="00540BEC" w:rsidP="00540BEC">
            <w:pPr>
              <w:rPr>
                <w:rFonts w:ascii="Arial" w:hAnsi="Arial" w:cs="Arial"/>
                <w:color w:val="000000"/>
              </w:rPr>
            </w:pPr>
            <w:r>
              <w:rPr>
                <w:rFonts w:ascii="Arial" w:hAnsi="Arial" w:cs="Arial"/>
                <w:color w:val="000000"/>
              </w:rPr>
              <w:t>Individual names</w:t>
            </w:r>
          </w:p>
        </w:tc>
        <w:tc>
          <w:tcPr>
            <w:tcW w:w="1701" w:type="dxa"/>
            <w:tcBorders>
              <w:bottom w:val="single" w:sz="2" w:space="0" w:color="BFBFBF" w:themeColor="background1" w:themeShade="BF"/>
            </w:tcBorders>
          </w:tcPr>
          <w:p w14:paraId="19E8E9B9" w14:textId="4BD0902A" w:rsidR="00540BEC" w:rsidRPr="005E343E" w:rsidRDefault="00540BEC" w:rsidP="00540BEC">
            <w:pPr>
              <w:rPr>
                <w:rFonts w:ascii="Arial" w:hAnsi="Arial" w:cs="Arial"/>
                <w:color w:val="000000"/>
              </w:rPr>
            </w:pPr>
            <w:r>
              <w:rPr>
                <w:rFonts w:ascii="Arial" w:hAnsi="Arial" w:cs="Arial"/>
                <w:color w:val="000000"/>
              </w:rPr>
              <w:t>Individual details</w:t>
            </w:r>
          </w:p>
        </w:tc>
        <w:tc>
          <w:tcPr>
            <w:tcW w:w="1559" w:type="dxa"/>
            <w:tcBorders>
              <w:bottom w:val="single" w:sz="2" w:space="0" w:color="BFBFBF" w:themeColor="background1" w:themeShade="BF"/>
            </w:tcBorders>
          </w:tcPr>
          <w:p w14:paraId="175B308E" w14:textId="4AA38BED" w:rsidR="00540BEC" w:rsidRPr="005E343E" w:rsidRDefault="00540BEC" w:rsidP="00540BEC">
            <w:pPr>
              <w:rPr>
                <w:rFonts w:ascii="Arial" w:hAnsi="Arial" w:cs="Arial"/>
                <w:color w:val="000000"/>
              </w:rPr>
            </w:pPr>
            <w:r>
              <w:rPr>
                <w:rFonts w:ascii="Arial" w:hAnsi="Arial" w:cs="Arial"/>
                <w:color w:val="000000"/>
              </w:rPr>
              <w:t>Personal information</w:t>
            </w:r>
          </w:p>
        </w:tc>
        <w:tc>
          <w:tcPr>
            <w:tcW w:w="1985" w:type="dxa"/>
            <w:tcBorders>
              <w:bottom w:val="single" w:sz="2" w:space="0" w:color="BFBFBF" w:themeColor="background1" w:themeShade="BF"/>
            </w:tcBorders>
          </w:tcPr>
          <w:p w14:paraId="206282F7" w14:textId="25E1DEFF" w:rsidR="00540BEC" w:rsidRPr="005E343E" w:rsidRDefault="00540BEC" w:rsidP="00540BEC">
            <w:pPr>
              <w:pStyle w:val="Default"/>
              <w:rPr>
                <w:sz w:val="21"/>
                <w:szCs w:val="21"/>
              </w:rPr>
            </w:pPr>
            <w:r>
              <w:rPr>
                <w:sz w:val="21"/>
                <w:szCs w:val="21"/>
              </w:rPr>
              <w:t>Revealing the name of the individual from Transgrid who commissioned the third-party report raises privacy concerns.</w:t>
            </w:r>
          </w:p>
        </w:tc>
        <w:tc>
          <w:tcPr>
            <w:tcW w:w="2551" w:type="dxa"/>
            <w:tcBorders>
              <w:bottom w:val="single" w:sz="2" w:space="0" w:color="BFBFBF" w:themeColor="background1" w:themeShade="BF"/>
            </w:tcBorders>
          </w:tcPr>
          <w:p w14:paraId="6D1F78D4" w14:textId="6A93E621" w:rsidR="00540BEC" w:rsidRDefault="00540BEC" w:rsidP="00540BEC">
            <w:r>
              <w:t xml:space="preserve">Revealing this information would have adverse privacy implications for the individual involved. </w:t>
            </w:r>
          </w:p>
          <w:p w14:paraId="6B6B464A" w14:textId="77777777" w:rsidR="00540BEC" w:rsidRDefault="00540BEC" w:rsidP="00540BEC">
            <w:pPr>
              <w:rPr>
                <w:szCs w:val="21"/>
              </w:rPr>
            </w:pPr>
            <w:r>
              <w:rPr>
                <w:szCs w:val="21"/>
              </w:rPr>
              <w:t xml:space="preserve"> </w:t>
            </w:r>
          </w:p>
          <w:p w14:paraId="7E470D3A" w14:textId="77777777" w:rsidR="00540BEC" w:rsidRPr="005E343E" w:rsidRDefault="00540BEC" w:rsidP="00540BEC">
            <w:pPr>
              <w:pStyle w:val="Default"/>
              <w:rPr>
                <w:sz w:val="21"/>
                <w:szCs w:val="21"/>
              </w:rPr>
            </w:pPr>
          </w:p>
        </w:tc>
        <w:tc>
          <w:tcPr>
            <w:tcW w:w="2552" w:type="dxa"/>
            <w:tcBorders>
              <w:bottom w:val="single" w:sz="2" w:space="0" w:color="BFBFBF" w:themeColor="background1" w:themeShade="BF"/>
            </w:tcBorders>
          </w:tcPr>
          <w:p w14:paraId="6E4AB9A8" w14:textId="49741F27" w:rsidR="00540BEC" w:rsidRDefault="00540BEC" w:rsidP="00540BEC">
            <w:pPr>
              <w:rPr>
                <w:rFonts w:ascii="Arial" w:hAnsi="Arial" w:cs="Arial"/>
                <w:i/>
                <w:iCs/>
              </w:rPr>
            </w:pPr>
            <w:r>
              <w:t>Revealing this information would have adverse privacy implications for the individual involved.</w:t>
            </w:r>
          </w:p>
          <w:p w14:paraId="06D35F90" w14:textId="5170C124" w:rsidR="00540BEC" w:rsidRPr="00410AD4" w:rsidRDefault="00540BEC" w:rsidP="00540BEC">
            <w:pPr>
              <w:rPr>
                <w:rFonts w:ascii="Arial" w:hAnsi="Arial" w:cs="Arial"/>
                <w:color w:val="000000"/>
              </w:rPr>
            </w:pPr>
            <w:r>
              <w:t>There is no apparent</w:t>
            </w:r>
            <w:r w:rsidRPr="00BF5F1E">
              <w:t xml:space="preserve"> public benefit in disclosing this information that could outweigh </w:t>
            </w:r>
            <w:r>
              <w:t xml:space="preserve">this </w:t>
            </w:r>
            <w:r w:rsidRPr="00BF5F1E">
              <w:t>detriment</w:t>
            </w:r>
            <w:r>
              <w:t>.</w:t>
            </w:r>
          </w:p>
        </w:tc>
        <w:tc>
          <w:tcPr>
            <w:tcW w:w="1275" w:type="dxa"/>
            <w:tcBorders>
              <w:bottom w:val="single" w:sz="2" w:space="0" w:color="BFBFBF" w:themeColor="background1" w:themeShade="BF"/>
            </w:tcBorders>
          </w:tcPr>
          <w:p w14:paraId="7605C398" w14:textId="06DBF7DC" w:rsidR="00540BEC" w:rsidRPr="005E343E" w:rsidRDefault="00540BEC" w:rsidP="00540BEC">
            <w:pPr>
              <w:rPr>
                <w:rFonts w:ascii="Arial" w:hAnsi="Arial" w:cs="Arial"/>
              </w:rPr>
            </w:pPr>
            <w:r>
              <w:rPr>
                <w:rFonts w:ascii="Arial" w:hAnsi="Arial" w:cs="Arial"/>
              </w:rPr>
              <w:t xml:space="preserve">2 pages </w:t>
            </w:r>
          </w:p>
        </w:tc>
      </w:tr>
      <w:tr w:rsidR="00540BEC" w:rsidRPr="00BF5F1E" w14:paraId="62C92B01" w14:textId="77777777" w:rsidTr="358799A6">
        <w:trPr>
          <w:cantSplit/>
          <w:trHeight w:val="300"/>
        </w:trPr>
        <w:tc>
          <w:tcPr>
            <w:tcW w:w="15306" w:type="dxa"/>
            <w:gridSpan w:val="8"/>
            <w:tcBorders>
              <w:bottom w:val="single" w:sz="2" w:space="0" w:color="BFBFBF" w:themeColor="background1" w:themeShade="BF"/>
            </w:tcBorders>
            <w:shd w:val="clear" w:color="auto" w:fill="D8EFD7" w:themeFill="accent1" w:themeFillTint="33"/>
          </w:tcPr>
          <w:p w14:paraId="33FBED3E" w14:textId="3FC05A7C" w:rsidR="00540BEC" w:rsidRPr="00302E1D" w:rsidDel="003552AB" w:rsidRDefault="00540BEC" w:rsidP="00540BEC">
            <w:pPr>
              <w:rPr>
                <w:rFonts w:ascii="Arial" w:hAnsi="Arial" w:cs="Arial"/>
                <w:b/>
                <w:bCs/>
              </w:rPr>
            </w:pPr>
            <w:r>
              <w:rPr>
                <w:rFonts w:ascii="Arial" w:hAnsi="Arial" w:cs="Arial"/>
                <w:b/>
                <w:bCs/>
              </w:rPr>
              <w:t>Supplementary information</w:t>
            </w:r>
            <w:r w:rsidRPr="00302E1D">
              <w:rPr>
                <w:rFonts w:ascii="Arial" w:hAnsi="Arial" w:cs="Arial"/>
                <w:b/>
                <w:bCs/>
              </w:rPr>
              <w:t xml:space="preserve"> 3di – Statement of facts – market benefits assessment and loop flows</w:t>
            </w:r>
          </w:p>
        </w:tc>
      </w:tr>
      <w:tr w:rsidR="00540BEC" w:rsidRPr="00BF5F1E" w14:paraId="4CB66A07" w14:textId="77777777" w:rsidTr="358799A6">
        <w:trPr>
          <w:cantSplit/>
          <w:trHeight w:val="300"/>
        </w:trPr>
        <w:tc>
          <w:tcPr>
            <w:tcW w:w="2124" w:type="dxa"/>
            <w:tcBorders>
              <w:bottom w:val="single" w:sz="2" w:space="0" w:color="BFBFBF" w:themeColor="background1" w:themeShade="BF"/>
            </w:tcBorders>
          </w:tcPr>
          <w:p w14:paraId="24C43EF4" w14:textId="3B7385FA" w:rsidR="00540BEC" w:rsidRDefault="00540BEC" w:rsidP="00540BEC">
            <w:pPr>
              <w:rPr>
                <w:rFonts w:ascii="Arial" w:eastAsiaTheme="majorEastAsia" w:hAnsi="Arial" w:cs="Arial"/>
                <w:lang w:eastAsia="en-AU"/>
              </w:rPr>
            </w:pPr>
            <w:r>
              <w:rPr>
                <w:rFonts w:ascii="Arial" w:eastAsiaTheme="majorEastAsia" w:hAnsi="Arial" w:cs="Arial"/>
                <w:lang w:eastAsia="en-AU"/>
              </w:rPr>
              <w:t>Revision table, p 2</w:t>
            </w:r>
          </w:p>
        </w:tc>
        <w:tc>
          <w:tcPr>
            <w:tcW w:w="1559" w:type="dxa"/>
            <w:tcBorders>
              <w:bottom w:val="single" w:sz="2" w:space="0" w:color="BFBFBF" w:themeColor="background1" w:themeShade="BF"/>
            </w:tcBorders>
          </w:tcPr>
          <w:p w14:paraId="17AFE159" w14:textId="59E79CCA" w:rsidR="00540BEC" w:rsidRDefault="00540BEC" w:rsidP="00540BEC">
            <w:pPr>
              <w:rPr>
                <w:rFonts w:ascii="Arial" w:hAnsi="Arial" w:cs="Arial"/>
                <w:color w:val="000000"/>
              </w:rPr>
            </w:pPr>
            <w:r>
              <w:rPr>
                <w:rFonts w:ascii="Arial" w:hAnsi="Arial" w:cs="Arial"/>
                <w:color w:val="000000"/>
              </w:rPr>
              <w:t>Individual names</w:t>
            </w:r>
          </w:p>
        </w:tc>
        <w:tc>
          <w:tcPr>
            <w:tcW w:w="1701" w:type="dxa"/>
            <w:tcBorders>
              <w:bottom w:val="single" w:sz="2" w:space="0" w:color="BFBFBF" w:themeColor="background1" w:themeShade="BF"/>
            </w:tcBorders>
          </w:tcPr>
          <w:p w14:paraId="5164CA7B" w14:textId="2576CA79" w:rsidR="00540BEC" w:rsidRDefault="00540BEC" w:rsidP="00540BEC">
            <w:pPr>
              <w:rPr>
                <w:rFonts w:ascii="Arial" w:hAnsi="Arial" w:cs="Arial"/>
                <w:color w:val="000000"/>
              </w:rPr>
            </w:pPr>
            <w:r>
              <w:rPr>
                <w:rFonts w:ascii="Arial" w:hAnsi="Arial" w:cs="Arial"/>
                <w:color w:val="000000"/>
              </w:rPr>
              <w:t>Individual details</w:t>
            </w:r>
          </w:p>
        </w:tc>
        <w:tc>
          <w:tcPr>
            <w:tcW w:w="1559" w:type="dxa"/>
            <w:tcBorders>
              <w:bottom w:val="single" w:sz="2" w:space="0" w:color="BFBFBF" w:themeColor="background1" w:themeShade="BF"/>
            </w:tcBorders>
          </w:tcPr>
          <w:p w14:paraId="22B89E89" w14:textId="59425CAC" w:rsidR="00540BEC" w:rsidRDefault="00540BEC" w:rsidP="00540BEC">
            <w:pPr>
              <w:rPr>
                <w:rFonts w:ascii="Arial" w:hAnsi="Arial" w:cs="Arial"/>
                <w:color w:val="000000"/>
              </w:rPr>
            </w:pPr>
            <w:r>
              <w:rPr>
                <w:rFonts w:ascii="Arial" w:hAnsi="Arial" w:cs="Arial"/>
                <w:color w:val="000000"/>
              </w:rPr>
              <w:t>Personal information</w:t>
            </w:r>
          </w:p>
        </w:tc>
        <w:tc>
          <w:tcPr>
            <w:tcW w:w="1985" w:type="dxa"/>
            <w:tcBorders>
              <w:bottom w:val="single" w:sz="2" w:space="0" w:color="BFBFBF" w:themeColor="background1" w:themeShade="BF"/>
            </w:tcBorders>
          </w:tcPr>
          <w:p w14:paraId="1FA6BD0C" w14:textId="61EA0EB8" w:rsidR="00540BEC" w:rsidRDefault="00540BEC" w:rsidP="00540BEC">
            <w:pPr>
              <w:pStyle w:val="Default"/>
              <w:rPr>
                <w:sz w:val="21"/>
                <w:szCs w:val="21"/>
              </w:rPr>
            </w:pPr>
            <w:r w:rsidRPr="00302E1D">
              <w:rPr>
                <w:sz w:val="21"/>
                <w:szCs w:val="21"/>
              </w:rPr>
              <w:t>Revealing the names of the individuals who reviewed and approved the report raises privacy concerns.</w:t>
            </w:r>
          </w:p>
        </w:tc>
        <w:tc>
          <w:tcPr>
            <w:tcW w:w="2551" w:type="dxa"/>
            <w:tcBorders>
              <w:bottom w:val="single" w:sz="2" w:space="0" w:color="BFBFBF" w:themeColor="background1" w:themeShade="BF"/>
            </w:tcBorders>
          </w:tcPr>
          <w:p w14:paraId="6B4399AF" w14:textId="77777777" w:rsidR="00540BEC" w:rsidRDefault="00540BEC" w:rsidP="00540BEC">
            <w:r>
              <w:t xml:space="preserve">Revealing this information would have adverse privacy implications for the individuals involved. </w:t>
            </w:r>
          </w:p>
          <w:p w14:paraId="1B6BBD8C" w14:textId="77777777" w:rsidR="00540BEC" w:rsidRDefault="00540BEC" w:rsidP="00540BEC">
            <w:pPr>
              <w:rPr>
                <w:szCs w:val="21"/>
              </w:rPr>
            </w:pPr>
            <w:r>
              <w:rPr>
                <w:szCs w:val="21"/>
              </w:rPr>
              <w:t xml:space="preserve"> </w:t>
            </w:r>
          </w:p>
          <w:p w14:paraId="5AAF2F94" w14:textId="77777777" w:rsidR="00540BEC" w:rsidRDefault="00540BEC" w:rsidP="00540BEC"/>
        </w:tc>
        <w:tc>
          <w:tcPr>
            <w:tcW w:w="2552" w:type="dxa"/>
            <w:tcBorders>
              <w:bottom w:val="single" w:sz="2" w:space="0" w:color="BFBFBF" w:themeColor="background1" w:themeShade="BF"/>
            </w:tcBorders>
          </w:tcPr>
          <w:p w14:paraId="0F5357CA" w14:textId="77777777" w:rsidR="00540BEC" w:rsidRDefault="00540BEC" w:rsidP="00540BEC">
            <w:pPr>
              <w:rPr>
                <w:rFonts w:ascii="Arial" w:hAnsi="Arial" w:cs="Arial"/>
                <w:i/>
                <w:iCs/>
              </w:rPr>
            </w:pPr>
            <w:r>
              <w:t>Revealing this information would have adverse privacy implications for the individuals involved.</w:t>
            </w:r>
          </w:p>
          <w:p w14:paraId="0DC11FC7" w14:textId="0B5B8F24" w:rsidR="00540BEC" w:rsidDel="00531107" w:rsidRDefault="00540BEC" w:rsidP="00540BEC">
            <w:r>
              <w:t>There is no apparent</w:t>
            </w:r>
            <w:r w:rsidRPr="00BF5F1E">
              <w:t xml:space="preserve"> public benefit in disclosing this information that could outweigh </w:t>
            </w:r>
            <w:r>
              <w:t xml:space="preserve">this </w:t>
            </w:r>
            <w:r w:rsidRPr="00BF5F1E">
              <w:t>detriment</w:t>
            </w:r>
            <w:r>
              <w:t>.</w:t>
            </w:r>
          </w:p>
        </w:tc>
        <w:tc>
          <w:tcPr>
            <w:tcW w:w="1275" w:type="dxa"/>
            <w:tcBorders>
              <w:bottom w:val="single" w:sz="2" w:space="0" w:color="BFBFBF" w:themeColor="background1" w:themeShade="BF"/>
            </w:tcBorders>
          </w:tcPr>
          <w:p w14:paraId="44ECD50F" w14:textId="7E6F345F" w:rsidR="00540BEC" w:rsidDel="003552AB" w:rsidRDefault="00540BEC" w:rsidP="00540BEC">
            <w:pPr>
              <w:rPr>
                <w:rFonts w:ascii="Arial" w:hAnsi="Arial" w:cs="Arial"/>
              </w:rPr>
            </w:pPr>
            <w:r>
              <w:rPr>
                <w:rFonts w:ascii="Arial" w:hAnsi="Arial" w:cs="Arial"/>
              </w:rPr>
              <w:t>1 page</w:t>
            </w:r>
          </w:p>
        </w:tc>
      </w:tr>
      <w:tr w:rsidR="00540BEC" w:rsidRPr="00BF5F1E" w14:paraId="7E55AE2B" w14:textId="77777777" w:rsidTr="358799A6">
        <w:trPr>
          <w:cantSplit/>
          <w:trHeight w:val="300"/>
        </w:trPr>
        <w:tc>
          <w:tcPr>
            <w:tcW w:w="15306" w:type="dxa"/>
            <w:gridSpan w:val="8"/>
            <w:tcBorders>
              <w:bottom w:val="single" w:sz="2" w:space="0" w:color="BFBFBF" w:themeColor="background1" w:themeShade="BF"/>
            </w:tcBorders>
            <w:shd w:val="clear" w:color="auto" w:fill="D8EFD7" w:themeFill="accent1" w:themeFillTint="33"/>
          </w:tcPr>
          <w:p w14:paraId="3D479616" w14:textId="515C1D4A" w:rsidR="00540BEC" w:rsidRPr="00302E1D" w:rsidDel="003552AB" w:rsidRDefault="00540BEC" w:rsidP="00540BEC">
            <w:pPr>
              <w:rPr>
                <w:rFonts w:ascii="Arial" w:hAnsi="Arial" w:cs="Arial"/>
                <w:b/>
                <w:bCs/>
              </w:rPr>
            </w:pPr>
            <w:r>
              <w:rPr>
                <w:rFonts w:ascii="Arial" w:hAnsi="Arial" w:cs="Arial"/>
                <w:b/>
                <w:bCs/>
              </w:rPr>
              <w:t>Supplementary information</w:t>
            </w:r>
            <w:r w:rsidRPr="00302E1D">
              <w:rPr>
                <w:rFonts w:ascii="Arial" w:hAnsi="Arial" w:cs="Arial"/>
                <w:b/>
                <w:bCs/>
              </w:rPr>
              <w:t xml:space="preserve"> 3dii – Technical Memo – Reduction of minimum synchronous generators in SA - GHD</w:t>
            </w:r>
          </w:p>
        </w:tc>
      </w:tr>
      <w:tr w:rsidR="00540BEC" w:rsidRPr="00BF5F1E" w14:paraId="29AB1748" w14:textId="77777777" w:rsidTr="358799A6">
        <w:trPr>
          <w:cantSplit/>
          <w:trHeight w:val="300"/>
        </w:trPr>
        <w:tc>
          <w:tcPr>
            <w:tcW w:w="2124" w:type="dxa"/>
            <w:tcBorders>
              <w:bottom w:val="single" w:sz="2" w:space="0" w:color="BFBFBF" w:themeColor="background1" w:themeShade="BF"/>
            </w:tcBorders>
          </w:tcPr>
          <w:p w14:paraId="4B72C7EF" w14:textId="1C960384" w:rsidR="00540BEC" w:rsidRDefault="00540BEC" w:rsidP="00540BEC">
            <w:pPr>
              <w:rPr>
                <w:rFonts w:ascii="Arial" w:eastAsiaTheme="majorEastAsia" w:hAnsi="Arial" w:cs="Arial"/>
                <w:lang w:eastAsia="en-AU"/>
              </w:rPr>
            </w:pPr>
            <w:r>
              <w:rPr>
                <w:rFonts w:ascii="Arial" w:eastAsiaTheme="majorEastAsia" w:hAnsi="Arial" w:cs="Arial"/>
                <w:lang w:eastAsia="en-AU"/>
              </w:rPr>
              <w:lastRenderedPageBreak/>
              <w:t>Contact table, p 1 and p5</w:t>
            </w:r>
          </w:p>
        </w:tc>
        <w:tc>
          <w:tcPr>
            <w:tcW w:w="1559" w:type="dxa"/>
            <w:tcBorders>
              <w:bottom w:val="single" w:sz="2" w:space="0" w:color="BFBFBF" w:themeColor="background1" w:themeShade="BF"/>
            </w:tcBorders>
          </w:tcPr>
          <w:p w14:paraId="0D6D0939" w14:textId="4F5A8E28" w:rsidR="00540BEC" w:rsidRDefault="00540BEC" w:rsidP="00540BEC">
            <w:pPr>
              <w:rPr>
                <w:rFonts w:ascii="Arial" w:hAnsi="Arial" w:cs="Arial"/>
                <w:color w:val="000000"/>
              </w:rPr>
            </w:pPr>
            <w:r>
              <w:rPr>
                <w:rFonts w:ascii="Arial" w:hAnsi="Arial" w:cs="Arial"/>
                <w:color w:val="000000"/>
              </w:rPr>
              <w:t>Individual names</w:t>
            </w:r>
          </w:p>
        </w:tc>
        <w:tc>
          <w:tcPr>
            <w:tcW w:w="1701" w:type="dxa"/>
            <w:tcBorders>
              <w:bottom w:val="single" w:sz="2" w:space="0" w:color="BFBFBF" w:themeColor="background1" w:themeShade="BF"/>
            </w:tcBorders>
          </w:tcPr>
          <w:p w14:paraId="2B078AAD" w14:textId="600C665A" w:rsidR="00540BEC" w:rsidRDefault="00540BEC" w:rsidP="00540BEC">
            <w:pPr>
              <w:rPr>
                <w:rFonts w:ascii="Arial" w:hAnsi="Arial" w:cs="Arial"/>
                <w:color w:val="000000"/>
              </w:rPr>
            </w:pPr>
            <w:r>
              <w:rPr>
                <w:rFonts w:ascii="Arial" w:hAnsi="Arial" w:cs="Arial"/>
                <w:color w:val="000000"/>
              </w:rPr>
              <w:t>Individual details</w:t>
            </w:r>
          </w:p>
        </w:tc>
        <w:tc>
          <w:tcPr>
            <w:tcW w:w="1559" w:type="dxa"/>
            <w:tcBorders>
              <w:bottom w:val="single" w:sz="2" w:space="0" w:color="BFBFBF" w:themeColor="background1" w:themeShade="BF"/>
            </w:tcBorders>
          </w:tcPr>
          <w:p w14:paraId="5B5FE6D0" w14:textId="56BF7205" w:rsidR="00540BEC" w:rsidRDefault="00540BEC" w:rsidP="00540BEC">
            <w:pPr>
              <w:rPr>
                <w:rFonts w:ascii="Arial" w:hAnsi="Arial" w:cs="Arial"/>
                <w:color w:val="000000"/>
              </w:rPr>
            </w:pPr>
            <w:r>
              <w:rPr>
                <w:rFonts w:ascii="Arial" w:hAnsi="Arial" w:cs="Arial"/>
                <w:color w:val="000000"/>
              </w:rPr>
              <w:t>Personal information</w:t>
            </w:r>
          </w:p>
        </w:tc>
        <w:tc>
          <w:tcPr>
            <w:tcW w:w="1985" w:type="dxa"/>
            <w:tcBorders>
              <w:bottom w:val="single" w:sz="2" w:space="0" w:color="BFBFBF" w:themeColor="background1" w:themeShade="BF"/>
            </w:tcBorders>
          </w:tcPr>
          <w:p w14:paraId="09269CD9" w14:textId="55DC7C58" w:rsidR="00540BEC" w:rsidRDefault="00540BEC" w:rsidP="00540BEC">
            <w:pPr>
              <w:pStyle w:val="Default"/>
              <w:rPr>
                <w:sz w:val="21"/>
                <w:szCs w:val="21"/>
              </w:rPr>
            </w:pPr>
            <w:r w:rsidRPr="00302E1D">
              <w:rPr>
                <w:sz w:val="21"/>
                <w:szCs w:val="21"/>
              </w:rPr>
              <w:t>Revealing the names of the individuals who received and authored the report raises privacy concerns.</w:t>
            </w:r>
          </w:p>
        </w:tc>
        <w:tc>
          <w:tcPr>
            <w:tcW w:w="2551" w:type="dxa"/>
            <w:tcBorders>
              <w:bottom w:val="single" w:sz="2" w:space="0" w:color="BFBFBF" w:themeColor="background1" w:themeShade="BF"/>
            </w:tcBorders>
          </w:tcPr>
          <w:p w14:paraId="095FACCF" w14:textId="77777777" w:rsidR="00540BEC" w:rsidRDefault="00540BEC" w:rsidP="00540BEC">
            <w:r>
              <w:t xml:space="preserve">Revealing this information would have adverse privacy implications for the individuals involved. </w:t>
            </w:r>
          </w:p>
          <w:p w14:paraId="36753D11" w14:textId="77777777" w:rsidR="00540BEC" w:rsidRDefault="00540BEC" w:rsidP="00540BEC">
            <w:pPr>
              <w:rPr>
                <w:szCs w:val="21"/>
              </w:rPr>
            </w:pPr>
            <w:r>
              <w:rPr>
                <w:szCs w:val="21"/>
              </w:rPr>
              <w:t xml:space="preserve"> </w:t>
            </w:r>
          </w:p>
          <w:p w14:paraId="295BD7CC" w14:textId="77777777" w:rsidR="00540BEC" w:rsidRDefault="00540BEC" w:rsidP="00540BEC"/>
        </w:tc>
        <w:tc>
          <w:tcPr>
            <w:tcW w:w="2552" w:type="dxa"/>
            <w:tcBorders>
              <w:bottom w:val="single" w:sz="2" w:space="0" w:color="BFBFBF" w:themeColor="background1" w:themeShade="BF"/>
            </w:tcBorders>
          </w:tcPr>
          <w:p w14:paraId="4AB49409" w14:textId="77777777" w:rsidR="00540BEC" w:rsidRDefault="00540BEC" w:rsidP="00540BEC">
            <w:pPr>
              <w:rPr>
                <w:rFonts w:ascii="Arial" w:hAnsi="Arial" w:cs="Arial"/>
                <w:i/>
                <w:iCs/>
              </w:rPr>
            </w:pPr>
            <w:r>
              <w:t>Revealing this information would have adverse privacy implications for the individuals involved.</w:t>
            </w:r>
          </w:p>
          <w:p w14:paraId="437271F8" w14:textId="0C9FF577" w:rsidR="00540BEC" w:rsidDel="00531107" w:rsidRDefault="00540BEC" w:rsidP="00540BEC">
            <w:r>
              <w:t>There is no apparent</w:t>
            </w:r>
            <w:r w:rsidRPr="00BF5F1E">
              <w:t xml:space="preserve"> public benefit in disclosing this information that could outweigh </w:t>
            </w:r>
            <w:r>
              <w:t xml:space="preserve">this </w:t>
            </w:r>
            <w:r w:rsidRPr="00BF5F1E">
              <w:t>detriment</w:t>
            </w:r>
            <w:r>
              <w:t>.</w:t>
            </w:r>
          </w:p>
        </w:tc>
        <w:tc>
          <w:tcPr>
            <w:tcW w:w="1275" w:type="dxa"/>
            <w:tcBorders>
              <w:bottom w:val="single" w:sz="2" w:space="0" w:color="BFBFBF" w:themeColor="background1" w:themeShade="BF"/>
            </w:tcBorders>
          </w:tcPr>
          <w:p w14:paraId="188B0E2A" w14:textId="5C91A097" w:rsidR="00540BEC" w:rsidDel="003552AB" w:rsidRDefault="00540BEC" w:rsidP="00540BEC">
            <w:pPr>
              <w:rPr>
                <w:rFonts w:ascii="Arial" w:hAnsi="Arial" w:cs="Arial"/>
              </w:rPr>
            </w:pPr>
            <w:r>
              <w:rPr>
                <w:rFonts w:ascii="Arial" w:hAnsi="Arial" w:cs="Arial"/>
              </w:rPr>
              <w:t>2 pages</w:t>
            </w:r>
          </w:p>
        </w:tc>
      </w:tr>
      <w:tr w:rsidR="00540BEC" w:rsidRPr="00BF5F1E" w14:paraId="2BA8B447" w14:textId="77777777" w:rsidTr="358799A6">
        <w:trPr>
          <w:cantSplit/>
          <w:trHeight w:val="300"/>
        </w:trPr>
        <w:tc>
          <w:tcPr>
            <w:tcW w:w="15306" w:type="dxa"/>
            <w:gridSpan w:val="8"/>
            <w:tcBorders>
              <w:bottom w:val="single" w:sz="2" w:space="0" w:color="BFBFBF" w:themeColor="background1" w:themeShade="BF"/>
            </w:tcBorders>
            <w:shd w:val="clear" w:color="auto" w:fill="D8EFD7" w:themeFill="accent1" w:themeFillTint="33"/>
          </w:tcPr>
          <w:p w14:paraId="5BFD9E24" w14:textId="6DF2A94C" w:rsidR="00540BEC" w:rsidRPr="00A15DBA" w:rsidRDefault="00540BEC" w:rsidP="00540BEC">
            <w:pPr>
              <w:rPr>
                <w:b/>
                <w:bCs/>
              </w:rPr>
            </w:pPr>
            <w:r w:rsidRPr="00A15DBA">
              <w:rPr>
                <w:b/>
                <w:bCs/>
              </w:rPr>
              <w:t>Attachment 4: New arrangements to deliver PEC</w:t>
            </w:r>
          </w:p>
        </w:tc>
      </w:tr>
      <w:tr w:rsidR="0076213A" w:rsidRPr="00BF5F1E" w14:paraId="7D35147F" w14:textId="77777777" w:rsidTr="358799A6">
        <w:trPr>
          <w:cantSplit/>
          <w:trHeight w:val="300"/>
        </w:trPr>
        <w:tc>
          <w:tcPr>
            <w:tcW w:w="2124" w:type="dxa"/>
            <w:tcBorders>
              <w:bottom w:val="single" w:sz="2" w:space="0" w:color="BFBFBF" w:themeColor="background1" w:themeShade="BF"/>
            </w:tcBorders>
          </w:tcPr>
          <w:p w14:paraId="69E1363F" w14:textId="729123A9" w:rsidR="0076213A" w:rsidRPr="003D2981" w:rsidRDefault="0076213A" w:rsidP="0076213A">
            <w:pPr>
              <w:spacing w:after="120"/>
              <w:contextualSpacing/>
              <w:rPr>
                <w:rFonts w:ascii="Arial" w:eastAsiaTheme="majorEastAsia" w:hAnsi="Arial" w:cs="Arial"/>
                <w:lang w:eastAsia="en-AU"/>
              </w:rPr>
            </w:pPr>
            <w:r w:rsidRPr="0BAE85EF">
              <w:rPr>
                <w:rFonts w:ascii="Arial" w:eastAsiaTheme="majorEastAsia" w:hAnsi="Arial" w:cs="Arial"/>
                <w:lang w:eastAsia="en-AU"/>
              </w:rPr>
              <w:t xml:space="preserve">Section 3 Negotiation of the new contractual terms and conditions, </w:t>
            </w:r>
            <w:r w:rsidRPr="20129C80">
              <w:rPr>
                <w:rFonts w:ascii="Arial" w:eastAsiaTheme="majorEastAsia" w:hAnsi="Arial" w:cs="Arial"/>
                <w:lang w:eastAsia="en-AU"/>
              </w:rPr>
              <w:t>p 5</w:t>
            </w:r>
            <w:r w:rsidRPr="0BAE85EF">
              <w:rPr>
                <w:rFonts w:ascii="Arial" w:eastAsiaTheme="majorEastAsia" w:hAnsi="Arial" w:cs="Arial"/>
                <w:lang w:eastAsia="en-AU"/>
              </w:rPr>
              <w:t xml:space="preserve"> </w:t>
            </w:r>
          </w:p>
        </w:tc>
        <w:tc>
          <w:tcPr>
            <w:tcW w:w="1559" w:type="dxa"/>
            <w:tcBorders>
              <w:bottom w:val="single" w:sz="2" w:space="0" w:color="BFBFBF" w:themeColor="background1" w:themeShade="BF"/>
            </w:tcBorders>
          </w:tcPr>
          <w:p w14:paraId="7FEAFBC1" w14:textId="6923A87C" w:rsidR="0076213A" w:rsidRDefault="0076213A" w:rsidP="0076213A">
            <w:pPr>
              <w:rPr>
                <w:rFonts w:ascii="Arial" w:hAnsi="Arial" w:cs="Arial"/>
                <w:color w:val="000000"/>
              </w:rPr>
            </w:pPr>
            <w:r>
              <w:rPr>
                <w:rFonts w:ascii="Arial" w:hAnsi="Arial" w:cs="Arial"/>
              </w:rPr>
              <w:t>Performance securities and contract price</w:t>
            </w:r>
          </w:p>
        </w:tc>
        <w:tc>
          <w:tcPr>
            <w:tcW w:w="1701" w:type="dxa"/>
            <w:tcBorders>
              <w:bottom w:val="single" w:sz="2" w:space="0" w:color="BFBFBF" w:themeColor="background1" w:themeShade="BF"/>
            </w:tcBorders>
          </w:tcPr>
          <w:p w14:paraId="74C91864" w14:textId="2AB46593" w:rsidR="0076213A" w:rsidRDefault="0076213A" w:rsidP="0076213A">
            <w:r>
              <w:rPr>
                <w:rFonts w:ascii="Arial" w:hAnsi="Arial" w:cs="Arial"/>
                <w:color w:val="000000"/>
              </w:rPr>
              <w:t>Contractual arrangements, costs</w:t>
            </w:r>
          </w:p>
        </w:tc>
        <w:tc>
          <w:tcPr>
            <w:tcW w:w="1559" w:type="dxa"/>
            <w:tcBorders>
              <w:bottom w:val="single" w:sz="2" w:space="0" w:color="BFBFBF" w:themeColor="background1" w:themeShade="BF"/>
            </w:tcBorders>
          </w:tcPr>
          <w:p w14:paraId="61B9A924" w14:textId="540B49DB" w:rsidR="0076213A" w:rsidRDefault="0076213A" w:rsidP="0076213A">
            <w:pPr>
              <w:spacing w:after="120"/>
            </w:pPr>
            <w:r>
              <w:t>Market intelligence / market sensitive cost inputs</w:t>
            </w:r>
          </w:p>
        </w:tc>
        <w:tc>
          <w:tcPr>
            <w:tcW w:w="1985" w:type="dxa"/>
            <w:tcBorders>
              <w:bottom w:val="single" w:sz="2" w:space="0" w:color="BFBFBF" w:themeColor="background1" w:themeShade="BF"/>
            </w:tcBorders>
          </w:tcPr>
          <w:p w14:paraId="2A9AAAD0" w14:textId="6372CDEB" w:rsidR="0076213A" w:rsidRPr="004A1881" w:rsidRDefault="0076213A" w:rsidP="0076213A">
            <w:pPr>
              <w:spacing w:after="120"/>
              <w:rPr>
                <w:rFonts w:ascii="Arial" w:hAnsi="Arial" w:cs="Arial"/>
                <w:color w:val="000000"/>
              </w:rPr>
            </w:pPr>
            <w:r>
              <w:rPr>
                <w:rFonts w:ascii="Arial" w:hAnsi="Arial" w:cs="Arial"/>
              </w:rPr>
              <w:t xml:space="preserve">This information is commercially sensitive to Transgrid, as </w:t>
            </w:r>
            <w:r w:rsidRPr="645F6000">
              <w:rPr>
                <w:rFonts w:ascii="Arial" w:eastAsia="Arial" w:hAnsi="Arial" w:cs="Arial"/>
              </w:rPr>
              <w:t xml:space="preserve">it </w:t>
            </w:r>
            <w:r w:rsidRPr="62EE48A0">
              <w:rPr>
                <w:rFonts w:ascii="Arial" w:eastAsia="Arial" w:hAnsi="Arial" w:cs="Arial"/>
              </w:rPr>
              <w:t>describe</w:t>
            </w:r>
            <w:r>
              <w:rPr>
                <w:rFonts w:ascii="Arial" w:eastAsia="Arial" w:hAnsi="Arial" w:cs="Arial"/>
              </w:rPr>
              <w:t>s</w:t>
            </w:r>
            <w:r w:rsidRPr="62EE48A0">
              <w:rPr>
                <w:rFonts w:ascii="Arial" w:eastAsia="Arial" w:hAnsi="Arial" w:cs="Arial"/>
              </w:rPr>
              <w:t xml:space="preserve"> the contractual terms negotiated between Transgrid and Elecnor Australia in the ICC contract</w:t>
            </w:r>
            <w:r>
              <w:rPr>
                <w:rFonts w:ascii="Arial" w:hAnsi="Arial" w:cs="Arial"/>
              </w:rPr>
              <w:t>.</w:t>
            </w:r>
          </w:p>
        </w:tc>
        <w:tc>
          <w:tcPr>
            <w:tcW w:w="2551" w:type="dxa"/>
            <w:tcBorders>
              <w:bottom w:val="single" w:sz="2" w:space="0" w:color="BFBFBF" w:themeColor="background1" w:themeShade="BF"/>
            </w:tcBorders>
          </w:tcPr>
          <w:p w14:paraId="0A97B426" w14:textId="7ED8CA00" w:rsidR="0076213A" w:rsidRDefault="00B010E5" w:rsidP="0076213A">
            <w:r>
              <w:rPr>
                <w:rFonts w:ascii="Arial" w:eastAsia="Arial" w:hAnsi="Arial" w:cs="Arial"/>
              </w:rPr>
              <w:t xml:space="preserve">Revealing the securities that Transgrid was able to negotiate, as well as the contract price, would disclose key contractual terms which could prejudice Transgrid in future negotiations with third </w:t>
            </w:r>
            <w:proofErr w:type="gramStart"/>
            <w:r>
              <w:rPr>
                <w:rFonts w:ascii="Arial" w:eastAsia="Arial" w:hAnsi="Arial" w:cs="Arial"/>
              </w:rPr>
              <w:t>parties.</w:t>
            </w:r>
            <w:r w:rsidR="0076213A">
              <w:rPr>
                <w:rFonts w:ascii="Arial" w:eastAsia="Arial" w:hAnsi="Arial" w:cs="Arial"/>
              </w:rPr>
              <w:t>.</w:t>
            </w:r>
            <w:proofErr w:type="gramEnd"/>
          </w:p>
        </w:tc>
        <w:tc>
          <w:tcPr>
            <w:tcW w:w="2552" w:type="dxa"/>
            <w:tcBorders>
              <w:bottom w:val="single" w:sz="2" w:space="0" w:color="BFBFBF" w:themeColor="background1" w:themeShade="BF"/>
            </w:tcBorders>
          </w:tcPr>
          <w:p w14:paraId="630868A5" w14:textId="77777777" w:rsidR="00DB6807" w:rsidRDefault="00DB6807" w:rsidP="00DB6807">
            <w:pPr>
              <w:rPr>
                <w:rFonts w:ascii="Arial" w:eastAsia="Arial" w:hAnsi="Arial" w:cs="Arial"/>
              </w:rPr>
            </w:pPr>
            <w:r>
              <w:rPr>
                <w:rFonts w:ascii="Arial" w:eastAsia="Arial" w:hAnsi="Arial" w:cs="Arial"/>
              </w:rPr>
              <w:t>T</w:t>
            </w:r>
            <w:r w:rsidRPr="002B6130">
              <w:rPr>
                <w:rFonts w:ascii="Arial" w:eastAsia="Arial" w:hAnsi="Arial" w:cs="Arial"/>
              </w:rPr>
              <w:t xml:space="preserve">he </w:t>
            </w:r>
            <w:r>
              <w:rPr>
                <w:rFonts w:ascii="Arial" w:eastAsia="Arial" w:hAnsi="Arial" w:cs="Arial"/>
              </w:rPr>
              <w:t xml:space="preserve">security </w:t>
            </w:r>
            <w:r w:rsidRPr="645F6000">
              <w:rPr>
                <w:rFonts w:ascii="Arial" w:eastAsia="Arial" w:hAnsi="Arial" w:cs="Arial"/>
              </w:rPr>
              <w:t>arrangements</w:t>
            </w:r>
            <w:r w:rsidRPr="002B6130">
              <w:rPr>
                <w:rFonts w:ascii="Arial" w:eastAsia="Arial" w:hAnsi="Arial" w:cs="Arial"/>
              </w:rPr>
              <w:t xml:space="preserve"> negotiated under the contract </w:t>
            </w:r>
            <w:r>
              <w:rPr>
                <w:rFonts w:ascii="Arial" w:eastAsia="Arial" w:hAnsi="Arial" w:cs="Arial"/>
              </w:rPr>
              <w:t>are</w:t>
            </w:r>
            <w:r w:rsidRPr="002B6130">
              <w:rPr>
                <w:rFonts w:ascii="Arial" w:eastAsia="Arial" w:hAnsi="Arial" w:cs="Arial"/>
              </w:rPr>
              <w:t xml:space="preserve"> commercially sensitive</w:t>
            </w:r>
            <w:r>
              <w:rPr>
                <w:rFonts w:ascii="Arial" w:eastAsia="Arial" w:hAnsi="Arial" w:cs="Arial"/>
              </w:rPr>
              <w:t xml:space="preserve"> and</w:t>
            </w:r>
            <w:r w:rsidRPr="645F6000">
              <w:rPr>
                <w:rFonts w:ascii="Arial" w:eastAsia="Arial" w:hAnsi="Arial" w:cs="Arial"/>
              </w:rPr>
              <w:t xml:space="preserve"> </w:t>
            </w:r>
            <w:r w:rsidRPr="002B6130">
              <w:rPr>
                <w:rFonts w:ascii="Arial" w:eastAsia="Arial" w:hAnsi="Arial" w:cs="Arial"/>
              </w:rPr>
              <w:t xml:space="preserve">reflect the outcome of confidential commercial negotiations and </w:t>
            </w:r>
            <w:r w:rsidRPr="645F6000">
              <w:rPr>
                <w:rFonts w:ascii="Arial" w:eastAsia="Arial" w:hAnsi="Arial" w:cs="Arial"/>
              </w:rPr>
              <w:t xml:space="preserve">do </w:t>
            </w:r>
            <w:r w:rsidRPr="002B6130">
              <w:rPr>
                <w:rFonts w:ascii="Arial" w:eastAsia="Arial" w:hAnsi="Arial" w:cs="Arial"/>
              </w:rPr>
              <w:t xml:space="preserve">not affect the </w:t>
            </w:r>
            <w:r>
              <w:rPr>
                <w:rFonts w:ascii="Arial" w:eastAsia="Arial" w:hAnsi="Arial" w:cs="Arial"/>
              </w:rPr>
              <w:t>A</w:t>
            </w:r>
            <w:r w:rsidRPr="002B6130">
              <w:rPr>
                <w:rFonts w:ascii="Arial" w:eastAsia="Arial" w:hAnsi="Arial" w:cs="Arial"/>
              </w:rPr>
              <w:t>pplication. Publishing this information would provide limited, if any, public benefit, as it does not influence consumer outcomes or regulatory decision</w:t>
            </w:r>
            <w:r w:rsidRPr="002B6130">
              <w:rPr>
                <w:rFonts w:ascii="Cambria Math" w:eastAsia="Arial" w:hAnsi="Cambria Math" w:cs="Cambria Math"/>
              </w:rPr>
              <w:t>‑</w:t>
            </w:r>
            <w:r w:rsidRPr="002B6130">
              <w:rPr>
                <w:rFonts w:ascii="Arial" w:eastAsia="Arial" w:hAnsi="Arial" w:cs="Arial"/>
              </w:rPr>
              <w:t xml:space="preserve">making. However, </w:t>
            </w:r>
            <w:r w:rsidRPr="002B6130" w:rsidDel="00667081">
              <w:rPr>
                <w:rFonts w:ascii="Arial" w:eastAsia="Arial" w:hAnsi="Arial" w:cs="Arial"/>
              </w:rPr>
              <w:t>d</w:t>
            </w:r>
            <w:r w:rsidRPr="002B6130">
              <w:rPr>
                <w:rFonts w:ascii="Arial" w:eastAsia="Arial" w:hAnsi="Arial" w:cs="Arial"/>
              </w:rPr>
              <w:t xml:space="preserve">isclosure could materially disadvantage Transgrid in future commercial negotiations by revealing its negotiating position and risk appetite, </w:t>
            </w:r>
            <w:r w:rsidRPr="002B6130">
              <w:rPr>
                <w:rFonts w:ascii="Arial" w:eastAsia="Arial" w:hAnsi="Arial" w:cs="Arial"/>
              </w:rPr>
              <w:lastRenderedPageBreak/>
              <w:t xml:space="preserve">ultimately </w:t>
            </w:r>
            <w:r>
              <w:rPr>
                <w:rFonts w:ascii="Arial" w:eastAsia="Arial" w:hAnsi="Arial" w:cs="Arial"/>
              </w:rPr>
              <w:t>to the detriment of</w:t>
            </w:r>
            <w:r w:rsidRPr="002B6130">
              <w:rPr>
                <w:rFonts w:ascii="Arial" w:eastAsia="Arial" w:hAnsi="Arial" w:cs="Arial"/>
              </w:rPr>
              <w:t xml:space="preserve"> the long</w:t>
            </w:r>
            <w:r w:rsidRPr="002B6130">
              <w:rPr>
                <w:rFonts w:ascii="Cambria Math" w:eastAsia="Arial" w:hAnsi="Cambria Math" w:cs="Cambria Math"/>
              </w:rPr>
              <w:t>‑</w:t>
            </w:r>
            <w:r w:rsidRPr="002B6130">
              <w:rPr>
                <w:rFonts w:ascii="Arial" w:eastAsia="Arial" w:hAnsi="Arial" w:cs="Arial"/>
              </w:rPr>
              <w:t>term interests of consumers.</w:t>
            </w:r>
          </w:p>
          <w:p w14:paraId="78E6CD53" w14:textId="49D94B58" w:rsidR="0076213A" w:rsidRDefault="00DB6807" w:rsidP="00DB6807">
            <w:pPr>
              <w:rPr>
                <w:rFonts w:ascii="Arial" w:hAnsi="Arial" w:cs="Arial"/>
              </w:rPr>
            </w:pPr>
            <w:r>
              <w:rPr>
                <w:rFonts w:ascii="Arial" w:eastAsia="Arial" w:hAnsi="Arial" w:cs="Arial"/>
              </w:rPr>
              <w:t>Transgrid provides other information</w:t>
            </w:r>
            <w:r>
              <w:rPr>
                <w:rFonts w:ascii="Arial" w:eastAsia="Arial" w:hAnsi="Arial" w:cs="Arial"/>
                <w:lang w:val="en-US"/>
              </w:rPr>
              <w:t xml:space="preserve"> </w:t>
            </w:r>
            <w:r>
              <w:rPr>
                <w:rFonts w:ascii="Arial" w:eastAsia="Arial" w:hAnsi="Arial" w:cs="Arial"/>
              </w:rPr>
              <w:t>to support the public’s confidence that the ICC contract provides strong securities for consumers</w:t>
            </w:r>
          </w:p>
        </w:tc>
        <w:tc>
          <w:tcPr>
            <w:tcW w:w="1275" w:type="dxa"/>
            <w:tcBorders>
              <w:bottom w:val="single" w:sz="2" w:space="0" w:color="BFBFBF" w:themeColor="background1" w:themeShade="BF"/>
            </w:tcBorders>
          </w:tcPr>
          <w:p w14:paraId="495FD9D8" w14:textId="1F820DFD" w:rsidR="0076213A" w:rsidRPr="462BED03" w:rsidRDefault="0076213A" w:rsidP="0076213A">
            <w:pPr>
              <w:rPr>
                <w:rFonts w:ascii="Arial" w:hAnsi="Arial" w:cs="Arial"/>
              </w:rPr>
            </w:pPr>
            <w:r>
              <w:rPr>
                <w:rFonts w:ascii="Arial" w:hAnsi="Arial" w:cs="Arial"/>
              </w:rPr>
              <w:lastRenderedPageBreak/>
              <w:t>1 page</w:t>
            </w:r>
          </w:p>
        </w:tc>
      </w:tr>
      <w:tr w:rsidR="0076213A" w:rsidRPr="00BF5F1E" w:rsidDel="001008FA" w14:paraId="4B090DC5" w14:textId="5822FAC6" w:rsidTr="358799A6">
        <w:trPr>
          <w:cantSplit/>
          <w:trHeight w:val="300"/>
        </w:trPr>
        <w:tc>
          <w:tcPr>
            <w:tcW w:w="2124" w:type="dxa"/>
            <w:tcBorders>
              <w:bottom w:val="single" w:sz="2" w:space="0" w:color="BFBFBF" w:themeColor="background1" w:themeShade="BF"/>
            </w:tcBorders>
          </w:tcPr>
          <w:p w14:paraId="68B37D31" w14:textId="060CA0F6" w:rsidR="0076213A" w:rsidDel="001008FA" w:rsidRDefault="0076213A" w:rsidP="39051CDC">
            <w:pPr>
              <w:spacing w:after="120"/>
              <w:contextualSpacing/>
              <w:rPr>
                <w:rFonts w:ascii="Arial" w:eastAsiaTheme="majorEastAsia" w:hAnsi="Arial" w:cs="Arial"/>
                <w:lang w:eastAsia="en-AU"/>
              </w:rPr>
            </w:pPr>
            <w:r w:rsidRPr="39051CDC">
              <w:rPr>
                <w:rFonts w:ascii="Arial" w:eastAsiaTheme="majorEastAsia" w:hAnsi="Arial" w:cs="Arial"/>
                <w:lang w:eastAsia="en-AU"/>
              </w:rPr>
              <w:t xml:space="preserve">Section 4.1, Prior to </w:t>
            </w:r>
            <w:proofErr w:type="gramStart"/>
            <w:r w:rsidRPr="39051CDC">
              <w:rPr>
                <w:rFonts w:ascii="Arial" w:eastAsiaTheme="majorEastAsia" w:hAnsi="Arial" w:cs="Arial"/>
                <w:lang w:eastAsia="en-AU"/>
              </w:rPr>
              <w:t>entering into</w:t>
            </w:r>
            <w:proofErr w:type="gramEnd"/>
            <w:r w:rsidRPr="39051CDC">
              <w:rPr>
                <w:rFonts w:ascii="Arial" w:eastAsiaTheme="majorEastAsia" w:hAnsi="Arial" w:cs="Arial"/>
                <w:lang w:eastAsia="en-AU"/>
              </w:rPr>
              <w:t xml:space="preserve"> ICC Contract, p 9</w:t>
            </w:r>
          </w:p>
        </w:tc>
        <w:tc>
          <w:tcPr>
            <w:tcW w:w="1559" w:type="dxa"/>
            <w:tcBorders>
              <w:bottom w:val="single" w:sz="2" w:space="0" w:color="BFBFBF" w:themeColor="background1" w:themeShade="BF"/>
            </w:tcBorders>
          </w:tcPr>
          <w:p w14:paraId="48D6A0EF" w14:textId="0656F0BB" w:rsidR="0076213A" w:rsidDel="001008FA" w:rsidRDefault="00A6210E" w:rsidP="0076213A">
            <w:r>
              <w:rPr>
                <w:rFonts w:ascii="Arial" w:hAnsi="Arial" w:cs="Arial"/>
                <w:color w:val="000000"/>
              </w:rPr>
              <w:t>Scenario 2 – delivery by an alternative contractor</w:t>
            </w:r>
          </w:p>
        </w:tc>
        <w:tc>
          <w:tcPr>
            <w:tcW w:w="1701" w:type="dxa"/>
            <w:tcBorders>
              <w:bottom w:val="single" w:sz="2" w:space="0" w:color="BFBFBF" w:themeColor="background1" w:themeShade="BF"/>
            </w:tcBorders>
          </w:tcPr>
          <w:p w14:paraId="6CE8CC62" w14:textId="505DF433" w:rsidR="0076213A" w:rsidDel="001008FA" w:rsidRDefault="023A5195" w:rsidP="0076213A">
            <w:r w:rsidRPr="358799A6">
              <w:rPr>
                <w:rFonts w:ascii="Arial" w:hAnsi="Arial" w:cs="Arial"/>
              </w:rPr>
              <w:t xml:space="preserve">Additional commercial </w:t>
            </w:r>
            <w:r w:rsidR="0076213A" w:rsidRPr="358799A6">
              <w:rPr>
                <w:rFonts w:ascii="Arial" w:hAnsi="Arial" w:cs="Arial"/>
              </w:rPr>
              <w:t>costs</w:t>
            </w:r>
            <w:r w:rsidR="4737B8CC" w:rsidRPr="358799A6">
              <w:rPr>
                <w:rFonts w:ascii="Arial" w:hAnsi="Arial" w:cs="Arial"/>
              </w:rPr>
              <w:t xml:space="preserve"> and total out-turn cost</w:t>
            </w:r>
          </w:p>
        </w:tc>
        <w:tc>
          <w:tcPr>
            <w:tcW w:w="1559" w:type="dxa"/>
            <w:tcBorders>
              <w:bottom w:val="single" w:sz="2" w:space="0" w:color="BFBFBF" w:themeColor="background1" w:themeShade="BF"/>
            </w:tcBorders>
          </w:tcPr>
          <w:p w14:paraId="4F51F8AB" w14:textId="3F6E2032" w:rsidR="0076213A" w:rsidDel="001008FA" w:rsidRDefault="0076213A" w:rsidP="0076213A">
            <w:pPr>
              <w:rPr>
                <w:rFonts w:ascii="Arial" w:eastAsia="Arial" w:hAnsi="Arial" w:cs="Arial"/>
              </w:rPr>
            </w:pPr>
            <w:r>
              <w:t>Market intelligence</w:t>
            </w:r>
          </w:p>
          <w:p w14:paraId="39F5CA75" w14:textId="5A161D9D" w:rsidR="0076213A" w:rsidDel="001008FA" w:rsidRDefault="0076213A" w:rsidP="0076213A"/>
        </w:tc>
        <w:tc>
          <w:tcPr>
            <w:tcW w:w="1985" w:type="dxa"/>
            <w:tcBorders>
              <w:bottom w:val="single" w:sz="2" w:space="0" w:color="BFBFBF" w:themeColor="background1" w:themeShade="BF"/>
            </w:tcBorders>
          </w:tcPr>
          <w:p w14:paraId="2564B1EA" w14:textId="6ED4EFD9" w:rsidR="0076213A" w:rsidDel="001008FA" w:rsidRDefault="0076213A" w:rsidP="0076213A">
            <w:r w:rsidRPr="358799A6">
              <w:rPr>
                <w:rFonts w:ascii="Arial" w:hAnsi="Arial" w:cs="Arial"/>
              </w:rPr>
              <w:t xml:space="preserve">Fission’s estimate of the </w:t>
            </w:r>
            <w:r w:rsidR="6F55BB8C" w:rsidRPr="358799A6">
              <w:rPr>
                <w:rFonts w:ascii="Arial" w:hAnsi="Arial" w:cs="Arial"/>
              </w:rPr>
              <w:t>additional commercial costs and resulting cost of delivering the contract under an alternative contractor</w:t>
            </w:r>
            <w:r w:rsidRPr="358799A6">
              <w:rPr>
                <w:rFonts w:ascii="Arial" w:hAnsi="Arial" w:cs="Arial"/>
              </w:rPr>
              <w:t xml:space="preserve"> is commercially sensitive.</w:t>
            </w:r>
          </w:p>
        </w:tc>
        <w:tc>
          <w:tcPr>
            <w:tcW w:w="2551" w:type="dxa"/>
            <w:tcBorders>
              <w:bottom w:val="single" w:sz="2" w:space="0" w:color="BFBFBF" w:themeColor="background1" w:themeShade="BF"/>
            </w:tcBorders>
          </w:tcPr>
          <w:p w14:paraId="230A1575" w14:textId="194648B6" w:rsidR="0076213A" w:rsidDel="001008FA" w:rsidRDefault="00A6210E" w:rsidP="358799A6">
            <w:pPr>
              <w:rPr>
                <w:rFonts w:ascii="Arial" w:eastAsia="Arial" w:hAnsi="Arial" w:cs="Arial"/>
                <w:szCs w:val="21"/>
              </w:rPr>
            </w:pPr>
            <w:r w:rsidRPr="358799A6">
              <w:rPr>
                <w:rFonts w:eastAsia="Arial"/>
                <w:color w:val="auto"/>
                <w:lang w:eastAsia="en-AU"/>
              </w:rPr>
              <w:t>As explained above in relation to how the forecast costs appear in the Fission report</w:t>
            </w:r>
            <w:r>
              <w:rPr>
                <w:rFonts w:eastAsia="Arial"/>
                <w:color w:val="auto"/>
                <w:lang w:eastAsia="en-AU"/>
              </w:rPr>
              <w:t>,</w:t>
            </w:r>
            <w:r w:rsidRPr="358799A6">
              <w:rPr>
                <w:rFonts w:ascii="Arial" w:eastAsia="Arial" w:hAnsi="Arial" w:cs="Arial"/>
                <w:color w:val="A5397A"/>
                <w:szCs w:val="21"/>
                <w:u w:val="single"/>
              </w:rPr>
              <w:t xml:space="preserve"> </w:t>
            </w:r>
            <w:r w:rsidR="3EE4B26C" w:rsidRPr="00E43A65">
              <w:rPr>
                <w:rFonts w:eastAsia="Arial"/>
                <w:color w:val="auto"/>
                <w:lang w:eastAsia="en-AU"/>
              </w:rPr>
              <w:t>Disclosing the estimate that includes Transgrid’s potential contract termination costs would cause detriment because it exposes information that directly affects Transgrid’s commercial leverage. Once that figure becomes public, third parties can infer how costly it would be for Transgrid to exit an arrangement and therefore how much negotiating flexibility Transgrid truly has.</w:t>
            </w:r>
            <w:r w:rsidR="3EE4B26C" w:rsidRPr="358799A6">
              <w:rPr>
                <w:rFonts w:ascii="Arial" w:eastAsia="Arial" w:hAnsi="Arial" w:cs="Arial"/>
                <w:color w:val="A5397A"/>
                <w:szCs w:val="21"/>
                <w:u w:val="single"/>
              </w:rPr>
              <w:t xml:space="preserve"> </w:t>
            </w:r>
          </w:p>
        </w:tc>
        <w:tc>
          <w:tcPr>
            <w:tcW w:w="2552" w:type="dxa"/>
            <w:tcBorders>
              <w:bottom w:val="single" w:sz="2" w:space="0" w:color="BFBFBF" w:themeColor="background1" w:themeShade="BF"/>
            </w:tcBorders>
          </w:tcPr>
          <w:p w14:paraId="54E5ECDD" w14:textId="5B6890B7" w:rsidR="0076213A" w:rsidRPr="645F6000" w:rsidDel="001008FA" w:rsidRDefault="27DA3D8A" w:rsidP="358799A6">
            <w:pPr>
              <w:rPr>
                <w:rFonts w:eastAsia="Arial"/>
                <w:color w:val="auto"/>
                <w:lang w:eastAsia="en-AU"/>
              </w:rPr>
            </w:pPr>
            <w:r w:rsidRPr="358799A6">
              <w:rPr>
                <w:rFonts w:eastAsia="Arial"/>
                <w:color w:val="auto"/>
                <w:lang w:eastAsia="en-AU"/>
              </w:rPr>
              <w:t xml:space="preserve">As explained above in relation to how the forecast costs appear in the Fission report, redaction of these figures does not prevent stakeholders from understanding the Application, where the figures appear in a restatement of the Fission report findings. </w:t>
            </w:r>
            <w:r w:rsidR="62D979D0" w:rsidRPr="358799A6">
              <w:rPr>
                <w:rFonts w:eastAsia="Arial"/>
                <w:color w:val="auto"/>
                <w:lang w:eastAsia="en-AU"/>
              </w:rPr>
              <w:t xml:space="preserve">Conversely, the harm from disclosure would be to expose Transgrid’s commercial strategy, weaken its negotiating position, and risk misinterpretation by suppliers, unions and other stakeholders, which could increase costs and </w:t>
            </w:r>
            <w:r w:rsidR="4FADF955" w:rsidRPr="358799A6">
              <w:rPr>
                <w:rFonts w:eastAsia="Arial"/>
                <w:color w:val="auto"/>
                <w:lang w:eastAsia="en-AU"/>
              </w:rPr>
              <w:t xml:space="preserve">undermine the efficiency and stability of </w:t>
            </w:r>
            <w:r w:rsidR="4FADF955" w:rsidRPr="358799A6">
              <w:rPr>
                <w:rFonts w:eastAsia="Arial"/>
                <w:color w:val="auto"/>
                <w:lang w:eastAsia="en-AU"/>
              </w:rPr>
              <w:lastRenderedPageBreak/>
              <w:t xml:space="preserve">the regulatory framework. </w:t>
            </w:r>
          </w:p>
        </w:tc>
        <w:tc>
          <w:tcPr>
            <w:tcW w:w="1275" w:type="dxa"/>
            <w:tcBorders>
              <w:bottom w:val="single" w:sz="2" w:space="0" w:color="BFBFBF" w:themeColor="background1" w:themeShade="BF"/>
            </w:tcBorders>
          </w:tcPr>
          <w:p w14:paraId="13BCBF71" w14:textId="79F3856D" w:rsidR="0076213A" w:rsidRPr="462BED03" w:rsidDel="001008FA" w:rsidRDefault="0076213A" w:rsidP="0076213A">
            <w:pPr>
              <w:rPr>
                <w:rFonts w:ascii="Arial" w:hAnsi="Arial" w:cs="Arial"/>
              </w:rPr>
            </w:pPr>
            <w:r w:rsidRPr="358799A6">
              <w:rPr>
                <w:rFonts w:ascii="Arial" w:hAnsi="Arial" w:cs="Arial"/>
              </w:rPr>
              <w:lastRenderedPageBreak/>
              <w:t>1 page</w:t>
            </w:r>
          </w:p>
        </w:tc>
      </w:tr>
      <w:tr w:rsidR="0076213A" w:rsidRPr="00BF5F1E" w14:paraId="5587138C"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34078959" w14:textId="1B85280B" w:rsidR="0076213A" w:rsidRPr="001369C6" w:rsidRDefault="0076213A" w:rsidP="0076213A">
            <w:pPr>
              <w:spacing w:after="120"/>
              <w:contextualSpacing/>
              <w:rPr>
                <w:rFonts w:ascii="Arial" w:eastAsiaTheme="majorEastAsia" w:hAnsi="Arial" w:cs="Arial"/>
                <w:lang w:eastAsia="en-AU"/>
              </w:rPr>
            </w:pPr>
            <w:r>
              <w:rPr>
                <w:rFonts w:ascii="Arial" w:eastAsiaTheme="majorEastAsia" w:hAnsi="Arial" w:cs="Arial"/>
                <w:lang w:eastAsia="en-AU"/>
              </w:rPr>
              <w:t xml:space="preserve">Section 4.2 Further evidence of prudent and efficient costs, </w:t>
            </w:r>
            <w:r w:rsidRPr="452729EB">
              <w:rPr>
                <w:rFonts w:ascii="Arial" w:eastAsiaTheme="majorEastAsia" w:hAnsi="Arial" w:cs="Arial"/>
                <w:lang w:eastAsia="en-AU"/>
              </w:rPr>
              <w:t xml:space="preserve">p </w:t>
            </w:r>
            <w:r w:rsidRPr="3628E6A4">
              <w:rPr>
                <w:rFonts w:ascii="Arial" w:eastAsiaTheme="majorEastAsia" w:hAnsi="Arial" w:cs="Arial"/>
                <w:lang w:eastAsia="en-AU"/>
              </w:rPr>
              <w:t>11</w:t>
            </w:r>
          </w:p>
        </w:tc>
        <w:tc>
          <w:tcPr>
            <w:tcW w:w="1559" w:type="dxa"/>
            <w:tcBorders>
              <w:bottom w:val="single" w:sz="2" w:space="0" w:color="BFBFBF" w:themeColor="background1" w:themeShade="BF"/>
            </w:tcBorders>
            <w:shd w:val="clear" w:color="auto" w:fill="FFFFFF" w:themeFill="background1"/>
          </w:tcPr>
          <w:p w14:paraId="202CE31E" w14:textId="3B874682" w:rsidR="0076213A" w:rsidRDefault="0076213A" w:rsidP="0076213A">
            <w:pPr>
              <w:rPr>
                <w:rFonts w:ascii="Arial" w:hAnsi="Arial" w:cs="Arial"/>
                <w:color w:val="000000"/>
              </w:rPr>
            </w:pPr>
            <w:r>
              <w:rPr>
                <w:rFonts w:ascii="Arial" w:hAnsi="Arial" w:cs="Arial"/>
                <w:color w:val="000000"/>
              </w:rPr>
              <w:t>Contract terms</w:t>
            </w:r>
          </w:p>
        </w:tc>
        <w:tc>
          <w:tcPr>
            <w:tcW w:w="1701" w:type="dxa"/>
            <w:tcBorders>
              <w:bottom w:val="single" w:sz="2" w:space="0" w:color="BFBFBF" w:themeColor="background1" w:themeShade="BF"/>
            </w:tcBorders>
            <w:shd w:val="clear" w:color="auto" w:fill="FFFFFF" w:themeFill="background1"/>
          </w:tcPr>
          <w:p w14:paraId="7511A9D2" w14:textId="4FA8AC23" w:rsidR="0076213A" w:rsidRDefault="0076213A" w:rsidP="0076213A">
            <w:pPr>
              <w:rPr>
                <w:rFonts w:ascii="Arial" w:hAnsi="Arial" w:cs="Arial"/>
                <w:color w:val="000000"/>
              </w:rPr>
            </w:pPr>
            <w:r>
              <w:rPr>
                <w:rFonts w:ascii="Arial" w:hAnsi="Arial" w:cs="Arial"/>
                <w:color w:val="000000"/>
              </w:rPr>
              <w:t xml:space="preserve">Contractor information </w:t>
            </w:r>
          </w:p>
        </w:tc>
        <w:tc>
          <w:tcPr>
            <w:tcW w:w="1559" w:type="dxa"/>
            <w:tcBorders>
              <w:bottom w:val="single" w:sz="2" w:space="0" w:color="BFBFBF" w:themeColor="background1" w:themeShade="BF"/>
            </w:tcBorders>
            <w:shd w:val="clear" w:color="auto" w:fill="FFFFFF" w:themeFill="background1"/>
          </w:tcPr>
          <w:p w14:paraId="41ACD8C5" w14:textId="0C05A654" w:rsidR="0076213A" w:rsidRDefault="0076213A" w:rsidP="0076213A">
            <w:pPr>
              <w:rPr>
                <w:rFonts w:ascii="Arial" w:hAnsi="Arial" w:cs="Arial"/>
                <w:color w:val="000000"/>
              </w:rPr>
            </w:pPr>
            <w:r w:rsidRPr="51CE6CC3">
              <w:rPr>
                <w:rFonts w:ascii="Arial" w:hAnsi="Arial" w:cs="Arial"/>
              </w:rPr>
              <w:t>Market intelligence / other – third party confidentiality</w:t>
            </w:r>
          </w:p>
        </w:tc>
        <w:tc>
          <w:tcPr>
            <w:tcW w:w="1985" w:type="dxa"/>
            <w:tcBorders>
              <w:bottom w:val="single" w:sz="2" w:space="0" w:color="BFBFBF" w:themeColor="background1" w:themeShade="BF"/>
            </w:tcBorders>
            <w:shd w:val="clear" w:color="auto" w:fill="FFFFFF" w:themeFill="background1"/>
          </w:tcPr>
          <w:p w14:paraId="1F04E498" w14:textId="682B0E5F" w:rsidR="0076213A" w:rsidRDefault="0076213A" w:rsidP="0076213A">
            <w:pPr>
              <w:rPr>
                <w:rFonts w:ascii="Arial" w:hAnsi="Arial" w:cs="Arial"/>
              </w:rPr>
            </w:pPr>
            <w:r w:rsidRPr="2369992B">
              <w:rPr>
                <w:rFonts w:ascii="Arial" w:eastAsia="Arial" w:hAnsi="Arial" w:cs="Arial"/>
              </w:rPr>
              <w:t>Elecnor Australia maintains that the information is highly commercially and legally sensitive, disclosure of which may prejudice Elecnor Australia’s legal position.</w:t>
            </w:r>
            <w:r w:rsidRPr="51CE6CC3">
              <w:rPr>
                <w:rFonts w:ascii="Arial" w:eastAsia="Arial" w:hAnsi="Arial" w:cs="Arial"/>
                <w:szCs w:val="21"/>
              </w:rPr>
              <w:t xml:space="preserve">  </w:t>
            </w:r>
          </w:p>
        </w:tc>
        <w:tc>
          <w:tcPr>
            <w:tcW w:w="2551" w:type="dxa"/>
            <w:tcBorders>
              <w:bottom w:val="single" w:sz="2" w:space="0" w:color="BFBFBF" w:themeColor="background1" w:themeShade="BF"/>
            </w:tcBorders>
            <w:shd w:val="clear" w:color="auto" w:fill="FFFFFF" w:themeFill="background1"/>
          </w:tcPr>
          <w:p w14:paraId="19C26BB2" w14:textId="27ACF595" w:rsidR="0076213A" w:rsidRDefault="0076213A" w:rsidP="0076213A">
            <w:pPr>
              <w:rPr>
                <w:rFonts w:ascii="Arial" w:hAnsi="Arial" w:cs="Arial"/>
              </w:rPr>
            </w:pPr>
            <w:r>
              <w:rPr>
                <w:rFonts w:ascii="Arial" w:hAnsi="Arial" w:cs="Arial"/>
              </w:rPr>
              <w:t xml:space="preserve">Revealing this information </w:t>
            </w:r>
            <w:r w:rsidRPr="1949D49B">
              <w:rPr>
                <w:rFonts w:ascii="Arial" w:hAnsi="Arial" w:cs="Arial"/>
              </w:rPr>
              <w:t xml:space="preserve">may prejudice Elecnor Australia’s legal position </w:t>
            </w:r>
            <w:r>
              <w:rPr>
                <w:rFonts w:ascii="Arial" w:hAnsi="Arial" w:cs="Arial"/>
              </w:rPr>
              <w:t xml:space="preserve">could compromise Elecnor Australia. </w:t>
            </w:r>
          </w:p>
        </w:tc>
        <w:tc>
          <w:tcPr>
            <w:tcW w:w="2552" w:type="dxa"/>
            <w:tcBorders>
              <w:bottom w:val="single" w:sz="2" w:space="0" w:color="BFBFBF" w:themeColor="background1" w:themeShade="BF"/>
            </w:tcBorders>
            <w:shd w:val="clear" w:color="auto" w:fill="FFFFFF" w:themeFill="background1"/>
          </w:tcPr>
          <w:p w14:paraId="52AA4249" w14:textId="18680C6E" w:rsidR="0076213A" w:rsidRPr="00F9408A" w:rsidRDefault="0076213A" w:rsidP="0076213A">
            <w:pPr>
              <w:rPr>
                <w:rFonts w:ascii="Arial" w:hAnsi="Arial" w:cs="Arial"/>
              </w:rPr>
            </w:pPr>
            <w:r w:rsidRPr="51CE6CC3">
              <w:rPr>
                <w:rFonts w:ascii="Arial" w:hAnsi="Arial" w:cs="Arial"/>
              </w:rPr>
              <w:t>The detriment of disclosing this information would outweigh any potential public interest, given the considerable prejudice to Elecnor</w:t>
            </w:r>
            <w:r>
              <w:rPr>
                <w:rFonts w:ascii="Arial" w:hAnsi="Arial" w:cs="Arial"/>
              </w:rPr>
              <w:t xml:space="preserve"> Australia</w:t>
            </w:r>
            <w:r w:rsidRPr="51CE6CC3">
              <w:rPr>
                <w:rFonts w:ascii="Arial" w:hAnsi="Arial" w:cs="Arial"/>
              </w:rPr>
              <w:t>.</w:t>
            </w:r>
            <w:r w:rsidRPr="34A33344">
              <w:rPr>
                <w:rFonts w:ascii="Arial" w:hAnsi="Arial" w:cs="Arial"/>
              </w:rPr>
              <w:t xml:space="preserve"> </w:t>
            </w:r>
          </w:p>
        </w:tc>
        <w:tc>
          <w:tcPr>
            <w:tcW w:w="1275" w:type="dxa"/>
            <w:tcBorders>
              <w:bottom w:val="single" w:sz="2" w:space="0" w:color="BFBFBF" w:themeColor="background1" w:themeShade="BF"/>
            </w:tcBorders>
            <w:shd w:val="clear" w:color="auto" w:fill="FFFFFF" w:themeFill="background1"/>
          </w:tcPr>
          <w:p w14:paraId="358E4DBD" w14:textId="46809DE2" w:rsidR="0076213A" w:rsidRPr="462BED03" w:rsidRDefault="0076213A" w:rsidP="0076213A">
            <w:pPr>
              <w:rPr>
                <w:rFonts w:ascii="Arial" w:hAnsi="Arial" w:cs="Arial"/>
              </w:rPr>
            </w:pPr>
            <w:r w:rsidRPr="358799A6">
              <w:rPr>
                <w:rFonts w:ascii="Arial" w:hAnsi="Arial" w:cs="Arial"/>
              </w:rPr>
              <w:t>1 page</w:t>
            </w:r>
          </w:p>
        </w:tc>
      </w:tr>
      <w:tr w:rsidR="0076213A" w:rsidRPr="00BF5F1E" w14:paraId="370D9980"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19A7EC7E" w14:textId="525D939A" w:rsidR="0076213A" w:rsidRPr="0039476F" w:rsidRDefault="0076213A" w:rsidP="0076213A">
            <w:pPr>
              <w:rPr>
                <w:rFonts w:ascii="Arial" w:eastAsiaTheme="majorEastAsia" w:hAnsi="Arial" w:cs="Arial"/>
                <w:lang w:eastAsia="en-AU"/>
              </w:rPr>
            </w:pPr>
            <w:r w:rsidRPr="008D55CA">
              <w:rPr>
                <w:lang w:eastAsia="en-AU"/>
              </w:rPr>
              <w:t>Section 4.2 Further evidence of prudent and efficient costs, p12-</w:t>
            </w:r>
            <w:r w:rsidRPr="17DDF57B">
              <w:rPr>
                <w:lang w:eastAsia="en-AU"/>
              </w:rPr>
              <w:t>14</w:t>
            </w:r>
          </w:p>
        </w:tc>
        <w:tc>
          <w:tcPr>
            <w:tcW w:w="1559" w:type="dxa"/>
            <w:tcBorders>
              <w:bottom w:val="single" w:sz="2" w:space="0" w:color="BFBFBF" w:themeColor="background1" w:themeShade="BF"/>
            </w:tcBorders>
            <w:shd w:val="clear" w:color="auto" w:fill="FFFFFF" w:themeFill="background1"/>
          </w:tcPr>
          <w:p w14:paraId="5A284E7A" w14:textId="3DD5EE50" w:rsidR="0076213A" w:rsidRPr="0039476F" w:rsidRDefault="0076213A" w:rsidP="0076213A">
            <w:pPr>
              <w:rPr>
                <w:rFonts w:ascii="Arial" w:hAnsi="Arial" w:cs="Arial"/>
                <w:color w:val="000000"/>
              </w:rPr>
            </w:pPr>
            <w:r>
              <w:rPr>
                <w:rFonts w:ascii="Arial" w:hAnsi="Arial" w:cs="Arial"/>
                <w:color w:val="000000"/>
              </w:rPr>
              <w:t>Transmission line and substation Benchmarking</w:t>
            </w:r>
          </w:p>
        </w:tc>
        <w:tc>
          <w:tcPr>
            <w:tcW w:w="1701" w:type="dxa"/>
            <w:tcBorders>
              <w:bottom w:val="single" w:sz="2" w:space="0" w:color="BFBFBF" w:themeColor="background1" w:themeShade="BF"/>
            </w:tcBorders>
            <w:shd w:val="clear" w:color="auto" w:fill="FFFFFF" w:themeFill="background1"/>
          </w:tcPr>
          <w:p w14:paraId="7EF2908C" w14:textId="77777777" w:rsidR="0076213A" w:rsidRDefault="0076213A" w:rsidP="0076213A">
            <w:pPr>
              <w:rPr>
                <w:rFonts w:ascii="Arial" w:hAnsi="Arial" w:cs="Arial"/>
                <w:color w:val="000000"/>
              </w:rPr>
            </w:pPr>
            <w:r w:rsidRPr="0039476F">
              <w:rPr>
                <w:rFonts w:ascii="Arial" w:hAnsi="Arial" w:cs="Arial"/>
                <w:color w:val="000000"/>
              </w:rPr>
              <w:t>Transmission line costs</w:t>
            </w:r>
            <w:r>
              <w:rPr>
                <w:rFonts w:ascii="Arial" w:hAnsi="Arial" w:cs="Arial"/>
                <w:color w:val="000000"/>
              </w:rPr>
              <w:t xml:space="preserve"> </w:t>
            </w:r>
          </w:p>
          <w:p w14:paraId="57577AB5" w14:textId="02C898B7" w:rsidR="0076213A" w:rsidRPr="0039476F" w:rsidRDefault="0076213A" w:rsidP="0076213A">
            <w:pPr>
              <w:rPr>
                <w:rFonts w:ascii="Arial" w:hAnsi="Arial" w:cs="Arial"/>
                <w:color w:val="000000"/>
              </w:rPr>
            </w:pPr>
            <w:r>
              <w:rPr>
                <w:rFonts w:ascii="Arial" w:hAnsi="Arial" w:cs="Arial"/>
                <w:color w:val="000000"/>
              </w:rPr>
              <w:t>Substation costs</w:t>
            </w:r>
          </w:p>
        </w:tc>
        <w:tc>
          <w:tcPr>
            <w:tcW w:w="1559" w:type="dxa"/>
            <w:tcBorders>
              <w:bottom w:val="single" w:sz="2" w:space="0" w:color="BFBFBF" w:themeColor="background1" w:themeShade="BF"/>
            </w:tcBorders>
            <w:shd w:val="clear" w:color="auto" w:fill="FFFFFF" w:themeFill="background1"/>
          </w:tcPr>
          <w:p w14:paraId="520B4A2B" w14:textId="4BC521CB" w:rsidR="0076213A" w:rsidRPr="0039476F" w:rsidRDefault="0076213A" w:rsidP="0076213A">
            <w:pPr>
              <w:rPr>
                <w:rFonts w:ascii="Arial" w:hAnsi="Arial" w:cs="Arial"/>
                <w:color w:val="000000"/>
              </w:rPr>
            </w:pPr>
            <w:r w:rsidRPr="0039476F">
              <w:rPr>
                <w:rFonts w:ascii="Arial" w:hAnsi="Arial" w:cs="Arial"/>
                <w:color w:val="000000"/>
              </w:rPr>
              <w:t>Market sensitive cost inputs</w:t>
            </w:r>
          </w:p>
        </w:tc>
        <w:tc>
          <w:tcPr>
            <w:tcW w:w="1985" w:type="dxa"/>
            <w:tcBorders>
              <w:bottom w:val="single" w:sz="2" w:space="0" w:color="BFBFBF" w:themeColor="background1" w:themeShade="BF"/>
            </w:tcBorders>
            <w:shd w:val="clear" w:color="auto" w:fill="FFFFFF" w:themeFill="background1"/>
          </w:tcPr>
          <w:p w14:paraId="16293A5A" w14:textId="049CDE88" w:rsidR="0076213A" w:rsidRPr="0039476F" w:rsidRDefault="0076213A" w:rsidP="0076213A">
            <w:pPr>
              <w:rPr>
                <w:rFonts w:ascii="Arial" w:hAnsi="Arial" w:cs="Arial"/>
              </w:rPr>
            </w:pPr>
            <w:r w:rsidRPr="0039476F">
              <w:rPr>
                <w:rFonts w:ascii="Arial" w:hAnsi="Arial" w:cs="Arial"/>
              </w:rPr>
              <w:t xml:space="preserve">Transgrid’s project costs </w:t>
            </w:r>
            <w:r w:rsidRPr="06B63BDC">
              <w:rPr>
                <w:rFonts w:ascii="Arial" w:hAnsi="Arial" w:cs="Arial"/>
              </w:rPr>
              <w:t>and benchmarking is confidential and commercially</w:t>
            </w:r>
            <w:r w:rsidRPr="590D50B5">
              <w:rPr>
                <w:rFonts w:ascii="Arial" w:hAnsi="Arial" w:cs="Arial"/>
              </w:rPr>
              <w:t xml:space="preserve"> sensitive as against the market. </w:t>
            </w:r>
          </w:p>
        </w:tc>
        <w:tc>
          <w:tcPr>
            <w:tcW w:w="2551" w:type="dxa"/>
            <w:tcBorders>
              <w:bottom w:val="single" w:sz="2" w:space="0" w:color="BFBFBF" w:themeColor="background1" w:themeShade="BF"/>
            </w:tcBorders>
            <w:shd w:val="clear" w:color="auto" w:fill="FFFFFF" w:themeFill="background1"/>
          </w:tcPr>
          <w:p w14:paraId="46B0434B" w14:textId="5584B0D8" w:rsidR="0076213A" w:rsidRPr="0039476F" w:rsidRDefault="0076213A" w:rsidP="0076213A">
            <w:pPr>
              <w:rPr>
                <w:rFonts w:ascii="Arial" w:hAnsi="Arial" w:cs="Arial"/>
              </w:rPr>
            </w:pPr>
            <w:r w:rsidRPr="00B43317">
              <w:rPr>
                <w:rFonts w:ascii="Arial" w:hAnsi="Arial" w:cs="Arial"/>
              </w:rPr>
              <w:t xml:space="preserve">Disclosing Transgrid’s benchmarking costs would give contractors </w:t>
            </w:r>
            <w:r w:rsidRPr="1ABA1F49">
              <w:rPr>
                <w:rFonts w:ascii="Arial" w:hAnsi="Arial" w:cs="Arial"/>
              </w:rPr>
              <w:t xml:space="preserve">and </w:t>
            </w:r>
            <w:r w:rsidRPr="797670F2">
              <w:rPr>
                <w:rFonts w:ascii="Arial" w:hAnsi="Arial" w:cs="Arial"/>
              </w:rPr>
              <w:t>other participants in the market</w:t>
            </w:r>
            <w:r w:rsidRPr="1ABA1F49">
              <w:rPr>
                <w:rFonts w:ascii="Arial" w:hAnsi="Arial" w:cs="Arial"/>
              </w:rPr>
              <w:t xml:space="preserve"> </w:t>
            </w:r>
            <w:r w:rsidRPr="00B43317">
              <w:rPr>
                <w:rFonts w:ascii="Arial" w:hAnsi="Arial" w:cs="Arial"/>
              </w:rPr>
              <w:t>insight into Transgrid’s internal cost structures, budgets, and willingness to pay</w:t>
            </w:r>
            <w:r w:rsidRPr="38B56A4F">
              <w:rPr>
                <w:rFonts w:ascii="Arial" w:hAnsi="Arial" w:cs="Arial"/>
              </w:rPr>
              <w:t xml:space="preserve"> costs.</w:t>
            </w:r>
            <w:r w:rsidRPr="00B43317">
              <w:rPr>
                <w:rFonts w:ascii="Arial" w:hAnsi="Arial" w:cs="Arial"/>
              </w:rPr>
              <w:t xml:space="preserve"> </w:t>
            </w:r>
            <w:r w:rsidRPr="38B56A4F">
              <w:rPr>
                <w:rFonts w:ascii="Arial" w:hAnsi="Arial" w:cs="Arial"/>
              </w:rPr>
              <w:t>Contractors</w:t>
            </w:r>
            <w:r w:rsidRPr="00B43317">
              <w:rPr>
                <w:rFonts w:ascii="Arial" w:hAnsi="Arial" w:cs="Arial"/>
              </w:rPr>
              <w:t xml:space="preserve"> could adjust pricing strategies to their advantage by increasing prices, reducing discounts, or narrowing negotiation flexibility. This would weaken Transgrid’s bargaining position and </w:t>
            </w:r>
            <w:r w:rsidRPr="15248164">
              <w:rPr>
                <w:rFonts w:ascii="Arial" w:hAnsi="Arial" w:cs="Arial"/>
              </w:rPr>
              <w:t>increase</w:t>
            </w:r>
            <w:r w:rsidRPr="00B43317">
              <w:rPr>
                <w:rFonts w:ascii="Arial" w:hAnsi="Arial" w:cs="Arial"/>
              </w:rPr>
              <w:t xml:space="preserve"> the cost of future contracts</w:t>
            </w:r>
            <w:r w:rsidR="009C66F4">
              <w:rPr>
                <w:rFonts w:ascii="Arial" w:hAnsi="Arial" w:cs="Arial"/>
              </w:rPr>
              <w:t>,</w:t>
            </w:r>
            <w:r w:rsidR="009C66F4" w:rsidRPr="005555D0">
              <w:rPr>
                <w:rFonts w:ascii="Arial" w:hAnsi="Arial" w:cs="Arial"/>
              </w:rPr>
              <w:t xml:space="preserve"> i.e. they can tailor their bids, pricing strategies, or negotiation positions </w:t>
            </w:r>
            <w:r w:rsidR="009C66F4" w:rsidRPr="005555D0">
              <w:rPr>
                <w:rFonts w:ascii="Arial" w:hAnsi="Arial" w:cs="Arial"/>
              </w:rPr>
              <w:lastRenderedPageBreak/>
              <w:t>to align with Transgrid’s internal thresholds. Instead of competing on genuine efficiency, they can simply price just below the benchmark.</w:t>
            </w:r>
            <w:r w:rsidRPr="00B43317">
              <w:rPr>
                <w:rFonts w:ascii="Arial" w:hAnsi="Arial" w:cs="Arial"/>
              </w:rPr>
              <w:t xml:space="preserve"> Those higher costs </w:t>
            </w:r>
            <w:r w:rsidRPr="15248164">
              <w:rPr>
                <w:rFonts w:ascii="Arial" w:hAnsi="Arial" w:cs="Arial"/>
              </w:rPr>
              <w:t xml:space="preserve">would </w:t>
            </w:r>
            <w:r w:rsidRPr="00B43317">
              <w:rPr>
                <w:rFonts w:ascii="Arial" w:hAnsi="Arial" w:cs="Arial"/>
              </w:rPr>
              <w:t>ultimately flow through to consumers</w:t>
            </w:r>
            <w:r>
              <w:rPr>
                <w:rFonts w:ascii="Arial" w:hAnsi="Arial" w:cs="Arial"/>
              </w:rPr>
              <w:t>.</w:t>
            </w:r>
          </w:p>
        </w:tc>
        <w:tc>
          <w:tcPr>
            <w:tcW w:w="2552" w:type="dxa"/>
            <w:tcBorders>
              <w:bottom w:val="single" w:sz="2" w:space="0" w:color="BFBFBF" w:themeColor="background1" w:themeShade="BF"/>
            </w:tcBorders>
            <w:shd w:val="clear" w:color="auto" w:fill="FFFFFF" w:themeFill="background1"/>
          </w:tcPr>
          <w:p w14:paraId="731281B7" w14:textId="3B37ACAC" w:rsidR="0076213A" w:rsidRPr="0039476F" w:rsidRDefault="0076213A" w:rsidP="0076213A">
            <w:pPr>
              <w:rPr>
                <w:rFonts w:ascii="Arial" w:hAnsi="Arial" w:cs="Arial"/>
              </w:rPr>
            </w:pPr>
            <w:r w:rsidRPr="5CD9D928">
              <w:rPr>
                <w:rFonts w:ascii="Arial" w:hAnsi="Arial" w:cs="Arial"/>
              </w:rPr>
              <w:lastRenderedPageBreak/>
              <w:t xml:space="preserve">There is significant public benefit in maintaining the confidentiality </w:t>
            </w:r>
            <w:r w:rsidRPr="46CF03FF">
              <w:rPr>
                <w:rFonts w:ascii="Arial" w:hAnsi="Arial" w:cs="Arial"/>
              </w:rPr>
              <w:t xml:space="preserve">of Transgrid’s benchmarking costs and other </w:t>
            </w:r>
            <w:r w:rsidRPr="14097088">
              <w:rPr>
                <w:rFonts w:ascii="Arial" w:hAnsi="Arial" w:cs="Arial"/>
              </w:rPr>
              <w:t xml:space="preserve">commercially sensitive information, as this ensures that Transgrid can obtain competitive pricing in future projects and maintain consumer </w:t>
            </w:r>
            <w:r w:rsidRPr="4B04C93B">
              <w:rPr>
                <w:rFonts w:ascii="Arial" w:hAnsi="Arial" w:cs="Arial"/>
              </w:rPr>
              <w:t>affordability.</w:t>
            </w:r>
            <w:r w:rsidRPr="5CD9D928">
              <w:rPr>
                <w:rFonts w:ascii="Arial" w:hAnsi="Arial" w:cs="Arial"/>
              </w:rPr>
              <w:t xml:space="preserve"> </w:t>
            </w:r>
          </w:p>
        </w:tc>
        <w:tc>
          <w:tcPr>
            <w:tcW w:w="1275" w:type="dxa"/>
            <w:tcBorders>
              <w:bottom w:val="single" w:sz="2" w:space="0" w:color="BFBFBF" w:themeColor="background1" w:themeShade="BF"/>
            </w:tcBorders>
            <w:shd w:val="clear" w:color="auto" w:fill="FFFFFF" w:themeFill="background1"/>
          </w:tcPr>
          <w:p w14:paraId="636D0F1B" w14:textId="0356F02C" w:rsidR="0076213A" w:rsidRPr="462BED03" w:rsidRDefault="0076213A" w:rsidP="0076213A">
            <w:pPr>
              <w:rPr>
                <w:rFonts w:ascii="Arial" w:hAnsi="Arial" w:cs="Arial"/>
              </w:rPr>
            </w:pPr>
            <w:r w:rsidRPr="358799A6">
              <w:rPr>
                <w:rFonts w:ascii="Arial" w:hAnsi="Arial" w:cs="Arial"/>
              </w:rPr>
              <w:t>2 pages</w:t>
            </w:r>
          </w:p>
        </w:tc>
      </w:tr>
      <w:tr w:rsidR="0076213A" w:rsidRPr="00BF5F1E" w14:paraId="2F992623" w14:textId="77777777" w:rsidTr="358799A6">
        <w:trPr>
          <w:cantSplit/>
          <w:trHeight w:val="300"/>
        </w:trPr>
        <w:tc>
          <w:tcPr>
            <w:tcW w:w="15306" w:type="dxa"/>
            <w:gridSpan w:val="8"/>
            <w:tcBorders>
              <w:bottom w:val="single" w:sz="2" w:space="0" w:color="BFBFBF" w:themeColor="background1" w:themeShade="BF"/>
            </w:tcBorders>
            <w:shd w:val="clear" w:color="auto" w:fill="D8EFD7" w:themeFill="accent1" w:themeFillTint="33"/>
          </w:tcPr>
          <w:p w14:paraId="7C32454A" w14:textId="312F69DC" w:rsidR="0076213A" w:rsidRPr="002B0B4D" w:rsidRDefault="0076213A" w:rsidP="0076213A">
            <w:pPr>
              <w:rPr>
                <w:rFonts w:ascii="Arial" w:hAnsi="Arial" w:cs="Arial"/>
                <w:b/>
                <w:bCs/>
              </w:rPr>
            </w:pPr>
            <w:r w:rsidRPr="002B0B4D">
              <w:rPr>
                <w:rFonts w:ascii="Arial" w:hAnsi="Arial" w:cs="Arial"/>
                <w:b/>
                <w:bCs/>
              </w:rPr>
              <w:t>Appendix 4a: Independent Estimate to Complete report – Turner &amp; Townsend</w:t>
            </w:r>
          </w:p>
        </w:tc>
      </w:tr>
      <w:tr w:rsidR="0076213A" w:rsidRPr="00BF5F1E" w14:paraId="6427B9C5"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47965BD6" w14:textId="047A37BB" w:rsidR="0076213A" w:rsidRPr="008D55CA" w:rsidRDefault="0076213A" w:rsidP="0076213A">
            <w:pPr>
              <w:rPr>
                <w:lang w:eastAsia="en-AU"/>
              </w:rPr>
            </w:pPr>
            <w:r>
              <w:t>Page 5</w:t>
            </w:r>
          </w:p>
        </w:tc>
        <w:tc>
          <w:tcPr>
            <w:tcW w:w="1559" w:type="dxa"/>
            <w:tcBorders>
              <w:bottom w:val="single" w:sz="2" w:space="0" w:color="BFBFBF" w:themeColor="background1" w:themeShade="BF"/>
            </w:tcBorders>
            <w:shd w:val="clear" w:color="auto" w:fill="FFFFFF" w:themeFill="background1"/>
          </w:tcPr>
          <w:p w14:paraId="6E4E0033" w14:textId="6695F243" w:rsidR="0076213A" w:rsidRDefault="0076213A" w:rsidP="0076213A">
            <w:pPr>
              <w:rPr>
                <w:rFonts w:ascii="Arial" w:hAnsi="Arial" w:cs="Arial"/>
                <w:color w:val="000000"/>
              </w:rPr>
            </w:pPr>
            <w:r>
              <w:rPr>
                <w:rFonts w:ascii="Arial" w:hAnsi="Arial" w:cs="Arial"/>
                <w:color w:val="000000"/>
              </w:rPr>
              <w:t>Individual names</w:t>
            </w:r>
          </w:p>
        </w:tc>
        <w:tc>
          <w:tcPr>
            <w:tcW w:w="1701" w:type="dxa"/>
            <w:tcBorders>
              <w:bottom w:val="single" w:sz="2" w:space="0" w:color="BFBFBF" w:themeColor="background1" w:themeShade="BF"/>
            </w:tcBorders>
            <w:shd w:val="clear" w:color="auto" w:fill="FFFFFF" w:themeFill="background1"/>
          </w:tcPr>
          <w:p w14:paraId="416A8E1A" w14:textId="217BEC87" w:rsidR="0076213A" w:rsidRPr="0039476F" w:rsidRDefault="0076213A" w:rsidP="0076213A">
            <w:pPr>
              <w:rPr>
                <w:rFonts w:ascii="Arial" w:hAnsi="Arial" w:cs="Arial"/>
                <w:color w:val="000000"/>
              </w:rPr>
            </w:pPr>
            <w:r>
              <w:rPr>
                <w:rFonts w:ascii="Arial" w:hAnsi="Arial" w:cs="Arial"/>
                <w:color w:val="000000"/>
              </w:rPr>
              <w:t>Individual details</w:t>
            </w:r>
          </w:p>
        </w:tc>
        <w:tc>
          <w:tcPr>
            <w:tcW w:w="1559" w:type="dxa"/>
            <w:tcBorders>
              <w:bottom w:val="single" w:sz="2" w:space="0" w:color="BFBFBF" w:themeColor="background1" w:themeShade="BF"/>
            </w:tcBorders>
            <w:shd w:val="clear" w:color="auto" w:fill="FFFFFF" w:themeFill="background1"/>
          </w:tcPr>
          <w:p w14:paraId="2FDA52BD" w14:textId="2A2DB802" w:rsidR="0076213A" w:rsidRPr="0039476F" w:rsidRDefault="0076213A" w:rsidP="0076213A">
            <w:pPr>
              <w:rPr>
                <w:rFonts w:ascii="Arial" w:hAnsi="Arial" w:cs="Arial"/>
                <w:color w:val="000000"/>
              </w:rPr>
            </w:pPr>
            <w:r>
              <w:rPr>
                <w:rFonts w:ascii="Arial" w:hAnsi="Arial" w:cs="Arial"/>
                <w:color w:val="000000"/>
              </w:rPr>
              <w:t>Personal information</w:t>
            </w:r>
          </w:p>
        </w:tc>
        <w:tc>
          <w:tcPr>
            <w:tcW w:w="1985" w:type="dxa"/>
            <w:tcBorders>
              <w:bottom w:val="single" w:sz="2" w:space="0" w:color="BFBFBF" w:themeColor="background1" w:themeShade="BF"/>
            </w:tcBorders>
            <w:shd w:val="clear" w:color="auto" w:fill="FFFFFF" w:themeFill="background1"/>
          </w:tcPr>
          <w:p w14:paraId="65A4E796" w14:textId="36F8EAB6" w:rsidR="0076213A" w:rsidRPr="0039476F" w:rsidRDefault="0076213A" w:rsidP="0076213A">
            <w:pPr>
              <w:rPr>
                <w:rFonts w:ascii="Arial" w:hAnsi="Arial" w:cs="Arial"/>
              </w:rPr>
            </w:pPr>
            <w:r>
              <w:rPr>
                <w:szCs w:val="21"/>
              </w:rPr>
              <w:t>Revealing the names of the individuals who reviewed and approved the report raises privacy concerns.</w:t>
            </w:r>
          </w:p>
        </w:tc>
        <w:tc>
          <w:tcPr>
            <w:tcW w:w="2551" w:type="dxa"/>
            <w:tcBorders>
              <w:bottom w:val="single" w:sz="2" w:space="0" w:color="BFBFBF" w:themeColor="background1" w:themeShade="BF"/>
            </w:tcBorders>
            <w:shd w:val="clear" w:color="auto" w:fill="FFFFFF" w:themeFill="background1"/>
          </w:tcPr>
          <w:p w14:paraId="0651149F" w14:textId="7034834F" w:rsidR="0076213A" w:rsidRDefault="0076213A" w:rsidP="0076213A">
            <w:r>
              <w:t xml:space="preserve">Revealing this information would have adverse privacy implications for the individuals involved. </w:t>
            </w:r>
          </w:p>
          <w:p w14:paraId="6F90DCB1" w14:textId="77777777" w:rsidR="0076213A" w:rsidRDefault="0076213A" w:rsidP="0076213A">
            <w:pPr>
              <w:rPr>
                <w:szCs w:val="21"/>
              </w:rPr>
            </w:pPr>
            <w:r>
              <w:rPr>
                <w:szCs w:val="21"/>
              </w:rPr>
              <w:t xml:space="preserve"> </w:t>
            </w:r>
          </w:p>
          <w:p w14:paraId="025557E9" w14:textId="77777777" w:rsidR="0076213A" w:rsidRPr="00B43317" w:rsidRDefault="0076213A" w:rsidP="0076213A">
            <w:pPr>
              <w:rPr>
                <w:rFonts w:ascii="Arial" w:hAnsi="Arial" w:cs="Arial"/>
              </w:rPr>
            </w:pPr>
          </w:p>
        </w:tc>
        <w:tc>
          <w:tcPr>
            <w:tcW w:w="2552" w:type="dxa"/>
            <w:tcBorders>
              <w:bottom w:val="single" w:sz="2" w:space="0" w:color="BFBFBF" w:themeColor="background1" w:themeShade="BF"/>
            </w:tcBorders>
            <w:shd w:val="clear" w:color="auto" w:fill="FFFFFF" w:themeFill="background1"/>
          </w:tcPr>
          <w:p w14:paraId="236F76B3" w14:textId="0DBF8D19" w:rsidR="0076213A" w:rsidRDefault="0076213A" w:rsidP="0076213A">
            <w:pPr>
              <w:rPr>
                <w:rFonts w:ascii="Arial" w:hAnsi="Arial" w:cs="Arial"/>
                <w:i/>
                <w:iCs/>
              </w:rPr>
            </w:pPr>
            <w:r>
              <w:t>Revealing this information would have adverse privacy implications for the individuals involved.</w:t>
            </w:r>
          </w:p>
          <w:p w14:paraId="1F1A4722" w14:textId="0629895F" w:rsidR="0076213A" w:rsidRPr="5CD9D928" w:rsidRDefault="0076213A" w:rsidP="0076213A">
            <w:pPr>
              <w:rPr>
                <w:rFonts w:ascii="Arial" w:hAnsi="Arial" w:cs="Arial"/>
              </w:rPr>
            </w:pPr>
            <w:r>
              <w:t>There is no apparent</w:t>
            </w:r>
            <w:r w:rsidRPr="00BF5F1E">
              <w:t xml:space="preserve"> public benefit in disclosing this information that could outweigh </w:t>
            </w:r>
            <w:r>
              <w:t xml:space="preserve">this </w:t>
            </w:r>
            <w:r w:rsidRPr="00BF5F1E">
              <w:t>detriment</w:t>
            </w:r>
            <w:r>
              <w:t>.</w:t>
            </w:r>
          </w:p>
        </w:tc>
        <w:tc>
          <w:tcPr>
            <w:tcW w:w="1275" w:type="dxa"/>
            <w:tcBorders>
              <w:bottom w:val="single" w:sz="2" w:space="0" w:color="BFBFBF" w:themeColor="background1" w:themeShade="BF"/>
            </w:tcBorders>
            <w:shd w:val="clear" w:color="auto" w:fill="FFFFFF" w:themeFill="background1"/>
          </w:tcPr>
          <w:p w14:paraId="4E27B3C0" w14:textId="3FA29453" w:rsidR="0076213A" w:rsidRPr="462BED03" w:rsidRDefault="0076213A" w:rsidP="0076213A">
            <w:pPr>
              <w:rPr>
                <w:rFonts w:ascii="Arial" w:hAnsi="Arial" w:cs="Arial"/>
              </w:rPr>
            </w:pPr>
            <w:r w:rsidRPr="358799A6">
              <w:rPr>
                <w:rFonts w:ascii="Arial" w:hAnsi="Arial" w:cs="Arial"/>
              </w:rPr>
              <w:t>1 page</w:t>
            </w:r>
          </w:p>
        </w:tc>
      </w:tr>
      <w:tr w:rsidR="0076213A" w:rsidRPr="00BF5F1E" w14:paraId="3FF1AD89"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5023940E" w14:textId="77777777" w:rsidR="0076213A" w:rsidRDefault="0076213A" w:rsidP="0076213A">
            <w:r>
              <w:t xml:space="preserve">The following locations in this document: </w:t>
            </w:r>
          </w:p>
          <w:p w14:paraId="54E7BBBB" w14:textId="49E6FB9E" w:rsidR="0076213A" w:rsidRDefault="0076213A" w:rsidP="0076213A">
            <w:pPr>
              <w:pStyle w:val="ListParagraph"/>
              <w:numPr>
                <w:ilvl w:val="0"/>
                <w:numId w:val="19"/>
              </w:numPr>
              <w:ind w:left="414" w:hanging="357"/>
            </w:pPr>
            <w:r>
              <w:t>Covering note, p3</w:t>
            </w:r>
          </w:p>
          <w:p w14:paraId="7FF3ACBB" w14:textId="1FBDF188" w:rsidR="0076213A" w:rsidRDefault="0076213A" w:rsidP="0076213A">
            <w:pPr>
              <w:pStyle w:val="ListParagraph"/>
              <w:numPr>
                <w:ilvl w:val="0"/>
                <w:numId w:val="19"/>
              </w:numPr>
              <w:ind w:left="414" w:hanging="357"/>
            </w:pPr>
            <w:r w:rsidRPr="00B31E28">
              <w:t>Section 1 Summary,</w:t>
            </w:r>
            <w:r>
              <w:t xml:space="preserve"> Table 1,</w:t>
            </w:r>
            <w:r w:rsidRPr="00B31E28">
              <w:t xml:space="preserve"> p6</w:t>
            </w:r>
            <w:r>
              <w:t xml:space="preserve"> </w:t>
            </w:r>
          </w:p>
          <w:p w14:paraId="0F245AF8" w14:textId="683D244F" w:rsidR="0076213A" w:rsidRPr="008D55CA" w:rsidRDefault="0076213A" w:rsidP="0076213A">
            <w:pPr>
              <w:pStyle w:val="ListParagraph"/>
              <w:numPr>
                <w:ilvl w:val="0"/>
                <w:numId w:val="19"/>
              </w:numPr>
              <w:ind w:left="414" w:hanging="357"/>
              <w:rPr>
                <w:lang w:eastAsia="en-AU"/>
              </w:rPr>
            </w:pPr>
            <w:r>
              <w:t xml:space="preserve">Section 3.1, Final Cost to Complete – </w:t>
            </w:r>
            <w:r>
              <w:lastRenderedPageBreak/>
              <w:t>Summary, p10-11</w:t>
            </w:r>
          </w:p>
        </w:tc>
        <w:tc>
          <w:tcPr>
            <w:tcW w:w="1559" w:type="dxa"/>
            <w:tcBorders>
              <w:bottom w:val="single" w:sz="2" w:space="0" w:color="BFBFBF" w:themeColor="background1" w:themeShade="BF"/>
            </w:tcBorders>
            <w:shd w:val="clear" w:color="auto" w:fill="FFFFFF" w:themeFill="background1"/>
          </w:tcPr>
          <w:p w14:paraId="00C297AA" w14:textId="5FB8B36F" w:rsidR="0076213A" w:rsidRDefault="0076213A" w:rsidP="0076213A">
            <w:pPr>
              <w:rPr>
                <w:rFonts w:ascii="Arial" w:hAnsi="Arial" w:cs="Arial"/>
                <w:color w:val="000000"/>
              </w:rPr>
            </w:pPr>
            <w:r>
              <w:rPr>
                <w:rFonts w:ascii="Arial" w:hAnsi="Arial" w:cs="Arial"/>
                <w:color w:val="000000"/>
              </w:rPr>
              <w:lastRenderedPageBreak/>
              <w:t>Forecast to Complete (</w:t>
            </w:r>
            <w:r w:rsidRPr="00302E1D">
              <w:rPr>
                <w:rFonts w:ascii="Arial" w:hAnsi="Arial" w:cs="Arial"/>
                <w:b/>
                <w:bCs/>
                <w:color w:val="000000"/>
              </w:rPr>
              <w:t>FTC</w:t>
            </w:r>
            <w:r>
              <w:rPr>
                <w:rFonts w:ascii="Arial" w:hAnsi="Arial" w:cs="Arial"/>
                <w:color w:val="000000"/>
              </w:rPr>
              <w:t>) estimate</w:t>
            </w:r>
          </w:p>
        </w:tc>
        <w:tc>
          <w:tcPr>
            <w:tcW w:w="1701" w:type="dxa"/>
            <w:tcBorders>
              <w:bottom w:val="single" w:sz="2" w:space="0" w:color="BFBFBF" w:themeColor="background1" w:themeShade="BF"/>
            </w:tcBorders>
            <w:shd w:val="clear" w:color="auto" w:fill="FFFFFF" w:themeFill="background1"/>
          </w:tcPr>
          <w:p w14:paraId="444117BE" w14:textId="5DAB1A65" w:rsidR="0076213A" w:rsidRPr="0039476F" w:rsidRDefault="0076213A" w:rsidP="0076213A">
            <w:pPr>
              <w:rPr>
                <w:rFonts w:ascii="Arial" w:hAnsi="Arial" w:cs="Arial"/>
                <w:color w:val="000000"/>
              </w:rPr>
            </w:pPr>
            <w:r>
              <w:rPr>
                <w:rFonts w:ascii="Arial" w:hAnsi="Arial" w:cs="Arial"/>
                <w:color w:val="000000"/>
              </w:rPr>
              <w:t>Cost estimate for completion of PEC</w:t>
            </w:r>
          </w:p>
        </w:tc>
        <w:tc>
          <w:tcPr>
            <w:tcW w:w="1559" w:type="dxa"/>
            <w:tcBorders>
              <w:bottom w:val="single" w:sz="2" w:space="0" w:color="BFBFBF" w:themeColor="background1" w:themeShade="BF"/>
            </w:tcBorders>
            <w:shd w:val="clear" w:color="auto" w:fill="FFFFFF" w:themeFill="background1"/>
          </w:tcPr>
          <w:p w14:paraId="1038BCB4" w14:textId="08206ACA" w:rsidR="0076213A" w:rsidRPr="0039476F" w:rsidRDefault="0076213A" w:rsidP="0076213A">
            <w:pPr>
              <w:rPr>
                <w:rFonts w:ascii="Arial" w:hAnsi="Arial" w:cs="Arial"/>
                <w:color w:val="000000"/>
              </w:rPr>
            </w:pPr>
            <w:r w:rsidRPr="004B44E8">
              <w:t>Market sensitive cost input</w:t>
            </w:r>
            <w:r>
              <w:t>s /</w:t>
            </w:r>
            <w:r w:rsidRPr="004B44E8">
              <w:t xml:space="preserve"> market intelligence</w:t>
            </w:r>
          </w:p>
        </w:tc>
        <w:tc>
          <w:tcPr>
            <w:tcW w:w="1985" w:type="dxa"/>
            <w:tcBorders>
              <w:bottom w:val="single" w:sz="2" w:space="0" w:color="BFBFBF" w:themeColor="background1" w:themeShade="BF"/>
            </w:tcBorders>
            <w:shd w:val="clear" w:color="auto" w:fill="FFFFFF" w:themeFill="background1"/>
          </w:tcPr>
          <w:p w14:paraId="6BABFAD0" w14:textId="3E9D0F1F" w:rsidR="0076213A" w:rsidRPr="0039476F" w:rsidRDefault="0076213A" w:rsidP="0076213A">
            <w:pPr>
              <w:rPr>
                <w:rFonts w:ascii="Arial" w:hAnsi="Arial" w:cs="Arial"/>
              </w:rPr>
            </w:pPr>
            <w:r>
              <w:rPr>
                <w:rFonts w:ascii="Arial" w:hAnsi="Arial" w:cs="Arial"/>
              </w:rPr>
              <w:t>T&amp;T’s estimate of the cost to complete the remaining scope of PEC (Stage 2) is commercially sensitive to Transgrid.</w:t>
            </w:r>
          </w:p>
        </w:tc>
        <w:tc>
          <w:tcPr>
            <w:tcW w:w="2551" w:type="dxa"/>
            <w:tcBorders>
              <w:bottom w:val="single" w:sz="2" w:space="0" w:color="BFBFBF" w:themeColor="background1" w:themeShade="BF"/>
            </w:tcBorders>
            <w:shd w:val="clear" w:color="auto" w:fill="FFFFFF" w:themeFill="background1"/>
          </w:tcPr>
          <w:p w14:paraId="3FC1EAF5" w14:textId="28A67FEB" w:rsidR="0076213A" w:rsidRPr="00B43317" w:rsidRDefault="0076213A" w:rsidP="0076213A">
            <w:pPr>
              <w:rPr>
                <w:rFonts w:ascii="Arial" w:hAnsi="Arial" w:cs="Arial"/>
              </w:rPr>
            </w:pPr>
            <w:r>
              <w:rPr>
                <w:rFonts w:ascii="Arial" w:hAnsi="Arial" w:cs="Arial"/>
              </w:rPr>
              <w:t>Revealing this information would reveal commercial in confidence details of the Transgrid’s own cost plan</w:t>
            </w:r>
            <w:r w:rsidR="00910AD7">
              <w:rPr>
                <w:rFonts w:ascii="Arial" w:hAnsi="Arial" w:cs="Arial"/>
              </w:rPr>
              <w:t>,</w:t>
            </w:r>
            <w:r w:rsidR="00007A02">
              <w:rPr>
                <w:rFonts w:ascii="Arial" w:hAnsi="Arial" w:cs="Arial"/>
              </w:rPr>
              <w:t xml:space="preserve"> </w:t>
            </w:r>
            <w:r w:rsidR="00910AD7">
              <w:rPr>
                <w:rFonts w:ascii="Arial" w:hAnsi="Arial" w:cs="Arial"/>
              </w:rPr>
              <w:t>harming</w:t>
            </w:r>
            <w:r>
              <w:rPr>
                <w:rFonts w:ascii="Arial" w:hAnsi="Arial" w:cs="Arial"/>
              </w:rPr>
              <w:t xml:space="preserve"> Transgrid’s tenders and negotiating power with future contractors.</w:t>
            </w:r>
          </w:p>
        </w:tc>
        <w:tc>
          <w:tcPr>
            <w:tcW w:w="2552" w:type="dxa"/>
            <w:tcBorders>
              <w:bottom w:val="single" w:sz="2" w:space="0" w:color="BFBFBF" w:themeColor="background1" w:themeShade="BF"/>
            </w:tcBorders>
            <w:shd w:val="clear" w:color="auto" w:fill="FFFFFF" w:themeFill="background1"/>
          </w:tcPr>
          <w:p w14:paraId="0D5F9A57" w14:textId="7BCCBC3B" w:rsidR="0076213A" w:rsidRPr="5CD9D928" w:rsidRDefault="006A2938" w:rsidP="0076213A">
            <w:pPr>
              <w:rPr>
                <w:rFonts w:ascii="Arial" w:hAnsi="Arial" w:cs="Arial"/>
              </w:rPr>
            </w:pPr>
            <w:r>
              <w:rPr>
                <w:rFonts w:eastAsia="Arial"/>
                <w:color w:val="auto"/>
                <w:lang w:eastAsia="en-AU"/>
              </w:rPr>
              <w:t>Revealing how risk may be quantified is highly detrimental to consumers’ long-term interests. The P50 totals demonstrate that Elecnor Australia’s contract is better than T&amp;T’s estimated FTC which is most relevant to consumers; this fact only improves with higher confidence levels.</w:t>
            </w:r>
          </w:p>
        </w:tc>
        <w:tc>
          <w:tcPr>
            <w:tcW w:w="1275" w:type="dxa"/>
            <w:tcBorders>
              <w:bottom w:val="single" w:sz="2" w:space="0" w:color="BFBFBF" w:themeColor="background1" w:themeShade="BF"/>
            </w:tcBorders>
            <w:shd w:val="clear" w:color="auto" w:fill="FFFFFF" w:themeFill="background1"/>
          </w:tcPr>
          <w:p w14:paraId="27B0AD36" w14:textId="69766A6B" w:rsidR="0076213A" w:rsidRPr="462BED03" w:rsidRDefault="0076213A" w:rsidP="0076213A">
            <w:pPr>
              <w:rPr>
                <w:rFonts w:ascii="Arial" w:hAnsi="Arial" w:cs="Arial"/>
              </w:rPr>
            </w:pPr>
            <w:r w:rsidRPr="358799A6">
              <w:rPr>
                <w:rFonts w:ascii="Arial" w:hAnsi="Arial" w:cs="Arial"/>
              </w:rPr>
              <w:t>4 pages</w:t>
            </w:r>
          </w:p>
        </w:tc>
      </w:tr>
      <w:tr w:rsidR="0076213A" w:rsidRPr="00BF5F1E" w14:paraId="09CD2320"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016878C8" w14:textId="77777777" w:rsidR="0076213A" w:rsidRDefault="0076213A" w:rsidP="0076213A">
            <w:r>
              <w:t xml:space="preserve">The following locations in this document: </w:t>
            </w:r>
          </w:p>
          <w:p w14:paraId="7B70D0A7" w14:textId="15009FD4" w:rsidR="0076213A" w:rsidRDefault="0076213A" w:rsidP="0076213A">
            <w:pPr>
              <w:pStyle w:val="ListParagraph"/>
              <w:numPr>
                <w:ilvl w:val="0"/>
                <w:numId w:val="19"/>
              </w:numPr>
              <w:ind w:left="414" w:hanging="357"/>
            </w:pPr>
            <w:r>
              <w:t>Covering note, p2-3</w:t>
            </w:r>
          </w:p>
          <w:p w14:paraId="7DC0584B" w14:textId="28E88631" w:rsidR="0076213A" w:rsidRPr="00302E1D" w:rsidRDefault="0076213A" w:rsidP="0076213A">
            <w:pPr>
              <w:pStyle w:val="ListParagraph"/>
              <w:numPr>
                <w:ilvl w:val="0"/>
                <w:numId w:val="19"/>
              </w:numPr>
              <w:ind w:left="414" w:hanging="357"/>
            </w:pPr>
            <w:r w:rsidRPr="00B10A9F">
              <w:t xml:space="preserve">Section 1 Summary, p7 </w:t>
            </w:r>
          </w:p>
        </w:tc>
        <w:tc>
          <w:tcPr>
            <w:tcW w:w="1559" w:type="dxa"/>
            <w:tcBorders>
              <w:bottom w:val="single" w:sz="2" w:space="0" w:color="BFBFBF" w:themeColor="background1" w:themeShade="BF"/>
            </w:tcBorders>
            <w:shd w:val="clear" w:color="auto" w:fill="FFFFFF" w:themeFill="background1"/>
          </w:tcPr>
          <w:p w14:paraId="667A4330" w14:textId="7565B703" w:rsidR="0076213A" w:rsidRDefault="0076213A" w:rsidP="0076213A">
            <w:pPr>
              <w:rPr>
                <w:rFonts w:ascii="Arial" w:hAnsi="Arial" w:cs="Arial"/>
              </w:rPr>
            </w:pPr>
            <w:r w:rsidRPr="00302E1D">
              <w:rPr>
                <w:rFonts w:ascii="Arial" w:hAnsi="Arial" w:cs="Arial"/>
              </w:rPr>
              <w:t>Possible c</w:t>
            </w:r>
            <w:r w:rsidRPr="00C43A51">
              <w:rPr>
                <w:rFonts w:ascii="Arial" w:hAnsi="Arial" w:cs="Arial"/>
              </w:rPr>
              <w:t>ontractor bidding price</w:t>
            </w:r>
          </w:p>
          <w:p w14:paraId="57083DD7" w14:textId="6D9D6FA9" w:rsidR="0076213A" w:rsidRDefault="0076213A" w:rsidP="0076213A">
            <w:pPr>
              <w:rPr>
                <w:rFonts w:ascii="Arial" w:hAnsi="Arial" w:cs="Arial"/>
                <w:color w:val="000000"/>
              </w:rPr>
            </w:pPr>
          </w:p>
        </w:tc>
        <w:tc>
          <w:tcPr>
            <w:tcW w:w="1701" w:type="dxa"/>
            <w:tcBorders>
              <w:bottom w:val="single" w:sz="2" w:space="0" w:color="BFBFBF" w:themeColor="background1" w:themeShade="BF"/>
            </w:tcBorders>
            <w:shd w:val="clear" w:color="auto" w:fill="FFFFFF" w:themeFill="background1"/>
          </w:tcPr>
          <w:p w14:paraId="72394009" w14:textId="76B070BF" w:rsidR="0076213A" w:rsidRPr="0039476F" w:rsidRDefault="0076213A" w:rsidP="0076213A">
            <w:pPr>
              <w:rPr>
                <w:rFonts w:ascii="Arial" w:hAnsi="Arial" w:cs="Arial"/>
                <w:color w:val="000000"/>
              </w:rPr>
            </w:pPr>
            <w:r>
              <w:rPr>
                <w:rFonts w:ascii="Arial" w:hAnsi="Arial" w:cs="Arial"/>
              </w:rPr>
              <w:t>Possible contractor bidding price</w:t>
            </w:r>
          </w:p>
        </w:tc>
        <w:tc>
          <w:tcPr>
            <w:tcW w:w="1559" w:type="dxa"/>
            <w:tcBorders>
              <w:bottom w:val="single" w:sz="2" w:space="0" w:color="BFBFBF" w:themeColor="background1" w:themeShade="BF"/>
            </w:tcBorders>
            <w:shd w:val="clear" w:color="auto" w:fill="FFFFFF" w:themeFill="background1"/>
          </w:tcPr>
          <w:p w14:paraId="195A9ECB" w14:textId="69E23836" w:rsidR="0076213A" w:rsidRPr="0039476F" w:rsidRDefault="0076213A" w:rsidP="0076213A">
            <w:pPr>
              <w:rPr>
                <w:rFonts w:ascii="Arial" w:hAnsi="Arial" w:cs="Arial"/>
                <w:color w:val="000000"/>
              </w:rPr>
            </w:pPr>
            <w:r w:rsidRPr="004B44E8">
              <w:t>Market sensitive cost input</w:t>
            </w:r>
            <w:r>
              <w:t>s /</w:t>
            </w:r>
            <w:r w:rsidRPr="004B44E8">
              <w:t xml:space="preserve"> market intelligence</w:t>
            </w:r>
          </w:p>
        </w:tc>
        <w:tc>
          <w:tcPr>
            <w:tcW w:w="1985" w:type="dxa"/>
            <w:tcBorders>
              <w:bottom w:val="single" w:sz="2" w:space="0" w:color="BFBFBF" w:themeColor="background1" w:themeShade="BF"/>
            </w:tcBorders>
            <w:shd w:val="clear" w:color="auto" w:fill="FFFFFF" w:themeFill="background1"/>
          </w:tcPr>
          <w:p w14:paraId="448A9F99" w14:textId="2BD06D97" w:rsidR="0076213A" w:rsidRPr="0039476F" w:rsidRDefault="0076213A" w:rsidP="0076213A">
            <w:pPr>
              <w:rPr>
                <w:rFonts w:ascii="Arial" w:hAnsi="Arial" w:cs="Arial"/>
              </w:rPr>
            </w:pPr>
            <w:r w:rsidRPr="001D58B4">
              <w:rPr>
                <w:rFonts w:ascii="Arial" w:hAnsi="Arial" w:cs="Arial"/>
              </w:rPr>
              <w:t xml:space="preserve">T&amp;T’s estimate </w:t>
            </w:r>
            <w:r>
              <w:rPr>
                <w:rFonts w:ascii="Arial" w:hAnsi="Arial" w:cs="Arial"/>
              </w:rPr>
              <w:t>for benchmark data and related risk allowance within</w:t>
            </w:r>
            <w:r w:rsidRPr="001D58B4">
              <w:rPr>
                <w:rFonts w:ascii="Arial" w:hAnsi="Arial" w:cs="Arial"/>
              </w:rPr>
              <w:t xml:space="preserve"> the cost to complete is commercially sensitive to Transgrid</w:t>
            </w:r>
            <w:r>
              <w:rPr>
                <w:rFonts w:ascii="Arial" w:hAnsi="Arial" w:cs="Arial"/>
              </w:rPr>
              <w:t xml:space="preserve"> and T&amp;T</w:t>
            </w:r>
            <w:r w:rsidRPr="001D58B4">
              <w:rPr>
                <w:rFonts w:ascii="Arial" w:hAnsi="Arial" w:cs="Arial"/>
              </w:rPr>
              <w:t xml:space="preserve">.  </w:t>
            </w:r>
          </w:p>
        </w:tc>
        <w:tc>
          <w:tcPr>
            <w:tcW w:w="2551" w:type="dxa"/>
            <w:tcBorders>
              <w:bottom w:val="single" w:sz="2" w:space="0" w:color="BFBFBF" w:themeColor="background1" w:themeShade="BF"/>
            </w:tcBorders>
            <w:shd w:val="clear" w:color="auto" w:fill="FFFFFF" w:themeFill="background1"/>
          </w:tcPr>
          <w:p w14:paraId="15197FDC" w14:textId="12CC6221" w:rsidR="0076213A" w:rsidRPr="00B43317" w:rsidRDefault="0076213A" w:rsidP="0076213A">
            <w:pPr>
              <w:rPr>
                <w:rFonts w:ascii="Arial" w:hAnsi="Arial" w:cs="Arial"/>
              </w:rPr>
            </w:pPr>
            <w:r>
              <w:rPr>
                <w:rFonts w:ascii="Arial" w:hAnsi="Arial" w:cs="Arial"/>
              </w:rPr>
              <w:t xml:space="preserve">Revealing this information </w:t>
            </w:r>
            <w:r w:rsidRPr="0046374E">
              <w:rPr>
                <w:rFonts w:ascii="Arial" w:hAnsi="Arial" w:cs="Arial"/>
              </w:rPr>
              <w:t xml:space="preserve">could influence future tender behaviour and potentially distort the </w:t>
            </w:r>
            <w:r>
              <w:rPr>
                <w:rFonts w:ascii="Arial" w:hAnsi="Arial" w:cs="Arial"/>
              </w:rPr>
              <w:t>future c</w:t>
            </w:r>
            <w:r w:rsidRPr="0046374E">
              <w:rPr>
                <w:rFonts w:ascii="Arial" w:hAnsi="Arial" w:cs="Arial"/>
              </w:rPr>
              <w:t>ompetitive process</w:t>
            </w:r>
            <w:r>
              <w:rPr>
                <w:rFonts w:ascii="Arial" w:hAnsi="Arial" w:cs="Arial"/>
              </w:rPr>
              <w:t>es.</w:t>
            </w:r>
          </w:p>
        </w:tc>
        <w:tc>
          <w:tcPr>
            <w:tcW w:w="2552" w:type="dxa"/>
            <w:tcBorders>
              <w:bottom w:val="single" w:sz="2" w:space="0" w:color="BFBFBF" w:themeColor="background1" w:themeShade="BF"/>
            </w:tcBorders>
            <w:shd w:val="clear" w:color="auto" w:fill="FFFFFF" w:themeFill="background1"/>
          </w:tcPr>
          <w:p w14:paraId="0E4AD525" w14:textId="785E30AC" w:rsidR="0076213A" w:rsidRPr="5CD9D928" w:rsidRDefault="0076213A" w:rsidP="0076213A">
            <w:pPr>
              <w:rPr>
                <w:rFonts w:ascii="Arial" w:hAnsi="Arial" w:cs="Arial"/>
              </w:rPr>
            </w:pPr>
            <w:r w:rsidRPr="00DD58FA">
              <w:rPr>
                <w:rFonts w:ascii="Arial" w:hAnsi="Arial" w:cs="Arial"/>
              </w:rPr>
              <w:t xml:space="preserve">Transgrid has </w:t>
            </w:r>
            <w:r w:rsidRPr="004F4452">
              <w:rPr>
                <w:rFonts w:ascii="Arial" w:hAnsi="Arial" w:cs="Arial"/>
              </w:rPr>
              <w:t xml:space="preserve">already </w:t>
            </w:r>
            <w:r w:rsidRPr="00DD58FA">
              <w:rPr>
                <w:rFonts w:ascii="Arial" w:hAnsi="Arial" w:cs="Arial"/>
              </w:rPr>
              <w:t xml:space="preserve">provided sufficient detail </w:t>
            </w:r>
            <w:r w:rsidRPr="004F4452">
              <w:rPr>
                <w:rFonts w:ascii="Arial" w:hAnsi="Arial" w:cs="Arial"/>
              </w:rPr>
              <w:t>from</w:t>
            </w:r>
            <w:r w:rsidRPr="00DD58FA">
              <w:rPr>
                <w:rFonts w:ascii="Arial" w:hAnsi="Arial" w:cs="Arial"/>
              </w:rPr>
              <w:t xml:space="preserve"> T&amp;T’s report in the Application without needing to </w:t>
            </w:r>
            <w:r w:rsidRPr="004F4452">
              <w:rPr>
                <w:rFonts w:ascii="Arial" w:hAnsi="Arial" w:cs="Arial"/>
              </w:rPr>
              <w:t>publish</w:t>
            </w:r>
            <w:r w:rsidRPr="00DD58FA">
              <w:rPr>
                <w:rFonts w:ascii="Arial" w:hAnsi="Arial" w:cs="Arial"/>
              </w:rPr>
              <w:t xml:space="preserve"> </w:t>
            </w:r>
            <w:r>
              <w:rPr>
                <w:rFonts w:ascii="Arial" w:hAnsi="Arial" w:cs="Arial"/>
              </w:rPr>
              <w:t>this information</w:t>
            </w:r>
            <w:r w:rsidRPr="004F4452">
              <w:rPr>
                <w:rFonts w:ascii="Arial" w:hAnsi="Arial" w:cs="Arial"/>
              </w:rPr>
              <w:t xml:space="preserve">. Releasing </w:t>
            </w:r>
            <w:r>
              <w:rPr>
                <w:rFonts w:ascii="Arial" w:hAnsi="Arial" w:cs="Arial"/>
              </w:rPr>
              <w:t>this information</w:t>
            </w:r>
            <w:r w:rsidRPr="004F4452">
              <w:rPr>
                <w:rFonts w:ascii="Arial" w:hAnsi="Arial" w:cs="Arial"/>
              </w:rPr>
              <w:t xml:space="preserve"> would not improve transparency or understanding of the assessment and could instead distort future procurement processes</w:t>
            </w:r>
            <w:r w:rsidRPr="00DD58FA">
              <w:rPr>
                <w:rFonts w:ascii="Arial" w:hAnsi="Arial" w:cs="Arial"/>
              </w:rPr>
              <w:t>.</w:t>
            </w:r>
          </w:p>
        </w:tc>
        <w:tc>
          <w:tcPr>
            <w:tcW w:w="1275" w:type="dxa"/>
            <w:tcBorders>
              <w:bottom w:val="single" w:sz="2" w:space="0" w:color="BFBFBF" w:themeColor="background1" w:themeShade="BF"/>
            </w:tcBorders>
            <w:shd w:val="clear" w:color="auto" w:fill="FFFFFF" w:themeFill="background1"/>
          </w:tcPr>
          <w:p w14:paraId="67DFA516" w14:textId="7B08F166" w:rsidR="0076213A" w:rsidRPr="462BED03" w:rsidRDefault="0076213A" w:rsidP="0076213A">
            <w:pPr>
              <w:rPr>
                <w:rFonts w:ascii="Arial" w:hAnsi="Arial" w:cs="Arial"/>
              </w:rPr>
            </w:pPr>
            <w:r w:rsidRPr="358799A6">
              <w:rPr>
                <w:rFonts w:ascii="Arial" w:hAnsi="Arial" w:cs="Arial"/>
              </w:rPr>
              <w:t>3 pages</w:t>
            </w:r>
          </w:p>
        </w:tc>
      </w:tr>
      <w:tr w:rsidR="0076213A" w:rsidRPr="00BF5F1E" w14:paraId="51DF097A"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40E5AB5C" w14:textId="77777777" w:rsidR="0076213A" w:rsidRPr="00111DDC" w:rsidRDefault="0076213A" w:rsidP="0076213A">
            <w:r w:rsidRPr="00111DDC">
              <w:t xml:space="preserve">The following sections in this document: </w:t>
            </w:r>
          </w:p>
          <w:p w14:paraId="45EBC0FD" w14:textId="77777777" w:rsidR="0076213A" w:rsidRDefault="0076213A" w:rsidP="0076213A">
            <w:pPr>
              <w:pStyle w:val="ListParagraph"/>
              <w:numPr>
                <w:ilvl w:val="0"/>
                <w:numId w:val="19"/>
              </w:numPr>
              <w:ind w:left="414" w:hanging="357"/>
            </w:pPr>
            <w:r w:rsidRPr="00111DDC">
              <w:t xml:space="preserve">Section 1 Summary, p7 </w:t>
            </w:r>
          </w:p>
          <w:p w14:paraId="3D86F0A6" w14:textId="455D4D60" w:rsidR="0076213A" w:rsidRPr="00302E1D" w:rsidRDefault="0076213A" w:rsidP="0076213A">
            <w:pPr>
              <w:pStyle w:val="ListParagraph"/>
              <w:numPr>
                <w:ilvl w:val="0"/>
                <w:numId w:val="19"/>
              </w:numPr>
              <w:ind w:left="414" w:hanging="357"/>
            </w:pPr>
            <w:r w:rsidRPr="00D4706B">
              <w:t>Section 4 Forecast to Complete – Risk Findings, pp 29-33</w:t>
            </w:r>
          </w:p>
        </w:tc>
        <w:tc>
          <w:tcPr>
            <w:tcW w:w="1559" w:type="dxa"/>
            <w:tcBorders>
              <w:bottom w:val="single" w:sz="2" w:space="0" w:color="BFBFBF" w:themeColor="background1" w:themeShade="BF"/>
            </w:tcBorders>
            <w:shd w:val="clear" w:color="auto" w:fill="FFFFFF" w:themeFill="background1"/>
          </w:tcPr>
          <w:p w14:paraId="7CCADC5B" w14:textId="36AB8257" w:rsidR="0076213A" w:rsidRDefault="0076213A" w:rsidP="0076213A">
            <w:pPr>
              <w:rPr>
                <w:rFonts w:ascii="Arial" w:hAnsi="Arial" w:cs="Arial"/>
                <w:color w:val="000000"/>
              </w:rPr>
            </w:pPr>
            <w:r w:rsidRPr="00EC237B">
              <w:rPr>
                <w:rFonts w:ascii="Arial" w:hAnsi="Arial" w:cs="Arial"/>
              </w:rPr>
              <w:t>Risk outcomes and findings</w:t>
            </w:r>
          </w:p>
        </w:tc>
        <w:tc>
          <w:tcPr>
            <w:tcW w:w="1701" w:type="dxa"/>
            <w:tcBorders>
              <w:bottom w:val="single" w:sz="2" w:space="0" w:color="BFBFBF" w:themeColor="background1" w:themeShade="BF"/>
            </w:tcBorders>
            <w:shd w:val="clear" w:color="auto" w:fill="FFFFFF" w:themeFill="background1"/>
          </w:tcPr>
          <w:p w14:paraId="0D7476EA" w14:textId="6CB40B76" w:rsidR="0076213A" w:rsidRPr="0039476F" w:rsidRDefault="0076213A" w:rsidP="0076213A">
            <w:pPr>
              <w:rPr>
                <w:rFonts w:ascii="Arial" w:hAnsi="Arial" w:cs="Arial"/>
                <w:color w:val="000000"/>
              </w:rPr>
            </w:pPr>
            <w:r>
              <w:rPr>
                <w:rFonts w:ascii="Arial" w:hAnsi="Arial" w:cs="Arial"/>
              </w:rPr>
              <w:t>Cost and schedule drivers</w:t>
            </w:r>
          </w:p>
        </w:tc>
        <w:tc>
          <w:tcPr>
            <w:tcW w:w="1559" w:type="dxa"/>
            <w:tcBorders>
              <w:bottom w:val="single" w:sz="2" w:space="0" w:color="BFBFBF" w:themeColor="background1" w:themeShade="BF"/>
            </w:tcBorders>
            <w:shd w:val="clear" w:color="auto" w:fill="FFFFFF" w:themeFill="background1"/>
          </w:tcPr>
          <w:p w14:paraId="48029931" w14:textId="52289D82" w:rsidR="0076213A" w:rsidRPr="0039476F" w:rsidRDefault="0076213A" w:rsidP="0076213A">
            <w:pPr>
              <w:rPr>
                <w:rFonts w:ascii="Arial" w:hAnsi="Arial" w:cs="Arial"/>
                <w:color w:val="000000"/>
              </w:rPr>
            </w:pPr>
            <w:r w:rsidRPr="004B44E8">
              <w:t>Market sensitive cost input</w:t>
            </w:r>
            <w:r>
              <w:t>s /</w:t>
            </w:r>
            <w:r w:rsidRPr="004B44E8">
              <w:t xml:space="preserve"> market intelligence</w:t>
            </w:r>
          </w:p>
        </w:tc>
        <w:tc>
          <w:tcPr>
            <w:tcW w:w="1985" w:type="dxa"/>
            <w:tcBorders>
              <w:bottom w:val="single" w:sz="2" w:space="0" w:color="BFBFBF" w:themeColor="background1" w:themeShade="BF"/>
            </w:tcBorders>
            <w:shd w:val="clear" w:color="auto" w:fill="FFFFFF" w:themeFill="background1"/>
          </w:tcPr>
          <w:p w14:paraId="26BBD0C2" w14:textId="7B2F76F0" w:rsidR="0076213A" w:rsidRPr="0039476F" w:rsidRDefault="0076213A" w:rsidP="0076213A">
            <w:pPr>
              <w:rPr>
                <w:rFonts w:ascii="Arial" w:hAnsi="Arial" w:cs="Arial"/>
              </w:rPr>
            </w:pPr>
            <w:r w:rsidRPr="0092689B">
              <w:rPr>
                <w:rFonts w:ascii="Arial" w:hAnsi="Arial" w:cs="Arial"/>
              </w:rPr>
              <w:t xml:space="preserve">T&amp;T’s estimate for risk allowance within the cost to complete is commercially sensitive to Transgrid and T&amp;T.  </w:t>
            </w:r>
          </w:p>
        </w:tc>
        <w:tc>
          <w:tcPr>
            <w:tcW w:w="2551" w:type="dxa"/>
            <w:tcBorders>
              <w:bottom w:val="single" w:sz="2" w:space="0" w:color="BFBFBF" w:themeColor="background1" w:themeShade="BF"/>
            </w:tcBorders>
            <w:shd w:val="clear" w:color="auto" w:fill="FFFFFF" w:themeFill="background1"/>
          </w:tcPr>
          <w:p w14:paraId="0E4461CB" w14:textId="3B52B5ED" w:rsidR="0076213A" w:rsidRPr="00B43317" w:rsidRDefault="0076213A" w:rsidP="0076213A">
            <w:pPr>
              <w:rPr>
                <w:rFonts w:ascii="Arial" w:hAnsi="Arial" w:cs="Arial"/>
              </w:rPr>
            </w:pPr>
            <w:r w:rsidRPr="0092689B">
              <w:rPr>
                <w:rFonts w:ascii="Arial" w:hAnsi="Arial" w:cs="Arial"/>
              </w:rPr>
              <w:t xml:space="preserve">Revealing key risk outcomes and findings, </w:t>
            </w:r>
            <w:r w:rsidRPr="009E63FD">
              <w:rPr>
                <w:rFonts w:ascii="Arial" w:hAnsi="Arial" w:cs="Arial"/>
              </w:rPr>
              <w:t>including</w:t>
            </w:r>
            <w:r w:rsidRPr="0092689B">
              <w:rPr>
                <w:rFonts w:ascii="Arial" w:hAnsi="Arial" w:cs="Arial"/>
              </w:rPr>
              <w:t xml:space="preserve"> percentage delays on milestones due to risk, Q</w:t>
            </w:r>
            <w:r>
              <w:rPr>
                <w:rFonts w:ascii="Arial" w:hAnsi="Arial" w:cs="Arial"/>
              </w:rPr>
              <w:t>S</w:t>
            </w:r>
            <w:r w:rsidRPr="0092689B">
              <w:rPr>
                <w:rFonts w:ascii="Arial" w:hAnsi="Arial" w:cs="Arial"/>
              </w:rPr>
              <w:t xml:space="preserve">RA correlations, schedule and cost risk drivers, probabilistic schedule critical </w:t>
            </w:r>
            <w:r w:rsidRPr="009E63FD">
              <w:rPr>
                <w:rFonts w:ascii="Arial" w:hAnsi="Arial" w:cs="Arial"/>
              </w:rPr>
              <w:t>paths</w:t>
            </w:r>
            <w:r w:rsidRPr="0092689B">
              <w:rPr>
                <w:rFonts w:ascii="Arial" w:hAnsi="Arial" w:cs="Arial"/>
              </w:rPr>
              <w:t>, cost</w:t>
            </w:r>
            <w:r w:rsidRPr="009E63FD">
              <w:rPr>
                <w:rFonts w:ascii="Cambria Math" w:hAnsi="Cambria Math" w:cs="Cambria Math"/>
              </w:rPr>
              <w:t>‑</w:t>
            </w:r>
            <w:r w:rsidRPr="0092689B">
              <w:rPr>
                <w:rFonts w:ascii="Arial" w:hAnsi="Arial" w:cs="Arial"/>
              </w:rPr>
              <w:t xml:space="preserve">risk outcomes, contingency </w:t>
            </w:r>
            <w:r w:rsidRPr="009E63FD">
              <w:rPr>
                <w:rFonts w:ascii="Arial" w:hAnsi="Arial" w:cs="Arial"/>
              </w:rPr>
              <w:t>evaluations,</w:t>
            </w:r>
            <w:r w:rsidRPr="0092689B">
              <w:rPr>
                <w:rFonts w:ascii="Arial" w:hAnsi="Arial" w:cs="Arial"/>
              </w:rPr>
              <w:t xml:space="preserve"> and schedule</w:t>
            </w:r>
            <w:r w:rsidRPr="009E63FD">
              <w:rPr>
                <w:rFonts w:ascii="Cambria Math" w:hAnsi="Cambria Math" w:cs="Cambria Math"/>
              </w:rPr>
              <w:t>‑</w:t>
            </w:r>
            <w:r w:rsidRPr="0092689B">
              <w:rPr>
                <w:rFonts w:ascii="Arial" w:hAnsi="Arial" w:cs="Arial"/>
              </w:rPr>
              <w:t>risk outcomes</w:t>
            </w:r>
            <w:r w:rsidRPr="009E63FD">
              <w:rPr>
                <w:rFonts w:ascii="Arial" w:hAnsi="Arial" w:cs="Arial"/>
              </w:rPr>
              <w:t xml:space="preserve"> — would disclose</w:t>
            </w:r>
            <w:r w:rsidRPr="0092689B">
              <w:rPr>
                <w:rFonts w:ascii="Arial" w:hAnsi="Arial" w:cs="Arial"/>
              </w:rPr>
              <w:t xml:space="preserve"> information </w:t>
            </w:r>
            <w:r w:rsidRPr="009E63FD">
              <w:rPr>
                <w:rFonts w:ascii="Arial" w:hAnsi="Arial" w:cs="Arial"/>
              </w:rPr>
              <w:t>that</w:t>
            </w:r>
            <w:r w:rsidRPr="0092689B">
              <w:rPr>
                <w:rFonts w:ascii="Arial" w:hAnsi="Arial" w:cs="Arial"/>
              </w:rPr>
              <w:t xml:space="preserve"> is commercially sensitive to Transgrid</w:t>
            </w:r>
            <w:r w:rsidRPr="009E63FD">
              <w:rPr>
                <w:rFonts w:ascii="Arial" w:hAnsi="Arial" w:cs="Arial"/>
              </w:rPr>
              <w:t xml:space="preserve"> and could compromise its competitive position</w:t>
            </w:r>
            <w:r w:rsidRPr="0092689B">
              <w:rPr>
                <w:rFonts w:ascii="Arial" w:hAnsi="Arial" w:cs="Arial"/>
              </w:rPr>
              <w:t>.</w:t>
            </w:r>
          </w:p>
        </w:tc>
        <w:tc>
          <w:tcPr>
            <w:tcW w:w="2552" w:type="dxa"/>
            <w:tcBorders>
              <w:bottom w:val="single" w:sz="2" w:space="0" w:color="BFBFBF" w:themeColor="background1" w:themeShade="BF"/>
            </w:tcBorders>
            <w:shd w:val="clear" w:color="auto" w:fill="FFFFFF" w:themeFill="background1"/>
          </w:tcPr>
          <w:p w14:paraId="70686EE0" w14:textId="32CEC77F" w:rsidR="0076213A" w:rsidRPr="5CD9D928" w:rsidRDefault="0076213A" w:rsidP="0076213A">
            <w:pPr>
              <w:rPr>
                <w:rFonts w:ascii="Arial" w:hAnsi="Arial" w:cs="Arial"/>
              </w:rPr>
            </w:pPr>
            <w:r w:rsidRPr="008E4257">
              <w:rPr>
                <w:rFonts w:ascii="Arial" w:hAnsi="Arial" w:cs="Arial"/>
              </w:rPr>
              <w:t xml:space="preserve">The identified detriment is not outweighed by any public benefit. Transgrid has already provided sufficient detail from T&amp;T’s report in the Application, and disclosure of the risk information would not enhance transparency or improve stakeholder understanding. Instead, releasing this material would expose commercially sensitive information and could adversely affect future procurement processes, </w:t>
            </w:r>
            <w:r w:rsidRPr="008E4257">
              <w:rPr>
                <w:rFonts w:ascii="Arial" w:hAnsi="Arial" w:cs="Arial"/>
              </w:rPr>
              <w:lastRenderedPageBreak/>
              <w:t>without delivering any meaningful public value</w:t>
            </w:r>
            <w:r>
              <w:rPr>
                <w:rFonts w:ascii="Arial" w:hAnsi="Arial" w:cs="Arial"/>
              </w:rPr>
              <w:t>.</w:t>
            </w:r>
          </w:p>
        </w:tc>
        <w:tc>
          <w:tcPr>
            <w:tcW w:w="1275" w:type="dxa"/>
            <w:tcBorders>
              <w:bottom w:val="single" w:sz="2" w:space="0" w:color="BFBFBF" w:themeColor="background1" w:themeShade="BF"/>
            </w:tcBorders>
            <w:shd w:val="clear" w:color="auto" w:fill="FFFFFF" w:themeFill="background1"/>
          </w:tcPr>
          <w:p w14:paraId="7172882D" w14:textId="7C941167" w:rsidR="0076213A" w:rsidRPr="462BED03" w:rsidRDefault="0076213A" w:rsidP="0076213A">
            <w:pPr>
              <w:rPr>
                <w:rFonts w:ascii="Arial" w:hAnsi="Arial" w:cs="Arial"/>
              </w:rPr>
            </w:pPr>
            <w:r w:rsidRPr="358799A6">
              <w:rPr>
                <w:rFonts w:ascii="Arial" w:hAnsi="Arial" w:cs="Arial"/>
              </w:rPr>
              <w:lastRenderedPageBreak/>
              <w:t>6 pages</w:t>
            </w:r>
          </w:p>
        </w:tc>
      </w:tr>
      <w:tr w:rsidR="0076213A" w:rsidRPr="00BF5F1E" w14:paraId="6B16B2FD"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564F2D97" w14:textId="77777777" w:rsidR="0076213A" w:rsidRPr="00EC237B" w:rsidRDefault="0076213A" w:rsidP="0076213A">
            <w:r w:rsidRPr="00EC237B">
              <w:t>The following locations in this document</w:t>
            </w:r>
          </w:p>
          <w:p w14:paraId="3694E049" w14:textId="0941197F" w:rsidR="0076213A" w:rsidRPr="00EC237B" w:rsidRDefault="0076213A" w:rsidP="0076213A">
            <w:pPr>
              <w:pStyle w:val="ListParagraph"/>
              <w:numPr>
                <w:ilvl w:val="0"/>
                <w:numId w:val="19"/>
              </w:numPr>
              <w:ind w:left="414" w:hanging="357"/>
            </w:pPr>
            <w:r w:rsidRPr="00EC237B">
              <w:t>Section 1 Summary,</w:t>
            </w:r>
            <w:r w:rsidRPr="00302E1D">
              <w:t xml:space="preserve"> Table 2</w:t>
            </w:r>
            <w:r>
              <w:t>,</w:t>
            </w:r>
            <w:r w:rsidRPr="00EC237B">
              <w:t xml:space="preserve"> p7 </w:t>
            </w:r>
          </w:p>
          <w:p w14:paraId="4D0CB46D" w14:textId="086D0F9D" w:rsidR="0076213A" w:rsidRDefault="0076213A" w:rsidP="0076213A">
            <w:pPr>
              <w:pStyle w:val="ListParagraph"/>
              <w:numPr>
                <w:ilvl w:val="0"/>
                <w:numId w:val="19"/>
              </w:numPr>
              <w:ind w:left="414" w:hanging="357"/>
            </w:pPr>
            <w:r w:rsidRPr="00647AA4">
              <w:t>Section 5 Forecast to Complete – Schedule Findings, pp 35-44</w:t>
            </w:r>
          </w:p>
        </w:tc>
        <w:tc>
          <w:tcPr>
            <w:tcW w:w="1559" w:type="dxa"/>
            <w:tcBorders>
              <w:bottom w:val="single" w:sz="2" w:space="0" w:color="BFBFBF" w:themeColor="background1" w:themeShade="BF"/>
            </w:tcBorders>
            <w:shd w:val="clear" w:color="auto" w:fill="FFFFFF" w:themeFill="background1"/>
          </w:tcPr>
          <w:p w14:paraId="7B72A2DE" w14:textId="5AFCAB43" w:rsidR="0076213A" w:rsidRDefault="0076213A" w:rsidP="0076213A">
            <w:pPr>
              <w:rPr>
                <w:rFonts w:ascii="Arial" w:hAnsi="Arial" w:cs="Arial"/>
              </w:rPr>
            </w:pPr>
            <w:r w:rsidRPr="00EC237B">
              <w:rPr>
                <w:rFonts w:ascii="Arial" w:hAnsi="Arial" w:cs="Arial"/>
              </w:rPr>
              <w:t>Schedule outcomes and findings</w:t>
            </w:r>
          </w:p>
        </w:tc>
        <w:tc>
          <w:tcPr>
            <w:tcW w:w="1701" w:type="dxa"/>
            <w:tcBorders>
              <w:bottom w:val="single" w:sz="2" w:space="0" w:color="BFBFBF" w:themeColor="background1" w:themeShade="BF"/>
            </w:tcBorders>
            <w:shd w:val="clear" w:color="auto" w:fill="FFFFFF" w:themeFill="background1"/>
          </w:tcPr>
          <w:p w14:paraId="77DF26B7" w14:textId="2A431025" w:rsidR="0076213A" w:rsidRDefault="0076213A" w:rsidP="0076213A">
            <w:pPr>
              <w:rPr>
                <w:rFonts w:ascii="Arial" w:hAnsi="Arial" w:cs="Arial"/>
              </w:rPr>
            </w:pPr>
            <w:r>
              <w:rPr>
                <w:rFonts w:ascii="Arial" w:hAnsi="Arial" w:cs="Arial"/>
              </w:rPr>
              <w:t>Cost and schedule drivers</w:t>
            </w:r>
          </w:p>
        </w:tc>
        <w:tc>
          <w:tcPr>
            <w:tcW w:w="1559" w:type="dxa"/>
            <w:tcBorders>
              <w:bottom w:val="single" w:sz="2" w:space="0" w:color="BFBFBF" w:themeColor="background1" w:themeShade="BF"/>
            </w:tcBorders>
            <w:shd w:val="clear" w:color="auto" w:fill="FFFFFF" w:themeFill="background1"/>
          </w:tcPr>
          <w:p w14:paraId="46DD354A" w14:textId="69CF1702" w:rsidR="0076213A" w:rsidRPr="004B44E8" w:rsidRDefault="0076213A" w:rsidP="0076213A">
            <w:r w:rsidRPr="004B44E8">
              <w:t>Market sensitive cost input</w:t>
            </w:r>
            <w:r>
              <w:t>s /</w:t>
            </w:r>
            <w:r w:rsidRPr="004B44E8">
              <w:t xml:space="preserve"> market intelligence</w:t>
            </w:r>
          </w:p>
        </w:tc>
        <w:tc>
          <w:tcPr>
            <w:tcW w:w="1985" w:type="dxa"/>
            <w:tcBorders>
              <w:bottom w:val="single" w:sz="2" w:space="0" w:color="BFBFBF" w:themeColor="background1" w:themeShade="BF"/>
            </w:tcBorders>
            <w:shd w:val="clear" w:color="auto" w:fill="FFFFFF" w:themeFill="background1"/>
          </w:tcPr>
          <w:p w14:paraId="2F5226A2" w14:textId="48B29113" w:rsidR="0076213A" w:rsidRPr="0092689B" w:rsidRDefault="0076213A" w:rsidP="0076213A">
            <w:pPr>
              <w:rPr>
                <w:rFonts w:ascii="Arial" w:hAnsi="Arial" w:cs="Arial"/>
              </w:rPr>
            </w:pPr>
            <w:r w:rsidRPr="00D409F9">
              <w:rPr>
                <w:rFonts w:ascii="Arial" w:hAnsi="Arial" w:cs="Arial"/>
              </w:rPr>
              <w:t xml:space="preserve">T&amp;T’s </w:t>
            </w:r>
            <w:r>
              <w:rPr>
                <w:rFonts w:ascii="Arial" w:hAnsi="Arial" w:cs="Arial"/>
              </w:rPr>
              <w:t xml:space="preserve">assumptions on schedule </w:t>
            </w:r>
            <w:r w:rsidRPr="00D409F9">
              <w:rPr>
                <w:rFonts w:ascii="Arial" w:hAnsi="Arial" w:cs="Arial"/>
              </w:rPr>
              <w:t xml:space="preserve">within the cost to complete is commercially sensitive to Transgrid and T&amp;T.  </w:t>
            </w:r>
          </w:p>
        </w:tc>
        <w:tc>
          <w:tcPr>
            <w:tcW w:w="2551" w:type="dxa"/>
            <w:tcBorders>
              <w:bottom w:val="single" w:sz="2" w:space="0" w:color="BFBFBF" w:themeColor="background1" w:themeShade="BF"/>
            </w:tcBorders>
            <w:shd w:val="clear" w:color="auto" w:fill="FFFFFF" w:themeFill="background1"/>
          </w:tcPr>
          <w:p w14:paraId="7DA0EB04" w14:textId="05746E95" w:rsidR="0076213A" w:rsidRPr="0092689B" w:rsidRDefault="0076213A" w:rsidP="0076213A">
            <w:pPr>
              <w:rPr>
                <w:rFonts w:ascii="Arial" w:hAnsi="Arial" w:cs="Arial"/>
              </w:rPr>
            </w:pPr>
            <w:r w:rsidRPr="00D409F9">
              <w:rPr>
                <w:rFonts w:ascii="Arial" w:hAnsi="Arial" w:cs="Arial"/>
              </w:rPr>
              <w:t xml:space="preserve">Revealing key schedule outcomes such as FTC schedule completion dates, schedule considerations, key productivities and resources and key schedule outputs (including construction finish days and job completion days and basis of schedule logic) reveals information which is commercially sensitive to </w:t>
            </w:r>
            <w:r>
              <w:rPr>
                <w:rFonts w:ascii="Arial" w:hAnsi="Arial" w:cs="Arial"/>
              </w:rPr>
              <w:t xml:space="preserve">T&amp;T and </w:t>
            </w:r>
            <w:r w:rsidRPr="00D409F9">
              <w:rPr>
                <w:rFonts w:ascii="Arial" w:hAnsi="Arial" w:cs="Arial"/>
              </w:rPr>
              <w:t>Transgrid.</w:t>
            </w:r>
          </w:p>
        </w:tc>
        <w:tc>
          <w:tcPr>
            <w:tcW w:w="2552" w:type="dxa"/>
            <w:tcBorders>
              <w:bottom w:val="single" w:sz="2" w:space="0" w:color="BFBFBF" w:themeColor="background1" w:themeShade="BF"/>
            </w:tcBorders>
            <w:shd w:val="clear" w:color="auto" w:fill="FFFFFF" w:themeFill="background1"/>
          </w:tcPr>
          <w:p w14:paraId="2164F450" w14:textId="6B5C12D3" w:rsidR="0076213A" w:rsidRPr="008E4257" w:rsidRDefault="00847285" w:rsidP="0076213A">
            <w:pPr>
              <w:rPr>
                <w:rFonts w:ascii="Arial" w:hAnsi="Arial" w:cs="Arial"/>
              </w:rPr>
            </w:pPr>
            <w:r>
              <w:rPr>
                <w:rFonts w:ascii="Arial" w:hAnsi="Arial" w:cs="Arial"/>
              </w:rPr>
              <w:t xml:space="preserve">The identified detriment is not outweighed by public benefit, as this level of detail reveals productivity expectations based on Transgrid’s circumstances, and its release could adversely affect future procurement processes. </w:t>
            </w:r>
            <w:r>
              <w:rPr>
                <w:rFonts w:ascii="Arial" w:eastAsia="Arial" w:hAnsi="Arial" w:cs="Arial"/>
              </w:rPr>
              <w:t xml:space="preserve"> Quantifying this information is not central to the public’s understanding of the Application</w:t>
            </w:r>
          </w:p>
        </w:tc>
        <w:tc>
          <w:tcPr>
            <w:tcW w:w="1275" w:type="dxa"/>
            <w:tcBorders>
              <w:bottom w:val="single" w:sz="2" w:space="0" w:color="BFBFBF" w:themeColor="background1" w:themeShade="BF"/>
            </w:tcBorders>
            <w:shd w:val="clear" w:color="auto" w:fill="FFFFFF" w:themeFill="background1"/>
          </w:tcPr>
          <w:p w14:paraId="38FD5E48" w14:textId="5C48764F" w:rsidR="0076213A" w:rsidRDefault="0076213A" w:rsidP="0076213A">
            <w:pPr>
              <w:rPr>
                <w:rFonts w:ascii="Arial" w:hAnsi="Arial" w:cs="Arial"/>
              </w:rPr>
            </w:pPr>
            <w:r w:rsidRPr="358799A6">
              <w:rPr>
                <w:rFonts w:ascii="Arial" w:hAnsi="Arial" w:cs="Arial"/>
              </w:rPr>
              <w:t>11 pages</w:t>
            </w:r>
          </w:p>
        </w:tc>
      </w:tr>
      <w:tr w:rsidR="0076213A" w:rsidRPr="00BF5F1E" w14:paraId="60CC1292"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6D54EC61" w14:textId="2F789D54" w:rsidR="0076213A" w:rsidRPr="00EC237B" w:rsidRDefault="0076213A" w:rsidP="0076213A">
            <w:r w:rsidRPr="00EC237B">
              <w:t>Section 3.4 Basis of Cost Estimat</w:t>
            </w:r>
            <w:r w:rsidR="007C1B44">
              <w:t>z</w:t>
            </w:r>
            <w:r w:rsidRPr="00EC237B">
              <w:t>ion (including assumptions and exclusions), pp 14- 27</w:t>
            </w:r>
          </w:p>
          <w:p w14:paraId="2D233F0D" w14:textId="77777777" w:rsidR="0076213A" w:rsidRPr="00EC237B" w:rsidRDefault="0076213A" w:rsidP="0076213A"/>
        </w:tc>
        <w:tc>
          <w:tcPr>
            <w:tcW w:w="1559" w:type="dxa"/>
            <w:tcBorders>
              <w:bottom w:val="single" w:sz="2" w:space="0" w:color="BFBFBF" w:themeColor="background1" w:themeShade="BF"/>
            </w:tcBorders>
            <w:shd w:val="clear" w:color="auto" w:fill="FFFFFF" w:themeFill="background1"/>
          </w:tcPr>
          <w:p w14:paraId="3C36AA8B" w14:textId="6DFD31F5" w:rsidR="0076213A" w:rsidRDefault="0076213A" w:rsidP="0076213A">
            <w:pPr>
              <w:rPr>
                <w:rFonts w:ascii="Arial" w:hAnsi="Arial" w:cs="Arial"/>
              </w:rPr>
            </w:pPr>
            <w:r>
              <w:rPr>
                <w:rFonts w:ascii="Arial" w:hAnsi="Arial" w:cs="Arial"/>
                <w:color w:val="000000"/>
              </w:rPr>
              <w:t>Estimate basis and assumptions</w:t>
            </w:r>
          </w:p>
        </w:tc>
        <w:tc>
          <w:tcPr>
            <w:tcW w:w="1701" w:type="dxa"/>
            <w:tcBorders>
              <w:bottom w:val="single" w:sz="2" w:space="0" w:color="BFBFBF" w:themeColor="background1" w:themeShade="BF"/>
            </w:tcBorders>
            <w:shd w:val="clear" w:color="auto" w:fill="FFFFFF" w:themeFill="background1"/>
          </w:tcPr>
          <w:p w14:paraId="183961A7" w14:textId="72A1379E" w:rsidR="0076213A" w:rsidRDefault="0076213A" w:rsidP="0076213A">
            <w:pPr>
              <w:rPr>
                <w:rFonts w:ascii="Arial" w:hAnsi="Arial" w:cs="Arial"/>
              </w:rPr>
            </w:pPr>
            <w:r>
              <w:rPr>
                <w:rFonts w:ascii="Arial" w:hAnsi="Arial" w:cs="Arial"/>
                <w:color w:val="000000"/>
              </w:rPr>
              <w:t xml:space="preserve">Estimate basis and </w:t>
            </w:r>
            <w:r w:rsidR="000B589B">
              <w:rPr>
                <w:rFonts w:ascii="Arial" w:hAnsi="Arial" w:cs="Arial"/>
                <w:color w:val="000000"/>
              </w:rPr>
              <w:t xml:space="preserve">unit rate </w:t>
            </w:r>
            <w:r>
              <w:rPr>
                <w:rFonts w:ascii="Arial" w:hAnsi="Arial" w:cs="Arial"/>
                <w:color w:val="000000"/>
              </w:rPr>
              <w:t>assumptions</w:t>
            </w:r>
          </w:p>
        </w:tc>
        <w:tc>
          <w:tcPr>
            <w:tcW w:w="1559" w:type="dxa"/>
            <w:tcBorders>
              <w:bottom w:val="single" w:sz="2" w:space="0" w:color="BFBFBF" w:themeColor="background1" w:themeShade="BF"/>
            </w:tcBorders>
            <w:shd w:val="clear" w:color="auto" w:fill="FFFFFF" w:themeFill="background1"/>
          </w:tcPr>
          <w:p w14:paraId="6C63FE42" w14:textId="32C2D3F9" w:rsidR="0076213A" w:rsidRPr="004B44E8" w:rsidRDefault="0076213A" w:rsidP="0076213A">
            <w:r w:rsidRPr="009F082E">
              <w:rPr>
                <w:rFonts w:ascii="Arial" w:hAnsi="Arial" w:cs="Arial"/>
              </w:rPr>
              <w:t>Market sensitive cost inputs / market intelligence</w:t>
            </w:r>
          </w:p>
        </w:tc>
        <w:tc>
          <w:tcPr>
            <w:tcW w:w="1985" w:type="dxa"/>
            <w:tcBorders>
              <w:bottom w:val="single" w:sz="2" w:space="0" w:color="BFBFBF" w:themeColor="background1" w:themeShade="BF"/>
            </w:tcBorders>
            <w:shd w:val="clear" w:color="auto" w:fill="FFFFFF" w:themeFill="background1"/>
          </w:tcPr>
          <w:p w14:paraId="531E2BD4" w14:textId="67005F6E" w:rsidR="0076213A" w:rsidRPr="0092689B" w:rsidRDefault="0076213A" w:rsidP="0076213A">
            <w:pPr>
              <w:rPr>
                <w:rFonts w:ascii="Arial" w:hAnsi="Arial" w:cs="Arial"/>
              </w:rPr>
            </w:pPr>
            <w:r>
              <w:rPr>
                <w:rFonts w:ascii="Arial" w:hAnsi="Arial" w:cs="Arial"/>
              </w:rPr>
              <w:t>The basis of cost estimation</w:t>
            </w:r>
            <w:r w:rsidRPr="00CD38C7">
              <w:rPr>
                <w:rFonts w:ascii="Arial" w:hAnsi="Arial" w:cs="Arial"/>
              </w:rPr>
              <w:t xml:space="preserve"> is commercially sensitive to Transgrid and T&amp;T.  </w:t>
            </w:r>
          </w:p>
        </w:tc>
        <w:tc>
          <w:tcPr>
            <w:tcW w:w="2551" w:type="dxa"/>
            <w:tcBorders>
              <w:bottom w:val="single" w:sz="2" w:space="0" w:color="BFBFBF" w:themeColor="background1" w:themeShade="BF"/>
            </w:tcBorders>
            <w:shd w:val="clear" w:color="auto" w:fill="FFFFFF" w:themeFill="background1"/>
          </w:tcPr>
          <w:p w14:paraId="4784359D" w14:textId="1459EC96" w:rsidR="0076213A" w:rsidRPr="0092689B" w:rsidRDefault="0076213A" w:rsidP="0076213A">
            <w:pPr>
              <w:rPr>
                <w:rFonts w:ascii="Arial" w:hAnsi="Arial" w:cs="Arial"/>
              </w:rPr>
            </w:pPr>
            <w:r>
              <w:rPr>
                <w:rFonts w:ascii="Arial" w:hAnsi="Arial" w:cs="Arial"/>
              </w:rPr>
              <w:t>The basis on which T&amp;T have developed their FTC estimate, and the assumptions underpinning the estimate are commercially sensitive to T&amp;T and Transgrid.</w:t>
            </w:r>
          </w:p>
        </w:tc>
        <w:tc>
          <w:tcPr>
            <w:tcW w:w="2552" w:type="dxa"/>
            <w:tcBorders>
              <w:bottom w:val="single" w:sz="2" w:space="0" w:color="BFBFBF" w:themeColor="background1" w:themeShade="BF"/>
            </w:tcBorders>
            <w:shd w:val="clear" w:color="auto" w:fill="FFFFFF" w:themeFill="background1"/>
          </w:tcPr>
          <w:p w14:paraId="36099A75" w14:textId="40B1D870" w:rsidR="0076213A" w:rsidRPr="008E4257" w:rsidRDefault="006708F1" w:rsidP="0076213A">
            <w:pPr>
              <w:rPr>
                <w:rFonts w:ascii="Arial" w:hAnsi="Arial" w:cs="Arial"/>
              </w:rPr>
            </w:pPr>
            <w:r w:rsidRPr="00BB68EE">
              <w:rPr>
                <w:rFonts w:ascii="Arial" w:hAnsi="Arial" w:cs="Arial"/>
              </w:rPr>
              <w:t xml:space="preserve">The identified detriment is not outweighed by </w:t>
            </w:r>
            <w:r>
              <w:rPr>
                <w:rFonts w:ascii="Arial" w:hAnsi="Arial" w:cs="Arial"/>
              </w:rPr>
              <w:t xml:space="preserve">benefit </w:t>
            </w:r>
            <w:r w:rsidRPr="00BB68EE">
              <w:rPr>
                <w:rFonts w:ascii="Arial" w:hAnsi="Arial" w:cs="Arial"/>
              </w:rPr>
              <w:t xml:space="preserve">as </w:t>
            </w:r>
            <w:r>
              <w:rPr>
                <w:rFonts w:ascii="Arial" w:hAnsi="Arial" w:cs="Arial"/>
                <w:lang w:val="en-US"/>
              </w:rPr>
              <w:t xml:space="preserve">releasing </w:t>
            </w:r>
            <w:r>
              <w:rPr>
                <w:rFonts w:ascii="Arial" w:hAnsi="Arial" w:cs="Arial"/>
              </w:rPr>
              <w:t xml:space="preserve">this level of detail (e.g. crew rosters, hourly rates, unit prices) </w:t>
            </w:r>
            <w:r w:rsidRPr="00BB68EE">
              <w:rPr>
                <w:rFonts w:ascii="Arial" w:hAnsi="Arial" w:cs="Arial"/>
              </w:rPr>
              <w:t>could adversely affect future procurement processes</w:t>
            </w:r>
            <w:r>
              <w:rPr>
                <w:rFonts w:ascii="Arial" w:hAnsi="Arial" w:cs="Arial"/>
              </w:rPr>
              <w:t xml:space="preserve">. </w:t>
            </w:r>
            <w:r>
              <w:rPr>
                <w:rFonts w:ascii="Arial" w:eastAsia="Arial" w:hAnsi="Arial" w:cs="Arial"/>
              </w:rPr>
              <w:t>Quantifying this information is not central to the public’s understanding of the Application</w:t>
            </w:r>
          </w:p>
        </w:tc>
        <w:tc>
          <w:tcPr>
            <w:tcW w:w="1275" w:type="dxa"/>
            <w:tcBorders>
              <w:bottom w:val="single" w:sz="2" w:space="0" w:color="BFBFBF" w:themeColor="background1" w:themeShade="BF"/>
            </w:tcBorders>
            <w:shd w:val="clear" w:color="auto" w:fill="FFFFFF" w:themeFill="background1"/>
          </w:tcPr>
          <w:p w14:paraId="29774CDA" w14:textId="4A400FFD" w:rsidR="0076213A" w:rsidRPr="007A2D49" w:rsidRDefault="0076213A" w:rsidP="0076213A">
            <w:pPr>
              <w:rPr>
                <w:rFonts w:ascii="Arial" w:hAnsi="Arial" w:cs="Arial"/>
              </w:rPr>
            </w:pPr>
            <w:r w:rsidRPr="358799A6">
              <w:rPr>
                <w:rFonts w:ascii="Arial" w:hAnsi="Arial" w:cs="Arial"/>
              </w:rPr>
              <w:t>14 pages</w:t>
            </w:r>
          </w:p>
        </w:tc>
      </w:tr>
      <w:tr w:rsidR="0076213A" w:rsidRPr="00BF5F1E" w14:paraId="21C02704"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0156D3AB" w14:textId="58D5E000" w:rsidR="0076213A" w:rsidRPr="00F9205A" w:rsidRDefault="0076213A" w:rsidP="0076213A">
            <w:r w:rsidRPr="00F9205A">
              <w:lastRenderedPageBreak/>
              <w:t xml:space="preserve">All appendices </w:t>
            </w:r>
          </w:p>
          <w:p w14:paraId="0BF0C9E1" w14:textId="77777777" w:rsidR="0076213A" w:rsidRDefault="0076213A" w:rsidP="0076213A">
            <w:pPr>
              <w:pStyle w:val="ListParagraph"/>
              <w:numPr>
                <w:ilvl w:val="0"/>
                <w:numId w:val="17"/>
              </w:numPr>
              <w:spacing w:after="120"/>
              <w:rPr>
                <w:rFonts w:ascii="Arial" w:eastAsiaTheme="majorEastAsia" w:hAnsi="Arial" w:cs="Arial"/>
                <w:lang w:eastAsia="en-AU"/>
              </w:rPr>
            </w:pPr>
            <w:r w:rsidRPr="007A2D49">
              <w:rPr>
                <w:rFonts w:ascii="Arial" w:eastAsiaTheme="majorEastAsia" w:hAnsi="Arial" w:cs="Arial"/>
                <w:lang w:eastAsia="en-AU"/>
              </w:rPr>
              <w:t>6.1 Appendix A – Cost Estimate</w:t>
            </w:r>
          </w:p>
          <w:p w14:paraId="744AE671" w14:textId="1FFF51F8" w:rsidR="0076213A" w:rsidRDefault="0076213A" w:rsidP="0076213A">
            <w:pPr>
              <w:pStyle w:val="ListParagraph"/>
              <w:numPr>
                <w:ilvl w:val="0"/>
                <w:numId w:val="17"/>
              </w:numPr>
              <w:spacing w:after="120"/>
              <w:rPr>
                <w:rFonts w:ascii="Arial" w:eastAsiaTheme="majorEastAsia" w:hAnsi="Arial" w:cs="Arial"/>
                <w:lang w:eastAsia="en-AU"/>
              </w:rPr>
            </w:pPr>
            <w:r w:rsidRPr="007A2D49">
              <w:rPr>
                <w:rFonts w:ascii="Arial" w:eastAsiaTheme="majorEastAsia" w:hAnsi="Arial" w:cs="Arial"/>
                <w:lang w:eastAsia="en-AU"/>
              </w:rPr>
              <w:t>6.2</w:t>
            </w:r>
            <w:r>
              <w:rPr>
                <w:rFonts w:ascii="Arial" w:eastAsiaTheme="majorEastAsia" w:hAnsi="Arial" w:cs="Arial"/>
                <w:lang w:eastAsia="en-AU"/>
              </w:rPr>
              <w:t xml:space="preserve"> </w:t>
            </w:r>
          </w:p>
          <w:p w14:paraId="7425807B" w14:textId="77777777" w:rsidR="0076213A" w:rsidRDefault="0076213A" w:rsidP="0076213A">
            <w:pPr>
              <w:pStyle w:val="ListParagraph"/>
              <w:spacing w:after="120"/>
              <w:ind w:left="360"/>
              <w:rPr>
                <w:rFonts w:ascii="Arial" w:eastAsiaTheme="majorEastAsia" w:hAnsi="Arial" w:cs="Arial"/>
                <w:lang w:eastAsia="en-AU"/>
              </w:rPr>
            </w:pPr>
            <w:r w:rsidRPr="007A2D49">
              <w:rPr>
                <w:rFonts w:ascii="Arial" w:eastAsiaTheme="majorEastAsia" w:hAnsi="Arial" w:cs="Arial"/>
                <w:lang w:eastAsia="en-AU"/>
              </w:rPr>
              <w:t xml:space="preserve">Appendix B – Risk Register and Contingent Risk Quantification </w:t>
            </w:r>
            <w:r>
              <w:rPr>
                <w:rFonts w:ascii="Arial" w:eastAsiaTheme="majorEastAsia" w:hAnsi="Arial" w:cs="Arial"/>
                <w:lang w:eastAsia="en-AU"/>
              </w:rPr>
              <w:t xml:space="preserve"> </w:t>
            </w:r>
          </w:p>
          <w:p w14:paraId="233809F5" w14:textId="20F85523" w:rsidR="0076213A" w:rsidRDefault="0076213A" w:rsidP="0076213A">
            <w:pPr>
              <w:pStyle w:val="ListParagraph"/>
              <w:numPr>
                <w:ilvl w:val="0"/>
                <w:numId w:val="17"/>
              </w:numPr>
              <w:spacing w:after="120"/>
              <w:rPr>
                <w:rFonts w:ascii="Arial" w:eastAsiaTheme="majorEastAsia" w:hAnsi="Arial" w:cs="Arial"/>
                <w:lang w:eastAsia="en-AU"/>
              </w:rPr>
            </w:pPr>
            <w:r w:rsidRPr="007A2D49">
              <w:rPr>
                <w:rFonts w:ascii="Arial" w:eastAsiaTheme="majorEastAsia" w:hAnsi="Arial" w:cs="Arial"/>
                <w:lang w:eastAsia="en-AU"/>
              </w:rPr>
              <w:t>6.3</w:t>
            </w:r>
            <w:r w:rsidRPr="007A2D49" w:rsidDel="00C925D8">
              <w:rPr>
                <w:rFonts w:ascii="Arial" w:eastAsiaTheme="majorEastAsia" w:hAnsi="Arial" w:cs="Arial"/>
                <w:lang w:eastAsia="en-AU"/>
              </w:rPr>
              <w:t xml:space="preserve"> </w:t>
            </w:r>
            <w:r w:rsidRPr="007A2D49">
              <w:rPr>
                <w:rFonts w:ascii="Arial" w:eastAsiaTheme="majorEastAsia" w:hAnsi="Arial" w:cs="Arial"/>
                <w:lang w:eastAsia="en-AU"/>
              </w:rPr>
              <w:t>Appendix C – Inherent Risk Quantification</w:t>
            </w:r>
            <w:r>
              <w:rPr>
                <w:rFonts w:ascii="Arial" w:eastAsiaTheme="majorEastAsia" w:hAnsi="Arial" w:cs="Arial"/>
                <w:lang w:eastAsia="en-AU"/>
              </w:rPr>
              <w:t xml:space="preserve"> </w:t>
            </w:r>
          </w:p>
          <w:p w14:paraId="680F985B" w14:textId="71E6E279" w:rsidR="0076213A" w:rsidRDefault="0076213A" w:rsidP="0076213A">
            <w:pPr>
              <w:pStyle w:val="ListParagraph"/>
              <w:numPr>
                <w:ilvl w:val="0"/>
                <w:numId w:val="17"/>
              </w:numPr>
              <w:spacing w:after="120"/>
              <w:rPr>
                <w:rFonts w:ascii="Arial" w:eastAsiaTheme="majorEastAsia" w:hAnsi="Arial" w:cs="Arial"/>
                <w:lang w:eastAsia="en-AU"/>
              </w:rPr>
            </w:pPr>
            <w:r w:rsidRPr="007A2D49">
              <w:rPr>
                <w:rFonts w:ascii="Arial" w:eastAsiaTheme="majorEastAsia" w:hAnsi="Arial" w:cs="Arial"/>
                <w:lang w:eastAsia="en-AU"/>
              </w:rPr>
              <w:t xml:space="preserve">6.4 Appendix D – FTC Schedule </w:t>
            </w:r>
            <w:r>
              <w:rPr>
                <w:rFonts w:ascii="Arial" w:eastAsiaTheme="majorEastAsia" w:hAnsi="Arial" w:cs="Arial"/>
                <w:lang w:eastAsia="en-AU"/>
              </w:rPr>
              <w:t xml:space="preserve"> </w:t>
            </w:r>
          </w:p>
          <w:p w14:paraId="0BAACD93" w14:textId="59B0A0A4" w:rsidR="0076213A" w:rsidRPr="007A2D49" w:rsidRDefault="0076213A" w:rsidP="0076213A">
            <w:pPr>
              <w:pStyle w:val="ListParagraph"/>
              <w:numPr>
                <w:ilvl w:val="0"/>
                <w:numId w:val="17"/>
              </w:numPr>
              <w:spacing w:after="120"/>
              <w:rPr>
                <w:rFonts w:ascii="Arial" w:eastAsiaTheme="majorEastAsia" w:hAnsi="Arial" w:cs="Arial"/>
                <w:lang w:eastAsia="en-AU"/>
              </w:rPr>
            </w:pPr>
            <w:r w:rsidRPr="007A2D49">
              <w:rPr>
                <w:rFonts w:ascii="Arial" w:eastAsiaTheme="majorEastAsia" w:hAnsi="Arial" w:cs="Arial"/>
                <w:lang w:eastAsia="en-AU"/>
              </w:rPr>
              <w:t>6.5 Appendix E – FTC Schedule – Critical Path</w:t>
            </w:r>
          </w:p>
        </w:tc>
        <w:tc>
          <w:tcPr>
            <w:tcW w:w="1559" w:type="dxa"/>
            <w:tcBorders>
              <w:bottom w:val="single" w:sz="2" w:space="0" w:color="BFBFBF" w:themeColor="background1" w:themeShade="BF"/>
            </w:tcBorders>
            <w:shd w:val="clear" w:color="auto" w:fill="FFFFFF" w:themeFill="background1"/>
          </w:tcPr>
          <w:p w14:paraId="329D2A97" w14:textId="51F675CC" w:rsidR="0076213A" w:rsidRDefault="0076213A" w:rsidP="0076213A">
            <w:pPr>
              <w:rPr>
                <w:rFonts w:ascii="Arial" w:hAnsi="Arial" w:cs="Arial"/>
                <w:color w:val="000000"/>
              </w:rPr>
            </w:pPr>
            <w:r w:rsidRPr="00B85D5F">
              <w:t>Estimate basis and assumptions</w:t>
            </w:r>
          </w:p>
        </w:tc>
        <w:tc>
          <w:tcPr>
            <w:tcW w:w="1701" w:type="dxa"/>
            <w:tcBorders>
              <w:bottom w:val="single" w:sz="2" w:space="0" w:color="BFBFBF" w:themeColor="background1" w:themeShade="BF"/>
            </w:tcBorders>
            <w:shd w:val="clear" w:color="auto" w:fill="FFFFFF" w:themeFill="background1"/>
          </w:tcPr>
          <w:p w14:paraId="5277A072" w14:textId="01C92ACA" w:rsidR="0076213A" w:rsidRDefault="00476931" w:rsidP="0076213A">
            <w:pPr>
              <w:rPr>
                <w:rFonts w:ascii="Arial" w:hAnsi="Arial" w:cs="Arial"/>
                <w:color w:val="000000"/>
              </w:rPr>
            </w:pPr>
            <w:r>
              <w:t>Detailed workings</w:t>
            </w:r>
            <w:r w:rsidRPr="00B85D5F">
              <w:t xml:space="preserve"> and </w:t>
            </w:r>
            <w:r>
              <w:t>modelling outputs</w:t>
            </w:r>
            <w:r w:rsidRPr="00BC5855">
              <w:t> </w:t>
            </w:r>
          </w:p>
        </w:tc>
        <w:tc>
          <w:tcPr>
            <w:tcW w:w="1559" w:type="dxa"/>
            <w:tcBorders>
              <w:bottom w:val="single" w:sz="2" w:space="0" w:color="BFBFBF" w:themeColor="background1" w:themeShade="BF"/>
            </w:tcBorders>
            <w:shd w:val="clear" w:color="auto" w:fill="FFFFFF" w:themeFill="background1"/>
          </w:tcPr>
          <w:p w14:paraId="52531B17" w14:textId="07F23E7A" w:rsidR="0076213A" w:rsidRPr="009F082E" w:rsidRDefault="0076213A" w:rsidP="0076213A">
            <w:pPr>
              <w:rPr>
                <w:rFonts w:ascii="Arial" w:hAnsi="Arial" w:cs="Arial"/>
              </w:rPr>
            </w:pPr>
            <w:r w:rsidRPr="00B85D5F">
              <w:t>Market sensitive cost inputs / market intelligence</w:t>
            </w:r>
          </w:p>
        </w:tc>
        <w:tc>
          <w:tcPr>
            <w:tcW w:w="1985" w:type="dxa"/>
            <w:tcBorders>
              <w:bottom w:val="single" w:sz="2" w:space="0" w:color="BFBFBF" w:themeColor="background1" w:themeShade="BF"/>
            </w:tcBorders>
            <w:shd w:val="clear" w:color="auto" w:fill="FFFFFF" w:themeFill="background1"/>
          </w:tcPr>
          <w:p w14:paraId="59432DDA" w14:textId="62E64CA9" w:rsidR="0076213A" w:rsidRDefault="0076213A" w:rsidP="0076213A">
            <w:pPr>
              <w:rPr>
                <w:rFonts w:ascii="Arial" w:hAnsi="Arial" w:cs="Arial"/>
              </w:rPr>
            </w:pPr>
            <w:r w:rsidRPr="005B5A74">
              <w:rPr>
                <w:rFonts w:ascii="Arial" w:hAnsi="Arial" w:cs="Arial"/>
              </w:rPr>
              <w:t xml:space="preserve">The basis </w:t>
            </w:r>
            <w:r>
              <w:rPr>
                <w:rFonts w:ascii="Arial" w:hAnsi="Arial" w:cs="Arial"/>
              </w:rPr>
              <w:t>of</w:t>
            </w:r>
            <w:r w:rsidRPr="005B5A74">
              <w:rPr>
                <w:rFonts w:ascii="Arial" w:hAnsi="Arial" w:cs="Arial"/>
              </w:rPr>
              <w:t xml:space="preserve"> </w:t>
            </w:r>
            <w:r>
              <w:rPr>
                <w:rFonts w:ascii="Arial" w:hAnsi="Arial" w:cs="Arial"/>
              </w:rPr>
              <w:t>c</w:t>
            </w:r>
            <w:r w:rsidRPr="005B5A74">
              <w:rPr>
                <w:rFonts w:ascii="Arial" w:hAnsi="Arial" w:cs="Arial"/>
              </w:rPr>
              <w:t xml:space="preserve">ost </w:t>
            </w:r>
            <w:r>
              <w:rPr>
                <w:rFonts w:ascii="Arial" w:hAnsi="Arial" w:cs="Arial"/>
              </w:rPr>
              <w:t>e</w:t>
            </w:r>
            <w:r w:rsidRPr="005B5A74">
              <w:rPr>
                <w:rFonts w:ascii="Arial" w:hAnsi="Arial" w:cs="Arial"/>
              </w:rPr>
              <w:t xml:space="preserve">stimation is commercially sensitive to Transgrid and T&amp;T.  </w:t>
            </w:r>
          </w:p>
        </w:tc>
        <w:tc>
          <w:tcPr>
            <w:tcW w:w="2551" w:type="dxa"/>
            <w:tcBorders>
              <w:bottom w:val="single" w:sz="2" w:space="0" w:color="BFBFBF" w:themeColor="background1" w:themeShade="BF"/>
            </w:tcBorders>
            <w:shd w:val="clear" w:color="auto" w:fill="FFFFFF" w:themeFill="background1"/>
          </w:tcPr>
          <w:p w14:paraId="3315995D" w14:textId="0AC619D6" w:rsidR="00F10259" w:rsidRPr="002541B4" w:rsidRDefault="00F10259" w:rsidP="00F10259">
            <w:pPr>
              <w:rPr>
                <w:rFonts w:ascii="Arial" w:hAnsi="Arial" w:cs="Arial"/>
              </w:rPr>
            </w:pPr>
            <w:r w:rsidRPr="002541B4">
              <w:rPr>
                <w:rFonts w:ascii="Arial" w:hAnsi="Arial" w:cs="Arial"/>
              </w:rPr>
              <w:t>The material contained in these appendices is highly commercially sensitive because it exposes the detailed internal workings of Transgrid’s cost modelling, risk assessment and delivery planning. The cost estimate, risk registers, inherent risk quantification and forecast</w:t>
            </w:r>
            <w:r w:rsidRPr="002541B4">
              <w:rPr>
                <w:rFonts w:ascii="Cambria Math" w:hAnsi="Cambria Math" w:cs="Cambria Math"/>
              </w:rPr>
              <w:t>‑</w:t>
            </w:r>
            <w:r w:rsidRPr="002541B4">
              <w:rPr>
                <w:rFonts w:ascii="Arial" w:hAnsi="Arial" w:cs="Arial"/>
              </w:rPr>
              <w:t>to</w:t>
            </w:r>
            <w:r w:rsidRPr="002541B4">
              <w:rPr>
                <w:rFonts w:ascii="Cambria Math" w:hAnsi="Cambria Math" w:cs="Cambria Math"/>
              </w:rPr>
              <w:t>‑</w:t>
            </w:r>
            <w:r w:rsidRPr="002541B4">
              <w:rPr>
                <w:rFonts w:ascii="Arial" w:hAnsi="Arial" w:cs="Arial"/>
              </w:rPr>
              <w:t>complete schedules collectively reveal the assumptions, methodologies, risk weightings, productivity expectations, contingency logic and critical</w:t>
            </w:r>
            <w:r w:rsidRPr="002541B4">
              <w:rPr>
                <w:rFonts w:ascii="Cambria Math" w:hAnsi="Cambria Math" w:cs="Cambria Math"/>
              </w:rPr>
              <w:t>‑</w:t>
            </w:r>
            <w:r w:rsidRPr="002541B4">
              <w:rPr>
                <w:rFonts w:ascii="Arial" w:hAnsi="Arial" w:cs="Arial"/>
              </w:rPr>
              <w:t xml:space="preserve">path thinking that underpin Transgrid’s commercial strategy. This level of detail goes far beyond what is necessary for public understanding of the project or the reopener application. If </w:t>
            </w:r>
            <w:r w:rsidR="00910AD7">
              <w:rPr>
                <w:rFonts w:ascii="Arial" w:hAnsi="Arial" w:cs="Arial"/>
              </w:rPr>
              <w:t>third parties</w:t>
            </w:r>
            <w:r w:rsidRPr="002541B4">
              <w:rPr>
                <w:rFonts w:ascii="Arial" w:hAnsi="Arial" w:cs="Arial"/>
              </w:rPr>
              <w:t xml:space="preserve"> gained access to this information, they could reverse</w:t>
            </w:r>
            <w:r w:rsidRPr="002541B4">
              <w:rPr>
                <w:rFonts w:ascii="Cambria Math" w:hAnsi="Cambria Math" w:cs="Cambria Math"/>
              </w:rPr>
              <w:t>‑</w:t>
            </w:r>
            <w:r w:rsidRPr="002541B4">
              <w:rPr>
                <w:rFonts w:ascii="Arial" w:hAnsi="Arial" w:cs="Arial"/>
              </w:rPr>
              <w:t xml:space="preserve">engineer Transgrid’s internal cost structure, risk appetite </w:t>
            </w:r>
            <w:r w:rsidRPr="002541B4">
              <w:rPr>
                <w:rFonts w:ascii="Arial" w:hAnsi="Arial" w:cs="Arial"/>
              </w:rPr>
              <w:lastRenderedPageBreak/>
              <w:t>and scheduling constraints, allowing them to tailor future bids to exploit these insights rather than compete on genuine efficiency.</w:t>
            </w:r>
          </w:p>
          <w:p w14:paraId="0142DEA3" w14:textId="12F10A8C" w:rsidR="0076213A" w:rsidRDefault="00F10259" w:rsidP="00F10259">
            <w:pPr>
              <w:rPr>
                <w:rFonts w:ascii="Arial" w:hAnsi="Arial" w:cs="Arial"/>
              </w:rPr>
            </w:pPr>
            <w:r w:rsidRPr="002541B4">
              <w:rPr>
                <w:rFonts w:ascii="Arial" w:hAnsi="Arial" w:cs="Arial"/>
              </w:rPr>
              <w:t>Disclosure would also distort future procurement processes. Knowledge of Transgrid’s risk quantification and critical</w:t>
            </w:r>
            <w:r w:rsidRPr="002541B4">
              <w:rPr>
                <w:rFonts w:ascii="Cambria Math" w:hAnsi="Cambria Math" w:cs="Cambria Math"/>
              </w:rPr>
              <w:t>‑</w:t>
            </w:r>
            <w:r w:rsidRPr="002541B4">
              <w:rPr>
                <w:rFonts w:ascii="Arial" w:hAnsi="Arial" w:cs="Arial"/>
              </w:rPr>
              <w:t>path scheduling would enable tenderers to adjust their pricing, margins and resource strategies to align with Transgrid’s internal expectations, weakening competitive tension and increasing the likelihood of inflated or strategically engineered bids. The forecast</w:t>
            </w:r>
            <w:r w:rsidRPr="002541B4">
              <w:rPr>
                <w:rFonts w:ascii="Cambria Math" w:hAnsi="Cambria Math" w:cs="Cambria Math"/>
              </w:rPr>
              <w:t>‑</w:t>
            </w:r>
            <w:r w:rsidRPr="002541B4">
              <w:rPr>
                <w:rFonts w:ascii="Arial" w:hAnsi="Arial" w:cs="Arial"/>
              </w:rPr>
              <w:t>to</w:t>
            </w:r>
            <w:r w:rsidRPr="002541B4">
              <w:rPr>
                <w:rFonts w:ascii="Cambria Math" w:hAnsi="Cambria Math" w:cs="Cambria Math"/>
              </w:rPr>
              <w:t>‑</w:t>
            </w:r>
            <w:r w:rsidRPr="002541B4">
              <w:rPr>
                <w:rFonts w:ascii="Arial" w:hAnsi="Arial" w:cs="Arial"/>
              </w:rPr>
              <w:t xml:space="preserve">complete schedules in particular reveal where Transgrid anticipates pressure points, delays or cost escalation, which contractors could use to justify higher prices or shift risk back onto Transgrid. Because these appendices </w:t>
            </w:r>
            <w:r w:rsidRPr="002541B4">
              <w:rPr>
                <w:rFonts w:ascii="Arial" w:hAnsi="Arial" w:cs="Arial"/>
              </w:rPr>
              <w:lastRenderedPageBreak/>
              <w:t>provide a detailed blueprint of Transgrid’s commercial and operational assumptions, releasing them would materially undermine Transgrid’s negotiating position and expose consumers to higher future costs. Redacting them in full is therefore necessary to protect Transgrid’s commercial interests and maintain fair, competitive procurement outcomes.</w:t>
            </w:r>
          </w:p>
        </w:tc>
        <w:tc>
          <w:tcPr>
            <w:tcW w:w="2552" w:type="dxa"/>
            <w:tcBorders>
              <w:bottom w:val="single" w:sz="2" w:space="0" w:color="BFBFBF" w:themeColor="background1" w:themeShade="BF"/>
            </w:tcBorders>
            <w:shd w:val="clear" w:color="auto" w:fill="FFFFFF" w:themeFill="background1"/>
          </w:tcPr>
          <w:p w14:paraId="7D63CFE7" w14:textId="4305BFCC" w:rsidR="0076213A" w:rsidRPr="00BB68EE" w:rsidRDefault="00E04A4A" w:rsidP="0076213A">
            <w:pPr>
              <w:rPr>
                <w:rFonts w:ascii="Arial" w:hAnsi="Arial" w:cs="Arial"/>
              </w:rPr>
            </w:pPr>
            <w:r>
              <w:rPr>
                <w:rFonts w:ascii="Arial" w:hAnsi="Arial" w:cs="Arial"/>
              </w:rPr>
              <w:lastRenderedPageBreak/>
              <w:t>Disclosing this information would cause significant detriment to consumers’ interests by compromising competitive pricing for future projects.</w:t>
            </w:r>
            <w:r w:rsidRPr="00086D42">
              <w:rPr>
                <w:rFonts w:ascii="Arial" w:hAnsi="Arial" w:cs="Arial"/>
              </w:rPr>
              <w:t xml:space="preserve"> </w:t>
            </w:r>
            <w:r>
              <w:rPr>
                <w:rFonts w:ascii="Arial" w:hAnsi="Arial" w:cs="Arial"/>
              </w:rPr>
              <w:t>T&amp;T has provided sufficient information in the body of the report to demonstrate that their estimate has thoroughly tested</w:t>
            </w:r>
            <w:r w:rsidRPr="00086D42" w:rsidDel="001D30B6">
              <w:rPr>
                <w:rFonts w:ascii="Arial" w:hAnsi="Arial" w:cs="Arial"/>
              </w:rPr>
              <w:t xml:space="preserve"> </w:t>
            </w:r>
            <w:r>
              <w:rPr>
                <w:rFonts w:ascii="Arial" w:hAnsi="Arial" w:cs="Arial"/>
              </w:rPr>
              <w:t>the cost levers; q</w:t>
            </w:r>
            <w:r>
              <w:rPr>
                <w:rFonts w:ascii="Arial" w:eastAsia="Arial" w:hAnsi="Arial" w:cs="Arial"/>
              </w:rPr>
              <w:t>uantifying this information is</w:t>
            </w:r>
            <w:r>
              <w:rPr>
                <w:rFonts w:ascii="Arial" w:hAnsi="Arial" w:cs="Arial"/>
              </w:rPr>
              <w:t xml:space="preserve"> not </w:t>
            </w:r>
            <w:r>
              <w:rPr>
                <w:rFonts w:ascii="Arial" w:eastAsia="Arial" w:hAnsi="Arial" w:cs="Arial"/>
              </w:rPr>
              <w:t>central to the public’s understanding of the Application</w:t>
            </w:r>
          </w:p>
        </w:tc>
        <w:tc>
          <w:tcPr>
            <w:tcW w:w="1275" w:type="dxa"/>
            <w:tcBorders>
              <w:bottom w:val="single" w:sz="2" w:space="0" w:color="BFBFBF" w:themeColor="background1" w:themeShade="BF"/>
            </w:tcBorders>
            <w:shd w:val="clear" w:color="auto" w:fill="FFFFFF" w:themeFill="background1"/>
          </w:tcPr>
          <w:p w14:paraId="792BD610" w14:textId="3211AB61" w:rsidR="0076213A" w:rsidRDefault="0076213A" w:rsidP="0076213A">
            <w:pPr>
              <w:rPr>
                <w:rFonts w:ascii="Arial" w:hAnsi="Arial" w:cs="Arial"/>
              </w:rPr>
            </w:pPr>
            <w:r w:rsidRPr="358799A6">
              <w:rPr>
                <w:rFonts w:ascii="Arial" w:hAnsi="Arial" w:cs="Arial"/>
              </w:rPr>
              <w:t>31 pages</w:t>
            </w:r>
          </w:p>
        </w:tc>
      </w:tr>
      <w:tr w:rsidR="0076213A" w:rsidRPr="00BF5F1E" w14:paraId="528B5F86" w14:textId="77777777" w:rsidTr="358799A6">
        <w:trPr>
          <w:cantSplit/>
          <w:trHeight w:val="300"/>
        </w:trPr>
        <w:tc>
          <w:tcPr>
            <w:tcW w:w="15306" w:type="dxa"/>
            <w:gridSpan w:val="8"/>
            <w:tcBorders>
              <w:bottom w:val="single" w:sz="2" w:space="0" w:color="BFBFBF" w:themeColor="background1" w:themeShade="BF"/>
            </w:tcBorders>
            <w:shd w:val="clear" w:color="auto" w:fill="D8EFD7" w:themeFill="accent1" w:themeFillTint="33"/>
          </w:tcPr>
          <w:p w14:paraId="5A56E490" w14:textId="59C4AC55" w:rsidR="0076213A" w:rsidRPr="00F6430E" w:rsidRDefault="0076213A" w:rsidP="0076213A">
            <w:pPr>
              <w:rPr>
                <w:b/>
                <w:bCs/>
              </w:rPr>
            </w:pPr>
            <w:r w:rsidRPr="00F6430E">
              <w:rPr>
                <w:rFonts w:ascii="Arial" w:eastAsiaTheme="majorEastAsia" w:hAnsi="Arial" w:cs="Arial"/>
                <w:b/>
                <w:bCs/>
                <w:lang w:eastAsia="en-AU"/>
              </w:rPr>
              <w:lastRenderedPageBreak/>
              <w:t>Appendix 4</w:t>
            </w:r>
            <w:r>
              <w:rPr>
                <w:rFonts w:ascii="Arial" w:eastAsiaTheme="majorEastAsia" w:hAnsi="Arial" w:cs="Arial"/>
                <w:b/>
                <w:bCs/>
                <w:lang w:eastAsia="en-AU"/>
              </w:rPr>
              <w:t>b</w:t>
            </w:r>
            <w:r w:rsidRPr="00F6430E">
              <w:rPr>
                <w:rFonts w:ascii="Arial" w:eastAsiaTheme="majorEastAsia" w:hAnsi="Arial" w:cs="Arial"/>
                <w:b/>
                <w:bCs/>
                <w:lang w:eastAsia="en-AU"/>
              </w:rPr>
              <w:t xml:space="preserve">: </w:t>
            </w:r>
            <w:r>
              <w:t xml:space="preserve"> </w:t>
            </w:r>
            <w:r w:rsidRPr="007538F5">
              <w:rPr>
                <w:rFonts w:ascii="Arial" w:eastAsiaTheme="majorEastAsia" w:hAnsi="Arial" w:cs="Arial"/>
                <w:b/>
                <w:bCs/>
                <w:lang w:eastAsia="en-AU"/>
              </w:rPr>
              <w:t xml:space="preserve">Project EnergyConnect new contract review </w:t>
            </w:r>
            <w:r>
              <w:rPr>
                <w:rFonts w:ascii="Arial" w:eastAsiaTheme="majorEastAsia" w:hAnsi="Arial" w:cs="Arial"/>
                <w:b/>
                <w:bCs/>
                <w:lang w:eastAsia="en-AU"/>
              </w:rPr>
              <w:t xml:space="preserve">– </w:t>
            </w:r>
            <w:r w:rsidRPr="007538F5">
              <w:rPr>
                <w:rFonts w:ascii="Arial" w:eastAsiaTheme="majorEastAsia" w:hAnsi="Arial" w:cs="Arial"/>
                <w:b/>
                <w:bCs/>
                <w:lang w:eastAsia="en-AU"/>
              </w:rPr>
              <w:t xml:space="preserve">E3 </w:t>
            </w:r>
            <w:r w:rsidRPr="00F6430E" w:rsidDel="007538F5">
              <w:rPr>
                <w:rFonts w:ascii="Arial" w:eastAsiaTheme="majorEastAsia" w:hAnsi="Arial" w:cs="Arial"/>
                <w:b/>
                <w:bCs/>
                <w:lang w:eastAsia="en-AU"/>
              </w:rPr>
              <w:t>Advisory</w:t>
            </w:r>
          </w:p>
        </w:tc>
      </w:tr>
      <w:tr w:rsidR="0076213A" w:rsidRPr="00BF5F1E" w14:paraId="0D571ACF" w14:textId="77777777" w:rsidTr="009B4B47">
        <w:trPr>
          <w:cantSplit/>
          <w:trHeight w:val="300"/>
        </w:trPr>
        <w:tc>
          <w:tcPr>
            <w:tcW w:w="2124" w:type="dxa"/>
            <w:tcBorders>
              <w:bottom w:val="single" w:sz="2" w:space="0" w:color="BFBFBF" w:themeColor="background1" w:themeShade="BF"/>
            </w:tcBorders>
            <w:shd w:val="clear" w:color="auto" w:fill="FFFFFF" w:themeFill="background1"/>
          </w:tcPr>
          <w:p w14:paraId="3236802D" w14:textId="2B3D8653" w:rsidR="0076213A" w:rsidRDefault="0076213A" w:rsidP="0076213A">
            <w:pPr>
              <w:spacing w:after="120"/>
              <w:contextualSpacing/>
              <w:rPr>
                <w:rFonts w:ascii="Arial" w:eastAsiaTheme="majorEastAsia" w:hAnsi="Arial" w:cs="Arial"/>
                <w:lang w:eastAsia="en-AU"/>
              </w:rPr>
            </w:pPr>
            <w:r w:rsidRPr="40FF0F7F">
              <w:rPr>
                <w:rFonts w:ascii="Arial" w:eastAsiaTheme="majorEastAsia" w:hAnsi="Arial" w:cs="Arial"/>
                <w:lang w:eastAsia="en-AU"/>
              </w:rPr>
              <w:t>The following locations in this document:</w:t>
            </w:r>
          </w:p>
          <w:p w14:paraId="0A5184F4" w14:textId="34A904A9" w:rsidR="0076213A" w:rsidRDefault="0076213A" w:rsidP="0076213A">
            <w:pPr>
              <w:pStyle w:val="ListParagraph"/>
              <w:numPr>
                <w:ilvl w:val="0"/>
                <w:numId w:val="17"/>
              </w:numPr>
              <w:spacing w:after="120"/>
              <w:rPr>
                <w:rFonts w:ascii="Arial" w:eastAsiaTheme="majorEastAsia" w:hAnsi="Arial" w:cs="Arial"/>
                <w:lang w:eastAsia="en-AU"/>
              </w:rPr>
            </w:pPr>
            <w:r w:rsidRPr="40FF0F7F">
              <w:rPr>
                <w:rFonts w:ascii="Arial" w:eastAsiaTheme="majorEastAsia" w:hAnsi="Arial" w:cs="Arial"/>
                <w:lang w:eastAsia="en-AU"/>
              </w:rPr>
              <w:t xml:space="preserve">Section 2.7, </w:t>
            </w:r>
            <w:r w:rsidRPr="1EF88600">
              <w:rPr>
                <w:rFonts w:ascii="Arial" w:eastAsiaTheme="majorEastAsia" w:hAnsi="Arial" w:cs="Arial"/>
                <w:lang w:eastAsia="en-AU"/>
              </w:rPr>
              <w:t>p 12</w:t>
            </w:r>
            <w:r w:rsidRPr="40FF0F7F">
              <w:rPr>
                <w:rFonts w:ascii="Arial" w:eastAsiaTheme="majorEastAsia" w:hAnsi="Arial" w:cs="Arial"/>
                <w:lang w:eastAsia="en-AU"/>
              </w:rPr>
              <w:t xml:space="preserve"> </w:t>
            </w:r>
          </w:p>
          <w:p w14:paraId="4124C69B" w14:textId="060ADB1D" w:rsidR="0076213A" w:rsidRDefault="0076213A" w:rsidP="0076213A">
            <w:pPr>
              <w:pStyle w:val="ListParagraph"/>
              <w:numPr>
                <w:ilvl w:val="0"/>
                <w:numId w:val="17"/>
              </w:numPr>
              <w:spacing w:after="120"/>
              <w:rPr>
                <w:rFonts w:ascii="Arial" w:eastAsiaTheme="majorEastAsia" w:hAnsi="Arial" w:cs="Arial"/>
                <w:lang w:eastAsia="en-AU"/>
              </w:rPr>
            </w:pPr>
            <w:r>
              <w:rPr>
                <w:rFonts w:ascii="Arial" w:eastAsiaTheme="majorEastAsia" w:hAnsi="Arial" w:cs="Arial"/>
                <w:lang w:eastAsia="en-AU"/>
              </w:rPr>
              <w:t xml:space="preserve">Section 2.8, </w:t>
            </w:r>
            <w:r w:rsidRPr="7EF4825C">
              <w:rPr>
                <w:rFonts w:ascii="Arial" w:eastAsiaTheme="majorEastAsia" w:hAnsi="Arial" w:cs="Arial"/>
                <w:lang w:eastAsia="en-AU"/>
              </w:rPr>
              <w:t>pp</w:t>
            </w:r>
            <w:r w:rsidRPr="1EF88600">
              <w:rPr>
                <w:rFonts w:ascii="Arial" w:eastAsiaTheme="majorEastAsia" w:hAnsi="Arial" w:cs="Arial"/>
                <w:lang w:eastAsia="en-AU"/>
              </w:rPr>
              <w:t xml:space="preserve"> </w:t>
            </w:r>
            <w:r w:rsidRPr="1BB13872">
              <w:rPr>
                <w:rFonts w:ascii="Arial" w:eastAsiaTheme="majorEastAsia" w:hAnsi="Arial" w:cs="Arial"/>
                <w:lang w:eastAsia="en-AU"/>
              </w:rPr>
              <w:t>20</w:t>
            </w:r>
            <w:r w:rsidRPr="40FF0F7F">
              <w:rPr>
                <w:rFonts w:ascii="Arial" w:eastAsiaTheme="majorEastAsia" w:hAnsi="Arial" w:cs="Arial"/>
                <w:lang w:eastAsia="en-AU"/>
              </w:rPr>
              <w:t xml:space="preserve"> </w:t>
            </w:r>
          </w:p>
          <w:p w14:paraId="1EC55E84" w14:textId="1380A53F" w:rsidR="0076213A" w:rsidRDefault="0076213A" w:rsidP="0076213A">
            <w:pPr>
              <w:pStyle w:val="ListParagraph"/>
              <w:numPr>
                <w:ilvl w:val="0"/>
                <w:numId w:val="17"/>
              </w:numPr>
              <w:spacing w:after="120"/>
              <w:rPr>
                <w:rFonts w:ascii="Arial" w:eastAsiaTheme="majorEastAsia" w:hAnsi="Arial" w:cs="Arial"/>
                <w:lang w:eastAsia="en-AU"/>
              </w:rPr>
            </w:pPr>
            <w:r w:rsidRPr="3ABBDD2C">
              <w:rPr>
                <w:rFonts w:ascii="Arial" w:eastAsiaTheme="majorEastAsia" w:hAnsi="Arial" w:cs="Arial"/>
                <w:lang w:eastAsia="en-AU"/>
              </w:rPr>
              <w:t xml:space="preserve">Section 3.4, </w:t>
            </w:r>
            <w:r w:rsidRPr="1EF88600">
              <w:rPr>
                <w:rFonts w:ascii="Arial" w:eastAsiaTheme="majorEastAsia" w:hAnsi="Arial" w:cs="Arial"/>
                <w:lang w:eastAsia="en-AU"/>
              </w:rPr>
              <w:t>p 22</w:t>
            </w:r>
          </w:p>
          <w:p w14:paraId="03857E55" w14:textId="6A4DAE74" w:rsidR="0076213A" w:rsidRDefault="0076213A" w:rsidP="0076213A">
            <w:pPr>
              <w:pStyle w:val="ListParagraph"/>
              <w:numPr>
                <w:ilvl w:val="0"/>
                <w:numId w:val="17"/>
              </w:numPr>
              <w:spacing w:after="120"/>
              <w:rPr>
                <w:rFonts w:ascii="Arial" w:eastAsiaTheme="majorEastAsia" w:hAnsi="Arial" w:cs="Arial"/>
                <w:lang w:eastAsia="en-AU"/>
              </w:rPr>
            </w:pPr>
            <w:r>
              <w:rPr>
                <w:rFonts w:ascii="Arial" w:eastAsiaTheme="majorEastAsia" w:hAnsi="Arial" w:cs="Arial"/>
                <w:lang w:eastAsia="en-AU"/>
              </w:rPr>
              <w:t>S</w:t>
            </w:r>
            <w:r w:rsidRPr="428C28E2">
              <w:rPr>
                <w:rFonts w:ascii="Arial" w:eastAsiaTheme="majorEastAsia" w:hAnsi="Arial" w:cs="Arial"/>
                <w:lang w:eastAsia="en-AU"/>
              </w:rPr>
              <w:t xml:space="preserve">ection 3.6, </w:t>
            </w:r>
            <w:r w:rsidRPr="1EF88600">
              <w:rPr>
                <w:rFonts w:ascii="Arial" w:eastAsiaTheme="majorEastAsia" w:hAnsi="Arial" w:cs="Arial"/>
                <w:lang w:eastAsia="en-AU"/>
              </w:rPr>
              <w:t>p 23</w:t>
            </w:r>
          </w:p>
          <w:p w14:paraId="20DBE911" w14:textId="315CB5D1" w:rsidR="0076213A" w:rsidRDefault="0076213A" w:rsidP="0076213A">
            <w:pPr>
              <w:pStyle w:val="ListParagraph"/>
              <w:numPr>
                <w:ilvl w:val="0"/>
                <w:numId w:val="17"/>
              </w:numPr>
              <w:spacing w:after="120"/>
              <w:rPr>
                <w:rFonts w:ascii="Arial" w:eastAsiaTheme="majorEastAsia" w:hAnsi="Arial" w:cs="Arial"/>
                <w:lang w:eastAsia="en-AU"/>
              </w:rPr>
            </w:pPr>
            <w:r w:rsidRPr="743ED21C">
              <w:rPr>
                <w:rFonts w:ascii="Arial" w:eastAsiaTheme="majorEastAsia" w:hAnsi="Arial" w:cs="Arial"/>
                <w:lang w:eastAsia="en-AU"/>
              </w:rPr>
              <w:t>Section 3.7, p 2</w:t>
            </w:r>
            <w:r>
              <w:rPr>
                <w:rFonts w:ascii="Arial" w:eastAsiaTheme="majorEastAsia" w:hAnsi="Arial" w:cs="Arial"/>
                <w:lang w:eastAsia="en-AU"/>
              </w:rPr>
              <w:t>3</w:t>
            </w:r>
          </w:p>
          <w:p w14:paraId="5A155082" w14:textId="01C2F4D2" w:rsidR="0076213A" w:rsidRDefault="0076213A" w:rsidP="0076213A">
            <w:pPr>
              <w:pStyle w:val="ListParagraph"/>
              <w:numPr>
                <w:ilvl w:val="0"/>
                <w:numId w:val="17"/>
              </w:numPr>
              <w:spacing w:after="120"/>
              <w:rPr>
                <w:rFonts w:ascii="Arial" w:eastAsiaTheme="majorEastAsia" w:hAnsi="Arial" w:cs="Arial"/>
                <w:lang w:eastAsia="en-AU"/>
              </w:rPr>
            </w:pPr>
            <w:r w:rsidRPr="428C28E2">
              <w:rPr>
                <w:rFonts w:ascii="Arial" w:eastAsiaTheme="majorEastAsia" w:hAnsi="Arial" w:cs="Arial"/>
                <w:lang w:eastAsia="en-AU"/>
              </w:rPr>
              <w:t xml:space="preserve">Section 3.9, </w:t>
            </w:r>
            <w:r w:rsidRPr="1EF88600">
              <w:rPr>
                <w:rFonts w:ascii="Arial" w:eastAsiaTheme="majorEastAsia" w:hAnsi="Arial" w:cs="Arial"/>
                <w:lang w:eastAsia="en-AU"/>
              </w:rPr>
              <w:t>p 24</w:t>
            </w:r>
          </w:p>
          <w:p w14:paraId="76DF562C" w14:textId="26128F29" w:rsidR="0076213A" w:rsidRDefault="0076213A" w:rsidP="0076213A">
            <w:pPr>
              <w:pStyle w:val="ListParagraph"/>
              <w:numPr>
                <w:ilvl w:val="0"/>
                <w:numId w:val="17"/>
              </w:numPr>
              <w:spacing w:after="120"/>
              <w:rPr>
                <w:rFonts w:ascii="Arial" w:eastAsiaTheme="majorEastAsia" w:hAnsi="Arial" w:cs="Arial"/>
                <w:lang w:eastAsia="en-AU"/>
              </w:rPr>
            </w:pPr>
            <w:r w:rsidRPr="3ABBDD2C">
              <w:rPr>
                <w:rFonts w:ascii="Arial" w:eastAsiaTheme="majorEastAsia" w:hAnsi="Arial" w:cs="Arial"/>
                <w:lang w:eastAsia="en-AU"/>
              </w:rPr>
              <w:lastRenderedPageBreak/>
              <w:t xml:space="preserve">Section 3.10, p </w:t>
            </w:r>
            <w:r>
              <w:rPr>
                <w:rFonts w:ascii="Arial" w:eastAsiaTheme="majorEastAsia" w:hAnsi="Arial" w:cs="Arial"/>
                <w:lang w:eastAsia="en-AU"/>
              </w:rPr>
              <w:t>24-25</w:t>
            </w:r>
            <w:r w:rsidRPr="3ABBDD2C">
              <w:rPr>
                <w:rFonts w:ascii="Arial" w:eastAsiaTheme="majorEastAsia" w:hAnsi="Arial" w:cs="Arial"/>
                <w:lang w:eastAsia="en-AU"/>
              </w:rPr>
              <w:t xml:space="preserve"> </w:t>
            </w:r>
          </w:p>
          <w:p w14:paraId="759265AC" w14:textId="0CD84E64" w:rsidR="0076213A" w:rsidRDefault="0076213A" w:rsidP="0076213A">
            <w:pPr>
              <w:pStyle w:val="ListParagraph"/>
              <w:numPr>
                <w:ilvl w:val="0"/>
                <w:numId w:val="17"/>
              </w:numPr>
              <w:spacing w:after="120"/>
              <w:rPr>
                <w:rFonts w:ascii="Arial" w:eastAsiaTheme="majorEastAsia" w:hAnsi="Arial" w:cs="Arial"/>
                <w:lang w:eastAsia="en-AU"/>
              </w:rPr>
            </w:pPr>
            <w:r w:rsidRPr="3ABBDD2C">
              <w:rPr>
                <w:rFonts w:ascii="Arial" w:eastAsiaTheme="majorEastAsia" w:hAnsi="Arial" w:cs="Arial"/>
                <w:lang w:eastAsia="en-AU"/>
              </w:rPr>
              <w:t xml:space="preserve">Section 3.11, </w:t>
            </w:r>
            <w:r w:rsidRPr="1EF88600">
              <w:rPr>
                <w:rFonts w:ascii="Arial" w:eastAsiaTheme="majorEastAsia" w:hAnsi="Arial" w:cs="Arial"/>
                <w:lang w:eastAsia="en-AU"/>
              </w:rPr>
              <w:t>p 25</w:t>
            </w:r>
          </w:p>
          <w:p w14:paraId="41E5AE57" w14:textId="729BCA4D" w:rsidR="0076213A" w:rsidRDefault="0076213A" w:rsidP="0076213A">
            <w:pPr>
              <w:pStyle w:val="ListParagraph"/>
              <w:numPr>
                <w:ilvl w:val="0"/>
                <w:numId w:val="17"/>
              </w:numPr>
              <w:spacing w:after="120"/>
              <w:rPr>
                <w:rFonts w:ascii="Arial" w:eastAsiaTheme="majorEastAsia" w:hAnsi="Arial" w:cs="Arial"/>
                <w:lang w:eastAsia="en-AU"/>
              </w:rPr>
            </w:pPr>
            <w:r w:rsidRPr="544263D8">
              <w:rPr>
                <w:rFonts w:ascii="Arial" w:eastAsiaTheme="majorEastAsia" w:hAnsi="Arial" w:cs="Arial"/>
                <w:lang w:eastAsia="en-AU"/>
              </w:rPr>
              <w:t xml:space="preserve">Section 3.12, </w:t>
            </w:r>
            <w:r w:rsidRPr="1EF88600">
              <w:rPr>
                <w:rFonts w:ascii="Arial" w:eastAsiaTheme="majorEastAsia" w:hAnsi="Arial" w:cs="Arial"/>
                <w:lang w:eastAsia="en-AU"/>
              </w:rPr>
              <w:t xml:space="preserve">p </w:t>
            </w:r>
            <w:r w:rsidRPr="6E6AAF1E">
              <w:rPr>
                <w:rFonts w:ascii="Arial" w:eastAsiaTheme="majorEastAsia" w:hAnsi="Arial" w:cs="Arial"/>
                <w:lang w:eastAsia="en-AU"/>
              </w:rPr>
              <w:t>25</w:t>
            </w:r>
          </w:p>
          <w:p w14:paraId="02ACD125" w14:textId="5B384EA9" w:rsidR="0076213A" w:rsidRDefault="0076213A" w:rsidP="0076213A">
            <w:pPr>
              <w:pStyle w:val="ListParagraph"/>
              <w:numPr>
                <w:ilvl w:val="0"/>
                <w:numId w:val="17"/>
              </w:numPr>
              <w:spacing w:after="120"/>
              <w:rPr>
                <w:rFonts w:ascii="Arial" w:eastAsiaTheme="majorEastAsia" w:hAnsi="Arial" w:cs="Arial"/>
                <w:lang w:eastAsia="en-AU"/>
              </w:rPr>
            </w:pPr>
            <w:r w:rsidRPr="544263D8">
              <w:rPr>
                <w:rFonts w:ascii="Arial" w:eastAsiaTheme="majorEastAsia" w:hAnsi="Arial" w:cs="Arial"/>
                <w:lang w:eastAsia="en-AU"/>
              </w:rPr>
              <w:t>Section 3.16</w:t>
            </w:r>
            <w:r>
              <w:rPr>
                <w:rFonts w:ascii="Arial" w:eastAsiaTheme="majorEastAsia" w:hAnsi="Arial" w:cs="Arial"/>
                <w:lang w:eastAsia="en-AU"/>
              </w:rPr>
              <w:t xml:space="preserve">, </w:t>
            </w:r>
            <w:r w:rsidRPr="1EF88600">
              <w:rPr>
                <w:rFonts w:ascii="Arial" w:eastAsiaTheme="majorEastAsia" w:hAnsi="Arial" w:cs="Arial"/>
                <w:lang w:eastAsia="en-AU"/>
              </w:rPr>
              <w:t>p 27</w:t>
            </w:r>
          </w:p>
        </w:tc>
        <w:tc>
          <w:tcPr>
            <w:tcW w:w="1559" w:type="dxa"/>
            <w:tcBorders>
              <w:bottom w:val="single" w:sz="2" w:space="0" w:color="BFBFBF" w:themeColor="background1" w:themeShade="BF"/>
            </w:tcBorders>
            <w:shd w:val="clear" w:color="auto" w:fill="FFFFFF" w:themeFill="background1"/>
          </w:tcPr>
          <w:p w14:paraId="3AE02B18" w14:textId="048CE202" w:rsidR="0076213A" w:rsidRPr="0E6CE5F7" w:rsidRDefault="00A2102F" w:rsidP="0076213A">
            <w:pPr>
              <w:rPr>
                <w:rFonts w:ascii="Arial" w:hAnsi="Arial" w:cs="Arial"/>
              </w:rPr>
            </w:pPr>
            <w:r>
              <w:rPr>
                <w:rFonts w:ascii="Arial" w:hAnsi="Arial" w:cs="Arial"/>
              </w:rPr>
              <w:lastRenderedPageBreak/>
              <w:t>L</w:t>
            </w:r>
            <w:r w:rsidR="0076213A" w:rsidRPr="3ABBDD2C">
              <w:rPr>
                <w:rFonts w:ascii="Arial" w:hAnsi="Arial" w:cs="Arial"/>
              </w:rPr>
              <w:t xml:space="preserve">iability cap, </w:t>
            </w:r>
            <w:r w:rsidR="0076213A" w:rsidRPr="58742590">
              <w:rPr>
                <w:rFonts w:ascii="Arial" w:hAnsi="Arial" w:cs="Arial"/>
              </w:rPr>
              <w:t>contract terms</w:t>
            </w:r>
            <w:r w:rsidR="0076213A" w:rsidRPr="428C28E2">
              <w:rPr>
                <w:rFonts w:ascii="Arial" w:hAnsi="Arial" w:cs="Arial"/>
              </w:rPr>
              <w:t>, delay damages, escrow account</w:t>
            </w:r>
          </w:p>
        </w:tc>
        <w:tc>
          <w:tcPr>
            <w:tcW w:w="1701" w:type="dxa"/>
            <w:tcBorders>
              <w:bottom w:val="single" w:sz="2" w:space="0" w:color="BFBFBF" w:themeColor="background1" w:themeShade="BF"/>
            </w:tcBorders>
            <w:shd w:val="clear" w:color="auto" w:fill="FFFFFF" w:themeFill="background1"/>
          </w:tcPr>
          <w:p w14:paraId="44E20978" w14:textId="06087E86" w:rsidR="0076213A" w:rsidRDefault="0076213A" w:rsidP="0076213A">
            <w:pPr>
              <w:rPr>
                <w:rFonts w:ascii="Arial" w:hAnsi="Arial" w:cs="Arial"/>
                <w:color w:val="000000"/>
              </w:rPr>
            </w:pPr>
            <w:r>
              <w:rPr>
                <w:rFonts w:ascii="Arial" w:hAnsi="Arial" w:cs="Arial"/>
                <w:color w:val="000000"/>
              </w:rPr>
              <w:t>Contractual arrangements, costs</w:t>
            </w:r>
          </w:p>
        </w:tc>
        <w:tc>
          <w:tcPr>
            <w:tcW w:w="1559" w:type="dxa"/>
            <w:tcBorders>
              <w:bottom w:val="single" w:sz="2" w:space="0" w:color="BFBFBF" w:themeColor="background1" w:themeShade="BF"/>
            </w:tcBorders>
            <w:shd w:val="clear" w:color="auto" w:fill="FFFFFF" w:themeFill="background1"/>
          </w:tcPr>
          <w:p w14:paraId="2E921198" w14:textId="76B1C2F1" w:rsidR="0076213A" w:rsidRPr="3A1E8CA1" w:rsidRDefault="0076213A" w:rsidP="0076213A">
            <w:r w:rsidRPr="004B44E8">
              <w:t xml:space="preserve">Market </w:t>
            </w:r>
            <w:r>
              <w:t>intelligence / market sensitive cost inputs</w:t>
            </w:r>
          </w:p>
        </w:tc>
        <w:tc>
          <w:tcPr>
            <w:tcW w:w="1985" w:type="dxa"/>
            <w:tcBorders>
              <w:bottom w:val="single" w:sz="2" w:space="0" w:color="BFBFBF" w:themeColor="background1" w:themeShade="BF"/>
            </w:tcBorders>
            <w:shd w:val="clear" w:color="auto" w:fill="FFFFFF" w:themeFill="background1"/>
          </w:tcPr>
          <w:p w14:paraId="34B9B542" w14:textId="67CB4599" w:rsidR="0076213A" w:rsidRPr="00384780" w:rsidRDefault="0076213A" w:rsidP="0076213A">
            <w:pPr>
              <w:rPr>
                <w:rFonts w:ascii="Arial" w:hAnsi="Arial" w:cs="Arial"/>
              </w:rPr>
            </w:pPr>
            <w:r>
              <w:rPr>
                <w:rFonts w:ascii="Arial" w:hAnsi="Arial" w:cs="Arial"/>
              </w:rPr>
              <w:t xml:space="preserve">This information is </w:t>
            </w:r>
            <w:r w:rsidRPr="40FF0F7F">
              <w:rPr>
                <w:rFonts w:ascii="Arial" w:hAnsi="Arial" w:cs="Arial"/>
              </w:rPr>
              <w:t xml:space="preserve">confidential and </w:t>
            </w:r>
            <w:r>
              <w:rPr>
                <w:rFonts w:ascii="Arial" w:hAnsi="Arial" w:cs="Arial"/>
              </w:rPr>
              <w:t>commercially sensitive to Transgrid</w:t>
            </w:r>
            <w:r w:rsidRPr="40FF0F7F">
              <w:rPr>
                <w:rFonts w:ascii="Arial" w:hAnsi="Arial" w:cs="Arial"/>
              </w:rPr>
              <w:t xml:space="preserve">, as it </w:t>
            </w:r>
            <w:r w:rsidRPr="62EE48A0">
              <w:rPr>
                <w:rFonts w:ascii="Arial" w:eastAsia="Arial" w:hAnsi="Arial" w:cs="Arial"/>
              </w:rPr>
              <w:t>describe</w:t>
            </w:r>
            <w:r>
              <w:rPr>
                <w:rFonts w:ascii="Arial" w:eastAsia="Arial" w:hAnsi="Arial" w:cs="Arial"/>
              </w:rPr>
              <w:t>s</w:t>
            </w:r>
            <w:r w:rsidRPr="62EE48A0">
              <w:rPr>
                <w:rFonts w:ascii="Arial" w:eastAsia="Arial" w:hAnsi="Arial" w:cs="Arial"/>
              </w:rPr>
              <w:t xml:space="preserve"> the contractual terms negotiated between Transgrid and Elecnor Australia in the ICC contract</w:t>
            </w:r>
            <w:r>
              <w:rPr>
                <w:rFonts w:ascii="Arial" w:hAnsi="Arial" w:cs="Arial"/>
              </w:rPr>
              <w:t>.</w:t>
            </w:r>
          </w:p>
        </w:tc>
        <w:tc>
          <w:tcPr>
            <w:tcW w:w="2551" w:type="dxa"/>
            <w:tcBorders>
              <w:bottom w:val="single" w:sz="2" w:space="0" w:color="BFBFBF" w:themeColor="background1" w:themeShade="BF"/>
            </w:tcBorders>
            <w:shd w:val="clear" w:color="auto" w:fill="FFFFFF" w:themeFill="background1"/>
          </w:tcPr>
          <w:p w14:paraId="536B71ED" w14:textId="69142DC4" w:rsidR="0076213A" w:rsidRDefault="0076213A" w:rsidP="0076213A">
            <w:pPr>
              <w:rPr>
                <w:rFonts w:ascii="Arial" w:hAnsi="Arial" w:cs="Arial"/>
              </w:rPr>
            </w:pPr>
            <w:r>
              <w:rPr>
                <w:rFonts w:ascii="Arial" w:eastAsia="Arial" w:hAnsi="Arial" w:cs="Arial"/>
              </w:rPr>
              <w:t xml:space="preserve">Revealing </w:t>
            </w:r>
            <w:r w:rsidRPr="60C7DC51">
              <w:rPr>
                <w:rFonts w:ascii="Arial" w:eastAsia="Arial" w:hAnsi="Arial" w:cs="Arial"/>
              </w:rPr>
              <w:t xml:space="preserve">commercially sensitive information negotiated </w:t>
            </w:r>
            <w:r w:rsidRPr="7E808D94">
              <w:rPr>
                <w:rFonts w:ascii="Arial" w:eastAsia="Arial" w:hAnsi="Arial" w:cs="Arial"/>
              </w:rPr>
              <w:t xml:space="preserve">between Transgrid and Elecnor Australia could </w:t>
            </w:r>
            <w:r w:rsidRPr="0F7E6869">
              <w:rPr>
                <w:rFonts w:ascii="Arial" w:eastAsia="Arial" w:hAnsi="Arial" w:cs="Arial"/>
              </w:rPr>
              <w:t>prejudice both</w:t>
            </w:r>
            <w:r w:rsidRPr="7E808D94">
              <w:rPr>
                <w:rFonts w:ascii="Arial" w:eastAsia="Arial" w:hAnsi="Arial" w:cs="Arial"/>
              </w:rPr>
              <w:t xml:space="preserve"> parties’ commercial interests </w:t>
            </w:r>
            <w:r>
              <w:rPr>
                <w:rFonts w:ascii="Arial" w:eastAsia="Arial" w:hAnsi="Arial" w:cs="Arial"/>
              </w:rPr>
              <w:t>in future negotiations with contractors</w:t>
            </w:r>
            <w:r w:rsidRPr="0F7E6869">
              <w:rPr>
                <w:rFonts w:ascii="Arial" w:eastAsia="Arial" w:hAnsi="Arial" w:cs="Arial"/>
              </w:rPr>
              <w:t>, as it discloses the nature of terms</w:t>
            </w:r>
            <w:r w:rsidRPr="428C28E2">
              <w:rPr>
                <w:rFonts w:ascii="Arial" w:eastAsia="Arial" w:hAnsi="Arial" w:cs="Arial"/>
              </w:rPr>
              <w:t xml:space="preserve"> (including contractual dispute mechanisms, performance assessments and commercial risk allocations) and</w:t>
            </w:r>
            <w:r w:rsidRPr="0F7E6869">
              <w:rPr>
                <w:rFonts w:ascii="Arial" w:eastAsia="Arial" w:hAnsi="Arial" w:cs="Arial"/>
              </w:rPr>
              <w:t xml:space="preserve"> costs </w:t>
            </w:r>
            <w:r w:rsidRPr="0F7E6869">
              <w:rPr>
                <w:rFonts w:ascii="Arial" w:eastAsia="Arial" w:hAnsi="Arial" w:cs="Arial"/>
              </w:rPr>
              <w:lastRenderedPageBreak/>
              <w:t xml:space="preserve">which the parties </w:t>
            </w:r>
            <w:r w:rsidRPr="428C28E2">
              <w:rPr>
                <w:rFonts w:ascii="Arial" w:eastAsia="Arial" w:hAnsi="Arial" w:cs="Arial"/>
              </w:rPr>
              <w:t>were</w:t>
            </w:r>
            <w:r w:rsidRPr="0F7E6869">
              <w:rPr>
                <w:rFonts w:ascii="Arial" w:eastAsia="Arial" w:hAnsi="Arial" w:cs="Arial"/>
              </w:rPr>
              <w:t xml:space="preserve"> willing to accept</w:t>
            </w:r>
            <w:r>
              <w:rPr>
                <w:rFonts w:ascii="Arial" w:eastAsia="Arial" w:hAnsi="Arial" w:cs="Arial"/>
              </w:rPr>
              <w:t>.</w:t>
            </w:r>
          </w:p>
        </w:tc>
        <w:tc>
          <w:tcPr>
            <w:tcW w:w="2552" w:type="dxa"/>
            <w:tcBorders>
              <w:bottom w:val="single" w:sz="2" w:space="0" w:color="BFBFBF" w:themeColor="background1" w:themeShade="BF"/>
            </w:tcBorders>
            <w:shd w:val="clear" w:color="auto" w:fill="FFFFFF" w:themeFill="background1"/>
          </w:tcPr>
          <w:p w14:paraId="5BFE7FD7" w14:textId="1EA291F1" w:rsidR="0076213A" w:rsidRPr="00384780" w:rsidRDefault="0076213A" w:rsidP="0076213A">
            <w:pPr>
              <w:rPr>
                <w:rFonts w:ascii="Arial" w:eastAsia="Arial" w:hAnsi="Arial" w:cs="Arial"/>
              </w:rPr>
            </w:pPr>
            <w:r w:rsidRPr="004E4393">
              <w:rPr>
                <w:rFonts w:ascii="Arial" w:eastAsia="Arial" w:hAnsi="Arial" w:cs="Arial"/>
              </w:rPr>
              <w:lastRenderedPageBreak/>
              <w:t xml:space="preserve">Transgrid successfully negotiated </w:t>
            </w:r>
            <w:proofErr w:type="gramStart"/>
            <w:r w:rsidRPr="004E4393">
              <w:rPr>
                <w:rFonts w:ascii="Arial" w:eastAsia="Arial" w:hAnsi="Arial" w:cs="Arial"/>
              </w:rPr>
              <w:t>a number of</w:t>
            </w:r>
            <w:proofErr w:type="gramEnd"/>
            <w:r w:rsidRPr="004E4393">
              <w:rPr>
                <w:rFonts w:ascii="Arial" w:eastAsia="Arial" w:hAnsi="Arial" w:cs="Arial"/>
              </w:rPr>
              <w:t xml:space="preserve"> </w:t>
            </w:r>
            <w:r w:rsidRPr="544263D8">
              <w:rPr>
                <w:rFonts w:ascii="Arial" w:eastAsia="Arial" w:hAnsi="Arial" w:cs="Arial"/>
              </w:rPr>
              <w:t xml:space="preserve">terms under the ICC Contract to ensure the ongoing delivery of the PEC, to the overall benefit of consumers. Disclosure of specific </w:t>
            </w:r>
            <w:r w:rsidRPr="428C28E2">
              <w:rPr>
                <w:rFonts w:ascii="Arial" w:eastAsia="Arial" w:hAnsi="Arial" w:cs="Arial"/>
              </w:rPr>
              <w:t xml:space="preserve">terms </w:t>
            </w:r>
            <w:r w:rsidRPr="544263D8">
              <w:rPr>
                <w:rFonts w:ascii="Arial" w:eastAsia="Arial" w:hAnsi="Arial" w:cs="Arial"/>
              </w:rPr>
              <w:t xml:space="preserve">and </w:t>
            </w:r>
            <w:r w:rsidRPr="428C28E2">
              <w:rPr>
                <w:rFonts w:ascii="Arial" w:eastAsia="Arial" w:hAnsi="Arial" w:cs="Arial"/>
              </w:rPr>
              <w:t>costs</w:t>
            </w:r>
            <w:r w:rsidRPr="544263D8">
              <w:rPr>
                <w:rFonts w:ascii="Arial" w:eastAsia="Arial" w:hAnsi="Arial" w:cs="Arial"/>
              </w:rPr>
              <w:t xml:space="preserve"> would not</w:t>
            </w:r>
            <w:r w:rsidRPr="004E4393">
              <w:rPr>
                <w:rFonts w:ascii="Arial" w:eastAsia="Arial" w:hAnsi="Arial" w:cs="Arial"/>
              </w:rPr>
              <w:t xml:space="preserve"> provide meaningful public benefit</w:t>
            </w:r>
            <w:r w:rsidRPr="544263D8">
              <w:rPr>
                <w:rFonts w:ascii="Arial" w:eastAsia="Arial" w:hAnsi="Arial" w:cs="Arial"/>
              </w:rPr>
              <w:t xml:space="preserve"> where Transgrid’s decision-making process in respect of the ICC Contract is otherwise explained in narrative form in the E3 report </w:t>
            </w:r>
            <w:r w:rsidRPr="544263D8">
              <w:rPr>
                <w:rFonts w:ascii="Arial" w:eastAsia="Arial" w:hAnsi="Arial" w:cs="Arial"/>
              </w:rPr>
              <w:lastRenderedPageBreak/>
              <w:t xml:space="preserve">(and Main Application, Attachments and other Appendices). However, Transgrid and Elecnor Australia would face significant commercial detriment, as disclosure could </w:t>
            </w:r>
            <w:r w:rsidRPr="004E4393">
              <w:rPr>
                <w:rFonts w:ascii="Arial" w:eastAsia="Arial" w:hAnsi="Arial" w:cs="Arial"/>
              </w:rPr>
              <w:t xml:space="preserve">undermine </w:t>
            </w:r>
            <w:r w:rsidRPr="544263D8">
              <w:rPr>
                <w:rFonts w:ascii="Arial" w:eastAsia="Arial" w:hAnsi="Arial" w:cs="Arial"/>
              </w:rPr>
              <w:t xml:space="preserve">Transgrid and Elecnor Australia’s </w:t>
            </w:r>
            <w:r w:rsidRPr="004E4393">
              <w:rPr>
                <w:rFonts w:ascii="Arial" w:eastAsia="Arial" w:hAnsi="Arial" w:cs="Arial"/>
              </w:rPr>
              <w:t xml:space="preserve">ability to negotiate effectively </w:t>
            </w:r>
            <w:r w:rsidRPr="0D6F4280">
              <w:rPr>
                <w:rFonts w:ascii="Arial" w:eastAsia="Arial" w:hAnsi="Arial" w:cs="Arial"/>
              </w:rPr>
              <w:t xml:space="preserve">and obtain competitive terms </w:t>
            </w:r>
            <w:r w:rsidRPr="004E4393">
              <w:rPr>
                <w:rFonts w:ascii="Arial" w:eastAsia="Arial" w:hAnsi="Arial" w:cs="Arial"/>
              </w:rPr>
              <w:t>in future commercial engagements</w:t>
            </w:r>
            <w:r w:rsidRPr="544263D8">
              <w:rPr>
                <w:rFonts w:ascii="Arial" w:eastAsia="Arial" w:hAnsi="Arial" w:cs="Arial"/>
              </w:rPr>
              <w:t xml:space="preserve"> to maintain consumer affordability. </w:t>
            </w:r>
          </w:p>
        </w:tc>
        <w:tc>
          <w:tcPr>
            <w:tcW w:w="1275" w:type="dxa"/>
            <w:tcBorders>
              <w:bottom w:val="single" w:sz="2" w:space="0" w:color="BFBFBF" w:themeColor="background1" w:themeShade="BF"/>
            </w:tcBorders>
            <w:shd w:val="clear" w:color="auto" w:fill="FFFFFF" w:themeFill="background1"/>
          </w:tcPr>
          <w:p w14:paraId="4D7B46C7" w14:textId="01A6D19D" w:rsidR="0076213A" w:rsidRPr="462BED03" w:rsidRDefault="0076213A" w:rsidP="0076213A">
            <w:pPr>
              <w:rPr>
                <w:rFonts w:ascii="Arial" w:hAnsi="Arial" w:cs="Arial"/>
              </w:rPr>
            </w:pPr>
            <w:r w:rsidRPr="358799A6">
              <w:rPr>
                <w:rFonts w:ascii="Arial" w:hAnsi="Arial" w:cs="Arial"/>
              </w:rPr>
              <w:lastRenderedPageBreak/>
              <w:t>11 pages</w:t>
            </w:r>
          </w:p>
        </w:tc>
      </w:tr>
      <w:tr w:rsidR="0076213A" w:rsidRPr="00BF5F1E" w14:paraId="597291FA" w14:textId="77777777" w:rsidTr="009B4B47">
        <w:trPr>
          <w:cantSplit/>
          <w:trHeight w:val="300"/>
        </w:trPr>
        <w:tc>
          <w:tcPr>
            <w:tcW w:w="2124" w:type="dxa"/>
            <w:tcBorders>
              <w:bottom w:val="single" w:sz="2" w:space="0" w:color="BFBFBF" w:themeColor="background1" w:themeShade="BF"/>
            </w:tcBorders>
          </w:tcPr>
          <w:p w14:paraId="7BC27ECF" w14:textId="1F72C830" w:rsidR="0076213A" w:rsidRPr="00AB0D1B" w:rsidRDefault="0076213A" w:rsidP="0076213A">
            <w:pPr>
              <w:spacing w:after="120"/>
              <w:contextualSpacing/>
              <w:rPr>
                <w:rFonts w:ascii="Arial" w:eastAsiaTheme="majorEastAsia" w:hAnsi="Arial" w:cs="Arial"/>
                <w:lang w:eastAsia="en-AU"/>
              </w:rPr>
            </w:pPr>
            <w:r w:rsidRPr="00AB0D1B">
              <w:rPr>
                <w:rFonts w:ascii="Arial" w:eastAsiaTheme="majorEastAsia" w:hAnsi="Arial" w:cs="Arial"/>
                <w:lang w:eastAsia="en-AU"/>
              </w:rPr>
              <w:t xml:space="preserve">The following locations in the document: </w:t>
            </w:r>
          </w:p>
          <w:p w14:paraId="492F876A" w14:textId="3D86AD1A" w:rsidR="0076213A" w:rsidRPr="00AB0D1B" w:rsidRDefault="0076213A" w:rsidP="0076213A">
            <w:pPr>
              <w:pStyle w:val="ListParagraph"/>
              <w:numPr>
                <w:ilvl w:val="0"/>
                <w:numId w:val="14"/>
              </w:numPr>
              <w:spacing w:after="120"/>
              <w:ind w:left="414" w:hanging="357"/>
              <w:rPr>
                <w:rFonts w:ascii="Arial" w:eastAsiaTheme="majorEastAsia" w:hAnsi="Arial" w:cs="Arial"/>
                <w:lang w:eastAsia="en-AU"/>
              </w:rPr>
            </w:pPr>
            <w:r w:rsidRPr="00AB0D1B">
              <w:rPr>
                <w:rFonts w:ascii="Arial" w:eastAsiaTheme="majorEastAsia" w:hAnsi="Arial" w:cs="Arial"/>
                <w:lang w:eastAsia="en-AU"/>
              </w:rPr>
              <w:t>Section 1.4, p 5</w:t>
            </w:r>
          </w:p>
          <w:p w14:paraId="43CAA45D" w14:textId="1FC994E1" w:rsidR="0076213A" w:rsidRPr="00AB0D1B" w:rsidRDefault="0076213A" w:rsidP="0076213A">
            <w:pPr>
              <w:pStyle w:val="ListParagraph"/>
              <w:numPr>
                <w:ilvl w:val="0"/>
                <w:numId w:val="14"/>
              </w:numPr>
              <w:spacing w:after="120"/>
              <w:ind w:left="414" w:hanging="357"/>
              <w:rPr>
                <w:rFonts w:ascii="Arial" w:eastAsiaTheme="majorEastAsia" w:hAnsi="Arial" w:cs="Arial"/>
                <w:lang w:eastAsia="en-AU"/>
              </w:rPr>
            </w:pPr>
            <w:r w:rsidRPr="00AB0D1B">
              <w:rPr>
                <w:rFonts w:ascii="Arial" w:eastAsiaTheme="majorEastAsia" w:hAnsi="Arial" w:cs="Arial"/>
                <w:lang w:eastAsia="en-AU"/>
              </w:rPr>
              <w:t xml:space="preserve">Section 2.7, pp 12-13 </w:t>
            </w:r>
          </w:p>
          <w:p w14:paraId="7B1CCD4B" w14:textId="29BBFE32" w:rsidR="0076213A" w:rsidRPr="00AB0D1B" w:rsidRDefault="0076213A" w:rsidP="0076213A">
            <w:pPr>
              <w:pStyle w:val="ListParagraph"/>
              <w:numPr>
                <w:ilvl w:val="0"/>
                <w:numId w:val="14"/>
              </w:numPr>
              <w:spacing w:after="120"/>
              <w:ind w:left="414" w:hanging="357"/>
              <w:rPr>
                <w:rFonts w:ascii="Arial" w:eastAsiaTheme="majorEastAsia" w:hAnsi="Arial" w:cs="Arial"/>
                <w:lang w:eastAsia="en-AU"/>
              </w:rPr>
            </w:pPr>
            <w:r w:rsidRPr="00AB0D1B">
              <w:rPr>
                <w:rFonts w:ascii="Arial" w:eastAsiaTheme="majorEastAsia" w:hAnsi="Arial" w:cs="Arial"/>
                <w:lang w:eastAsia="en-AU"/>
              </w:rPr>
              <w:t>Section 2.7.2, p 15</w:t>
            </w:r>
          </w:p>
          <w:p w14:paraId="35D7ED26" w14:textId="3A6F9921" w:rsidR="0076213A" w:rsidRPr="00AB0D1B" w:rsidRDefault="0076213A" w:rsidP="0076213A">
            <w:pPr>
              <w:pStyle w:val="ListParagraph"/>
              <w:numPr>
                <w:ilvl w:val="0"/>
                <w:numId w:val="14"/>
              </w:numPr>
              <w:spacing w:after="120"/>
              <w:ind w:left="414" w:hanging="357"/>
              <w:rPr>
                <w:rFonts w:ascii="Arial" w:eastAsiaTheme="majorEastAsia" w:hAnsi="Arial" w:cs="Arial"/>
                <w:lang w:eastAsia="en-AU"/>
              </w:rPr>
            </w:pPr>
            <w:r w:rsidRPr="00AB0D1B">
              <w:rPr>
                <w:rFonts w:ascii="Arial" w:eastAsiaTheme="majorEastAsia" w:hAnsi="Arial" w:cs="Arial"/>
                <w:lang w:eastAsia="en-AU"/>
              </w:rPr>
              <w:t>Section 2.7.4, pp 16-17</w:t>
            </w:r>
          </w:p>
          <w:p w14:paraId="3F8E60C7" w14:textId="705DCD7A" w:rsidR="0076213A" w:rsidRPr="00AB0D1B" w:rsidRDefault="0076213A" w:rsidP="0076213A">
            <w:pPr>
              <w:pStyle w:val="ListParagraph"/>
              <w:numPr>
                <w:ilvl w:val="0"/>
                <w:numId w:val="14"/>
              </w:numPr>
              <w:spacing w:after="120"/>
              <w:ind w:left="414" w:hanging="357"/>
              <w:rPr>
                <w:rFonts w:ascii="Arial" w:eastAsiaTheme="majorEastAsia" w:hAnsi="Arial" w:cs="Arial"/>
                <w:lang w:eastAsia="en-AU"/>
              </w:rPr>
            </w:pPr>
            <w:r w:rsidRPr="00AB0D1B">
              <w:rPr>
                <w:rFonts w:ascii="Arial" w:eastAsiaTheme="majorEastAsia" w:hAnsi="Arial" w:cs="Arial"/>
                <w:lang w:eastAsia="en-AU"/>
              </w:rPr>
              <w:t>Section 2.7.6, p 18</w:t>
            </w:r>
          </w:p>
          <w:p w14:paraId="081E8CEC" w14:textId="32D3A41D" w:rsidR="0076213A" w:rsidRPr="00AB0D1B" w:rsidRDefault="0076213A" w:rsidP="0076213A">
            <w:pPr>
              <w:pStyle w:val="ListParagraph"/>
              <w:numPr>
                <w:ilvl w:val="0"/>
                <w:numId w:val="14"/>
              </w:numPr>
              <w:spacing w:after="120"/>
              <w:ind w:left="414" w:hanging="357"/>
              <w:rPr>
                <w:rFonts w:ascii="Arial" w:eastAsiaTheme="majorEastAsia" w:hAnsi="Arial" w:cs="Arial"/>
                <w:lang w:eastAsia="en-AU"/>
              </w:rPr>
            </w:pPr>
            <w:r w:rsidRPr="00AB0D1B">
              <w:rPr>
                <w:rFonts w:ascii="Arial" w:eastAsiaTheme="majorEastAsia" w:hAnsi="Arial" w:cs="Arial"/>
                <w:lang w:eastAsia="en-AU"/>
              </w:rPr>
              <w:t xml:space="preserve">Section 3.4, p 22 </w:t>
            </w:r>
          </w:p>
          <w:p w14:paraId="00EE03C8" w14:textId="6DBD5198" w:rsidR="0076213A" w:rsidRPr="00AB0D1B" w:rsidRDefault="0076213A" w:rsidP="0076213A">
            <w:pPr>
              <w:pStyle w:val="ListParagraph"/>
              <w:numPr>
                <w:ilvl w:val="0"/>
                <w:numId w:val="14"/>
              </w:numPr>
              <w:spacing w:after="120"/>
              <w:ind w:left="414" w:hanging="357"/>
              <w:rPr>
                <w:rFonts w:ascii="Arial" w:eastAsiaTheme="majorEastAsia" w:hAnsi="Arial" w:cs="Arial"/>
                <w:lang w:eastAsia="en-AU"/>
              </w:rPr>
            </w:pPr>
            <w:r w:rsidRPr="00AB0D1B">
              <w:rPr>
                <w:rFonts w:ascii="Arial" w:eastAsiaTheme="majorEastAsia" w:hAnsi="Arial" w:cs="Arial"/>
                <w:lang w:eastAsia="en-AU"/>
              </w:rPr>
              <w:t>Section 3.10, pp 24-25</w:t>
            </w:r>
          </w:p>
          <w:p w14:paraId="37E2E415" w14:textId="5777F7D8" w:rsidR="0076213A" w:rsidRPr="00AB0D1B" w:rsidRDefault="0076213A" w:rsidP="0076213A">
            <w:pPr>
              <w:pStyle w:val="ListParagraph"/>
              <w:numPr>
                <w:ilvl w:val="0"/>
                <w:numId w:val="14"/>
              </w:numPr>
              <w:spacing w:after="120"/>
              <w:ind w:left="414" w:hanging="357"/>
              <w:rPr>
                <w:rFonts w:ascii="Arial" w:eastAsiaTheme="majorEastAsia" w:hAnsi="Arial" w:cs="Arial"/>
                <w:lang w:eastAsia="en-AU"/>
              </w:rPr>
            </w:pPr>
            <w:r w:rsidRPr="00AB0D1B">
              <w:rPr>
                <w:rFonts w:ascii="Arial" w:eastAsiaTheme="majorEastAsia" w:hAnsi="Arial" w:cs="Arial"/>
                <w:lang w:eastAsia="en-AU"/>
              </w:rPr>
              <w:lastRenderedPageBreak/>
              <w:t>Section 3.11, p 25</w:t>
            </w:r>
          </w:p>
        </w:tc>
        <w:tc>
          <w:tcPr>
            <w:tcW w:w="1559" w:type="dxa"/>
            <w:tcBorders>
              <w:bottom w:val="single" w:sz="2" w:space="0" w:color="BFBFBF" w:themeColor="background1" w:themeShade="BF"/>
            </w:tcBorders>
          </w:tcPr>
          <w:p w14:paraId="1654BC3E" w14:textId="462C9FD4" w:rsidR="0076213A" w:rsidRPr="00AB0D1B" w:rsidRDefault="0076213A" w:rsidP="0076213A">
            <w:pPr>
              <w:rPr>
                <w:rFonts w:ascii="Arial" w:hAnsi="Arial" w:cs="Arial"/>
                <w:color w:val="000000"/>
              </w:rPr>
            </w:pPr>
            <w:r>
              <w:rPr>
                <w:rFonts w:ascii="Arial" w:hAnsi="Arial" w:cs="Arial"/>
              </w:rPr>
              <w:lastRenderedPageBreak/>
              <w:t>Contract terms</w:t>
            </w:r>
          </w:p>
        </w:tc>
        <w:tc>
          <w:tcPr>
            <w:tcW w:w="1701" w:type="dxa"/>
            <w:tcBorders>
              <w:bottom w:val="single" w:sz="2" w:space="0" w:color="BFBFBF" w:themeColor="background1" w:themeShade="BF"/>
            </w:tcBorders>
          </w:tcPr>
          <w:p w14:paraId="4BC65C5B" w14:textId="38FC69DF" w:rsidR="0076213A" w:rsidRPr="004F2175" w:rsidRDefault="0076213A" w:rsidP="0076213A">
            <w:pPr>
              <w:rPr>
                <w:rFonts w:ascii="Arial" w:hAnsi="Arial" w:cs="Arial"/>
                <w:color w:val="000000"/>
              </w:rPr>
            </w:pPr>
            <w:r>
              <w:rPr>
                <w:rFonts w:ascii="Arial" w:hAnsi="Arial" w:cs="Arial"/>
              </w:rPr>
              <w:t>Contractor information</w:t>
            </w:r>
          </w:p>
        </w:tc>
        <w:tc>
          <w:tcPr>
            <w:tcW w:w="1559" w:type="dxa"/>
            <w:tcBorders>
              <w:bottom w:val="single" w:sz="2" w:space="0" w:color="BFBFBF" w:themeColor="background1" w:themeShade="BF"/>
            </w:tcBorders>
          </w:tcPr>
          <w:p w14:paraId="13D1F3FD" w14:textId="22F271B5" w:rsidR="0076213A" w:rsidRPr="004F2175" w:rsidRDefault="0076213A" w:rsidP="0076213A">
            <w:pPr>
              <w:rPr>
                <w:rFonts w:ascii="Arial" w:hAnsi="Arial" w:cs="Arial"/>
              </w:rPr>
            </w:pPr>
            <w:r w:rsidRPr="004F2175">
              <w:rPr>
                <w:rFonts w:ascii="Arial" w:hAnsi="Arial" w:cs="Arial"/>
              </w:rPr>
              <w:t>Market intelligence / other – third-party confidentiality</w:t>
            </w:r>
          </w:p>
        </w:tc>
        <w:tc>
          <w:tcPr>
            <w:tcW w:w="1985" w:type="dxa"/>
            <w:tcBorders>
              <w:bottom w:val="single" w:sz="2" w:space="0" w:color="BFBFBF" w:themeColor="background1" w:themeShade="BF"/>
            </w:tcBorders>
          </w:tcPr>
          <w:p w14:paraId="11647944" w14:textId="0C56A672" w:rsidR="0076213A" w:rsidRPr="00DA1E80" w:rsidRDefault="0076213A" w:rsidP="0076213A">
            <w:pPr>
              <w:rPr>
                <w:rFonts w:ascii="Arial" w:hAnsi="Arial" w:cs="Arial"/>
              </w:rPr>
            </w:pPr>
            <w:r w:rsidRPr="00DA1E80">
              <w:rPr>
                <w:rFonts w:ascii="Arial" w:hAnsi="Arial" w:cs="Arial"/>
              </w:rPr>
              <w:t>Elecnor Australia maintains that the information is highly commercially and legally sensitive, disclosure of which may prejudice Elecnor Australia’s legal position</w:t>
            </w:r>
            <w:r>
              <w:rPr>
                <w:rFonts w:ascii="Arial" w:hAnsi="Arial" w:cs="Arial"/>
              </w:rPr>
              <w:t>.</w:t>
            </w:r>
          </w:p>
          <w:p w14:paraId="7889FE15" w14:textId="490F5320" w:rsidR="0076213A" w:rsidRPr="004F2175" w:rsidRDefault="0076213A" w:rsidP="0076213A">
            <w:pPr>
              <w:rPr>
                <w:rFonts w:ascii="Arial" w:hAnsi="Arial" w:cs="Arial"/>
              </w:rPr>
            </w:pPr>
          </w:p>
        </w:tc>
        <w:tc>
          <w:tcPr>
            <w:tcW w:w="2551" w:type="dxa"/>
            <w:tcBorders>
              <w:bottom w:val="single" w:sz="2" w:space="0" w:color="BFBFBF" w:themeColor="background1" w:themeShade="BF"/>
            </w:tcBorders>
          </w:tcPr>
          <w:p w14:paraId="5F36EBC7" w14:textId="04A4E3BF" w:rsidR="0076213A" w:rsidRPr="002F4278" w:rsidRDefault="0076213A" w:rsidP="0076213A">
            <w:pPr>
              <w:rPr>
                <w:rFonts w:ascii="Arial" w:hAnsi="Arial" w:cs="Arial"/>
              </w:rPr>
            </w:pPr>
            <w:r w:rsidRPr="002F4278">
              <w:rPr>
                <w:rFonts w:ascii="Arial" w:hAnsi="Arial" w:cs="Arial"/>
              </w:rPr>
              <w:t>Revealing this information may prejudice Elecnor Australia’s legal position</w:t>
            </w:r>
            <w:r>
              <w:rPr>
                <w:rFonts w:ascii="Arial" w:hAnsi="Arial" w:cs="Arial"/>
              </w:rPr>
              <w:t>.</w:t>
            </w:r>
          </w:p>
          <w:p w14:paraId="60E56F47" w14:textId="187396E7" w:rsidR="0076213A" w:rsidRPr="004F2175" w:rsidRDefault="0076213A" w:rsidP="0076213A">
            <w:pPr>
              <w:rPr>
                <w:rFonts w:ascii="Arial" w:hAnsi="Arial" w:cs="Arial"/>
              </w:rPr>
            </w:pPr>
          </w:p>
        </w:tc>
        <w:tc>
          <w:tcPr>
            <w:tcW w:w="2552" w:type="dxa"/>
            <w:tcBorders>
              <w:bottom w:val="single" w:sz="2" w:space="0" w:color="BFBFBF" w:themeColor="background1" w:themeShade="BF"/>
            </w:tcBorders>
          </w:tcPr>
          <w:p w14:paraId="5CEAD62D" w14:textId="2BC718A1" w:rsidR="0076213A" w:rsidRPr="004F2175" w:rsidRDefault="0076213A" w:rsidP="0076213A">
            <w:pPr>
              <w:rPr>
                <w:rFonts w:ascii="Arial" w:hAnsi="Arial" w:cs="Arial"/>
              </w:rPr>
            </w:pPr>
            <w:r w:rsidRPr="004F2175">
              <w:rPr>
                <w:rFonts w:ascii="Arial" w:hAnsi="Arial" w:cs="Arial"/>
              </w:rPr>
              <w:t>Disclosure would outweigh any potential public interest, given the considerable prejudice to Elecno</w:t>
            </w:r>
            <w:r w:rsidR="00CA1907">
              <w:rPr>
                <w:rFonts w:ascii="Arial" w:hAnsi="Arial" w:cs="Arial"/>
              </w:rPr>
              <w:t>r</w:t>
            </w:r>
            <w:r>
              <w:rPr>
                <w:rFonts w:ascii="Arial" w:hAnsi="Arial" w:cs="Arial"/>
              </w:rPr>
              <w:t xml:space="preserve"> Australia</w:t>
            </w:r>
            <w:r w:rsidRPr="004F2175">
              <w:rPr>
                <w:rFonts w:ascii="Arial" w:hAnsi="Arial" w:cs="Arial"/>
              </w:rPr>
              <w:t xml:space="preserve">. </w:t>
            </w:r>
            <w:r w:rsidRPr="004F2175">
              <w:rPr>
                <w:rFonts w:ascii="Arial" w:eastAsia="Arial" w:hAnsi="Arial" w:cs="Arial"/>
              </w:rPr>
              <w:t xml:space="preserve"> </w:t>
            </w:r>
          </w:p>
        </w:tc>
        <w:tc>
          <w:tcPr>
            <w:tcW w:w="1275" w:type="dxa"/>
            <w:tcBorders>
              <w:bottom w:val="single" w:sz="2" w:space="0" w:color="BFBFBF" w:themeColor="background1" w:themeShade="BF"/>
            </w:tcBorders>
          </w:tcPr>
          <w:p w14:paraId="5907B70D" w14:textId="379C795C" w:rsidR="0076213A" w:rsidRPr="462BED03" w:rsidRDefault="0076213A" w:rsidP="0076213A">
            <w:pPr>
              <w:rPr>
                <w:rFonts w:ascii="Arial" w:hAnsi="Arial" w:cs="Arial"/>
              </w:rPr>
            </w:pPr>
            <w:r w:rsidRPr="358799A6">
              <w:rPr>
                <w:rFonts w:ascii="Arial" w:hAnsi="Arial" w:cs="Arial"/>
              </w:rPr>
              <w:t>5 pages</w:t>
            </w:r>
          </w:p>
        </w:tc>
      </w:tr>
      <w:tr w:rsidR="0076213A" w:rsidRPr="00BF5F1E" w14:paraId="7DCFCCF1" w14:textId="77777777" w:rsidTr="009B4B47">
        <w:trPr>
          <w:cantSplit/>
          <w:trHeight w:val="300"/>
        </w:trPr>
        <w:tc>
          <w:tcPr>
            <w:tcW w:w="2124" w:type="dxa"/>
            <w:tcBorders>
              <w:bottom w:val="single" w:sz="2" w:space="0" w:color="BFBFBF" w:themeColor="background1" w:themeShade="BF"/>
            </w:tcBorders>
          </w:tcPr>
          <w:p w14:paraId="1BB4F0C1" w14:textId="71224B5F" w:rsidR="0076213A" w:rsidRDefault="0076213A" w:rsidP="0076213A">
            <w:pPr>
              <w:spacing w:after="120"/>
              <w:contextualSpacing/>
              <w:rPr>
                <w:rFonts w:ascii="Arial" w:eastAsiaTheme="majorEastAsia" w:hAnsi="Arial" w:cs="Arial"/>
                <w:lang w:eastAsia="en-AU"/>
              </w:rPr>
            </w:pPr>
            <w:r w:rsidRPr="14DA08B3">
              <w:rPr>
                <w:rFonts w:ascii="Arial" w:eastAsiaTheme="majorEastAsia" w:hAnsi="Arial" w:cs="Arial"/>
                <w:lang w:eastAsia="en-AU"/>
              </w:rPr>
              <w:t>The following locations in this document:</w:t>
            </w:r>
          </w:p>
          <w:p w14:paraId="385DBE3A" w14:textId="5DACDB8A" w:rsidR="0076213A" w:rsidRDefault="0076213A" w:rsidP="0076213A">
            <w:pPr>
              <w:pStyle w:val="ListParagraph"/>
              <w:numPr>
                <w:ilvl w:val="0"/>
                <w:numId w:val="18"/>
              </w:numPr>
              <w:spacing w:after="120"/>
              <w:ind w:left="357" w:hanging="357"/>
              <w:rPr>
                <w:rFonts w:ascii="Arial" w:eastAsiaTheme="majorEastAsia" w:hAnsi="Arial" w:cs="Arial"/>
                <w:lang w:eastAsia="en-AU"/>
              </w:rPr>
            </w:pPr>
            <w:r w:rsidRPr="14DA08B3">
              <w:rPr>
                <w:rFonts w:ascii="Arial" w:eastAsiaTheme="majorEastAsia" w:hAnsi="Arial" w:cs="Arial"/>
                <w:lang w:eastAsia="en-AU"/>
              </w:rPr>
              <w:t>Section</w:t>
            </w:r>
            <w:r>
              <w:rPr>
                <w:rFonts w:ascii="Arial" w:eastAsiaTheme="majorEastAsia" w:hAnsi="Arial" w:cs="Arial"/>
                <w:lang w:eastAsia="en-AU"/>
              </w:rPr>
              <w:t xml:space="preserve"> 2.7.1, </w:t>
            </w:r>
            <w:r w:rsidRPr="1EF88600">
              <w:rPr>
                <w:rFonts w:ascii="Arial" w:eastAsiaTheme="majorEastAsia" w:hAnsi="Arial" w:cs="Arial"/>
                <w:lang w:eastAsia="en-AU"/>
              </w:rPr>
              <w:t>p 13</w:t>
            </w:r>
          </w:p>
          <w:p w14:paraId="1AE8BE2A" w14:textId="536152FF" w:rsidR="0076213A" w:rsidRDefault="0076213A" w:rsidP="0076213A">
            <w:pPr>
              <w:pStyle w:val="ListParagraph"/>
              <w:numPr>
                <w:ilvl w:val="0"/>
                <w:numId w:val="18"/>
              </w:numPr>
              <w:spacing w:after="120"/>
              <w:ind w:left="357" w:hanging="357"/>
              <w:rPr>
                <w:lang w:eastAsia="en-AU"/>
              </w:rPr>
            </w:pPr>
            <w:r w:rsidRPr="255FAAB0">
              <w:rPr>
                <w:rFonts w:ascii="Arial" w:eastAsiaTheme="majorEastAsia" w:hAnsi="Arial" w:cs="Arial"/>
                <w:lang w:eastAsia="en-AU"/>
              </w:rPr>
              <w:t xml:space="preserve">Section 2.7.4, </w:t>
            </w:r>
            <w:r w:rsidRPr="60126F70">
              <w:rPr>
                <w:rFonts w:ascii="Arial" w:eastAsiaTheme="majorEastAsia" w:hAnsi="Arial" w:cs="Arial"/>
                <w:lang w:eastAsia="en-AU"/>
              </w:rPr>
              <w:t xml:space="preserve">p </w:t>
            </w:r>
            <w:r w:rsidR="004F50B6">
              <w:rPr>
                <w:rFonts w:ascii="Arial" w:eastAsiaTheme="majorEastAsia" w:hAnsi="Arial" w:cs="Arial"/>
                <w:lang w:eastAsia="en-AU"/>
              </w:rPr>
              <w:t xml:space="preserve">16, </w:t>
            </w:r>
            <w:r w:rsidRPr="60126F70">
              <w:rPr>
                <w:rFonts w:ascii="Arial" w:eastAsiaTheme="majorEastAsia" w:hAnsi="Arial" w:cs="Arial"/>
                <w:lang w:eastAsia="en-AU"/>
              </w:rPr>
              <w:t>17</w:t>
            </w:r>
          </w:p>
          <w:p w14:paraId="74C8F804" w14:textId="77777777" w:rsidR="0076213A" w:rsidRDefault="0076213A" w:rsidP="0076213A">
            <w:pPr>
              <w:pStyle w:val="ListParagraph"/>
              <w:numPr>
                <w:ilvl w:val="0"/>
                <w:numId w:val="18"/>
              </w:numPr>
              <w:spacing w:after="120"/>
              <w:ind w:left="357" w:hanging="357"/>
              <w:rPr>
                <w:rFonts w:ascii="Arial" w:eastAsiaTheme="majorEastAsia" w:hAnsi="Arial" w:cs="Arial"/>
                <w:lang w:eastAsia="en-AU"/>
              </w:rPr>
            </w:pPr>
            <w:r w:rsidRPr="255FAAB0">
              <w:rPr>
                <w:rFonts w:ascii="Arial" w:eastAsiaTheme="majorEastAsia" w:hAnsi="Arial" w:cs="Arial"/>
                <w:lang w:eastAsia="en-AU"/>
              </w:rPr>
              <w:t xml:space="preserve">Section 2.7.5, </w:t>
            </w:r>
            <w:r w:rsidRPr="5D81779B">
              <w:rPr>
                <w:rFonts w:ascii="Arial" w:eastAsiaTheme="majorEastAsia" w:hAnsi="Arial" w:cs="Arial"/>
                <w:lang w:eastAsia="en-AU"/>
              </w:rPr>
              <w:t>p 17</w:t>
            </w:r>
          </w:p>
          <w:p w14:paraId="597A38CD" w14:textId="50443AA6" w:rsidR="00BB262A" w:rsidRDefault="00BB262A" w:rsidP="0076213A">
            <w:pPr>
              <w:pStyle w:val="ListParagraph"/>
              <w:numPr>
                <w:ilvl w:val="0"/>
                <w:numId w:val="18"/>
              </w:numPr>
              <w:spacing w:after="120"/>
              <w:ind w:left="357" w:hanging="357"/>
              <w:rPr>
                <w:rFonts w:ascii="Arial" w:eastAsiaTheme="majorEastAsia" w:hAnsi="Arial" w:cs="Arial"/>
                <w:lang w:eastAsia="en-AU"/>
              </w:rPr>
            </w:pPr>
            <w:r>
              <w:rPr>
                <w:rFonts w:ascii="Arial" w:eastAsiaTheme="majorEastAsia" w:hAnsi="Arial" w:cs="Arial"/>
                <w:lang w:eastAsia="en-AU"/>
              </w:rPr>
              <w:t>Section 2.</w:t>
            </w:r>
            <w:r w:rsidR="006F1006">
              <w:rPr>
                <w:rFonts w:ascii="Arial" w:eastAsiaTheme="majorEastAsia" w:hAnsi="Arial" w:cs="Arial"/>
                <w:lang w:eastAsia="en-AU"/>
              </w:rPr>
              <w:t>8 Delivery Timing, p 20</w:t>
            </w:r>
          </w:p>
        </w:tc>
        <w:tc>
          <w:tcPr>
            <w:tcW w:w="1559" w:type="dxa"/>
            <w:tcBorders>
              <w:bottom w:val="single" w:sz="2" w:space="0" w:color="BFBFBF" w:themeColor="background1" w:themeShade="BF"/>
            </w:tcBorders>
          </w:tcPr>
          <w:p w14:paraId="40E1F63A" w14:textId="75912898" w:rsidR="0076213A" w:rsidRPr="0E6CE5F7" w:rsidRDefault="0076213A" w:rsidP="0076213A">
            <w:pPr>
              <w:rPr>
                <w:rFonts w:ascii="Arial" w:hAnsi="Arial" w:cs="Arial"/>
              </w:rPr>
            </w:pPr>
            <w:r w:rsidRPr="53811AE5">
              <w:rPr>
                <w:rFonts w:ascii="Arial" w:hAnsi="Arial" w:cs="Arial"/>
              </w:rPr>
              <w:t>Forecast costs to complete</w:t>
            </w:r>
            <w:r w:rsidR="004F50B6">
              <w:rPr>
                <w:rFonts w:ascii="Arial" w:hAnsi="Arial" w:cs="Arial"/>
              </w:rPr>
              <w:t xml:space="preserve"> and risk allowance</w:t>
            </w:r>
            <w:r w:rsidRPr="53811AE5">
              <w:rPr>
                <w:rFonts w:ascii="Arial" w:hAnsi="Arial" w:cs="Arial"/>
              </w:rPr>
              <w:t>, CPO Report</w:t>
            </w:r>
          </w:p>
        </w:tc>
        <w:tc>
          <w:tcPr>
            <w:tcW w:w="1701" w:type="dxa"/>
            <w:tcBorders>
              <w:bottom w:val="single" w:sz="2" w:space="0" w:color="BFBFBF" w:themeColor="background1" w:themeShade="BF"/>
            </w:tcBorders>
          </w:tcPr>
          <w:p w14:paraId="37AFDC2C" w14:textId="236D33E0" w:rsidR="0076213A" w:rsidRDefault="0076213A" w:rsidP="0076213A">
            <w:pPr>
              <w:rPr>
                <w:rFonts w:ascii="Arial" w:hAnsi="Arial" w:cs="Arial"/>
              </w:rPr>
            </w:pPr>
            <w:r w:rsidRPr="255FAAB0">
              <w:rPr>
                <w:rFonts w:ascii="Arial" w:hAnsi="Arial" w:cs="Arial"/>
              </w:rPr>
              <w:t>Costs</w:t>
            </w:r>
          </w:p>
        </w:tc>
        <w:tc>
          <w:tcPr>
            <w:tcW w:w="1559" w:type="dxa"/>
            <w:tcBorders>
              <w:bottom w:val="single" w:sz="2" w:space="0" w:color="BFBFBF" w:themeColor="background1" w:themeShade="BF"/>
            </w:tcBorders>
          </w:tcPr>
          <w:p w14:paraId="709E5A4D" w14:textId="35382E9C" w:rsidR="0076213A" w:rsidRPr="3A1E8CA1" w:rsidRDefault="0076213A" w:rsidP="0076213A">
            <w:pPr>
              <w:rPr>
                <w:rFonts w:ascii="Arial" w:hAnsi="Arial" w:cs="Arial"/>
              </w:rPr>
            </w:pPr>
            <w:r w:rsidRPr="3A1E8CA1">
              <w:rPr>
                <w:rFonts w:ascii="Arial" w:hAnsi="Arial" w:cs="Arial"/>
              </w:rPr>
              <w:t xml:space="preserve">Market </w:t>
            </w:r>
            <w:r>
              <w:rPr>
                <w:rFonts w:ascii="Arial" w:hAnsi="Arial" w:cs="Arial"/>
              </w:rPr>
              <w:t>sensitive cost inputs</w:t>
            </w:r>
            <w:r w:rsidRPr="3A1E8CA1">
              <w:rPr>
                <w:rFonts w:ascii="Arial" w:hAnsi="Arial" w:cs="Arial"/>
              </w:rPr>
              <w:t xml:space="preserve"> / other – third-party confidentiality</w:t>
            </w:r>
          </w:p>
        </w:tc>
        <w:tc>
          <w:tcPr>
            <w:tcW w:w="1985" w:type="dxa"/>
            <w:tcBorders>
              <w:bottom w:val="single" w:sz="2" w:space="0" w:color="BFBFBF" w:themeColor="background1" w:themeShade="BF"/>
            </w:tcBorders>
          </w:tcPr>
          <w:p w14:paraId="05FB1F68" w14:textId="24AF1576" w:rsidR="0076213A" w:rsidRPr="00384780" w:rsidRDefault="0076213A" w:rsidP="0076213A">
            <w:pPr>
              <w:rPr>
                <w:rFonts w:ascii="Arial" w:hAnsi="Arial" w:cs="Arial"/>
              </w:rPr>
            </w:pPr>
            <w:r>
              <w:rPr>
                <w:rFonts w:ascii="Arial" w:hAnsi="Arial" w:cs="Arial"/>
              </w:rPr>
              <w:t xml:space="preserve">This information is highly sensitive to both Elecnor Australia and Transgrid, </w:t>
            </w:r>
            <w:r w:rsidRPr="27421FB6">
              <w:rPr>
                <w:rFonts w:ascii="Arial" w:hAnsi="Arial" w:cs="Arial"/>
              </w:rPr>
              <w:t>as these</w:t>
            </w:r>
            <w:r>
              <w:rPr>
                <w:rFonts w:ascii="Arial" w:hAnsi="Arial" w:cs="Arial"/>
              </w:rPr>
              <w:t xml:space="preserve"> </w:t>
            </w:r>
            <w:r w:rsidRPr="0018032F">
              <w:rPr>
                <w:rFonts w:ascii="Arial" w:hAnsi="Arial" w:cs="Arial"/>
              </w:rPr>
              <w:t xml:space="preserve">figures reflect </w:t>
            </w:r>
            <w:r>
              <w:rPr>
                <w:rFonts w:ascii="Arial" w:hAnsi="Arial" w:cs="Arial"/>
              </w:rPr>
              <w:t>parties’</w:t>
            </w:r>
            <w:r w:rsidRPr="0018032F">
              <w:rPr>
                <w:rFonts w:ascii="Arial" w:hAnsi="Arial" w:cs="Arial"/>
              </w:rPr>
              <w:t xml:space="preserve"> commercial arrangements, procurement outcomes and negotiated positions with contractors and suppliers. </w:t>
            </w:r>
          </w:p>
        </w:tc>
        <w:tc>
          <w:tcPr>
            <w:tcW w:w="2551" w:type="dxa"/>
            <w:tcBorders>
              <w:bottom w:val="single" w:sz="2" w:space="0" w:color="BFBFBF" w:themeColor="background1" w:themeShade="BF"/>
            </w:tcBorders>
          </w:tcPr>
          <w:p w14:paraId="0DF08DC2" w14:textId="32CA9717" w:rsidR="0076213A" w:rsidRDefault="0076213A" w:rsidP="0076213A">
            <w:pPr>
              <w:rPr>
                <w:rFonts w:ascii="Arial" w:hAnsi="Arial" w:cs="Arial"/>
              </w:rPr>
            </w:pPr>
            <w:r w:rsidRPr="00702CE1">
              <w:rPr>
                <w:rFonts w:ascii="Arial" w:hAnsi="Arial" w:cs="Arial"/>
              </w:rPr>
              <w:t xml:space="preserve">Disclosure could materially disadvantage Transgrid and Elecnor </w:t>
            </w:r>
            <w:r w:rsidRPr="27421FB6">
              <w:rPr>
                <w:rFonts w:ascii="Arial" w:hAnsi="Arial" w:cs="Arial"/>
              </w:rPr>
              <w:t xml:space="preserve">Australia </w:t>
            </w:r>
            <w:r w:rsidRPr="00702CE1">
              <w:rPr>
                <w:rFonts w:ascii="Arial" w:hAnsi="Arial" w:cs="Arial"/>
              </w:rPr>
              <w:t>in future commercial negotiations by revealing its cost structures, contracting strategy, and commercial leverage points. This would weaken Transgrid’s ability to secure competitive outcomes on behalf of consumers</w:t>
            </w:r>
            <w:r w:rsidRPr="264DD1D3">
              <w:rPr>
                <w:rFonts w:ascii="Arial" w:hAnsi="Arial" w:cs="Arial"/>
              </w:rPr>
              <w:t>.</w:t>
            </w:r>
          </w:p>
        </w:tc>
        <w:tc>
          <w:tcPr>
            <w:tcW w:w="2552" w:type="dxa"/>
            <w:tcBorders>
              <w:bottom w:val="single" w:sz="2" w:space="0" w:color="BFBFBF" w:themeColor="background1" w:themeShade="BF"/>
            </w:tcBorders>
          </w:tcPr>
          <w:p w14:paraId="607B0F0F" w14:textId="2247B127" w:rsidR="0076213A" w:rsidRPr="00384780" w:rsidRDefault="0076213A" w:rsidP="0076213A">
            <w:pPr>
              <w:rPr>
                <w:rFonts w:ascii="Arial" w:hAnsi="Arial" w:cs="Arial"/>
              </w:rPr>
            </w:pPr>
            <w:r w:rsidRPr="00D95310">
              <w:rPr>
                <w:rFonts w:ascii="Arial" w:hAnsi="Arial" w:cs="Arial"/>
              </w:rPr>
              <w:t xml:space="preserve">Revealing this information could harm </w:t>
            </w:r>
            <w:r w:rsidRPr="61CB74BB">
              <w:rPr>
                <w:rFonts w:ascii="Arial" w:hAnsi="Arial" w:cs="Arial"/>
              </w:rPr>
              <w:t>Transgrid and Elecnor Australia’s</w:t>
            </w:r>
            <w:r w:rsidRPr="00D95310">
              <w:rPr>
                <w:rFonts w:ascii="Arial" w:hAnsi="Arial" w:cs="Arial"/>
              </w:rPr>
              <w:t xml:space="preserve"> commercial interests</w:t>
            </w:r>
            <w:r w:rsidRPr="264DD1D3">
              <w:rPr>
                <w:rFonts w:ascii="Arial" w:hAnsi="Arial" w:cs="Arial"/>
              </w:rPr>
              <w:t xml:space="preserve"> and would ultimately </w:t>
            </w:r>
            <w:r w:rsidRPr="61CB74BB">
              <w:rPr>
                <w:rFonts w:ascii="Arial" w:hAnsi="Arial" w:cs="Arial"/>
              </w:rPr>
              <w:t xml:space="preserve">be to the detriment of consumers, as Transgrid and Elecnor </w:t>
            </w:r>
            <w:r w:rsidRPr="72D53604">
              <w:rPr>
                <w:rFonts w:ascii="Arial" w:hAnsi="Arial" w:cs="Arial"/>
              </w:rPr>
              <w:t xml:space="preserve">Australia could not obtain competitive market pricing, impacting consumer affordability. </w:t>
            </w:r>
          </w:p>
        </w:tc>
        <w:tc>
          <w:tcPr>
            <w:tcW w:w="1275" w:type="dxa"/>
            <w:tcBorders>
              <w:bottom w:val="single" w:sz="2" w:space="0" w:color="BFBFBF" w:themeColor="background1" w:themeShade="BF"/>
            </w:tcBorders>
          </w:tcPr>
          <w:p w14:paraId="6BFDAC81" w14:textId="050A7532" w:rsidR="0076213A" w:rsidRPr="462BED03" w:rsidRDefault="0076213A" w:rsidP="0076213A">
            <w:pPr>
              <w:rPr>
                <w:rFonts w:ascii="Arial" w:hAnsi="Arial" w:cs="Arial"/>
              </w:rPr>
            </w:pPr>
            <w:r w:rsidRPr="358799A6">
              <w:rPr>
                <w:rFonts w:ascii="Arial" w:hAnsi="Arial" w:cs="Arial"/>
              </w:rPr>
              <w:t>2 pages</w:t>
            </w:r>
          </w:p>
        </w:tc>
      </w:tr>
      <w:tr w:rsidR="0076213A" w14:paraId="72DFA0EC" w14:textId="77777777" w:rsidTr="009B4B47">
        <w:trPr>
          <w:cantSplit/>
          <w:trHeight w:val="300"/>
        </w:trPr>
        <w:tc>
          <w:tcPr>
            <w:tcW w:w="2124" w:type="dxa"/>
            <w:tcBorders>
              <w:bottom w:val="single" w:sz="2" w:space="0" w:color="BFBFBF" w:themeColor="background1" w:themeShade="BF"/>
            </w:tcBorders>
            <w:shd w:val="clear" w:color="auto" w:fill="FFFFFF" w:themeFill="background1"/>
          </w:tcPr>
          <w:p w14:paraId="4C9A3899" w14:textId="69FF9FDD" w:rsidR="0076213A" w:rsidRDefault="0076213A" w:rsidP="0076213A">
            <w:pPr>
              <w:rPr>
                <w:rFonts w:ascii="Arial" w:eastAsiaTheme="majorEastAsia" w:hAnsi="Arial" w:cs="Arial"/>
                <w:lang w:eastAsia="en-AU"/>
              </w:rPr>
            </w:pPr>
            <w:r w:rsidRPr="2325986C">
              <w:rPr>
                <w:rFonts w:ascii="Arial" w:eastAsiaTheme="majorEastAsia" w:hAnsi="Arial" w:cs="Arial"/>
                <w:lang w:eastAsia="en-AU"/>
              </w:rPr>
              <w:t>Appendix B</w:t>
            </w:r>
            <w:r w:rsidRPr="07DBDB8D">
              <w:rPr>
                <w:rFonts w:ascii="Arial" w:eastAsiaTheme="majorEastAsia" w:hAnsi="Arial" w:cs="Arial"/>
                <w:lang w:eastAsia="en-AU"/>
              </w:rPr>
              <w:t xml:space="preserve">. </w:t>
            </w:r>
            <w:r w:rsidRPr="6F0A5132">
              <w:rPr>
                <w:rFonts w:ascii="Arial" w:eastAsiaTheme="majorEastAsia" w:hAnsi="Arial" w:cs="Arial"/>
                <w:lang w:eastAsia="en-AU"/>
              </w:rPr>
              <w:t>Decision Making Chronology, pp</w:t>
            </w:r>
            <w:r w:rsidRPr="5F27A00D">
              <w:rPr>
                <w:rFonts w:ascii="Arial" w:eastAsiaTheme="majorEastAsia" w:hAnsi="Arial" w:cs="Arial"/>
                <w:lang w:eastAsia="en-AU"/>
              </w:rPr>
              <w:t xml:space="preserve"> </w:t>
            </w:r>
            <w:r w:rsidRPr="60728B5C">
              <w:rPr>
                <w:rFonts w:ascii="Arial" w:eastAsiaTheme="majorEastAsia" w:hAnsi="Arial" w:cs="Arial"/>
                <w:lang w:eastAsia="en-AU"/>
              </w:rPr>
              <w:t>1-7</w:t>
            </w:r>
          </w:p>
        </w:tc>
        <w:tc>
          <w:tcPr>
            <w:tcW w:w="1559" w:type="dxa"/>
            <w:tcBorders>
              <w:bottom w:val="single" w:sz="2" w:space="0" w:color="BFBFBF" w:themeColor="background1" w:themeShade="BF"/>
            </w:tcBorders>
            <w:shd w:val="clear" w:color="auto" w:fill="FFFFFF" w:themeFill="background1"/>
          </w:tcPr>
          <w:p w14:paraId="5214EEF5" w14:textId="667A27C3" w:rsidR="0076213A" w:rsidRDefault="0076213A" w:rsidP="0076213A">
            <w:pPr>
              <w:rPr>
                <w:rFonts w:ascii="Arial" w:hAnsi="Arial" w:cs="Arial"/>
              </w:rPr>
            </w:pPr>
            <w:r w:rsidRPr="4DBA9D69">
              <w:rPr>
                <w:rFonts w:ascii="Arial" w:hAnsi="Arial" w:cs="Arial"/>
              </w:rPr>
              <w:t xml:space="preserve">Contractual negotiations </w:t>
            </w:r>
            <w:r w:rsidRPr="2B7D3FF6">
              <w:rPr>
                <w:rFonts w:ascii="Arial" w:hAnsi="Arial" w:cs="Arial"/>
              </w:rPr>
              <w:t xml:space="preserve">and </w:t>
            </w:r>
            <w:r>
              <w:rPr>
                <w:rFonts w:ascii="Arial" w:hAnsi="Arial" w:cs="Arial"/>
              </w:rPr>
              <w:t xml:space="preserve">related </w:t>
            </w:r>
            <w:r w:rsidRPr="4DBA9D69">
              <w:rPr>
                <w:rFonts w:ascii="Arial" w:hAnsi="Arial" w:cs="Arial"/>
              </w:rPr>
              <w:t xml:space="preserve">without </w:t>
            </w:r>
            <w:r w:rsidRPr="414177FD">
              <w:rPr>
                <w:rFonts w:ascii="Arial" w:hAnsi="Arial" w:cs="Arial"/>
              </w:rPr>
              <w:t xml:space="preserve">prejudice </w:t>
            </w:r>
            <w:r>
              <w:rPr>
                <w:rFonts w:ascii="Arial" w:hAnsi="Arial" w:cs="Arial"/>
              </w:rPr>
              <w:t>information</w:t>
            </w:r>
          </w:p>
        </w:tc>
        <w:tc>
          <w:tcPr>
            <w:tcW w:w="1701" w:type="dxa"/>
            <w:tcBorders>
              <w:bottom w:val="single" w:sz="2" w:space="0" w:color="BFBFBF" w:themeColor="background1" w:themeShade="BF"/>
            </w:tcBorders>
            <w:shd w:val="clear" w:color="auto" w:fill="FFFFFF" w:themeFill="background1"/>
          </w:tcPr>
          <w:p w14:paraId="3A9A2D28" w14:textId="791947FD" w:rsidR="0076213A" w:rsidRDefault="0076213A" w:rsidP="0076213A">
            <w:pPr>
              <w:rPr>
                <w:rFonts w:ascii="Arial" w:hAnsi="Arial" w:cs="Arial"/>
              </w:rPr>
            </w:pPr>
            <w:r>
              <w:rPr>
                <w:rFonts w:ascii="Arial" w:hAnsi="Arial" w:cs="Arial"/>
              </w:rPr>
              <w:t>C</w:t>
            </w:r>
            <w:r w:rsidRPr="2A7FE255">
              <w:rPr>
                <w:rFonts w:ascii="Arial" w:hAnsi="Arial" w:cs="Arial"/>
              </w:rPr>
              <w:t xml:space="preserve">ontractual </w:t>
            </w:r>
            <w:r w:rsidRPr="579EB313">
              <w:rPr>
                <w:rFonts w:ascii="Arial" w:hAnsi="Arial" w:cs="Arial"/>
              </w:rPr>
              <w:t>negotiations</w:t>
            </w:r>
          </w:p>
        </w:tc>
        <w:tc>
          <w:tcPr>
            <w:tcW w:w="1559" w:type="dxa"/>
            <w:tcBorders>
              <w:bottom w:val="single" w:sz="2" w:space="0" w:color="BFBFBF" w:themeColor="background1" w:themeShade="BF"/>
            </w:tcBorders>
            <w:shd w:val="clear" w:color="auto" w:fill="FFFFFF" w:themeFill="background1"/>
          </w:tcPr>
          <w:p w14:paraId="7ABC0C4E" w14:textId="0A7F7B0A" w:rsidR="0076213A" w:rsidRDefault="0076213A" w:rsidP="0076213A">
            <w:pPr>
              <w:rPr>
                <w:rFonts w:ascii="Arial" w:hAnsi="Arial" w:cs="Arial"/>
              </w:rPr>
            </w:pPr>
            <w:r w:rsidRPr="67603AA7">
              <w:rPr>
                <w:rFonts w:ascii="Arial" w:hAnsi="Arial" w:cs="Arial"/>
              </w:rPr>
              <w:t>Market intelligence / other – third party confidentiality</w:t>
            </w:r>
          </w:p>
        </w:tc>
        <w:tc>
          <w:tcPr>
            <w:tcW w:w="1985" w:type="dxa"/>
            <w:tcBorders>
              <w:bottom w:val="single" w:sz="2" w:space="0" w:color="BFBFBF" w:themeColor="background1" w:themeShade="BF"/>
            </w:tcBorders>
            <w:shd w:val="clear" w:color="auto" w:fill="FFFFFF" w:themeFill="background1"/>
          </w:tcPr>
          <w:p w14:paraId="28B253BF" w14:textId="59EBA287" w:rsidR="0076213A" w:rsidRDefault="0076213A" w:rsidP="0076213A">
            <w:pPr>
              <w:rPr>
                <w:rFonts w:ascii="Arial" w:eastAsia="Arial" w:hAnsi="Arial" w:cs="Arial"/>
              </w:rPr>
            </w:pPr>
            <w:r w:rsidRPr="2D110FA7">
              <w:rPr>
                <w:rFonts w:ascii="Arial" w:eastAsia="Arial" w:hAnsi="Arial" w:cs="Arial"/>
              </w:rPr>
              <w:t xml:space="preserve">Elecnor Australia maintains that the information is highly </w:t>
            </w:r>
            <w:r w:rsidRPr="51FEC1D5">
              <w:rPr>
                <w:rFonts w:ascii="Arial" w:eastAsia="Arial" w:hAnsi="Arial" w:cs="Arial"/>
              </w:rPr>
              <w:t>commercially and legally sensitive, disclosure of which may prejudice Elecnor Australia’s legal position.</w:t>
            </w:r>
            <w:r w:rsidRPr="428C28E2">
              <w:rPr>
                <w:rFonts w:ascii="Arial" w:eastAsia="Arial" w:hAnsi="Arial" w:cs="Arial"/>
              </w:rPr>
              <w:t xml:space="preserve"> </w:t>
            </w:r>
          </w:p>
        </w:tc>
        <w:tc>
          <w:tcPr>
            <w:tcW w:w="2551" w:type="dxa"/>
            <w:tcBorders>
              <w:bottom w:val="single" w:sz="2" w:space="0" w:color="BFBFBF" w:themeColor="background1" w:themeShade="BF"/>
            </w:tcBorders>
            <w:shd w:val="clear" w:color="auto" w:fill="FFFFFF" w:themeFill="background1"/>
          </w:tcPr>
          <w:p w14:paraId="783B4F27" w14:textId="520B74A1" w:rsidR="0076213A" w:rsidRDefault="0076213A" w:rsidP="0076213A">
            <w:pPr>
              <w:spacing w:line="276" w:lineRule="auto"/>
              <w:rPr>
                <w:rFonts w:ascii="Arial" w:eastAsia="Arial" w:hAnsi="Arial" w:cs="Arial"/>
              </w:rPr>
            </w:pPr>
            <w:r w:rsidRPr="7524AF85">
              <w:rPr>
                <w:rFonts w:ascii="Arial" w:eastAsia="Arial" w:hAnsi="Arial" w:cs="Arial"/>
              </w:rPr>
              <w:t xml:space="preserve">Disclosing the nature of without prejudice negotiations, including the underlying context of these negotiations between Elecnor Australia and Transgrid would undermine the purpose of without prejudice negotiations and </w:t>
            </w:r>
            <w:r w:rsidRPr="51FEC1D5">
              <w:rPr>
                <w:rFonts w:ascii="Arial" w:eastAsia="Arial" w:hAnsi="Arial" w:cs="Arial"/>
              </w:rPr>
              <w:t xml:space="preserve">may prejudice Elecnor Australia’s legal position. </w:t>
            </w:r>
          </w:p>
        </w:tc>
        <w:tc>
          <w:tcPr>
            <w:tcW w:w="2552" w:type="dxa"/>
            <w:tcBorders>
              <w:bottom w:val="single" w:sz="2" w:space="0" w:color="BFBFBF" w:themeColor="background1" w:themeShade="BF"/>
            </w:tcBorders>
            <w:shd w:val="clear" w:color="auto" w:fill="FFFFFF" w:themeFill="background1"/>
          </w:tcPr>
          <w:p w14:paraId="2049A95D" w14:textId="11472720" w:rsidR="0076213A" w:rsidRDefault="0076213A" w:rsidP="0076213A">
            <w:pPr>
              <w:rPr>
                <w:rFonts w:ascii="Arial" w:hAnsi="Arial" w:cs="Arial"/>
              </w:rPr>
            </w:pPr>
            <w:r>
              <w:rPr>
                <w:rFonts w:ascii="Arial" w:eastAsia="Arial" w:hAnsi="Arial" w:cs="Arial"/>
              </w:rPr>
              <w:t>The r</w:t>
            </w:r>
            <w:r w:rsidRPr="7524AF85">
              <w:rPr>
                <w:rFonts w:ascii="Arial" w:eastAsia="Arial" w:hAnsi="Arial" w:cs="Arial"/>
              </w:rPr>
              <w:t>edaction</w:t>
            </w:r>
            <w:r>
              <w:rPr>
                <w:rFonts w:ascii="Arial" w:eastAsia="Arial" w:hAnsi="Arial" w:cs="Arial"/>
              </w:rPr>
              <w:t>s</w:t>
            </w:r>
            <w:r w:rsidRPr="7524AF85">
              <w:rPr>
                <w:rFonts w:ascii="Arial" w:eastAsia="Arial" w:hAnsi="Arial" w:cs="Arial"/>
              </w:rPr>
              <w:t xml:space="preserve"> </w:t>
            </w:r>
            <w:r>
              <w:rPr>
                <w:rFonts w:ascii="Arial" w:eastAsia="Arial" w:hAnsi="Arial" w:cs="Arial"/>
              </w:rPr>
              <w:t>are</w:t>
            </w:r>
            <w:r w:rsidRPr="7524AF85">
              <w:rPr>
                <w:rFonts w:ascii="Arial" w:eastAsia="Arial" w:hAnsi="Arial" w:cs="Arial"/>
              </w:rPr>
              <w:t xml:space="preserve"> in the public interest as </w:t>
            </w:r>
            <w:r>
              <w:rPr>
                <w:rFonts w:ascii="Arial" w:eastAsia="Arial" w:hAnsi="Arial" w:cs="Arial"/>
              </w:rPr>
              <w:t>they</w:t>
            </w:r>
            <w:r w:rsidRPr="7524AF85">
              <w:rPr>
                <w:rFonts w:ascii="Arial" w:eastAsia="Arial" w:hAnsi="Arial" w:cs="Arial"/>
              </w:rPr>
              <w:t xml:space="preserve"> maintain the integrity of without prejudice discussions. Additionally, </w:t>
            </w:r>
            <w:r w:rsidRPr="284B43B6">
              <w:rPr>
                <w:rFonts w:ascii="Arial" w:eastAsia="Arial" w:hAnsi="Arial" w:cs="Arial"/>
              </w:rPr>
              <w:t>disclosure</w:t>
            </w:r>
            <w:r w:rsidRPr="7DECA34E">
              <w:rPr>
                <w:rFonts w:ascii="Arial" w:eastAsia="Arial" w:hAnsi="Arial" w:cs="Arial"/>
              </w:rPr>
              <w:t xml:space="preserve"> would outweigh any potential public interest, given the considerable prejudice to </w:t>
            </w:r>
            <w:r w:rsidRPr="7DECA34E">
              <w:rPr>
                <w:rFonts w:ascii="Arial" w:hAnsi="Arial" w:cs="Arial"/>
              </w:rPr>
              <w:t>Elecnor</w:t>
            </w:r>
            <w:r>
              <w:rPr>
                <w:rFonts w:ascii="Arial" w:hAnsi="Arial" w:cs="Arial"/>
              </w:rPr>
              <w:t xml:space="preserve"> Australia</w:t>
            </w:r>
            <w:r w:rsidRPr="7DECA34E">
              <w:rPr>
                <w:rFonts w:ascii="Arial" w:hAnsi="Arial" w:cs="Arial"/>
              </w:rPr>
              <w:t>.</w:t>
            </w:r>
          </w:p>
        </w:tc>
        <w:tc>
          <w:tcPr>
            <w:tcW w:w="1275" w:type="dxa"/>
            <w:tcBorders>
              <w:bottom w:val="single" w:sz="2" w:space="0" w:color="BFBFBF" w:themeColor="background1" w:themeShade="BF"/>
            </w:tcBorders>
            <w:shd w:val="clear" w:color="auto" w:fill="FFFFFF" w:themeFill="background1"/>
          </w:tcPr>
          <w:p w14:paraId="4DFAB84D" w14:textId="7FF6A228" w:rsidR="0076213A" w:rsidRPr="68E44039" w:rsidRDefault="0076213A" w:rsidP="0076213A">
            <w:pPr>
              <w:rPr>
                <w:rFonts w:ascii="Arial" w:hAnsi="Arial" w:cs="Arial"/>
              </w:rPr>
            </w:pPr>
            <w:r w:rsidRPr="358799A6">
              <w:rPr>
                <w:rFonts w:ascii="Arial" w:hAnsi="Arial" w:cs="Arial"/>
              </w:rPr>
              <w:t>8 pages</w:t>
            </w:r>
          </w:p>
        </w:tc>
      </w:tr>
      <w:tr w:rsidR="0076213A" w14:paraId="434D3EB1" w14:textId="77777777" w:rsidTr="009B4B47">
        <w:trPr>
          <w:cantSplit/>
          <w:trHeight w:val="300"/>
        </w:trPr>
        <w:tc>
          <w:tcPr>
            <w:tcW w:w="2124" w:type="dxa"/>
            <w:tcBorders>
              <w:bottom w:val="single" w:sz="2" w:space="0" w:color="BFBFBF" w:themeColor="background1" w:themeShade="BF"/>
            </w:tcBorders>
            <w:shd w:val="clear" w:color="auto" w:fill="FFFFFF" w:themeFill="background1"/>
          </w:tcPr>
          <w:p w14:paraId="180FAF2E" w14:textId="7C162DF2" w:rsidR="0076213A" w:rsidRDefault="0076213A" w:rsidP="0076213A">
            <w:pPr>
              <w:rPr>
                <w:rFonts w:ascii="Arial" w:eastAsiaTheme="majorEastAsia" w:hAnsi="Arial" w:cs="Arial"/>
                <w:lang w:eastAsia="en-AU"/>
              </w:rPr>
            </w:pPr>
            <w:r w:rsidRPr="3E89A940">
              <w:rPr>
                <w:rFonts w:ascii="Arial" w:eastAsiaTheme="majorEastAsia" w:hAnsi="Arial" w:cs="Arial"/>
                <w:lang w:eastAsia="en-AU"/>
              </w:rPr>
              <w:lastRenderedPageBreak/>
              <w:t>Appendix C</w:t>
            </w:r>
            <w:r w:rsidRPr="074D1555">
              <w:rPr>
                <w:rFonts w:ascii="Arial" w:eastAsiaTheme="majorEastAsia" w:hAnsi="Arial" w:cs="Arial"/>
                <w:lang w:eastAsia="en-AU"/>
              </w:rPr>
              <w:t xml:space="preserve">. Register of </w:t>
            </w:r>
            <w:r w:rsidRPr="7CDA2C73">
              <w:rPr>
                <w:rFonts w:ascii="Arial" w:eastAsiaTheme="majorEastAsia" w:hAnsi="Arial" w:cs="Arial"/>
                <w:lang w:eastAsia="en-AU"/>
              </w:rPr>
              <w:t>key contract changes</w:t>
            </w:r>
            <w:r w:rsidRPr="6AAFB572">
              <w:rPr>
                <w:rFonts w:ascii="Arial" w:eastAsiaTheme="majorEastAsia" w:hAnsi="Arial" w:cs="Arial"/>
                <w:lang w:eastAsia="en-AU"/>
              </w:rPr>
              <w:t>,</w:t>
            </w:r>
            <w:r w:rsidRPr="239EDBC1">
              <w:rPr>
                <w:rFonts w:ascii="Arial" w:eastAsiaTheme="majorEastAsia" w:hAnsi="Arial" w:cs="Arial"/>
                <w:lang w:eastAsia="en-AU"/>
              </w:rPr>
              <w:t xml:space="preserve"> pp 1-27</w:t>
            </w:r>
          </w:p>
        </w:tc>
        <w:tc>
          <w:tcPr>
            <w:tcW w:w="1559" w:type="dxa"/>
            <w:tcBorders>
              <w:bottom w:val="single" w:sz="2" w:space="0" w:color="BFBFBF" w:themeColor="background1" w:themeShade="BF"/>
            </w:tcBorders>
            <w:shd w:val="clear" w:color="auto" w:fill="FFFFFF" w:themeFill="background1"/>
          </w:tcPr>
          <w:p w14:paraId="3CE0C311" w14:textId="0884462B" w:rsidR="0076213A" w:rsidRDefault="0076213A" w:rsidP="0076213A">
            <w:pPr>
              <w:rPr>
                <w:rFonts w:ascii="Arial" w:hAnsi="Arial" w:cs="Arial"/>
              </w:rPr>
            </w:pPr>
            <w:r>
              <w:rPr>
                <w:rFonts w:ascii="Arial" w:hAnsi="Arial" w:cs="Arial"/>
              </w:rPr>
              <w:t>ICC contract terms</w:t>
            </w:r>
          </w:p>
        </w:tc>
        <w:tc>
          <w:tcPr>
            <w:tcW w:w="1701" w:type="dxa"/>
            <w:tcBorders>
              <w:bottom w:val="single" w:sz="2" w:space="0" w:color="BFBFBF" w:themeColor="background1" w:themeShade="BF"/>
            </w:tcBorders>
            <w:shd w:val="clear" w:color="auto" w:fill="FFFFFF" w:themeFill="background1"/>
          </w:tcPr>
          <w:p w14:paraId="0F510EF6" w14:textId="55848ADB" w:rsidR="0076213A" w:rsidRDefault="0076213A" w:rsidP="0076213A">
            <w:pPr>
              <w:rPr>
                <w:rFonts w:ascii="Arial" w:hAnsi="Arial" w:cs="Arial"/>
              </w:rPr>
            </w:pPr>
            <w:r>
              <w:rPr>
                <w:rFonts w:ascii="Arial" w:hAnsi="Arial" w:cs="Arial"/>
              </w:rPr>
              <w:t>Contractual arrangements</w:t>
            </w:r>
          </w:p>
        </w:tc>
        <w:tc>
          <w:tcPr>
            <w:tcW w:w="1559" w:type="dxa"/>
            <w:tcBorders>
              <w:bottom w:val="single" w:sz="2" w:space="0" w:color="BFBFBF" w:themeColor="background1" w:themeShade="BF"/>
            </w:tcBorders>
            <w:shd w:val="clear" w:color="auto" w:fill="FFFFFF" w:themeFill="background1"/>
          </w:tcPr>
          <w:p w14:paraId="491AF68D" w14:textId="63FACCFC" w:rsidR="0076213A" w:rsidRDefault="0076213A" w:rsidP="0076213A">
            <w:pPr>
              <w:rPr>
                <w:rFonts w:ascii="Arial" w:hAnsi="Arial" w:cs="Arial"/>
              </w:rPr>
            </w:pPr>
            <w:r w:rsidRPr="4A207FDB">
              <w:rPr>
                <w:rFonts w:ascii="Arial" w:hAnsi="Arial" w:cs="Arial"/>
              </w:rPr>
              <w:t xml:space="preserve">Market </w:t>
            </w:r>
            <w:r w:rsidRPr="63471E25">
              <w:rPr>
                <w:rFonts w:ascii="Arial" w:hAnsi="Arial" w:cs="Arial"/>
              </w:rPr>
              <w:t>intelligence</w:t>
            </w:r>
          </w:p>
        </w:tc>
        <w:tc>
          <w:tcPr>
            <w:tcW w:w="1985" w:type="dxa"/>
            <w:tcBorders>
              <w:bottom w:val="single" w:sz="2" w:space="0" w:color="BFBFBF" w:themeColor="background1" w:themeShade="BF"/>
            </w:tcBorders>
            <w:shd w:val="clear" w:color="auto" w:fill="FFFFFF" w:themeFill="background1"/>
          </w:tcPr>
          <w:p w14:paraId="3CF57383" w14:textId="708C1AA8" w:rsidR="0076213A" w:rsidRDefault="0076213A" w:rsidP="0076213A">
            <w:pPr>
              <w:rPr>
                <w:rFonts w:ascii="Arial" w:eastAsia="Arial" w:hAnsi="Arial" w:cs="Arial"/>
              </w:rPr>
            </w:pPr>
            <w:r w:rsidRPr="2E1A3876">
              <w:rPr>
                <w:rFonts w:ascii="Arial" w:eastAsia="Arial" w:hAnsi="Arial" w:cs="Arial"/>
              </w:rPr>
              <w:t>The register of key contract changes describes the contractual terms negotiated between Transgrid and Elecnor Australia in the ICC contract.</w:t>
            </w:r>
          </w:p>
        </w:tc>
        <w:tc>
          <w:tcPr>
            <w:tcW w:w="2551" w:type="dxa"/>
            <w:tcBorders>
              <w:bottom w:val="single" w:sz="2" w:space="0" w:color="BFBFBF" w:themeColor="background1" w:themeShade="BF"/>
            </w:tcBorders>
            <w:shd w:val="clear" w:color="auto" w:fill="FFFFFF" w:themeFill="background1"/>
          </w:tcPr>
          <w:p w14:paraId="5586F21D" w14:textId="488328AD" w:rsidR="0076213A" w:rsidRDefault="0076213A" w:rsidP="0076213A">
            <w:pPr>
              <w:spacing w:line="276" w:lineRule="auto"/>
              <w:rPr>
                <w:rFonts w:ascii="Arial" w:eastAsia="Arial" w:hAnsi="Arial" w:cs="Arial"/>
              </w:rPr>
            </w:pPr>
            <w:r w:rsidRPr="2E1A3876">
              <w:rPr>
                <w:rFonts w:ascii="Arial" w:eastAsia="Arial" w:hAnsi="Arial" w:cs="Arial"/>
              </w:rPr>
              <w:t>Disclosure of the contractual terms could prejudice Transgrid in future negotiations with contractors</w:t>
            </w:r>
            <w:r w:rsidRPr="428C28E2">
              <w:rPr>
                <w:rFonts w:ascii="Arial" w:eastAsia="Arial" w:hAnsi="Arial" w:cs="Arial"/>
              </w:rPr>
              <w:t xml:space="preserve"> by disclosing the nature of the negotiated terms, costs and risk allocations which Transgrid agreed to with Elecnor Australia under the ICC Contract</w:t>
            </w:r>
            <w:r w:rsidRPr="2E1A3876">
              <w:rPr>
                <w:rFonts w:ascii="Arial" w:eastAsia="Arial" w:hAnsi="Arial" w:cs="Arial"/>
              </w:rPr>
              <w:t>.</w:t>
            </w:r>
          </w:p>
        </w:tc>
        <w:tc>
          <w:tcPr>
            <w:tcW w:w="2552" w:type="dxa"/>
            <w:tcBorders>
              <w:bottom w:val="single" w:sz="2" w:space="0" w:color="BFBFBF" w:themeColor="background1" w:themeShade="BF"/>
            </w:tcBorders>
            <w:shd w:val="clear" w:color="auto" w:fill="FFFFFF" w:themeFill="background1"/>
          </w:tcPr>
          <w:p w14:paraId="531364E3" w14:textId="6996704E" w:rsidR="0076213A" w:rsidRDefault="0076213A" w:rsidP="0076213A">
            <w:pPr>
              <w:rPr>
                <w:rFonts w:ascii="Arial" w:eastAsia="Arial" w:hAnsi="Arial" w:cs="Arial"/>
              </w:rPr>
            </w:pPr>
            <w:r w:rsidRPr="2E1A3876">
              <w:rPr>
                <w:rFonts w:ascii="Arial" w:eastAsia="Arial" w:hAnsi="Arial" w:cs="Arial"/>
              </w:rPr>
              <w:t xml:space="preserve">Transgrid’s ability to negotiate contractual terms </w:t>
            </w:r>
            <w:r w:rsidRPr="186BFB5E">
              <w:rPr>
                <w:rFonts w:ascii="Arial" w:eastAsia="Arial" w:hAnsi="Arial" w:cs="Arial"/>
              </w:rPr>
              <w:t xml:space="preserve">competitively </w:t>
            </w:r>
            <w:r w:rsidRPr="3F97CEB6">
              <w:rPr>
                <w:rFonts w:ascii="Arial" w:eastAsia="Arial" w:hAnsi="Arial" w:cs="Arial"/>
              </w:rPr>
              <w:t>is crucial to obtaining</w:t>
            </w:r>
            <w:r w:rsidRPr="29FBE653">
              <w:rPr>
                <w:rFonts w:ascii="Arial" w:eastAsia="Arial" w:hAnsi="Arial" w:cs="Arial"/>
              </w:rPr>
              <w:t xml:space="preserve"> </w:t>
            </w:r>
            <w:r w:rsidRPr="439164CB">
              <w:rPr>
                <w:rFonts w:ascii="Arial" w:eastAsia="Arial" w:hAnsi="Arial" w:cs="Arial"/>
              </w:rPr>
              <w:t>positive outcomes for consumers.</w:t>
            </w:r>
            <w:r w:rsidRPr="3492F8A5">
              <w:rPr>
                <w:rFonts w:ascii="Arial" w:eastAsia="Arial" w:hAnsi="Arial" w:cs="Arial"/>
              </w:rPr>
              <w:t xml:space="preserve"> </w:t>
            </w:r>
            <w:r w:rsidRPr="7AA9C2C8">
              <w:rPr>
                <w:rFonts w:ascii="Arial" w:eastAsia="Arial" w:hAnsi="Arial" w:cs="Arial"/>
              </w:rPr>
              <w:t xml:space="preserve">Disclosure of these contractual terms </w:t>
            </w:r>
            <w:r w:rsidRPr="428C28E2">
              <w:rPr>
                <w:rFonts w:ascii="Arial" w:eastAsia="Arial" w:hAnsi="Arial" w:cs="Arial"/>
              </w:rPr>
              <w:t xml:space="preserve">and Transgrid’s process to negotiate these terms </w:t>
            </w:r>
            <w:r w:rsidRPr="7AA9C2C8">
              <w:rPr>
                <w:rFonts w:ascii="Arial" w:eastAsia="Arial" w:hAnsi="Arial" w:cs="Arial"/>
              </w:rPr>
              <w:t xml:space="preserve">may prejudice Transgrid’s </w:t>
            </w:r>
            <w:r w:rsidRPr="25A86BE3">
              <w:rPr>
                <w:rFonts w:ascii="Arial" w:eastAsia="Arial" w:hAnsi="Arial" w:cs="Arial"/>
              </w:rPr>
              <w:t xml:space="preserve">commercial interests </w:t>
            </w:r>
            <w:r w:rsidRPr="428C28E2">
              <w:rPr>
                <w:rFonts w:ascii="Arial" w:eastAsia="Arial" w:hAnsi="Arial" w:cs="Arial"/>
              </w:rPr>
              <w:t xml:space="preserve">in negotiating future competitive contracts </w:t>
            </w:r>
            <w:r w:rsidRPr="25A86BE3">
              <w:rPr>
                <w:rFonts w:ascii="Arial" w:eastAsia="Arial" w:hAnsi="Arial" w:cs="Arial"/>
              </w:rPr>
              <w:t xml:space="preserve">and therefore </w:t>
            </w:r>
            <w:r w:rsidRPr="64BAFE3A">
              <w:rPr>
                <w:rFonts w:ascii="Arial" w:eastAsia="Arial" w:hAnsi="Arial" w:cs="Arial"/>
              </w:rPr>
              <w:t xml:space="preserve">the </w:t>
            </w:r>
            <w:r w:rsidRPr="478D7E73">
              <w:rPr>
                <w:rFonts w:ascii="Arial" w:eastAsia="Arial" w:hAnsi="Arial" w:cs="Arial"/>
              </w:rPr>
              <w:t xml:space="preserve">value </w:t>
            </w:r>
            <w:r w:rsidRPr="428C28E2">
              <w:rPr>
                <w:rFonts w:ascii="Arial" w:eastAsia="Arial" w:hAnsi="Arial" w:cs="Arial"/>
              </w:rPr>
              <w:t xml:space="preserve">that </w:t>
            </w:r>
            <w:r w:rsidRPr="478D7E73">
              <w:rPr>
                <w:rFonts w:ascii="Arial" w:eastAsia="Arial" w:hAnsi="Arial" w:cs="Arial"/>
              </w:rPr>
              <w:t xml:space="preserve">Transgrid </w:t>
            </w:r>
            <w:r w:rsidRPr="475CBC98">
              <w:rPr>
                <w:rFonts w:ascii="Arial" w:eastAsia="Arial" w:hAnsi="Arial" w:cs="Arial"/>
              </w:rPr>
              <w:t>can obtain for</w:t>
            </w:r>
            <w:r w:rsidRPr="0D923353">
              <w:rPr>
                <w:rFonts w:ascii="Arial" w:eastAsia="Arial" w:hAnsi="Arial" w:cs="Arial"/>
              </w:rPr>
              <w:t xml:space="preserve"> consumers</w:t>
            </w:r>
            <w:r w:rsidRPr="475CBC98">
              <w:rPr>
                <w:rFonts w:ascii="Arial" w:eastAsia="Arial" w:hAnsi="Arial" w:cs="Arial"/>
              </w:rPr>
              <w:t>.</w:t>
            </w:r>
          </w:p>
          <w:p w14:paraId="5E14321D" w14:textId="4B5F444A" w:rsidR="0076213A" w:rsidRDefault="0076213A" w:rsidP="0076213A">
            <w:pPr>
              <w:rPr>
                <w:rFonts w:ascii="Arial" w:eastAsia="Arial" w:hAnsi="Arial" w:cs="Arial"/>
              </w:rPr>
            </w:pPr>
            <w:r w:rsidRPr="431A100D">
              <w:rPr>
                <w:rFonts w:ascii="Arial" w:eastAsia="Arial" w:hAnsi="Arial" w:cs="Arial"/>
              </w:rPr>
              <w:t xml:space="preserve">There is also limited public utility in disclosing the specific </w:t>
            </w:r>
            <w:r w:rsidRPr="48ED39F2">
              <w:rPr>
                <w:rFonts w:ascii="Arial" w:eastAsia="Arial" w:hAnsi="Arial" w:cs="Arial"/>
              </w:rPr>
              <w:t xml:space="preserve">terms of the ICC contract where the E3 </w:t>
            </w:r>
            <w:r w:rsidRPr="7FB5EF09">
              <w:rPr>
                <w:rFonts w:ascii="Arial" w:eastAsia="Arial" w:hAnsi="Arial" w:cs="Arial"/>
              </w:rPr>
              <w:t xml:space="preserve">report </w:t>
            </w:r>
            <w:r w:rsidRPr="428C28E2">
              <w:rPr>
                <w:rFonts w:ascii="Arial" w:eastAsia="Arial" w:hAnsi="Arial" w:cs="Arial"/>
              </w:rPr>
              <w:t xml:space="preserve">(and the Main Application, Attachments and other Appendices) </w:t>
            </w:r>
            <w:r w:rsidRPr="7FB5EF09">
              <w:rPr>
                <w:rFonts w:ascii="Arial" w:eastAsia="Arial" w:hAnsi="Arial" w:cs="Arial"/>
              </w:rPr>
              <w:t>otherwise explain the commercial basis for these terms.</w:t>
            </w:r>
          </w:p>
        </w:tc>
        <w:tc>
          <w:tcPr>
            <w:tcW w:w="1275" w:type="dxa"/>
            <w:tcBorders>
              <w:bottom w:val="single" w:sz="2" w:space="0" w:color="BFBFBF" w:themeColor="background1" w:themeShade="BF"/>
            </w:tcBorders>
            <w:shd w:val="clear" w:color="auto" w:fill="FFFFFF" w:themeFill="background1"/>
          </w:tcPr>
          <w:p w14:paraId="085453F4" w14:textId="369FDB7C" w:rsidR="0076213A" w:rsidRPr="68E44039" w:rsidRDefault="0076213A" w:rsidP="0076213A">
            <w:pPr>
              <w:rPr>
                <w:rFonts w:ascii="Arial" w:hAnsi="Arial" w:cs="Arial"/>
              </w:rPr>
            </w:pPr>
            <w:r w:rsidRPr="358799A6">
              <w:rPr>
                <w:rFonts w:ascii="Arial" w:hAnsi="Arial" w:cs="Arial"/>
              </w:rPr>
              <w:t>27 pages</w:t>
            </w:r>
          </w:p>
        </w:tc>
      </w:tr>
      <w:tr w:rsidR="0076213A" w14:paraId="0B3DAFCE" w14:textId="77777777" w:rsidTr="358799A6">
        <w:trPr>
          <w:cantSplit/>
          <w:trHeight w:val="300"/>
        </w:trPr>
        <w:tc>
          <w:tcPr>
            <w:tcW w:w="15306" w:type="dxa"/>
            <w:gridSpan w:val="8"/>
            <w:tcBorders>
              <w:bottom w:val="single" w:sz="2" w:space="0" w:color="BFBFBF" w:themeColor="background1" w:themeShade="BF"/>
            </w:tcBorders>
            <w:shd w:val="clear" w:color="auto" w:fill="D8EFD7" w:themeFill="accent1" w:themeFillTint="33"/>
          </w:tcPr>
          <w:p w14:paraId="037DC6BB" w14:textId="2EB8DF5D" w:rsidR="0076213A" w:rsidRPr="004B2883" w:rsidRDefault="0076213A" w:rsidP="0076213A">
            <w:pPr>
              <w:rPr>
                <w:rFonts w:ascii="Arial" w:hAnsi="Arial" w:cs="Arial"/>
                <w:b/>
                <w:bCs/>
              </w:rPr>
            </w:pPr>
            <w:r w:rsidRPr="004B2883">
              <w:rPr>
                <w:rFonts w:ascii="Arial" w:hAnsi="Arial" w:cs="Arial"/>
                <w:b/>
                <w:bCs/>
              </w:rPr>
              <w:t xml:space="preserve">Appendix 4c: </w:t>
            </w:r>
            <w:r w:rsidRPr="00F73375">
              <w:rPr>
                <w:rFonts w:ascii="Arial" w:hAnsi="Arial" w:cs="Arial"/>
                <w:b/>
                <w:bCs/>
              </w:rPr>
              <w:t>Project EnergyConnect Benchmark report – KPMG</w:t>
            </w:r>
          </w:p>
        </w:tc>
      </w:tr>
      <w:tr w:rsidR="0076213A" w14:paraId="07416993" w14:textId="77777777" w:rsidTr="358799A6">
        <w:trPr>
          <w:cantSplit/>
          <w:trHeight w:val="300"/>
        </w:trPr>
        <w:tc>
          <w:tcPr>
            <w:tcW w:w="2124" w:type="dxa"/>
            <w:tcBorders>
              <w:bottom w:val="single" w:sz="2" w:space="0" w:color="BFBFBF" w:themeColor="background1" w:themeShade="BF"/>
            </w:tcBorders>
            <w:shd w:val="clear" w:color="auto" w:fill="FFFFFF" w:themeFill="background1"/>
          </w:tcPr>
          <w:p w14:paraId="6394F436" w14:textId="77777777" w:rsidR="0076213A" w:rsidRDefault="0076213A" w:rsidP="0076213A">
            <w:pPr>
              <w:rPr>
                <w:rFonts w:ascii="Arial" w:eastAsiaTheme="majorEastAsia" w:hAnsi="Arial" w:cs="Arial"/>
                <w:lang w:eastAsia="en-AU"/>
              </w:rPr>
            </w:pPr>
            <w:r>
              <w:rPr>
                <w:rFonts w:ascii="Arial" w:eastAsiaTheme="majorEastAsia" w:hAnsi="Arial" w:cs="Arial"/>
                <w:lang w:eastAsia="en-AU"/>
              </w:rPr>
              <w:t xml:space="preserve">The following locations in this document: </w:t>
            </w:r>
          </w:p>
          <w:p w14:paraId="6BE7E931" w14:textId="3E5254CE" w:rsidR="0076213A" w:rsidRDefault="0076213A" w:rsidP="0076213A">
            <w:pPr>
              <w:pStyle w:val="ListParagraph"/>
              <w:numPr>
                <w:ilvl w:val="0"/>
                <w:numId w:val="14"/>
              </w:numPr>
              <w:spacing w:after="120"/>
              <w:ind w:left="414" w:hanging="357"/>
              <w:rPr>
                <w:rFonts w:ascii="Arial" w:eastAsiaTheme="majorEastAsia" w:hAnsi="Arial" w:cs="Arial"/>
                <w:lang w:eastAsia="en-AU"/>
              </w:rPr>
            </w:pPr>
            <w:r>
              <w:rPr>
                <w:rFonts w:ascii="Arial" w:eastAsiaTheme="majorEastAsia" w:hAnsi="Arial" w:cs="Arial"/>
                <w:lang w:eastAsia="en-AU"/>
              </w:rPr>
              <w:lastRenderedPageBreak/>
              <w:t>Document review and approval</w:t>
            </w:r>
          </w:p>
          <w:p w14:paraId="4CEE6BC2" w14:textId="3B16895D" w:rsidR="0076213A" w:rsidRDefault="0076213A" w:rsidP="0076213A">
            <w:pPr>
              <w:pStyle w:val="ListParagraph"/>
              <w:numPr>
                <w:ilvl w:val="0"/>
                <w:numId w:val="14"/>
              </w:numPr>
              <w:spacing w:after="120"/>
              <w:ind w:left="414" w:hanging="357"/>
              <w:rPr>
                <w:rFonts w:ascii="Arial" w:eastAsiaTheme="majorEastAsia" w:hAnsi="Arial" w:cs="Arial"/>
                <w:lang w:eastAsia="en-AU"/>
              </w:rPr>
            </w:pPr>
            <w:r>
              <w:rPr>
                <w:rFonts w:ascii="Arial" w:eastAsiaTheme="majorEastAsia" w:hAnsi="Arial" w:cs="Arial"/>
                <w:lang w:eastAsia="en-AU"/>
              </w:rPr>
              <w:t>Contents</w:t>
            </w:r>
          </w:p>
          <w:p w14:paraId="3BC62591" w14:textId="6A2D6E28" w:rsidR="0076213A" w:rsidRPr="00A51F68" w:rsidRDefault="0076213A" w:rsidP="0076213A">
            <w:pPr>
              <w:pStyle w:val="ListParagraph"/>
              <w:numPr>
                <w:ilvl w:val="0"/>
                <w:numId w:val="14"/>
              </w:numPr>
              <w:spacing w:after="120"/>
              <w:ind w:left="414" w:hanging="357"/>
              <w:rPr>
                <w:rFonts w:ascii="Arial" w:eastAsiaTheme="majorEastAsia" w:hAnsi="Arial" w:cs="Arial"/>
                <w:lang w:eastAsia="en-AU"/>
              </w:rPr>
            </w:pPr>
            <w:r w:rsidRPr="00A51F68">
              <w:rPr>
                <w:rFonts w:ascii="Arial" w:eastAsiaTheme="majorEastAsia" w:hAnsi="Arial" w:cs="Arial"/>
                <w:lang w:eastAsia="en-AU"/>
              </w:rPr>
              <w:t xml:space="preserve">Inherent limitations </w:t>
            </w:r>
          </w:p>
          <w:p w14:paraId="23758A52" w14:textId="77777777" w:rsidR="0076213A" w:rsidRDefault="0076213A" w:rsidP="0076213A">
            <w:pPr>
              <w:pStyle w:val="ListParagraph"/>
              <w:numPr>
                <w:ilvl w:val="0"/>
                <w:numId w:val="14"/>
              </w:numPr>
              <w:spacing w:after="120"/>
              <w:ind w:left="414" w:hanging="357"/>
              <w:rPr>
                <w:rFonts w:ascii="Arial" w:eastAsiaTheme="majorEastAsia" w:hAnsi="Arial" w:cs="Arial"/>
                <w:lang w:eastAsia="en-AU"/>
              </w:rPr>
            </w:pPr>
            <w:r>
              <w:rPr>
                <w:rFonts w:ascii="Arial" w:eastAsiaTheme="majorEastAsia" w:hAnsi="Arial" w:cs="Arial"/>
                <w:lang w:eastAsia="en-AU"/>
              </w:rPr>
              <w:t xml:space="preserve">Notice to third parties </w:t>
            </w:r>
          </w:p>
          <w:p w14:paraId="5444A998" w14:textId="3547398D" w:rsidR="0076213A" w:rsidRDefault="0076213A" w:rsidP="0076213A">
            <w:pPr>
              <w:pStyle w:val="ListParagraph"/>
              <w:numPr>
                <w:ilvl w:val="0"/>
                <w:numId w:val="14"/>
              </w:numPr>
              <w:spacing w:after="120"/>
              <w:ind w:left="414" w:hanging="357"/>
              <w:rPr>
                <w:rFonts w:ascii="Arial" w:eastAsiaTheme="majorEastAsia" w:hAnsi="Arial" w:cs="Arial"/>
                <w:lang w:eastAsia="en-AU"/>
              </w:rPr>
            </w:pPr>
            <w:r>
              <w:rPr>
                <w:rFonts w:ascii="Arial" w:eastAsiaTheme="majorEastAsia" w:hAnsi="Arial" w:cs="Arial"/>
                <w:lang w:eastAsia="en-AU"/>
              </w:rPr>
              <w:t xml:space="preserve">Section 1.1 Scope of services, p 2 </w:t>
            </w:r>
          </w:p>
          <w:p w14:paraId="6953A437" w14:textId="20B1F39E" w:rsidR="0076213A" w:rsidRDefault="0076213A" w:rsidP="0076213A">
            <w:pPr>
              <w:pStyle w:val="ListParagraph"/>
              <w:numPr>
                <w:ilvl w:val="0"/>
                <w:numId w:val="14"/>
              </w:numPr>
              <w:spacing w:after="120"/>
              <w:ind w:left="414" w:hanging="357"/>
              <w:rPr>
                <w:rFonts w:ascii="Arial" w:eastAsiaTheme="majorEastAsia" w:hAnsi="Arial" w:cs="Arial"/>
                <w:lang w:eastAsia="en-AU"/>
              </w:rPr>
            </w:pPr>
            <w:r>
              <w:rPr>
                <w:rFonts w:ascii="Arial" w:eastAsiaTheme="majorEastAsia" w:hAnsi="Arial" w:cs="Arial"/>
                <w:lang w:eastAsia="en-AU"/>
              </w:rPr>
              <w:t xml:space="preserve">Section 1.2 Limitations, p 2 </w:t>
            </w:r>
          </w:p>
          <w:p w14:paraId="29C3F8B7" w14:textId="055DAE5B" w:rsidR="0076213A" w:rsidRDefault="0076213A" w:rsidP="0076213A">
            <w:pPr>
              <w:pStyle w:val="ListParagraph"/>
              <w:numPr>
                <w:ilvl w:val="0"/>
                <w:numId w:val="14"/>
              </w:numPr>
              <w:spacing w:after="120"/>
              <w:ind w:left="414" w:hanging="357"/>
              <w:rPr>
                <w:rFonts w:ascii="Arial" w:eastAsiaTheme="majorEastAsia" w:hAnsi="Arial" w:cs="Arial"/>
                <w:lang w:eastAsia="en-AU"/>
              </w:rPr>
            </w:pPr>
            <w:r>
              <w:rPr>
                <w:rFonts w:ascii="Arial" w:eastAsiaTheme="majorEastAsia" w:hAnsi="Arial" w:cs="Arial"/>
                <w:lang w:eastAsia="en-AU"/>
              </w:rPr>
              <w:t>Section 1.3 Key findings, pp 3-4</w:t>
            </w:r>
          </w:p>
          <w:p w14:paraId="01062A43" w14:textId="75F69C0B" w:rsidR="0076213A" w:rsidRDefault="0076213A" w:rsidP="0076213A">
            <w:pPr>
              <w:pStyle w:val="ListParagraph"/>
              <w:numPr>
                <w:ilvl w:val="0"/>
                <w:numId w:val="14"/>
              </w:numPr>
              <w:spacing w:after="120"/>
              <w:ind w:left="414" w:hanging="357"/>
              <w:rPr>
                <w:rFonts w:ascii="Arial" w:eastAsiaTheme="majorEastAsia" w:hAnsi="Arial" w:cs="Arial"/>
                <w:lang w:eastAsia="en-AU"/>
              </w:rPr>
            </w:pPr>
            <w:r>
              <w:rPr>
                <w:rFonts w:ascii="Arial" w:eastAsiaTheme="majorEastAsia" w:hAnsi="Arial" w:cs="Arial"/>
                <w:lang w:eastAsia="en-AU"/>
              </w:rPr>
              <w:t>Section 2 Purpose of report, p6</w:t>
            </w:r>
          </w:p>
          <w:p w14:paraId="0FEA5B8C" w14:textId="10CD3AAD" w:rsidR="0076213A" w:rsidRDefault="0076213A" w:rsidP="0076213A">
            <w:pPr>
              <w:pStyle w:val="ListParagraph"/>
              <w:numPr>
                <w:ilvl w:val="0"/>
                <w:numId w:val="14"/>
              </w:numPr>
              <w:spacing w:after="120"/>
              <w:ind w:left="414" w:hanging="357"/>
              <w:rPr>
                <w:rFonts w:ascii="Arial" w:eastAsiaTheme="majorEastAsia" w:hAnsi="Arial" w:cs="Arial"/>
                <w:lang w:eastAsia="en-AU"/>
              </w:rPr>
            </w:pPr>
            <w:r>
              <w:rPr>
                <w:rFonts w:ascii="Arial" w:eastAsiaTheme="majorEastAsia" w:hAnsi="Arial" w:cs="Arial"/>
                <w:lang w:eastAsia="en-AU"/>
              </w:rPr>
              <w:t>Section 3 Benchmarking methodology, pp 7-8</w:t>
            </w:r>
          </w:p>
          <w:p w14:paraId="08BC9370" w14:textId="737036B3" w:rsidR="0076213A" w:rsidRDefault="0076213A" w:rsidP="0076213A">
            <w:pPr>
              <w:pStyle w:val="ListParagraph"/>
              <w:numPr>
                <w:ilvl w:val="0"/>
                <w:numId w:val="14"/>
              </w:numPr>
              <w:spacing w:after="120"/>
              <w:ind w:left="414" w:hanging="357"/>
              <w:rPr>
                <w:rFonts w:ascii="Arial" w:eastAsiaTheme="majorEastAsia" w:hAnsi="Arial" w:cs="Arial"/>
                <w:lang w:eastAsia="en-AU"/>
              </w:rPr>
            </w:pPr>
            <w:r>
              <w:rPr>
                <w:rFonts w:ascii="Arial" w:eastAsiaTheme="majorEastAsia" w:hAnsi="Arial" w:cs="Arial"/>
                <w:lang w:eastAsia="en-AU"/>
              </w:rPr>
              <w:t xml:space="preserve">Section 3.2 Data sources, pp 9-13 </w:t>
            </w:r>
          </w:p>
          <w:p w14:paraId="2CCDEBF6" w14:textId="2C50A8E2" w:rsidR="0076213A" w:rsidRDefault="0076213A" w:rsidP="0076213A">
            <w:pPr>
              <w:pStyle w:val="ListParagraph"/>
              <w:numPr>
                <w:ilvl w:val="0"/>
                <w:numId w:val="14"/>
              </w:numPr>
              <w:spacing w:after="120"/>
              <w:ind w:left="414" w:hanging="357"/>
              <w:rPr>
                <w:rFonts w:ascii="Arial" w:eastAsiaTheme="majorEastAsia" w:hAnsi="Arial" w:cs="Arial"/>
                <w:lang w:eastAsia="en-AU"/>
              </w:rPr>
            </w:pPr>
            <w:r>
              <w:rPr>
                <w:rFonts w:ascii="Arial" w:eastAsiaTheme="majorEastAsia" w:hAnsi="Arial" w:cs="Arial"/>
                <w:lang w:eastAsia="en-AU"/>
              </w:rPr>
              <w:t>Section 4 Transmission line, pp 17-24</w:t>
            </w:r>
          </w:p>
          <w:p w14:paraId="5461CFC5" w14:textId="3510C787" w:rsidR="0076213A" w:rsidRDefault="0076213A" w:rsidP="0076213A">
            <w:pPr>
              <w:pStyle w:val="ListParagraph"/>
              <w:numPr>
                <w:ilvl w:val="0"/>
                <w:numId w:val="14"/>
              </w:numPr>
              <w:spacing w:after="120"/>
              <w:ind w:left="414" w:hanging="357"/>
              <w:rPr>
                <w:rFonts w:ascii="Arial" w:eastAsiaTheme="majorEastAsia" w:hAnsi="Arial" w:cs="Arial"/>
                <w:lang w:eastAsia="en-AU"/>
              </w:rPr>
            </w:pPr>
            <w:r>
              <w:rPr>
                <w:rFonts w:ascii="Arial" w:eastAsiaTheme="majorEastAsia" w:hAnsi="Arial" w:cs="Arial"/>
                <w:lang w:eastAsia="en-AU"/>
              </w:rPr>
              <w:t xml:space="preserve">Section 5 Substation, pp 25-32 </w:t>
            </w:r>
          </w:p>
          <w:p w14:paraId="1EA48099" w14:textId="6A6A8C39" w:rsidR="0076213A" w:rsidRPr="00064EDA" w:rsidRDefault="0076213A" w:rsidP="0076213A">
            <w:pPr>
              <w:pStyle w:val="ListParagraph"/>
              <w:numPr>
                <w:ilvl w:val="0"/>
                <w:numId w:val="14"/>
              </w:numPr>
              <w:spacing w:after="120"/>
              <w:ind w:left="414" w:hanging="357"/>
              <w:rPr>
                <w:rFonts w:ascii="Arial" w:eastAsiaTheme="majorEastAsia" w:hAnsi="Arial" w:cs="Arial"/>
                <w:lang w:eastAsia="en-AU"/>
              </w:rPr>
            </w:pPr>
            <w:r>
              <w:rPr>
                <w:rFonts w:ascii="Arial" w:eastAsiaTheme="majorEastAsia" w:hAnsi="Arial" w:cs="Arial"/>
                <w:lang w:eastAsia="en-AU"/>
              </w:rPr>
              <w:lastRenderedPageBreak/>
              <w:t>Section 6 References, pp 33-34</w:t>
            </w:r>
          </w:p>
        </w:tc>
        <w:tc>
          <w:tcPr>
            <w:tcW w:w="1559" w:type="dxa"/>
            <w:tcBorders>
              <w:bottom w:val="single" w:sz="2" w:space="0" w:color="BFBFBF" w:themeColor="background1" w:themeShade="BF"/>
            </w:tcBorders>
            <w:shd w:val="clear" w:color="auto" w:fill="FFFFFF" w:themeFill="background1"/>
          </w:tcPr>
          <w:p w14:paraId="27E63F55" w14:textId="1E29EDE3" w:rsidR="0076213A" w:rsidRDefault="0076213A" w:rsidP="0076213A">
            <w:pPr>
              <w:rPr>
                <w:rFonts w:ascii="Arial" w:hAnsi="Arial" w:cs="Arial"/>
              </w:rPr>
            </w:pPr>
            <w:r w:rsidRPr="007D6291">
              <w:rPr>
                <w:rFonts w:ascii="Arial" w:hAnsi="Arial" w:cs="Arial"/>
              </w:rPr>
              <w:lastRenderedPageBreak/>
              <w:t>Confidential information asserted by KPMG</w:t>
            </w:r>
          </w:p>
        </w:tc>
        <w:tc>
          <w:tcPr>
            <w:tcW w:w="1701" w:type="dxa"/>
            <w:tcBorders>
              <w:bottom w:val="single" w:sz="2" w:space="0" w:color="BFBFBF" w:themeColor="background1" w:themeShade="BF"/>
            </w:tcBorders>
            <w:shd w:val="clear" w:color="auto" w:fill="FFFFFF" w:themeFill="background1"/>
          </w:tcPr>
          <w:p w14:paraId="471859E0" w14:textId="169B6C04" w:rsidR="0076213A" w:rsidRDefault="0076213A" w:rsidP="0076213A">
            <w:pPr>
              <w:rPr>
                <w:rFonts w:ascii="Arial" w:hAnsi="Arial" w:cs="Arial"/>
              </w:rPr>
            </w:pPr>
            <w:r>
              <w:rPr>
                <w:rFonts w:ascii="Arial" w:hAnsi="Arial" w:cs="Arial"/>
              </w:rPr>
              <w:t>Various</w:t>
            </w:r>
          </w:p>
        </w:tc>
        <w:tc>
          <w:tcPr>
            <w:tcW w:w="1559" w:type="dxa"/>
            <w:tcBorders>
              <w:bottom w:val="single" w:sz="2" w:space="0" w:color="BFBFBF" w:themeColor="background1" w:themeShade="BF"/>
            </w:tcBorders>
            <w:shd w:val="clear" w:color="auto" w:fill="FFFFFF" w:themeFill="background1"/>
          </w:tcPr>
          <w:p w14:paraId="0C3CB07C" w14:textId="5AA5204C" w:rsidR="0076213A" w:rsidRPr="4A207FDB" w:rsidRDefault="0076213A" w:rsidP="0076213A">
            <w:pPr>
              <w:rPr>
                <w:rFonts w:ascii="Arial" w:hAnsi="Arial" w:cs="Arial"/>
              </w:rPr>
            </w:pPr>
            <w:r>
              <w:rPr>
                <w:rFonts w:ascii="Arial" w:hAnsi="Arial" w:cs="Arial"/>
              </w:rPr>
              <w:t>Other</w:t>
            </w:r>
          </w:p>
        </w:tc>
        <w:tc>
          <w:tcPr>
            <w:tcW w:w="1985" w:type="dxa"/>
            <w:tcBorders>
              <w:bottom w:val="single" w:sz="2" w:space="0" w:color="BFBFBF" w:themeColor="background1" w:themeShade="BF"/>
            </w:tcBorders>
            <w:shd w:val="clear" w:color="auto" w:fill="FFFFFF" w:themeFill="background1"/>
          </w:tcPr>
          <w:p w14:paraId="6979BBF6" w14:textId="77777777" w:rsidR="0076213A" w:rsidRPr="00695B5D" w:rsidRDefault="0076213A" w:rsidP="0076213A">
            <w:pPr>
              <w:rPr>
                <w:rFonts w:ascii="Arial" w:eastAsia="Arial" w:hAnsi="Arial" w:cs="Arial"/>
              </w:rPr>
            </w:pPr>
            <w:r w:rsidRPr="00695B5D">
              <w:rPr>
                <w:rFonts w:ascii="Arial" w:eastAsia="Arial" w:hAnsi="Arial" w:cs="Arial"/>
              </w:rPr>
              <w:t>Transgrid obtained the report from a third party, KPMG.</w:t>
            </w:r>
          </w:p>
          <w:p w14:paraId="0F4B2AD0" w14:textId="118D5C74" w:rsidR="0076213A" w:rsidRPr="2E1A3876" w:rsidRDefault="0076213A" w:rsidP="0076213A">
            <w:pPr>
              <w:rPr>
                <w:rFonts w:ascii="Arial" w:eastAsia="Arial" w:hAnsi="Arial" w:cs="Arial"/>
              </w:rPr>
            </w:pPr>
            <w:r w:rsidRPr="00695B5D">
              <w:rPr>
                <w:rFonts w:ascii="Arial" w:eastAsia="Arial" w:hAnsi="Arial" w:cs="Arial"/>
              </w:rPr>
              <w:t xml:space="preserve">KPMG has provided consent </w:t>
            </w:r>
            <w:r w:rsidRPr="00695B5D">
              <w:rPr>
                <w:rFonts w:ascii="Arial" w:eastAsia="Arial" w:hAnsi="Arial" w:cs="Arial"/>
              </w:rPr>
              <w:lastRenderedPageBreak/>
              <w:t xml:space="preserve">for the report to be made public on the basis that certain information remains confidential. The information KPMG </w:t>
            </w:r>
            <w:r>
              <w:rPr>
                <w:rFonts w:ascii="Arial" w:eastAsia="Arial" w:hAnsi="Arial" w:cs="Arial"/>
              </w:rPr>
              <w:t xml:space="preserve">and Transgrid </w:t>
            </w:r>
            <w:r w:rsidRPr="00695B5D">
              <w:rPr>
                <w:rFonts w:ascii="Arial" w:eastAsia="Arial" w:hAnsi="Arial" w:cs="Arial"/>
              </w:rPr>
              <w:t>asserts to be confidential has been redacted.</w:t>
            </w:r>
          </w:p>
        </w:tc>
        <w:tc>
          <w:tcPr>
            <w:tcW w:w="2551" w:type="dxa"/>
            <w:tcBorders>
              <w:bottom w:val="single" w:sz="2" w:space="0" w:color="BFBFBF" w:themeColor="background1" w:themeShade="BF"/>
            </w:tcBorders>
            <w:shd w:val="clear" w:color="auto" w:fill="FFFFFF" w:themeFill="background1"/>
          </w:tcPr>
          <w:p w14:paraId="733851AB" w14:textId="2D6BBC1F" w:rsidR="0076213A" w:rsidRPr="00695B5D" w:rsidRDefault="0076213A" w:rsidP="0076213A">
            <w:pPr>
              <w:rPr>
                <w:rFonts w:ascii="Arial" w:eastAsia="Arial" w:hAnsi="Arial" w:cs="Arial"/>
              </w:rPr>
            </w:pPr>
            <w:r w:rsidRPr="00695B5D">
              <w:rPr>
                <w:rFonts w:ascii="Arial" w:eastAsia="Arial" w:hAnsi="Arial" w:cs="Arial"/>
              </w:rPr>
              <w:lastRenderedPageBreak/>
              <w:t xml:space="preserve">Transgrid does not have permission to publish the report without the redactions. Disclosing the entire report would </w:t>
            </w:r>
            <w:r w:rsidRPr="00695B5D">
              <w:rPr>
                <w:rFonts w:ascii="Arial" w:eastAsia="Arial" w:hAnsi="Arial" w:cs="Arial"/>
              </w:rPr>
              <w:lastRenderedPageBreak/>
              <w:t xml:space="preserve">be a clear detriment to Transgrid </w:t>
            </w:r>
            <w:r w:rsidRPr="00271D54">
              <w:rPr>
                <w:rFonts w:ascii="Arial" w:eastAsia="Arial" w:hAnsi="Arial" w:cs="Arial"/>
              </w:rPr>
              <w:t xml:space="preserve">as the reports includes information sensitive to both Transgrid </w:t>
            </w:r>
            <w:r>
              <w:rPr>
                <w:rFonts w:ascii="Arial" w:eastAsia="Arial" w:hAnsi="Arial" w:cs="Arial"/>
              </w:rPr>
              <w:t xml:space="preserve">and KPMG, additionally </w:t>
            </w:r>
            <w:proofErr w:type="gramStart"/>
            <w:r>
              <w:rPr>
                <w:rFonts w:ascii="Arial" w:eastAsia="Arial" w:hAnsi="Arial" w:cs="Arial"/>
              </w:rPr>
              <w:t xml:space="preserve">Transgrid </w:t>
            </w:r>
            <w:r w:rsidRPr="00695B5D">
              <w:rPr>
                <w:rFonts w:ascii="Arial" w:eastAsia="Arial" w:hAnsi="Arial" w:cs="Arial"/>
              </w:rPr>
              <w:t xml:space="preserve"> would</w:t>
            </w:r>
            <w:proofErr w:type="gramEnd"/>
            <w:r w:rsidRPr="00695B5D">
              <w:rPr>
                <w:rFonts w:ascii="Arial" w:eastAsia="Arial" w:hAnsi="Arial" w:cs="Arial"/>
              </w:rPr>
              <w:t xml:space="preserve"> be liable for breach of contract.</w:t>
            </w:r>
          </w:p>
          <w:p w14:paraId="51B63604" w14:textId="77777777" w:rsidR="0076213A" w:rsidRPr="2E1A3876" w:rsidRDefault="0076213A" w:rsidP="0076213A">
            <w:pPr>
              <w:rPr>
                <w:rFonts w:ascii="Arial" w:eastAsia="Arial" w:hAnsi="Arial" w:cs="Arial"/>
              </w:rPr>
            </w:pPr>
          </w:p>
        </w:tc>
        <w:tc>
          <w:tcPr>
            <w:tcW w:w="2552" w:type="dxa"/>
            <w:tcBorders>
              <w:bottom w:val="single" w:sz="2" w:space="0" w:color="BFBFBF" w:themeColor="background1" w:themeShade="BF"/>
            </w:tcBorders>
            <w:shd w:val="clear" w:color="auto" w:fill="FFFFFF" w:themeFill="background1"/>
          </w:tcPr>
          <w:p w14:paraId="5653CDFE" w14:textId="77777777" w:rsidR="0076213A" w:rsidRDefault="0076213A" w:rsidP="0076213A">
            <w:pPr>
              <w:rPr>
                <w:rFonts w:ascii="Arial" w:eastAsia="Arial" w:hAnsi="Arial" w:cs="Arial"/>
              </w:rPr>
            </w:pPr>
            <w:r w:rsidRPr="00FA693A">
              <w:rPr>
                <w:rFonts w:ascii="Arial" w:eastAsia="Arial" w:hAnsi="Arial" w:cs="Arial"/>
              </w:rPr>
              <w:lastRenderedPageBreak/>
              <w:t xml:space="preserve">Protecting information of third parties ensures that Transgrid’s relationship with third parties are not jeopardised and third </w:t>
            </w:r>
            <w:r w:rsidRPr="00FA693A">
              <w:rPr>
                <w:rFonts w:ascii="Arial" w:eastAsia="Arial" w:hAnsi="Arial" w:cs="Arial"/>
              </w:rPr>
              <w:lastRenderedPageBreak/>
              <w:t>parties are not disincentivised from providing Transgrid with services in the future.</w:t>
            </w:r>
          </w:p>
          <w:p w14:paraId="1F1F0279" w14:textId="4C2C7DAB" w:rsidR="0076213A" w:rsidRPr="00FA693A" w:rsidRDefault="0076213A" w:rsidP="0076213A">
            <w:pPr>
              <w:rPr>
                <w:rFonts w:ascii="Arial" w:eastAsia="Arial" w:hAnsi="Arial" w:cs="Arial"/>
              </w:rPr>
            </w:pPr>
            <w:r w:rsidRPr="00CA4CFE">
              <w:rPr>
                <w:rFonts w:ascii="Arial" w:eastAsia="Arial" w:hAnsi="Arial" w:cs="Arial"/>
              </w:rPr>
              <w:t>Protecting sensitive cost information of third parties and Transgrid ensures that Transgrid can obtain competitive pricing and maintain consumer affordability.</w:t>
            </w:r>
          </w:p>
          <w:p w14:paraId="56432A18" w14:textId="77777777" w:rsidR="0076213A" w:rsidRPr="2E1A3876" w:rsidRDefault="0076213A" w:rsidP="0076213A">
            <w:pPr>
              <w:rPr>
                <w:rFonts w:ascii="Arial" w:eastAsia="Arial" w:hAnsi="Arial" w:cs="Arial"/>
              </w:rPr>
            </w:pPr>
          </w:p>
        </w:tc>
        <w:tc>
          <w:tcPr>
            <w:tcW w:w="1275" w:type="dxa"/>
            <w:tcBorders>
              <w:bottom w:val="single" w:sz="2" w:space="0" w:color="BFBFBF" w:themeColor="background1" w:themeShade="BF"/>
            </w:tcBorders>
            <w:shd w:val="clear" w:color="auto" w:fill="FFFFFF" w:themeFill="background1"/>
          </w:tcPr>
          <w:p w14:paraId="69B2B11C" w14:textId="21486412" w:rsidR="0076213A" w:rsidRPr="68E44039" w:rsidRDefault="0076213A" w:rsidP="0076213A">
            <w:pPr>
              <w:rPr>
                <w:rFonts w:ascii="Arial" w:hAnsi="Arial" w:cs="Arial"/>
              </w:rPr>
            </w:pPr>
            <w:r w:rsidRPr="358799A6">
              <w:rPr>
                <w:rFonts w:ascii="Arial" w:hAnsi="Arial" w:cs="Arial"/>
              </w:rPr>
              <w:lastRenderedPageBreak/>
              <w:t>32 pages</w:t>
            </w:r>
          </w:p>
        </w:tc>
      </w:tr>
      <w:tr w:rsidR="0076213A" w:rsidRPr="00BF5F1E" w14:paraId="4F9E4C0D" w14:textId="77777777" w:rsidTr="358799A6">
        <w:trPr>
          <w:cantSplit/>
          <w:trHeight w:val="300"/>
        </w:trPr>
        <w:tc>
          <w:tcPr>
            <w:tcW w:w="15306" w:type="dxa"/>
            <w:gridSpan w:val="8"/>
            <w:tcBorders>
              <w:bottom w:val="single" w:sz="2" w:space="0" w:color="BFBFBF" w:themeColor="background1" w:themeShade="BF"/>
            </w:tcBorders>
            <w:shd w:val="clear" w:color="auto" w:fill="D8EFD7" w:themeFill="accent1" w:themeFillTint="33"/>
          </w:tcPr>
          <w:p w14:paraId="5722081E" w14:textId="465DC7AB" w:rsidR="0076213A" w:rsidRPr="00100828" w:rsidRDefault="0076213A" w:rsidP="0076213A">
            <w:pPr>
              <w:rPr>
                <w:b/>
                <w:bCs/>
              </w:rPr>
            </w:pPr>
            <w:r w:rsidRPr="00100828">
              <w:rPr>
                <w:rFonts w:ascii="Arial" w:eastAsiaTheme="majorEastAsia" w:hAnsi="Arial" w:cs="Arial"/>
                <w:b/>
                <w:bCs/>
                <w:lang w:eastAsia="en-AU"/>
              </w:rPr>
              <w:lastRenderedPageBreak/>
              <w:t>Attachment 6: Rules pre-conditions</w:t>
            </w:r>
          </w:p>
        </w:tc>
      </w:tr>
      <w:tr w:rsidR="0076213A" w:rsidRPr="00BF5F1E" w14:paraId="1137AE92" w14:textId="77777777" w:rsidTr="009B4B47">
        <w:trPr>
          <w:cantSplit/>
          <w:trHeight w:val="300"/>
        </w:trPr>
        <w:tc>
          <w:tcPr>
            <w:tcW w:w="2124" w:type="dxa"/>
          </w:tcPr>
          <w:p w14:paraId="5717302B" w14:textId="585F1DF6" w:rsidR="0076213A" w:rsidRDefault="0076213A" w:rsidP="0076213A">
            <w:pPr>
              <w:spacing w:after="120"/>
              <w:contextualSpacing/>
              <w:rPr>
                <w:rFonts w:ascii="Arial" w:eastAsiaTheme="majorEastAsia" w:hAnsi="Arial" w:cs="Arial"/>
                <w:szCs w:val="21"/>
                <w:lang w:eastAsia="en-AU"/>
              </w:rPr>
            </w:pPr>
            <w:r>
              <w:rPr>
                <w:rFonts w:ascii="Arial" w:eastAsiaTheme="majorEastAsia" w:hAnsi="Arial" w:cs="Arial"/>
                <w:szCs w:val="21"/>
                <w:lang w:eastAsia="en-AU"/>
              </w:rPr>
              <w:t xml:space="preserve">The following sections in this document: </w:t>
            </w:r>
          </w:p>
          <w:p w14:paraId="5E75CD3E" w14:textId="1CBDBAE8" w:rsidR="0076213A" w:rsidRDefault="0076213A" w:rsidP="0076213A">
            <w:pPr>
              <w:pStyle w:val="ListParagraph"/>
              <w:numPr>
                <w:ilvl w:val="0"/>
                <w:numId w:val="14"/>
              </w:numPr>
              <w:spacing w:after="120"/>
              <w:ind w:left="414" w:hanging="357"/>
              <w:rPr>
                <w:rFonts w:ascii="Arial" w:eastAsiaTheme="majorEastAsia" w:hAnsi="Arial" w:cs="Arial"/>
                <w:lang w:eastAsia="en-AU"/>
              </w:rPr>
            </w:pPr>
            <w:r>
              <w:rPr>
                <w:rFonts w:ascii="Arial" w:eastAsiaTheme="majorEastAsia" w:hAnsi="Arial" w:cs="Arial"/>
                <w:lang w:eastAsia="en-AU"/>
              </w:rPr>
              <w:t xml:space="preserve">Section 5 Capex amount satisfies the threshold requirements, Table 1, p 16 </w:t>
            </w:r>
          </w:p>
          <w:p w14:paraId="4D438847" w14:textId="5A259BAB" w:rsidR="0076213A" w:rsidRPr="00A62ED8" w:rsidRDefault="0076213A" w:rsidP="0076213A">
            <w:pPr>
              <w:pStyle w:val="ListParagraph"/>
              <w:numPr>
                <w:ilvl w:val="0"/>
                <w:numId w:val="14"/>
              </w:numPr>
              <w:spacing w:after="120"/>
              <w:ind w:left="414" w:hanging="357"/>
              <w:rPr>
                <w:rFonts w:ascii="Arial" w:eastAsiaTheme="majorEastAsia" w:hAnsi="Arial" w:cs="Arial"/>
                <w:lang w:eastAsia="en-AU"/>
              </w:rPr>
            </w:pPr>
            <w:r>
              <w:rPr>
                <w:rFonts w:ascii="Arial" w:eastAsiaTheme="majorEastAsia" w:hAnsi="Arial" w:cs="Arial"/>
                <w:lang w:eastAsia="en-AU"/>
              </w:rPr>
              <w:t>Section 6 Reliability and security implication of potential capex reductions, p 17 and Table 2, p 18</w:t>
            </w:r>
          </w:p>
          <w:p w14:paraId="4DE16E27" w14:textId="4C380970" w:rsidR="0076213A" w:rsidRPr="004B44E8" w:rsidRDefault="0076213A" w:rsidP="0076213A">
            <w:pPr>
              <w:spacing w:after="120"/>
              <w:contextualSpacing/>
              <w:rPr>
                <w:lang w:eastAsia="en-AU"/>
              </w:rPr>
            </w:pPr>
          </w:p>
        </w:tc>
        <w:tc>
          <w:tcPr>
            <w:tcW w:w="1559" w:type="dxa"/>
          </w:tcPr>
          <w:p w14:paraId="6714F821" w14:textId="3FAF8209" w:rsidR="0076213A" w:rsidRPr="004B44E8" w:rsidRDefault="0076213A" w:rsidP="0076213A">
            <w:pPr>
              <w:rPr>
                <w:rFonts w:ascii="Arial" w:hAnsi="Arial" w:cs="Arial"/>
              </w:rPr>
            </w:pPr>
            <w:r w:rsidRPr="428C28E2">
              <w:rPr>
                <w:rFonts w:ascii="Arial" w:hAnsi="Arial" w:cs="Arial"/>
              </w:rPr>
              <w:t xml:space="preserve">Capex forecasts for BAU, </w:t>
            </w:r>
            <w:proofErr w:type="spellStart"/>
            <w:r w:rsidRPr="428C28E2">
              <w:rPr>
                <w:rFonts w:ascii="Arial" w:hAnsi="Arial" w:cs="Arial"/>
              </w:rPr>
              <w:t>HumeLink</w:t>
            </w:r>
            <w:proofErr w:type="spellEnd"/>
            <w:r>
              <w:rPr>
                <w:rFonts w:ascii="Arial" w:hAnsi="Arial" w:cs="Arial"/>
              </w:rPr>
              <w:t xml:space="preserve">, </w:t>
            </w:r>
            <w:proofErr w:type="gramStart"/>
            <w:r w:rsidRPr="428C28E2" w:rsidDel="00983D6A">
              <w:rPr>
                <w:rFonts w:ascii="Arial" w:hAnsi="Arial" w:cs="Arial"/>
              </w:rPr>
              <w:t>VNI</w:t>
            </w:r>
            <w:r w:rsidRPr="428C28E2">
              <w:rPr>
                <w:rFonts w:ascii="Arial" w:hAnsi="Arial" w:cs="Arial"/>
              </w:rPr>
              <w:t xml:space="preserve">, </w:t>
            </w:r>
            <w:r>
              <w:rPr>
                <w:rFonts w:ascii="Arial" w:hAnsi="Arial" w:cs="Arial"/>
              </w:rPr>
              <w:t xml:space="preserve"> Disposals</w:t>
            </w:r>
            <w:proofErr w:type="gramEnd"/>
            <w:r>
              <w:rPr>
                <w:rFonts w:ascii="Arial" w:hAnsi="Arial" w:cs="Arial"/>
              </w:rPr>
              <w:t xml:space="preserve"> and </w:t>
            </w:r>
            <w:r w:rsidRPr="428C28E2">
              <w:rPr>
                <w:rFonts w:ascii="Arial" w:hAnsi="Arial" w:cs="Arial"/>
              </w:rPr>
              <w:t>security and reliability and economic benefits</w:t>
            </w:r>
          </w:p>
          <w:p w14:paraId="5C4BBA4A" w14:textId="6033C095" w:rsidR="0076213A" w:rsidRPr="004B44E8" w:rsidRDefault="0076213A" w:rsidP="0076213A">
            <w:pPr>
              <w:rPr>
                <w:rFonts w:ascii="Arial" w:hAnsi="Arial" w:cs="Arial"/>
                <w:color w:val="000000"/>
              </w:rPr>
            </w:pPr>
          </w:p>
        </w:tc>
        <w:tc>
          <w:tcPr>
            <w:tcW w:w="1701" w:type="dxa"/>
          </w:tcPr>
          <w:p w14:paraId="603686D7" w14:textId="76C04A81" w:rsidR="0076213A" w:rsidRPr="004B44E8" w:rsidRDefault="0076213A" w:rsidP="0076213A">
            <w:pPr>
              <w:rPr>
                <w:rFonts w:ascii="Arial" w:hAnsi="Arial" w:cs="Arial"/>
              </w:rPr>
            </w:pPr>
            <w:r w:rsidRPr="428C28E2">
              <w:rPr>
                <w:rFonts w:ascii="Arial" w:hAnsi="Arial" w:cs="Arial"/>
              </w:rPr>
              <w:t>Capex forecasts</w:t>
            </w:r>
          </w:p>
        </w:tc>
        <w:tc>
          <w:tcPr>
            <w:tcW w:w="1559" w:type="dxa"/>
          </w:tcPr>
          <w:p w14:paraId="26DFDDC5" w14:textId="4B25CD96" w:rsidR="0076213A" w:rsidRPr="004B44E8" w:rsidRDefault="0076213A" w:rsidP="0076213A">
            <w:r w:rsidRPr="004B44E8">
              <w:t>Market sensitive cost input</w:t>
            </w:r>
            <w:r>
              <w:t>s /</w:t>
            </w:r>
            <w:r w:rsidRPr="004B44E8">
              <w:t xml:space="preserve"> market intelligence</w:t>
            </w:r>
          </w:p>
        </w:tc>
        <w:tc>
          <w:tcPr>
            <w:tcW w:w="1985" w:type="dxa"/>
          </w:tcPr>
          <w:p w14:paraId="754B851C" w14:textId="2B3C94D2" w:rsidR="0076213A" w:rsidRPr="004B44E8" w:rsidRDefault="0076213A" w:rsidP="0076213A">
            <w:r>
              <w:t xml:space="preserve">The forecast capex amounts are confidential and commercially sensitive to Transgrid, as they detail internal costings, including overspend, which has the potential to harm Transgrid’s position in the market. The forecasts also include projects other than PEC. </w:t>
            </w:r>
          </w:p>
        </w:tc>
        <w:tc>
          <w:tcPr>
            <w:tcW w:w="2551" w:type="dxa"/>
          </w:tcPr>
          <w:p w14:paraId="6D3E8C5D" w14:textId="4E25FAEE" w:rsidR="0076213A" w:rsidRPr="004B44E8" w:rsidRDefault="0076213A" w:rsidP="0076213A">
            <w:r>
              <w:t xml:space="preserve">Revealing this information could harm Transgrid’s commercial interests and negotiating power with contractors, as it reveals forecast costs and overspend potentially weakening Transgrid’s negotiating position across various projects. This may also have reputational costs for Transgrid in the market. </w:t>
            </w:r>
          </w:p>
        </w:tc>
        <w:tc>
          <w:tcPr>
            <w:tcW w:w="2552" w:type="dxa"/>
          </w:tcPr>
          <w:p w14:paraId="139BBC1B" w14:textId="2218509C" w:rsidR="0076213A" w:rsidRPr="004B44E8" w:rsidRDefault="0076213A" w:rsidP="0076213A">
            <w:pPr>
              <w:rPr>
                <w:rFonts w:eastAsia="Arial"/>
                <w:color w:val="auto"/>
                <w:lang w:eastAsia="en-AU"/>
              </w:rPr>
            </w:pPr>
            <w:r w:rsidRPr="0D6F4280">
              <w:rPr>
                <w:rFonts w:eastAsia="Arial"/>
                <w:color w:val="auto"/>
                <w:lang w:eastAsia="en-AU"/>
              </w:rPr>
              <w:t>There is no apparent</w:t>
            </w:r>
            <w:r w:rsidRPr="428C28E2">
              <w:rPr>
                <w:rFonts w:eastAsia="Arial"/>
                <w:color w:val="auto"/>
                <w:lang w:eastAsia="en-AU"/>
              </w:rPr>
              <w:t xml:space="preserve"> public benefit </w:t>
            </w:r>
            <w:r w:rsidRPr="0D6F4280">
              <w:rPr>
                <w:rFonts w:eastAsia="Arial"/>
                <w:color w:val="auto"/>
                <w:lang w:eastAsia="en-AU"/>
              </w:rPr>
              <w:t>to</w:t>
            </w:r>
            <w:r w:rsidRPr="428C28E2">
              <w:rPr>
                <w:rFonts w:eastAsia="Arial"/>
                <w:color w:val="auto"/>
                <w:lang w:eastAsia="en-AU"/>
              </w:rPr>
              <w:t xml:space="preserve"> disclosing this information, particularly as the forecast costs concern projects which are unrelated to the Application</w:t>
            </w:r>
            <w:r w:rsidRPr="0D6F4280">
              <w:rPr>
                <w:rFonts w:eastAsia="Arial"/>
                <w:color w:val="auto"/>
                <w:lang w:eastAsia="en-AU"/>
              </w:rPr>
              <w:t>. This is</w:t>
            </w:r>
            <w:r w:rsidRPr="428C28E2">
              <w:rPr>
                <w:rFonts w:eastAsia="Arial"/>
                <w:color w:val="auto"/>
                <w:lang w:eastAsia="en-AU"/>
              </w:rPr>
              <w:t xml:space="preserve"> compared to the potential detriment Transgrid would face if the information was disclosed.</w:t>
            </w:r>
          </w:p>
        </w:tc>
        <w:tc>
          <w:tcPr>
            <w:tcW w:w="1275" w:type="dxa"/>
          </w:tcPr>
          <w:p w14:paraId="227A14C3" w14:textId="774CFBB5" w:rsidR="0076213A" w:rsidRPr="004B44E8" w:rsidRDefault="0076213A" w:rsidP="0076213A">
            <w:pPr>
              <w:rPr>
                <w:rFonts w:ascii="Arial" w:hAnsi="Arial" w:cs="Arial"/>
              </w:rPr>
            </w:pPr>
            <w:r w:rsidRPr="358799A6">
              <w:rPr>
                <w:rFonts w:ascii="Arial" w:hAnsi="Arial" w:cs="Arial"/>
              </w:rPr>
              <w:t>2 pages</w:t>
            </w:r>
          </w:p>
        </w:tc>
      </w:tr>
      <w:tr w:rsidR="0076213A" w:rsidRPr="00BF5F1E" w14:paraId="7FDE9EF6" w14:textId="77777777" w:rsidTr="358799A6">
        <w:trPr>
          <w:cantSplit/>
          <w:trHeight w:val="300"/>
        </w:trPr>
        <w:tc>
          <w:tcPr>
            <w:tcW w:w="15306" w:type="dxa"/>
            <w:gridSpan w:val="8"/>
            <w:shd w:val="clear" w:color="auto" w:fill="D8EFD7" w:themeFill="accent1" w:themeFillTint="33"/>
          </w:tcPr>
          <w:p w14:paraId="03B2DD40" w14:textId="6B755CE3" w:rsidR="0076213A" w:rsidRPr="00302E1D" w:rsidRDefault="0076213A" w:rsidP="0076213A">
            <w:pPr>
              <w:rPr>
                <w:rFonts w:ascii="Arial" w:hAnsi="Arial" w:cs="Arial"/>
                <w:b/>
                <w:bCs/>
              </w:rPr>
            </w:pPr>
            <w:r w:rsidRPr="00302E1D">
              <w:rPr>
                <w:rFonts w:ascii="Arial" w:hAnsi="Arial" w:cs="Arial"/>
                <w:b/>
                <w:bCs/>
              </w:rPr>
              <w:t xml:space="preserve">Appendix 6a: </w:t>
            </w:r>
            <w:r w:rsidRPr="002A17AC">
              <w:rPr>
                <w:rFonts w:ascii="Arial" w:hAnsi="Arial" w:cs="Arial"/>
                <w:b/>
                <w:bCs/>
              </w:rPr>
              <w:t>Statement</w:t>
            </w:r>
            <w:r w:rsidRPr="00302E1D">
              <w:rPr>
                <w:rFonts w:ascii="Arial" w:hAnsi="Arial" w:cs="Arial"/>
                <w:b/>
                <w:bCs/>
              </w:rPr>
              <w:t xml:space="preserve"> of facts – reliability and security impacts - GHD</w:t>
            </w:r>
          </w:p>
        </w:tc>
      </w:tr>
      <w:tr w:rsidR="0076213A" w:rsidRPr="00BF5F1E" w14:paraId="3522F27E" w14:textId="77777777" w:rsidTr="009B4B47">
        <w:trPr>
          <w:cantSplit/>
          <w:trHeight w:val="300"/>
        </w:trPr>
        <w:tc>
          <w:tcPr>
            <w:tcW w:w="2124" w:type="dxa"/>
          </w:tcPr>
          <w:p w14:paraId="5CEB6993" w14:textId="0A8F2197" w:rsidR="0076213A" w:rsidRDefault="0076213A" w:rsidP="0076213A">
            <w:pPr>
              <w:spacing w:after="120"/>
              <w:contextualSpacing/>
              <w:rPr>
                <w:rFonts w:ascii="Arial" w:eastAsiaTheme="majorEastAsia" w:hAnsi="Arial" w:cs="Arial"/>
                <w:lang w:eastAsia="en-AU"/>
              </w:rPr>
            </w:pPr>
            <w:r>
              <w:rPr>
                <w:rFonts w:ascii="Arial" w:eastAsiaTheme="majorEastAsia" w:hAnsi="Arial" w:cs="Arial"/>
                <w:lang w:eastAsia="en-AU"/>
              </w:rPr>
              <w:t>Revision table, p 2</w:t>
            </w:r>
          </w:p>
        </w:tc>
        <w:tc>
          <w:tcPr>
            <w:tcW w:w="1559" w:type="dxa"/>
          </w:tcPr>
          <w:p w14:paraId="4E3E0A23" w14:textId="78C18A9B" w:rsidR="0076213A" w:rsidRPr="428C28E2" w:rsidRDefault="0076213A" w:rsidP="0076213A">
            <w:pPr>
              <w:rPr>
                <w:rFonts w:ascii="Arial" w:hAnsi="Arial" w:cs="Arial"/>
              </w:rPr>
            </w:pPr>
            <w:r>
              <w:rPr>
                <w:rFonts w:ascii="Arial" w:hAnsi="Arial" w:cs="Arial"/>
                <w:color w:val="000000"/>
              </w:rPr>
              <w:t>Individual names</w:t>
            </w:r>
          </w:p>
        </w:tc>
        <w:tc>
          <w:tcPr>
            <w:tcW w:w="1701" w:type="dxa"/>
          </w:tcPr>
          <w:p w14:paraId="3D17C379" w14:textId="33EF5DB6" w:rsidR="0076213A" w:rsidRPr="428C28E2" w:rsidRDefault="0076213A" w:rsidP="0076213A">
            <w:pPr>
              <w:rPr>
                <w:rFonts w:ascii="Arial" w:hAnsi="Arial" w:cs="Arial"/>
              </w:rPr>
            </w:pPr>
            <w:r>
              <w:rPr>
                <w:rFonts w:ascii="Arial" w:hAnsi="Arial" w:cs="Arial"/>
                <w:color w:val="000000"/>
              </w:rPr>
              <w:t>Individual details</w:t>
            </w:r>
          </w:p>
        </w:tc>
        <w:tc>
          <w:tcPr>
            <w:tcW w:w="1559" w:type="dxa"/>
          </w:tcPr>
          <w:p w14:paraId="53B2BBDE" w14:textId="00EADD46" w:rsidR="0076213A" w:rsidRPr="004B44E8" w:rsidRDefault="0076213A" w:rsidP="0076213A">
            <w:r>
              <w:rPr>
                <w:rFonts w:ascii="Arial" w:hAnsi="Arial" w:cs="Arial"/>
                <w:color w:val="000000"/>
              </w:rPr>
              <w:t>Personal information</w:t>
            </w:r>
          </w:p>
        </w:tc>
        <w:tc>
          <w:tcPr>
            <w:tcW w:w="1985" w:type="dxa"/>
          </w:tcPr>
          <w:p w14:paraId="0ADE155C" w14:textId="4D3764DA" w:rsidR="0076213A" w:rsidRDefault="0076213A" w:rsidP="0076213A">
            <w:r>
              <w:rPr>
                <w:szCs w:val="21"/>
              </w:rPr>
              <w:t>Revealing the names of the individuals who reviewed and approved the report raises privacy concerns.</w:t>
            </w:r>
          </w:p>
        </w:tc>
        <w:tc>
          <w:tcPr>
            <w:tcW w:w="2551" w:type="dxa"/>
          </w:tcPr>
          <w:p w14:paraId="6124CF4B" w14:textId="77777777" w:rsidR="0076213A" w:rsidRDefault="0076213A" w:rsidP="0076213A">
            <w:r>
              <w:t xml:space="preserve">Revealing this information would have adverse privacy implications for the individuals involved. </w:t>
            </w:r>
          </w:p>
          <w:p w14:paraId="5C315C37" w14:textId="77777777" w:rsidR="0076213A" w:rsidRDefault="0076213A" w:rsidP="0076213A">
            <w:pPr>
              <w:rPr>
                <w:szCs w:val="21"/>
              </w:rPr>
            </w:pPr>
            <w:r>
              <w:rPr>
                <w:szCs w:val="21"/>
              </w:rPr>
              <w:t xml:space="preserve"> </w:t>
            </w:r>
          </w:p>
          <w:p w14:paraId="04E61882" w14:textId="77777777" w:rsidR="0076213A" w:rsidRDefault="0076213A" w:rsidP="0076213A"/>
        </w:tc>
        <w:tc>
          <w:tcPr>
            <w:tcW w:w="2552" w:type="dxa"/>
          </w:tcPr>
          <w:p w14:paraId="6CABA05D" w14:textId="77777777" w:rsidR="0076213A" w:rsidRDefault="0076213A" w:rsidP="0076213A">
            <w:pPr>
              <w:rPr>
                <w:rFonts w:ascii="Arial" w:hAnsi="Arial" w:cs="Arial"/>
                <w:i/>
                <w:iCs/>
              </w:rPr>
            </w:pPr>
            <w:r>
              <w:t>Revealing this information would have adverse privacy implications for the individuals involved.</w:t>
            </w:r>
          </w:p>
          <w:p w14:paraId="0A46DB8B" w14:textId="0F340FB1" w:rsidR="0076213A" w:rsidRPr="0D6F4280" w:rsidRDefault="0076213A" w:rsidP="0076213A">
            <w:pPr>
              <w:rPr>
                <w:rFonts w:eastAsia="Arial"/>
                <w:color w:val="auto"/>
                <w:lang w:eastAsia="en-AU"/>
              </w:rPr>
            </w:pPr>
            <w:r>
              <w:t>There is no apparent</w:t>
            </w:r>
            <w:r w:rsidRPr="00BF5F1E">
              <w:t xml:space="preserve"> public benefit in disclosing this </w:t>
            </w:r>
            <w:r w:rsidRPr="00BF5F1E">
              <w:lastRenderedPageBreak/>
              <w:t xml:space="preserve">information that could outweigh </w:t>
            </w:r>
            <w:r>
              <w:t xml:space="preserve">this </w:t>
            </w:r>
            <w:r w:rsidRPr="00BF5F1E">
              <w:t>detriment</w:t>
            </w:r>
            <w:r>
              <w:t>.</w:t>
            </w:r>
          </w:p>
        </w:tc>
        <w:tc>
          <w:tcPr>
            <w:tcW w:w="1275" w:type="dxa"/>
          </w:tcPr>
          <w:p w14:paraId="5B610C55" w14:textId="74DB9AAA" w:rsidR="0076213A" w:rsidRDefault="0076213A" w:rsidP="0076213A">
            <w:pPr>
              <w:rPr>
                <w:rFonts w:ascii="Arial" w:hAnsi="Arial" w:cs="Arial"/>
              </w:rPr>
            </w:pPr>
            <w:r w:rsidRPr="358799A6">
              <w:rPr>
                <w:rFonts w:ascii="Arial" w:hAnsi="Arial" w:cs="Arial"/>
              </w:rPr>
              <w:lastRenderedPageBreak/>
              <w:t>1 page</w:t>
            </w:r>
          </w:p>
        </w:tc>
      </w:tr>
      <w:tr w:rsidR="0076213A" w:rsidRPr="00BF5F1E" w14:paraId="5072458D" w14:textId="77777777" w:rsidTr="358799A6">
        <w:trPr>
          <w:cantSplit/>
          <w:trHeight w:val="300"/>
        </w:trPr>
        <w:tc>
          <w:tcPr>
            <w:tcW w:w="15306" w:type="dxa"/>
            <w:gridSpan w:val="8"/>
            <w:shd w:val="clear" w:color="auto" w:fill="D8EFD7" w:themeFill="accent1" w:themeFillTint="33"/>
          </w:tcPr>
          <w:p w14:paraId="0D0D408E" w14:textId="46B2FAF1" w:rsidR="0076213A" w:rsidRPr="00302E1D" w:rsidRDefault="0076213A" w:rsidP="0076213A">
            <w:pPr>
              <w:rPr>
                <w:rFonts w:ascii="Arial" w:hAnsi="Arial" w:cs="Arial"/>
                <w:b/>
                <w:bCs/>
              </w:rPr>
            </w:pPr>
            <w:r w:rsidRPr="00302E1D">
              <w:rPr>
                <w:rFonts w:ascii="Arial" w:hAnsi="Arial" w:cs="Arial"/>
                <w:b/>
                <w:bCs/>
              </w:rPr>
              <w:t xml:space="preserve">Appendix 6b: Letter of support - </w:t>
            </w:r>
            <w:proofErr w:type="spellStart"/>
            <w:r w:rsidRPr="00302E1D">
              <w:rPr>
                <w:rFonts w:ascii="Arial" w:hAnsi="Arial" w:cs="Arial"/>
                <w:b/>
                <w:bCs/>
              </w:rPr>
              <w:t>ElectraNet</w:t>
            </w:r>
            <w:proofErr w:type="spellEnd"/>
          </w:p>
        </w:tc>
      </w:tr>
      <w:tr w:rsidR="0076213A" w:rsidRPr="00BF5F1E" w14:paraId="1F77D667" w14:textId="77777777" w:rsidTr="009B4B47">
        <w:trPr>
          <w:cantSplit/>
          <w:trHeight w:val="300"/>
        </w:trPr>
        <w:tc>
          <w:tcPr>
            <w:tcW w:w="2124" w:type="dxa"/>
          </w:tcPr>
          <w:p w14:paraId="25241A74" w14:textId="54895EC5" w:rsidR="0076213A" w:rsidRDefault="0076213A" w:rsidP="0076213A">
            <w:pPr>
              <w:spacing w:after="120"/>
              <w:contextualSpacing/>
              <w:rPr>
                <w:rFonts w:ascii="Arial" w:eastAsiaTheme="majorEastAsia" w:hAnsi="Arial" w:cs="Arial"/>
                <w:lang w:eastAsia="en-AU"/>
              </w:rPr>
            </w:pPr>
            <w:r>
              <w:rPr>
                <w:rFonts w:ascii="Arial" w:eastAsiaTheme="majorEastAsia" w:hAnsi="Arial" w:cs="Arial"/>
                <w:lang w:eastAsia="en-AU"/>
              </w:rPr>
              <w:t>Pages 1 and 2</w:t>
            </w:r>
          </w:p>
        </w:tc>
        <w:tc>
          <w:tcPr>
            <w:tcW w:w="1559" w:type="dxa"/>
          </w:tcPr>
          <w:p w14:paraId="75178E22" w14:textId="0A89839E" w:rsidR="0076213A" w:rsidRPr="428C28E2" w:rsidRDefault="0076213A" w:rsidP="0076213A">
            <w:pPr>
              <w:rPr>
                <w:rFonts w:ascii="Arial" w:hAnsi="Arial" w:cs="Arial"/>
              </w:rPr>
            </w:pPr>
            <w:r>
              <w:rPr>
                <w:rFonts w:ascii="Arial" w:hAnsi="Arial" w:cs="Arial"/>
                <w:color w:val="000000"/>
              </w:rPr>
              <w:t>Individual names</w:t>
            </w:r>
          </w:p>
        </w:tc>
        <w:tc>
          <w:tcPr>
            <w:tcW w:w="1701" w:type="dxa"/>
          </w:tcPr>
          <w:p w14:paraId="23B49ED2" w14:textId="588AEB83" w:rsidR="0076213A" w:rsidRPr="428C28E2" w:rsidRDefault="0076213A" w:rsidP="0076213A">
            <w:pPr>
              <w:rPr>
                <w:rFonts w:ascii="Arial" w:hAnsi="Arial" w:cs="Arial"/>
              </w:rPr>
            </w:pPr>
            <w:r>
              <w:rPr>
                <w:rFonts w:ascii="Arial" w:hAnsi="Arial" w:cs="Arial"/>
                <w:color w:val="000000"/>
              </w:rPr>
              <w:t>Individual details</w:t>
            </w:r>
          </w:p>
        </w:tc>
        <w:tc>
          <w:tcPr>
            <w:tcW w:w="1559" w:type="dxa"/>
          </w:tcPr>
          <w:p w14:paraId="633DAA7D" w14:textId="6479D362" w:rsidR="0076213A" w:rsidRPr="004B44E8" w:rsidRDefault="0076213A" w:rsidP="0076213A">
            <w:r>
              <w:rPr>
                <w:rFonts w:ascii="Arial" w:hAnsi="Arial" w:cs="Arial"/>
                <w:color w:val="000000"/>
              </w:rPr>
              <w:t>Personal information</w:t>
            </w:r>
          </w:p>
        </w:tc>
        <w:tc>
          <w:tcPr>
            <w:tcW w:w="1985" w:type="dxa"/>
          </w:tcPr>
          <w:p w14:paraId="4FC27332" w14:textId="576C9D50" w:rsidR="0076213A" w:rsidRDefault="0076213A" w:rsidP="0076213A">
            <w:r>
              <w:rPr>
                <w:szCs w:val="21"/>
              </w:rPr>
              <w:t>Revealing the names of the individua</w:t>
            </w:r>
            <w:r>
              <w:t>ls</w:t>
            </w:r>
            <w:r>
              <w:rPr>
                <w:szCs w:val="21"/>
              </w:rPr>
              <w:t xml:space="preserve"> from Transgrid who commissioned the letter, as well as the signature of the </w:t>
            </w:r>
            <w:proofErr w:type="spellStart"/>
            <w:r>
              <w:rPr>
                <w:szCs w:val="21"/>
              </w:rPr>
              <w:t>ElectraNet</w:t>
            </w:r>
            <w:proofErr w:type="spellEnd"/>
            <w:r>
              <w:rPr>
                <w:szCs w:val="21"/>
              </w:rPr>
              <w:t xml:space="preserve"> author, raises privacy concerns.</w:t>
            </w:r>
          </w:p>
        </w:tc>
        <w:tc>
          <w:tcPr>
            <w:tcW w:w="2551" w:type="dxa"/>
          </w:tcPr>
          <w:p w14:paraId="4FFB6185" w14:textId="1E53FC24" w:rsidR="0076213A" w:rsidRDefault="0076213A" w:rsidP="0076213A">
            <w:r>
              <w:t xml:space="preserve">Revealing this information would have adverse privacy implications for the individuals involved. </w:t>
            </w:r>
          </w:p>
          <w:p w14:paraId="79D8FCAF" w14:textId="77777777" w:rsidR="0076213A" w:rsidRDefault="0076213A" w:rsidP="0076213A">
            <w:pPr>
              <w:rPr>
                <w:szCs w:val="21"/>
              </w:rPr>
            </w:pPr>
            <w:r>
              <w:rPr>
                <w:szCs w:val="21"/>
              </w:rPr>
              <w:t xml:space="preserve"> </w:t>
            </w:r>
          </w:p>
          <w:p w14:paraId="71CA33AE" w14:textId="77777777" w:rsidR="0076213A" w:rsidRDefault="0076213A" w:rsidP="0076213A"/>
        </w:tc>
        <w:tc>
          <w:tcPr>
            <w:tcW w:w="2552" w:type="dxa"/>
          </w:tcPr>
          <w:p w14:paraId="1462CFD2" w14:textId="2225A727" w:rsidR="0076213A" w:rsidRDefault="0076213A" w:rsidP="0076213A">
            <w:pPr>
              <w:rPr>
                <w:rFonts w:ascii="Arial" w:hAnsi="Arial" w:cs="Arial"/>
                <w:i/>
                <w:iCs/>
              </w:rPr>
            </w:pPr>
            <w:r>
              <w:t>Revealing this information would have adverse privacy implications for the individuals involved.</w:t>
            </w:r>
          </w:p>
          <w:p w14:paraId="752D9757" w14:textId="2DCB63B6" w:rsidR="0076213A" w:rsidRPr="0D6F4280" w:rsidRDefault="0076213A" w:rsidP="0076213A">
            <w:pPr>
              <w:rPr>
                <w:rFonts w:eastAsia="Arial"/>
                <w:color w:val="auto"/>
                <w:lang w:eastAsia="en-AU"/>
              </w:rPr>
            </w:pPr>
            <w:r>
              <w:t>There is no apparent</w:t>
            </w:r>
            <w:r w:rsidRPr="00BF5F1E">
              <w:t xml:space="preserve"> public benefit in disclosing this information that could outweigh </w:t>
            </w:r>
            <w:r>
              <w:t xml:space="preserve">this </w:t>
            </w:r>
            <w:r w:rsidRPr="00BF5F1E">
              <w:t>detriment</w:t>
            </w:r>
            <w:r>
              <w:t>.</w:t>
            </w:r>
          </w:p>
        </w:tc>
        <w:tc>
          <w:tcPr>
            <w:tcW w:w="1275" w:type="dxa"/>
          </w:tcPr>
          <w:p w14:paraId="7113CBA1" w14:textId="379643D9" w:rsidR="0076213A" w:rsidRDefault="0076213A" w:rsidP="0076213A">
            <w:pPr>
              <w:rPr>
                <w:rFonts w:ascii="Arial" w:hAnsi="Arial" w:cs="Arial"/>
              </w:rPr>
            </w:pPr>
            <w:r w:rsidRPr="358799A6">
              <w:rPr>
                <w:rFonts w:ascii="Arial" w:hAnsi="Arial" w:cs="Arial"/>
              </w:rPr>
              <w:t>2 pages</w:t>
            </w:r>
          </w:p>
        </w:tc>
      </w:tr>
      <w:tr w:rsidR="0076213A" w:rsidRPr="00BF5F1E" w14:paraId="29583922" w14:textId="77777777" w:rsidTr="358799A6">
        <w:trPr>
          <w:cantSplit/>
          <w:trHeight w:val="300"/>
        </w:trPr>
        <w:tc>
          <w:tcPr>
            <w:tcW w:w="15306" w:type="dxa"/>
            <w:gridSpan w:val="8"/>
            <w:shd w:val="clear" w:color="auto" w:fill="D8EFD7" w:themeFill="accent1" w:themeFillTint="33"/>
          </w:tcPr>
          <w:p w14:paraId="746387A8" w14:textId="435CBA58" w:rsidR="0076213A" w:rsidRPr="004D74C6" w:rsidRDefault="0076213A" w:rsidP="0076213A">
            <w:pPr>
              <w:rPr>
                <w:b/>
                <w:bCs/>
              </w:rPr>
            </w:pPr>
            <w:r w:rsidRPr="004D74C6">
              <w:rPr>
                <w:rFonts w:ascii="Arial" w:eastAsiaTheme="majorEastAsia" w:hAnsi="Arial" w:cs="Arial"/>
                <w:b/>
                <w:bCs/>
                <w:lang w:eastAsia="en-AU"/>
              </w:rPr>
              <w:t>Attachment 7: Reopener capex methodology</w:t>
            </w:r>
          </w:p>
        </w:tc>
      </w:tr>
      <w:tr w:rsidR="0076213A" w:rsidRPr="00BF5F1E" w14:paraId="3A20A5BE" w14:textId="77777777" w:rsidTr="009B4B47">
        <w:trPr>
          <w:cantSplit/>
          <w:trHeight w:val="300"/>
        </w:trPr>
        <w:tc>
          <w:tcPr>
            <w:tcW w:w="2124" w:type="dxa"/>
          </w:tcPr>
          <w:p w14:paraId="2BA6DC1C" w14:textId="0147090A" w:rsidR="0076213A" w:rsidRPr="00AB0D1B" w:rsidRDefault="0076213A" w:rsidP="0076213A">
            <w:pPr>
              <w:spacing w:after="120"/>
              <w:contextualSpacing/>
              <w:rPr>
                <w:rFonts w:ascii="Arial" w:eastAsiaTheme="majorEastAsia" w:hAnsi="Arial" w:cs="Arial"/>
                <w:lang w:eastAsia="en-AU"/>
              </w:rPr>
            </w:pPr>
            <w:r w:rsidRPr="00AB0D1B">
              <w:rPr>
                <w:rFonts w:ascii="Arial" w:eastAsiaTheme="majorEastAsia" w:hAnsi="Arial" w:cs="Arial"/>
                <w:lang w:eastAsia="en-AU"/>
              </w:rPr>
              <w:t xml:space="preserve">The following locations in the document: </w:t>
            </w:r>
          </w:p>
          <w:p w14:paraId="427126C2" w14:textId="4C1B11B5" w:rsidR="0076213A" w:rsidRPr="00AB0D1B" w:rsidRDefault="0076213A" w:rsidP="0076213A">
            <w:pPr>
              <w:pStyle w:val="ListParagraph"/>
              <w:numPr>
                <w:ilvl w:val="0"/>
                <w:numId w:val="14"/>
              </w:numPr>
              <w:spacing w:after="120"/>
              <w:ind w:left="414" w:hanging="357"/>
              <w:rPr>
                <w:rFonts w:ascii="Arial" w:eastAsiaTheme="majorEastAsia" w:hAnsi="Arial" w:cs="Arial"/>
                <w:lang w:eastAsia="en-AU"/>
              </w:rPr>
            </w:pPr>
            <w:r w:rsidRPr="00AB0D1B">
              <w:rPr>
                <w:rFonts w:ascii="Arial" w:eastAsiaTheme="majorEastAsia" w:hAnsi="Arial" w:cs="Arial"/>
                <w:lang w:eastAsia="en-AU"/>
              </w:rPr>
              <w:t>Contents, p 1</w:t>
            </w:r>
          </w:p>
          <w:p w14:paraId="2A82929E" w14:textId="45832EC3" w:rsidR="0076213A" w:rsidRPr="00AB0D1B" w:rsidRDefault="0076213A" w:rsidP="0076213A">
            <w:pPr>
              <w:pStyle w:val="ListParagraph"/>
              <w:numPr>
                <w:ilvl w:val="0"/>
                <w:numId w:val="14"/>
              </w:numPr>
              <w:spacing w:after="120"/>
              <w:ind w:left="414" w:hanging="357"/>
              <w:rPr>
                <w:rFonts w:ascii="Arial" w:eastAsiaTheme="majorEastAsia" w:hAnsi="Arial" w:cs="Arial"/>
                <w:lang w:eastAsia="en-AU"/>
              </w:rPr>
            </w:pPr>
            <w:r w:rsidRPr="00AB0D1B">
              <w:rPr>
                <w:rFonts w:ascii="Arial" w:eastAsiaTheme="majorEastAsia" w:hAnsi="Arial" w:cs="Arial"/>
                <w:lang w:eastAsia="en-AU"/>
              </w:rPr>
              <w:t xml:space="preserve">Section 3.1 (including Figure 2), pp 6-7 </w:t>
            </w:r>
          </w:p>
          <w:p w14:paraId="7AA77D69" w14:textId="54A5B8CB" w:rsidR="0076213A" w:rsidRPr="00AB0D1B" w:rsidRDefault="0076213A" w:rsidP="0076213A">
            <w:pPr>
              <w:pStyle w:val="ListParagraph"/>
              <w:numPr>
                <w:ilvl w:val="0"/>
                <w:numId w:val="14"/>
              </w:numPr>
              <w:spacing w:after="120"/>
              <w:ind w:left="414" w:hanging="357"/>
              <w:rPr>
                <w:rFonts w:ascii="Arial" w:eastAsiaTheme="majorEastAsia" w:hAnsi="Arial" w:cs="Arial"/>
                <w:lang w:eastAsia="en-AU"/>
              </w:rPr>
            </w:pPr>
            <w:r w:rsidRPr="00AB0D1B">
              <w:rPr>
                <w:rFonts w:ascii="Arial" w:eastAsiaTheme="majorEastAsia" w:hAnsi="Arial" w:cs="Arial"/>
                <w:lang w:eastAsia="en-AU"/>
              </w:rPr>
              <w:t xml:space="preserve">Section 3.2 (including Table 2), pp 7-8 </w:t>
            </w:r>
          </w:p>
          <w:p w14:paraId="06840AF2" w14:textId="74AF284C" w:rsidR="0076213A" w:rsidRPr="00AB0D1B" w:rsidRDefault="0076213A" w:rsidP="0076213A">
            <w:pPr>
              <w:pStyle w:val="ListParagraph"/>
              <w:numPr>
                <w:ilvl w:val="0"/>
                <w:numId w:val="14"/>
              </w:numPr>
              <w:spacing w:after="120"/>
              <w:ind w:left="414" w:hanging="357"/>
              <w:rPr>
                <w:rFonts w:ascii="Arial" w:eastAsiaTheme="majorEastAsia" w:hAnsi="Arial" w:cs="Arial"/>
                <w:lang w:eastAsia="en-AU"/>
              </w:rPr>
            </w:pPr>
            <w:r w:rsidRPr="00AB0D1B">
              <w:rPr>
                <w:rFonts w:ascii="Arial" w:eastAsiaTheme="majorEastAsia" w:hAnsi="Arial" w:cs="Arial"/>
                <w:lang w:eastAsia="en-AU"/>
              </w:rPr>
              <w:t xml:space="preserve">Section 3.8, p 10 </w:t>
            </w:r>
          </w:p>
          <w:p w14:paraId="111D3937" w14:textId="7EA9E2AB" w:rsidR="0076213A" w:rsidRPr="00AB0D1B" w:rsidRDefault="0076213A" w:rsidP="0076213A">
            <w:pPr>
              <w:pStyle w:val="ListParagraph"/>
              <w:numPr>
                <w:ilvl w:val="0"/>
                <w:numId w:val="14"/>
              </w:numPr>
              <w:spacing w:after="120"/>
              <w:ind w:left="414" w:hanging="357"/>
              <w:rPr>
                <w:rFonts w:ascii="Arial" w:eastAsiaTheme="majorEastAsia" w:hAnsi="Arial" w:cs="Arial"/>
                <w:lang w:eastAsia="en-AU"/>
              </w:rPr>
            </w:pPr>
            <w:r w:rsidRPr="00AB0D1B">
              <w:rPr>
                <w:rFonts w:ascii="Arial" w:eastAsiaTheme="majorEastAsia" w:hAnsi="Arial" w:cs="Arial"/>
                <w:lang w:eastAsia="en-AU"/>
              </w:rPr>
              <w:t>Section 3.9, p 10</w:t>
            </w:r>
          </w:p>
          <w:p w14:paraId="7D25F56B" w14:textId="5669AC16" w:rsidR="0076213A" w:rsidRPr="00AB0D1B" w:rsidRDefault="0076213A" w:rsidP="0076213A">
            <w:pPr>
              <w:pStyle w:val="ListParagraph"/>
              <w:numPr>
                <w:ilvl w:val="0"/>
                <w:numId w:val="14"/>
              </w:numPr>
              <w:spacing w:after="120"/>
              <w:ind w:left="414" w:hanging="357"/>
              <w:rPr>
                <w:rFonts w:ascii="Arial" w:eastAsiaTheme="majorEastAsia" w:hAnsi="Arial" w:cs="Arial"/>
                <w:lang w:eastAsia="en-AU"/>
              </w:rPr>
            </w:pPr>
            <w:r w:rsidRPr="00AB0D1B">
              <w:rPr>
                <w:rFonts w:ascii="Arial" w:eastAsiaTheme="majorEastAsia" w:hAnsi="Arial" w:cs="Arial"/>
                <w:lang w:eastAsia="en-AU"/>
              </w:rPr>
              <w:lastRenderedPageBreak/>
              <w:t>Section 5 (Table 6), pp 14-15</w:t>
            </w:r>
          </w:p>
        </w:tc>
        <w:tc>
          <w:tcPr>
            <w:tcW w:w="1559" w:type="dxa"/>
          </w:tcPr>
          <w:p w14:paraId="3444F325" w14:textId="2EFBAC79" w:rsidR="0076213A" w:rsidRPr="00AB0D1B" w:rsidRDefault="0076213A" w:rsidP="0076213A">
            <w:pPr>
              <w:rPr>
                <w:rFonts w:ascii="Arial" w:hAnsi="Arial" w:cs="Arial"/>
                <w:color w:val="000000"/>
              </w:rPr>
            </w:pPr>
            <w:r>
              <w:rPr>
                <w:rFonts w:ascii="Arial" w:hAnsi="Arial" w:cs="Arial"/>
                <w:color w:val="000000"/>
              </w:rPr>
              <w:lastRenderedPageBreak/>
              <w:t>Contract terms</w:t>
            </w:r>
          </w:p>
        </w:tc>
        <w:tc>
          <w:tcPr>
            <w:tcW w:w="1701" w:type="dxa"/>
          </w:tcPr>
          <w:p w14:paraId="5430B439" w14:textId="081467B1" w:rsidR="0076213A" w:rsidRDefault="0076213A" w:rsidP="0076213A">
            <w:pPr>
              <w:rPr>
                <w:rFonts w:ascii="Arial" w:hAnsi="Arial" w:cs="Arial"/>
              </w:rPr>
            </w:pPr>
            <w:r>
              <w:rPr>
                <w:rFonts w:ascii="Arial" w:hAnsi="Arial" w:cs="Arial"/>
              </w:rPr>
              <w:t>Contractor information</w:t>
            </w:r>
          </w:p>
        </w:tc>
        <w:tc>
          <w:tcPr>
            <w:tcW w:w="1559" w:type="dxa"/>
          </w:tcPr>
          <w:p w14:paraId="6B7ECA1E" w14:textId="0253CC4A" w:rsidR="0076213A" w:rsidRDefault="0076213A" w:rsidP="0076213A">
            <w:r w:rsidRPr="3A1E8CA1">
              <w:rPr>
                <w:rFonts w:ascii="Arial" w:hAnsi="Arial" w:cs="Arial"/>
              </w:rPr>
              <w:t>Market intelligence / other – third-party confidentiality</w:t>
            </w:r>
          </w:p>
        </w:tc>
        <w:tc>
          <w:tcPr>
            <w:tcW w:w="1985" w:type="dxa"/>
          </w:tcPr>
          <w:p w14:paraId="7A1CD1D0" w14:textId="11DA9A97" w:rsidR="0076213A" w:rsidRDefault="0076213A" w:rsidP="0076213A">
            <w:pPr>
              <w:rPr>
                <w:rFonts w:ascii="Arial" w:eastAsia="Arial" w:hAnsi="Arial" w:cs="Arial"/>
              </w:rPr>
            </w:pPr>
            <w:r w:rsidRPr="480D1E85">
              <w:rPr>
                <w:rFonts w:ascii="Arial" w:hAnsi="Arial" w:cs="Arial"/>
              </w:rPr>
              <w:t>Elecnor Australia maintains that the information is highly commercially and legally sensitive, disclosure of which may prejudice Elecnor Australia’s legal position.</w:t>
            </w:r>
            <w:r w:rsidRPr="00384780">
              <w:rPr>
                <w:rFonts w:ascii="Arial" w:hAnsi="Arial" w:cs="Arial"/>
              </w:rPr>
              <w:t xml:space="preserve"> </w:t>
            </w:r>
            <w:r w:rsidRPr="79DE2F57">
              <w:rPr>
                <w:rFonts w:ascii="Arial" w:eastAsia="Arial" w:hAnsi="Arial" w:cs="Arial"/>
              </w:rPr>
              <w:t xml:space="preserve"> </w:t>
            </w:r>
          </w:p>
        </w:tc>
        <w:tc>
          <w:tcPr>
            <w:tcW w:w="2551" w:type="dxa"/>
          </w:tcPr>
          <w:p w14:paraId="3EAA0E93" w14:textId="05B719F7" w:rsidR="0076213A" w:rsidRDefault="0076213A" w:rsidP="0076213A">
            <w:pPr>
              <w:rPr>
                <w:rFonts w:ascii="Arial" w:hAnsi="Arial" w:cs="Arial"/>
              </w:rPr>
            </w:pPr>
            <w:r>
              <w:rPr>
                <w:rFonts w:ascii="Arial" w:hAnsi="Arial" w:cs="Arial"/>
              </w:rPr>
              <w:t xml:space="preserve">Revealing this information </w:t>
            </w:r>
            <w:r w:rsidRPr="267F027F">
              <w:rPr>
                <w:rFonts w:ascii="Arial" w:hAnsi="Arial" w:cs="Arial"/>
              </w:rPr>
              <w:t xml:space="preserve">may prejudice Elecnor Australia’s legal position. </w:t>
            </w:r>
          </w:p>
        </w:tc>
        <w:tc>
          <w:tcPr>
            <w:tcW w:w="2552" w:type="dxa"/>
          </w:tcPr>
          <w:p w14:paraId="1CFDFA8A" w14:textId="32BA67A1" w:rsidR="0076213A" w:rsidRDefault="0076213A" w:rsidP="0076213A">
            <w:pPr>
              <w:rPr>
                <w:rFonts w:eastAsia="Arial"/>
                <w:color w:val="auto"/>
                <w:lang w:eastAsia="en-AU"/>
              </w:rPr>
            </w:pPr>
            <w:r w:rsidRPr="00384780">
              <w:rPr>
                <w:rFonts w:ascii="Arial" w:hAnsi="Arial" w:cs="Arial"/>
              </w:rPr>
              <w:t>Disclosure would outweigh any potential public interest, given the considerable prejudice to Elecnor</w:t>
            </w:r>
            <w:r>
              <w:rPr>
                <w:rFonts w:ascii="Arial" w:hAnsi="Arial" w:cs="Arial"/>
              </w:rPr>
              <w:t xml:space="preserve"> Australia</w:t>
            </w:r>
            <w:r w:rsidRPr="00384780">
              <w:rPr>
                <w:rFonts w:ascii="Arial" w:hAnsi="Arial" w:cs="Arial"/>
              </w:rPr>
              <w:t xml:space="preserve">. </w:t>
            </w:r>
            <w:r w:rsidRPr="09788F3A">
              <w:rPr>
                <w:rFonts w:ascii="Arial" w:eastAsia="Arial" w:hAnsi="Arial" w:cs="Arial"/>
              </w:rPr>
              <w:t xml:space="preserve"> </w:t>
            </w:r>
          </w:p>
        </w:tc>
        <w:tc>
          <w:tcPr>
            <w:tcW w:w="1275" w:type="dxa"/>
          </w:tcPr>
          <w:p w14:paraId="7BE5C1CF" w14:textId="40254697" w:rsidR="0076213A" w:rsidRPr="462BED03" w:rsidRDefault="0076213A" w:rsidP="0076213A">
            <w:pPr>
              <w:rPr>
                <w:rFonts w:ascii="Arial" w:hAnsi="Arial" w:cs="Arial"/>
              </w:rPr>
            </w:pPr>
            <w:r w:rsidRPr="358799A6">
              <w:rPr>
                <w:rFonts w:ascii="Arial" w:hAnsi="Arial" w:cs="Arial"/>
              </w:rPr>
              <w:t>6 pages</w:t>
            </w:r>
          </w:p>
        </w:tc>
      </w:tr>
      <w:tr w:rsidR="0076213A" w14:paraId="1BB38A6D" w14:textId="77777777" w:rsidTr="009B4B47">
        <w:trPr>
          <w:cantSplit/>
          <w:trHeight w:val="300"/>
        </w:trPr>
        <w:tc>
          <w:tcPr>
            <w:tcW w:w="15306" w:type="dxa"/>
            <w:gridSpan w:val="8"/>
            <w:shd w:val="clear" w:color="auto" w:fill="D8EFD7" w:themeFill="accent1" w:themeFillTint="33"/>
          </w:tcPr>
          <w:p w14:paraId="338B998D" w14:textId="23BF5131" w:rsidR="0076213A" w:rsidRPr="00AB0D1B" w:rsidRDefault="0076213A" w:rsidP="0076213A">
            <w:pPr>
              <w:rPr>
                <w:rFonts w:ascii="Arial" w:eastAsiaTheme="majorEastAsia" w:hAnsi="Arial" w:cs="Arial"/>
                <w:b/>
                <w:bCs/>
                <w:lang w:eastAsia="en-AU"/>
              </w:rPr>
            </w:pPr>
            <w:r>
              <w:rPr>
                <w:rFonts w:ascii="Arial" w:eastAsiaTheme="majorEastAsia" w:hAnsi="Arial" w:cs="Arial"/>
                <w:b/>
                <w:bCs/>
                <w:lang w:eastAsia="en-AU"/>
              </w:rPr>
              <w:t>Appendix</w:t>
            </w:r>
            <w:r w:rsidRPr="00AB0D1B">
              <w:rPr>
                <w:rFonts w:ascii="Arial" w:eastAsiaTheme="majorEastAsia" w:hAnsi="Arial" w:cs="Arial"/>
                <w:b/>
                <w:bCs/>
                <w:lang w:eastAsia="en-AU"/>
              </w:rPr>
              <w:t xml:space="preserve"> 7a: Capex Model</w:t>
            </w:r>
          </w:p>
        </w:tc>
      </w:tr>
      <w:tr w:rsidR="0076213A" w14:paraId="340C3CA9" w14:textId="77777777" w:rsidTr="009B4B47">
        <w:trPr>
          <w:cantSplit/>
          <w:trHeight w:val="300"/>
        </w:trPr>
        <w:tc>
          <w:tcPr>
            <w:tcW w:w="2124" w:type="dxa"/>
          </w:tcPr>
          <w:p w14:paraId="383AA79F" w14:textId="100766F1" w:rsidR="0076213A" w:rsidRPr="00AB0D1B" w:rsidRDefault="0076213A" w:rsidP="0076213A">
            <w:pPr>
              <w:rPr>
                <w:rFonts w:ascii="Arial" w:eastAsiaTheme="majorEastAsia" w:hAnsi="Arial" w:cs="Arial"/>
                <w:lang w:eastAsia="en-AU"/>
              </w:rPr>
            </w:pPr>
            <w:r w:rsidRPr="00AB0D1B">
              <w:rPr>
                <w:rFonts w:ascii="Arial" w:eastAsiaTheme="majorEastAsia" w:hAnsi="Arial" w:cs="Arial"/>
                <w:lang w:eastAsia="en-AU"/>
              </w:rPr>
              <w:t>The following locations in the document:</w:t>
            </w:r>
          </w:p>
          <w:p w14:paraId="52BE3722" w14:textId="6CDB3529" w:rsidR="0076213A" w:rsidRPr="00AB0D1B" w:rsidRDefault="0076213A" w:rsidP="0076213A">
            <w:pPr>
              <w:pStyle w:val="ListParagraph"/>
              <w:numPr>
                <w:ilvl w:val="0"/>
                <w:numId w:val="15"/>
              </w:numPr>
              <w:rPr>
                <w:rFonts w:ascii="Arial" w:eastAsiaTheme="majorEastAsia" w:hAnsi="Arial" w:cs="Arial"/>
                <w:color w:val="auto"/>
                <w:lang w:eastAsia="en-AU"/>
              </w:rPr>
            </w:pPr>
            <w:r w:rsidRPr="00AB0D1B">
              <w:rPr>
                <w:rFonts w:ascii="Arial" w:eastAsiaTheme="majorEastAsia" w:hAnsi="Arial" w:cs="Arial"/>
                <w:color w:val="auto"/>
                <w:lang w:eastAsia="en-AU"/>
              </w:rPr>
              <w:t xml:space="preserve">Inputs sheet cell A54, A83, A84, L54:W54 and L83:W84 </w:t>
            </w:r>
          </w:p>
          <w:p w14:paraId="049A95E7" w14:textId="147391EB" w:rsidR="0076213A" w:rsidRPr="00AB0D1B" w:rsidRDefault="0076213A" w:rsidP="0076213A">
            <w:pPr>
              <w:pStyle w:val="ListParagraph"/>
              <w:rPr>
                <w:i/>
                <w:color w:val="FF0000"/>
                <w:lang w:eastAsia="en-AU"/>
              </w:rPr>
            </w:pPr>
            <w:r w:rsidRPr="00AB0D1B">
              <w:rPr>
                <w:rFonts w:ascii="Arial" w:eastAsiaTheme="majorEastAsia" w:hAnsi="Arial" w:cs="Arial"/>
                <w:color w:val="auto"/>
                <w:lang w:eastAsia="en-AU"/>
              </w:rPr>
              <w:t xml:space="preserve">Outputs sheet cells B50, F50, H50, B56 B57, F56:F57 and H56:57 </w:t>
            </w:r>
          </w:p>
        </w:tc>
        <w:tc>
          <w:tcPr>
            <w:tcW w:w="1559" w:type="dxa"/>
          </w:tcPr>
          <w:p w14:paraId="12F87858" w14:textId="7D9A7C9E" w:rsidR="0076213A" w:rsidRPr="00AB0D1B" w:rsidRDefault="0076213A" w:rsidP="0076213A">
            <w:pPr>
              <w:rPr>
                <w:rFonts w:ascii="Arial" w:hAnsi="Arial" w:cs="Arial"/>
              </w:rPr>
            </w:pPr>
            <w:r>
              <w:rPr>
                <w:rFonts w:ascii="Arial" w:hAnsi="Arial" w:cs="Arial"/>
              </w:rPr>
              <w:t>Contract terms</w:t>
            </w:r>
          </w:p>
        </w:tc>
        <w:tc>
          <w:tcPr>
            <w:tcW w:w="1701" w:type="dxa"/>
          </w:tcPr>
          <w:p w14:paraId="526A9FA7" w14:textId="1AD66548" w:rsidR="0076213A" w:rsidRDefault="0076213A" w:rsidP="0076213A">
            <w:pPr>
              <w:rPr>
                <w:rFonts w:ascii="Arial" w:hAnsi="Arial" w:cs="Arial"/>
              </w:rPr>
            </w:pPr>
            <w:r>
              <w:rPr>
                <w:rFonts w:ascii="Arial" w:hAnsi="Arial" w:cs="Arial"/>
              </w:rPr>
              <w:t>Contractor information</w:t>
            </w:r>
          </w:p>
        </w:tc>
        <w:tc>
          <w:tcPr>
            <w:tcW w:w="1559" w:type="dxa"/>
          </w:tcPr>
          <w:p w14:paraId="0404A2FE" w14:textId="534B8E1D" w:rsidR="0076213A" w:rsidRDefault="0076213A" w:rsidP="0076213A">
            <w:r w:rsidRPr="3A1E8CA1">
              <w:rPr>
                <w:rFonts w:ascii="Arial" w:hAnsi="Arial" w:cs="Arial"/>
              </w:rPr>
              <w:t>Market intelligence / other – third-party confidentiality</w:t>
            </w:r>
          </w:p>
        </w:tc>
        <w:tc>
          <w:tcPr>
            <w:tcW w:w="1985" w:type="dxa"/>
          </w:tcPr>
          <w:p w14:paraId="42952C4E" w14:textId="441E9B4F" w:rsidR="0076213A" w:rsidRDefault="0076213A" w:rsidP="0076213A">
            <w:pPr>
              <w:rPr>
                <w:rFonts w:ascii="Arial" w:eastAsia="Arial" w:hAnsi="Arial" w:cs="Arial"/>
              </w:rPr>
            </w:pPr>
            <w:r w:rsidRPr="00384780">
              <w:rPr>
                <w:rFonts w:ascii="Arial" w:hAnsi="Arial" w:cs="Arial"/>
              </w:rPr>
              <w:t xml:space="preserve">Elecnor Australia </w:t>
            </w:r>
            <w:r w:rsidRPr="09788F3A">
              <w:rPr>
                <w:rFonts w:ascii="Arial" w:hAnsi="Arial" w:cs="Arial"/>
              </w:rPr>
              <w:t xml:space="preserve">maintains that </w:t>
            </w:r>
            <w:r w:rsidRPr="00384780">
              <w:rPr>
                <w:rFonts w:ascii="Arial" w:hAnsi="Arial" w:cs="Arial"/>
              </w:rPr>
              <w:t xml:space="preserve">the information is highly </w:t>
            </w:r>
            <w:r w:rsidRPr="6481BA10">
              <w:rPr>
                <w:rFonts w:ascii="Arial" w:hAnsi="Arial" w:cs="Arial"/>
              </w:rPr>
              <w:t>commercially and legally sensitive, disclosure of which may prejudice Elecnor Australia’s legal position.</w:t>
            </w:r>
            <w:r w:rsidRPr="09788F3A">
              <w:rPr>
                <w:rFonts w:ascii="Arial" w:hAnsi="Arial" w:cs="Arial"/>
              </w:rPr>
              <w:t xml:space="preserve"> </w:t>
            </w:r>
          </w:p>
        </w:tc>
        <w:tc>
          <w:tcPr>
            <w:tcW w:w="2551" w:type="dxa"/>
          </w:tcPr>
          <w:p w14:paraId="5B8DA25B" w14:textId="715C1DF5" w:rsidR="0076213A" w:rsidRDefault="0076213A" w:rsidP="0076213A">
            <w:pPr>
              <w:rPr>
                <w:rFonts w:ascii="Arial" w:hAnsi="Arial" w:cs="Arial"/>
              </w:rPr>
            </w:pPr>
            <w:r>
              <w:rPr>
                <w:rFonts w:ascii="Arial" w:hAnsi="Arial" w:cs="Arial"/>
              </w:rPr>
              <w:t xml:space="preserve">Revealing this information </w:t>
            </w:r>
            <w:r w:rsidRPr="7DE0F809">
              <w:rPr>
                <w:rFonts w:ascii="Arial" w:hAnsi="Arial" w:cs="Arial"/>
              </w:rPr>
              <w:t xml:space="preserve">may prejudice </w:t>
            </w:r>
            <w:r>
              <w:rPr>
                <w:rFonts w:ascii="Arial" w:hAnsi="Arial" w:cs="Arial"/>
              </w:rPr>
              <w:t xml:space="preserve">Elecnor Australia’s </w:t>
            </w:r>
            <w:r w:rsidRPr="7DE0F809">
              <w:rPr>
                <w:rFonts w:ascii="Arial" w:hAnsi="Arial" w:cs="Arial"/>
              </w:rPr>
              <w:t xml:space="preserve">legal </w:t>
            </w:r>
            <w:r>
              <w:rPr>
                <w:rFonts w:ascii="Arial" w:hAnsi="Arial" w:cs="Arial"/>
              </w:rPr>
              <w:t>position</w:t>
            </w:r>
            <w:r w:rsidRPr="3A1E8CA1">
              <w:rPr>
                <w:rFonts w:ascii="Arial" w:hAnsi="Arial" w:cs="Arial"/>
              </w:rPr>
              <w:t xml:space="preserve">. </w:t>
            </w:r>
          </w:p>
        </w:tc>
        <w:tc>
          <w:tcPr>
            <w:tcW w:w="2552" w:type="dxa"/>
          </w:tcPr>
          <w:p w14:paraId="474A65AD" w14:textId="2BBD9C49" w:rsidR="0076213A" w:rsidRDefault="0076213A" w:rsidP="0076213A">
            <w:pPr>
              <w:rPr>
                <w:rFonts w:eastAsia="Arial"/>
                <w:color w:val="auto"/>
                <w:lang w:eastAsia="en-AU"/>
              </w:rPr>
            </w:pPr>
            <w:r w:rsidRPr="00384780">
              <w:rPr>
                <w:rFonts w:ascii="Arial" w:hAnsi="Arial" w:cs="Arial"/>
              </w:rPr>
              <w:t>Disclosure would outweigh any potential public interest, given the considerable prejudice to Elecnor</w:t>
            </w:r>
            <w:r>
              <w:rPr>
                <w:rFonts w:ascii="Arial" w:hAnsi="Arial" w:cs="Arial"/>
              </w:rPr>
              <w:t xml:space="preserve"> Australia</w:t>
            </w:r>
            <w:r w:rsidRPr="00384780">
              <w:rPr>
                <w:rFonts w:ascii="Arial" w:hAnsi="Arial" w:cs="Arial"/>
              </w:rPr>
              <w:t>.</w:t>
            </w:r>
            <w:r w:rsidR="000E61A5">
              <w:rPr>
                <w:rFonts w:ascii="Arial" w:eastAsia="Arial" w:hAnsi="Arial" w:cs="Arial"/>
              </w:rPr>
              <w:t xml:space="preserve"> Quantifying this information is not central to the public’s understanding of the Application</w:t>
            </w:r>
          </w:p>
        </w:tc>
        <w:tc>
          <w:tcPr>
            <w:tcW w:w="1275" w:type="dxa"/>
          </w:tcPr>
          <w:p w14:paraId="76D9DF40" w14:textId="14FCF931" w:rsidR="0076213A" w:rsidRPr="462BED03" w:rsidRDefault="0076213A" w:rsidP="0076213A">
            <w:pPr>
              <w:rPr>
                <w:rFonts w:ascii="Arial" w:hAnsi="Arial" w:cs="Arial"/>
              </w:rPr>
            </w:pPr>
            <w:r w:rsidRPr="358799A6">
              <w:rPr>
                <w:rFonts w:ascii="Arial" w:hAnsi="Arial" w:cs="Arial"/>
              </w:rPr>
              <w:t>2 pages</w:t>
            </w:r>
          </w:p>
        </w:tc>
      </w:tr>
      <w:tr w:rsidR="0076213A" w14:paraId="74D1E513" w14:textId="77777777" w:rsidTr="358799A6">
        <w:trPr>
          <w:cantSplit/>
          <w:trHeight w:val="300"/>
        </w:trPr>
        <w:tc>
          <w:tcPr>
            <w:tcW w:w="15306" w:type="dxa"/>
            <w:gridSpan w:val="8"/>
            <w:shd w:val="clear" w:color="auto" w:fill="D8EFD7" w:themeFill="accent1" w:themeFillTint="33"/>
          </w:tcPr>
          <w:p w14:paraId="6BD22D93" w14:textId="01D93AF7" w:rsidR="0076213A" w:rsidRDefault="0076213A" w:rsidP="0076213A">
            <w:pPr>
              <w:rPr>
                <w:rFonts w:ascii="Arial" w:eastAsiaTheme="majorEastAsia" w:hAnsi="Arial" w:cs="Arial"/>
                <w:b/>
                <w:bCs/>
                <w:lang w:eastAsia="en-AU"/>
              </w:rPr>
            </w:pPr>
            <w:r>
              <w:rPr>
                <w:rFonts w:ascii="Arial" w:eastAsiaTheme="majorEastAsia" w:hAnsi="Arial" w:cs="Arial"/>
                <w:b/>
                <w:bCs/>
                <w:lang w:eastAsia="en-AU"/>
              </w:rPr>
              <w:t>Appendix</w:t>
            </w:r>
            <w:r w:rsidR="00F75712">
              <w:rPr>
                <w:rFonts w:ascii="Arial" w:eastAsiaTheme="majorEastAsia" w:hAnsi="Arial" w:cs="Arial"/>
                <w:b/>
                <w:bCs/>
                <w:lang w:eastAsia="en-AU"/>
              </w:rPr>
              <w:t xml:space="preserve"> </w:t>
            </w:r>
            <w:r w:rsidRPr="34A33344">
              <w:rPr>
                <w:rFonts w:ascii="Arial" w:eastAsiaTheme="majorEastAsia" w:hAnsi="Arial" w:cs="Arial"/>
                <w:b/>
                <w:bCs/>
                <w:lang w:eastAsia="en-AU"/>
              </w:rPr>
              <w:t xml:space="preserve">7b: Labour and </w:t>
            </w:r>
            <w:proofErr w:type="spellStart"/>
            <w:r w:rsidRPr="34A33344">
              <w:rPr>
                <w:rFonts w:ascii="Arial" w:eastAsiaTheme="majorEastAsia" w:hAnsi="Arial" w:cs="Arial"/>
                <w:b/>
                <w:bCs/>
                <w:lang w:eastAsia="en-AU"/>
              </w:rPr>
              <w:t>Indirects</w:t>
            </w:r>
            <w:proofErr w:type="spellEnd"/>
            <w:r w:rsidRPr="34A33344">
              <w:rPr>
                <w:rFonts w:ascii="Arial" w:eastAsiaTheme="majorEastAsia" w:hAnsi="Arial" w:cs="Arial"/>
                <w:b/>
                <w:bCs/>
                <w:lang w:eastAsia="en-AU"/>
              </w:rPr>
              <w:t xml:space="preserve"> Model</w:t>
            </w:r>
          </w:p>
        </w:tc>
      </w:tr>
      <w:tr w:rsidR="0076213A" w14:paraId="6F632A6A" w14:textId="77777777" w:rsidTr="009B4B47">
        <w:trPr>
          <w:cantSplit/>
          <w:trHeight w:val="300"/>
        </w:trPr>
        <w:tc>
          <w:tcPr>
            <w:tcW w:w="2124" w:type="dxa"/>
          </w:tcPr>
          <w:p w14:paraId="63979C13" w14:textId="722E18FA" w:rsidR="0076213A" w:rsidRDefault="0076213A" w:rsidP="0076213A">
            <w:pPr>
              <w:spacing w:after="120"/>
              <w:rPr>
                <w:rFonts w:ascii="Arial" w:eastAsiaTheme="majorEastAsia" w:hAnsi="Arial" w:cs="Arial"/>
                <w:lang w:eastAsia="en-AU"/>
              </w:rPr>
            </w:pPr>
            <w:r w:rsidRPr="34A33344">
              <w:rPr>
                <w:rFonts w:ascii="Arial" w:eastAsiaTheme="majorEastAsia" w:hAnsi="Arial" w:cs="Arial"/>
                <w:lang w:eastAsia="en-AU"/>
              </w:rPr>
              <w:t>The following locations in the document:</w:t>
            </w:r>
          </w:p>
          <w:p w14:paraId="6A028454" w14:textId="30B190CE" w:rsidR="0076213A" w:rsidRDefault="0076213A" w:rsidP="0076213A">
            <w:pPr>
              <w:pStyle w:val="ListParagraph"/>
              <w:numPr>
                <w:ilvl w:val="0"/>
                <w:numId w:val="16"/>
              </w:numPr>
              <w:spacing w:after="120"/>
              <w:rPr>
                <w:rFonts w:ascii="Arial" w:eastAsiaTheme="majorEastAsia" w:hAnsi="Arial" w:cs="Arial"/>
                <w:lang w:eastAsia="en-AU"/>
              </w:rPr>
            </w:pPr>
            <w:r w:rsidRPr="34A33344">
              <w:rPr>
                <w:rFonts w:ascii="Arial" w:eastAsiaTheme="majorEastAsia" w:hAnsi="Arial" w:cs="Arial"/>
                <w:lang w:eastAsia="en-AU"/>
              </w:rPr>
              <w:t>‘Data Source’ sheet, cells C3:</w:t>
            </w:r>
            <w:r>
              <w:rPr>
                <w:rFonts w:ascii="Arial" w:eastAsiaTheme="majorEastAsia" w:hAnsi="Arial" w:cs="Arial"/>
                <w:lang w:eastAsia="en-AU"/>
              </w:rPr>
              <w:t>C20</w:t>
            </w:r>
          </w:p>
          <w:p w14:paraId="7E6083E4" w14:textId="6D107A8C" w:rsidR="0076213A" w:rsidRDefault="0076213A" w:rsidP="0076213A">
            <w:pPr>
              <w:pStyle w:val="ListParagraph"/>
              <w:numPr>
                <w:ilvl w:val="0"/>
                <w:numId w:val="16"/>
              </w:numPr>
              <w:spacing w:after="120"/>
              <w:rPr>
                <w:rFonts w:ascii="Arial" w:eastAsiaTheme="majorEastAsia" w:hAnsi="Arial" w:cs="Arial"/>
                <w:lang w:eastAsia="en-AU"/>
              </w:rPr>
            </w:pPr>
            <w:r w:rsidRPr="34A33344">
              <w:rPr>
                <w:rFonts w:ascii="Arial" w:eastAsiaTheme="majorEastAsia" w:hAnsi="Arial" w:cs="Arial"/>
                <w:lang w:eastAsia="en-AU"/>
              </w:rPr>
              <w:t>‘</w:t>
            </w:r>
            <w:proofErr w:type="spellStart"/>
            <w:r w:rsidRPr="34A33344">
              <w:rPr>
                <w:rFonts w:ascii="Arial" w:eastAsiaTheme="majorEastAsia" w:hAnsi="Arial" w:cs="Arial"/>
                <w:lang w:eastAsia="en-AU"/>
              </w:rPr>
              <w:t>Internal_labour_inp</w:t>
            </w:r>
            <w:r w:rsidRPr="34A33344">
              <w:rPr>
                <w:rFonts w:eastAsiaTheme="majorEastAsia"/>
                <w:szCs w:val="21"/>
                <w:lang w:eastAsia="en-AU"/>
              </w:rPr>
              <w:t>uts</w:t>
            </w:r>
            <w:proofErr w:type="spellEnd"/>
            <w:r w:rsidRPr="34A33344">
              <w:rPr>
                <w:rFonts w:eastAsiaTheme="majorEastAsia"/>
                <w:szCs w:val="21"/>
                <w:lang w:eastAsia="en-AU"/>
              </w:rPr>
              <w:t>’ sheet, cells C10:C18</w:t>
            </w:r>
          </w:p>
          <w:p w14:paraId="3FF72DDF" w14:textId="270CFDAA" w:rsidR="0076213A" w:rsidRDefault="0076213A" w:rsidP="0076213A">
            <w:pPr>
              <w:pStyle w:val="ListParagraph"/>
              <w:numPr>
                <w:ilvl w:val="0"/>
                <w:numId w:val="16"/>
              </w:numPr>
              <w:spacing w:after="120"/>
              <w:rPr>
                <w:rFonts w:ascii="Arial" w:eastAsiaTheme="majorEastAsia" w:hAnsi="Arial" w:cs="Arial"/>
                <w:lang w:eastAsia="en-AU"/>
              </w:rPr>
            </w:pPr>
            <w:r w:rsidRPr="34A33344">
              <w:rPr>
                <w:rFonts w:ascii="Arial" w:eastAsiaTheme="majorEastAsia" w:hAnsi="Arial" w:cs="Arial"/>
                <w:lang w:eastAsia="en-AU"/>
              </w:rPr>
              <w:t>‘Non-</w:t>
            </w:r>
            <w:proofErr w:type="spellStart"/>
            <w:r w:rsidRPr="34A33344">
              <w:rPr>
                <w:rFonts w:ascii="Arial" w:eastAsiaTheme="majorEastAsia" w:hAnsi="Arial" w:cs="Arial"/>
                <w:lang w:eastAsia="en-AU"/>
              </w:rPr>
              <w:t>labour_inputs</w:t>
            </w:r>
            <w:proofErr w:type="spellEnd"/>
            <w:r w:rsidRPr="34A33344">
              <w:rPr>
                <w:rFonts w:ascii="Arial" w:eastAsiaTheme="majorEastAsia" w:hAnsi="Arial" w:cs="Arial"/>
                <w:lang w:eastAsia="en-AU"/>
              </w:rPr>
              <w:t>’ sheet, cells C11:C</w:t>
            </w:r>
            <w:r>
              <w:rPr>
                <w:rFonts w:ascii="Arial" w:eastAsiaTheme="majorEastAsia" w:hAnsi="Arial" w:cs="Arial"/>
                <w:lang w:eastAsia="en-AU"/>
              </w:rPr>
              <w:t>19</w:t>
            </w:r>
          </w:p>
          <w:p w14:paraId="383A5824" w14:textId="261C47C8" w:rsidR="0076213A" w:rsidRDefault="0076213A" w:rsidP="0076213A">
            <w:pPr>
              <w:pStyle w:val="ListParagraph"/>
              <w:numPr>
                <w:ilvl w:val="0"/>
                <w:numId w:val="16"/>
              </w:numPr>
              <w:spacing w:after="120"/>
              <w:rPr>
                <w:rFonts w:ascii="Arial" w:eastAsiaTheme="majorEastAsia" w:hAnsi="Arial" w:cs="Arial"/>
                <w:lang w:eastAsia="en-AU"/>
              </w:rPr>
            </w:pPr>
            <w:r w:rsidRPr="34A33344">
              <w:rPr>
                <w:rFonts w:eastAsiaTheme="majorEastAsia"/>
                <w:szCs w:val="21"/>
                <w:lang w:eastAsia="en-AU"/>
              </w:rPr>
              <w:lastRenderedPageBreak/>
              <w:t>‘Non-</w:t>
            </w:r>
            <w:proofErr w:type="spellStart"/>
            <w:r w:rsidRPr="34A33344">
              <w:rPr>
                <w:rFonts w:eastAsiaTheme="majorEastAsia"/>
                <w:szCs w:val="21"/>
                <w:lang w:eastAsia="en-AU"/>
              </w:rPr>
              <w:t>labour_calcs</w:t>
            </w:r>
            <w:proofErr w:type="spellEnd"/>
            <w:r w:rsidRPr="34A33344">
              <w:rPr>
                <w:rFonts w:eastAsiaTheme="majorEastAsia"/>
                <w:szCs w:val="21"/>
                <w:lang w:eastAsia="en-AU"/>
              </w:rPr>
              <w:t>’ sheet, cell</w:t>
            </w:r>
            <w:r w:rsidRPr="34A33344">
              <w:rPr>
                <w:rFonts w:ascii="Arial" w:eastAsiaTheme="majorEastAsia" w:hAnsi="Arial" w:cs="Arial"/>
                <w:lang w:eastAsia="en-AU"/>
              </w:rPr>
              <w:t>s D32:D3</w:t>
            </w:r>
            <w:r>
              <w:rPr>
                <w:rFonts w:ascii="Arial" w:eastAsiaTheme="majorEastAsia" w:hAnsi="Arial" w:cs="Arial"/>
                <w:lang w:eastAsia="en-AU"/>
              </w:rPr>
              <w:t>9</w:t>
            </w:r>
            <w:r w:rsidRPr="34A33344">
              <w:rPr>
                <w:rFonts w:ascii="Arial" w:eastAsiaTheme="majorEastAsia" w:hAnsi="Arial" w:cs="Arial"/>
                <w:lang w:eastAsia="en-AU"/>
              </w:rPr>
              <w:t>, G32:G3</w:t>
            </w:r>
            <w:r>
              <w:rPr>
                <w:rFonts w:ascii="Arial" w:eastAsiaTheme="majorEastAsia" w:hAnsi="Arial" w:cs="Arial"/>
                <w:lang w:eastAsia="en-AU"/>
              </w:rPr>
              <w:t>9</w:t>
            </w:r>
          </w:p>
        </w:tc>
        <w:tc>
          <w:tcPr>
            <w:tcW w:w="1559" w:type="dxa"/>
          </w:tcPr>
          <w:p w14:paraId="0EADD93A" w14:textId="46E243B2" w:rsidR="0076213A" w:rsidRDefault="0076213A" w:rsidP="0076213A">
            <w:pPr>
              <w:spacing w:after="120"/>
              <w:rPr>
                <w:rFonts w:ascii="Arial" w:eastAsiaTheme="majorEastAsia" w:hAnsi="Arial" w:cs="Arial"/>
                <w:lang w:eastAsia="en-AU"/>
              </w:rPr>
            </w:pPr>
            <w:r w:rsidRPr="08819186">
              <w:rPr>
                <w:rFonts w:ascii="Arial" w:eastAsiaTheme="majorEastAsia" w:hAnsi="Arial" w:cs="Arial"/>
                <w:lang w:eastAsia="en-AU"/>
              </w:rPr>
              <w:lastRenderedPageBreak/>
              <w:t>Third party organisation names</w:t>
            </w:r>
            <w:r w:rsidRPr="51A96C2F">
              <w:rPr>
                <w:rFonts w:ascii="Arial" w:eastAsiaTheme="majorEastAsia" w:hAnsi="Arial" w:cs="Arial"/>
                <w:lang w:eastAsia="en-AU"/>
              </w:rPr>
              <w:t xml:space="preserve"> and identification of Transgrid personnel</w:t>
            </w:r>
          </w:p>
        </w:tc>
        <w:tc>
          <w:tcPr>
            <w:tcW w:w="1701" w:type="dxa"/>
          </w:tcPr>
          <w:p w14:paraId="5844935B" w14:textId="66431BD8" w:rsidR="0076213A" w:rsidRDefault="0076213A" w:rsidP="0076213A">
            <w:pPr>
              <w:spacing w:after="120"/>
              <w:rPr>
                <w:rFonts w:ascii="Arial" w:eastAsiaTheme="majorEastAsia" w:hAnsi="Arial" w:cs="Arial"/>
                <w:lang w:eastAsia="en-AU"/>
              </w:rPr>
            </w:pPr>
            <w:r w:rsidRPr="51A96C2F">
              <w:rPr>
                <w:rFonts w:ascii="Arial" w:eastAsiaTheme="majorEastAsia" w:hAnsi="Arial" w:cs="Arial"/>
                <w:lang w:eastAsia="en-AU"/>
              </w:rPr>
              <w:t>Information associated with labour</w:t>
            </w:r>
            <w:r w:rsidRPr="08819186">
              <w:rPr>
                <w:rFonts w:ascii="Arial" w:eastAsiaTheme="majorEastAsia" w:hAnsi="Arial" w:cs="Arial"/>
                <w:lang w:eastAsia="en-AU"/>
              </w:rPr>
              <w:t xml:space="preserve"> and indirect capex related to extraordinary project development, and negotiation costs</w:t>
            </w:r>
          </w:p>
          <w:p w14:paraId="08898BA2" w14:textId="11F6EA5E" w:rsidR="0076213A" w:rsidRDefault="0076213A" w:rsidP="0076213A">
            <w:pPr>
              <w:spacing w:after="120"/>
              <w:rPr>
                <w:rFonts w:ascii="Arial" w:eastAsiaTheme="majorEastAsia" w:hAnsi="Arial" w:cs="Arial"/>
                <w:lang w:eastAsia="en-AU"/>
              </w:rPr>
            </w:pPr>
          </w:p>
        </w:tc>
        <w:tc>
          <w:tcPr>
            <w:tcW w:w="1559" w:type="dxa"/>
          </w:tcPr>
          <w:p w14:paraId="6E4832D6" w14:textId="6EC56806" w:rsidR="0076213A" w:rsidRDefault="0076213A" w:rsidP="0076213A">
            <w:pPr>
              <w:spacing w:after="120"/>
              <w:rPr>
                <w:rFonts w:ascii="Arial" w:eastAsiaTheme="majorEastAsia" w:hAnsi="Arial" w:cs="Arial"/>
                <w:lang w:eastAsia="en-AU"/>
              </w:rPr>
            </w:pPr>
            <w:r w:rsidRPr="08819186">
              <w:rPr>
                <w:rFonts w:ascii="Arial" w:eastAsiaTheme="majorEastAsia" w:hAnsi="Arial" w:cs="Arial"/>
                <w:lang w:eastAsia="en-AU"/>
              </w:rPr>
              <w:t xml:space="preserve">Market intelligence / other – third party confidentiality </w:t>
            </w:r>
          </w:p>
        </w:tc>
        <w:tc>
          <w:tcPr>
            <w:tcW w:w="1985" w:type="dxa"/>
          </w:tcPr>
          <w:p w14:paraId="59780639" w14:textId="0BE9D876" w:rsidR="0076213A" w:rsidRDefault="0076213A" w:rsidP="0076213A">
            <w:pPr>
              <w:spacing w:after="120"/>
              <w:rPr>
                <w:rFonts w:ascii="Arial" w:eastAsiaTheme="majorEastAsia" w:hAnsi="Arial" w:cs="Arial"/>
                <w:lang w:eastAsia="en-AU"/>
              </w:rPr>
            </w:pPr>
            <w:r w:rsidRPr="51A96C2F">
              <w:rPr>
                <w:rFonts w:ascii="Arial" w:eastAsiaTheme="majorEastAsia" w:hAnsi="Arial" w:cs="Arial"/>
                <w:lang w:eastAsia="en-AU"/>
              </w:rPr>
              <w:t xml:space="preserve">The model includes the costs of third parties engaged to assist Transgrid and the costs of internal Transgrid resources. This information is commercially sensitive price information for third parties, and sensitive employee data for </w:t>
            </w:r>
            <w:r w:rsidRPr="51A96C2F">
              <w:rPr>
                <w:rFonts w:ascii="Arial" w:eastAsiaTheme="majorEastAsia" w:hAnsi="Arial" w:cs="Arial"/>
                <w:lang w:eastAsia="en-AU"/>
              </w:rPr>
              <w:lastRenderedPageBreak/>
              <w:t xml:space="preserve">Transgrid employees. </w:t>
            </w:r>
          </w:p>
        </w:tc>
        <w:tc>
          <w:tcPr>
            <w:tcW w:w="2551" w:type="dxa"/>
          </w:tcPr>
          <w:p w14:paraId="017B5D8F" w14:textId="6555B044" w:rsidR="0076213A" w:rsidRDefault="0076213A" w:rsidP="0076213A">
            <w:pPr>
              <w:spacing w:after="120"/>
              <w:rPr>
                <w:rFonts w:ascii="Arial" w:eastAsiaTheme="majorEastAsia" w:hAnsi="Arial" w:cs="Arial"/>
                <w:lang w:eastAsia="en-AU"/>
              </w:rPr>
            </w:pPr>
            <w:r w:rsidRPr="7C246DC6">
              <w:rPr>
                <w:rFonts w:ascii="Arial" w:eastAsiaTheme="majorEastAsia" w:hAnsi="Arial" w:cs="Arial"/>
                <w:lang w:eastAsia="en-AU"/>
              </w:rPr>
              <w:lastRenderedPageBreak/>
              <w:t xml:space="preserve">Revealing the names of </w:t>
            </w:r>
            <w:proofErr w:type="gramStart"/>
            <w:r w:rsidRPr="7C246DC6">
              <w:rPr>
                <w:rFonts w:ascii="Arial" w:eastAsiaTheme="majorEastAsia" w:hAnsi="Arial" w:cs="Arial"/>
                <w:lang w:eastAsia="en-AU"/>
              </w:rPr>
              <w:t>third party</w:t>
            </w:r>
            <w:proofErr w:type="gramEnd"/>
            <w:r w:rsidRPr="7C246DC6">
              <w:rPr>
                <w:rFonts w:ascii="Arial" w:eastAsiaTheme="majorEastAsia" w:hAnsi="Arial" w:cs="Arial"/>
                <w:lang w:eastAsia="en-AU"/>
              </w:rPr>
              <w:t xml:space="preserve"> organisations associated with confidential and commercially sensitive cost information could place Transgrid in breach of its engagement agreements with third parties.</w:t>
            </w:r>
          </w:p>
          <w:p w14:paraId="2BF572F3" w14:textId="271AC1A4" w:rsidR="0076213A" w:rsidRDefault="0076213A" w:rsidP="0076213A">
            <w:pPr>
              <w:spacing w:after="120"/>
              <w:rPr>
                <w:rFonts w:ascii="Arial" w:eastAsiaTheme="majorEastAsia" w:hAnsi="Arial" w:cs="Arial"/>
                <w:lang w:eastAsia="en-AU"/>
              </w:rPr>
            </w:pPr>
            <w:r w:rsidRPr="7C246DC6">
              <w:rPr>
                <w:rFonts w:ascii="Arial" w:eastAsiaTheme="majorEastAsia" w:hAnsi="Arial" w:cs="Arial"/>
                <w:lang w:eastAsia="en-AU"/>
              </w:rPr>
              <w:t xml:space="preserve">Additionally, including the titles of Transgrid personnel in respect of Transgrid’s internal costs would potentially enable </w:t>
            </w:r>
            <w:r w:rsidRPr="7C246DC6">
              <w:rPr>
                <w:rFonts w:ascii="Arial" w:eastAsiaTheme="majorEastAsia" w:hAnsi="Arial" w:cs="Arial"/>
                <w:lang w:eastAsia="en-AU"/>
              </w:rPr>
              <w:lastRenderedPageBreak/>
              <w:t xml:space="preserve">identification of these individuals’ salaries and other confidential employee data.  </w:t>
            </w:r>
          </w:p>
        </w:tc>
        <w:tc>
          <w:tcPr>
            <w:tcW w:w="2552" w:type="dxa"/>
          </w:tcPr>
          <w:p w14:paraId="177D2404" w14:textId="5F62F54A" w:rsidR="0076213A" w:rsidRDefault="0076213A" w:rsidP="0076213A">
            <w:pPr>
              <w:spacing w:after="120"/>
              <w:rPr>
                <w:rFonts w:ascii="Arial" w:eastAsiaTheme="majorEastAsia" w:hAnsi="Arial" w:cs="Arial"/>
                <w:lang w:eastAsia="en-AU"/>
              </w:rPr>
            </w:pPr>
            <w:r w:rsidRPr="0D6F4280">
              <w:rPr>
                <w:rFonts w:ascii="Arial" w:eastAsiaTheme="majorEastAsia" w:hAnsi="Arial" w:cs="Arial"/>
                <w:lang w:eastAsia="en-AU"/>
              </w:rPr>
              <w:lastRenderedPageBreak/>
              <w:t xml:space="preserve">Revealing this information could raise privacy concerns for individuals </w:t>
            </w:r>
            <w:r w:rsidRPr="6A1A29B0">
              <w:rPr>
                <w:rFonts w:ascii="Arial" w:eastAsiaTheme="majorEastAsia" w:hAnsi="Arial" w:cs="Arial"/>
                <w:lang w:eastAsia="en-AU"/>
              </w:rPr>
              <w:t xml:space="preserve">concerning employee data </w:t>
            </w:r>
            <w:r w:rsidRPr="0D6F4280">
              <w:rPr>
                <w:rFonts w:ascii="Arial" w:eastAsiaTheme="majorEastAsia" w:hAnsi="Arial" w:cs="Arial"/>
                <w:lang w:eastAsia="en-AU"/>
              </w:rPr>
              <w:t>and financial harm to Transgrid if it was in breach of its confidentiality agreements with third parties</w:t>
            </w:r>
            <w:r w:rsidRPr="6A1A29B0">
              <w:rPr>
                <w:rFonts w:ascii="Arial" w:eastAsiaTheme="majorEastAsia" w:hAnsi="Arial" w:cs="Arial"/>
                <w:lang w:eastAsia="en-AU"/>
              </w:rPr>
              <w:t>.</w:t>
            </w:r>
          </w:p>
          <w:p w14:paraId="4450CBAF" w14:textId="488388D8" w:rsidR="0076213A" w:rsidRDefault="0076213A" w:rsidP="0076213A">
            <w:pPr>
              <w:spacing w:after="120"/>
              <w:rPr>
                <w:rFonts w:ascii="Arial" w:eastAsiaTheme="majorEastAsia" w:hAnsi="Arial" w:cs="Arial"/>
                <w:lang w:eastAsia="en-AU"/>
              </w:rPr>
            </w:pPr>
            <w:r w:rsidRPr="0D6F4280">
              <w:rPr>
                <w:rFonts w:ascii="Arial" w:eastAsiaTheme="majorEastAsia" w:hAnsi="Arial" w:cs="Arial"/>
                <w:lang w:eastAsia="en-AU"/>
              </w:rPr>
              <w:t xml:space="preserve">There is no apparent public benefit to disclosing this information, compared to </w:t>
            </w:r>
            <w:r w:rsidRPr="0D6F4280">
              <w:rPr>
                <w:rFonts w:ascii="Arial" w:eastAsiaTheme="majorEastAsia" w:hAnsi="Arial" w:cs="Arial"/>
                <w:lang w:eastAsia="en-AU"/>
              </w:rPr>
              <w:lastRenderedPageBreak/>
              <w:t>the detriment from disclosing this information.</w:t>
            </w:r>
          </w:p>
        </w:tc>
        <w:tc>
          <w:tcPr>
            <w:tcW w:w="1275" w:type="dxa"/>
          </w:tcPr>
          <w:p w14:paraId="278AE9F9" w14:textId="1E073E62" w:rsidR="0076213A" w:rsidRPr="462BED03" w:rsidRDefault="0076213A" w:rsidP="0076213A">
            <w:pPr>
              <w:rPr>
                <w:rFonts w:ascii="Arial" w:hAnsi="Arial" w:cs="Arial"/>
              </w:rPr>
            </w:pPr>
            <w:r w:rsidRPr="358799A6">
              <w:rPr>
                <w:rFonts w:ascii="Arial" w:hAnsi="Arial" w:cs="Arial"/>
              </w:rPr>
              <w:lastRenderedPageBreak/>
              <w:t>4 pages</w:t>
            </w:r>
          </w:p>
        </w:tc>
      </w:tr>
    </w:tbl>
    <w:p w14:paraId="736FEA0F" w14:textId="13C32C0A" w:rsidR="007918D3" w:rsidRDefault="005A29D9">
      <w:r>
        <w:br w:type="textWrapping" w:clear="all"/>
      </w:r>
      <w:r w:rsidR="007918D3">
        <w:br w:type="page"/>
      </w:r>
    </w:p>
    <w:p w14:paraId="527CF3F8" w14:textId="4449CB15" w:rsidR="00354AEB" w:rsidRDefault="00354AEB" w:rsidP="007918D3">
      <w:pPr>
        <w:pStyle w:val="Heading1"/>
      </w:pPr>
      <w:bookmarkStart w:id="1" w:name="_Toc85573555"/>
      <w:r>
        <w:lastRenderedPageBreak/>
        <w:t xml:space="preserve"> </w:t>
      </w:r>
      <w:bookmarkStart w:id="2" w:name="_Toc221874643"/>
      <w:r>
        <w:t>Locations of Cells with Confidential Material</w:t>
      </w:r>
      <w:bookmarkEnd w:id="2"/>
      <w:r>
        <w:t xml:space="preserve">  </w:t>
      </w:r>
    </w:p>
    <w:tbl>
      <w:tblPr>
        <w:tblStyle w:val="TableGrid"/>
        <w:tblW w:w="15448" w:type="dxa"/>
        <w:tblLook w:val="04A0" w:firstRow="1" w:lastRow="0" w:firstColumn="1" w:lastColumn="0" w:noHBand="0" w:noVBand="1"/>
      </w:tblPr>
      <w:tblGrid>
        <w:gridCol w:w="2456"/>
        <w:gridCol w:w="2456"/>
        <w:gridCol w:w="2456"/>
        <w:gridCol w:w="8080"/>
      </w:tblGrid>
      <w:tr w:rsidR="002923B0" w14:paraId="33656189" w14:textId="77777777" w:rsidTr="009B4B47">
        <w:trPr>
          <w:cnfStyle w:val="100000000000" w:firstRow="1" w:lastRow="0" w:firstColumn="0" w:lastColumn="0" w:oddVBand="0" w:evenVBand="0" w:oddHBand="0" w:evenHBand="0" w:firstRowFirstColumn="0" w:firstRowLastColumn="0" w:lastRowFirstColumn="0" w:lastRowLastColumn="0"/>
        </w:trPr>
        <w:tc>
          <w:tcPr>
            <w:tcW w:w="2456" w:type="dxa"/>
          </w:tcPr>
          <w:p w14:paraId="46A6AB83" w14:textId="55D0A226" w:rsidR="002923B0" w:rsidRDefault="002923B0" w:rsidP="00354AEB">
            <w:r>
              <w:t>Model</w:t>
            </w:r>
          </w:p>
        </w:tc>
        <w:tc>
          <w:tcPr>
            <w:tcW w:w="2456" w:type="dxa"/>
          </w:tcPr>
          <w:p w14:paraId="030E8F45" w14:textId="1E8D5966" w:rsidR="002923B0" w:rsidRDefault="002923B0" w:rsidP="00354AEB">
            <w:r>
              <w:t xml:space="preserve">Description of </w:t>
            </w:r>
            <w:r w:rsidR="00C97B6A">
              <w:t xml:space="preserve">the </w:t>
            </w:r>
            <w:r>
              <w:t>confidential information</w:t>
            </w:r>
          </w:p>
        </w:tc>
        <w:tc>
          <w:tcPr>
            <w:tcW w:w="2456" w:type="dxa"/>
          </w:tcPr>
          <w:p w14:paraId="12F7FE46" w14:textId="5BDD64EB" w:rsidR="002923B0" w:rsidRDefault="00C97B6A" w:rsidP="00354AEB">
            <w:r>
              <w:t>Topic of confidential information</w:t>
            </w:r>
          </w:p>
        </w:tc>
        <w:tc>
          <w:tcPr>
            <w:tcW w:w="8080" w:type="dxa"/>
          </w:tcPr>
          <w:p w14:paraId="609AF2E7" w14:textId="14F83F1F" w:rsidR="002923B0" w:rsidRDefault="002923B0" w:rsidP="00354AEB">
            <w:r>
              <w:t>Cell reference</w:t>
            </w:r>
            <w:r w:rsidR="00C97B6A">
              <w:t>s</w:t>
            </w:r>
          </w:p>
        </w:tc>
      </w:tr>
      <w:tr w:rsidR="001C5614" w14:paraId="0A4FD43A" w14:textId="77777777" w:rsidTr="009B4B47">
        <w:tc>
          <w:tcPr>
            <w:tcW w:w="2456" w:type="dxa"/>
          </w:tcPr>
          <w:p w14:paraId="535B988A" w14:textId="78A71693" w:rsidR="001C5614" w:rsidRPr="00C97B6A" w:rsidRDefault="001C5614" w:rsidP="001C5614">
            <w:r w:rsidRPr="00C97B6A">
              <w:t>Appendix 3b: Net market benefits NPV model</w:t>
            </w:r>
          </w:p>
        </w:tc>
        <w:tc>
          <w:tcPr>
            <w:tcW w:w="2456" w:type="dxa"/>
          </w:tcPr>
          <w:p w14:paraId="7BF7C2D1" w14:textId="235807F5" w:rsidR="001C5614" w:rsidRDefault="001C5614" w:rsidP="001C5614">
            <w:r w:rsidRPr="0113C515">
              <w:rPr>
                <w:rFonts w:ascii="Arial" w:hAnsi="Arial" w:cs="Arial"/>
              </w:rPr>
              <w:t xml:space="preserve">External contribution amounts </w:t>
            </w:r>
          </w:p>
        </w:tc>
        <w:tc>
          <w:tcPr>
            <w:tcW w:w="2456" w:type="dxa"/>
          </w:tcPr>
          <w:p w14:paraId="0BEBD38C" w14:textId="49D1ED70" w:rsidR="001C5614" w:rsidRDefault="00C113DD" w:rsidP="001C5614">
            <w:r>
              <w:rPr>
                <w:rFonts w:ascii="Arial" w:hAnsi="Arial" w:cs="Arial"/>
              </w:rPr>
              <w:t>Contractor information</w:t>
            </w:r>
          </w:p>
        </w:tc>
        <w:tc>
          <w:tcPr>
            <w:tcW w:w="8080" w:type="dxa"/>
          </w:tcPr>
          <w:p w14:paraId="594A2F05" w14:textId="77777777" w:rsidR="001C5614" w:rsidRDefault="001C5614" w:rsidP="001C5614">
            <w:pPr>
              <w:rPr>
                <w:rFonts w:ascii="Arial" w:eastAsiaTheme="majorEastAsia" w:hAnsi="Arial" w:cs="Arial"/>
                <w:lang w:eastAsia="en-AU"/>
              </w:rPr>
            </w:pPr>
            <w:r w:rsidRPr="34A33344">
              <w:rPr>
                <w:rFonts w:ascii="Arial" w:eastAsiaTheme="majorEastAsia" w:hAnsi="Arial" w:cs="Arial"/>
                <w:lang w:eastAsia="en-AU"/>
              </w:rPr>
              <w:t>The following locations in the document:</w:t>
            </w:r>
          </w:p>
          <w:p w14:paraId="0DFAC409" w14:textId="77777777" w:rsidR="001C5614" w:rsidRDefault="001C5614" w:rsidP="005937CE">
            <w:pPr>
              <w:pStyle w:val="ListParagraph"/>
              <w:numPr>
                <w:ilvl w:val="0"/>
                <w:numId w:val="15"/>
              </w:numPr>
              <w:rPr>
                <w:rFonts w:ascii="Arial" w:eastAsiaTheme="majorEastAsia" w:hAnsi="Arial" w:cs="Arial"/>
                <w:color w:val="auto"/>
                <w:lang w:eastAsia="en-AU"/>
              </w:rPr>
            </w:pPr>
            <w:r>
              <w:rPr>
                <w:rFonts w:ascii="Arial" w:eastAsiaTheme="majorEastAsia" w:hAnsi="Arial" w:cs="Arial"/>
                <w:color w:val="auto"/>
                <w:lang w:eastAsia="en-AU"/>
              </w:rPr>
              <w:t>S1 sheet: Cells F157:AK159</w:t>
            </w:r>
          </w:p>
          <w:p w14:paraId="683F525A" w14:textId="77777777" w:rsidR="001C5614" w:rsidRDefault="001C5614" w:rsidP="005937CE">
            <w:pPr>
              <w:pStyle w:val="ListParagraph"/>
              <w:numPr>
                <w:ilvl w:val="0"/>
                <w:numId w:val="15"/>
              </w:numPr>
              <w:rPr>
                <w:rFonts w:ascii="Arial" w:eastAsiaTheme="majorEastAsia" w:hAnsi="Arial" w:cs="Arial"/>
                <w:color w:val="auto"/>
                <w:lang w:eastAsia="en-AU"/>
              </w:rPr>
            </w:pPr>
            <w:r>
              <w:rPr>
                <w:rFonts w:ascii="Arial" w:eastAsiaTheme="majorEastAsia" w:hAnsi="Arial" w:cs="Arial"/>
                <w:color w:val="auto"/>
                <w:lang w:eastAsia="en-AU"/>
              </w:rPr>
              <w:t>S1 sheet: Cells F161:AK163</w:t>
            </w:r>
          </w:p>
          <w:p w14:paraId="604732AA" w14:textId="77777777" w:rsidR="001C5614" w:rsidRDefault="001C5614" w:rsidP="005937CE">
            <w:pPr>
              <w:pStyle w:val="ListParagraph"/>
              <w:numPr>
                <w:ilvl w:val="0"/>
                <w:numId w:val="15"/>
              </w:numPr>
              <w:rPr>
                <w:rFonts w:ascii="Arial" w:eastAsiaTheme="majorEastAsia" w:hAnsi="Arial" w:cs="Arial"/>
                <w:color w:val="auto"/>
                <w:lang w:eastAsia="en-AU"/>
              </w:rPr>
            </w:pPr>
            <w:r>
              <w:rPr>
                <w:rFonts w:ascii="Arial" w:eastAsiaTheme="majorEastAsia" w:hAnsi="Arial" w:cs="Arial"/>
                <w:color w:val="auto"/>
                <w:lang w:eastAsia="en-AU"/>
              </w:rPr>
              <w:t>S2 sheet: Cells F157:AK159</w:t>
            </w:r>
          </w:p>
          <w:p w14:paraId="266F9A25" w14:textId="77777777" w:rsidR="001C5614" w:rsidRDefault="001C5614" w:rsidP="005937CE">
            <w:pPr>
              <w:pStyle w:val="ListParagraph"/>
              <w:numPr>
                <w:ilvl w:val="0"/>
                <w:numId w:val="15"/>
              </w:numPr>
              <w:rPr>
                <w:rFonts w:ascii="Arial" w:eastAsiaTheme="majorEastAsia" w:hAnsi="Arial" w:cs="Arial"/>
                <w:color w:val="auto"/>
                <w:lang w:eastAsia="en-AU"/>
              </w:rPr>
            </w:pPr>
            <w:r>
              <w:rPr>
                <w:rFonts w:ascii="Arial" w:eastAsiaTheme="majorEastAsia" w:hAnsi="Arial" w:cs="Arial"/>
                <w:color w:val="auto"/>
                <w:lang w:eastAsia="en-AU"/>
              </w:rPr>
              <w:t>S2 sheet: Cells F161:AK163</w:t>
            </w:r>
          </w:p>
          <w:p w14:paraId="227956FC" w14:textId="77777777" w:rsidR="001C5614" w:rsidRDefault="001C5614" w:rsidP="005937CE">
            <w:pPr>
              <w:pStyle w:val="ListParagraph"/>
              <w:numPr>
                <w:ilvl w:val="0"/>
                <w:numId w:val="15"/>
              </w:numPr>
              <w:rPr>
                <w:rFonts w:ascii="Arial" w:eastAsiaTheme="majorEastAsia" w:hAnsi="Arial" w:cs="Arial"/>
                <w:color w:val="auto"/>
                <w:lang w:eastAsia="en-AU"/>
              </w:rPr>
            </w:pPr>
            <w:r>
              <w:rPr>
                <w:rFonts w:ascii="Arial" w:eastAsiaTheme="majorEastAsia" w:hAnsi="Arial" w:cs="Arial"/>
                <w:color w:val="auto"/>
                <w:lang w:eastAsia="en-AU"/>
              </w:rPr>
              <w:t>S3 sheet: Cells F157:AK159</w:t>
            </w:r>
          </w:p>
          <w:p w14:paraId="240AB759" w14:textId="77777777" w:rsidR="001C5614" w:rsidRDefault="001C5614" w:rsidP="005937CE">
            <w:pPr>
              <w:pStyle w:val="ListParagraph"/>
              <w:numPr>
                <w:ilvl w:val="0"/>
                <w:numId w:val="15"/>
              </w:numPr>
              <w:rPr>
                <w:rFonts w:ascii="Arial" w:eastAsiaTheme="majorEastAsia" w:hAnsi="Arial" w:cs="Arial"/>
                <w:color w:val="auto"/>
                <w:lang w:eastAsia="en-AU"/>
              </w:rPr>
            </w:pPr>
            <w:r>
              <w:rPr>
                <w:rFonts w:ascii="Arial" w:eastAsiaTheme="majorEastAsia" w:hAnsi="Arial" w:cs="Arial"/>
                <w:color w:val="auto"/>
                <w:lang w:eastAsia="en-AU"/>
              </w:rPr>
              <w:t>S3 sheet: Cells F161:AK163</w:t>
            </w:r>
          </w:p>
          <w:p w14:paraId="4A2894D8" w14:textId="77777777" w:rsidR="001C5614" w:rsidRDefault="001C5614" w:rsidP="005937CE">
            <w:pPr>
              <w:pStyle w:val="ListParagraph"/>
              <w:numPr>
                <w:ilvl w:val="0"/>
                <w:numId w:val="15"/>
              </w:numPr>
              <w:rPr>
                <w:rFonts w:ascii="Arial" w:eastAsiaTheme="majorEastAsia" w:hAnsi="Arial" w:cs="Arial"/>
                <w:color w:val="auto"/>
                <w:lang w:eastAsia="en-AU"/>
              </w:rPr>
            </w:pPr>
            <w:r>
              <w:rPr>
                <w:rFonts w:ascii="Arial" w:eastAsiaTheme="majorEastAsia" w:hAnsi="Arial" w:cs="Arial"/>
                <w:color w:val="auto"/>
                <w:lang w:eastAsia="en-AU"/>
              </w:rPr>
              <w:t>S3 sheet: Cells L241:AK241</w:t>
            </w:r>
          </w:p>
          <w:p w14:paraId="11E2EF33" w14:textId="77777777" w:rsidR="001C5614" w:rsidRDefault="001C5614" w:rsidP="005937CE">
            <w:pPr>
              <w:pStyle w:val="ListParagraph"/>
              <w:numPr>
                <w:ilvl w:val="0"/>
                <w:numId w:val="15"/>
              </w:numPr>
              <w:rPr>
                <w:rFonts w:ascii="Arial" w:eastAsiaTheme="majorEastAsia" w:hAnsi="Arial" w:cs="Arial"/>
                <w:color w:val="auto"/>
                <w:lang w:eastAsia="en-AU"/>
              </w:rPr>
            </w:pPr>
            <w:r>
              <w:rPr>
                <w:rFonts w:ascii="Arial" w:eastAsiaTheme="majorEastAsia" w:hAnsi="Arial" w:cs="Arial"/>
                <w:color w:val="auto"/>
                <w:lang w:eastAsia="en-AU"/>
              </w:rPr>
              <w:t>S3 sheet: Cells F242:AK242</w:t>
            </w:r>
          </w:p>
          <w:p w14:paraId="49FF2B01" w14:textId="77777777" w:rsidR="001C5614" w:rsidRDefault="001C5614" w:rsidP="005937CE">
            <w:pPr>
              <w:pStyle w:val="ListParagraph"/>
              <w:numPr>
                <w:ilvl w:val="0"/>
                <w:numId w:val="15"/>
              </w:numPr>
              <w:rPr>
                <w:rFonts w:ascii="Arial" w:eastAsiaTheme="majorEastAsia" w:hAnsi="Arial" w:cs="Arial"/>
                <w:color w:val="auto"/>
                <w:lang w:eastAsia="en-AU"/>
              </w:rPr>
            </w:pPr>
            <w:r>
              <w:rPr>
                <w:rFonts w:ascii="Arial" w:eastAsiaTheme="majorEastAsia" w:hAnsi="Arial" w:cs="Arial"/>
                <w:color w:val="auto"/>
                <w:lang w:eastAsia="en-AU"/>
              </w:rPr>
              <w:t>S3 sheet: Cells L243:AK243</w:t>
            </w:r>
          </w:p>
          <w:p w14:paraId="5D219709" w14:textId="77777777" w:rsidR="001C5614" w:rsidRDefault="001C5614" w:rsidP="005937CE">
            <w:pPr>
              <w:pStyle w:val="ListParagraph"/>
              <w:numPr>
                <w:ilvl w:val="0"/>
                <w:numId w:val="15"/>
              </w:numPr>
              <w:rPr>
                <w:rFonts w:ascii="Arial" w:eastAsiaTheme="majorEastAsia" w:hAnsi="Arial" w:cs="Arial"/>
                <w:color w:val="auto"/>
                <w:lang w:eastAsia="en-AU"/>
              </w:rPr>
            </w:pPr>
            <w:r>
              <w:rPr>
                <w:rFonts w:ascii="Arial" w:eastAsiaTheme="majorEastAsia" w:hAnsi="Arial" w:cs="Arial"/>
                <w:color w:val="auto"/>
                <w:lang w:eastAsia="en-AU"/>
              </w:rPr>
              <w:t>Weighted sheet: Cells F47:AK49</w:t>
            </w:r>
          </w:p>
          <w:p w14:paraId="6CAC0DA8" w14:textId="77777777" w:rsidR="001C5614" w:rsidRPr="00981E88" w:rsidRDefault="001C5614" w:rsidP="005937CE">
            <w:pPr>
              <w:pStyle w:val="ListParagraph"/>
              <w:numPr>
                <w:ilvl w:val="0"/>
                <w:numId w:val="15"/>
              </w:numPr>
              <w:rPr>
                <w:rFonts w:ascii="Arial" w:eastAsiaTheme="majorEastAsia" w:hAnsi="Arial" w:cs="Arial"/>
                <w:color w:val="auto"/>
                <w:lang w:eastAsia="en-AU"/>
              </w:rPr>
            </w:pPr>
            <w:r>
              <w:rPr>
                <w:rFonts w:ascii="Arial" w:eastAsiaTheme="majorEastAsia" w:hAnsi="Arial" w:cs="Arial"/>
                <w:color w:val="auto"/>
                <w:lang w:eastAsia="en-AU"/>
              </w:rPr>
              <w:t>Weighted sheet: Cells F51:AK53</w:t>
            </w:r>
          </w:p>
          <w:p w14:paraId="2C93D184" w14:textId="77777777" w:rsidR="001C5614" w:rsidRDefault="001C5614" w:rsidP="005937CE">
            <w:pPr>
              <w:pStyle w:val="ListParagraph"/>
              <w:numPr>
                <w:ilvl w:val="0"/>
                <w:numId w:val="15"/>
              </w:numPr>
              <w:rPr>
                <w:rFonts w:ascii="Arial" w:eastAsiaTheme="majorEastAsia" w:hAnsi="Arial" w:cs="Arial"/>
                <w:color w:val="auto"/>
                <w:lang w:eastAsia="en-AU"/>
              </w:rPr>
            </w:pPr>
            <w:r>
              <w:rPr>
                <w:rFonts w:ascii="Arial" w:eastAsiaTheme="majorEastAsia" w:hAnsi="Arial" w:cs="Arial"/>
                <w:color w:val="auto"/>
                <w:lang w:eastAsia="en-AU"/>
              </w:rPr>
              <w:t>Weighted sheet: Cells F133:AK133</w:t>
            </w:r>
          </w:p>
          <w:p w14:paraId="5C340B58" w14:textId="77777777" w:rsidR="001C5614" w:rsidRDefault="001C5614" w:rsidP="005937CE">
            <w:pPr>
              <w:pStyle w:val="ListParagraph"/>
              <w:numPr>
                <w:ilvl w:val="0"/>
                <w:numId w:val="15"/>
              </w:numPr>
              <w:rPr>
                <w:rFonts w:ascii="Arial" w:eastAsiaTheme="majorEastAsia" w:hAnsi="Arial" w:cs="Arial"/>
                <w:color w:val="auto"/>
                <w:lang w:eastAsia="en-AU"/>
              </w:rPr>
            </w:pPr>
            <w:r>
              <w:rPr>
                <w:rFonts w:ascii="Arial" w:eastAsiaTheme="majorEastAsia" w:hAnsi="Arial" w:cs="Arial"/>
                <w:color w:val="auto"/>
                <w:lang w:eastAsia="en-AU"/>
              </w:rPr>
              <w:t>I2 CBA Inputs: Cells E113:AJ117</w:t>
            </w:r>
          </w:p>
          <w:p w14:paraId="53A4037D" w14:textId="77777777" w:rsidR="001C5614" w:rsidRDefault="001C5614" w:rsidP="005937CE">
            <w:pPr>
              <w:pStyle w:val="ListParagraph"/>
              <w:numPr>
                <w:ilvl w:val="0"/>
                <w:numId w:val="15"/>
              </w:numPr>
              <w:rPr>
                <w:rFonts w:ascii="Arial" w:eastAsiaTheme="majorEastAsia" w:hAnsi="Arial" w:cs="Arial"/>
                <w:color w:val="auto"/>
                <w:lang w:eastAsia="en-AU"/>
              </w:rPr>
            </w:pPr>
            <w:r>
              <w:rPr>
                <w:rFonts w:ascii="Arial" w:eastAsiaTheme="majorEastAsia" w:hAnsi="Arial" w:cs="Arial"/>
                <w:color w:val="auto"/>
                <w:lang w:eastAsia="en-AU"/>
              </w:rPr>
              <w:t>I2 CBA Inputs: Cells E119:AJ121</w:t>
            </w:r>
          </w:p>
          <w:p w14:paraId="5626A80D" w14:textId="77777777" w:rsidR="001C5614" w:rsidRDefault="001C5614" w:rsidP="005937CE">
            <w:pPr>
              <w:pStyle w:val="ListParagraph"/>
              <w:numPr>
                <w:ilvl w:val="0"/>
                <w:numId w:val="15"/>
              </w:numPr>
              <w:rPr>
                <w:rFonts w:ascii="Arial" w:eastAsiaTheme="majorEastAsia" w:hAnsi="Arial" w:cs="Arial"/>
                <w:color w:val="auto"/>
                <w:lang w:eastAsia="en-AU"/>
              </w:rPr>
            </w:pPr>
            <w:r>
              <w:rPr>
                <w:rFonts w:ascii="Arial" w:eastAsiaTheme="majorEastAsia" w:hAnsi="Arial" w:cs="Arial"/>
                <w:color w:val="auto"/>
                <w:lang w:eastAsia="en-AU"/>
              </w:rPr>
              <w:t>Capex sheet: E124:T127</w:t>
            </w:r>
          </w:p>
          <w:p w14:paraId="2409EC2B" w14:textId="77777777" w:rsidR="001C5614" w:rsidRPr="00981E88" w:rsidRDefault="001C5614" w:rsidP="005937CE">
            <w:pPr>
              <w:pStyle w:val="ListParagraph"/>
              <w:numPr>
                <w:ilvl w:val="0"/>
                <w:numId w:val="15"/>
              </w:numPr>
              <w:rPr>
                <w:rFonts w:ascii="Arial" w:eastAsiaTheme="majorEastAsia" w:hAnsi="Arial" w:cs="Arial"/>
                <w:color w:val="auto"/>
                <w:lang w:eastAsia="en-AU"/>
              </w:rPr>
            </w:pPr>
            <w:r>
              <w:rPr>
                <w:rFonts w:ascii="Arial" w:eastAsiaTheme="majorEastAsia" w:hAnsi="Arial" w:cs="Arial"/>
                <w:color w:val="auto"/>
                <w:lang w:eastAsia="en-AU"/>
              </w:rPr>
              <w:t>Capex sheet: E129:T131</w:t>
            </w:r>
          </w:p>
          <w:p w14:paraId="2BB5E140" w14:textId="77777777" w:rsidR="001C5614" w:rsidRDefault="001C5614" w:rsidP="005937CE">
            <w:pPr>
              <w:pStyle w:val="ListParagraph"/>
              <w:numPr>
                <w:ilvl w:val="0"/>
                <w:numId w:val="15"/>
              </w:numPr>
              <w:rPr>
                <w:rFonts w:ascii="Arial" w:eastAsiaTheme="majorEastAsia" w:hAnsi="Arial" w:cs="Arial"/>
                <w:color w:val="auto"/>
                <w:lang w:eastAsia="en-AU"/>
              </w:rPr>
            </w:pPr>
            <w:r>
              <w:rPr>
                <w:rFonts w:ascii="Arial" w:eastAsiaTheme="majorEastAsia" w:hAnsi="Arial" w:cs="Arial"/>
                <w:color w:val="auto"/>
                <w:lang w:eastAsia="en-AU"/>
              </w:rPr>
              <w:t>Capex sheet: E202:T205</w:t>
            </w:r>
          </w:p>
          <w:p w14:paraId="6AF9C036" w14:textId="7B8F0D7E" w:rsidR="001C5614" w:rsidRDefault="001C5614" w:rsidP="005937CE">
            <w:pPr>
              <w:pStyle w:val="ListParagraph"/>
              <w:numPr>
                <w:ilvl w:val="0"/>
                <w:numId w:val="15"/>
              </w:numPr>
            </w:pPr>
            <w:r>
              <w:rPr>
                <w:rFonts w:ascii="Arial" w:eastAsiaTheme="majorEastAsia" w:hAnsi="Arial" w:cs="Arial"/>
                <w:color w:val="auto"/>
                <w:lang w:eastAsia="en-AU"/>
              </w:rPr>
              <w:t>Capex sheet: E207:T209</w:t>
            </w:r>
          </w:p>
        </w:tc>
      </w:tr>
    </w:tbl>
    <w:p w14:paraId="6A511970" w14:textId="01F49AE3" w:rsidR="00C97B6A" w:rsidRDefault="00C97B6A" w:rsidP="00354AEB"/>
    <w:p w14:paraId="1FE698B6" w14:textId="77777777" w:rsidR="00C97B6A" w:rsidRDefault="00C97B6A">
      <w:r>
        <w:br w:type="page"/>
      </w:r>
    </w:p>
    <w:p w14:paraId="5869C798" w14:textId="391EA6B2" w:rsidR="007918D3" w:rsidRDefault="007918D3" w:rsidP="007918D3">
      <w:pPr>
        <w:pStyle w:val="Heading1"/>
      </w:pPr>
      <w:bookmarkStart w:id="3" w:name="_Toc221874644"/>
      <w:r>
        <w:lastRenderedPageBreak/>
        <w:t>Proportion of Confidential Material</w:t>
      </w:r>
      <w:bookmarkEnd w:id="1"/>
      <w:bookmarkEnd w:id="3"/>
      <w:r>
        <w:t xml:space="preserve"> </w:t>
      </w:r>
    </w:p>
    <w:tbl>
      <w:tblPr>
        <w:tblStyle w:val="TableGrid"/>
        <w:tblW w:w="15448" w:type="dxa"/>
        <w:tblLook w:val="04A0" w:firstRow="1" w:lastRow="0" w:firstColumn="1" w:lastColumn="0" w:noHBand="0" w:noVBand="1"/>
      </w:tblPr>
      <w:tblGrid>
        <w:gridCol w:w="2832"/>
        <w:gridCol w:w="2523"/>
        <w:gridCol w:w="2523"/>
        <w:gridCol w:w="2523"/>
        <w:gridCol w:w="2523"/>
        <w:gridCol w:w="2524"/>
      </w:tblGrid>
      <w:tr w:rsidR="00531438" w14:paraId="3271B551" w14:textId="77777777" w:rsidTr="009B4B47">
        <w:trPr>
          <w:cnfStyle w:val="100000000000" w:firstRow="1" w:lastRow="0" w:firstColumn="0" w:lastColumn="0" w:oddVBand="0" w:evenVBand="0" w:oddHBand="0" w:evenHBand="0" w:firstRowFirstColumn="0" w:firstRowLastColumn="0" w:lastRowFirstColumn="0" w:lastRowLastColumn="0"/>
        </w:trPr>
        <w:tc>
          <w:tcPr>
            <w:tcW w:w="2832" w:type="dxa"/>
          </w:tcPr>
          <w:p w14:paraId="6D1AF413" w14:textId="77777777" w:rsidR="007918D3" w:rsidRPr="00DB4A2B" w:rsidRDefault="007918D3" w:rsidP="007918D3">
            <w:r w:rsidRPr="00DB4A2B">
              <w:t xml:space="preserve">Submission Title </w:t>
            </w:r>
          </w:p>
        </w:tc>
        <w:tc>
          <w:tcPr>
            <w:tcW w:w="2523" w:type="dxa"/>
          </w:tcPr>
          <w:p w14:paraId="3E125F49" w14:textId="77777777" w:rsidR="007918D3" w:rsidRPr="00DB4A2B" w:rsidRDefault="007918D3" w:rsidP="007918D3">
            <w:r w:rsidRPr="00DB4A2B">
              <w:t>Number of pages of submission that include information subject to a claim of confidentiality</w:t>
            </w:r>
          </w:p>
          <w:p w14:paraId="61DE3A06" w14:textId="77777777" w:rsidR="007918D3" w:rsidRPr="00DB4A2B" w:rsidRDefault="007918D3" w:rsidP="007918D3"/>
        </w:tc>
        <w:tc>
          <w:tcPr>
            <w:tcW w:w="2523" w:type="dxa"/>
          </w:tcPr>
          <w:p w14:paraId="2564F576" w14:textId="77777777" w:rsidR="007918D3" w:rsidRPr="00DB4A2B" w:rsidRDefault="007918D3" w:rsidP="007918D3">
            <w:r w:rsidRPr="00DB4A2B">
              <w:t>Number of pages of submission that do not include information subject to a claim of confidentiality</w:t>
            </w:r>
          </w:p>
        </w:tc>
        <w:tc>
          <w:tcPr>
            <w:tcW w:w="2523" w:type="dxa"/>
          </w:tcPr>
          <w:p w14:paraId="2D297E52" w14:textId="77777777" w:rsidR="007918D3" w:rsidRPr="00DB4A2B" w:rsidRDefault="007918D3" w:rsidP="007918D3">
            <w:r w:rsidRPr="00DB4A2B">
              <w:t>Total number of pages of submission</w:t>
            </w:r>
          </w:p>
        </w:tc>
        <w:tc>
          <w:tcPr>
            <w:tcW w:w="2523" w:type="dxa"/>
          </w:tcPr>
          <w:p w14:paraId="2BDFCA16" w14:textId="77777777" w:rsidR="007918D3" w:rsidRPr="00DB4A2B" w:rsidRDefault="007918D3" w:rsidP="007918D3">
            <w:r w:rsidRPr="00DB4A2B">
              <w:t>Percentage of pages of submission that include information subject to a claim of confidentiality</w:t>
            </w:r>
          </w:p>
        </w:tc>
        <w:tc>
          <w:tcPr>
            <w:tcW w:w="2524" w:type="dxa"/>
          </w:tcPr>
          <w:p w14:paraId="43586D9B" w14:textId="77777777" w:rsidR="007918D3" w:rsidRPr="00DB4A2B" w:rsidRDefault="007918D3" w:rsidP="007918D3">
            <w:r w:rsidRPr="00DB4A2B">
              <w:t>Percentage of pages of submission that do not include information subject to a claim of confidentiality</w:t>
            </w:r>
          </w:p>
        </w:tc>
      </w:tr>
      <w:tr w:rsidR="009F7E29" w14:paraId="305EBC24" w14:textId="77777777" w:rsidTr="009B4B47">
        <w:tc>
          <w:tcPr>
            <w:tcW w:w="2832" w:type="dxa"/>
          </w:tcPr>
          <w:p w14:paraId="4F45AE61" w14:textId="163C2419" w:rsidR="007918D3" w:rsidRDefault="00C2602E" w:rsidP="007918D3">
            <w:r>
              <w:t>Main Application</w:t>
            </w:r>
          </w:p>
        </w:tc>
        <w:tc>
          <w:tcPr>
            <w:tcW w:w="2523" w:type="dxa"/>
          </w:tcPr>
          <w:p w14:paraId="3F3FA3CB" w14:textId="05318133" w:rsidR="007918D3" w:rsidRPr="00BC2ED9" w:rsidRDefault="00F71F81" w:rsidP="005904DE">
            <w:pPr>
              <w:jc w:val="right"/>
            </w:pPr>
            <w:r>
              <w:t>3</w:t>
            </w:r>
          </w:p>
        </w:tc>
        <w:tc>
          <w:tcPr>
            <w:tcW w:w="2523" w:type="dxa"/>
          </w:tcPr>
          <w:p w14:paraId="077B7373" w14:textId="6816FF1E" w:rsidR="007918D3" w:rsidRPr="00BC2ED9" w:rsidRDefault="00AD3F74" w:rsidP="005904DE">
            <w:pPr>
              <w:jc w:val="right"/>
            </w:pPr>
            <w:r>
              <w:t>36</w:t>
            </w:r>
          </w:p>
        </w:tc>
        <w:tc>
          <w:tcPr>
            <w:tcW w:w="2523" w:type="dxa"/>
          </w:tcPr>
          <w:p w14:paraId="2608A7F2" w14:textId="6EF7EBDA" w:rsidR="00C04161" w:rsidRPr="00BC2ED9" w:rsidRDefault="003B02B2" w:rsidP="005904DE">
            <w:pPr>
              <w:jc w:val="right"/>
            </w:pPr>
            <w:r>
              <w:t>39</w:t>
            </w:r>
          </w:p>
        </w:tc>
        <w:tc>
          <w:tcPr>
            <w:tcW w:w="2523" w:type="dxa"/>
          </w:tcPr>
          <w:p w14:paraId="351FA5FD" w14:textId="7B4A901C" w:rsidR="007918D3" w:rsidRPr="00BC2ED9" w:rsidRDefault="00E27F58" w:rsidP="005904DE">
            <w:pPr>
              <w:jc w:val="right"/>
            </w:pPr>
            <w:r>
              <w:t>8%</w:t>
            </w:r>
          </w:p>
        </w:tc>
        <w:tc>
          <w:tcPr>
            <w:tcW w:w="2524" w:type="dxa"/>
          </w:tcPr>
          <w:p w14:paraId="1A2FA1CC" w14:textId="18E29149" w:rsidR="007918D3" w:rsidRPr="00BC2ED9" w:rsidRDefault="00E27F58" w:rsidP="005904DE">
            <w:pPr>
              <w:jc w:val="right"/>
            </w:pPr>
            <w:r>
              <w:t>92%</w:t>
            </w:r>
          </w:p>
        </w:tc>
      </w:tr>
      <w:tr w:rsidR="009F7E29" w14:paraId="297E5653" w14:textId="77777777" w:rsidTr="009B4B47">
        <w:tc>
          <w:tcPr>
            <w:tcW w:w="2832" w:type="dxa"/>
          </w:tcPr>
          <w:p w14:paraId="3D649149" w14:textId="7644843E" w:rsidR="007918D3" w:rsidRPr="00C2602E" w:rsidRDefault="00C2602E" w:rsidP="007918D3">
            <w:pPr>
              <w:rPr>
                <w:bCs/>
              </w:rPr>
            </w:pPr>
            <w:r w:rsidRPr="00F65B8D">
              <w:rPr>
                <w:bCs/>
              </w:rPr>
              <w:t>Attachment 2 – Project EnergyConnect and Contract Failure</w:t>
            </w:r>
          </w:p>
        </w:tc>
        <w:tc>
          <w:tcPr>
            <w:tcW w:w="2523" w:type="dxa"/>
          </w:tcPr>
          <w:p w14:paraId="5626800D" w14:textId="19792912" w:rsidR="007918D3" w:rsidRPr="00BC2ED9" w:rsidRDefault="00AD3F74" w:rsidP="005904DE">
            <w:pPr>
              <w:jc w:val="right"/>
            </w:pPr>
            <w:r>
              <w:t>5</w:t>
            </w:r>
          </w:p>
        </w:tc>
        <w:tc>
          <w:tcPr>
            <w:tcW w:w="2523" w:type="dxa"/>
          </w:tcPr>
          <w:p w14:paraId="1E0B4718" w14:textId="63292212" w:rsidR="007918D3" w:rsidRPr="00BC2ED9" w:rsidRDefault="006C6029" w:rsidP="005904DE">
            <w:pPr>
              <w:jc w:val="right"/>
            </w:pPr>
            <w:r>
              <w:t>20</w:t>
            </w:r>
          </w:p>
        </w:tc>
        <w:tc>
          <w:tcPr>
            <w:tcW w:w="2523" w:type="dxa"/>
          </w:tcPr>
          <w:p w14:paraId="31B32B6D" w14:textId="70ADEB9A" w:rsidR="007918D3" w:rsidRPr="00BC2ED9" w:rsidRDefault="006C6029" w:rsidP="005904DE">
            <w:pPr>
              <w:jc w:val="right"/>
            </w:pPr>
            <w:r>
              <w:t>25</w:t>
            </w:r>
          </w:p>
        </w:tc>
        <w:tc>
          <w:tcPr>
            <w:tcW w:w="2523" w:type="dxa"/>
          </w:tcPr>
          <w:p w14:paraId="4195C7EB" w14:textId="0FAFEDD5" w:rsidR="007918D3" w:rsidRPr="00BC2ED9" w:rsidRDefault="00B75130" w:rsidP="005904DE">
            <w:pPr>
              <w:jc w:val="right"/>
            </w:pPr>
            <w:r>
              <w:t>20%</w:t>
            </w:r>
          </w:p>
        </w:tc>
        <w:tc>
          <w:tcPr>
            <w:tcW w:w="2524" w:type="dxa"/>
          </w:tcPr>
          <w:p w14:paraId="2A235B9D" w14:textId="24FF32AE" w:rsidR="007918D3" w:rsidRPr="00BC2ED9" w:rsidRDefault="00B75130" w:rsidP="005904DE">
            <w:pPr>
              <w:jc w:val="right"/>
            </w:pPr>
            <w:r>
              <w:t>80%</w:t>
            </w:r>
          </w:p>
        </w:tc>
      </w:tr>
      <w:tr w:rsidR="009F7E29" w14:paraId="322D846E" w14:textId="77777777" w:rsidTr="009B4B47">
        <w:tc>
          <w:tcPr>
            <w:tcW w:w="2832" w:type="dxa"/>
          </w:tcPr>
          <w:p w14:paraId="6D21ABF3" w14:textId="492D4F39" w:rsidR="002B0B4D" w:rsidRPr="00F65B8D" w:rsidRDefault="002B0B4D" w:rsidP="007918D3">
            <w:pPr>
              <w:rPr>
                <w:bCs/>
              </w:rPr>
            </w:pPr>
            <w:r>
              <w:rPr>
                <w:bCs/>
              </w:rPr>
              <w:t>Appendix 2b: Cost Estimate Reports - Fission</w:t>
            </w:r>
          </w:p>
        </w:tc>
        <w:tc>
          <w:tcPr>
            <w:tcW w:w="2523" w:type="dxa"/>
          </w:tcPr>
          <w:p w14:paraId="3FCE86EF" w14:textId="70F3A44A" w:rsidR="002B0B4D" w:rsidRDefault="006A70AB" w:rsidP="005904DE">
            <w:pPr>
              <w:jc w:val="right"/>
            </w:pPr>
            <w:r>
              <w:t>16</w:t>
            </w:r>
          </w:p>
        </w:tc>
        <w:tc>
          <w:tcPr>
            <w:tcW w:w="2523" w:type="dxa"/>
          </w:tcPr>
          <w:p w14:paraId="711B49D3" w14:textId="4DF2A2FE" w:rsidR="002B0B4D" w:rsidRDefault="00AC46F8" w:rsidP="005904DE">
            <w:pPr>
              <w:jc w:val="right"/>
            </w:pPr>
            <w:r>
              <w:t>7</w:t>
            </w:r>
          </w:p>
        </w:tc>
        <w:tc>
          <w:tcPr>
            <w:tcW w:w="2523" w:type="dxa"/>
          </w:tcPr>
          <w:p w14:paraId="3EEC1D09" w14:textId="3C42F3C6" w:rsidR="002B0B4D" w:rsidRDefault="00655306" w:rsidP="005904DE">
            <w:pPr>
              <w:jc w:val="right"/>
            </w:pPr>
            <w:r>
              <w:t>23</w:t>
            </w:r>
          </w:p>
        </w:tc>
        <w:tc>
          <w:tcPr>
            <w:tcW w:w="2523" w:type="dxa"/>
          </w:tcPr>
          <w:p w14:paraId="0322C601" w14:textId="7063CAB4" w:rsidR="002B0B4D" w:rsidRDefault="00AC46F8" w:rsidP="005904DE">
            <w:pPr>
              <w:jc w:val="right"/>
            </w:pPr>
            <w:r>
              <w:t>70</w:t>
            </w:r>
            <w:r w:rsidR="00C278C0">
              <w:t>%</w:t>
            </w:r>
          </w:p>
        </w:tc>
        <w:tc>
          <w:tcPr>
            <w:tcW w:w="2524" w:type="dxa"/>
          </w:tcPr>
          <w:p w14:paraId="6812BEC5" w14:textId="3F6452D4" w:rsidR="002B0B4D" w:rsidRDefault="00AC46F8" w:rsidP="005904DE">
            <w:pPr>
              <w:jc w:val="right"/>
            </w:pPr>
            <w:r>
              <w:t>30</w:t>
            </w:r>
            <w:r w:rsidR="00C278C0">
              <w:t>%</w:t>
            </w:r>
          </w:p>
        </w:tc>
      </w:tr>
      <w:tr w:rsidR="009F7E29" w14:paraId="19F703E0" w14:textId="77777777" w:rsidTr="009B4B47">
        <w:tc>
          <w:tcPr>
            <w:tcW w:w="2832" w:type="dxa"/>
          </w:tcPr>
          <w:p w14:paraId="6EC28225" w14:textId="68259677" w:rsidR="007918D3" w:rsidRPr="00F65B8D" w:rsidRDefault="00F65B8D" w:rsidP="007918D3">
            <w:r w:rsidRPr="00F65B8D">
              <w:t>Attachment 3 – Rectification actions and options report</w:t>
            </w:r>
          </w:p>
        </w:tc>
        <w:tc>
          <w:tcPr>
            <w:tcW w:w="2523" w:type="dxa"/>
          </w:tcPr>
          <w:p w14:paraId="3707B709" w14:textId="3E194F1E" w:rsidR="007918D3" w:rsidRPr="00BC2ED9" w:rsidRDefault="006B1CF9" w:rsidP="005904DE">
            <w:pPr>
              <w:jc w:val="right"/>
            </w:pPr>
            <w:r>
              <w:t>4</w:t>
            </w:r>
          </w:p>
        </w:tc>
        <w:tc>
          <w:tcPr>
            <w:tcW w:w="2523" w:type="dxa"/>
          </w:tcPr>
          <w:p w14:paraId="3E0595D5" w14:textId="4A3D17F0" w:rsidR="007918D3" w:rsidRPr="00BC2ED9" w:rsidRDefault="005B4719" w:rsidP="005904DE">
            <w:pPr>
              <w:jc w:val="right"/>
            </w:pPr>
            <w:r>
              <w:t>15</w:t>
            </w:r>
          </w:p>
        </w:tc>
        <w:tc>
          <w:tcPr>
            <w:tcW w:w="2523" w:type="dxa"/>
          </w:tcPr>
          <w:p w14:paraId="7751E3BE" w14:textId="5330ECC4" w:rsidR="007918D3" w:rsidRPr="00BC2ED9" w:rsidRDefault="005B4719" w:rsidP="005904DE">
            <w:pPr>
              <w:jc w:val="right"/>
            </w:pPr>
            <w:r>
              <w:t>19</w:t>
            </w:r>
          </w:p>
        </w:tc>
        <w:tc>
          <w:tcPr>
            <w:tcW w:w="2523" w:type="dxa"/>
          </w:tcPr>
          <w:p w14:paraId="1B9AE849" w14:textId="27B440AC" w:rsidR="007918D3" w:rsidRPr="00BC2ED9" w:rsidRDefault="003B5633" w:rsidP="005904DE">
            <w:pPr>
              <w:jc w:val="right"/>
            </w:pPr>
            <w:r>
              <w:t>21%</w:t>
            </w:r>
          </w:p>
        </w:tc>
        <w:tc>
          <w:tcPr>
            <w:tcW w:w="2524" w:type="dxa"/>
          </w:tcPr>
          <w:p w14:paraId="20CE0087" w14:textId="5EF4AF48" w:rsidR="007918D3" w:rsidRPr="00BC2ED9" w:rsidRDefault="003B5633" w:rsidP="005904DE">
            <w:pPr>
              <w:jc w:val="right"/>
            </w:pPr>
            <w:r>
              <w:t>79%</w:t>
            </w:r>
          </w:p>
        </w:tc>
      </w:tr>
      <w:tr w:rsidR="009F7E29" w14:paraId="4EC04C66" w14:textId="77777777" w:rsidTr="009B4B47">
        <w:tc>
          <w:tcPr>
            <w:tcW w:w="2832" w:type="dxa"/>
          </w:tcPr>
          <w:p w14:paraId="345C7122" w14:textId="3F7AA35D" w:rsidR="007918D3" w:rsidRPr="00B73897" w:rsidRDefault="00B73897" w:rsidP="007918D3">
            <w:r w:rsidRPr="00B73897">
              <w:t>Appendix 3a: Net market benefits assessment</w:t>
            </w:r>
          </w:p>
        </w:tc>
        <w:tc>
          <w:tcPr>
            <w:tcW w:w="2523" w:type="dxa"/>
          </w:tcPr>
          <w:p w14:paraId="596CE723" w14:textId="06CA572D" w:rsidR="007918D3" w:rsidRPr="00BC2ED9" w:rsidRDefault="00164BED" w:rsidP="005904DE">
            <w:pPr>
              <w:jc w:val="right"/>
            </w:pPr>
            <w:r>
              <w:t>2</w:t>
            </w:r>
          </w:p>
        </w:tc>
        <w:tc>
          <w:tcPr>
            <w:tcW w:w="2523" w:type="dxa"/>
          </w:tcPr>
          <w:p w14:paraId="41EC15FD" w14:textId="1B7F09C1" w:rsidR="007918D3" w:rsidRPr="00BC2ED9" w:rsidRDefault="008712CB" w:rsidP="005904DE">
            <w:pPr>
              <w:jc w:val="right"/>
            </w:pPr>
            <w:r>
              <w:t>3</w:t>
            </w:r>
            <w:r w:rsidR="0063170D">
              <w:t>7</w:t>
            </w:r>
          </w:p>
        </w:tc>
        <w:tc>
          <w:tcPr>
            <w:tcW w:w="2523" w:type="dxa"/>
          </w:tcPr>
          <w:p w14:paraId="19145072" w14:textId="3A343E8C" w:rsidR="007918D3" w:rsidRPr="00BC2ED9" w:rsidRDefault="00A225B6" w:rsidP="005904DE">
            <w:pPr>
              <w:jc w:val="right"/>
            </w:pPr>
            <w:r>
              <w:t>39</w:t>
            </w:r>
          </w:p>
        </w:tc>
        <w:tc>
          <w:tcPr>
            <w:tcW w:w="2523" w:type="dxa"/>
          </w:tcPr>
          <w:p w14:paraId="3B5EEE78" w14:textId="73A5F1A0" w:rsidR="007918D3" w:rsidRPr="00BC2ED9" w:rsidRDefault="0063170D" w:rsidP="005904DE">
            <w:pPr>
              <w:jc w:val="right"/>
            </w:pPr>
            <w:r>
              <w:t>5</w:t>
            </w:r>
            <w:r w:rsidR="00922329">
              <w:t>%</w:t>
            </w:r>
          </w:p>
        </w:tc>
        <w:tc>
          <w:tcPr>
            <w:tcW w:w="2524" w:type="dxa"/>
          </w:tcPr>
          <w:p w14:paraId="43EF4F41" w14:textId="40337006" w:rsidR="007918D3" w:rsidRPr="00BC2ED9" w:rsidRDefault="00922329" w:rsidP="005904DE">
            <w:pPr>
              <w:jc w:val="right"/>
            </w:pPr>
            <w:r>
              <w:t>9</w:t>
            </w:r>
            <w:r w:rsidR="0063170D">
              <w:t>5</w:t>
            </w:r>
            <w:r>
              <w:t>%</w:t>
            </w:r>
          </w:p>
        </w:tc>
      </w:tr>
      <w:tr w:rsidR="009F7E29" w14:paraId="66FACCC1" w14:textId="77777777" w:rsidTr="009B4B47">
        <w:tc>
          <w:tcPr>
            <w:tcW w:w="2832" w:type="dxa"/>
          </w:tcPr>
          <w:p w14:paraId="0E56F3A7" w14:textId="4F70BEA3" w:rsidR="007C5641" w:rsidRPr="00F56845" w:rsidRDefault="00F56845" w:rsidP="007918D3">
            <w:r w:rsidRPr="00F56845">
              <w:t>Appendix 3b: Net market benefits NPV model</w:t>
            </w:r>
            <w:r w:rsidR="00E61DA2">
              <w:t xml:space="preserve"> (forward looking) and Appendix 3c:</w:t>
            </w:r>
            <w:r w:rsidR="00300D7B">
              <w:t xml:space="preserve"> Net market benefits NPV model (total)</w:t>
            </w:r>
          </w:p>
        </w:tc>
        <w:tc>
          <w:tcPr>
            <w:tcW w:w="2523" w:type="dxa"/>
          </w:tcPr>
          <w:p w14:paraId="38CE0E42" w14:textId="105D7B69" w:rsidR="007C5641" w:rsidRPr="00BC2ED9" w:rsidRDefault="00245BD1" w:rsidP="005904DE">
            <w:pPr>
              <w:jc w:val="right"/>
            </w:pPr>
            <w:r>
              <w:t>6</w:t>
            </w:r>
          </w:p>
        </w:tc>
        <w:tc>
          <w:tcPr>
            <w:tcW w:w="2523" w:type="dxa"/>
          </w:tcPr>
          <w:p w14:paraId="5405C37B" w14:textId="6D542DD4" w:rsidR="007C5641" w:rsidRPr="00BC2ED9" w:rsidRDefault="00245BD1" w:rsidP="005904DE">
            <w:pPr>
              <w:jc w:val="right"/>
            </w:pPr>
            <w:r>
              <w:t>8</w:t>
            </w:r>
          </w:p>
        </w:tc>
        <w:tc>
          <w:tcPr>
            <w:tcW w:w="2523" w:type="dxa"/>
          </w:tcPr>
          <w:p w14:paraId="7C2926CA" w14:textId="3E0BF1DB" w:rsidR="007C5641" w:rsidRPr="00BC2ED9" w:rsidRDefault="00741F57" w:rsidP="005904DE">
            <w:pPr>
              <w:jc w:val="right"/>
            </w:pPr>
            <w:r>
              <w:t>14</w:t>
            </w:r>
          </w:p>
        </w:tc>
        <w:tc>
          <w:tcPr>
            <w:tcW w:w="2523" w:type="dxa"/>
          </w:tcPr>
          <w:p w14:paraId="51C1FCCE" w14:textId="516F112E" w:rsidR="007C5641" w:rsidRPr="00BC2ED9" w:rsidRDefault="00F44693" w:rsidP="005904DE">
            <w:pPr>
              <w:jc w:val="right"/>
            </w:pPr>
            <w:r>
              <w:t>43</w:t>
            </w:r>
            <w:r w:rsidR="004D140B">
              <w:t>%</w:t>
            </w:r>
          </w:p>
        </w:tc>
        <w:tc>
          <w:tcPr>
            <w:tcW w:w="2524" w:type="dxa"/>
          </w:tcPr>
          <w:p w14:paraId="1A0C5A8F" w14:textId="2CF2F298" w:rsidR="007C5641" w:rsidRPr="00BC2ED9" w:rsidRDefault="00F44693" w:rsidP="005904DE">
            <w:pPr>
              <w:jc w:val="right"/>
            </w:pPr>
            <w:r>
              <w:t>57</w:t>
            </w:r>
            <w:r w:rsidR="004D140B">
              <w:t>%</w:t>
            </w:r>
          </w:p>
        </w:tc>
      </w:tr>
      <w:tr w:rsidR="009F7E29" w14:paraId="224CDEDB" w14:textId="77777777" w:rsidTr="009B4B47">
        <w:tc>
          <w:tcPr>
            <w:tcW w:w="2832" w:type="dxa"/>
          </w:tcPr>
          <w:p w14:paraId="1B8ECE20" w14:textId="33A89D7B" w:rsidR="007918D3" w:rsidRPr="00976BBD" w:rsidRDefault="00976BBD" w:rsidP="007918D3">
            <w:r w:rsidRPr="00976BBD">
              <w:rPr>
                <w:rFonts w:ascii="Arial" w:eastAsiaTheme="majorEastAsia" w:hAnsi="Arial" w:cs="Arial"/>
                <w:lang w:eastAsia="en-AU"/>
              </w:rPr>
              <w:t>Appendix 3</w:t>
            </w:r>
            <w:r w:rsidR="00F9205A">
              <w:rPr>
                <w:rFonts w:ascii="Arial" w:eastAsiaTheme="majorEastAsia" w:hAnsi="Arial" w:cs="Arial"/>
                <w:lang w:eastAsia="en-AU"/>
              </w:rPr>
              <w:t>d</w:t>
            </w:r>
            <w:r w:rsidRPr="00976BBD">
              <w:rPr>
                <w:rFonts w:ascii="Arial" w:eastAsiaTheme="majorEastAsia" w:hAnsi="Arial" w:cs="Arial"/>
                <w:lang w:eastAsia="en-AU"/>
              </w:rPr>
              <w:t>: Gross market benefits assessment - EY</w:t>
            </w:r>
          </w:p>
        </w:tc>
        <w:tc>
          <w:tcPr>
            <w:tcW w:w="2523" w:type="dxa"/>
          </w:tcPr>
          <w:p w14:paraId="508653AD" w14:textId="4EEE91EF" w:rsidR="007918D3" w:rsidRPr="00965D52" w:rsidRDefault="003552AB" w:rsidP="005904DE">
            <w:pPr>
              <w:jc w:val="right"/>
              <w:rPr>
                <w:bCs/>
              </w:rPr>
            </w:pPr>
            <w:r>
              <w:rPr>
                <w:bCs/>
              </w:rPr>
              <w:t>2</w:t>
            </w:r>
          </w:p>
        </w:tc>
        <w:tc>
          <w:tcPr>
            <w:tcW w:w="2523" w:type="dxa"/>
          </w:tcPr>
          <w:p w14:paraId="4C44FA93" w14:textId="316167ED" w:rsidR="007918D3" w:rsidRPr="00965D52" w:rsidRDefault="003552AB" w:rsidP="005904DE">
            <w:pPr>
              <w:jc w:val="right"/>
              <w:rPr>
                <w:bCs/>
              </w:rPr>
            </w:pPr>
            <w:r>
              <w:rPr>
                <w:bCs/>
              </w:rPr>
              <w:t>70</w:t>
            </w:r>
          </w:p>
        </w:tc>
        <w:tc>
          <w:tcPr>
            <w:tcW w:w="2523" w:type="dxa"/>
          </w:tcPr>
          <w:p w14:paraId="0D4DB45E" w14:textId="20850D81" w:rsidR="007918D3" w:rsidRPr="00965D52" w:rsidRDefault="00965D52" w:rsidP="005904DE">
            <w:pPr>
              <w:jc w:val="right"/>
              <w:rPr>
                <w:bCs/>
              </w:rPr>
            </w:pPr>
            <w:r w:rsidRPr="00965D52">
              <w:rPr>
                <w:bCs/>
              </w:rPr>
              <w:t>72</w:t>
            </w:r>
          </w:p>
        </w:tc>
        <w:tc>
          <w:tcPr>
            <w:tcW w:w="2523" w:type="dxa"/>
          </w:tcPr>
          <w:p w14:paraId="790D4141" w14:textId="00DCAA5F" w:rsidR="007918D3" w:rsidRPr="00792E04" w:rsidRDefault="005F1BAD" w:rsidP="005904DE">
            <w:pPr>
              <w:jc w:val="right"/>
              <w:rPr>
                <w:bCs/>
              </w:rPr>
            </w:pPr>
            <w:r>
              <w:rPr>
                <w:bCs/>
              </w:rPr>
              <w:t>3</w:t>
            </w:r>
            <w:r w:rsidR="00792E04" w:rsidRPr="00792E04">
              <w:rPr>
                <w:bCs/>
              </w:rPr>
              <w:t>%</w:t>
            </w:r>
          </w:p>
        </w:tc>
        <w:tc>
          <w:tcPr>
            <w:tcW w:w="2524" w:type="dxa"/>
          </w:tcPr>
          <w:p w14:paraId="0C8D42EB" w14:textId="2C80A5A0" w:rsidR="007918D3" w:rsidRPr="00792E04" w:rsidRDefault="005F1BAD" w:rsidP="005904DE">
            <w:pPr>
              <w:jc w:val="right"/>
              <w:rPr>
                <w:bCs/>
              </w:rPr>
            </w:pPr>
            <w:r w:rsidRPr="00792E04">
              <w:rPr>
                <w:bCs/>
              </w:rPr>
              <w:t>9</w:t>
            </w:r>
            <w:r>
              <w:rPr>
                <w:bCs/>
              </w:rPr>
              <w:t>7</w:t>
            </w:r>
            <w:r w:rsidR="00792E04" w:rsidRPr="00792E04">
              <w:rPr>
                <w:bCs/>
              </w:rPr>
              <w:t>%</w:t>
            </w:r>
          </w:p>
        </w:tc>
      </w:tr>
      <w:tr w:rsidR="0051692E" w14:paraId="649C0113" w14:textId="77777777" w:rsidTr="009B4B47">
        <w:tc>
          <w:tcPr>
            <w:tcW w:w="2832" w:type="dxa"/>
          </w:tcPr>
          <w:p w14:paraId="46B09178" w14:textId="5E5EBDEC" w:rsidR="0051692E" w:rsidRPr="00976BBD" w:rsidRDefault="002F0FA7" w:rsidP="007918D3">
            <w:pPr>
              <w:rPr>
                <w:rFonts w:ascii="Arial" w:eastAsiaTheme="majorEastAsia" w:hAnsi="Arial" w:cs="Arial"/>
                <w:lang w:eastAsia="en-AU"/>
              </w:rPr>
            </w:pPr>
            <w:r>
              <w:rPr>
                <w:rFonts w:ascii="Arial" w:eastAsiaTheme="majorEastAsia" w:hAnsi="Arial" w:cs="Arial"/>
                <w:lang w:eastAsia="en-AU"/>
              </w:rPr>
              <w:t>Supplementary information</w:t>
            </w:r>
            <w:r w:rsidR="0051692E">
              <w:rPr>
                <w:rFonts w:ascii="Arial" w:eastAsiaTheme="majorEastAsia" w:hAnsi="Arial" w:cs="Arial"/>
                <w:lang w:eastAsia="en-AU"/>
              </w:rPr>
              <w:t xml:space="preserve"> 3di: </w:t>
            </w:r>
            <w:r w:rsidR="005C5C69">
              <w:rPr>
                <w:rFonts w:ascii="Arial" w:eastAsiaTheme="majorEastAsia" w:hAnsi="Arial" w:cs="Arial"/>
                <w:lang w:eastAsia="en-AU"/>
              </w:rPr>
              <w:t>Statement</w:t>
            </w:r>
            <w:r w:rsidR="0051692E">
              <w:rPr>
                <w:rFonts w:ascii="Arial" w:eastAsiaTheme="majorEastAsia" w:hAnsi="Arial" w:cs="Arial"/>
                <w:lang w:eastAsia="en-AU"/>
              </w:rPr>
              <w:t xml:space="preserve"> of facts </w:t>
            </w:r>
            <w:r w:rsidR="005C5C69">
              <w:rPr>
                <w:rFonts w:ascii="Arial" w:eastAsiaTheme="majorEastAsia" w:hAnsi="Arial" w:cs="Arial"/>
                <w:lang w:eastAsia="en-AU"/>
              </w:rPr>
              <w:t>–</w:t>
            </w:r>
            <w:r w:rsidR="0051692E">
              <w:rPr>
                <w:rFonts w:ascii="Arial" w:eastAsiaTheme="majorEastAsia" w:hAnsi="Arial" w:cs="Arial"/>
                <w:lang w:eastAsia="en-AU"/>
              </w:rPr>
              <w:t xml:space="preserve"> M</w:t>
            </w:r>
            <w:r w:rsidR="005C5C69">
              <w:rPr>
                <w:rFonts w:ascii="Arial" w:eastAsiaTheme="majorEastAsia" w:hAnsi="Arial" w:cs="Arial"/>
                <w:lang w:eastAsia="en-AU"/>
              </w:rPr>
              <w:t>arket benefits assessment and loop flows</w:t>
            </w:r>
          </w:p>
        </w:tc>
        <w:tc>
          <w:tcPr>
            <w:tcW w:w="2523" w:type="dxa"/>
          </w:tcPr>
          <w:p w14:paraId="7EC98726" w14:textId="7A6D1FF9" w:rsidR="0051692E" w:rsidRPr="00965D52" w:rsidDel="003552AB" w:rsidRDefault="005C5C69" w:rsidP="005904DE">
            <w:pPr>
              <w:jc w:val="right"/>
              <w:rPr>
                <w:bCs/>
              </w:rPr>
            </w:pPr>
            <w:r>
              <w:rPr>
                <w:bCs/>
              </w:rPr>
              <w:t>1</w:t>
            </w:r>
          </w:p>
        </w:tc>
        <w:tc>
          <w:tcPr>
            <w:tcW w:w="2523" w:type="dxa"/>
          </w:tcPr>
          <w:p w14:paraId="1452C5DA" w14:textId="06081F8F" w:rsidR="0051692E" w:rsidRPr="00965D52" w:rsidDel="003552AB" w:rsidRDefault="005C5C69" w:rsidP="005904DE">
            <w:pPr>
              <w:jc w:val="right"/>
              <w:rPr>
                <w:bCs/>
              </w:rPr>
            </w:pPr>
            <w:r>
              <w:rPr>
                <w:bCs/>
              </w:rPr>
              <w:t>21</w:t>
            </w:r>
          </w:p>
        </w:tc>
        <w:tc>
          <w:tcPr>
            <w:tcW w:w="2523" w:type="dxa"/>
          </w:tcPr>
          <w:p w14:paraId="467CF836" w14:textId="68E6A2B3" w:rsidR="0051692E" w:rsidRPr="00965D52" w:rsidRDefault="005C5C69" w:rsidP="005904DE">
            <w:pPr>
              <w:jc w:val="right"/>
              <w:rPr>
                <w:bCs/>
              </w:rPr>
            </w:pPr>
            <w:r>
              <w:rPr>
                <w:bCs/>
              </w:rPr>
              <w:t>22</w:t>
            </w:r>
          </w:p>
        </w:tc>
        <w:tc>
          <w:tcPr>
            <w:tcW w:w="2523" w:type="dxa"/>
          </w:tcPr>
          <w:p w14:paraId="434B1C6A" w14:textId="533B5CE1" w:rsidR="0051692E" w:rsidRPr="00792E04" w:rsidDel="005F1BAD" w:rsidRDefault="00AA2ED4" w:rsidP="005904DE">
            <w:pPr>
              <w:jc w:val="right"/>
              <w:rPr>
                <w:bCs/>
              </w:rPr>
            </w:pPr>
            <w:r>
              <w:rPr>
                <w:bCs/>
              </w:rPr>
              <w:t>5%</w:t>
            </w:r>
          </w:p>
        </w:tc>
        <w:tc>
          <w:tcPr>
            <w:tcW w:w="2524" w:type="dxa"/>
          </w:tcPr>
          <w:p w14:paraId="338DDE75" w14:textId="76126CF3" w:rsidR="0051692E" w:rsidRPr="00792E04" w:rsidDel="005F1BAD" w:rsidRDefault="00AA2ED4" w:rsidP="005904DE">
            <w:pPr>
              <w:jc w:val="right"/>
              <w:rPr>
                <w:bCs/>
              </w:rPr>
            </w:pPr>
            <w:r>
              <w:rPr>
                <w:bCs/>
              </w:rPr>
              <w:t>95%</w:t>
            </w:r>
          </w:p>
        </w:tc>
      </w:tr>
      <w:tr w:rsidR="0051692E" w14:paraId="47ADC30F" w14:textId="77777777" w:rsidTr="00E43A65">
        <w:trPr>
          <w:cantSplit/>
        </w:trPr>
        <w:tc>
          <w:tcPr>
            <w:tcW w:w="2832" w:type="dxa"/>
          </w:tcPr>
          <w:p w14:paraId="39351376" w14:textId="30CEE833" w:rsidR="0051692E" w:rsidRPr="00976BBD" w:rsidRDefault="002F0FA7" w:rsidP="007918D3">
            <w:pPr>
              <w:rPr>
                <w:rFonts w:ascii="Arial" w:eastAsiaTheme="majorEastAsia" w:hAnsi="Arial" w:cs="Arial"/>
                <w:lang w:eastAsia="en-AU"/>
              </w:rPr>
            </w:pPr>
            <w:r>
              <w:rPr>
                <w:rFonts w:ascii="Arial" w:eastAsiaTheme="majorEastAsia" w:hAnsi="Arial" w:cs="Arial"/>
                <w:lang w:eastAsia="en-AU"/>
              </w:rPr>
              <w:lastRenderedPageBreak/>
              <w:t>Supplementary information</w:t>
            </w:r>
            <w:r w:rsidR="00E257D4">
              <w:rPr>
                <w:rFonts w:ascii="Arial" w:eastAsiaTheme="majorEastAsia" w:hAnsi="Arial" w:cs="Arial"/>
                <w:lang w:eastAsia="en-AU"/>
              </w:rPr>
              <w:t xml:space="preserve"> 3dii: Technical memo – Reduction of minimum synchronous generators in SA</w:t>
            </w:r>
          </w:p>
        </w:tc>
        <w:tc>
          <w:tcPr>
            <w:tcW w:w="2523" w:type="dxa"/>
          </w:tcPr>
          <w:p w14:paraId="44386DD5" w14:textId="4C3BB4BC" w:rsidR="0051692E" w:rsidRPr="00965D52" w:rsidDel="003552AB" w:rsidRDefault="009E3284" w:rsidP="005904DE">
            <w:pPr>
              <w:jc w:val="right"/>
              <w:rPr>
                <w:bCs/>
              </w:rPr>
            </w:pPr>
            <w:r>
              <w:rPr>
                <w:bCs/>
              </w:rPr>
              <w:t>2</w:t>
            </w:r>
          </w:p>
        </w:tc>
        <w:tc>
          <w:tcPr>
            <w:tcW w:w="2523" w:type="dxa"/>
          </w:tcPr>
          <w:p w14:paraId="43DA67A9" w14:textId="4890AA2F" w:rsidR="0051692E" w:rsidRPr="00965D52" w:rsidDel="003552AB" w:rsidRDefault="00676D69" w:rsidP="005904DE">
            <w:pPr>
              <w:jc w:val="right"/>
              <w:rPr>
                <w:bCs/>
              </w:rPr>
            </w:pPr>
            <w:r>
              <w:rPr>
                <w:bCs/>
              </w:rPr>
              <w:t>3</w:t>
            </w:r>
            <w:r w:rsidR="009E3284">
              <w:rPr>
                <w:bCs/>
              </w:rPr>
              <w:t>1</w:t>
            </w:r>
          </w:p>
        </w:tc>
        <w:tc>
          <w:tcPr>
            <w:tcW w:w="2523" w:type="dxa"/>
          </w:tcPr>
          <w:p w14:paraId="2CC78BB9" w14:textId="141398FD" w:rsidR="0051692E" w:rsidRPr="00965D52" w:rsidRDefault="00676D69" w:rsidP="005904DE">
            <w:pPr>
              <w:jc w:val="right"/>
              <w:rPr>
                <w:bCs/>
              </w:rPr>
            </w:pPr>
            <w:r>
              <w:rPr>
                <w:bCs/>
              </w:rPr>
              <w:t>33</w:t>
            </w:r>
          </w:p>
        </w:tc>
        <w:tc>
          <w:tcPr>
            <w:tcW w:w="2523" w:type="dxa"/>
          </w:tcPr>
          <w:p w14:paraId="7E47FD10" w14:textId="5A4A2255" w:rsidR="0051692E" w:rsidRPr="00792E04" w:rsidDel="005F1BAD" w:rsidRDefault="00985D90" w:rsidP="005904DE">
            <w:pPr>
              <w:jc w:val="right"/>
              <w:rPr>
                <w:bCs/>
              </w:rPr>
            </w:pPr>
            <w:r>
              <w:rPr>
                <w:bCs/>
              </w:rPr>
              <w:t>6</w:t>
            </w:r>
            <w:r w:rsidR="00676D69">
              <w:rPr>
                <w:bCs/>
              </w:rPr>
              <w:t>%</w:t>
            </w:r>
          </w:p>
        </w:tc>
        <w:tc>
          <w:tcPr>
            <w:tcW w:w="2524" w:type="dxa"/>
          </w:tcPr>
          <w:p w14:paraId="2AC44C3E" w14:textId="419E3F9F" w:rsidR="0051692E" w:rsidRPr="00792E04" w:rsidDel="005F1BAD" w:rsidRDefault="00676D69" w:rsidP="005904DE">
            <w:pPr>
              <w:jc w:val="right"/>
              <w:rPr>
                <w:bCs/>
              </w:rPr>
            </w:pPr>
            <w:r>
              <w:rPr>
                <w:bCs/>
              </w:rPr>
              <w:t>9</w:t>
            </w:r>
            <w:r w:rsidR="00985D90">
              <w:rPr>
                <w:bCs/>
              </w:rPr>
              <w:t>4</w:t>
            </w:r>
            <w:r>
              <w:rPr>
                <w:bCs/>
              </w:rPr>
              <w:t>%</w:t>
            </w:r>
          </w:p>
        </w:tc>
      </w:tr>
      <w:tr w:rsidR="009F7E29" w14:paraId="689196FC" w14:textId="77777777" w:rsidTr="009B4B47">
        <w:tc>
          <w:tcPr>
            <w:tcW w:w="2832" w:type="dxa"/>
          </w:tcPr>
          <w:p w14:paraId="1CB6B6B0" w14:textId="18CBE8FD" w:rsidR="00976BBD" w:rsidRPr="00965D52" w:rsidRDefault="00965D52" w:rsidP="007918D3">
            <w:pPr>
              <w:rPr>
                <w:rFonts w:ascii="Arial" w:eastAsiaTheme="majorEastAsia" w:hAnsi="Arial" w:cs="Arial"/>
                <w:lang w:eastAsia="en-AU"/>
              </w:rPr>
            </w:pPr>
            <w:r w:rsidRPr="00965D52">
              <w:t>Attachment 4: New arrangements to deliver PEC</w:t>
            </w:r>
          </w:p>
        </w:tc>
        <w:tc>
          <w:tcPr>
            <w:tcW w:w="2523" w:type="dxa"/>
          </w:tcPr>
          <w:p w14:paraId="288B38E8" w14:textId="7F5185BC" w:rsidR="00976BBD" w:rsidRPr="0060409F" w:rsidRDefault="00055EDE" w:rsidP="005904DE">
            <w:pPr>
              <w:jc w:val="right"/>
              <w:rPr>
                <w:bCs/>
              </w:rPr>
            </w:pPr>
            <w:r>
              <w:rPr>
                <w:bCs/>
              </w:rPr>
              <w:t>6</w:t>
            </w:r>
          </w:p>
        </w:tc>
        <w:tc>
          <w:tcPr>
            <w:tcW w:w="2523" w:type="dxa"/>
          </w:tcPr>
          <w:p w14:paraId="0012F440" w14:textId="7584794D" w:rsidR="00976BBD" w:rsidRPr="00CE44E2" w:rsidRDefault="00055EDE" w:rsidP="005904DE">
            <w:pPr>
              <w:jc w:val="right"/>
              <w:rPr>
                <w:bCs/>
              </w:rPr>
            </w:pPr>
            <w:r>
              <w:rPr>
                <w:bCs/>
              </w:rPr>
              <w:t>10</w:t>
            </w:r>
          </w:p>
        </w:tc>
        <w:tc>
          <w:tcPr>
            <w:tcW w:w="2523" w:type="dxa"/>
          </w:tcPr>
          <w:p w14:paraId="7230F82A" w14:textId="1A88D3FC" w:rsidR="00976BBD" w:rsidRPr="00CE44E2" w:rsidRDefault="00CE44E2" w:rsidP="005904DE">
            <w:pPr>
              <w:jc w:val="right"/>
              <w:rPr>
                <w:bCs/>
              </w:rPr>
            </w:pPr>
            <w:r w:rsidRPr="00CE44E2">
              <w:rPr>
                <w:bCs/>
              </w:rPr>
              <w:t>16</w:t>
            </w:r>
          </w:p>
        </w:tc>
        <w:tc>
          <w:tcPr>
            <w:tcW w:w="2523" w:type="dxa"/>
          </w:tcPr>
          <w:p w14:paraId="5BAD56F2" w14:textId="762E707C" w:rsidR="00976BBD" w:rsidRPr="00CF2C10" w:rsidRDefault="001A2885" w:rsidP="005904DE">
            <w:pPr>
              <w:jc w:val="right"/>
              <w:rPr>
                <w:bCs/>
              </w:rPr>
            </w:pPr>
            <w:r>
              <w:rPr>
                <w:bCs/>
              </w:rPr>
              <w:t>38</w:t>
            </w:r>
            <w:r w:rsidR="005670AD">
              <w:rPr>
                <w:bCs/>
              </w:rPr>
              <w:t>%</w:t>
            </w:r>
          </w:p>
        </w:tc>
        <w:tc>
          <w:tcPr>
            <w:tcW w:w="2524" w:type="dxa"/>
          </w:tcPr>
          <w:p w14:paraId="23ED7AED" w14:textId="6E9E4C71" w:rsidR="00976BBD" w:rsidRPr="00CF2C10" w:rsidRDefault="001A2885" w:rsidP="005904DE">
            <w:pPr>
              <w:jc w:val="right"/>
              <w:rPr>
                <w:bCs/>
              </w:rPr>
            </w:pPr>
            <w:r>
              <w:rPr>
                <w:bCs/>
              </w:rPr>
              <w:t>62</w:t>
            </w:r>
            <w:r w:rsidR="00874FD6">
              <w:rPr>
                <w:bCs/>
              </w:rPr>
              <w:t>%</w:t>
            </w:r>
          </w:p>
        </w:tc>
      </w:tr>
      <w:tr w:rsidR="009F7E29" w14:paraId="2215903A" w14:textId="77777777" w:rsidTr="009B4B47">
        <w:tc>
          <w:tcPr>
            <w:tcW w:w="2832" w:type="dxa"/>
          </w:tcPr>
          <w:p w14:paraId="5DBA40AC" w14:textId="53380584" w:rsidR="002B0B4D" w:rsidRPr="00965D52" w:rsidRDefault="002B0B4D" w:rsidP="007918D3">
            <w:r>
              <w:t>Appendix 4a: Independent Estimate to Complete report – T&amp;T</w:t>
            </w:r>
          </w:p>
        </w:tc>
        <w:tc>
          <w:tcPr>
            <w:tcW w:w="2523" w:type="dxa"/>
          </w:tcPr>
          <w:p w14:paraId="4D4FDCE0" w14:textId="073CD4E5" w:rsidR="002B0B4D" w:rsidRPr="0060409F" w:rsidRDefault="00760C83" w:rsidP="005904DE">
            <w:pPr>
              <w:jc w:val="right"/>
              <w:rPr>
                <w:bCs/>
              </w:rPr>
            </w:pPr>
            <w:r>
              <w:rPr>
                <w:bCs/>
              </w:rPr>
              <w:t>71</w:t>
            </w:r>
          </w:p>
        </w:tc>
        <w:tc>
          <w:tcPr>
            <w:tcW w:w="2523" w:type="dxa"/>
          </w:tcPr>
          <w:p w14:paraId="0BD967C7" w14:textId="4E63C193" w:rsidR="002B0B4D" w:rsidRPr="00CE44E2" w:rsidRDefault="009E10C7" w:rsidP="005904DE">
            <w:pPr>
              <w:jc w:val="right"/>
              <w:rPr>
                <w:bCs/>
              </w:rPr>
            </w:pPr>
            <w:r>
              <w:rPr>
                <w:bCs/>
              </w:rPr>
              <w:t>8</w:t>
            </w:r>
          </w:p>
        </w:tc>
        <w:tc>
          <w:tcPr>
            <w:tcW w:w="2523" w:type="dxa"/>
          </w:tcPr>
          <w:p w14:paraId="2E6EEE13" w14:textId="62659113" w:rsidR="002B0B4D" w:rsidRPr="00CE44E2" w:rsidRDefault="00387833" w:rsidP="005904DE">
            <w:pPr>
              <w:jc w:val="right"/>
              <w:rPr>
                <w:bCs/>
              </w:rPr>
            </w:pPr>
            <w:r>
              <w:rPr>
                <w:bCs/>
              </w:rPr>
              <w:t>79</w:t>
            </w:r>
          </w:p>
        </w:tc>
        <w:tc>
          <w:tcPr>
            <w:tcW w:w="2523" w:type="dxa"/>
          </w:tcPr>
          <w:p w14:paraId="70B00BE4" w14:textId="43C00033" w:rsidR="002B0B4D" w:rsidRPr="00CF2C10" w:rsidRDefault="00E567B8" w:rsidP="005904DE">
            <w:pPr>
              <w:jc w:val="right"/>
              <w:rPr>
                <w:bCs/>
              </w:rPr>
            </w:pPr>
            <w:r>
              <w:rPr>
                <w:bCs/>
              </w:rPr>
              <w:t>90%</w:t>
            </w:r>
          </w:p>
        </w:tc>
        <w:tc>
          <w:tcPr>
            <w:tcW w:w="2524" w:type="dxa"/>
          </w:tcPr>
          <w:p w14:paraId="2CC5247D" w14:textId="6F81DC7D" w:rsidR="002B0B4D" w:rsidRPr="00CF2C10" w:rsidRDefault="00E567B8" w:rsidP="005904DE">
            <w:pPr>
              <w:jc w:val="right"/>
              <w:rPr>
                <w:bCs/>
              </w:rPr>
            </w:pPr>
            <w:r>
              <w:rPr>
                <w:bCs/>
              </w:rPr>
              <w:t>10%</w:t>
            </w:r>
          </w:p>
        </w:tc>
      </w:tr>
      <w:tr w:rsidR="00D46104" w14:paraId="164054ED" w14:textId="77777777" w:rsidTr="009B4B47">
        <w:tc>
          <w:tcPr>
            <w:tcW w:w="2832" w:type="dxa"/>
          </w:tcPr>
          <w:p w14:paraId="47078AB9" w14:textId="63F49807" w:rsidR="00976BBD" w:rsidRPr="00CE44E2" w:rsidRDefault="00CE44E2" w:rsidP="007918D3">
            <w:pPr>
              <w:rPr>
                <w:rFonts w:ascii="Arial" w:eastAsiaTheme="majorEastAsia" w:hAnsi="Arial" w:cs="Arial"/>
                <w:lang w:eastAsia="en-AU"/>
              </w:rPr>
            </w:pPr>
            <w:r w:rsidRPr="00CE44E2">
              <w:rPr>
                <w:rFonts w:ascii="Arial" w:eastAsiaTheme="majorEastAsia" w:hAnsi="Arial" w:cs="Arial"/>
                <w:lang w:eastAsia="en-AU"/>
              </w:rPr>
              <w:t>Appendix 4</w:t>
            </w:r>
            <w:r w:rsidR="00655D2A">
              <w:rPr>
                <w:rFonts w:ascii="Arial" w:eastAsiaTheme="majorEastAsia" w:hAnsi="Arial" w:cs="Arial"/>
                <w:lang w:eastAsia="en-AU"/>
              </w:rPr>
              <w:t>b</w:t>
            </w:r>
            <w:r w:rsidRPr="00CE44E2">
              <w:rPr>
                <w:rFonts w:ascii="Arial" w:eastAsiaTheme="majorEastAsia" w:hAnsi="Arial" w:cs="Arial"/>
                <w:lang w:eastAsia="en-AU"/>
              </w:rPr>
              <w:t xml:space="preserve">: </w:t>
            </w:r>
            <w:r w:rsidR="00F73375" w:rsidRPr="00F73375">
              <w:rPr>
                <w:rFonts w:ascii="Arial" w:eastAsiaTheme="majorEastAsia" w:hAnsi="Arial" w:cs="Arial"/>
                <w:lang w:eastAsia="en-AU"/>
              </w:rPr>
              <w:t xml:space="preserve">Project EnergyConnect new contract review </w:t>
            </w:r>
            <w:r w:rsidR="00F73375">
              <w:rPr>
                <w:rFonts w:ascii="Arial" w:eastAsiaTheme="majorEastAsia" w:hAnsi="Arial" w:cs="Arial"/>
                <w:lang w:eastAsia="en-AU"/>
              </w:rPr>
              <w:t xml:space="preserve">– </w:t>
            </w:r>
            <w:r w:rsidR="00F73375" w:rsidRPr="00F73375">
              <w:rPr>
                <w:rFonts w:ascii="Arial" w:eastAsiaTheme="majorEastAsia" w:hAnsi="Arial" w:cs="Arial"/>
                <w:lang w:eastAsia="en-AU"/>
              </w:rPr>
              <w:t xml:space="preserve">E3 </w:t>
            </w:r>
            <w:r w:rsidRPr="00CE44E2" w:rsidDel="00F73375">
              <w:rPr>
                <w:rFonts w:ascii="Arial" w:eastAsiaTheme="majorEastAsia" w:hAnsi="Arial" w:cs="Arial"/>
                <w:lang w:eastAsia="en-AU"/>
              </w:rPr>
              <w:t>Advisory</w:t>
            </w:r>
          </w:p>
        </w:tc>
        <w:tc>
          <w:tcPr>
            <w:tcW w:w="2523" w:type="dxa"/>
          </w:tcPr>
          <w:p w14:paraId="0761C11D" w14:textId="6405F313" w:rsidR="00976BBD" w:rsidRPr="00F14DA5" w:rsidRDefault="00F14DA5" w:rsidP="005904DE">
            <w:pPr>
              <w:jc w:val="right"/>
              <w:rPr>
                <w:bCs/>
              </w:rPr>
            </w:pPr>
            <w:r w:rsidRPr="00F14DA5">
              <w:rPr>
                <w:bCs/>
              </w:rPr>
              <w:t>5</w:t>
            </w:r>
            <w:r w:rsidR="007A1458">
              <w:rPr>
                <w:bCs/>
              </w:rPr>
              <w:t>1</w:t>
            </w:r>
          </w:p>
        </w:tc>
        <w:tc>
          <w:tcPr>
            <w:tcW w:w="2523" w:type="dxa"/>
          </w:tcPr>
          <w:p w14:paraId="4C3A2A36" w14:textId="534B1577" w:rsidR="00976BBD" w:rsidRPr="00AC3840" w:rsidRDefault="007A1458" w:rsidP="005904DE">
            <w:pPr>
              <w:jc w:val="right"/>
              <w:rPr>
                <w:bCs/>
              </w:rPr>
            </w:pPr>
            <w:r>
              <w:rPr>
                <w:bCs/>
              </w:rPr>
              <w:t>20</w:t>
            </w:r>
          </w:p>
        </w:tc>
        <w:tc>
          <w:tcPr>
            <w:tcW w:w="2523" w:type="dxa"/>
          </w:tcPr>
          <w:p w14:paraId="6E7227B1" w14:textId="61126E1E" w:rsidR="00976BBD" w:rsidRPr="00BC2ED9" w:rsidRDefault="00AC3840" w:rsidP="005904DE">
            <w:pPr>
              <w:jc w:val="right"/>
              <w:rPr>
                <w:b/>
              </w:rPr>
            </w:pPr>
            <w:r w:rsidRPr="00AC3840">
              <w:rPr>
                <w:bCs/>
              </w:rPr>
              <w:t>71</w:t>
            </w:r>
          </w:p>
        </w:tc>
        <w:tc>
          <w:tcPr>
            <w:tcW w:w="2523" w:type="dxa"/>
          </w:tcPr>
          <w:p w14:paraId="2C69957B" w14:textId="02834FD9" w:rsidR="00976BBD" w:rsidRPr="00C760CF" w:rsidRDefault="00C760CF" w:rsidP="005904DE">
            <w:pPr>
              <w:jc w:val="right"/>
              <w:rPr>
                <w:bCs/>
              </w:rPr>
            </w:pPr>
            <w:r w:rsidRPr="00C760CF">
              <w:rPr>
                <w:bCs/>
              </w:rPr>
              <w:t>7</w:t>
            </w:r>
            <w:r w:rsidR="00961243">
              <w:rPr>
                <w:bCs/>
              </w:rPr>
              <w:t>2</w:t>
            </w:r>
            <w:r w:rsidRPr="00C760CF">
              <w:rPr>
                <w:bCs/>
              </w:rPr>
              <w:t>%</w:t>
            </w:r>
          </w:p>
        </w:tc>
        <w:tc>
          <w:tcPr>
            <w:tcW w:w="2524" w:type="dxa"/>
          </w:tcPr>
          <w:p w14:paraId="699863FA" w14:textId="029AF49A" w:rsidR="00976BBD" w:rsidRPr="00C760CF" w:rsidRDefault="00C760CF" w:rsidP="005904DE">
            <w:pPr>
              <w:jc w:val="right"/>
              <w:rPr>
                <w:bCs/>
              </w:rPr>
            </w:pPr>
            <w:r w:rsidRPr="00C760CF">
              <w:rPr>
                <w:bCs/>
              </w:rPr>
              <w:t>2</w:t>
            </w:r>
            <w:r w:rsidR="00961243">
              <w:rPr>
                <w:bCs/>
              </w:rPr>
              <w:t>8</w:t>
            </w:r>
            <w:r w:rsidRPr="00C760CF">
              <w:rPr>
                <w:bCs/>
              </w:rPr>
              <w:t>%</w:t>
            </w:r>
          </w:p>
        </w:tc>
      </w:tr>
      <w:tr w:rsidR="00D46104" w14:paraId="19E7F578" w14:textId="77777777" w:rsidTr="009B4B47">
        <w:tc>
          <w:tcPr>
            <w:tcW w:w="2832" w:type="dxa"/>
          </w:tcPr>
          <w:p w14:paraId="77A860BB" w14:textId="39791EAF" w:rsidR="002B0B4D" w:rsidRPr="00CE44E2" w:rsidRDefault="002B0B4D" w:rsidP="007918D3">
            <w:pPr>
              <w:rPr>
                <w:rFonts w:ascii="Arial" w:eastAsiaTheme="majorEastAsia" w:hAnsi="Arial" w:cs="Arial"/>
                <w:lang w:eastAsia="en-AU"/>
              </w:rPr>
            </w:pPr>
            <w:r>
              <w:rPr>
                <w:rFonts w:ascii="Arial" w:eastAsiaTheme="majorEastAsia" w:hAnsi="Arial" w:cs="Arial"/>
                <w:lang w:eastAsia="en-AU"/>
              </w:rPr>
              <w:t xml:space="preserve">Appendix 4c: </w:t>
            </w:r>
            <w:r w:rsidR="00F73375" w:rsidRPr="00F73375">
              <w:rPr>
                <w:rFonts w:ascii="Arial" w:eastAsiaTheme="majorEastAsia" w:hAnsi="Arial" w:cs="Arial"/>
                <w:lang w:eastAsia="en-AU"/>
              </w:rPr>
              <w:t xml:space="preserve">Project EnergyConnect Benchmark report </w:t>
            </w:r>
            <w:r w:rsidR="00F73375">
              <w:rPr>
                <w:rFonts w:ascii="Arial" w:eastAsiaTheme="majorEastAsia" w:hAnsi="Arial" w:cs="Arial"/>
                <w:lang w:eastAsia="en-AU"/>
              </w:rPr>
              <w:t xml:space="preserve">– </w:t>
            </w:r>
            <w:r w:rsidR="00F73375" w:rsidRPr="00F73375">
              <w:rPr>
                <w:rFonts w:ascii="Arial" w:eastAsiaTheme="majorEastAsia" w:hAnsi="Arial" w:cs="Arial"/>
                <w:lang w:eastAsia="en-AU"/>
              </w:rPr>
              <w:t>KPMG</w:t>
            </w:r>
          </w:p>
        </w:tc>
        <w:tc>
          <w:tcPr>
            <w:tcW w:w="2523" w:type="dxa"/>
          </w:tcPr>
          <w:p w14:paraId="1193CBEA" w14:textId="0AD55B39" w:rsidR="002B0B4D" w:rsidRPr="00F14DA5" w:rsidRDefault="00767DE6" w:rsidP="005904DE">
            <w:pPr>
              <w:jc w:val="right"/>
              <w:rPr>
                <w:bCs/>
              </w:rPr>
            </w:pPr>
            <w:r>
              <w:rPr>
                <w:bCs/>
              </w:rPr>
              <w:t>32</w:t>
            </w:r>
          </w:p>
        </w:tc>
        <w:tc>
          <w:tcPr>
            <w:tcW w:w="2523" w:type="dxa"/>
          </w:tcPr>
          <w:p w14:paraId="6E028BB9" w14:textId="2EEE19AF" w:rsidR="002B0B4D" w:rsidRDefault="00767DE6" w:rsidP="005904DE">
            <w:pPr>
              <w:jc w:val="right"/>
              <w:rPr>
                <w:bCs/>
              </w:rPr>
            </w:pPr>
            <w:r>
              <w:rPr>
                <w:bCs/>
              </w:rPr>
              <w:t>5</w:t>
            </w:r>
          </w:p>
        </w:tc>
        <w:tc>
          <w:tcPr>
            <w:tcW w:w="2523" w:type="dxa"/>
          </w:tcPr>
          <w:p w14:paraId="72B72F7D" w14:textId="2EDEF51F" w:rsidR="002B0B4D" w:rsidRPr="00AC3840" w:rsidRDefault="00E35678" w:rsidP="005904DE">
            <w:pPr>
              <w:jc w:val="right"/>
              <w:rPr>
                <w:bCs/>
              </w:rPr>
            </w:pPr>
            <w:r>
              <w:rPr>
                <w:bCs/>
              </w:rPr>
              <w:t>37</w:t>
            </w:r>
          </w:p>
        </w:tc>
        <w:tc>
          <w:tcPr>
            <w:tcW w:w="2523" w:type="dxa"/>
          </w:tcPr>
          <w:p w14:paraId="78A5D534" w14:textId="7C30C15A" w:rsidR="002B0B4D" w:rsidRPr="00C760CF" w:rsidRDefault="00135489" w:rsidP="005904DE">
            <w:pPr>
              <w:jc w:val="right"/>
              <w:rPr>
                <w:bCs/>
              </w:rPr>
            </w:pPr>
            <w:r>
              <w:rPr>
                <w:bCs/>
              </w:rPr>
              <w:t>86%</w:t>
            </w:r>
          </w:p>
        </w:tc>
        <w:tc>
          <w:tcPr>
            <w:tcW w:w="2524" w:type="dxa"/>
          </w:tcPr>
          <w:p w14:paraId="0CF12368" w14:textId="16DFDBC3" w:rsidR="002B0B4D" w:rsidRPr="00C760CF" w:rsidRDefault="005937CE" w:rsidP="005904DE">
            <w:pPr>
              <w:jc w:val="right"/>
              <w:rPr>
                <w:bCs/>
              </w:rPr>
            </w:pPr>
            <w:r>
              <w:rPr>
                <w:bCs/>
              </w:rPr>
              <w:t>14%</w:t>
            </w:r>
          </w:p>
        </w:tc>
      </w:tr>
      <w:tr w:rsidR="00D46104" w14:paraId="64301380" w14:textId="77777777" w:rsidTr="009B4B47">
        <w:tc>
          <w:tcPr>
            <w:tcW w:w="2832" w:type="dxa"/>
          </w:tcPr>
          <w:p w14:paraId="48C14593" w14:textId="1E0E3847" w:rsidR="00CE44E2" w:rsidRPr="00833B46" w:rsidRDefault="009009BB" w:rsidP="007918D3">
            <w:pPr>
              <w:rPr>
                <w:rFonts w:ascii="Arial" w:eastAsiaTheme="majorEastAsia" w:hAnsi="Arial" w:cs="Arial"/>
                <w:lang w:eastAsia="en-AU"/>
              </w:rPr>
            </w:pPr>
            <w:r w:rsidRPr="00833B46">
              <w:rPr>
                <w:rFonts w:ascii="Arial" w:eastAsiaTheme="majorEastAsia" w:hAnsi="Arial" w:cs="Arial"/>
                <w:lang w:eastAsia="en-AU"/>
              </w:rPr>
              <w:t>Attachment 6: Rules pre-conditions</w:t>
            </w:r>
          </w:p>
        </w:tc>
        <w:tc>
          <w:tcPr>
            <w:tcW w:w="2523" w:type="dxa"/>
          </w:tcPr>
          <w:p w14:paraId="399701E7" w14:textId="2291C7D9" w:rsidR="00CE44E2" w:rsidRPr="00833B46" w:rsidRDefault="009009BB" w:rsidP="005904DE">
            <w:pPr>
              <w:jc w:val="right"/>
            </w:pPr>
            <w:r w:rsidRPr="00833B46">
              <w:t>2</w:t>
            </w:r>
          </w:p>
        </w:tc>
        <w:tc>
          <w:tcPr>
            <w:tcW w:w="2523" w:type="dxa"/>
          </w:tcPr>
          <w:p w14:paraId="7130CB2A" w14:textId="72A1E1A6" w:rsidR="00CE44E2" w:rsidRPr="009009BB" w:rsidRDefault="00833B46" w:rsidP="005904DE">
            <w:pPr>
              <w:jc w:val="right"/>
              <w:rPr>
                <w:bCs/>
              </w:rPr>
            </w:pPr>
            <w:r>
              <w:rPr>
                <w:bCs/>
              </w:rPr>
              <w:t>24</w:t>
            </w:r>
          </w:p>
        </w:tc>
        <w:tc>
          <w:tcPr>
            <w:tcW w:w="2523" w:type="dxa"/>
          </w:tcPr>
          <w:p w14:paraId="77EEF8B3" w14:textId="46BFD6D4" w:rsidR="00CE44E2" w:rsidRPr="009009BB" w:rsidRDefault="00833B46" w:rsidP="005904DE">
            <w:pPr>
              <w:jc w:val="right"/>
              <w:rPr>
                <w:bCs/>
              </w:rPr>
            </w:pPr>
            <w:r>
              <w:rPr>
                <w:bCs/>
              </w:rPr>
              <w:t>26</w:t>
            </w:r>
          </w:p>
        </w:tc>
        <w:tc>
          <w:tcPr>
            <w:tcW w:w="2523" w:type="dxa"/>
          </w:tcPr>
          <w:p w14:paraId="25C7E157" w14:textId="5D278941" w:rsidR="00CE44E2" w:rsidRPr="006018EC" w:rsidRDefault="006018EC" w:rsidP="005904DE">
            <w:pPr>
              <w:jc w:val="right"/>
              <w:rPr>
                <w:bCs/>
              </w:rPr>
            </w:pPr>
            <w:r w:rsidRPr="006018EC">
              <w:rPr>
                <w:bCs/>
              </w:rPr>
              <w:t>8%</w:t>
            </w:r>
          </w:p>
        </w:tc>
        <w:tc>
          <w:tcPr>
            <w:tcW w:w="2524" w:type="dxa"/>
          </w:tcPr>
          <w:p w14:paraId="001C9941" w14:textId="40C6B1C3" w:rsidR="00CE44E2" w:rsidRPr="006018EC" w:rsidRDefault="006018EC" w:rsidP="005904DE">
            <w:pPr>
              <w:jc w:val="right"/>
              <w:rPr>
                <w:bCs/>
              </w:rPr>
            </w:pPr>
            <w:r w:rsidRPr="006018EC">
              <w:rPr>
                <w:bCs/>
              </w:rPr>
              <w:t>92%</w:t>
            </w:r>
          </w:p>
        </w:tc>
      </w:tr>
      <w:tr w:rsidR="007D2130" w14:paraId="2EC099A6" w14:textId="77777777" w:rsidTr="009B4B47">
        <w:tc>
          <w:tcPr>
            <w:tcW w:w="2832" w:type="dxa"/>
          </w:tcPr>
          <w:p w14:paraId="0F8EBAB4" w14:textId="36BA53EE" w:rsidR="007D2130" w:rsidRPr="00833B46" w:rsidRDefault="006843E3" w:rsidP="007918D3">
            <w:pPr>
              <w:rPr>
                <w:rFonts w:ascii="Arial" w:eastAsiaTheme="majorEastAsia" w:hAnsi="Arial" w:cs="Arial"/>
                <w:lang w:eastAsia="en-AU"/>
              </w:rPr>
            </w:pPr>
            <w:r>
              <w:rPr>
                <w:rFonts w:ascii="Arial" w:eastAsiaTheme="majorEastAsia" w:hAnsi="Arial" w:cs="Arial"/>
                <w:lang w:eastAsia="en-AU"/>
              </w:rPr>
              <w:t>Appendix 6a: Statement of facts – reliability and security impacts - GHD</w:t>
            </w:r>
          </w:p>
        </w:tc>
        <w:tc>
          <w:tcPr>
            <w:tcW w:w="2523" w:type="dxa"/>
          </w:tcPr>
          <w:p w14:paraId="719D4B44" w14:textId="20BA5A5D" w:rsidR="007D2130" w:rsidRPr="00833B46" w:rsidRDefault="003063D5" w:rsidP="005904DE">
            <w:pPr>
              <w:jc w:val="right"/>
            </w:pPr>
            <w:r>
              <w:t>1</w:t>
            </w:r>
          </w:p>
        </w:tc>
        <w:tc>
          <w:tcPr>
            <w:tcW w:w="2523" w:type="dxa"/>
          </w:tcPr>
          <w:p w14:paraId="3A5D56EB" w14:textId="35ACEB33" w:rsidR="007D2130" w:rsidRDefault="003063D5" w:rsidP="005904DE">
            <w:pPr>
              <w:jc w:val="right"/>
              <w:rPr>
                <w:bCs/>
              </w:rPr>
            </w:pPr>
            <w:r>
              <w:rPr>
                <w:bCs/>
              </w:rPr>
              <w:t>52</w:t>
            </w:r>
          </w:p>
        </w:tc>
        <w:tc>
          <w:tcPr>
            <w:tcW w:w="2523" w:type="dxa"/>
          </w:tcPr>
          <w:p w14:paraId="29DC441F" w14:textId="082F91E9" w:rsidR="007D2130" w:rsidRDefault="003063D5" w:rsidP="005904DE">
            <w:pPr>
              <w:jc w:val="right"/>
              <w:rPr>
                <w:bCs/>
              </w:rPr>
            </w:pPr>
            <w:r>
              <w:rPr>
                <w:bCs/>
              </w:rPr>
              <w:t>63</w:t>
            </w:r>
          </w:p>
        </w:tc>
        <w:tc>
          <w:tcPr>
            <w:tcW w:w="2523" w:type="dxa"/>
          </w:tcPr>
          <w:p w14:paraId="022E2F6F" w14:textId="0ED9EE2D" w:rsidR="007D2130" w:rsidRPr="006018EC" w:rsidRDefault="003E5188" w:rsidP="005904DE">
            <w:pPr>
              <w:jc w:val="right"/>
              <w:rPr>
                <w:bCs/>
              </w:rPr>
            </w:pPr>
            <w:r>
              <w:rPr>
                <w:bCs/>
              </w:rPr>
              <w:t>2%</w:t>
            </w:r>
          </w:p>
        </w:tc>
        <w:tc>
          <w:tcPr>
            <w:tcW w:w="2524" w:type="dxa"/>
          </w:tcPr>
          <w:p w14:paraId="40DE6474" w14:textId="2B39B30D" w:rsidR="007D2130" w:rsidRPr="006018EC" w:rsidRDefault="003E5188" w:rsidP="005904DE">
            <w:pPr>
              <w:jc w:val="right"/>
              <w:rPr>
                <w:bCs/>
              </w:rPr>
            </w:pPr>
            <w:r>
              <w:rPr>
                <w:bCs/>
              </w:rPr>
              <w:t>98%</w:t>
            </w:r>
          </w:p>
        </w:tc>
      </w:tr>
      <w:tr w:rsidR="002072FF" w14:paraId="6BD97021" w14:textId="77777777" w:rsidTr="009B4B47">
        <w:tc>
          <w:tcPr>
            <w:tcW w:w="2832" w:type="dxa"/>
          </w:tcPr>
          <w:p w14:paraId="08E8CB61" w14:textId="42468078" w:rsidR="002072FF" w:rsidRPr="00833B46" w:rsidRDefault="002072FF" w:rsidP="007918D3">
            <w:pPr>
              <w:rPr>
                <w:rFonts w:ascii="Arial" w:eastAsiaTheme="majorEastAsia" w:hAnsi="Arial" w:cs="Arial"/>
                <w:lang w:eastAsia="en-AU"/>
              </w:rPr>
            </w:pPr>
            <w:r>
              <w:rPr>
                <w:rFonts w:ascii="Arial" w:eastAsiaTheme="majorEastAsia" w:hAnsi="Arial" w:cs="Arial"/>
                <w:lang w:eastAsia="en-AU"/>
              </w:rPr>
              <w:t xml:space="preserve">Appendix 6b: Letter of support - </w:t>
            </w:r>
            <w:proofErr w:type="spellStart"/>
            <w:r>
              <w:rPr>
                <w:rFonts w:ascii="Arial" w:eastAsiaTheme="majorEastAsia" w:hAnsi="Arial" w:cs="Arial"/>
                <w:lang w:eastAsia="en-AU"/>
              </w:rPr>
              <w:t>ElectraNet</w:t>
            </w:r>
            <w:proofErr w:type="spellEnd"/>
          </w:p>
        </w:tc>
        <w:tc>
          <w:tcPr>
            <w:tcW w:w="2523" w:type="dxa"/>
          </w:tcPr>
          <w:p w14:paraId="65CEF724" w14:textId="32787EAA" w:rsidR="002072FF" w:rsidRPr="00833B46" w:rsidRDefault="001B409F" w:rsidP="005904DE">
            <w:pPr>
              <w:jc w:val="right"/>
            </w:pPr>
            <w:r>
              <w:t>2</w:t>
            </w:r>
          </w:p>
        </w:tc>
        <w:tc>
          <w:tcPr>
            <w:tcW w:w="2523" w:type="dxa"/>
          </w:tcPr>
          <w:p w14:paraId="4FEC150A" w14:textId="7568B5B5" w:rsidR="002072FF" w:rsidRDefault="001B409F" w:rsidP="005904DE">
            <w:pPr>
              <w:jc w:val="right"/>
              <w:rPr>
                <w:bCs/>
              </w:rPr>
            </w:pPr>
            <w:r>
              <w:rPr>
                <w:bCs/>
              </w:rPr>
              <w:t>0</w:t>
            </w:r>
          </w:p>
        </w:tc>
        <w:tc>
          <w:tcPr>
            <w:tcW w:w="2523" w:type="dxa"/>
          </w:tcPr>
          <w:p w14:paraId="2EF00F3A" w14:textId="20EE158E" w:rsidR="002072FF" w:rsidRDefault="001B409F" w:rsidP="005904DE">
            <w:pPr>
              <w:jc w:val="right"/>
              <w:rPr>
                <w:bCs/>
              </w:rPr>
            </w:pPr>
            <w:r>
              <w:rPr>
                <w:bCs/>
              </w:rPr>
              <w:t>2</w:t>
            </w:r>
          </w:p>
        </w:tc>
        <w:tc>
          <w:tcPr>
            <w:tcW w:w="2523" w:type="dxa"/>
          </w:tcPr>
          <w:p w14:paraId="4A8501CE" w14:textId="3FEE11C7" w:rsidR="002072FF" w:rsidRPr="006018EC" w:rsidRDefault="001B409F" w:rsidP="005904DE">
            <w:pPr>
              <w:jc w:val="right"/>
              <w:rPr>
                <w:bCs/>
              </w:rPr>
            </w:pPr>
            <w:r>
              <w:rPr>
                <w:bCs/>
              </w:rPr>
              <w:t>100%</w:t>
            </w:r>
          </w:p>
        </w:tc>
        <w:tc>
          <w:tcPr>
            <w:tcW w:w="2524" w:type="dxa"/>
          </w:tcPr>
          <w:p w14:paraId="6BA31E97" w14:textId="002B21DC" w:rsidR="002072FF" w:rsidRPr="006018EC" w:rsidRDefault="001B409F" w:rsidP="005904DE">
            <w:pPr>
              <w:jc w:val="right"/>
              <w:rPr>
                <w:bCs/>
              </w:rPr>
            </w:pPr>
            <w:r>
              <w:rPr>
                <w:bCs/>
              </w:rPr>
              <w:t>0%</w:t>
            </w:r>
          </w:p>
        </w:tc>
      </w:tr>
      <w:tr w:rsidR="00D46104" w14:paraId="2BC1CB6E" w14:textId="77777777" w:rsidTr="009B4B47">
        <w:tc>
          <w:tcPr>
            <w:tcW w:w="2832" w:type="dxa"/>
          </w:tcPr>
          <w:p w14:paraId="66E9DD90" w14:textId="214B4FFB" w:rsidR="00CE44E2" w:rsidRPr="00833B46" w:rsidRDefault="00833B46" w:rsidP="007918D3">
            <w:pPr>
              <w:rPr>
                <w:rFonts w:ascii="Arial" w:eastAsiaTheme="majorEastAsia" w:hAnsi="Arial" w:cs="Arial"/>
                <w:lang w:eastAsia="en-AU"/>
              </w:rPr>
            </w:pPr>
            <w:r w:rsidRPr="00833B46">
              <w:rPr>
                <w:rFonts w:ascii="Arial" w:eastAsiaTheme="majorEastAsia" w:hAnsi="Arial" w:cs="Arial"/>
                <w:lang w:eastAsia="en-AU"/>
              </w:rPr>
              <w:t>Attachment 7: Reopener capex methodology</w:t>
            </w:r>
          </w:p>
        </w:tc>
        <w:tc>
          <w:tcPr>
            <w:tcW w:w="2523" w:type="dxa"/>
          </w:tcPr>
          <w:p w14:paraId="34E5CC6F" w14:textId="614804DB" w:rsidR="00CE44E2" w:rsidRPr="004B5B88" w:rsidRDefault="00833B46" w:rsidP="005904DE">
            <w:pPr>
              <w:jc w:val="right"/>
              <w:rPr>
                <w:bCs/>
              </w:rPr>
            </w:pPr>
            <w:r w:rsidRPr="004B5B88">
              <w:rPr>
                <w:bCs/>
              </w:rPr>
              <w:t>6</w:t>
            </w:r>
          </w:p>
        </w:tc>
        <w:tc>
          <w:tcPr>
            <w:tcW w:w="2523" w:type="dxa"/>
          </w:tcPr>
          <w:p w14:paraId="6EE0801C" w14:textId="7B56A88C" w:rsidR="00CE44E2" w:rsidRPr="004B5B88" w:rsidRDefault="004B5B88" w:rsidP="005904DE">
            <w:pPr>
              <w:jc w:val="right"/>
              <w:rPr>
                <w:bCs/>
              </w:rPr>
            </w:pPr>
            <w:r w:rsidRPr="004B5B88">
              <w:rPr>
                <w:bCs/>
              </w:rPr>
              <w:t>11</w:t>
            </w:r>
          </w:p>
        </w:tc>
        <w:tc>
          <w:tcPr>
            <w:tcW w:w="2523" w:type="dxa"/>
          </w:tcPr>
          <w:p w14:paraId="359F9E72" w14:textId="7DF8E35E" w:rsidR="00CE44E2" w:rsidRPr="004B5B88" w:rsidRDefault="004B5B88" w:rsidP="005904DE">
            <w:pPr>
              <w:jc w:val="right"/>
              <w:rPr>
                <w:bCs/>
              </w:rPr>
            </w:pPr>
            <w:r w:rsidRPr="004B5B88">
              <w:rPr>
                <w:bCs/>
              </w:rPr>
              <w:t>17</w:t>
            </w:r>
          </w:p>
        </w:tc>
        <w:tc>
          <w:tcPr>
            <w:tcW w:w="2523" w:type="dxa"/>
          </w:tcPr>
          <w:p w14:paraId="478E4106" w14:textId="6CA6178A" w:rsidR="00CE44E2" w:rsidRPr="0050204B" w:rsidRDefault="0050204B" w:rsidP="005904DE">
            <w:pPr>
              <w:jc w:val="right"/>
              <w:rPr>
                <w:bCs/>
              </w:rPr>
            </w:pPr>
            <w:r w:rsidRPr="0050204B">
              <w:rPr>
                <w:bCs/>
              </w:rPr>
              <w:t>35%</w:t>
            </w:r>
          </w:p>
        </w:tc>
        <w:tc>
          <w:tcPr>
            <w:tcW w:w="2524" w:type="dxa"/>
          </w:tcPr>
          <w:p w14:paraId="37615334" w14:textId="0FC3AF04" w:rsidR="00CE44E2" w:rsidRPr="0050204B" w:rsidRDefault="0050204B" w:rsidP="005904DE">
            <w:pPr>
              <w:jc w:val="right"/>
              <w:rPr>
                <w:bCs/>
              </w:rPr>
            </w:pPr>
            <w:r w:rsidRPr="0050204B">
              <w:rPr>
                <w:bCs/>
              </w:rPr>
              <w:t>65%</w:t>
            </w:r>
          </w:p>
        </w:tc>
      </w:tr>
      <w:tr w:rsidR="00D46104" w14:paraId="4EF49678" w14:textId="77777777" w:rsidTr="009B4B47">
        <w:tc>
          <w:tcPr>
            <w:tcW w:w="2832" w:type="dxa"/>
          </w:tcPr>
          <w:p w14:paraId="303C6EC6" w14:textId="116ABBAF" w:rsidR="004B5B88" w:rsidRPr="004B5B88" w:rsidRDefault="00735AE8" w:rsidP="007918D3">
            <w:pPr>
              <w:rPr>
                <w:rFonts w:ascii="Arial" w:eastAsiaTheme="majorEastAsia" w:hAnsi="Arial" w:cs="Arial"/>
                <w:lang w:eastAsia="en-AU"/>
              </w:rPr>
            </w:pPr>
            <w:r>
              <w:rPr>
                <w:rFonts w:ascii="Arial" w:eastAsiaTheme="majorEastAsia" w:hAnsi="Arial" w:cs="Arial"/>
                <w:lang w:eastAsia="en-AU"/>
              </w:rPr>
              <w:t>Appendix</w:t>
            </w:r>
            <w:r w:rsidR="006C0425">
              <w:rPr>
                <w:rFonts w:ascii="Arial" w:eastAsiaTheme="majorEastAsia" w:hAnsi="Arial" w:cs="Arial"/>
                <w:lang w:eastAsia="en-AU"/>
              </w:rPr>
              <w:t xml:space="preserve"> </w:t>
            </w:r>
            <w:r w:rsidR="004B5B88" w:rsidRPr="004B5B88">
              <w:rPr>
                <w:rFonts w:ascii="Arial" w:eastAsiaTheme="majorEastAsia" w:hAnsi="Arial" w:cs="Arial"/>
                <w:lang w:eastAsia="en-AU"/>
              </w:rPr>
              <w:t>7a: Capex Model</w:t>
            </w:r>
          </w:p>
        </w:tc>
        <w:tc>
          <w:tcPr>
            <w:tcW w:w="2523" w:type="dxa"/>
          </w:tcPr>
          <w:p w14:paraId="1972794C" w14:textId="36C5B6DB" w:rsidR="004B5B88" w:rsidRPr="004B5B88" w:rsidRDefault="004B5B88" w:rsidP="005904DE">
            <w:pPr>
              <w:jc w:val="right"/>
              <w:rPr>
                <w:bCs/>
              </w:rPr>
            </w:pPr>
            <w:r>
              <w:rPr>
                <w:bCs/>
              </w:rPr>
              <w:t>2</w:t>
            </w:r>
          </w:p>
        </w:tc>
        <w:tc>
          <w:tcPr>
            <w:tcW w:w="2523" w:type="dxa"/>
          </w:tcPr>
          <w:p w14:paraId="57A42A81" w14:textId="50622A5D" w:rsidR="004B5B88" w:rsidRPr="004B5B88" w:rsidRDefault="00D950B2" w:rsidP="005904DE">
            <w:pPr>
              <w:jc w:val="right"/>
              <w:rPr>
                <w:bCs/>
              </w:rPr>
            </w:pPr>
            <w:r>
              <w:rPr>
                <w:bCs/>
              </w:rPr>
              <w:t>3</w:t>
            </w:r>
          </w:p>
        </w:tc>
        <w:tc>
          <w:tcPr>
            <w:tcW w:w="2523" w:type="dxa"/>
          </w:tcPr>
          <w:p w14:paraId="4FFF8528" w14:textId="0D45F8B0" w:rsidR="004B5B88" w:rsidRPr="004B5B88" w:rsidRDefault="00D950B2" w:rsidP="005904DE">
            <w:pPr>
              <w:jc w:val="right"/>
              <w:rPr>
                <w:bCs/>
              </w:rPr>
            </w:pPr>
            <w:r>
              <w:rPr>
                <w:bCs/>
              </w:rPr>
              <w:t>5</w:t>
            </w:r>
          </w:p>
        </w:tc>
        <w:tc>
          <w:tcPr>
            <w:tcW w:w="2523" w:type="dxa"/>
          </w:tcPr>
          <w:p w14:paraId="18A437C2" w14:textId="77812A5B" w:rsidR="004B5B88" w:rsidRPr="004A63C2" w:rsidRDefault="004A63C2" w:rsidP="005904DE">
            <w:pPr>
              <w:jc w:val="right"/>
              <w:rPr>
                <w:bCs/>
              </w:rPr>
            </w:pPr>
            <w:r w:rsidRPr="004A63C2">
              <w:rPr>
                <w:bCs/>
              </w:rPr>
              <w:t>40%</w:t>
            </w:r>
          </w:p>
        </w:tc>
        <w:tc>
          <w:tcPr>
            <w:tcW w:w="2524" w:type="dxa"/>
          </w:tcPr>
          <w:p w14:paraId="6EFBDA5A" w14:textId="5793ECBA" w:rsidR="004B5B88" w:rsidRPr="004A63C2" w:rsidRDefault="004A63C2" w:rsidP="004A63C2">
            <w:pPr>
              <w:spacing w:line="360" w:lineRule="auto"/>
              <w:jc w:val="right"/>
              <w:rPr>
                <w:bCs/>
              </w:rPr>
            </w:pPr>
            <w:r>
              <w:rPr>
                <w:bCs/>
              </w:rPr>
              <w:t>60%</w:t>
            </w:r>
          </w:p>
        </w:tc>
      </w:tr>
      <w:tr w:rsidR="00D46104" w14:paraId="6EE9E136" w14:textId="77777777" w:rsidTr="009B4B47">
        <w:tc>
          <w:tcPr>
            <w:tcW w:w="2832" w:type="dxa"/>
          </w:tcPr>
          <w:p w14:paraId="041CEB5F" w14:textId="453EA466" w:rsidR="004B5B88" w:rsidRPr="004B5B88" w:rsidRDefault="00735AE8" w:rsidP="007918D3">
            <w:pPr>
              <w:rPr>
                <w:rFonts w:ascii="Arial" w:eastAsiaTheme="majorEastAsia" w:hAnsi="Arial" w:cs="Arial"/>
                <w:lang w:eastAsia="en-AU"/>
              </w:rPr>
            </w:pPr>
            <w:r w:rsidRPr="004B5B88">
              <w:rPr>
                <w:rFonts w:ascii="Arial" w:eastAsiaTheme="majorEastAsia" w:hAnsi="Arial" w:cs="Arial"/>
                <w:lang w:eastAsia="en-AU"/>
              </w:rPr>
              <w:t>A</w:t>
            </w:r>
            <w:r>
              <w:rPr>
                <w:rFonts w:ascii="Arial" w:eastAsiaTheme="majorEastAsia" w:hAnsi="Arial" w:cs="Arial"/>
                <w:lang w:eastAsia="en-AU"/>
              </w:rPr>
              <w:t>ppendix</w:t>
            </w:r>
            <w:r w:rsidRPr="004B5B88">
              <w:rPr>
                <w:rFonts w:ascii="Arial" w:eastAsiaTheme="majorEastAsia" w:hAnsi="Arial" w:cs="Arial"/>
                <w:lang w:eastAsia="en-AU"/>
              </w:rPr>
              <w:t xml:space="preserve"> </w:t>
            </w:r>
            <w:r w:rsidR="004B5B88" w:rsidRPr="004B5B88">
              <w:rPr>
                <w:rFonts w:ascii="Arial" w:eastAsiaTheme="majorEastAsia" w:hAnsi="Arial" w:cs="Arial"/>
                <w:lang w:eastAsia="en-AU"/>
              </w:rPr>
              <w:t xml:space="preserve">7b: Labour and </w:t>
            </w:r>
            <w:proofErr w:type="spellStart"/>
            <w:r w:rsidR="004B5B88" w:rsidRPr="004B5B88">
              <w:rPr>
                <w:rFonts w:ascii="Arial" w:eastAsiaTheme="majorEastAsia" w:hAnsi="Arial" w:cs="Arial"/>
                <w:lang w:eastAsia="en-AU"/>
              </w:rPr>
              <w:t>Indirects</w:t>
            </w:r>
            <w:proofErr w:type="spellEnd"/>
            <w:r w:rsidR="004B5B88" w:rsidRPr="004B5B88">
              <w:rPr>
                <w:rFonts w:ascii="Arial" w:eastAsiaTheme="majorEastAsia" w:hAnsi="Arial" w:cs="Arial"/>
                <w:lang w:eastAsia="en-AU"/>
              </w:rPr>
              <w:t xml:space="preserve"> Model</w:t>
            </w:r>
          </w:p>
        </w:tc>
        <w:tc>
          <w:tcPr>
            <w:tcW w:w="2523" w:type="dxa"/>
          </w:tcPr>
          <w:p w14:paraId="647E47CB" w14:textId="4FBE6EC7" w:rsidR="004B5B88" w:rsidRPr="004B5B88" w:rsidRDefault="004B5B88" w:rsidP="005904DE">
            <w:pPr>
              <w:jc w:val="right"/>
              <w:rPr>
                <w:bCs/>
              </w:rPr>
            </w:pPr>
            <w:r>
              <w:rPr>
                <w:bCs/>
              </w:rPr>
              <w:t>4</w:t>
            </w:r>
          </w:p>
        </w:tc>
        <w:tc>
          <w:tcPr>
            <w:tcW w:w="2523" w:type="dxa"/>
          </w:tcPr>
          <w:p w14:paraId="5B951DFF" w14:textId="46E6B165" w:rsidR="004B5B88" w:rsidRPr="004B5B88" w:rsidRDefault="001C62B2" w:rsidP="005904DE">
            <w:pPr>
              <w:jc w:val="right"/>
              <w:rPr>
                <w:bCs/>
              </w:rPr>
            </w:pPr>
            <w:r>
              <w:rPr>
                <w:bCs/>
              </w:rPr>
              <w:t>11</w:t>
            </w:r>
          </w:p>
        </w:tc>
        <w:tc>
          <w:tcPr>
            <w:tcW w:w="2523" w:type="dxa"/>
          </w:tcPr>
          <w:p w14:paraId="02ACA505" w14:textId="206A12EA" w:rsidR="004B5B88" w:rsidRPr="004B5B88" w:rsidRDefault="001C62B2" w:rsidP="005904DE">
            <w:pPr>
              <w:jc w:val="right"/>
              <w:rPr>
                <w:bCs/>
              </w:rPr>
            </w:pPr>
            <w:r>
              <w:rPr>
                <w:bCs/>
              </w:rPr>
              <w:t>15</w:t>
            </w:r>
          </w:p>
        </w:tc>
        <w:tc>
          <w:tcPr>
            <w:tcW w:w="2523" w:type="dxa"/>
          </w:tcPr>
          <w:p w14:paraId="34435B14" w14:textId="76204790" w:rsidR="004B5B88" w:rsidRPr="00FD0497" w:rsidRDefault="00FD0497" w:rsidP="005904DE">
            <w:pPr>
              <w:jc w:val="right"/>
              <w:rPr>
                <w:bCs/>
              </w:rPr>
            </w:pPr>
            <w:r w:rsidRPr="00FD0497">
              <w:rPr>
                <w:bCs/>
              </w:rPr>
              <w:t>27%</w:t>
            </w:r>
          </w:p>
        </w:tc>
        <w:tc>
          <w:tcPr>
            <w:tcW w:w="2524" w:type="dxa"/>
          </w:tcPr>
          <w:p w14:paraId="1709D2D5" w14:textId="3CEA45D1" w:rsidR="004B5B88" w:rsidRPr="00FD0497" w:rsidRDefault="00FD0497" w:rsidP="005904DE">
            <w:pPr>
              <w:jc w:val="right"/>
              <w:rPr>
                <w:bCs/>
              </w:rPr>
            </w:pPr>
            <w:r w:rsidRPr="00FD0497">
              <w:rPr>
                <w:bCs/>
              </w:rPr>
              <w:t>73%</w:t>
            </w:r>
          </w:p>
        </w:tc>
      </w:tr>
    </w:tbl>
    <w:p w14:paraId="28337059" w14:textId="77777777" w:rsidR="007918D3" w:rsidRDefault="007918D3" w:rsidP="00E60B5C">
      <w:pPr>
        <w:pStyle w:val="ListBullet5"/>
        <w:numPr>
          <w:ilvl w:val="0"/>
          <w:numId w:val="0"/>
        </w:numPr>
      </w:pPr>
    </w:p>
    <w:p w14:paraId="7CB0089C" w14:textId="77777777" w:rsidR="007918D3" w:rsidRPr="00D30A58" w:rsidRDefault="007918D3" w:rsidP="00E60B5C">
      <w:pPr>
        <w:pStyle w:val="ListBullet5"/>
        <w:numPr>
          <w:ilvl w:val="0"/>
          <w:numId w:val="0"/>
        </w:numPr>
      </w:pPr>
    </w:p>
    <w:sectPr w:rsidR="007918D3" w:rsidRPr="00D30A58" w:rsidSect="006649FE">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32027" w14:textId="77777777" w:rsidR="0049392D" w:rsidRDefault="0049392D" w:rsidP="005C306E">
      <w:pPr>
        <w:spacing w:before="0" w:after="0" w:line="240" w:lineRule="auto"/>
      </w:pPr>
      <w:r>
        <w:separator/>
      </w:r>
    </w:p>
    <w:p w14:paraId="0E5564E4" w14:textId="77777777" w:rsidR="0049392D" w:rsidRDefault="0049392D"/>
    <w:p w14:paraId="7D0C47E1" w14:textId="77777777" w:rsidR="0049392D" w:rsidRDefault="0049392D"/>
  </w:endnote>
  <w:endnote w:type="continuationSeparator" w:id="0">
    <w:p w14:paraId="22F4C2C7" w14:textId="77777777" w:rsidR="0049392D" w:rsidRDefault="0049392D" w:rsidP="005C306E">
      <w:pPr>
        <w:spacing w:before="0" w:after="0" w:line="240" w:lineRule="auto"/>
      </w:pPr>
      <w:r>
        <w:continuationSeparator/>
      </w:r>
    </w:p>
    <w:p w14:paraId="22E12144" w14:textId="77777777" w:rsidR="0049392D" w:rsidRDefault="0049392D"/>
    <w:p w14:paraId="31C5E06E" w14:textId="77777777" w:rsidR="0049392D" w:rsidRDefault="0049392D"/>
  </w:endnote>
  <w:endnote w:type="continuationNotice" w:id="1">
    <w:p w14:paraId="1A032D16" w14:textId="77777777" w:rsidR="0049392D" w:rsidRDefault="0049392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A6293" w14:textId="77777777" w:rsidR="00FC7073" w:rsidRDefault="00FC70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51DC6" w14:textId="3C22A252" w:rsidR="001A31B7" w:rsidRPr="00C25C60" w:rsidRDefault="00000000" w:rsidP="00C25C60">
    <w:pPr>
      <w:pStyle w:val="Footer"/>
    </w:pPr>
    <w:sdt>
      <w:sdtPr>
        <w:id w:val="-1017150362"/>
        <w:docPartObj>
          <w:docPartGallery w:val="Page Numbers (Bottom of Page)"/>
          <w:docPartUnique/>
        </w:docPartObj>
      </w:sdtPr>
      <w:sdtEndPr>
        <w:rPr>
          <w:noProof/>
        </w:rPr>
      </w:sdtEndPr>
      <w:sdtContent>
        <w:r w:rsidR="001A31B7">
          <w:fldChar w:fldCharType="begin"/>
        </w:r>
        <w:r w:rsidR="001A31B7">
          <w:instrText xml:space="preserve"> PAGE   \* MERGEFORMAT </w:instrText>
        </w:r>
        <w:r w:rsidR="001A31B7">
          <w:fldChar w:fldCharType="separate"/>
        </w:r>
        <w:r w:rsidR="003578D6">
          <w:rPr>
            <w:noProof/>
          </w:rPr>
          <w:t>13</w:t>
        </w:r>
        <w:r w:rsidR="001A31B7">
          <w:rPr>
            <w:noProof/>
          </w:rPr>
          <w:fldChar w:fldCharType="end"/>
        </w:r>
        <w:r w:rsidR="001A31B7">
          <w:t xml:space="preserve"> |</w:t>
        </w:r>
        <w:r w:rsidR="001A31B7" w:rsidRPr="001A31B7">
          <w:rPr>
            <w:b/>
          </w:rPr>
          <w:t xml:space="preserve"> </w:t>
        </w:r>
        <w:sdt>
          <w:sdtPr>
            <w:rPr>
              <w:b/>
            </w:rPr>
            <w:alias w:val="Title"/>
            <w:tag w:val=""/>
            <w:id w:val="-298376733"/>
            <w:placeholder>
              <w:docPart w:val="50500D11913A44E7A7E01527C555783F"/>
            </w:placeholder>
            <w:dataBinding w:prefixMappings="xmlns:ns0='http://purl.org/dc/elements/1.1/' xmlns:ns1='http://schemas.openxmlformats.org/package/2006/metadata/core-properties' " w:xpath="/ns1:coreProperties[1]/ns0:title[1]" w:storeItemID="{6C3C8BC8-F283-45AE-878A-BAB7291924A1}"/>
            <w:text/>
          </w:sdtPr>
          <w:sdtContent>
            <w:r w:rsidR="00AE21D1">
              <w:rPr>
                <w:b/>
              </w:rPr>
              <w:t>Confidentiality Claims</w:t>
            </w:r>
          </w:sdtContent>
        </w:sdt>
        <w:r w:rsidR="001A31B7" w:rsidRPr="001A31B7">
          <w:rPr>
            <w:b/>
          </w:rPr>
          <w:t xml:space="preserve"> </w:t>
        </w:r>
        <w:r w:rsidR="001A31B7">
          <w:t xml:space="preserve">| </w:t>
        </w:r>
        <w:sdt>
          <w:sdtPr>
            <w:alias w:val="Subject"/>
            <w:tag w:val=""/>
            <w:id w:val="-107585653"/>
            <w:placeholder>
              <w:docPart w:val="BF50BB79D3254A9C861361ED82F0FEE9"/>
            </w:placeholder>
            <w:dataBinding w:prefixMappings="xmlns:ns0='http://purl.org/dc/elements/1.1/' xmlns:ns1='http://schemas.openxmlformats.org/package/2006/metadata/core-properties' " w:xpath="/ns1:coreProperties[1]/ns0:subject[1]" w:storeItemID="{6C3C8BC8-F283-45AE-878A-BAB7291924A1}"/>
            <w:text/>
          </w:sdtPr>
          <w:sdtContent>
            <w:r w:rsidR="00BE2F29">
              <w:t>PEC Reopener Application</w:t>
            </w:r>
          </w:sdtContent>
        </w:sdt>
        <w:r w:rsidR="00FD5315">
          <w:ptab w:relativeTo="margin" w:alignment="right" w:leader="underscore"/>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3A717" w14:textId="797314CF" w:rsidR="006665AA" w:rsidRDefault="00431297">
    <w:pPr>
      <w:pStyle w:val="Footer"/>
    </w:pPr>
    <w:r>
      <w:rPr>
        <w:noProof/>
      </w:rPr>
      <mc:AlternateContent>
        <mc:Choice Requires="wps">
          <w:drawing>
            <wp:anchor distT="0" distB="0" distL="114300" distR="114300" simplePos="0" relativeHeight="251658246" behindDoc="0" locked="0" layoutInCell="0" allowOverlap="1" wp14:anchorId="4EF2491A" wp14:editId="444D5D59">
              <wp:simplePos x="0" y="0"/>
              <wp:positionH relativeFrom="page">
                <wp:align>left</wp:align>
              </wp:positionH>
              <wp:positionV relativeFrom="page">
                <wp:align>bottom</wp:align>
              </wp:positionV>
              <wp:extent cx="7772400" cy="463550"/>
              <wp:effectExtent l="0" t="0" r="0" b="12700"/>
              <wp:wrapNone/>
              <wp:docPr id="13" name="MSIPCMbe74469280948c0a5093917d" descr="{&quot;HashCode&quot;:155956639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3B4BB1" w14:textId="5CEA1A67" w:rsidR="00431297" w:rsidRPr="00E63F22" w:rsidRDefault="00E63F22" w:rsidP="00E63F22">
                          <w:pPr>
                            <w:spacing w:before="0" w:after="0"/>
                            <w:rPr>
                              <w:rFonts w:ascii="Calibri" w:hAnsi="Calibri" w:cs="Calibri"/>
                              <w:color w:val="000000"/>
                              <w:sz w:val="20"/>
                            </w:rPr>
                          </w:pPr>
                          <w:r w:rsidRPr="00E63F22">
                            <w:rPr>
                              <w:rFonts w:ascii="Calibri" w:hAnsi="Calibri" w:cs="Calibri"/>
                              <w:color w:val="000000"/>
                              <w:sz w:val="2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EF2491A" id="_x0000_t202" coordsize="21600,21600" o:spt="202" path="m,l,21600r21600,l21600,xe">
              <v:stroke joinstyle="miter"/>
              <v:path gradientshapeok="t" o:connecttype="rect"/>
            </v:shapetype>
            <v:shape id="MSIPCMbe74469280948c0a5093917d" o:spid="_x0000_s1026" type="#_x0000_t202" alt="{&quot;HashCode&quot;:1559566398,&quot;Height&quot;:9999999.0,&quot;Width&quot;:9999999.0,&quot;Placement&quot;:&quot;Footer&quot;,&quot;Index&quot;:&quot;FirstPage&quot;,&quot;Section&quot;:1,&quot;Top&quot;:0.0,&quot;Left&quot;:0.0}" style="position:absolute;margin-left:0;margin-top:0;width:612pt;height:36.5pt;z-index:25165824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W3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" o:allowincell="f" filled="f" stroked="f" strokeweight=".5pt">
              <v:textbox inset="20pt,0,,0">
                <w:txbxContent>
                  <w:p w14:paraId="5F3B4BB1" w14:textId="5CEA1A67" w:rsidR="00431297" w:rsidRPr="00E63F22" w:rsidRDefault="00E63F22" w:rsidP="00E63F22">
                    <w:pPr>
                      <w:spacing w:before="0" w:after="0"/>
                      <w:rPr>
                        <w:rFonts w:ascii="Calibri" w:hAnsi="Calibri" w:cs="Calibri"/>
                        <w:color w:val="000000"/>
                        <w:sz w:val="20"/>
                      </w:rPr>
                    </w:pPr>
                    <w:r w:rsidRPr="00E63F22">
                      <w:rPr>
                        <w:rFonts w:ascii="Calibri" w:hAnsi="Calibri" w:cs="Calibri"/>
                        <w:color w:val="000000"/>
                        <w:sz w:val="20"/>
                      </w:rPr>
                      <w:t>Official</w:t>
                    </w:r>
                  </w:p>
                </w:txbxContent>
              </v:textbox>
              <w10:wrap anchorx="page" anchory="page"/>
            </v:shape>
          </w:pict>
        </mc:Fallback>
      </mc:AlternateContent>
    </w:r>
    <w:r w:rsidR="00B81F34">
      <w:rPr>
        <w:noProof/>
      </w:rPr>
      <mc:AlternateContent>
        <mc:Choice Requires="wps">
          <w:drawing>
            <wp:anchor distT="0" distB="0" distL="114300" distR="114300" simplePos="0" relativeHeight="251658245" behindDoc="0" locked="0" layoutInCell="0" allowOverlap="1" wp14:anchorId="7CAAD5E3" wp14:editId="2709EBD8">
              <wp:simplePos x="0" y="0"/>
              <wp:positionH relativeFrom="page">
                <wp:align>left</wp:align>
              </wp:positionH>
              <wp:positionV relativeFrom="page">
                <wp:align>bottom</wp:align>
              </wp:positionV>
              <wp:extent cx="7772400" cy="463550"/>
              <wp:effectExtent l="0" t="0" r="0" b="12700"/>
              <wp:wrapNone/>
              <wp:docPr id="10" name="Text Box 10" descr="{&quot;HashCode&quot;:155956639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F82EB0" w14:textId="53CCDB15" w:rsidR="00B81F34" w:rsidRPr="00B81F34" w:rsidRDefault="00B81F34" w:rsidP="00B81F34">
                          <w:pPr>
                            <w:spacing w:before="0" w:after="0"/>
                            <w:rPr>
                              <w:rFonts w:ascii="Calibri" w:hAnsi="Calibri" w:cs="Calibri"/>
                              <w:color w:val="000000"/>
                              <w:sz w:val="20"/>
                            </w:rPr>
                          </w:pPr>
                          <w:r w:rsidRPr="00B81F34">
                            <w:rPr>
                              <w:rFonts w:ascii="Calibri" w:hAnsi="Calibri" w:cs="Calibri"/>
                              <w:color w:val="000000"/>
                              <w:sz w:val="2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7CAAD5E3" id="Text Box 10" o:spid="_x0000_s1027" type="#_x0000_t202" alt="{&quot;HashCode&quot;:1559566398,&quot;Height&quot;:9999999.0,&quot;Width&quot;:9999999.0,&quot;Placement&quot;:&quot;Footer&quot;,&quot;Index&quot;:&quot;FirstPage&quot;,&quot;Section&quot;:1,&quot;Top&quot;:0.0,&quot;Left&quot;:0.0}" style="position:absolute;margin-left:0;margin-top:0;width:612pt;height:36.5pt;z-index:25165824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Ll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" o:allowincell="f" filled="f" stroked="f" strokeweight=".5pt">
              <v:textbox inset="20pt,0,,0">
                <w:txbxContent>
                  <w:p w14:paraId="24F82EB0" w14:textId="53CCDB15" w:rsidR="00B81F34" w:rsidRPr="00B81F34" w:rsidRDefault="00B81F34" w:rsidP="00B81F34">
                    <w:pPr>
                      <w:spacing w:before="0" w:after="0"/>
                      <w:rPr>
                        <w:rFonts w:ascii="Calibri" w:hAnsi="Calibri" w:cs="Calibri"/>
                        <w:color w:val="000000"/>
                        <w:sz w:val="20"/>
                      </w:rPr>
                    </w:pPr>
                    <w:r w:rsidRPr="00B81F34">
                      <w:rPr>
                        <w:rFonts w:ascii="Calibri" w:hAnsi="Calibri" w:cs="Calibri"/>
                        <w:color w:val="000000"/>
                        <w:sz w:val="20"/>
                      </w:rPr>
                      <w:t>Official</w:t>
                    </w:r>
                  </w:p>
                </w:txbxContent>
              </v:textbox>
              <w10:wrap anchorx="page" anchory="page"/>
            </v:shape>
          </w:pict>
        </mc:Fallback>
      </mc:AlternateContent>
    </w:r>
    <w:r w:rsidR="00E259C8">
      <w:rPr>
        <w:noProof/>
      </w:rPr>
      <mc:AlternateContent>
        <mc:Choice Requires="wps">
          <w:drawing>
            <wp:anchor distT="0" distB="0" distL="114300" distR="114300" simplePos="0" relativeHeight="251658244" behindDoc="0" locked="0" layoutInCell="0" allowOverlap="1" wp14:anchorId="0D6BA003" wp14:editId="6E23DDAD">
              <wp:simplePos x="0" y="0"/>
              <wp:positionH relativeFrom="page">
                <wp:align>left</wp:align>
              </wp:positionH>
              <wp:positionV relativeFrom="page">
                <wp:align>bottom</wp:align>
              </wp:positionV>
              <wp:extent cx="7772400" cy="463550"/>
              <wp:effectExtent l="0" t="0" r="0" b="12700"/>
              <wp:wrapNone/>
              <wp:docPr id="9" name="Text Box 9" descr="{&quot;HashCode&quot;:155956639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1EF3E0" w14:textId="7E229EFB" w:rsidR="00E259C8" w:rsidRPr="00C9205C" w:rsidRDefault="00C9205C" w:rsidP="00C9205C">
                          <w:pPr>
                            <w:spacing w:before="0" w:after="0"/>
                            <w:rPr>
                              <w:rFonts w:ascii="Calibri" w:hAnsi="Calibri" w:cs="Calibri"/>
                              <w:color w:val="000000"/>
                              <w:sz w:val="20"/>
                            </w:rPr>
                          </w:pPr>
                          <w:r w:rsidRPr="00C9205C">
                            <w:rPr>
                              <w:rFonts w:ascii="Calibri" w:hAnsi="Calibri" w:cs="Calibri"/>
                              <w:color w:val="000000"/>
                              <w:sz w:val="2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0D6BA003" id="Text Box 9" o:spid="_x0000_s1028" type="#_x0000_t202" alt="{&quot;HashCode&quot;:1559566398,&quot;Height&quot;:9999999.0,&quot;Width&quot;:9999999.0,&quot;Placement&quot;:&quot;Footer&quot;,&quot;Index&quot;:&quot;FirstPage&quot;,&quot;Section&quot;:1,&quot;Top&quot;:0.0,&quot;Left&quot;:0.0}" style="position:absolute;margin-left:0;margin-top:0;width:612pt;height:36.5pt;z-index:25165824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9OL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knwxxbqI40HsKJee/kqqEe1sKH&#10;Z4FENbVN6xue6NAGqBacJc5qwJ9/s8d4YoC8nHW0OiX3P/YCFWfmmyVuJjNCIy5b0kjAJHweT6ek&#10;bAer3bf3QGs5ph/iZBJjbDCDqBHaV1rvZSxHLmElFS25DDgo9+G0y/RBpFouUxgtlhNhbTdOxuQR&#10;0AjuS/8q0J0ZCMTdIwz7JYo3RJxiT1Qs9wF0k1iKEJ8APSNPS5nIO3+guPW/6ynq+s0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DWD04scAgAALgQAAA4AAAAAAAAAAAAAAAAALgIAAGRycy9lMm9Eb2MueG1sUEsBAi0AFAAG&#10;AAgAAAAhAP71jZvaAAAABQEAAA8AAAAAAAAAAAAAAAAAdgQAAGRycy9kb3ducmV2LnhtbFBLBQYA&#10;AAAABAAEAPMAAAB9BQAAAAA=&#10;" o:allowincell="f" filled="f" stroked="f" strokeweight=".5pt">
              <v:textbox inset="20pt,0,,0">
                <w:txbxContent>
                  <w:p w14:paraId="3F1EF3E0" w14:textId="7E229EFB" w:rsidR="00E259C8" w:rsidRPr="00C9205C" w:rsidRDefault="00C9205C" w:rsidP="00C9205C">
                    <w:pPr>
                      <w:spacing w:before="0" w:after="0"/>
                      <w:rPr>
                        <w:rFonts w:ascii="Calibri" w:hAnsi="Calibri" w:cs="Calibri"/>
                        <w:color w:val="000000"/>
                        <w:sz w:val="20"/>
                      </w:rPr>
                    </w:pPr>
                    <w:r w:rsidRPr="00C9205C">
                      <w:rPr>
                        <w:rFonts w:ascii="Calibri" w:hAnsi="Calibri" w:cs="Calibri"/>
                        <w:color w:val="000000"/>
                        <w:sz w:val="20"/>
                      </w:rPr>
                      <w:t>Official</w:t>
                    </w:r>
                  </w:p>
                </w:txbxContent>
              </v:textbox>
              <w10:wrap anchorx="page" anchory="page"/>
            </v:shape>
          </w:pict>
        </mc:Fallback>
      </mc:AlternateContent>
    </w:r>
    <w:r w:rsidR="00527B83">
      <w:rPr>
        <w:noProof/>
      </w:rPr>
      <mc:AlternateContent>
        <mc:Choice Requires="wps">
          <w:drawing>
            <wp:anchor distT="0" distB="0" distL="114300" distR="114300" simplePos="0" relativeHeight="251658243" behindDoc="0" locked="0" layoutInCell="0" allowOverlap="1" wp14:anchorId="120A87FE" wp14:editId="6C9152B8">
              <wp:simplePos x="0" y="0"/>
              <wp:positionH relativeFrom="page">
                <wp:align>left</wp:align>
              </wp:positionH>
              <wp:positionV relativeFrom="page">
                <wp:align>bottom</wp:align>
              </wp:positionV>
              <wp:extent cx="7772400" cy="463550"/>
              <wp:effectExtent l="0" t="0" r="0" b="12700"/>
              <wp:wrapNone/>
              <wp:docPr id="7" name="Text Box 7" descr="{&quot;HashCode&quot;:155956639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1C2C15" w14:textId="692D5755" w:rsidR="00527B83" w:rsidRPr="002F5A8D" w:rsidRDefault="002F5A8D" w:rsidP="002F5A8D">
                          <w:pPr>
                            <w:spacing w:before="0" w:after="0"/>
                            <w:rPr>
                              <w:rFonts w:ascii="Calibri" w:hAnsi="Calibri" w:cs="Calibri"/>
                              <w:color w:val="000000"/>
                              <w:sz w:val="20"/>
                            </w:rPr>
                          </w:pPr>
                          <w:r w:rsidRPr="002F5A8D">
                            <w:rPr>
                              <w:rFonts w:ascii="Calibri" w:hAnsi="Calibri" w:cs="Calibri"/>
                              <w:color w:val="000000"/>
                              <w:sz w:val="2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120A87FE" id="Text Box 7" o:spid="_x0000_s1029" type="#_x0000_t202" alt="{&quot;HashCode&quot;:1559566398,&quot;Height&quot;:9999999.0,&quot;Width&quot;:9999999.0,&quot;Placement&quot;:&quot;Footer&quot;,&quot;Index&quot;:&quot;FirstPage&quot;,&quot;Section&quot;:1,&quot;Top&quot;:0.0,&quot;Left&quot;:0.0}" style="position:absolute;margin-left:0;margin-top:0;width:612pt;height:36.5pt;z-index:25165824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MYHAIAAC4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KbYY4dVCccz0HPvLd8rbCHDfPh&#10;hTmkGtvG9Q3PeEgNWAvOEiU1uJ9/s8d4ZAC9lLS4OiX1Pw7MCUr0N4PcTGaIRly2pKHgkvB5PJ2i&#10;shus5tA8AK7lGH+I5UmMsUEPonTQvOF6r2I5dDHDsWhJeXCD8hD6XcYPwsVqlcJwsSwLG7O1PCaP&#10;gEZwX7s35uyZgYDcPcGwX6x4R0Qf21OxOgSQKrEUIe4BPSOPS5nIO3+guPW/6ynq+s2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F/HsxgcAgAALgQAAA4AAAAAAAAAAAAAAAAALgIAAGRycy9lMm9Eb2MueG1sUEsBAi0AFAAG&#10;AAgAAAAhAP71jZvaAAAABQEAAA8AAAAAAAAAAAAAAAAAdgQAAGRycy9kb3ducmV2LnhtbFBLBQYA&#10;AAAABAAEAPMAAAB9BQAAAAA=&#10;" o:allowincell="f" filled="f" stroked="f" strokeweight=".5pt">
              <v:textbox inset="20pt,0,,0">
                <w:txbxContent>
                  <w:p w14:paraId="091C2C15" w14:textId="692D5755" w:rsidR="00527B83" w:rsidRPr="002F5A8D" w:rsidRDefault="002F5A8D" w:rsidP="002F5A8D">
                    <w:pPr>
                      <w:spacing w:before="0" w:after="0"/>
                      <w:rPr>
                        <w:rFonts w:ascii="Calibri" w:hAnsi="Calibri" w:cs="Calibri"/>
                        <w:color w:val="000000"/>
                        <w:sz w:val="20"/>
                      </w:rPr>
                    </w:pPr>
                    <w:r w:rsidRPr="002F5A8D">
                      <w:rPr>
                        <w:rFonts w:ascii="Calibri" w:hAnsi="Calibri" w:cs="Calibri"/>
                        <w:color w:val="000000"/>
                        <w:sz w:val="20"/>
                      </w:rPr>
                      <w:t>Official</w:t>
                    </w:r>
                  </w:p>
                </w:txbxContent>
              </v:textbox>
              <w10:wrap anchorx="page" anchory="page"/>
            </v:shape>
          </w:pict>
        </mc:Fallback>
      </mc:AlternateContent>
    </w:r>
    <w:r w:rsidR="00E85D7C">
      <w:rPr>
        <w:noProof/>
      </w:rPr>
      <mc:AlternateContent>
        <mc:Choice Requires="wps">
          <w:drawing>
            <wp:anchor distT="0" distB="0" distL="114300" distR="114300" simplePos="0" relativeHeight="251658242" behindDoc="0" locked="0" layoutInCell="0" allowOverlap="1" wp14:anchorId="3EB14936" wp14:editId="612879B6">
              <wp:simplePos x="0" y="0"/>
              <wp:positionH relativeFrom="page">
                <wp:align>left</wp:align>
              </wp:positionH>
              <wp:positionV relativeFrom="page">
                <wp:align>bottom</wp:align>
              </wp:positionV>
              <wp:extent cx="7772400" cy="463550"/>
              <wp:effectExtent l="0" t="0" r="0" b="12700"/>
              <wp:wrapNone/>
              <wp:docPr id="4" name="Text Box 4" descr="{&quot;HashCode&quot;:155956639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429063" w14:textId="320AF310" w:rsidR="00E85D7C" w:rsidRPr="00217637" w:rsidRDefault="00217637" w:rsidP="00217637">
                          <w:pPr>
                            <w:spacing w:before="0" w:after="0"/>
                            <w:rPr>
                              <w:rFonts w:ascii="Calibri" w:hAnsi="Calibri" w:cs="Calibri"/>
                              <w:color w:val="000000"/>
                              <w:sz w:val="20"/>
                            </w:rPr>
                          </w:pPr>
                          <w:r w:rsidRPr="00217637">
                            <w:rPr>
                              <w:rFonts w:ascii="Calibri" w:hAnsi="Calibri" w:cs="Calibri"/>
                              <w:color w:val="000000"/>
                              <w:sz w:val="2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3EB14936" id="Text Box 4" o:spid="_x0000_s1030" type="#_x0000_t202" alt="{&quot;HashCode&quot;:1559566398,&quot;Height&quot;:9999999.0,&quot;Width&quot;:9999999.0,&quot;Placement&quot;:&quot;Footer&quot;,&quot;Index&quot;:&quot;FirstPage&quot;,&quot;Section&quot;:1,&quot;Top&quot;:0.0,&quot;Left&quot;:0.0}" style="position:absolute;margin-left:0;margin-top:0;width:612pt;height:36.5pt;z-index:25165824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BWGw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XUxzLGF6kjjIZyY906uGuphLXx4&#10;FkhUU9u0vuGJDm2AasFZ4qwG/Pk3e4wnBsjLWUerU3L/Yy9QcWa+WeJmMiM04rIljQRMwufxdErK&#10;drDafXsPtJZj+iFOJjHGBjOIGqF9pfVexnLkElZS0ZLLgINyH067TB9EquUyhdFiORHWduNkTB4B&#10;jeC+9K8C3ZmBQNw9wrBfonhDxCn2RMVyH0A3iaUI8QnQM/K0lIm88weKW/+7nqKu33zxCw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yxZwVhsCAAAuBAAADgAAAAAAAAAAAAAAAAAuAgAAZHJzL2Uyb0RvYy54bWxQSwECLQAUAAYA&#10;CAAAACEA/vWNm9oAAAAFAQAADwAAAAAAAAAAAAAAAAB1BAAAZHJzL2Rvd25yZXYueG1sUEsFBgAA&#10;AAAEAAQA8wAAAHwFAAAAAA==&#10;" o:allowincell="f" filled="f" stroked="f" strokeweight=".5pt">
              <v:textbox inset="20pt,0,,0">
                <w:txbxContent>
                  <w:p w14:paraId="08429063" w14:textId="320AF310" w:rsidR="00E85D7C" w:rsidRPr="00217637" w:rsidRDefault="00217637" w:rsidP="00217637">
                    <w:pPr>
                      <w:spacing w:before="0" w:after="0"/>
                      <w:rPr>
                        <w:rFonts w:ascii="Calibri" w:hAnsi="Calibri" w:cs="Calibri"/>
                        <w:color w:val="000000"/>
                        <w:sz w:val="20"/>
                      </w:rPr>
                    </w:pPr>
                    <w:r w:rsidRPr="00217637">
                      <w:rPr>
                        <w:rFonts w:ascii="Calibri" w:hAnsi="Calibri" w:cs="Calibri"/>
                        <w:color w:val="000000"/>
                        <w:sz w:val="20"/>
                      </w:rPr>
                      <w:t>Official</w:t>
                    </w:r>
                  </w:p>
                </w:txbxContent>
              </v:textbox>
              <w10:wrap anchorx="page" anchory="page"/>
            </v:shape>
          </w:pict>
        </mc:Fallback>
      </mc:AlternateContent>
    </w:r>
    <w:r w:rsidR="006665AA">
      <w:rPr>
        <w:noProof/>
      </w:rPr>
      <mc:AlternateContent>
        <mc:Choice Requires="wps">
          <w:drawing>
            <wp:anchor distT="0" distB="0" distL="114300" distR="114300" simplePos="0" relativeHeight="251658241" behindDoc="0" locked="0" layoutInCell="0" allowOverlap="1" wp14:anchorId="27EBDF4D" wp14:editId="040F4C35">
              <wp:simplePos x="0" y="0"/>
              <wp:positionH relativeFrom="page">
                <wp:align>left</wp:align>
              </wp:positionH>
              <wp:positionV relativeFrom="page">
                <wp:align>bottom</wp:align>
              </wp:positionV>
              <wp:extent cx="7772400" cy="463550"/>
              <wp:effectExtent l="0" t="0" r="0" b="12700"/>
              <wp:wrapNone/>
              <wp:docPr id="2" name="Text Box 2" descr="{&quot;HashCode&quot;:155956639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07CF38" w14:textId="13885ABB" w:rsidR="006665AA" w:rsidRPr="00967E58" w:rsidRDefault="00967E58" w:rsidP="00967E58">
                          <w:pPr>
                            <w:spacing w:before="0" w:after="0"/>
                            <w:rPr>
                              <w:rFonts w:ascii="Calibri" w:hAnsi="Calibri" w:cs="Calibri"/>
                              <w:color w:val="000000"/>
                              <w:sz w:val="20"/>
                            </w:rPr>
                          </w:pPr>
                          <w:r w:rsidRPr="00967E58">
                            <w:rPr>
                              <w:rFonts w:ascii="Calibri" w:hAnsi="Calibri" w:cs="Calibri"/>
                              <w:color w:val="000000"/>
                              <w:sz w:val="2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27EBDF4D" id="Text Box 2" o:spid="_x0000_s1031" type="#_x0000_t202" alt="{&quot;HashCode&quot;:1559566398,&quot;Height&quot;:9999999.0,&quot;Width&quot;:9999999.0,&quot;Placement&quot;:&quot;Footer&quot;,&quot;Index&quot;:&quot;FirstPage&quot;,&quot;Section&quot;:1,&quot;Top&quot;:0.0,&quot;Left&quot;:0.0}" style="position:absolute;margin-left:0;margin-top:0;width:612pt;height:36.5pt;z-index:25165824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DF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lnwxxbqI40HsKJee/kqqEe1sKH&#10;Z4FENbVN6xue6NAGqBacJc5qwJ9/s8d4YoC8nHW0OiX3P/YCFWfmmyVuJjNCIy5b0kjAJHweT6ek&#10;bAer3bf3QGs5ph/iZBJjbDCDqBHaV1rvZSxHLmElFS25DDgo9+G0y/RBpFouUxgtlhNhbTdOxuQR&#10;0AjuS/8q0J0ZCMTdIwz7JYo3RJxiT1Qs9wF0k1iKEJ8APSNPS5nIO3+guPW/6ynq+s0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KFSEMUcAgAALgQAAA4AAAAAAAAAAAAAAAAALgIAAGRycy9lMm9Eb2MueG1sUEsBAi0AFAAG&#10;AAgAAAAhAP71jZvaAAAABQEAAA8AAAAAAAAAAAAAAAAAdgQAAGRycy9kb3ducmV2LnhtbFBLBQYA&#10;AAAABAAEAPMAAAB9BQAAAAA=&#10;" o:allowincell="f" filled="f" stroked="f" strokeweight=".5pt">
              <v:textbox inset="20pt,0,,0">
                <w:txbxContent>
                  <w:p w14:paraId="3007CF38" w14:textId="13885ABB" w:rsidR="006665AA" w:rsidRPr="00967E58" w:rsidRDefault="00967E58" w:rsidP="00967E58">
                    <w:pPr>
                      <w:spacing w:before="0" w:after="0"/>
                      <w:rPr>
                        <w:rFonts w:ascii="Calibri" w:hAnsi="Calibri" w:cs="Calibri"/>
                        <w:color w:val="000000"/>
                        <w:sz w:val="20"/>
                      </w:rPr>
                    </w:pPr>
                    <w:r w:rsidRPr="00967E58">
                      <w:rPr>
                        <w:rFonts w:ascii="Calibri" w:hAnsi="Calibri" w:cs="Calibri"/>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062D0" w14:textId="77777777" w:rsidR="0049392D" w:rsidRDefault="0049392D" w:rsidP="005C306E">
      <w:pPr>
        <w:spacing w:before="0" w:after="0" w:line="240" w:lineRule="auto"/>
      </w:pPr>
      <w:r>
        <w:separator/>
      </w:r>
    </w:p>
    <w:p w14:paraId="1B1B9045" w14:textId="77777777" w:rsidR="0049392D" w:rsidRDefault="0049392D"/>
    <w:p w14:paraId="0B7A5E38" w14:textId="77777777" w:rsidR="0049392D" w:rsidRDefault="0049392D"/>
  </w:footnote>
  <w:footnote w:type="continuationSeparator" w:id="0">
    <w:p w14:paraId="0DED87A8" w14:textId="77777777" w:rsidR="0049392D" w:rsidRDefault="0049392D" w:rsidP="005C306E">
      <w:pPr>
        <w:spacing w:before="0" w:after="0" w:line="240" w:lineRule="auto"/>
      </w:pPr>
      <w:r>
        <w:continuationSeparator/>
      </w:r>
    </w:p>
    <w:p w14:paraId="6C79F266" w14:textId="77777777" w:rsidR="0049392D" w:rsidRDefault="0049392D"/>
    <w:p w14:paraId="1D552001" w14:textId="77777777" w:rsidR="0049392D" w:rsidRDefault="0049392D"/>
  </w:footnote>
  <w:footnote w:type="continuationNotice" w:id="1">
    <w:p w14:paraId="1824F78A" w14:textId="77777777" w:rsidR="0049392D" w:rsidRDefault="0049392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81957" w14:textId="77777777" w:rsidR="00FC7073" w:rsidRDefault="00FC70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94C9F" w14:textId="504B11D3" w:rsidR="00C212D9" w:rsidRDefault="00C212D9">
    <w:pPr>
      <w:pStyle w:val="Header"/>
    </w:pPr>
    <w:r>
      <w:rPr>
        <w:noProof/>
        <w:lang w:eastAsia="en-AU"/>
      </w:rPr>
      <w:drawing>
        <wp:anchor distT="0" distB="0" distL="114300" distR="114300" simplePos="0" relativeHeight="251658240" behindDoc="0" locked="0" layoutInCell="1" allowOverlap="1" wp14:anchorId="3EFD6929" wp14:editId="73C4CD87">
          <wp:simplePos x="0" y="0"/>
          <wp:positionH relativeFrom="margin">
            <wp:align>right</wp:align>
          </wp:positionH>
          <wp:positionV relativeFrom="page">
            <wp:posOffset>385445</wp:posOffset>
          </wp:positionV>
          <wp:extent cx="1285200" cy="396000"/>
          <wp:effectExtent l="0" t="0" r="0" b="4445"/>
          <wp:wrapTopAndBottom/>
          <wp:docPr id="1728270347" name="Picture 1728270347"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fish&#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5200" cy="39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4B059" w14:textId="77777777" w:rsidR="00FC7073" w:rsidRDefault="00FC70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882069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A52624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578C9"/>
    <w:multiLevelType w:val="singleLevel"/>
    <w:tmpl w:val="1A2EDE14"/>
    <w:lvl w:ilvl="0">
      <w:start w:val="1"/>
      <w:numFmt w:val="bullet"/>
      <w:pStyle w:val="ListBulletTable"/>
      <w:lvlText w:val=""/>
      <w:lvlJc w:val="left"/>
      <w:pPr>
        <w:tabs>
          <w:tab w:val="left" w:pos="284"/>
        </w:tabs>
        <w:ind w:left="284" w:hanging="284"/>
      </w:pPr>
      <w:rPr>
        <w:rFonts w:ascii="Symbol" w:hAnsi="Symbol" w:hint="default"/>
        <w:b w:val="0"/>
        <w:i w:val="0"/>
        <w:sz w:val="16"/>
        <w:szCs w:val="16"/>
      </w:rPr>
    </w:lvl>
  </w:abstractNum>
  <w:abstractNum w:abstractNumId="3" w15:restartNumberingAfterBreak="0">
    <w:nsid w:val="0BE03FAE"/>
    <w:multiLevelType w:val="multilevel"/>
    <w:tmpl w:val="5B2CFF9E"/>
    <w:styleLink w:val="111111"/>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FDB73B5"/>
    <w:multiLevelType w:val="hybridMultilevel"/>
    <w:tmpl w:val="64707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1E147C"/>
    <w:multiLevelType w:val="hybridMultilevel"/>
    <w:tmpl w:val="FFFFFFFF"/>
    <w:lvl w:ilvl="0" w:tplc="44D02EBC">
      <w:start w:val="1"/>
      <w:numFmt w:val="bullet"/>
      <w:lvlText w:val=""/>
      <w:lvlJc w:val="left"/>
      <w:pPr>
        <w:ind w:left="417" w:hanging="360"/>
      </w:pPr>
      <w:rPr>
        <w:rFonts w:ascii="Symbol" w:hAnsi="Symbol" w:hint="default"/>
      </w:rPr>
    </w:lvl>
    <w:lvl w:ilvl="1" w:tplc="6A801090">
      <w:start w:val="1"/>
      <w:numFmt w:val="bullet"/>
      <w:lvlText w:val="o"/>
      <w:lvlJc w:val="left"/>
      <w:pPr>
        <w:ind w:left="1137" w:hanging="360"/>
      </w:pPr>
      <w:rPr>
        <w:rFonts w:ascii="Courier New" w:hAnsi="Courier New" w:hint="default"/>
      </w:rPr>
    </w:lvl>
    <w:lvl w:ilvl="2" w:tplc="B220F918">
      <w:start w:val="1"/>
      <w:numFmt w:val="bullet"/>
      <w:lvlText w:val=""/>
      <w:lvlJc w:val="left"/>
      <w:pPr>
        <w:ind w:left="1857" w:hanging="360"/>
      </w:pPr>
      <w:rPr>
        <w:rFonts w:ascii="Wingdings" w:hAnsi="Wingdings" w:hint="default"/>
      </w:rPr>
    </w:lvl>
    <w:lvl w:ilvl="3" w:tplc="AB8209C4">
      <w:start w:val="1"/>
      <w:numFmt w:val="bullet"/>
      <w:lvlText w:val=""/>
      <w:lvlJc w:val="left"/>
      <w:pPr>
        <w:ind w:left="2577" w:hanging="360"/>
      </w:pPr>
      <w:rPr>
        <w:rFonts w:ascii="Symbol" w:hAnsi="Symbol" w:hint="default"/>
      </w:rPr>
    </w:lvl>
    <w:lvl w:ilvl="4" w:tplc="03762F52">
      <w:start w:val="1"/>
      <w:numFmt w:val="bullet"/>
      <w:lvlText w:val="o"/>
      <w:lvlJc w:val="left"/>
      <w:pPr>
        <w:ind w:left="3297" w:hanging="360"/>
      </w:pPr>
      <w:rPr>
        <w:rFonts w:ascii="Courier New" w:hAnsi="Courier New" w:hint="default"/>
      </w:rPr>
    </w:lvl>
    <w:lvl w:ilvl="5" w:tplc="E29E520C">
      <w:start w:val="1"/>
      <w:numFmt w:val="bullet"/>
      <w:lvlText w:val=""/>
      <w:lvlJc w:val="left"/>
      <w:pPr>
        <w:ind w:left="4017" w:hanging="360"/>
      </w:pPr>
      <w:rPr>
        <w:rFonts w:ascii="Wingdings" w:hAnsi="Wingdings" w:hint="default"/>
      </w:rPr>
    </w:lvl>
    <w:lvl w:ilvl="6" w:tplc="1102FAA0">
      <w:start w:val="1"/>
      <w:numFmt w:val="bullet"/>
      <w:lvlText w:val=""/>
      <w:lvlJc w:val="left"/>
      <w:pPr>
        <w:ind w:left="4737" w:hanging="360"/>
      </w:pPr>
      <w:rPr>
        <w:rFonts w:ascii="Symbol" w:hAnsi="Symbol" w:hint="default"/>
      </w:rPr>
    </w:lvl>
    <w:lvl w:ilvl="7" w:tplc="78EC965A">
      <w:start w:val="1"/>
      <w:numFmt w:val="bullet"/>
      <w:lvlText w:val="o"/>
      <w:lvlJc w:val="left"/>
      <w:pPr>
        <w:ind w:left="5457" w:hanging="360"/>
      </w:pPr>
      <w:rPr>
        <w:rFonts w:ascii="Courier New" w:hAnsi="Courier New" w:hint="default"/>
      </w:rPr>
    </w:lvl>
    <w:lvl w:ilvl="8" w:tplc="9DBEED32">
      <w:start w:val="1"/>
      <w:numFmt w:val="bullet"/>
      <w:lvlText w:val=""/>
      <w:lvlJc w:val="left"/>
      <w:pPr>
        <w:ind w:left="6177" w:hanging="360"/>
      </w:pPr>
      <w:rPr>
        <w:rFonts w:ascii="Wingdings" w:hAnsi="Wingdings" w:hint="default"/>
      </w:rPr>
    </w:lvl>
  </w:abstractNum>
  <w:abstractNum w:abstractNumId="6" w15:restartNumberingAfterBreak="0">
    <w:nsid w:val="17F8486B"/>
    <w:multiLevelType w:val="multilevel"/>
    <w:tmpl w:val="557CE42A"/>
    <w:styleLink w:val="AlphaLists"/>
    <w:lvl w:ilvl="0">
      <w:start w:val="1"/>
      <w:numFmt w:val="lowerLetter"/>
      <w:pStyle w:val="AlphaList"/>
      <w:lvlText w:val="(%1)"/>
      <w:lvlJc w:val="left"/>
      <w:pPr>
        <w:ind w:left="360" w:hanging="360"/>
      </w:pPr>
      <w:rPr>
        <w:rFonts w:hint="default"/>
      </w:rPr>
    </w:lvl>
    <w:lvl w:ilvl="1">
      <w:start w:val="1"/>
      <w:numFmt w:val="lowerRoman"/>
      <w:pStyle w:val="AlphaList2"/>
      <w:lvlText w:val="(%2)"/>
      <w:lvlJc w:val="left"/>
      <w:pPr>
        <w:ind w:left="720" w:hanging="360"/>
      </w:pPr>
      <w:rPr>
        <w:rFonts w:hint="default"/>
      </w:rPr>
    </w:lvl>
    <w:lvl w:ilvl="2">
      <w:start w:val="1"/>
      <w:numFmt w:val="upperLetter"/>
      <w:pStyle w:val="AlphaList3"/>
      <w:lvlText w:val="(%3)"/>
      <w:lvlJc w:val="left"/>
      <w:pPr>
        <w:ind w:left="1080" w:hanging="36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9440A1E"/>
    <w:multiLevelType w:val="multilevel"/>
    <w:tmpl w:val="2B9A0558"/>
    <w:styleLink w:val="AppendixList"/>
    <w:lvl w:ilvl="0">
      <w:start w:val="1"/>
      <w:numFmt w:val="upperLetter"/>
      <w:pStyle w:val="Heading8"/>
      <w:suff w:val="space"/>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1B27A00B"/>
    <w:multiLevelType w:val="hybridMultilevel"/>
    <w:tmpl w:val="FFFFFFFF"/>
    <w:lvl w:ilvl="0" w:tplc="833053EE">
      <w:start w:val="1"/>
      <w:numFmt w:val="bullet"/>
      <w:lvlText w:val=""/>
      <w:lvlJc w:val="left"/>
      <w:pPr>
        <w:ind w:left="360" w:hanging="360"/>
      </w:pPr>
      <w:rPr>
        <w:rFonts w:ascii="Symbol" w:hAnsi="Symbol" w:hint="default"/>
      </w:rPr>
    </w:lvl>
    <w:lvl w:ilvl="1" w:tplc="67A0D0C6">
      <w:start w:val="1"/>
      <w:numFmt w:val="bullet"/>
      <w:lvlText w:val="o"/>
      <w:lvlJc w:val="left"/>
      <w:pPr>
        <w:ind w:left="1080" w:hanging="360"/>
      </w:pPr>
      <w:rPr>
        <w:rFonts w:ascii="Courier New" w:hAnsi="Courier New" w:hint="default"/>
      </w:rPr>
    </w:lvl>
    <w:lvl w:ilvl="2" w:tplc="C41A961A">
      <w:start w:val="1"/>
      <w:numFmt w:val="bullet"/>
      <w:lvlText w:val=""/>
      <w:lvlJc w:val="left"/>
      <w:pPr>
        <w:ind w:left="1800" w:hanging="360"/>
      </w:pPr>
      <w:rPr>
        <w:rFonts w:ascii="Wingdings" w:hAnsi="Wingdings" w:hint="default"/>
      </w:rPr>
    </w:lvl>
    <w:lvl w:ilvl="3" w:tplc="CEDAF694">
      <w:start w:val="1"/>
      <w:numFmt w:val="bullet"/>
      <w:lvlText w:val=""/>
      <w:lvlJc w:val="left"/>
      <w:pPr>
        <w:ind w:left="2520" w:hanging="360"/>
      </w:pPr>
      <w:rPr>
        <w:rFonts w:ascii="Symbol" w:hAnsi="Symbol" w:hint="default"/>
      </w:rPr>
    </w:lvl>
    <w:lvl w:ilvl="4" w:tplc="46103FC4">
      <w:start w:val="1"/>
      <w:numFmt w:val="bullet"/>
      <w:lvlText w:val="o"/>
      <w:lvlJc w:val="left"/>
      <w:pPr>
        <w:ind w:left="3240" w:hanging="360"/>
      </w:pPr>
      <w:rPr>
        <w:rFonts w:ascii="Courier New" w:hAnsi="Courier New" w:hint="default"/>
      </w:rPr>
    </w:lvl>
    <w:lvl w:ilvl="5" w:tplc="A52C375C">
      <w:start w:val="1"/>
      <w:numFmt w:val="bullet"/>
      <w:lvlText w:val=""/>
      <w:lvlJc w:val="left"/>
      <w:pPr>
        <w:ind w:left="3960" w:hanging="360"/>
      </w:pPr>
      <w:rPr>
        <w:rFonts w:ascii="Wingdings" w:hAnsi="Wingdings" w:hint="default"/>
      </w:rPr>
    </w:lvl>
    <w:lvl w:ilvl="6" w:tplc="188861E8">
      <w:start w:val="1"/>
      <w:numFmt w:val="bullet"/>
      <w:lvlText w:val=""/>
      <w:lvlJc w:val="left"/>
      <w:pPr>
        <w:ind w:left="4680" w:hanging="360"/>
      </w:pPr>
      <w:rPr>
        <w:rFonts w:ascii="Symbol" w:hAnsi="Symbol" w:hint="default"/>
      </w:rPr>
    </w:lvl>
    <w:lvl w:ilvl="7" w:tplc="99421DB6">
      <w:start w:val="1"/>
      <w:numFmt w:val="bullet"/>
      <w:lvlText w:val="o"/>
      <w:lvlJc w:val="left"/>
      <w:pPr>
        <w:ind w:left="5400" w:hanging="360"/>
      </w:pPr>
      <w:rPr>
        <w:rFonts w:ascii="Courier New" w:hAnsi="Courier New" w:hint="default"/>
      </w:rPr>
    </w:lvl>
    <w:lvl w:ilvl="8" w:tplc="16D8D75A">
      <w:start w:val="1"/>
      <w:numFmt w:val="bullet"/>
      <w:lvlText w:val=""/>
      <w:lvlJc w:val="left"/>
      <w:pPr>
        <w:ind w:left="6120" w:hanging="360"/>
      </w:pPr>
      <w:rPr>
        <w:rFonts w:ascii="Wingdings" w:hAnsi="Wingdings" w:hint="default"/>
      </w:rPr>
    </w:lvl>
  </w:abstractNum>
  <w:abstractNum w:abstractNumId="9" w15:restartNumberingAfterBreak="0">
    <w:nsid w:val="1FE07F68"/>
    <w:multiLevelType w:val="hybridMultilevel"/>
    <w:tmpl w:val="3F144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E127F1"/>
    <w:multiLevelType w:val="hybridMultilevel"/>
    <w:tmpl w:val="EBFE3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58568B"/>
    <w:multiLevelType w:val="multilevel"/>
    <w:tmpl w:val="BB0C53AC"/>
    <w:styleLink w:val="1ai"/>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upperLetter"/>
      <w:pStyle w:val="ListNumber4"/>
      <w:lvlText w:val="%4."/>
      <w:lvlJc w:val="left"/>
      <w:pPr>
        <w:ind w:left="1440" w:hanging="360"/>
      </w:pPr>
      <w:rPr>
        <w:rFonts w:hint="default"/>
      </w:rPr>
    </w:lvl>
    <w:lvl w:ilvl="4">
      <w:start w:val="1"/>
      <w:numFmt w:val="upperRoman"/>
      <w:pStyle w:val="ListNumber5"/>
      <w:lvlText w:val="(%5)"/>
      <w:lvlJc w:val="left"/>
      <w:pPr>
        <w:ind w:left="1800" w:hanging="36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3CA41282"/>
    <w:multiLevelType w:val="hybridMultilevel"/>
    <w:tmpl w:val="07FE127E"/>
    <w:styleLink w:val="BulletList"/>
    <w:lvl w:ilvl="0" w:tplc="FA2AB4F0">
      <w:start w:val="1"/>
      <w:numFmt w:val="bullet"/>
      <w:lvlText w:val=""/>
      <w:lvlJc w:val="left"/>
      <w:pPr>
        <w:tabs>
          <w:tab w:val="num" w:pos="360"/>
        </w:tabs>
        <w:ind w:left="360" w:hanging="360"/>
      </w:pPr>
      <w:rPr>
        <w:rFonts w:ascii="Symbol" w:hAnsi="Symbol" w:hint="default"/>
      </w:rPr>
    </w:lvl>
    <w:lvl w:ilvl="1" w:tplc="02CA65B0">
      <w:start w:val="1"/>
      <w:numFmt w:val="bullet"/>
      <w:lvlText w:val="-"/>
      <w:lvlJc w:val="left"/>
      <w:pPr>
        <w:ind w:left="720" w:hanging="363"/>
      </w:pPr>
      <w:rPr>
        <w:rFonts w:ascii="Arial" w:hAnsi="Arial" w:hint="default"/>
      </w:rPr>
    </w:lvl>
    <w:lvl w:ilvl="2" w:tplc="952C2F74">
      <w:start w:val="1"/>
      <w:numFmt w:val="bullet"/>
      <w:pStyle w:val="ListBullet3"/>
      <w:lvlText w:val="&gt;"/>
      <w:lvlJc w:val="left"/>
      <w:pPr>
        <w:tabs>
          <w:tab w:val="num" w:pos="720"/>
        </w:tabs>
        <w:ind w:left="1077" w:hanging="357"/>
      </w:pPr>
      <w:rPr>
        <w:rFonts w:ascii="Arial" w:hAnsi="Arial" w:hint="default"/>
      </w:rPr>
    </w:lvl>
    <w:lvl w:ilvl="3" w:tplc="FA4CF584">
      <w:start w:val="1"/>
      <w:numFmt w:val="bullet"/>
      <w:pStyle w:val="ListBullet4"/>
      <w:lvlText w:val="○"/>
      <w:lvlJc w:val="left"/>
      <w:pPr>
        <w:tabs>
          <w:tab w:val="num" w:pos="1440"/>
        </w:tabs>
        <w:ind w:left="1440" w:hanging="363"/>
      </w:pPr>
      <w:rPr>
        <w:rFonts w:ascii="Arial" w:hAnsi="Arial" w:hint="default"/>
      </w:rPr>
    </w:lvl>
    <w:lvl w:ilvl="4" w:tplc="4EEE821E">
      <w:start w:val="1"/>
      <w:numFmt w:val="bullet"/>
      <w:pStyle w:val="ListBullet5"/>
      <w:lvlText w:val="-"/>
      <w:lvlJc w:val="left"/>
      <w:pPr>
        <w:tabs>
          <w:tab w:val="num" w:pos="1797"/>
        </w:tabs>
        <w:ind w:left="1797" w:hanging="357"/>
      </w:pPr>
      <w:rPr>
        <w:rFonts w:ascii="Arial" w:hAnsi="Arial" w:hint="default"/>
      </w:rPr>
    </w:lvl>
    <w:lvl w:ilvl="5" w:tplc="FFFFFFFF">
      <w:start w:val="1"/>
      <w:numFmt w:val="bullet"/>
      <w:pStyle w:val="TableBullet1"/>
      <w:lvlText w:val=""/>
      <w:lvlJc w:val="left"/>
      <w:pPr>
        <w:tabs>
          <w:tab w:val="num" w:pos="284"/>
        </w:tabs>
        <w:ind w:left="284" w:hanging="284"/>
      </w:pPr>
      <w:rPr>
        <w:rFonts w:ascii="Symbol" w:hAnsi="Symbol" w:hint="default"/>
      </w:rPr>
    </w:lvl>
    <w:lvl w:ilvl="6" w:tplc="E174B1A6">
      <w:start w:val="1"/>
      <w:numFmt w:val="bullet"/>
      <w:pStyle w:val="TableBullet2"/>
      <w:lvlText w:val="-"/>
      <w:lvlJc w:val="left"/>
      <w:pPr>
        <w:tabs>
          <w:tab w:val="num" w:pos="567"/>
        </w:tabs>
        <w:ind w:left="567" w:hanging="283"/>
      </w:pPr>
      <w:rPr>
        <w:rFonts w:ascii="Arial" w:hAnsi="Arial" w:hint="default"/>
      </w:rPr>
    </w:lvl>
    <w:lvl w:ilvl="7" w:tplc="DBA025BA">
      <w:start w:val="1"/>
      <w:numFmt w:val="bullet"/>
      <w:pStyle w:val="TableBullet3"/>
      <w:lvlText w:val="&gt;"/>
      <w:lvlJc w:val="left"/>
      <w:pPr>
        <w:tabs>
          <w:tab w:val="num" w:pos="851"/>
        </w:tabs>
        <w:ind w:left="851" w:hanging="284"/>
      </w:pPr>
      <w:rPr>
        <w:rFonts w:ascii="Arial" w:hAnsi="Arial" w:hint="default"/>
      </w:rPr>
    </w:lvl>
    <w:lvl w:ilvl="8" w:tplc="BBB0D0C4">
      <w:start w:val="1"/>
      <w:numFmt w:val="decimal"/>
      <w:suff w:val="nothing"/>
      <w:lvlText w:val=""/>
      <w:lvlJc w:val="left"/>
      <w:pPr>
        <w:ind w:left="0" w:firstLine="0"/>
      </w:pPr>
    </w:lvl>
  </w:abstractNum>
  <w:abstractNum w:abstractNumId="13" w15:restartNumberingAfterBreak="0">
    <w:nsid w:val="3ED9EA58"/>
    <w:multiLevelType w:val="hybridMultilevel"/>
    <w:tmpl w:val="FFFFFFFF"/>
    <w:lvl w:ilvl="0" w:tplc="F5E042A4">
      <w:start w:val="1"/>
      <w:numFmt w:val="bullet"/>
      <w:lvlText w:val=""/>
      <w:lvlJc w:val="left"/>
      <w:pPr>
        <w:ind w:left="360" w:hanging="360"/>
      </w:pPr>
      <w:rPr>
        <w:rFonts w:ascii="Symbol" w:hAnsi="Symbol" w:hint="default"/>
      </w:rPr>
    </w:lvl>
    <w:lvl w:ilvl="1" w:tplc="23A2728A">
      <w:start w:val="1"/>
      <w:numFmt w:val="bullet"/>
      <w:lvlText w:val="o"/>
      <w:lvlJc w:val="left"/>
      <w:pPr>
        <w:ind w:left="1080" w:hanging="360"/>
      </w:pPr>
      <w:rPr>
        <w:rFonts w:ascii="Courier New" w:hAnsi="Courier New" w:hint="default"/>
      </w:rPr>
    </w:lvl>
    <w:lvl w:ilvl="2" w:tplc="8A1A9908">
      <w:start w:val="1"/>
      <w:numFmt w:val="bullet"/>
      <w:lvlText w:val=""/>
      <w:lvlJc w:val="left"/>
      <w:pPr>
        <w:ind w:left="1800" w:hanging="360"/>
      </w:pPr>
      <w:rPr>
        <w:rFonts w:ascii="Wingdings" w:hAnsi="Wingdings" w:hint="default"/>
      </w:rPr>
    </w:lvl>
    <w:lvl w:ilvl="3" w:tplc="5E1CC1BA">
      <w:start w:val="1"/>
      <w:numFmt w:val="bullet"/>
      <w:lvlText w:val=""/>
      <w:lvlJc w:val="left"/>
      <w:pPr>
        <w:ind w:left="2520" w:hanging="360"/>
      </w:pPr>
      <w:rPr>
        <w:rFonts w:ascii="Symbol" w:hAnsi="Symbol" w:hint="default"/>
      </w:rPr>
    </w:lvl>
    <w:lvl w:ilvl="4" w:tplc="B7EA3BBA">
      <w:start w:val="1"/>
      <w:numFmt w:val="bullet"/>
      <w:lvlText w:val="o"/>
      <w:lvlJc w:val="left"/>
      <w:pPr>
        <w:ind w:left="3240" w:hanging="360"/>
      </w:pPr>
      <w:rPr>
        <w:rFonts w:ascii="Courier New" w:hAnsi="Courier New" w:hint="default"/>
      </w:rPr>
    </w:lvl>
    <w:lvl w:ilvl="5" w:tplc="AD16BBB8">
      <w:start w:val="1"/>
      <w:numFmt w:val="bullet"/>
      <w:lvlText w:val=""/>
      <w:lvlJc w:val="left"/>
      <w:pPr>
        <w:ind w:left="3960" w:hanging="360"/>
      </w:pPr>
      <w:rPr>
        <w:rFonts w:ascii="Wingdings" w:hAnsi="Wingdings" w:hint="default"/>
      </w:rPr>
    </w:lvl>
    <w:lvl w:ilvl="6" w:tplc="0D84D9CA">
      <w:start w:val="1"/>
      <w:numFmt w:val="bullet"/>
      <w:lvlText w:val=""/>
      <w:lvlJc w:val="left"/>
      <w:pPr>
        <w:ind w:left="4680" w:hanging="360"/>
      </w:pPr>
      <w:rPr>
        <w:rFonts w:ascii="Symbol" w:hAnsi="Symbol" w:hint="default"/>
      </w:rPr>
    </w:lvl>
    <w:lvl w:ilvl="7" w:tplc="9D900B52">
      <w:start w:val="1"/>
      <w:numFmt w:val="bullet"/>
      <w:lvlText w:val="o"/>
      <w:lvlJc w:val="left"/>
      <w:pPr>
        <w:ind w:left="5400" w:hanging="360"/>
      </w:pPr>
      <w:rPr>
        <w:rFonts w:ascii="Courier New" w:hAnsi="Courier New" w:hint="default"/>
      </w:rPr>
    </w:lvl>
    <w:lvl w:ilvl="8" w:tplc="A0509752">
      <w:start w:val="1"/>
      <w:numFmt w:val="bullet"/>
      <w:lvlText w:val=""/>
      <w:lvlJc w:val="left"/>
      <w:pPr>
        <w:ind w:left="6120" w:hanging="360"/>
      </w:pPr>
      <w:rPr>
        <w:rFonts w:ascii="Wingdings" w:hAnsi="Wingdings" w:hint="default"/>
      </w:rPr>
    </w:lvl>
  </w:abstractNum>
  <w:abstractNum w:abstractNumId="14" w15:restartNumberingAfterBreak="0">
    <w:nsid w:val="45D2518B"/>
    <w:multiLevelType w:val="hybridMultilevel"/>
    <w:tmpl w:val="25EE5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261EB4"/>
    <w:multiLevelType w:val="hybridMultilevel"/>
    <w:tmpl w:val="12D61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487971"/>
    <w:multiLevelType w:val="multilevel"/>
    <w:tmpl w:val="B478DFE6"/>
    <w:styleLink w:val="AERnumberedlist"/>
    <w:lvl w:ilvl="0">
      <w:start w:val="1"/>
      <w:numFmt w:val="none"/>
      <w:pStyle w:val="AERbodytext"/>
      <w:lvlText w:val="%1"/>
      <w:lvlJc w:val="left"/>
      <w:pPr>
        <w:tabs>
          <w:tab w:val="num" w:pos="0"/>
        </w:tabs>
        <w:ind w:left="0" w:firstLine="0"/>
      </w:pPr>
    </w:lvl>
    <w:lvl w:ilvl="1">
      <w:start w:val="1"/>
      <w:numFmt w:val="decimal"/>
      <w:pStyle w:val="AERnumberedlistfirststyle"/>
      <w:lvlText w:val="%2."/>
      <w:lvlJc w:val="left"/>
      <w:pPr>
        <w:tabs>
          <w:tab w:val="num" w:pos="357"/>
        </w:tabs>
        <w:ind w:left="357" w:hanging="357"/>
      </w:pPr>
    </w:lvl>
    <w:lvl w:ilvl="2">
      <w:start w:val="1"/>
      <w:numFmt w:val="lowerLetter"/>
      <w:pStyle w:val="AERnumberedlistsecondstyle"/>
      <w:lvlText w:val="%3."/>
      <w:lvlJc w:val="left"/>
      <w:pPr>
        <w:tabs>
          <w:tab w:val="num" w:pos="720"/>
        </w:tabs>
        <w:ind w:left="720" w:hanging="363"/>
      </w:pPr>
    </w:lvl>
    <w:lvl w:ilvl="3">
      <w:start w:val="1"/>
      <w:numFmt w:val="lowerRoman"/>
      <w:pStyle w:val="AERnumberedlistthirdstyle"/>
      <w:lvlText w:val="%4."/>
      <w:lvlJc w:val="left"/>
      <w:pPr>
        <w:tabs>
          <w:tab w:val="num" w:pos="1077"/>
        </w:tabs>
        <w:ind w:left="1077" w:hanging="357"/>
      </w:pPr>
    </w:lvl>
    <w:lvl w:ilvl="4">
      <w:start w:val="1"/>
      <w:numFmt w:val="decimal"/>
      <w:lvlRestart w:val="1"/>
      <w:pStyle w:val="AERnumberedlist2first"/>
      <w:lvlText w:val="(%5)"/>
      <w:lvlJc w:val="left"/>
      <w:pPr>
        <w:tabs>
          <w:tab w:val="num" w:pos="357"/>
        </w:tabs>
        <w:ind w:left="357" w:hanging="357"/>
      </w:pPr>
    </w:lvl>
    <w:lvl w:ilvl="5">
      <w:start w:val="1"/>
      <w:numFmt w:val="lowerLetter"/>
      <w:lvlRestart w:val="2"/>
      <w:pStyle w:val="AERnumberedlist2second"/>
      <w:lvlText w:val="(%6)"/>
      <w:lvlJc w:val="left"/>
      <w:pPr>
        <w:tabs>
          <w:tab w:val="num" w:pos="720"/>
        </w:tabs>
        <w:ind w:left="720" w:hanging="363"/>
      </w:pPr>
    </w:lvl>
    <w:lvl w:ilvl="6">
      <w:start w:val="1"/>
      <w:numFmt w:val="lowerRoman"/>
      <w:lvlRestart w:val="3"/>
      <w:pStyle w:val="AERnumberedlist2third"/>
      <w:lvlText w:val="(%7)"/>
      <w:lvlJc w:val="left"/>
      <w:pPr>
        <w:tabs>
          <w:tab w:val="num" w:pos="1077"/>
        </w:tabs>
        <w:ind w:left="1077" w:hanging="35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C35239D"/>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5DB0FC3B"/>
    <w:multiLevelType w:val="hybridMultilevel"/>
    <w:tmpl w:val="FFFFFFFF"/>
    <w:lvl w:ilvl="0" w:tplc="8BF49128">
      <w:start w:val="1"/>
      <w:numFmt w:val="bullet"/>
      <w:lvlText w:val=""/>
      <w:lvlJc w:val="left"/>
      <w:pPr>
        <w:ind w:left="360" w:hanging="360"/>
      </w:pPr>
      <w:rPr>
        <w:rFonts w:ascii="Symbol" w:hAnsi="Symbol" w:hint="default"/>
      </w:rPr>
    </w:lvl>
    <w:lvl w:ilvl="1" w:tplc="428A2348">
      <w:start w:val="1"/>
      <w:numFmt w:val="bullet"/>
      <w:lvlText w:val="o"/>
      <w:lvlJc w:val="left"/>
      <w:pPr>
        <w:ind w:left="1080" w:hanging="360"/>
      </w:pPr>
      <w:rPr>
        <w:rFonts w:ascii="Courier New" w:hAnsi="Courier New" w:hint="default"/>
      </w:rPr>
    </w:lvl>
    <w:lvl w:ilvl="2" w:tplc="FF424E92">
      <w:start w:val="1"/>
      <w:numFmt w:val="bullet"/>
      <w:lvlText w:val=""/>
      <w:lvlJc w:val="left"/>
      <w:pPr>
        <w:ind w:left="1800" w:hanging="360"/>
      </w:pPr>
      <w:rPr>
        <w:rFonts w:ascii="Wingdings" w:hAnsi="Wingdings" w:hint="default"/>
      </w:rPr>
    </w:lvl>
    <w:lvl w:ilvl="3" w:tplc="8F0E733E">
      <w:start w:val="1"/>
      <w:numFmt w:val="bullet"/>
      <w:lvlText w:val=""/>
      <w:lvlJc w:val="left"/>
      <w:pPr>
        <w:ind w:left="2520" w:hanging="360"/>
      </w:pPr>
      <w:rPr>
        <w:rFonts w:ascii="Symbol" w:hAnsi="Symbol" w:hint="default"/>
      </w:rPr>
    </w:lvl>
    <w:lvl w:ilvl="4" w:tplc="6B30B2F2">
      <w:start w:val="1"/>
      <w:numFmt w:val="bullet"/>
      <w:lvlText w:val="o"/>
      <w:lvlJc w:val="left"/>
      <w:pPr>
        <w:ind w:left="3240" w:hanging="360"/>
      </w:pPr>
      <w:rPr>
        <w:rFonts w:ascii="Courier New" w:hAnsi="Courier New" w:hint="default"/>
      </w:rPr>
    </w:lvl>
    <w:lvl w:ilvl="5" w:tplc="A5EE03C2">
      <w:start w:val="1"/>
      <w:numFmt w:val="bullet"/>
      <w:lvlText w:val=""/>
      <w:lvlJc w:val="left"/>
      <w:pPr>
        <w:ind w:left="3960" w:hanging="360"/>
      </w:pPr>
      <w:rPr>
        <w:rFonts w:ascii="Wingdings" w:hAnsi="Wingdings" w:hint="default"/>
      </w:rPr>
    </w:lvl>
    <w:lvl w:ilvl="6" w:tplc="A532FDA0">
      <w:start w:val="1"/>
      <w:numFmt w:val="bullet"/>
      <w:lvlText w:val=""/>
      <w:lvlJc w:val="left"/>
      <w:pPr>
        <w:ind w:left="4680" w:hanging="360"/>
      </w:pPr>
      <w:rPr>
        <w:rFonts w:ascii="Symbol" w:hAnsi="Symbol" w:hint="default"/>
      </w:rPr>
    </w:lvl>
    <w:lvl w:ilvl="7" w:tplc="684E1188">
      <w:start w:val="1"/>
      <w:numFmt w:val="bullet"/>
      <w:lvlText w:val="o"/>
      <w:lvlJc w:val="left"/>
      <w:pPr>
        <w:ind w:left="5400" w:hanging="360"/>
      </w:pPr>
      <w:rPr>
        <w:rFonts w:ascii="Courier New" w:hAnsi="Courier New" w:hint="default"/>
      </w:rPr>
    </w:lvl>
    <w:lvl w:ilvl="8" w:tplc="100CF04A">
      <w:start w:val="1"/>
      <w:numFmt w:val="bullet"/>
      <w:lvlText w:val=""/>
      <w:lvlJc w:val="left"/>
      <w:pPr>
        <w:ind w:left="6120" w:hanging="360"/>
      </w:pPr>
      <w:rPr>
        <w:rFonts w:ascii="Wingdings" w:hAnsi="Wingdings" w:hint="default"/>
      </w:rPr>
    </w:lvl>
  </w:abstractNum>
  <w:abstractNum w:abstractNumId="19" w15:restartNumberingAfterBreak="0">
    <w:nsid w:val="7E4E5797"/>
    <w:multiLevelType w:val="hybridMultilevel"/>
    <w:tmpl w:val="F18AC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43103339">
    <w:abstractNumId w:val="12"/>
  </w:num>
  <w:num w:numId="2" w16cid:durableId="385179404">
    <w:abstractNumId w:val="3"/>
  </w:num>
  <w:num w:numId="3" w16cid:durableId="945576304">
    <w:abstractNumId w:val="7"/>
  </w:num>
  <w:num w:numId="4" w16cid:durableId="14922550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7393137">
    <w:abstractNumId w:val="17"/>
  </w:num>
  <w:num w:numId="6" w16cid:durableId="904880006">
    <w:abstractNumId w:val="6"/>
  </w:num>
  <w:num w:numId="7" w16cid:durableId="1854955275">
    <w:abstractNumId w:val="11"/>
  </w:num>
  <w:num w:numId="8" w16cid:durableId="140657331">
    <w:abstractNumId w:val="1"/>
  </w:num>
  <w:num w:numId="9" w16cid:durableId="1962878840">
    <w:abstractNumId w:val="0"/>
  </w:num>
  <w:num w:numId="10" w16cid:durableId="1978871379">
    <w:abstractNumId w:val="16"/>
  </w:num>
  <w:num w:numId="11" w16cid:durableId="1405298106">
    <w:abstractNumId w:val="2"/>
  </w:num>
  <w:num w:numId="12" w16cid:durableId="672689075">
    <w:abstractNumId w:val="12"/>
  </w:num>
  <w:num w:numId="13" w16cid:durableId="1695880825">
    <w:abstractNumId w:val="12"/>
  </w:num>
  <w:num w:numId="14" w16cid:durableId="256377370">
    <w:abstractNumId w:val="14"/>
  </w:num>
  <w:num w:numId="15" w16cid:durableId="818379941">
    <w:abstractNumId w:val="13"/>
  </w:num>
  <w:num w:numId="16" w16cid:durableId="217786087">
    <w:abstractNumId w:val="5"/>
  </w:num>
  <w:num w:numId="17" w16cid:durableId="801846811">
    <w:abstractNumId w:val="8"/>
  </w:num>
  <w:num w:numId="18" w16cid:durableId="388847719">
    <w:abstractNumId w:val="18"/>
  </w:num>
  <w:num w:numId="19" w16cid:durableId="1595623505">
    <w:abstractNumId w:val="19"/>
  </w:num>
  <w:num w:numId="20" w16cid:durableId="173999985">
    <w:abstractNumId w:val="9"/>
  </w:num>
  <w:num w:numId="21" w16cid:durableId="687411334">
    <w:abstractNumId w:val="10"/>
  </w:num>
  <w:num w:numId="22" w16cid:durableId="1534659194">
    <w:abstractNumId w:val="4"/>
  </w:num>
  <w:num w:numId="23" w16cid:durableId="786119515">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ID" w:val="176650747_1"/>
    <w:docVar w:name="kwmDescription" w:val="20260212 PECR Confidentiality Claims Register - KWM"/>
  </w:docVars>
  <w:rsids>
    <w:rsidRoot w:val="00EF69AE"/>
    <w:rsid w:val="000002CA"/>
    <w:rsid w:val="0000072C"/>
    <w:rsid w:val="00000B37"/>
    <w:rsid w:val="00001108"/>
    <w:rsid w:val="00001280"/>
    <w:rsid w:val="00001389"/>
    <w:rsid w:val="00001907"/>
    <w:rsid w:val="00001A3F"/>
    <w:rsid w:val="00001B1C"/>
    <w:rsid w:val="0000212D"/>
    <w:rsid w:val="00002272"/>
    <w:rsid w:val="00002643"/>
    <w:rsid w:val="000029C7"/>
    <w:rsid w:val="00003031"/>
    <w:rsid w:val="00003AA9"/>
    <w:rsid w:val="00003AB8"/>
    <w:rsid w:val="00003BE1"/>
    <w:rsid w:val="00004030"/>
    <w:rsid w:val="00004BB7"/>
    <w:rsid w:val="00004BFA"/>
    <w:rsid w:val="00004C1C"/>
    <w:rsid w:val="00004E8A"/>
    <w:rsid w:val="0000555D"/>
    <w:rsid w:val="000057AE"/>
    <w:rsid w:val="00005CAC"/>
    <w:rsid w:val="00005CC7"/>
    <w:rsid w:val="00005DC0"/>
    <w:rsid w:val="00005F7C"/>
    <w:rsid w:val="00006250"/>
    <w:rsid w:val="00006D64"/>
    <w:rsid w:val="00006D79"/>
    <w:rsid w:val="00006E28"/>
    <w:rsid w:val="00006E65"/>
    <w:rsid w:val="000072E8"/>
    <w:rsid w:val="00007330"/>
    <w:rsid w:val="000075BE"/>
    <w:rsid w:val="00007A02"/>
    <w:rsid w:val="00007D32"/>
    <w:rsid w:val="000104DF"/>
    <w:rsid w:val="00010C46"/>
    <w:rsid w:val="00010E3E"/>
    <w:rsid w:val="00010EC9"/>
    <w:rsid w:val="000110F2"/>
    <w:rsid w:val="0001148B"/>
    <w:rsid w:val="00011B68"/>
    <w:rsid w:val="0001203C"/>
    <w:rsid w:val="0001208F"/>
    <w:rsid w:val="000120D2"/>
    <w:rsid w:val="00012181"/>
    <w:rsid w:val="00012340"/>
    <w:rsid w:val="000123E9"/>
    <w:rsid w:val="00012519"/>
    <w:rsid w:val="000125F4"/>
    <w:rsid w:val="0001283C"/>
    <w:rsid w:val="00012D23"/>
    <w:rsid w:val="00012D3E"/>
    <w:rsid w:val="00012DAE"/>
    <w:rsid w:val="00012E3C"/>
    <w:rsid w:val="0001311F"/>
    <w:rsid w:val="00013532"/>
    <w:rsid w:val="0001381A"/>
    <w:rsid w:val="0001398C"/>
    <w:rsid w:val="000139C8"/>
    <w:rsid w:val="00013D30"/>
    <w:rsid w:val="0001425F"/>
    <w:rsid w:val="00014383"/>
    <w:rsid w:val="0001455A"/>
    <w:rsid w:val="00014602"/>
    <w:rsid w:val="0001487E"/>
    <w:rsid w:val="00014899"/>
    <w:rsid w:val="00015821"/>
    <w:rsid w:val="0001599A"/>
    <w:rsid w:val="000161A3"/>
    <w:rsid w:val="00016596"/>
    <w:rsid w:val="00016692"/>
    <w:rsid w:val="00016C28"/>
    <w:rsid w:val="00016CD8"/>
    <w:rsid w:val="00016FC3"/>
    <w:rsid w:val="00017107"/>
    <w:rsid w:val="000178C0"/>
    <w:rsid w:val="00017B3F"/>
    <w:rsid w:val="00017C66"/>
    <w:rsid w:val="00017F39"/>
    <w:rsid w:val="0002011A"/>
    <w:rsid w:val="000202DC"/>
    <w:rsid w:val="00020556"/>
    <w:rsid w:val="0002088D"/>
    <w:rsid w:val="000208FE"/>
    <w:rsid w:val="00020A4A"/>
    <w:rsid w:val="00020E04"/>
    <w:rsid w:val="00020E4C"/>
    <w:rsid w:val="00020EE1"/>
    <w:rsid w:val="000217E7"/>
    <w:rsid w:val="00021898"/>
    <w:rsid w:val="00021939"/>
    <w:rsid w:val="00021A60"/>
    <w:rsid w:val="00021C12"/>
    <w:rsid w:val="0002202C"/>
    <w:rsid w:val="00022147"/>
    <w:rsid w:val="00022B55"/>
    <w:rsid w:val="000234CA"/>
    <w:rsid w:val="000235FF"/>
    <w:rsid w:val="00023825"/>
    <w:rsid w:val="00023BCA"/>
    <w:rsid w:val="00023C87"/>
    <w:rsid w:val="00023D4A"/>
    <w:rsid w:val="00023E89"/>
    <w:rsid w:val="00024365"/>
    <w:rsid w:val="000243B5"/>
    <w:rsid w:val="000244AF"/>
    <w:rsid w:val="00024504"/>
    <w:rsid w:val="000247A5"/>
    <w:rsid w:val="0002489D"/>
    <w:rsid w:val="0002489F"/>
    <w:rsid w:val="000249F0"/>
    <w:rsid w:val="00024C70"/>
    <w:rsid w:val="00024E3A"/>
    <w:rsid w:val="0002505C"/>
    <w:rsid w:val="00025635"/>
    <w:rsid w:val="00025918"/>
    <w:rsid w:val="0002599E"/>
    <w:rsid w:val="00025FAE"/>
    <w:rsid w:val="00026280"/>
    <w:rsid w:val="00026509"/>
    <w:rsid w:val="00026A30"/>
    <w:rsid w:val="00026DC7"/>
    <w:rsid w:val="00027158"/>
    <w:rsid w:val="0002752E"/>
    <w:rsid w:val="0002760E"/>
    <w:rsid w:val="000279A3"/>
    <w:rsid w:val="00027C48"/>
    <w:rsid w:val="000300E6"/>
    <w:rsid w:val="00030113"/>
    <w:rsid w:val="000305D7"/>
    <w:rsid w:val="0003062F"/>
    <w:rsid w:val="000308CD"/>
    <w:rsid w:val="00031269"/>
    <w:rsid w:val="00031292"/>
    <w:rsid w:val="00031490"/>
    <w:rsid w:val="0003149D"/>
    <w:rsid w:val="000315EE"/>
    <w:rsid w:val="00031A4E"/>
    <w:rsid w:val="00031C44"/>
    <w:rsid w:val="00031CB5"/>
    <w:rsid w:val="00031DEB"/>
    <w:rsid w:val="00031E49"/>
    <w:rsid w:val="00032406"/>
    <w:rsid w:val="0003256F"/>
    <w:rsid w:val="00032588"/>
    <w:rsid w:val="000325BF"/>
    <w:rsid w:val="0003299E"/>
    <w:rsid w:val="00032DE2"/>
    <w:rsid w:val="00032E4C"/>
    <w:rsid w:val="0003306A"/>
    <w:rsid w:val="00033264"/>
    <w:rsid w:val="00033500"/>
    <w:rsid w:val="000338D4"/>
    <w:rsid w:val="00033A2B"/>
    <w:rsid w:val="00033AD0"/>
    <w:rsid w:val="000340FA"/>
    <w:rsid w:val="000341F2"/>
    <w:rsid w:val="00034352"/>
    <w:rsid w:val="00034567"/>
    <w:rsid w:val="000345DB"/>
    <w:rsid w:val="0003492A"/>
    <w:rsid w:val="00034A08"/>
    <w:rsid w:val="00034D56"/>
    <w:rsid w:val="0003514C"/>
    <w:rsid w:val="000354CB"/>
    <w:rsid w:val="0003586C"/>
    <w:rsid w:val="00035DB3"/>
    <w:rsid w:val="000365E1"/>
    <w:rsid w:val="000365E3"/>
    <w:rsid w:val="00036AFE"/>
    <w:rsid w:val="00036AFF"/>
    <w:rsid w:val="00036C36"/>
    <w:rsid w:val="00036CEB"/>
    <w:rsid w:val="00036EBE"/>
    <w:rsid w:val="000370A8"/>
    <w:rsid w:val="000373BD"/>
    <w:rsid w:val="0003740C"/>
    <w:rsid w:val="00037D61"/>
    <w:rsid w:val="00037DB1"/>
    <w:rsid w:val="00040165"/>
    <w:rsid w:val="00040702"/>
    <w:rsid w:val="00040763"/>
    <w:rsid w:val="000408BA"/>
    <w:rsid w:val="00040955"/>
    <w:rsid w:val="00040A16"/>
    <w:rsid w:val="00040AD2"/>
    <w:rsid w:val="00041430"/>
    <w:rsid w:val="0004157F"/>
    <w:rsid w:val="000415CD"/>
    <w:rsid w:val="000419AC"/>
    <w:rsid w:val="00041A0F"/>
    <w:rsid w:val="00041D70"/>
    <w:rsid w:val="00041DBE"/>
    <w:rsid w:val="00041F34"/>
    <w:rsid w:val="0004211D"/>
    <w:rsid w:val="0004282A"/>
    <w:rsid w:val="0004288F"/>
    <w:rsid w:val="00042961"/>
    <w:rsid w:val="00042B5C"/>
    <w:rsid w:val="00042CA9"/>
    <w:rsid w:val="000432C5"/>
    <w:rsid w:val="00043397"/>
    <w:rsid w:val="00043488"/>
    <w:rsid w:val="00043931"/>
    <w:rsid w:val="00043A81"/>
    <w:rsid w:val="00043D85"/>
    <w:rsid w:val="0004441A"/>
    <w:rsid w:val="000444EB"/>
    <w:rsid w:val="00044526"/>
    <w:rsid w:val="00044608"/>
    <w:rsid w:val="00044889"/>
    <w:rsid w:val="000449E6"/>
    <w:rsid w:val="00044B70"/>
    <w:rsid w:val="00044C42"/>
    <w:rsid w:val="00044DC8"/>
    <w:rsid w:val="00045070"/>
    <w:rsid w:val="000452F2"/>
    <w:rsid w:val="000453BC"/>
    <w:rsid w:val="0004588B"/>
    <w:rsid w:val="000458BA"/>
    <w:rsid w:val="00045A86"/>
    <w:rsid w:val="00045F82"/>
    <w:rsid w:val="000462E8"/>
    <w:rsid w:val="000462FF"/>
    <w:rsid w:val="000463D9"/>
    <w:rsid w:val="00046A3C"/>
    <w:rsid w:val="00046AB5"/>
    <w:rsid w:val="00046C1B"/>
    <w:rsid w:val="00046E1B"/>
    <w:rsid w:val="000474AA"/>
    <w:rsid w:val="00047584"/>
    <w:rsid w:val="00047662"/>
    <w:rsid w:val="000476B4"/>
    <w:rsid w:val="000476F3"/>
    <w:rsid w:val="0004782B"/>
    <w:rsid w:val="00047C86"/>
    <w:rsid w:val="00047CAB"/>
    <w:rsid w:val="00047CB7"/>
    <w:rsid w:val="00047F52"/>
    <w:rsid w:val="0005032D"/>
    <w:rsid w:val="00050406"/>
    <w:rsid w:val="0005068D"/>
    <w:rsid w:val="000507A0"/>
    <w:rsid w:val="00050925"/>
    <w:rsid w:val="00052812"/>
    <w:rsid w:val="00053221"/>
    <w:rsid w:val="00053692"/>
    <w:rsid w:val="00053935"/>
    <w:rsid w:val="00053B37"/>
    <w:rsid w:val="00053F2A"/>
    <w:rsid w:val="00054499"/>
    <w:rsid w:val="000545A8"/>
    <w:rsid w:val="000545D3"/>
    <w:rsid w:val="00054C2D"/>
    <w:rsid w:val="00054D13"/>
    <w:rsid w:val="00054DC7"/>
    <w:rsid w:val="00055004"/>
    <w:rsid w:val="00055258"/>
    <w:rsid w:val="000552B8"/>
    <w:rsid w:val="0005554D"/>
    <w:rsid w:val="0005568C"/>
    <w:rsid w:val="000556CA"/>
    <w:rsid w:val="00055987"/>
    <w:rsid w:val="00055E9E"/>
    <w:rsid w:val="00055EDE"/>
    <w:rsid w:val="00056005"/>
    <w:rsid w:val="000561E6"/>
    <w:rsid w:val="00056210"/>
    <w:rsid w:val="00056BF0"/>
    <w:rsid w:val="00056E2C"/>
    <w:rsid w:val="00056E7C"/>
    <w:rsid w:val="00057197"/>
    <w:rsid w:val="0005730F"/>
    <w:rsid w:val="00057399"/>
    <w:rsid w:val="0005764E"/>
    <w:rsid w:val="00057AD6"/>
    <w:rsid w:val="000601D3"/>
    <w:rsid w:val="0006031A"/>
    <w:rsid w:val="000603FA"/>
    <w:rsid w:val="000604D1"/>
    <w:rsid w:val="00060619"/>
    <w:rsid w:val="000609BE"/>
    <w:rsid w:val="00060B56"/>
    <w:rsid w:val="00060C11"/>
    <w:rsid w:val="00060DD9"/>
    <w:rsid w:val="00060E66"/>
    <w:rsid w:val="00060F6C"/>
    <w:rsid w:val="00060F82"/>
    <w:rsid w:val="00061640"/>
    <w:rsid w:val="00061915"/>
    <w:rsid w:val="00061A99"/>
    <w:rsid w:val="00061AAD"/>
    <w:rsid w:val="00061BEA"/>
    <w:rsid w:val="00061FFF"/>
    <w:rsid w:val="00062254"/>
    <w:rsid w:val="00062597"/>
    <w:rsid w:val="00062CA6"/>
    <w:rsid w:val="00062ED3"/>
    <w:rsid w:val="000631A5"/>
    <w:rsid w:val="00063257"/>
    <w:rsid w:val="00063A0F"/>
    <w:rsid w:val="00063A8E"/>
    <w:rsid w:val="000642A6"/>
    <w:rsid w:val="0006478B"/>
    <w:rsid w:val="00064C3F"/>
    <w:rsid w:val="00064DAA"/>
    <w:rsid w:val="00064E75"/>
    <w:rsid w:val="00064EDA"/>
    <w:rsid w:val="00064F2C"/>
    <w:rsid w:val="00064F38"/>
    <w:rsid w:val="00065073"/>
    <w:rsid w:val="00065286"/>
    <w:rsid w:val="0006562A"/>
    <w:rsid w:val="0006565C"/>
    <w:rsid w:val="00065D2C"/>
    <w:rsid w:val="00065E3C"/>
    <w:rsid w:val="00066248"/>
    <w:rsid w:val="00066314"/>
    <w:rsid w:val="000665FE"/>
    <w:rsid w:val="0006663E"/>
    <w:rsid w:val="00067015"/>
    <w:rsid w:val="000671E7"/>
    <w:rsid w:val="00067413"/>
    <w:rsid w:val="000674D0"/>
    <w:rsid w:val="0006767A"/>
    <w:rsid w:val="00067819"/>
    <w:rsid w:val="000679D6"/>
    <w:rsid w:val="00070684"/>
    <w:rsid w:val="0007146A"/>
    <w:rsid w:val="00071859"/>
    <w:rsid w:val="00071E65"/>
    <w:rsid w:val="0007200D"/>
    <w:rsid w:val="0007201D"/>
    <w:rsid w:val="00072042"/>
    <w:rsid w:val="000720E6"/>
    <w:rsid w:val="00072230"/>
    <w:rsid w:val="00072737"/>
    <w:rsid w:val="000729CB"/>
    <w:rsid w:val="00072F14"/>
    <w:rsid w:val="0007318B"/>
    <w:rsid w:val="000733DC"/>
    <w:rsid w:val="000739BE"/>
    <w:rsid w:val="0007433E"/>
    <w:rsid w:val="000745FB"/>
    <w:rsid w:val="000749AB"/>
    <w:rsid w:val="00074CE4"/>
    <w:rsid w:val="00074EE7"/>
    <w:rsid w:val="00075908"/>
    <w:rsid w:val="0007593F"/>
    <w:rsid w:val="00076377"/>
    <w:rsid w:val="00076447"/>
    <w:rsid w:val="00076583"/>
    <w:rsid w:val="000766DE"/>
    <w:rsid w:val="000767A7"/>
    <w:rsid w:val="00076B06"/>
    <w:rsid w:val="00076F30"/>
    <w:rsid w:val="00077119"/>
    <w:rsid w:val="00077155"/>
    <w:rsid w:val="000771FA"/>
    <w:rsid w:val="0007756C"/>
    <w:rsid w:val="00077603"/>
    <w:rsid w:val="00077789"/>
    <w:rsid w:val="000778B1"/>
    <w:rsid w:val="00077DCE"/>
    <w:rsid w:val="00077F7D"/>
    <w:rsid w:val="000802F0"/>
    <w:rsid w:val="000804F9"/>
    <w:rsid w:val="0008061A"/>
    <w:rsid w:val="0008063C"/>
    <w:rsid w:val="00080D0E"/>
    <w:rsid w:val="00080DC9"/>
    <w:rsid w:val="00080E15"/>
    <w:rsid w:val="00080E38"/>
    <w:rsid w:val="00080FE0"/>
    <w:rsid w:val="00081394"/>
    <w:rsid w:val="000813FD"/>
    <w:rsid w:val="000815F2"/>
    <w:rsid w:val="00081AD7"/>
    <w:rsid w:val="00081B72"/>
    <w:rsid w:val="00081C9B"/>
    <w:rsid w:val="00081FAE"/>
    <w:rsid w:val="00082060"/>
    <w:rsid w:val="00082B32"/>
    <w:rsid w:val="00082D79"/>
    <w:rsid w:val="00082EDC"/>
    <w:rsid w:val="00083019"/>
    <w:rsid w:val="0008346A"/>
    <w:rsid w:val="000836C1"/>
    <w:rsid w:val="000838B2"/>
    <w:rsid w:val="000838C1"/>
    <w:rsid w:val="00083BF1"/>
    <w:rsid w:val="00083E0E"/>
    <w:rsid w:val="00084060"/>
    <w:rsid w:val="000840B1"/>
    <w:rsid w:val="00084663"/>
    <w:rsid w:val="0008484A"/>
    <w:rsid w:val="00084F9E"/>
    <w:rsid w:val="000853E1"/>
    <w:rsid w:val="00085949"/>
    <w:rsid w:val="00085CD9"/>
    <w:rsid w:val="00085F11"/>
    <w:rsid w:val="00085FB0"/>
    <w:rsid w:val="00085FE7"/>
    <w:rsid w:val="0008614E"/>
    <w:rsid w:val="000864DB"/>
    <w:rsid w:val="0008652B"/>
    <w:rsid w:val="00086C47"/>
    <w:rsid w:val="000870BC"/>
    <w:rsid w:val="00087D08"/>
    <w:rsid w:val="00087D9B"/>
    <w:rsid w:val="00087E95"/>
    <w:rsid w:val="00090147"/>
    <w:rsid w:val="000909BE"/>
    <w:rsid w:val="00090B66"/>
    <w:rsid w:val="00090C8E"/>
    <w:rsid w:val="00090EAA"/>
    <w:rsid w:val="00090F97"/>
    <w:rsid w:val="000912D2"/>
    <w:rsid w:val="000913A0"/>
    <w:rsid w:val="00091BC2"/>
    <w:rsid w:val="00091DC7"/>
    <w:rsid w:val="000920B7"/>
    <w:rsid w:val="000920B8"/>
    <w:rsid w:val="00092569"/>
    <w:rsid w:val="00092A13"/>
    <w:rsid w:val="00092DF0"/>
    <w:rsid w:val="00093073"/>
    <w:rsid w:val="0009351D"/>
    <w:rsid w:val="0009357A"/>
    <w:rsid w:val="0009365A"/>
    <w:rsid w:val="00094147"/>
    <w:rsid w:val="000945B7"/>
    <w:rsid w:val="00094737"/>
    <w:rsid w:val="0009488C"/>
    <w:rsid w:val="0009495E"/>
    <w:rsid w:val="00094F8E"/>
    <w:rsid w:val="00095184"/>
    <w:rsid w:val="0009539C"/>
    <w:rsid w:val="00095524"/>
    <w:rsid w:val="0009599F"/>
    <w:rsid w:val="00095F4D"/>
    <w:rsid w:val="0009603A"/>
    <w:rsid w:val="000960B5"/>
    <w:rsid w:val="000960BF"/>
    <w:rsid w:val="000960F6"/>
    <w:rsid w:val="00096754"/>
    <w:rsid w:val="0009691E"/>
    <w:rsid w:val="00096C24"/>
    <w:rsid w:val="00096C82"/>
    <w:rsid w:val="00096CD1"/>
    <w:rsid w:val="00097515"/>
    <w:rsid w:val="000976E8"/>
    <w:rsid w:val="00097891"/>
    <w:rsid w:val="000978D6"/>
    <w:rsid w:val="00097D80"/>
    <w:rsid w:val="00097DB4"/>
    <w:rsid w:val="000A0587"/>
    <w:rsid w:val="000A0698"/>
    <w:rsid w:val="000A0E36"/>
    <w:rsid w:val="000A0E63"/>
    <w:rsid w:val="000A0EA0"/>
    <w:rsid w:val="000A11C1"/>
    <w:rsid w:val="000A1AA4"/>
    <w:rsid w:val="000A1BAA"/>
    <w:rsid w:val="000A1C9D"/>
    <w:rsid w:val="000A1DAA"/>
    <w:rsid w:val="000A20A7"/>
    <w:rsid w:val="000A24B4"/>
    <w:rsid w:val="000A2582"/>
    <w:rsid w:val="000A262B"/>
    <w:rsid w:val="000A275E"/>
    <w:rsid w:val="000A2825"/>
    <w:rsid w:val="000A2C23"/>
    <w:rsid w:val="000A326E"/>
    <w:rsid w:val="000A335A"/>
    <w:rsid w:val="000A358F"/>
    <w:rsid w:val="000A3611"/>
    <w:rsid w:val="000A3774"/>
    <w:rsid w:val="000A3CF2"/>
    <w:rsid w:val="000A3F0B"/>
    <w:rsid w:val="000A3FAB"/>
    <w:rsid w:val="000A3FBB"/>
    <w:rsid w:val="000A4041"/>
    <w:rsid w:val="000A444B"/>
    <w:rsid w:val="000A4574"/>
    <w:rsid w:val="000A52B2"/>
    <w:rsid w:val="000A5509"/>
    <w:rsid w:val="000A55B8"/>
    <w:rsid w:val="000A5810"/>
    <w:rsid w:val="000A5A67"/>
    <w:rsid w:val="000A5B08"/>
    <w:rsid w:val="000A6808"/>
    <w:rsid w:val="000A68AA"/>
    <w:rsid w:val="000A6984"/>
    <w:rsid w:val="000A6A93"/>
    <w:rsid w:val="000A6CFA"/>
    <w:rsid w:val="000A6D75"/>
    <w:rsid w:val="000A6DEB"/>
    <w:rsid w:val="000A6E63"/>
    <w:rsid w:val="000A702A"/>
    <w:rsid w:val="000A71F7"/>
    <w:rsid w:val="000A723D"/>
    <w:rsid w:val="000A7307"/>
    <w:rsid w:val="000A7465"/>
    <w:rsid w:val="000A76B6"/>
    <w:rsid w:val="000A78EE"/>
    <w:rsid w:val="000A7E73"/>
    <w:rsid w:val="000B0464"/>
    <w:rsid w:val="000B06C1"/>
    <w:rsid w:val="000B07E6"/>
    <w:rsid w:val="000B0A21"/>
    <w:rsid w:val="000B0D03"/>
    <w:rsid w:val="000B0DBC"/>
    <w:rsid w:val="000B0DC0"/>
    <w:rsid w:val="000B0FEF"/>
    <w:rsid w:val="000B1491"/>
    <w:rsid w:val="000B15C8"/>
    <w:rsid w:val="000B16BB"/>
    <w:rsid w:val="000B1896"/>
    <w:rsid w:val="000B1BB3"/>
    <w:rsid w:val="000B1C05"/>
    <w:rsid w:val="000B2199"/>
    <w:rsid w:val="000B219C"/>
    <w:rsid w:val="000B21B8"/>
    <w:rsid w:val="000B2412"/>
    <w:rsid w:val="000B2657"/>
    <w:rsid w:val="000B2AB3"/>
    <w:rsid w:val="000B2AC9"/>
    <w:rsid w:val="000B2B28"/>
    <w:rsid w:val="000B2BD8"/>
    <w:rsid w:val="000B2D3B"/>
    <w:rsid w:val="000B2F1E"/>
    <w:rsid w:val="000B303F"/>
    <w:rsid w:val="000B3990"/>
    <w:rsid w:val="000B3D7E"/>
    <w:rsid w:val="000B3E05"/>
    <w:rsid w:val="000B3E8C"/>
    <w:rsid w:val="000B4006"/>
    <w:rsid w:val="000B4129"/>
    <w:rsid w:val="000B4357"/>
    <w:rsid w:val="000B45B0"/>
    <w:rsid w:val="000B469E"/>
    <w:rsid w:val="000B475B"/>
    <w:rsid w:val="000B4B50"/>
    <w:rsid w:val="000B4C40"/>
    <w:rsid w:val="000B4DB5"/>
    <w:rsid w:val="000B4EA9"/>
    <w:rsid w:val="000B4F7E"/>
    <w:rsid w:val="000B51E1"/>
    <w:rsid w:val="000B54FF"/>
    <w:rsid w:val="000B55D6"/>
    <w:rsid w:val="000B5661"/>
    <w:rsid w:val="000B56DA"/>
    <w:rsid w:val="000B589B"/>
    <w:rsid w:val="000B592F"/>
    <w:rsid w:val="000B60FB"/>
    <w:rsid w:val="000B65E1"/>
    <w:rsid w:val="000B6B79"/>
    <w:rsid w:val="000B719C"/>
    <w:rsid w:val="000B71E4"/>
    <w:rsid w:val="000B7368"/>
    <w:rsid w:val="000B74B4"/>
    <w:rsid w:val="000B751C"/>
    <w:rsid w:val="000B7802"/>
    <w:rsid w:val="000B7B36"/>
    <w:rsid w:val="000B7BE3"/>
    <w:rsid w:val="000B7EE7"/>
    <w:rsid w:val="000C024B"/>
    <w:rsid w:val="000C03B1"/>
    <w:rsid w:val="000C0531"/>
    <w:rsid w:val="000C0735"/>
    <w:rsid w:val="000C0951"/>
    <w:rsid w:val="000C0BD3"/>
    <w:rsid w:val="000C0C82"/>
    <w:rsid w:val="000C111B"/>
    <w:rsid w:val="000C193C"/>
    <w:rsid w:val="000C19F0"/>
    <w:rsid w:val="000C209E"/>
    <w:rsid w:val="000C22B1"/>
    <w:rsid w:val="000C24E3"/>
    <w:rsid w:val="000C264E"/>
    <w:rsid w:val="000C264F"/>
    <w:rsid w:val="000C2A1C"/>
    <w:rsid w:val="000C2B34"/>
    <w:rsid w:val="000C2BD9"/>
    <w:rsid w:val="000C30F8"/>
    <w:rsid w:val="000C3190"/>
    <w:rsid w:val="000C4197"/>
    <w:rsid w:val="000C41D4"/>
    <w:rsid w:val="000C47F1"/>
    <w:rsid w:val="000C48B0"/>
    <w:rsid w:val="000C4920"/>
    <w:rsid w:val="000C497B"/>
    <w:rsid w:val="000C4A6F"/>
    <w:rsid w:val="000C4A8D"/>
    <w:rsid w:val="000C4C8F"/>
    <w:rsid w:val="000C505B"/>
    <w:rsid w:val="000C5343"/>
    <w:rsid w:val="000C54A6"/>
    <w:rsid w:val="000C5586"/>
    <w:rsid w:val="000C55A0"/>
    <w:rsid w:val="000C56D2"/>
    <w:rsid w:val="000C5AD2"/>
    <w:rsid w:val="000C5E9D"/>
    <w:rsid w:val="000C5F2D"/>
    <w:rsid w:val="000C6253"/>
    <w:rsid w:val="000C63A3"/>
    <w:rsid w:val="000C63CC"/>
    <w:rsid w:val="000C6406"/>
    <w:rsid w:val="000C6A81"/>
    <w:rsid w:val="000C6EA1"/>
    <w:rsid w:val="000C6EAC"/>
    <w:rsid w:val="000C6FA7"/>
    <w:rsid w:val="000C7441"/>
    <w:rsid w:val="000C74B2"/>
    <w:rsid w:val="000C77C6"/>
    <w:rsid w:val="000C7F95"/>
    <w:rsid w:val="000D01AD"/>
    <w:rsid w:val="000D056A"/>
    <w:rsid w:val="000D05D2"/>
    <w:rsid w:val="000D06D2"/>
    <w:rsid w:val="000D0B15"/>
    <w:rsid w:val="000D0D92"/>
    <w:rsid w:val="000D1335"/>
    <w:rsid w:val="000D1569"/>
    <w:rsid w:val="000D1610"/>
    <w:rsid w:val="000D1996"/>
    <w:rsid w:val="000D20DB"/>
    <w:rsid w:val="000D2318"/>
    <w:rsid w:val="000D2826"/>
    <w:rsid w:val="000D2EDC"/>
    <w:rsid w:val="000D2F18"/>
    <w:rsid w:val="000D3072"/>
    <w:rsid w:val="000D3493"/>
    <w:rsid w:val="000D387B"/>
    <w:rsid w:val="000D3BE7"/>
    <w:rsid w:val="000D3E2E"/>
    <w:rsid w:val="000D3E5C"/>
    <w:rsid w:val="000D3F38"/>
    <w:rsid w:val="000D4080"/>
    <w:rsid w:val="000D40EF"/>
    <w:rsid w:val="000D4281"/>
    <w:rsid w:val="000D4A94"/>
    <w:rsid w:val="000D4D18"/>
    <w:rsid w:val="000D5315"/>
    <w:rsid w:val="000D5A00"/>
    <w:rsid w:val="000D5BD1"/>
    <w:rsid w:val="000D5BFC"/>
    <w:rsid w:val="000D6263"/>
    <w:rsid w:val="000D69B0"/>
    <w:rsid w:val="000D70F2"/>
    <w:rsid w:val="000D716E"/>
    <w:rsid w:val="000D71BF"/>
    <w:rsid w:val="000D7727"/>
    <w:rsid w:val="000D7A22"/>
    <w:rsid w:val="000D7F05"/>
    <w:rsid w:val="000DD79D"/>
    <w:rsid w:val="000E006C"/>
    <w:rsid w:val="000E009E"/>
    <w:rsid w:val="000E054A"/>
    <w:rsid w:val="000E061E"/>
    <w:rsid w:val="000E077E"/>
    <w:rsid w:val="000E07FC"/>
    <w:rsid w:val="000E0C01"/>
    <w:rsid w:val="000E0C24"/>
    <w:rsid w:val="000E0D2A"/>
    <w:rsid w:val="000E0DB6"/>
    <w:rsid w:val="000E0DF8"/>
    <w:rsid w:val="000E0EC0"/>
    <w:rsid w:val="000E0F08"/>
    <w:rsid w:val="000E10D4"/>
    <w:rsid w:val="000E1289"/>
    <w:rsid w:val="000E132F"/>
    <w:rsid w:val="000E1421"/>
    <w:rsid w:val="000E15A5"/>
    <w:rsid w:val="000E1617"/>
    <w:rsid w:val="000E1906"/>
    <w:rsid w:val="000E196E"/>
    <w:rsid w:val="000E1F32"/>
    <w:rsid w:val="000E218C"/>
    <w:rsid w:val="000E226C"/>
    <w:rsid w:val="000E2459"/>
    <w:rsid w:val="000E2C31"/>
    <w:rsid w:val="000E2D18"/>
    <w:rsid w:val="000E2F73"/>
    <w:rsid w:val="000E30B2"/>
    <w:rsid w:val="000E311A"/>
    <w:rsid w:val="000E349C"/>
    <w:rsid w:val="000E34F5"/>
    <w:rsid w:val="000E3CF5"/>
    <w:rsid w:val="000E3FA5"/>
    <w:rsid w:val="000E418F"/>
    <w:rsid w:val="000E42C8"/>
    <w:rsid w:val="000E4305"/>
    <w:rsid w:val="000E453E"/>
    <w:rsid w:val="000E4612"/>
    <w:rsid w:val="000E4A9D"/>
    <w:rsid w:val="000E4D2D"/>
    <w:rsid w:val="000E5B9D"/>
    <w:rsid w:val="000E5BD7"/>
    <w:rsid w:val="000E5C1E"/>
    <w:rsid w:val="000E61A5"/>
    <w:rsid w:val="000E61F1"/>
    <w:rsid w:val="000E6E2B"/>
    <w:rsid w:val="000E6EA4"/>
    <w:rsid w:val="000E7275"/>
    <w:rsid w:val="000E73F2"/>
    <w:rsid w:val="000E76C1"/>
    <w:rsid w:val="000F022E"/>
    <w:rsid w:val="000F0642"/>
    <w:rsid w:val="000F074B"/>
    <w:rsid w:val="000F0AAE"/>
    <w:rsid w:val="000F0D4C"/>
    <w:rsid w:val="000F0D8D"/>
    <w:rsid w:val="000F0DDF"/>
    <w:rsid w:val="000F0FA8"/>
    <w:rsid w:val="000F1070"/>
    <w:rsid w:val="000F1180"/>
    <w:rsid w:val="000F14D3"/>
    <w:rsid w:val="000F19E4"/>
    <w:rsid w:val="000F2131"/>
    <w:rsid w:val="000F2D49"/>
    <w:rsid w:val="000F2E5F"/>
    <w:rsid w:val="000F3017"/>
    <w:rsid w:val="000F3171"/>
    <w:rsid w:val="000F31C1"/>
    <w:rsid w:val="000F35CE"/>
    <w:rsid w:val="000F3934"/>
    <w:rsid w:val="000F3B5E"/>
    <w:rsid w:val="000F3C12"/>
    <w:rsid w:val="000F421E"/>
    <w:rsid w:val="000F434D"/>
    <w:rsid w:val="000F4385"/>
    <w:rsid w:val="000F4459"/>
    <w:rsid w:val="000F45BA"/>
    <w:rsid w:val="000F477B"/>
    <w:rsid w:val="000F4995"/>
    <w:rsid w:val="000F4E16"/>
    <w:rsid w:val="000F4F02"/>
    <w:rsid w:val="000F4F15"/>
    <w:rsid w:val="000F4FF5"/>
    <w:rsid w:val="000F5089"/>
    <w:rsid w:val="000F5284"/>
    <w:rsid w:val="000F543E"/>
    <w:rsid w:val="000F5911"/>
    <w:rsid w:val="000F5A1E"/>
    <w:rsid w:val="000F60EE"/>
    <w:rsid w:val="000F6624"/>
    <w:rsid w:val="000F6B66"/>
    <w:rsid w:val="000F6DCB"/>
    <w:rsid w:val="000F6F51"/>
    <w:rsid w:val="000F71DE"/>
    <w:rsid w:val="000F73F4"/>
    <w:rsid w:val="000F7404"/>
    <w:rsid w:val="000F7832"/>
    <w:rsid w:val="000F79D1"/>
    <w:rsid w:val="000F7B75"/>
    <w:rsid w:val="00100207"/>
    <w:rsid w:val="001002D9"/>
    <w:rsid w:val="00100408"/>
    <w:rsid w:val="001005C1"/>
    <w:rsid w:val="00100694"/>
    <w:rsid w:val="00100828"/>
    <w:rsid w:val="001008FA"/>
    <w:rsid w:val="00100B8C"/>
    <w:rsid w:val="0010112C"/>
    <w:rsid w:val="0010124A"/>
    <w:rsid w:val="00101327"/>
    <w:rsid w:val="00101926"/>
    <w:rsid w:val="0010192E"/>
    <w:rsid w:val="00101DE0"/>
    <w:rsid w:val="00102108"/>
    <w:rsid w:val="00102360"/>
    <w:rsid w:val="0010298E"/>
    <w:rsid w:val="00102F2E"/>
    <w:rsid w:val="00102F5D"/>
    <w:rsid w:val="001030EA"/>
    <w:rsid w:val="0010339C"/>
    <w:rsid w:val="0010340F"/>
    <w:rsid w:val="001034F1"/>
    <w:rsid w:val="0010360F"/>
    <w:rsid w:val="001036B2"/>
    <w:rsid w:val="00103932"/>
    <w:rsid w:val="00103B20"/>
    <w:rsid w:val="00103E15"/>
    <w:rsid w:val="0010422D"/>
    <w:rsid w:val="0010424A"/>
    <w:rsid w:val="0010435C"/>
    <w:rsid w:val="00104390"/>
    <w:rsid w:val="001045AA"/>
    <w:rsid w:val="00104729"/>
    <w:rsid w:val="001047B6"/>
    <w:rsid w:val="00104B66"/>
    <w:rsid w:val="00104CAD"/>
    <w:rsid w:val="0010503A"/>
    <w:rsid w:val="001050FB"/>
    <w:rsid w:val="00105258"/>
    <w:rsid w:val="00105720"/>
    <w:rsid w:val="0010582F"/>
    <w:rsid w:val="00105A0E"/>
    <w:rsid w:val="00105B38"/>
    <w:rsid w:val="00105BB7"/>
    <w:rsid w:val="00105D3B"/>
    <w:rsid w:val="00105F8D"/>
    <w:rsid w:val="001060AD"/>
    <w:rsid w:val="001064F2"/>
    <w:rsid w:val="001064F9"/>
    <w:rsid w:val="00106509"/>
    <w:rsid w:val="001065B0"/>
    <w:rsid w:val="00106780"/>
    <w:rsid w:val="001068B9"/>
    <w:rsid w:val="00106B7F"/>
    <w:rsid w:val="0010738C"/>
    <w:rsid w:val="00107C3A"/>
    <w:rsid w:val="00107C52"/>
    <w:rsid w:val="001103A6"/>
    <w:rsid w:val="001103B9"/>
    <w:rsid w:val="001105EB"/>
    <w:rsid w:val="0011066B"/>
    <w:rsid w:val="001109A9"/>
    <w:rsid w:val="00110A4E"/>
    <w:rsid w:val="00111136"/>
    <w:rsid w:val="00111241"/>
    <w:rsid w:val="00111448"/>
    <w:rsid w:val="001116C6"/>
    <w:rsid w:val="00111845"/>
    <w:rsid w:val="00111AB3"/>
    <w:rsid w:val="00111B61"/>
    <w:rsid w:val="00111DDC"/>
    <w:rsid w:val="00111ECB"/>
    <w:rsid w:val="00111F37"/>
    <w:rsid w:val="00112521"/>
    <w:rsid w:val="0011253F"/>
    <w:rsid w:val="0011265A"/>
    <w:rsid w:val="00112660"/>
    <w:rsid w:val="00112940"/>
    <w:rsid w:val="00112BFB"/>
    <w:rsid w:val="00112D45"/>
    <w:rsid w:val="00112D9B"/>
    <w:rsid w:val="00112FE0"/>
    <w:rsid w:val="00113037"/>
    <w:rsid w:val="00113166"/>
    <w:rsid w:val="00113267"/>
    <w:rsid w:val="0011332C"/>
    <w:rsid w:val="001135C3"/>
    <w:rsid w:val="001137E7"/>
    <w:rsid w:val="001139AF"/>
    <w:rsid w:val="00113B8E"/>
    <w:rsid w:val="00113EED"/>
    <w:rsid w:val="00114465"/>
    <w:rsid w:val="001144D4"/>
    <w:rsid w:val="001145E2"/>
    <w:rsid w:val="00114745"/>
    <w:rsid w:val="00114864"/>
    <w:rsid w:val="0011486D"/>
    <w:rsid w:val="00114895"/>
    <w:rsid w:val="00114AEB"/>
    <w:rsid w:val="00114BE3"/>
    <w:rsid w:val="00114D64"/>
    <w:rsid w:val="00114DA6"/>
    <w:rsid w:val="00114E5D"/>
    <w:rsid w:val="001150FD"/>
    <w:rsid w:val="00115234"/>
    <w:rsid w:val="00115A80"/>
    <w:rsid w:val="00115C8F"/>
    <w:rsid w:val="00116091"/>
    <w:rsid w:val="00116232"/>
    <w:rsid w:val="00116292"/>
    <w:rsid w:val="0011630A"/>
    <w:rsid w:val="0011651C"/>
    <w:rsid w:val="00116D87"/>
    <w:rsid w:val="00117139"/>
    <w:rsid w:val="00117266"/>
    <w:rsid w:val="0011753E"/>
    <w:rsid w:val="00117550"/>
    <w:rsid w:val="001175F9"/>
    <w:rsid w:val="00117619"/>
    <w:rsid w:val="001177E9"/>
    <w:rsid w:val="0011783C"/>
    <w:rsid w:val="00117998"/>
    <w:rsid w:val="00117C32"/>
    <w:rsid w:val="00117F5F"/>
    <w:rsid w:val="00117FEB"/>
    <w:rsid w:val="00120053"/>
    <w:rsid w:val="00120263"/>
    <w:rsid w:val="001207FF"/>
    <w:rsid w:val="0012092D"/>
    <w:rsid w:val="00120CFD"/>
    <w:rsid w:val="00120DB3"/>
    <w:rsid w:val="00120DF4"/>
    <w:rsid w:val="0012118E"/>
    <w:rsid w:val="00121291"/>
    <w:rsid w:val="001214EC"/>
    <w:rsid w:val="00121756"/>
    <w:rsid w:val="001218A3"/>
    <w:rsid w:val="00121A02"/>
    <w:rsid w:val="00121B9C"/>
    <w:rsid w:val="00121D56"/>
    <w:rsid w:val="0012213B"/>
    <w:rsid w:val="001226F7"/>
    <w:rsid w:val="001229B3"/>
    <w:rsid w:val="00122C54"/>
    <w:rsid w:val="00122DED"/>
    <w:rsid w:val="001230CB"/>
    <w:rsid w:val="001231FF"/>
    <w:rsid w:val="00123948"/>
    <w:rsid w:val="00123A6E"/>
    <w:rsid w:val="00123C2A"/>
    <w:rsid w:val="00124129"/>
    <w:rsid w:val="00124970"/>
    <w:rsid w:val="00124CE4"/>
    <w:rsid w:val="00124D50"/>
    <w:rsid w:val="00124EC1"/>
    <w:rsid w:val="00124F25"/>
    <w:rsid w:val="00124FF0"/>
    <w:rsid w:val="00125224"/>
    <w:rsid w:val="00125B8A"/>
    <w:rsid w:val="00125CC2"/>
    <w:rsid w:val="00125EF1"/>
    <w:rsid w:val="0012607C"/>
    <w:rsid w:val="0012643F"/>
    <w:rsid w:val="0012699E"/>
    <w:rsid w:val="001269C8"/>
    <w:rsid w:val="00127204"/>
    <w:rsid w:val="0012724F"/>
    <w:rsid w:val="001278FC"/>
    <w:rsid w:val="00127939"/>
    <w:rsid w:val="00127992"/>
    <w:rsid w:val="0012799E"/>
    <w:rsid w:val="00130074"/>
    <w:rsid w:val="001300BC"/>
    <w:rsid w:val="001302B6"/>
    <w:rsid w:val="0013038A"/>
    <w:rsid w:val="001303DD"/>
    <w:rsid w:val="001306BB"/>
    <w:rsid w:val="00130A58"/>
    <w:rsid w:val="00130E5A"/>
    <w:rsid w:val="00130E6C"/>
    <w:rsid w:val="00130E88"/>
    <w:rsid w:val="00130ED1"/>
    <w:rsid w:val="00130F38"/>
    <w:rsid w:val="00130FF0"/>
    <w:rsid w:val="001310D2"/>
    <w:rsid w:val="0013118D"/>
    <w:rsid w:val="00131293"/>
    <w:rsid w:val="001313F3"/>
    <w:rsid w:val="0013149D"/>
    <w:rsid w:val="001314B5"/>
    <w:rsid w:val="0013194B"/>
    <w:rsid w:val="0013198C"/>
    <w:rsid w:val="001319FD"/>
    <w:rsid w:val="00131A5E"/>
    <w:rsid w:val="00131D7D"/>
    <w:rsid w:val="00131E88"/>
    <w:rsid w:val="0013267A"/>
    <w:rsid w:val="00132B61"/>
    <w:rsid w:val="00132C63"/>
    <w:rsid w:val="00132CEB"/>
    <w:rsid w:val="00132D22"/>
    <w:rsid w:val="001331F3"/>
    <w:rsid w:val="001334AA"/>
    <w:rsid w:val="0013350E"/>
    <w:rsid w:val="001338B1"/>
    <w:rsid w:val="00133A64"/>
    <w:rsid w:val="00133ADA"/>
    <w:rsid w:val="00133B63"/>
    <w:rsid w:val="00133BF0"/>
    <w:rsid w:val="00133D0B"/>
    <w:rsid w:val="00133E14"/>
    <w:rsid w:val="00133EB5"/>
    <w:rsid w:val="0013411E"/>
    <w:rsid w:val="0013423F"/>
    <w:rsid w:val="00134770"/>
    <w:rsid w:val="001348F4"/>
    <w:rsid w:val="00134928"/>
    <w:rsid w:val="0013494E"/>
    <w:rsid w:val="00134999"/>
    <w:rsid w:val="00134A08"/>
    <w:rsid w:val="00134D4B"/>
    <w:rsid w:val="0013500A"/>
    <w:rsid w:val="00135091"/>
    <w:rsid w:val="00135300"/>
    <w:rsid w:val="00135437"/>
    <w:rsid w:val="00135489"/>
    <w:rsid w:val="00135854"/>
    <w:rsid w:val="00135898"/>
    <w:rsid w:val="001359DB"/>
    <w:rsid w:val="00135D99"/>
    <w:rsid w:val="00136220"/>
    <w:rsid w:val="001362AE"/>
    <w:rsid w:val="001364A4"/>
    <w:rsid w:val="00136667"/>
    <w:rsid w:val="0013684E"/>
    <w:rsid w:val="001368F9"/>
    <w:rsid w:val="001369C6"/>
    <w:rsid w:val="001369F0"/>
    <w:rsid w:val="00136BCC"/>
    <w:rsid w:val="00136C69"/>
    <w:rsid w:val="00136EFD"/>
    <w:rsid w:val="001372D4"/>
    <w:rsid w:val="001374A0"/>
    <w:rsid w:val="001376AB"/>
    <w:rsid w:val="00137C96"/>
    <w:rsid w:val="00137E71"/>
    <w:rsid w:val="001403B7"/>
    <w:rsid w:val="00140497"/>
    <w:rsid w:val="001404D2"/>
    <w:rsid w:val="0014076F"/>
    <w:rsid w:val="001408A2"/>
    <w:rsid w:val="00140B26"/>
    <w:rsid w:val="00140CD3"/>
    <w:rsid w:val="00140EC7"/>
    <w:rsid w:val="00141201"/>
    <w:rsid w:val="00141D5E"/>
    <w:rsid w:val="00141E1A"/>
    <w:rsid w:val="00141EBA"/>
    <w:rsid w:val="00141EFB"/>
    <w:rsid w:val="00141EFE"/>
    <w:rsid w:val="00141FAB"/>
    <w:rsid w:val="0014216D"/>
    <w:rsid w:val="001421BC"/>
    <w:rsid w:val="0014253E"/>
    <w:rsid w:val="001426C8"/>
    <w:rsid w:val="001427B6"/>
    <w:rsid w:val="001427E8"/>
    <w:rsid w:val="001427EE"/>
    <w:rsid w:val="0014302C"/>
    <w:rsid w:val="00143076"/>
    <w:rsid w:val="0014348D"/>
    <w:rsid w:val="00143586"/>
    <w:rsid w:val="001435D7"/>
    <w:rsid w:val="00143829"/>
    <w:rsid w:val="00143A93"/>
    <w:rsid w:val="00143C28"/>
    <w:rsid w:val="00143EF3"/>
    <w:rsid w:val="001441AE"/>
    <w:rsid w:val="0014433A"/>
    <w:rsid w:val="00144886"/>
    <w:rsid w:val="00144C0D"/>
    <w:rsid w:val="00144C32"/>
    <w:rsid w:val="00144D25"/>
    <w:rsid w:val="00144EC6"/>
    <w:rsid w:val="001451BA"/>
    <w:rsid w:val="001454DA"/>
    <w:rsid w:val="001458A3"/>
    <w:rsid w:val="00145B72"/>
    <w:rsid w:val="00145EA7"/>
    <w:rsid w:val="00145F6E"/>
    <w:rsid w:val="001461FE"/>
    <w:rsid w:val="0014660D"/>
    <w:rsid w:val="0014677B"/>
    <w:rsid w:val="00146E56"/>
    <w:rsid w:val="00146E7D"/>
    <w:rsid w:val="00146FDE"/>
    <w:rsid w:val="001472CE"/>
    <w:rsid w:val="00147501"/>
    <w:rsid w:val="0014766C"/>
    <w:rsid w:val="00147753"/>
    <w:rsid w:val="00147B09"/>
    <w:rsid w:val="00147F35"/>
    <w:rsid w:val="00150189"/>
    <w:rsid w:val="00150424"/>
    <w:rsid w:val="00150489"/>
    <w:rsid w:val="001507D0"/>
    <w:rsid w:val="00150AE8"/>
    <w:rsid w:val="00150C3F"/>
    <w:rsid w:val="00150D0A"/>
    <w:rsid w:val="00150E10"/>
    <w:rsid w:val="00151052"/>
    <w:rsid w:val="001510CB"/>
    <w:rsid w:val="001515D7"/>
    <w:rsid w:val="00151BCD"/>
    <w:rsid w:val="00151C78"/>
    <w:rsid w:val="001521CA"/>
    <w:rsid w:val="0015228E"/>
    <w:rsid w:val="0015242B"/>
    <w:rsid w:val="00152955"/>
    <w:rsid w:val="00153176"/>
    <w:rsid w:val="00153323"/>
    <w:rsid w:val="00153893"/>
    <w:rsid w:val="00153922"/>
    <w:rsid w:val="001539AB"/>
    <w:rsid w:val="00153C77"/>
    <w:rsid w:val="00153E31"/>
    <w:rsid w:val="00153E3F"/>
    <w:rsid w:val="00153F55"/>
    <w:rsid w:val="001541FE"/>
    <w:rsid w:val="001542E5"/>
    <w:rsid w:val="001545B2"/>
    <w:rsid w:val="001547BD"/>
    <w:rsid w:val="001548FE"/>
    <w:rsid w:val="001549A8"/>
    <w:rsid w:val="00154AE2"/>
    <w:rsid w:val="00154B76"/>
    <w:rsid w:val="00154C14"/>
    <w:rsid w:val="00154C2F"/>
    <w:rsid w:val="00154C9B"/>
    <w:rsid w:val="00154DE3"/>
    <w:rsid w:val="00154F32"/>
    <w:rsid w:val="00154FA9"/>
    <w:rsid w:val="00155081"/>
    <w:rsid w:val="001551A1"/>
    <w:rsid w:val="001551F6"/>
    <w:rsid w:val="00155400"/>
    <w:rsid w:val="001554F9"/>
    <w:rsid w:val="00155914"/>
    <w:rsid w:val="0015594C"/>
    <w:rsid w:val="00155D33"/>
    <w:rsid w:val="00155FFF"/>
    <w:rsid w:val="001563A6"/>
    <w:rsid w:val="001574DA"/>
    <w:rsid w:val="0015763E"/>
    <w:rsid w:val="00157640"/>
    <w:rsid w:val="00157E30"/>
    <w:rsid w:val="00157F9E"/>
    <w:rsid w:val="00157FDA"/>
    <w:rsid w:val="001600F0"/>
    <w:rsid w:val="0016084E"/>
    <w:rsid w:val="00160AFF"/>
    <w:rsid w:val="00160BDE"/>
    <w:rsid w:val="00160C20"/>
    <w:rsid w:val="00160F89"/>
    <w:rsid w:val="001611FA"/>
    <w:rsid w:val="001615B8"/>
    <w:rsid w:val="00161933"/>
    <w:rsid w:val="00161B49"/>
    <w:rsid w:val="00161CB4"/>
    <w:rsid w:val="00161E1F"/>
    <w:rsid w:val="001622B3"/>
    <w:rsid w:val="00162652"/>
    <w:rsid w:val="00162C67"/>
    <w:rsid w:val="001633B8"/>
    <w:rsid w:val="00163605"/>
    <w:rsid w:val="0016376C"/>
    <w:rsid w:val="00163847"/>
    <w:rsid w:val="001639FC"/>
    <w:rsid w:val="00163A2E"/>
    <w:rsid w:val="00163AFE"/>
    <w:rsid w:val="00163C12"/>
    <w:rsid w:val="00163D71"/>
    <w:rsid w:val="00163E5D"/>
    <w:rsid w:val="001640EF"/>
    <w:rsid w:val="00164316"/>
    <w:rsid w:val="00164583"/>
    <w:rsid w:val="00164893"/>
    <w:rsid w:val="00164BAA"/>
    <w:rsid w:val="00164BED"/>
    <w:rsid w:val="00164F08"/>
    <w:rsid w:val="00164FD5"/>
    <w:rsid w:val="001650E3"/>
    <w:rsid w:val="001655C6"/>
    <w:rsid w:val="00165624"/>
    <w:rsid w:val="001657FD"/>
    <w:rsid w:val="00165846"/>
    <w:rsid w:val="00165ED4"/>
    <w:rsid w:val="00166272"/>
    <w:rsid w:val="00166496"/>
    <w:rsid w:val="0016687F"/>
    <w:rsid w:val="00166CEE"/>
    <w:rsid w:val="00166D62"/>
    <w:rsid w:val="00166D7B"/>
    <w:rsid w:val="00167510"/>
    <w:rsid w:val="001678E9"/>
    <w:rsid w:val="00167D23"/>
    <w:rsid w:val="00167FAF"/>
    <w:rsid w:val="00167FB5"/>
    <w:rsid w:val="00170022"/>
    <w:rsid w:val="001700D2"/>
    <w:rsid w:val="001702C1"/>
    <w:rsid w:val="00170599"/>
    <w:rsid w:val="001705BD"/>
    <w:rsid w:val="001707AB"/>
    <w:rsid w:val="00170813"/>
    <w:rsid w:val="001708BF"/>
    <w:rsid w:val="00170DC2"/>
    <w:rsid w:val="00171116"/>
    <w:rsid w:val="0017134B"/>
    <w:rsid w:val="00171405"/>
    <w:rsid w:val="001714CF"/>
    <w:rsid w:val="0017152C"/>
    <w:rsid w:val="00171673"/>
    <w:rsid w:val="00171684"/>
    <w:rsid w:val="00171936"/>
    <w:rsid w:val="00172328"/>
    <w:rsid w:val="001723D2"/>
    <w:rsid w:val="00172536"/>
    <w:rsid w:val="0017258F"/>
    <w:rsid w:val="0017279E"/>
    <w:rsid w:val="001727AB"/>
    <w:rsid w:val="00172842"/>
    <w:rsid w:val="00172AA2"/>
    <w:rsid w:val="00172B68"/>
    <w:rsid w:val="00172BE4"/>
    <w:rsid w:val="00172CB5"/>
    <w:rsid w:val="001731A9"/>
    <w:rsid w:val="00173637"/>
    <w:rsid w:val="00173792"/>
    <w:rsid w:val="001738E4"/>
    <w:rsid w:val="0017397E"/>
    <w:rsid w:val="00173B26"/>
    <w:rsid w:val="00173D9F"/>
    <w:rsid w:val="00173DF1"/>
    <w:rsid w:val="001745A7"/>
    <w:rsid w:val="001745F4"/>
    <w:rsid w:val="001747C8"/>
    <w:rsid w:val="001749D6"/>
    <w:rsid w:val="00174CBD"/>
    <w:rsid w:val="00174FE9"/>
    <w:rsid w:val="00175295"/>
    <w:rsid w:val="001754E6"/>
    <w:rsid w:val="00175590"/>
    <w:rsid w:val="00175604"/>
    <w:rsid w:val="00175A07"/>
    <w:rsid w:val="00175C96"/>
    <w:rsid w:val="00175D47"/>
    <w:rsid w:val="001765D5"/>
    <w:rsid w:val="00176A1E"/>
    <w:rsid w:val="00176AD1"/>
    <w:rsid w:val="00176CA9"/>
    <w:rsid w:val="00176DF2"/>
    <w:rsid w:val="00176E5B"/>
    <w:rsid w:val="00176E97"/>
    <w:rsid w:val="00176FBC"/>
    <w:rsid w:val="001772C1"/>
    <w:rsid w:val="00177442"/>
    <w:rsid w:val="001774F6"/>
    <w:rsid w:val="00177556"/>
    <w:rsid w:val="00177D87"/>
    <w:rsid w:val="00177DA8"/>
    <w:rsid w:val="00177EA5"/>
    <w:rsid w:val="0018006D"/>
    <w:rsid w:val="00180317"/>
    <w:rsid w:val="0018032F"/>
    <w:rsid w:val="00180776"/>
    <w:rsid w:val="0018081F"/>
    <w:rsid w:val="0018172C"/>
    <w:rsid w:val="00181CD1"/>
    <w:rsid w:val="00181F95"/>
    <w:rsid w:val="0018234E"/>
    <w:rsid w:val="00182811"/>
    <w:rsid w:val="00182866"/>
    <w:rsid w:val="00182B12"/>
    <w:rsid w:val="00182ED1"/>
    <w:rsid w:val="00183303"/>
    <w:rsid w:val="001839BA"/>
    <w:rsid w:val="001839DC"/>
    <w:rsid w:val="00183B36"/>
    <w:rsid w:val="00183B6E"/>
    <w:rsid w:val="00183DB5"/>
    <w:rsid w:val="0018433A"/>
    <w:rsid w:val="00184478"/>
    <w:rsid w:val="00184FEB"/>
    <w:rsid w:val="0018509E"/>
    <w:rsid w:val="001853CA"/>
    <w:rsid w:val="00185527"/>
    <w:rsid w:val="001858C5"/>
    <w:rsid w:val="00185AF2"/>
    <w:rsid w:val="00185B39"/>
    <w:rsid w:val="00185EFC"/>
    <w:rsid w:val="00185FF7"/>
    <w:rsid w:val="00186228"/>
    <w:rsid w:val="0018642C"/>
    <w:rsid w:val="0018651A"/>
    <w:rsid w:val="00186522"/>
    <w:rsid w:val="00186AD7"/>
    <w:rsid w:val="001872AC"/>
    <w:rsid w:val="001873CC"/>
    <w:rsid w:val="0018788C"/>
    <w:rsid w:val="00187CC8"/>
    <w:rsid w:val="00187D66"/>
    <w:rsid w:val="00187DD6"/>
    <w:rsid w:val="0019024A"/>
    <w:rsid w:val="00190307"/>
    <w:rsid w:val="001903B1"/>
    <w:rsid w:val="0019050A"/>
    <w:rsid w:val="00190A13"/>
    <w:rsid w:val="001912D9"/>
    <w:rsid w:val="00191464"/>
    <w:rsid w:val="0019160A"/>
    <w:rsid w:val="00191A1B"/>
    <w:rsid w:val="00191A3F"/>
    <w:rsid w:val="00191A74"/>
    <w:rsid w:val="00191F69"/>
    <w:rsid w:val="001921B0"/>
    <w:rsid w:val="0019247F"/>
    <w:rsid w:val="00192519"/>
    <w:rsid w:val="00192EDD"/>
    <w:rsid w:val="00192F15"/>
    <w:rsid w:val="001931A8"/>
    <w:rsid w:val="001931B6"/>
    <w:rsid w:val="001932DA"/>
    <w:rsid w:val="001933DF"/>
    <w:rsid w:val="00193781"/>
    <w:rsid w:val="001939E2"/>
    <w:rsid w:val="00193C77"/>
    <w:rsid w:val="00194217"/>
    <w:rsid w:val="0019474B"/>
    <w:rsid w:val="001948E2"/>
    <w:rsid w:val="00194976"/>
    <w:rsid w:val="00194B19"/>
    <w:rsid w:val="00194CA6"/>
    <w:rsid w:val="00194EB9"/>
    <w:rsid w:val="001954D2"/>
    <w:rsid w:val="00195AAF"/>
    <w:rsid w:val="00195D61"/>
    <w:rsid w:val="00195D6B"/>
    <w:rsid w:val="00195F24"/>
    <w:rsid w:val="001961DC"/>
    <w:rsid w:val="00196216"/>
    <w:rsid w:val="001965E5"/>
    <w:rsid w:val="00196690"/>
    <w:rsid w:val="00196CAD"/>
    <w:rsid w:val="00196F7E"/>
    <w:rsid w:val="001970F7"/>
    <w:rsid w:val="001975A7"/>
    <w:rsid w:val="001975C2"/>
    <w:rsid w:val="001977D7"/>
    <w:rsid w:val="0019782B"/>
    <w:rsid w:val="00197DA6"/>
    <w:rsid w:val="00197F61"/>
    <w:rsid w:val="001A0034"/>
    <w:rsid w:val="001A00FA"/>
    <w:rsid w:val="001A074C"/>
    <w:rsid w:val="001A08CB"/>
    <w:rsid w:val="001A09A8"/>
    <w:rsid w:val="001A0FC5"/>
    <w:rsid w:val="001A12D5"/>
    <w:rsid w:val="001A1767"/>
    <w:rsid w:val="001A1AE5"/>
    <w:rsid w:val="001A1E50"/>
    <w:rsid w:val="001A235A"/>
    <w:rsid w:val="001A23E3"/>
    <w:rsid w:val="001A2716"/>
    <w:rsid w:val="001A2885"/>
    <w:rsid w:val="001A30A3"/>
    <w:rsid w:val="001A31B7"/>
    <w:rsid w:val="001A321F"/>
    <w:rsid w:val="001A3B47"/>
    <w:rsid w:val="001A463B"/>
    <w:rsid w:val="001A4693"/>
    <w:rsid w:val="001A46C7"/>
    <w:rsid w:val="001A4901"/>
    <w:rsid w:val="001A4E2A"/>
    <w:rsid w:val="001A50DE"/>
    <w:rsid w:val="001A54BB"/>
    <w:rsid w:val="001A5525"/>
    <w:rsid w:val="001A5843"/>
    <w:rsid w:val="001A5B89"/>
    <w:rsid w:val="001A5C71"/>
    <w:rsid w:val="001A5DBD"/>
    <w:rsid w:val="001A6134"/>
    <w:rsid w:val="001A64FC"/>
    <w:rsid w:val="001A6691"/>
    <w:rsid w:val="001A69FB"/>
    <w:rsid w:val="001A6B49"/>
    <w:rsid w:val="001A6D86"/>
    <w:rsid w:val="001A6DA1"/>
    <w:rsid w:val="001A6E6A"/>
    <w:rsid w:val="001A6EC8"/>
    <w:rsid w:val="001A6F13"/>
    <w:rsid w:val="001A6F5D"/>
    <w:rsid w:val="001A7204"/>
    <w:rsid w:val="001A7272"/>
    <w:rsid w:val="001A73A9"/>
    <w:rsid w:val="001A7943"/>
    <w:rsid w:val="001A79BF"/>
    <w:rsid w:val="001A7B94"/>
    <w:rsid w:val="001A7C0D"/>
    <w:rsid w:val="001A7D2A"/>
    <w:rsid w:val="001A7E0E"/>
    <w:rsid w:val="001A7EAD"/>
    <w:rsid w:val="001B09A9"/>
    <w:rsid w:val="001B0A92"/>
    <w:rsid w:val="001B0B93"/>
    <w:rsid w:val="001B0E1B"/>
    <w:rsid w:val="001B0EE0"/>
    <w:rsid w:val="001B143B"/>
    <w:rsid w:val="001B14E1"/>
    <w:rsid w:val="001B159D"/>
    <w:rsid w:val="001B1714"/>
    <w:rsid w:val="001B1715"/>
    <w:rsid w:val="001B18A0"/>
    <w:rsid w:val="001B1BA9"/>
    <w:rsid w:val="001B1BE0"/>
    <w:rsid w:val="001B224B"/>
    <w:rsid w:val="001B2576"/>
    <w:rsid w:val="001B28CA"/>
    <w:rsid w:val="001B2F77"/>
    <w:rsid w:val="001B34BE"/>
    <w:rsid w:val="001B3536"/>
    <w:rsid w:val="001B357E"/>
    <w:rsid w:val="001B3A50"/>
    <w:rsid w:val="001B3FEB"/>
    <w:rsid w:val="001B409F"/>
    <w:rsid w:val="001B41A5"/>
    <w:rsid w:val="001B46A4"/>
    <w:rsid w:val="001B4944"/>
    <w:rsid w:val="001B4D7B"/>
    <w:rsid w:val="001B4E3A"/>
    <w:rsid w:val="001B4FBC"/>
    <w:rsid w:val="001B553F"/>
    <w:rsid w:val="001B57E1"/>
    <w:rsid w:val="001B5B23"/>
    <w:rsid w:val="001B5CF3"/>
    <w:rsid w:val="001B668E"/>
    <w:rsid w:val="001B6B8C"/>
    <w:rsid w:val="001B702B"/>
    <w:rsid w:val="001B7114"/>
    <w:rsid w:val="001B7192"/>
    <w:rsid w:val="001B723B"/>
    <w:rsid w:val="001B7D6F"/>
    <w:rsid w:val="001C01D6"/>
    <w:rsid w:val="001C0293"/>
    <w:rsid w:val="001C055C"/>
    <w:rsid w:val="001C0AF6"/>
    <w:rsid w:val="001C1C10"/>
    <w:rsid w:val="001C1FBA"/>
    <w:rsid w:val="001C2425"/>
    <w:rsid w:val="001C2455"/>
    <w:rsid w:val="001C246A"/>
    <w:rsid w:val="001C25DF"/>
    <w:rsid w:val="001C2651"/>
    <w:rsid w:val="001C28E3"/>
    <w:rsid w:val="001C2B24"/>
    <w:rsid w:val="001C2CA0"/>
    <w:rsid w:val="001C2DDB"/>
    <w:rsid w:val="001C3047"/>
    <w:rsid w:val="001C309D"/>
    <w:rsid w:val="001C30DB"/>
    <w:rsid w:val="001C326A"/>
    <w:rsid w:val="001C32A6"/>
    <w:rsid w:val="001C3801"/>
    <w:rsid w:val="001C3A35"/>
    <w:rsid w:val="001C3A67"/>
    <w:rsid w:val="001C406E"/>
    <w:rsid w:val="001C4395"/>
    <w:rsid w:val="001C45EB"/>
    <w:rsid w:val="001C48BB"/>
    <w:rsid w:val="001C4AFF"/>
    <w:rsid w:val="001C4C2C"/>
    <w:rsid w:val="001C4D06"/>
    <w:rsid w:val="001C504B"/>
    <w:rsid w:val="001C537E"/>
    <w:rsid w:val="001C5614"/>
    <w:rsid w:val="001C5A05"/>
    <w:rsid w:val="001C5DC5"/>
    <w:rsid w:val="001C5FAB"/>
    <w:rsid w:val="001C60CC"/>
    <w:rsid w:val="001C62B2"/>
    <w:rsid w:val="001C630A"/>
    <w:rsid w:val="001C6320"/>
    <w:rsid w:val="001C6975"/>
    <w:rsid w:val="001C6F1D"/>
    <w:rsid w:val="001C7192"/>
    <w:rsid w:val="001C7466"/>
    <w:rsid w:val="001C7808"/>
    <w:rsid w:val="001C7855"/>
    <w:rsid w:val="001C7A48"/>
    <w:rsid w:val="001C7B34"/>
    <w:rsid w:val="001C7FEE"/>
    <w:rsid w:val="001D006C"/>
    <w:rsid w:val="001D0101"/>
    <w:rsid w:val="001D0197"/>
    <w:rsid w:val="001D05DB"/>
    <w:rsid w:val="001D06B4"/>
    <w:rsid w:val="001D0A8D"/>
    <w:rsid w:val="001D1024"/>
    <w:rsid w:val="001D124D"/>
    <w:rsid w:val="001D1C32"/>
    <w:rsid w:val="001D2391"/>
    <w:rsid w:val="001D2A29"/>
    <w:rsid w:val="001D2FE8"/>
    <w:rsid w:val="001D32D1"/>
    <w:rsid w:val="001D3449"/>
    <w:rsid w:val="001D3529"/>
    <w:rsid w:val="001D356B"/>
    <w:rsid w:val="001D3702"/>
    <w:rsid w:val="001D3727"/>
    <w:rsid w:val="001D3A20"/>
    <w:rsid w:val="001D3B9C"/>
    <w:rsid w:val="001D3D34"/>
    <w:rsid w:val="001D42A1"/>
    <w:rsid w:val="001D4301"/>
    <w:rsid w:val="001D47D1"/>
    <w:rsid w:val="001D4895"/>
    <w:rsid w:val="001D499A"/>
    <w:rsid w:val="001D4B9C"/>
    <w:rsid w:val="001D4CB1"/>
    <w:rsid w:val="001D5598"/>
    <w:rsid w:val="001D5807"/>
    <w:rsid w:val="001D59F7"/>
    <w:rsid w:val="001D5B1D"/>
    <w:rsid w:val="001D5C00"/>
    <w:rsid w:val="001D5F15"/>
    <w:rsid w:val="001D6300"/>
    <w:rsid w:val="001D646A"/>
    <w:rsid w:val="001D6512"/>
    <w:rsid w:val="001D6AB3"/>
    <w:rsid w:val="001D6E16"/>
    <w:rsid w:val="001D7003"/>
    <w:rsid w:val="001D723A"/>
    <w:rsid w:val="001D729F"/>
    <w:rsid w:val="001D72D5"/>
    <w:rsid w:val="001D789E"/>
    <w:rsid w:val="001D7B47"/>
    <w:rsid w:val="001D7D4F"/>
    <w:rsid w:val="001D7D8E"/>
    <w:rsid w:val="001E0169"/>
    <w:rsid w:val="001E02B3"/>
    <w:rsid w:val="001E0481"/>
    <w:rsid w:val="001E0675"/>
    <w:rsid w:val="001E0D16"/>
    <w:rsid w:val="001E0D77"/>
    <w:rsid w:val="001E0D90"/>
    <w:rsid w:val="001E0FCF"/>
    <w:rsid w:val="001E10AC"/>
    <w:rsid w:val="001E132C"/>
    <w:rsid w:val="001E156B"/>
    <w:rsid w:val="001E1D30"/>
    <w:rsid w:val="001E1D6B"/>
    <w:rsid w:val="001E1FAB"/>
    <w:rsid w:val="001E1FCC"/>
    <w:rsid w:val="001E22B3"/>
    <w:rsid w:val="001E23FB"/>
    <w:rsid w:val="001E24EA"/>
    <w:rsid w:val="001E29E9"/>
    <w:rsid w:val="001E2B36"/>
    <w:rsid w:val="001E2B74"/>
    <w:rsid w:val="001E3268"/>
    <w:rsid w:val="001E3450"/>
    <w:rsid w:val="001E34FB"/>
    <w:rsid w:val="001E3549"/>
    <w:rsid w:val="001E35C4"/>
    <w:rsid w:val="001E3831"/>
    <w:rsid w:val="001E3B45"/>
    <w:rsid w:val="001E3EF6"/>
    <w:rsid w:val="001E415A"/>
    <w:rsid w:val="001E45EB"/>
    <w:rsid w:val="001E4805"/>
    <w:rsid w:val="001E4A04"/>
    <w:rsid w:val="001E4D81"/>
    <w:rsid w:val="001E5066"/>
    <w:rsid w:val="001E5308"/>
    <w:rsid w:val="001E539C"/>
    <w:rsid w:val="001E5471"/>
    <w:rsid w:val="001E5840"/>
    <w:rsid w:val="001E5A63"/>
    <w:rsid w:val="001E6E06"/>
    <w:rsid w:val="001E6F3A"/>
    <w:rsid w:val="001E6FF2"/>
    <w:rsid w:val="001E6FF7"/>
    <w:rsid w:val="001E74C9"/>
    <w:rsid w:val="001E756F"/>
    <w:rsid w:val="001F0016"/>
    <w:rsid w:val="001F002F"/>
    <w:rsid w:val="001F0376"/>
    <w:rsid w:val="001F0604"/>
    <w:rsid w:val="001F0F21"/>
    <w:rsid w:val="001F13D4"/>
    <w:rsid w:val="001F167E"/>
    <w:rsid w:val="001F1A87"/>
    <w:rsid w:val="001F1D51"/>
    <w:rsid w:val="001F2265"/>
    <w:rsid w:val="001F23D1"/>
    <w:rsid w:val="001F243A"/>
    <w:rsid w:val="001F2789"/>
    <w:rsid w:val="001F27A3"/>
    <w:rsid w:val="001F2865"/>
    <w:rsid w:val="001F2B28"/>
    <w:rsid w:val="001F2D1A"/>
    <w:rsid w:val="001F2F9C"/>
    <w:rsid w:val="001F33AB"/>
    <w:rsid w:val="001F3762"/>
    <w:rsid w:val="001F3940"/>
    <w:rsid w:val="001F39AF"/>
    <w:rsid w:val="001F4455"/>
    <w:rsid w:val="001F46F0"/>
    <w:rsid w:val="001F4A6D"/>
    <w:rsid w:val="001F4D4C"/>
    <w:rsid w:val="001F4E98"/>
    <w:rsid w:val="001F5015"/>
    <w:rsid w:val="001F5456"/>
    <w:rsid w:val="001F5458"/>
    <w:rsid w:val="001F58F8"/>
    <w:rsid w:val="001F5992"/>
    <w:rsid w:val="001F5A67"/>
    <w:rsid w:val="001F5D12"/>
    <w:rsid w:val="001F5E38"/>
    <w:rsid w:val="001F5ED5"/>
    <w:rsid w:val="001F5FE6"/>
    <w:rsid w:val="001F66D7"/>
    <w:rsid w:val="001F67B4"/>
    <w:rsid w:val="001F67F4"/>
    <w:rsid w:val="001F6AF8"/>
    <w:rsid w:val="001F6CDA"/>
    <w:rsid w:val="001F6F5B"/>
    <w:rsid w:val="001F7036"/>
    <w:rsid w:val="001F719A"/>
    <w:rsid w:val="001F72D7"/>
    <w:rsid w:val="001F73A2"/>
    <w:rsid w:val="001F73CD"/>
    <w:rsid w:val="001F77B7"/>
    <w:rsid w:val="001F7C6D"/>
    <w:rsid w:val="001F7D35"/>
    <w:rsid w:val="00200133"/>
    <w:rsid w:val="0020045C"/>
    <w:rsid w:val="00200874"/>
    <w:rsid w:val="0020096C"/>
    <w:rsid w:val="00200973"/>
    <w:rsid w:val="00200B0D"/>
    <w:rsid w:val="00200D7D"/>
    <w:rsid w:val="002019DD"/>
    <w:rsid w:val="00202270"/>
    <w:rsid w:val="0020241B"/>
    <w:rsid w:val="0020254A"/>
    <w:rsid w:val="00202581"/>
    <w:rsid w:val="00202774"/>
    <w:rsid w:val="002028D5"/>
    <w:rsid w:val="00202A43"/>
    <w:rsid w:val="00203890"/>
    <w:rsid w:val="002039C7"/>
    <w:rsid w:val="00203DDB"/>
    <w:rsid w:val="0020407A"/>
    <w:rsid w:val="00204150"/>
    <w:rsid w:val="00204572"/>
    <w:rsid w:val="002046D8"/>
    <w:rsid w:val="00205078"/>
    <w:rsid w:val="00205912"/>
    <w:rsid w:val="00205C82"/>
    <w:rsid w:val="00205D91"/>
    <w:rsid w:val="00205F2C"/>
    <w:rsid w:val="00205F61"/>
    <w:rsid w:val="002060D4"/>
    <w:rsid w:val="002060EB"/>
    <w:rsid w:val="0020681E"/>
    <w:rsid w:val="00206870"/>
    <w:rsid w:val="00206AEF"/>
    <w:rsid w:val="00206EED"/>
    <w:rsid w:val="002072FF"/>
    <w:rsid w:val="002073CC"/>
    <w:rsid w:val="00207679"/>
    <w:rsid w:val="002078E9"/>
    <w:rsid w:val="00207A74"/>
    <w:rsid w:val="00207AC2"/>
    <w:rsid w:val="00207BCF"/>
    <w:rsid w:val="00207C91"/>
    <w:rsid w:val="0021074B"/>
    <w:rsid w:val="002107F8"/>
    <w:rsid w:val="002109C0"/>
    <w:rsid w:val="00210E3C"/>
    <w:rsid w:val="00211162"/>
    <w:rsid w:val="002111E1"/>
    <w:rsid w:val="0021128A"/>
    <w:rsid w:val="0021136D"/>
    <w:rsid w:val="0021157D"/>
    <w:rsid w:val="0021176F"/>
    <w:rsid w:val="002117D6"/>
    <w:rsid w:val="00211AA9"/>
    <w:rsid w:val="00211CDD"/>
    <w:rsid w:val="00211EF6"/>
    <w:rsid w:val="00212057"/>
    <w:rsid w:val="0021208C"/>
    <w:rsid w:val="00212336"/>
    <w:rsid w:val="00212828"/>
    <w:rsid w:val="00212ACD"/>
    <w:rsid w:val="00212C61"/>
    <w:rsid w:val="00212D0B"/>
    <w:rsid w:val="00212ED7"/>
    <w:rsid w:val="00212FFB"/>
    <w:rsid w:val="002134BD"/>
    <w:rsid w:val="002134DF"/>
    <w:rsid w:val="002139BA"/>
    <w:rsid w:val="00213C43"/>
    <w:rsid w:val="0021418E"/>
    <w:rsid w:val="002141CA"/>
    <w:rsid w:val="002141DA"/>
    <w:rsid w:val="00214294"/>
    <w:rsid w:val="00214631"/>
    <w:rsid w:val="002149F5"/>
    <w:rsid w:val="00214A4E"/>
    <w:rsid w:val="00214BE8"/>
    <w:rsid w:val="00214DE1"/>
    <w:rsid w:val="00214EB2"/>
    <w:rsid w:val="00215137"/>
    <w:rsid w:val="00215219"/>
    <w:rsid w:val="00215545"/>
    <w:rsid w:val="002157ED"/>
    <w:rsid w:val="00215960"/>
    <w:rsid w:val="00215E3A"/>
    <w:rsid w:val="0021650F"/>
    <w:rsid w:val="002167E9"/>
    <w:rsid w:val="00216A96"/>
    <w:rsid w:val="00216BFD"/>
    <w:rsid w:val="00216DA7"/>
    <w:rsid w:val="00216FB7"/>
    <w:rsid w:val="0021716F"/>
    <w:rsid w:val="0021732F"/>
    <w:rsid w:val="002175DC"/>
    <w:rsid w:val="00217637"/>
    <w:rsid w:val="002179D5"/>
    <w:rsid w:val="00217C9C"/>
    <w:rsid w:val="00220039"/>
    <w:rsid w:val="002200C8"/>
    <w:rsid w:val="0022042C"/>
    <w:rsid w:val="0022059B"/>
    <w:rsid w:val="00220883"/>
    <w:rsid w:val="00220981"/>
    <w:rsid w:val="00220A43"/>
    <w:rsid w:val="00220A47"/>
    <w:rsid w:val="00220D27"/>
    <w:rsid w:val="0022100A"/>
    <w:rsid w:val="002210BD"/>
    <w:rsid w:val="0022131D"/>
    <w:rsid w:val="00221426"/>
    <w:rsid w:val="00221510"/>
    <w:rsid w:val="00221606"/>
    <w:rsid w:val="00221737"/>
    <w:rsid w:val="00221A36"/>
    <w:rsid w:val="00221D84"/>
    <w:rsid w:val="00221ED6"/>
    <w:rsid w:val="00221F70"/>
    <w:rsid w:val="00222001"/>
    <w:rsid w:val="002225A5"/>
    <w:rsid w:val="002227C4"/>
    <w:rsid w:val="0022290C"/>
    <w:rsid w:val="00222CAA"/>
    <w:rsid w:val="00222D01"/>
    <w:rsid w:val="00222F74"/>
    <w:rsid w:val="00222FDE"/>
    <w:rsid w:val="00223353"/>
    <w:rsid w:val="002234ED"/>
    <w:rsid w:val="002236F5"/>
    <w:rsid w:val="00223BCE"/>
    <w:rsid w:val="00223BEA"/>
    <w:rsid w:val="00223FE4"/>
    <w:rsid w:val="00224018"/>
    <w:rsid w:val="0022408B"/>
    <w:rsid w:val="00224436"/>
    <w:rsid w:val="002246E5"/>
    <w:rsid w:val="0022475B"/>
    <w:rsid w:val="0022481B"/>
    <w:rsid w:val="002249C4"/>
    <w:rsid w:val="00224B8B"/>
    <w:rsid w:val="00224BE5"/>
    <w:rsid w:val="00224DB0"/>
    <w:rsid w:val="002251C9"/>
    <w:rsid w:val="0022559B"/>
    <w:rsid w:val="0022590E"/>
    <w:rsid w:val="00225D14"/>
    <w:rsid w:val="00225E25"/>
    <w:rsid w:val="0022626C"/>
    <w:rsid w:val="002267D8"/>
    <w:rsid w:val="00226B4B"/>
    <w:rsid w:val="00226DB6"/>
    <w:rsid w:val="00226EB5"/>
    <w:rsid w:val="00226FDA"/>
    <w:rsid w:val="00227121"/>
    <w:rsid w:val="0022726D"/>
    <w:rsid w:val="002274C4"/>
    <w:rsid w:val="00227609"/>
    <w:rsid w:val="00227901"/>
    <w:rsid w:val="002279BB"/>
    <w:rsid w:val="00227DDC"/>
    <w:rsid w:val="002302C0"/>
    <w:rsid w:val="00230443"/>
    <w:rsid w:val="0023064D"/>
    <w:rsid w:val="00230824"/>
    <w:rsid w:val="00230E90"/>
    <w:rsid w:val="00230FC5"/>
    <w:rsid w:val="002310EA"/>
    <w:rsid w:val="00231353"/>
    <w:rsid w:val="002313E9"/>
    <w:rsid w:val="0023189B"/>
    <w:rsid w:val="00231A7D"/>
    <w:rsid w:val="00231BB6"/>
    <w:rsid w:val="00231D4A"/>
    <w:rsid w:val="00232328"/>
    <w:rsid w:val="00232345"/>
    <w:rsid w:val="0023241C"/>
    <w:rsid w:val="0023254B"/>
    <w:rsid w:val="002328C1"/>
    <w:rsid w:val="002329DB"/>
    <w:rsid w:val="00232A7F"/>
    <w:rsid w:val="002332A3"/>
    <w:rsid w:val="0023359D"/>
    <w:rsid w:val="002338C8"/>
    <w:rsid w:val="00233D21"/>
    <w:rsid w:val="00234149"/>
    <w:rsid w:val="00234187"/>
    <w:rsid w:val="0023426A"/>
    <w:rsid w:val="002342E4"/>
    <w:rsid w:val="0023448D"/>
    <w:rsid w:val="002345E6"/>
    <w:rsid w:val="002345EE"/>
    <w:rsid w:val="00234895"/>
    <w:rsid w:val="00234AC5"/>
    <w:rsid w:val="00234D1D"/>
    <w:rsid w:val="00235278"/>
    <w:rsid w:val="002356B8"/>
    <w:rsid w:val="00235792"/>
    <w:rsid w:val="00236060"/>
    <w:rsid w:val="0023655B"/>
    <w:rsid w:val="002366A4"/>
    <w:rsid w:val="00236728"/>
    <w:rsid w:val="0023686C"/>
    <w:rsid w:val="00236935"/>
    <w:rsid w:val="00236C6D"/>
    <w:rsid w:val="00236FDC"/>
    <w:rsid w:val="002370FE"/>
    <w:rsid w:val="002371AE"/>
    <w:rsid w:val="00237263"/>
    <w:rsid w:val="002375DE"/>
    <w:rsid w:val="00237698"/>
    <w:rsid w:val="002379A8"/>
    <w:rsid w:val="00237A89"/>
    <w:rsid w:val="00237F5D"/>
    <w:rsid w:val="0024021A"/>
    <w:rsid w:val="00240262"/>
    <w:rsid w:val="00240305"/>
    <w:rsid w:val="002408BA"/>
    <w:rsid w:val="00240972"/>
    <w:rsid w:val="002409F4"/>
    <w:rsid w:val="002409FB"/>
    <w:rsid w:val="00240BD5"/>
    <w:rsid w:val="00240CE6"/>
    <w:rsid w:val="00240DED"/>
    <w:rsid w:val="00240EAE"/>
    <w:rsid w:val="002413AB"/>
    <w:rsid w:val="002416BA"/>
    <w:rsid w:val="002418D1"/>
    <w:rsid w:val="00241A20"/>
    <w:rsid w:val="00241C3C"/>
    <w:rsid w:val="0024223D"/>
    <w:rsid w:val="002423D6"/>
    <w:rsid w:val="00242C84"/>
    <w:rsid w:val="00243229"/>
    <w:rsid w:val="00243328"/>
    <w:rsid w:val="002433D8"/>
    <w:rsid w:val="0024354D"/>
    <w:rsid w:val="00243739"/>
    <w:rsid w:val="00243C88"/>
    <w:rsid w:val="00243D80"/>
    <w:rsid w:val="002440DD"/>
    <w:rsid w:val="002440E5"/>
    <w:rsid w:val="002440E7"/>
    <w:rsid w:val="0024479D"/>
    <w:rsid w:val="00244A53"/>
    <w:rsid w:val="00244E57"/>
    <w:rsid w:val="00245047"/>
    <w:rsid w:val="0024505F"/>
    <w:rsid w:val="00245154"/>
    <w:rsid w:val="0024550C"/>
    <w:rsid w:val="0024598C"/>
    <w:rsid w:val="00245AB1"/>
    <w:rsid w:val="00245AF1"/>
    <w:rsid w:val="00245BD1"/>
    <w:rsid w:val="00245C48"/>
    <w:rsid w:val="002461FF"/>
    <w:rsid w:val="00246345"/>
    <w:rsid w:val="00246551"/>
    <w:rsid w:val="002465CF"/>
    <w:rsid w:val="00246876"/>
    <w:rsid w:val="00246DC1"/>
    <w:rsid w:val="00246E78"/>
    <w:rsid w:val="00247209"/>
    <w:rsid w:val="0024727A"/>
    <w:rsid w:val="002472C1"/>
    <w:rsid w:val="00247C3C"/>
    <w:rsid w:val="00247C47"/>
    <w:rsid w:val="00250197"/>
    <w:rsid w:val="002508D7"/>
    <w:rsid w:val="00250B4F"/>
    <w:rsid w:val="00250F4D"/>
    <w:rsid w:val="002512B2"/>
    <w:rsid w:val="00251C11"/>
    <w:rsid w:val="00251FAC"/>
    <w:rsid w:val="00252113"/>
    <w:rsid w:val="0025237A"/>
    <w:rsid w:val="002525EF"/>
    <w:rsid w:val="0025271E"/>
    <w:rsid w:val="0025287E"/>
    <w:rsid w:val="002528DB"/>
    <w:rsid w:val="00252993"/>
    <w:rsid w:val="00252AAC"/>
    <w:rsid w:val="00253034"/>
    <w:rsid w:val="0025318C"/>
    <w:rsid w:val="00253315"/>
    <w:rsid w:val="002537CE"/>
    <w:rsid w:val="00253988"/>
    <w:rsid w:val="00253989"/>
    <w:rsid w:val="00253B62"/>
    <w:rsid w:val="00253F78"/>
    <w:rsid w:val="00253FAC"/>
    <w:rsid w:val="00254061"/>
    <w:rsid w:val="002545C9"/>
    <w:rsid w:val="002546D7"/>
    <w:rsid w:val="00254AE2"/>
    <w:rsid w:val="00254B2F"/>
    <w:rsid w:val="00254DBA"/>
    <w:rsid w:val="002552AE"/>
    <w:rsid w:val="00255598"/>
    <w:rsid w:val="0025575F"/>
    <w:rsid w:val="002558F9"/>
    <w:rsid w:val="00255A95"/>
    <w:rsid w:val="00255D14"/>
    <w:rsid w:val="002561E9"/>
    <w:rsid w:val="00256531"/>
    <w:rsid w:val="00256854"/>
    <w:rsid w:val="0025695B"/>
    <w:rsid w:val="00256EBA"/>
    <w:rsid w:val="00256F24"/>
    <w:rsid w:val="00256F81"/>
    <w:rsid w:val="00256FEE"/>
    <w:rsid w:val="00257300"/>
    <w:rsid w:val="0025778D"/>
    <w:rsid w:val="00257AA7"/>
    <w:rsid w:val="00257D5A"/>
    <w:rsid w:val="00260126"/>
    <w:rsid w:val="00260165"/>
    <w:rsid w:val="00260424"/>
    <w:rsid w:val="002604D8"/>
    <w:rsid w:val="00260695"/>
    <w:rsid w:val="00260877"/>
    <w:rsid w:val="00261524"/>
    <w:rsid w:val="00261CB8"/>
    <w:rsid w:val="00261D15"/>
    <w:rsid w:val="00261DC8"/>
    <w:rsid w:val="00261DDE"/>
    <w:rsid w:val="00261F2F"/>
    <w:rsid w:val="0026258F"/>
    <w:rsid w:val="002625F2"/>
    <w:rsid w:val="00262982"/>
    <w:rsid w:val="00262D00"/>
    <w:rsid w:val="00262E00"/>
    <w:rsid w:val="00263563"/>
    <w:rsid w:val="00263843"/>
    <w:rsid w:val="002638D3"/>
    <w:rsid w:val="002638FB"/>
    <w:rsid w:val="00263C00"/>
    <w:rsid w:val="00263C2C"/>
    <w:rsid w:val="00263DD3"/>
    <w:rsid w:val="002641F6"/>
    <w:rsid w:val="00264631"/>
    <w:rsid w:val="00264840"/>
    <w:rsid w:val="00264AB9"/>
    <w:rsid w:val="00264B98"/>
    <w:rsid w:val="00264BFE"/>
    <w:rsid w:val="00264D26"/>
    <w:rsid w:val="00264F7B"/>
    <w:rsid w:val="0026551B"/>
    <w:rsid w:val="00265538"/>
    <w:rsid w:val="00265559"/>
    <w:rsid w:val="002655AD"/>
    <w:rsid w:val="00265E17"/>
    <w:rsid w:val="00265EAB"/>
    <w:rsid w:val="00266242"/>
    <w:rsid w:val="002667F1"/>
    <w:rsid w:val="00267190"/>
    <w:rsid w:val="002673A7"/>
    <w:rsid w:val="0026760C"/>
    <w:rsid w:val="00267633"/>
    <w:rsid w:val="0026797A"/>
    <w:rsid w:val="00267B28"/>
    <w:rsid w:val="00267EC7"/>
    <w:rsid w:val="00267FEF"/>
    <w:rsid w:val="0027013D"/>
    <w:rsid w:val="00270402"/>
    <w:rsid w:val="002708A6"/>
    <w:rsid w:val="00270B9E"/>
    <w:rsid w:val="0027119D"/>
    <w:rsid w:val="00271247"/>
    <w:rsid w:val="0027132A"/>
    <w:rsid w:val="00271483"/>
    <w:rsid w:val="0027174D"/>
    <w:rsid w:val="00271CE4"/>
    <w:rsid w:val="00271D54"/>
    <w:rsid w:val="002721B0"/>
    <w:rsid w:val="00272360"/>
    <w:rsid w:val="00272CDC"/>
    <w:rsid w:val="00272E83"/>
    <w:rsid w:val="0027302F"/>
    <w:rsid w:val="0027319B"/>
    <w:rsid w:val="002732FD"/>
    <w:rsid w:val="00273B0D"/>
    <w:rsid w:val="00273B2F"/>
    <w:rsid w:val="00273EE1"/>
    <w:rsid w:val="002740D9"/>
    <w:rsid w:val="002742E2"/>
    <w:rsid w:val="00274522"/>
    <w:rsid w:val="00274CE5"/>
    <w:rsid w:val="00274F3E"/>
    <w:rsid w:val="002752BB"/>
    <w:rsid w:val="00275956"/>
    <w:rsid w:val="00275B20"/>
    <w:rsid w:val="00275CB6"/>
    <w:rsid w:val="00276040"/>
    <w:rsid w:val="00276345"/>
    <w:rsid w:val="0027673F"/>
    <w:rsid w:val="0027679A"/>
    <w:rsid w:val="002769CA"/>
    <w:rsid w:val="00276CC1"/>
    <w:rsid w:val="00276D14"/>
    <w:rsid w:val="00276F08"/>
    <w:rsid w:val="00276FE0"/>
    <w:rsid w:val="00277217"/>
    <w:rsid w:val="0027756D"/>
    <w:rsid w:val="00277661"/>
    <w:rsid w:val="00277690"/>
    <w:rsid w:val="00277813"/>
    <w:rsid w:val="00277A99"/>
    <w:rsid w:val="002800C5"/>
    <w:rsid w:val="00280147"/>
    <w:rsid w:val="0028017F"/>
    <w:rsid w:val="00280716"/>
    <w:rsid w:val="00280B1B"/>
    <w:rsid w:val="00280B34"/>
    <w:rsid w:val="00280BF4"/>
    <w:rsid w:val="00280EA4"/>
    <w:rsid w:val="00281755"/>
    <w:rsid w:val="00281C97"/>
    <w:rsid w:val="002822F0"/>
    <w:rsid w:val="002823D5"/>
    <w:rsid w:val="00282483"/>
    <w:rsid w:val="00282804"/>
    <w:rsid w:val="00282907"/>
    <w:rsid w:val="002829D9"/>
    <w:rsid w:val="00283A1F"/>
    <w:rsid w:val="00283ACF"/>
    <w:rsid w:val="00283F07"/>
    <w:rsid w:val="00284003"/>
    <w:rsid w:val="00284157"/>
    <w:rsid w:val="00284163"/>
    <w:rsid w:val="00284751"/>
    <w:rsid w:val="00284A72"/>
    <w:rsid w:val="0028507B"/>
    <w:rsid w:val="0028532D"/>
    <w:rsid w:val="002855ED"/>
    <w:rsid w:val="002856F5"/>
    <w:rsid w:val="002857FF"/>
    <w:rsid w:val="00285A99"/>
    <w:rsid w:val="00285B1B"/>
    <w:rsid w:val="00285CDC"/>
    <w:rsid w:val="00285D14"/>
    <w:rsid w:val="00285DEE"/>
    <w:rsid w:val="00286006"/>
    <w:rsid w:val="002864D6"/>
    <w:rsid w:val="00286742"/>
    <w:rsid w:val="00286ABD"/>
    <w:rsid w:val="00286CA3"/>
    <w:rsid w:val="00286F2E"/>
    <w:rsid w:val="00287161"/>
    <w:rsid w:val="00287A09"/>
    <w:rsid w:val="00287DF4"/>
    <w:rsid w:val="002904B0"/>
    <w:rsid w:val="002907E2"/>
    <w:rsid w:val="00290B4A"/>
    <w:rsid w:val="00290BF8"/>
    <w:rsid w:val="00290C57"/>
    <w:rsid w:val="002916CC"/>
    <w:rsid w:val="002917CD"/>
    <w:rsid w:val="00291818"/>
    <w:rsid w:val="00291AB7"/>
    <w:rsid w:val="00291DD2"/>
    <w:rsid w:val="00291E17"/>
    <w:rsid w:val="00291E6B"/>
    <w:rsid w:val="00292072"/>
    <w:rsid w:val="0029220A"/>
    <w:rsid w:val="002923B0"/>
    <w:rsid w:val="002923FF"/>
    <w:rsid w:val="002926C1"/>
    <w:rsid w:val="002928FE"/>
    <w:rsid w:val="0029298C"/>
    <w:rsid w:val="00292ADF"/>
    <w:rsid w:val="00292B7F"/>
    <w:rsid w:val="00292E1B"/>
    <w:rsid w:val="00292F7C"/>
    <w:rsid w:val="0029347C"/>
    <w:rsid w:val="00293C25"/>
    <w:rsid w:val="00293E2D"/>
    <w:rsid w:val="00293F29"/>
    <w:rsid w:val="00293FAA"/>
    <w:rsid w:val="002940A3"/>
    <w:rsid w:val="002941DD"/>
    <w:rsid w:val="002945C3"/>
    <w:rsid w:val="002945C8"/>
    <w:rsid w:val="00295178"/>
    <w:rsid w:val="0029569F"/>
    <w:rsid w:val="00295B6F"/>
    <w:rsid w:val="0029602C"/>
    <w:rsid w:val="00296444"/>
    <w:rsid w:val="002967DB"/>
    <w:rsid w:val="00296B5B"/>
    <w:rsid w:val="00296BC4"/>
    <w:rsid w:val="00297063"/>
    <w:rsid w:val="002970D4"/>
    <w:rsid w:val="002974A5"/>
    <w:rsid w:val="00297734"/>
    <w:rsid w:val="00297E5C"/>
    <w:rsid w:val="00297FA4"/>
    <w:rsid w:val="002A003F"/>
    <w:rsid w:val="002A0137"/>
    <w:rsid w:val="002A066E"/>
    <w:rsid w:val="002A06CB"/>
    <w:rsid w:val="002A0864"/>
    <w:rsid w:val="002A0FF0"/>
    <w:rsid w:val="002A13C1"/>
    <w:rsid w:val="002A162E"/>
    <w:rsid w:val="002A16A3"/>
    <w:rsid w:val="002A17AC"/>
    <w:rsid w:val="002A19FD"/>
    <w:rsid w:val="002A22CF"/>
    <w:rsid w:val="002A2304"/>
    <w:rsid w:val="002A2665"/>
    <w:rsid w:val="002A2BDE"/>
    <w:rsid w:val="002A2CCA"/>
    <w:rsid w:val="002A30DB"/>
    <w:rsid w:val="002A3199"/>
    <w:rsid w:val="002A340A"/>
    <w:rsid w:val="002A3940"/>
    <w:rsid w:val="002A3D34"/>
    <w:rsid w:val="002A3E53"/>
    <w:rsid w:val="002A41B1"/>
    <w:rsid w:val="002A4231"/>
    <w:rsid w:val="002A4291"/>
    <w:rsid w:val="002A47EB"/>
    <w:rsid w:val="002A4C05"/>
    <w:rsid w:val="002A4E00"/>
    <w:rsid w:val="002A50CF"/>
    <w:rsid w:val="002A516C"/>
    <w:rsid w:val="002A5591"/>
    <w:rsid w:val="002A55A2"/>
    <w:rsid w:val="002A5733"/>
    <w:rsid w:val="002A5907"/>
    <w:rsid w:val="002A5EF1"/>
    <w:rsid w:val="002A6034"/>
    <w:rsid w:val="002A638E"/>
    <w:rsid w:val="002A6682"/>
    <w:rsid w:val="002A6A09"/>
    <w:rsid w:val="002A702B"/>
    <w:rsid w:val="002A71FF"/>
    <w:rsid w:val="002A739A"/>
    <w:rsid w:val="002A78DD"/>
    <w:rsid w:val="002A7BE1"/>
    <w:rsid w:val="002A7FEA"/>
    <w:rsid w:val="002B0000"/>
    <w:rsid w:val="002B0453"/>
    <w:rsid w:val="002B0649"/>
    <w:rsid w:val="002B096F"/>
    <w:rsid w:val="002B0B4D"/>
    <w:rsid w:val="002B0BA3"/>
    <w:rsid w:val="002B1143"/>
    <w:rsid w:val="002B12EF"/>
    <w:rsid w:val="002B1694"/>
    <w:rsid w:val="002B1758"/>
    <w:rsid w:val="002B1764"/>
    <w:rsid w:val="002B1C3C"/>
    <w:rsid w:val="002B2888"/>
    <w:rsid w:val="002B2947"/>
    <w:rsid w:val="002B294D"/>
    <w:rsid w:val="002B2962"/>
    <w:rsid w:val="002B30E4"/>
    <w:rsid w:val="002B3397"/>
    <w:rsid w:val="002B3398"/>
    <w:rsid w:val="002B349C"/>
    <w:rsid w:val="002B3573"/>
    <w:rsid w:val="002B397C"/>
    <w:rsid w:val="002B3DAC"/>
    <w:rsid w:val="002B3E57"/>
    <w:rsid w:val="002B3EA1"/>
    <w:rsid w:val="002B40B1"/>
    <w:rsid w:val="002B481D"/>
    <w:rsid w:val="002B48A1"/>
    <w:rsid w:val="002B4B57"/>
    <w:rsid w:val="002B4C33"/>
    <w:rsid w:val="002B4CEC"/>
    <w:rsid w:val="002B54DD"/>
    <w:rsid w:val="002B568A"/>
    <w:rsid w:val="002B5704"/>
    <w:rsid w:val="002B5BD8"/>
    <w:rsid w:val="002B5D8C"/>
    <w:rsid w:val="002B6129"/>
    <w:rsid w:val="002B6130"/>
    <w:rsid w:val="002B6185"/>
    <w:rsid w:val="002B62A9"/>
    <w:rsid w:val="002B64C8"/>
    <w:rsid w:val="002B6929"/>
    <w:rsid w:val="002B6B2B"/>
    <w:rsid w:val="002B6D33"/>
    <w:rsid w:val="002B6EFE"/>
    <w:rsid w:val="002B705A"/>
    <w:rsid w:val="002B7071"/>
    <w:rsid w:val="002B75C9"/>
    <w:rsid w:val="002B7899"/>
    <w:rsid w:val="002B7B47"/>
    <w:rsid w:val="002B7C27"/>
    <w:rsid w:val="002B7ECE"/>
    <w:rsid w:val="002C00DE"/>
    <w:rsid w:val="002C040A"/>
    <w:rsid w:val="002C07E1"/>
    <w:rsid w:val="002C084F"/>
    <w:rsid w:val="002C0E15"/>
    <w:rsid w:val="002C1036"/>
    <w:rsid w:val="002C1AF5"/>
    <w:rsid w:val="002C1EFE"/>
    <w:rsid w:val="002C2163"/>
    <w:rsid w:val="002C22B0"/>
    <w:rsid w:val="002C22F0"/>
    <w:rsid w:val="002C2636"/>
    <w:rsid w:val="002C2D3E"/>
    <w:rsid w:val="002C2D48"/>
    <w:rsid w:val="002C33C6"/>
    <w:rsid w:val="002C3611"/>
    <w:rsid w:val="002C3684"/>
    <w:rsid w:val="002C382D"/>
    <w:rsid w:val="002C3F8C"/>
    <w:rsid w:val="002C4141"/>
    <w:rsid w:val="002C421E"/>
    <w:rsid w:val="002C44C7"/>
    <w:rsid w:val="002C49B9"/>
    <w:rsid w:val="002C4B2B"/>
    <w:rsid w:val="002C4B2F"/>
    <w:rsid w:val="002C4E84"/>
    <w:rsid w:val="002C5312"/>
    <w:rsid w:val="002C53AB"/>
    <w:rsid w:val="002C5512"/>
    <w:rsid w:val="002C55C7"/>
    <w:rsid w:val="002C5F22"/>
    <w:rsid w:val="002C6472"/>
    <w:rsid w:val="002C6716"/>
    <w:rsid w:val="002C698B"/>
    <w:rsid w:val="002C6A4E"/>
    <w:rsid w:val="002C6C4D"/>
    <w:rsid w:val="002C6EBB"/>
    <w:rsid w:val="002C6F15"/>
    <w:rsid w:val="002C737B"/>
    <w:rsid w:val="002C75B2"/>
    <w:rsid w:val="002C766C"/>
    <w:rsid w:val="002C78EB"/>
    <w:rsid w:val="002C7A45"/>
    <w:rsid w:val="002C7C96"/>
    <w:rsid w:val="002D014C"/>
    <w:rsid w:val="002D03EC"/>
    <w:rsid w:val="002D0462"/>
    <w:rsid w:val="002D086E"/>
    <w:rsid w:val="002D0A95"/>
    <w:rsid w:val="002D0C50"/>
    <w:rsid w:val="002D18A0"/>
    <w:rsid w:val="002D198E"/>
    <w:rsid w:val="002D1A45"/>
    <w:rsid w:val="002D283D"/>
    <w:rsid w:val="002D2A8F"/>
    <w:rsid w:val="002D2BC7"/>
    <w:rsid w:val="002D2F6B"/>
    <w:rsid w:val="002D3153"/>
    <w:rsid w:val="002D3311"/>
    <w:rsid w:val="002D371C"/>
    <w:rsid w:val="002D37AA"/>
    <w:rsid w:val="002D3817"/>
    <w:rsid w:val="002D38A8"/>
    <w:rsid w:val="002D38B5"/>
    <w:rsid w:val="002D3A42"/>
    <w:rsid w:val="002D3BAC"/>
    <w:rsid w:val="002D3F06"/>
    <w:rsid w:val="002D3FC1"/>
    <w:rsid w:val="002D4532"/>
    <w:rsid w:val="002D462B"/>
    <w:rsid w:val="002D51D6"/>
    <w:rsid w:val="002D540A"/>
    <w:rsid w:val="002D5428"/>
    <w:rsid w:val="002D567D"/>
    <w:rsid w:val="002D5928"/>
    <w:rsid w:val="002D5E47"/>
    <w:rsid w:val="002D60D8"/>
    <w:rsid w:val="002D667B"/>
    <w:rsid w:val="002D6F3D"/>
    <w:rsid w:val="002D76D5"/>
    <w:rsid w:val="002D77DD"/>
    <w:rsid w:val="002D785F"/>
    <w:rsid w:val="002D7D26"/>
    <w:rsid w:val="002D7DF6"/>
    <w:rsid w:val="002D7E49"/>
    <w:rsid w:val="002E008F"/>
    <w:rsid w:val="002E01CA"/>
    <w:rsid w:val="002E08B6"/>
    <w:rsid w:val="002E0B40"/>
    <w:rsid w:val="002E1191"/>
    <w:rsid w:val="002E14C3"/>
    <w:rsid w:val="002E14C7"/>
    <w:rsid w:val="002E19D7"/>
    <w:rsid w:val="002E1D43"/>
    <w:rsid w:val="002E218A"/>
    <w:rsid w:val="002E22A9"/>
    <w:rsid w:val="002E23AD"/>
    <w:rsid w:val="002E24E5"/>
    <w:rsid w:val="002E2DA3"/>
    <w:rsid w:val="002E2F21"/>
    <w:rsid w:val="002E3044"/>
    <w:rsid w:val="002E3124"/>
    <w:rsid w:val="002E31DA"/>
    <w:rsid w:val="002E32AB"/>
    <w:rsid w:val="002E36F3"/>
    <w:rsid w:val="002E3B8E"/>
    <w:rsid w:val="002E3BE1"/>
    <w:rsid w:val="002E3E74"/>
    <w:rsid w:val="002E4011"/>
    <w:rsid w:val="002E4061"/>
    <w:rsid w:val="002E416A"/>
    <w:rsid w:val="002E43FE"/>
    <w:rsid w:val="002E4530"/>
    <w:rsid w:val="002E4634"/>
    <w:rsid w:val="002E46A5"/>
    <w:rsid w:val="002E48A1"/>
    <w:rsid w:val="002E4ACB"/>
    <w:rsid w:val="002E4EAA"/>
    <w:rsid w:val="002E5293"/>
    <w:rsid w:val="002E5AA4"/>
    <w:rsid w:val="002E5EB3"/>
    <w:rsid w:val="002E6D04"/>
    <w:rsid w:val="002E6DF2"/>
    <w:rsid w:val="002E6EE9"/>
    <w:rsid w:val="002E70A3"/>
    <w:rsid w:val="002E742B"/>
    <w:rsid w:val="002E7446"/>
    <w:rsid w:val="002E74BB"/>
    <w:rsid w:val="002E778C"/>
    <w:rsid w:val="002E7BB1"/>
    <w:rsid w:val="002E7DF3"/>
    <w:rsid w:val="002E7F16"/>
    <w:rsid w:val="002F00A6"/>
    <w:rsid w:val="002F0737"/>
    <w:rsid w:val="002F07C4"/>
    <w:rsid w:val="002F07DD"/>
    <w:rsid w:val="002F0A44"/>
    <w:rsid w:val="002F0DC1"/>
    <w:rsid w:val="002F0FA7"/>
    <w:rsid w:val="002F119C"/>
    <w:rsid w:val="002F1268"/>
    <w:rsid w:val="002F16FC"/>
    <w:rsid w:val="002F18A3"/>
    <w:rsid w:val="002F1C38"/>
    <w:rsid w:val="002F1D39"/>
    <w:rsid w:val="002F1F45"/>
    <w:rsid w:val="002F21D7"/>
    <w:rsid w:val="002F238E"/>
    <w:rsid w:val="002F239C"/>
    <w:rsid w:val="002F252A"/>
    <w:rsid w:val="002F2677"/>
    <w:rsid w:val="002F2744"/>
    <w:rsid w:val="002F2EBC"/>
    <w:rsid w:val="002F31B8"/>
    <w:rsid w:val="002F3586"/>
    <w:rsid w:val="002F373B"/>
    <w:rsid w:val="002F3A60"/>
    <w:rsid w:val="002F3D95"/>
    <w:rsid w:val="002F3E23"/>
    <w:rsid w:val="002F3EA1"/>
    <w:rsid w:val="002F4278"/>
    <w:rsid w:val="002F43FB"/>
    <w:rsid w:val="002F47F3"/>
    <w:rsid w:val="002F49F7"/>
    <w:rsid w:val="002F4A2E"/>
    <w:rsid w:val="002F4BCA"/>
    <w:rsid w:val="002F4DB2"/>
    <w:rsid w:val="002F4E20"/>
    <w:rsid w:val="002F4FAD"/>
    <w:rsid w:val="002F5032"/>
    <w:rsid w:val="002F51E5"/>
    <w:rsid w:val="002F56F7"/>
    <w:rsid w:val="002F57D1"/>
    <w:rsid w:val="002F588E"/>
    <w:rsid w:val="002F58F8"/>
    <w:rsid w:val="002F59F8"/>
    <w:rsid w:val="002F5A8D"/>
    <w:rsid w:val="002F5AFE"/>
    <w:rsid w:val="002F5B72"/>
    <w:rsid w:val="002F5BD6"/>
    <w:rsid w:val="002F5CC7"/>
    <w:rsid w:val="002F5DE4"/>
    <w:rsid w:val="002F5F87"/>
    <w:rsid w:val="002F62B0"/>
    <w:rsid w:val="002F6339"/>
    <w:rsid w:val="002F660B"/>
    <w:rsid w:val="002F6A1E"/>
    <w:rsid w:val="002F6CB7"/>
    <w:rsid w:val="002F6DED"/>
    <w:rsid w:val="002F6ECB"/>
    <w:rsid w:val="002F7A11"/>
    <w:rsid w:val="002F7CE2"/>
    <w:rsid w:val="00300477"/>
    <w:rsid w:val="00300780"/>
    <w:rsid w:val="003007ED"/>
    <w:rsid w:val="00300D7B"/>
    <w:rsid w:val="00301045"/>
    <w:rsid w:val="00301099"/>
    <w:rsid w:val="00301745"/>
    <w:rsid w:val="0030174A"/>
    <w:rsid w:val="003019A3"/>
    <w:rsid w:val="00301A7B"/>
    <w:rsid w:val="00301AA8"/>
    <w:rsid w:val="00301DF8"/>
    <w:rsid w:val="00302DFA"/>
    <w:rsid w:val="00302E1D"/>
    <w:rsid w:val="00302F2C"/>
    <w:rsid w:val="00303072"/>
    <w:rsid w:val="00303151"/>
    <w:rsid w:val="00303252"/>
    <w:rsid w:val="0030348D"/>
    <w:rsid w:val="003040A5"/>
    <w:rsid w:val="00304654"/>
    <w:rsid w:val="003046F5"/>
    <w:rsid w:val="00304857"/>
    <w:rsid w:val="00304994"/>
    <w:rsid w:val="00304A9B"/>
    <w:rsid w:val="00304B30"/>
    <w:rsid w:val="00304BB2"/>
    <w:rsid w:val="00304C4E"/>
    <w:rsid w:val="00304CB4"/>
    <w:rsid w:val="00304D13"/>
    <w:rsid w:val="00304DAF"/>
    <w:rsid w:val="00304E14"/>
    <w:rsid w:val="00304F9A"/>
    <w:rsid w:val="00305451"/>
    <w:rsid w:val="003056D5"/>
    <w:rsid w:val="003057C7"/>
    <w:rsid w:val="003058E0"/>
    <w:rsid w:val="00305A3E"/>
    <w:rsid w:val="00305B44"/>
    <w:rsid w:val="00305B5D"/>
    <w:rsid w:val="00305DAC"/>
    <w:rsid w:val="00305F40"/>
    <w:rsid w:val="00306318"/>
    <w:rsid w:val="003063D5"/>
    <w:rsid w:val="003067E4"/>
    <w:rsid w:val="0030693B"/>
    <w:rsid w:val="00306973"/>
    <w:rsid w:val="00306AA8"/>
    <w:rsid w:val="00306DB7"/>
    <w:rsid w:val="00306F06"/>
    <w:rsid w:val="00307591"/>
    <w:rsid w:val="00307654"/>
    <w:rsid w:val="0030775A"/>
    <w:rsid w:val="00307C3D"/>
    <w:rsid w:val="003100A4"/>
    <w:rsid w:val="0031015D"/>
    <w:rsid w:val="003104B3"/>
    <w:rsid w:val="0031082B"/>
    <w:rsid w:val="003108A4"/>
    <w:rsid w:val="00310963"/>
    <w:rsid w:val="00310E6C"/>
    <w:rsid w:val="003110CF"/>
    <w:rsid w:val="0031145C"/>
    <w:rsid w:val="003114D9"/>
    <w:rsid w:val="003121EE"/>
    <w:rsid w:val="00312212"/>
    <w:rsid w:val="00312507"/>
    <w:rsid w:val="00312799"/>
    <w:rsid w:val="00312B32"/>
    <w:rsid w:val="00312B8D"/>
    <w:rsid w:val="00313226"/>
    <w:rsid w:val="0031324F"/>
    <w:rsid w:val="0031337C"/>
    <w:rsid w:val="00313A14"/>
    <w:rsid w:val="00313DB5"/>
    <w:rsid w:val="00313EBD"/>
    <w:rsid w:val="00313EEC"/>
    <w:rsid w:val="00313F43"/>
    <w:rsid w:val="0031414F"/>
    <w:rsid w:val="00314396"/>
    <w:rsid w:val="00314434"/>
    <w:rsid w:val="0031459B"/>
    <w:rsid w:val="003146EE"/>
    <w:rsid w:val="00314B48"/>
    <w:rsid w:val="00314B7F"/>
    <w:rsid w:val="0031548B"/>
    <w:rsid w:val="003155D1"/>
    <w:rsid w:val="003156FB"/>
    <w:rsid w:val="00315749"/>
    <w:rsid w:val="00315CE0"/>
    <w:rsid w:val="00315DB6"/>
    <w:rsid w:val="00315E16"/>
    <w:rsid w:val="00315E99"/>
    <w:rsid w:val="00315EA7"/>
    <w:rsid w:val="0031616B"/>
    <w:rsid w:val="003161A1"/>
    <w:rsid w:val="003162C7"/>
    <w:rsid w:val="00316AC2"/>
    <w:rsid w:val="00316D99"/>
    <w:rsid w:val="00316E76"/>
    <w:rsid w:val="00316FB0"/>
    <w:rsid w:val="00317084"/>
    <w:rsid w:val="003170AD"/>
    <w:rsid w:val="00317394"/>
    <w:rsid w:val="003173D3"/>
    <w:rsid w:val="00317638"/>
    <w:rsid w:val="00317D3D"/>
    <w:rsid w:val="0032033E"/>
    <w:rsid w:val="00320551"/>
    <w:rsid w:val="003205F3"/>
    <w:rsid w:val="00320696"/>
    <w:rsid w:val="00320817"/>
    <w:rsid w:val="00320829"/>
    <w:rsid w:val="00320ADB"/>
    <w:rsid w:val="00320C75"/>
    <w:rsid w:val="00320D95"/>
    <w:rsid w:val="003210FD"/>
    <w:rsid w:val="003213CB"/>
    <w:rsid w:val="00321811"/>
    <w:rsid w:val="003218D6"/>
    <w:rsid w:val="0032190E"/>
    <w:rsid w:val="00321AB9"/>
    <w:rsid w:val="00322089"/>
    <w:rsid w:val="003222BE"/>
    <w:rsid w:val="0032234A"/>
    <w:rsid w:val="00322A63"/>
    <w:rsid w:val="00322C57"/>
    <w:rsid w:val="00322D12"/>
    <w:rsid w:val="00322EC5"/>
    <w:rsid w:val="00323431"/>
    <w:rsid w:val="00323527"/>
    <w:rsid w:val="00323609"/>
    <w:rsid w:val="00323CDB"/>
    <w:rsid w:val="00323FEA"/>
    <w:rsid w:val="0032419C"/>
    <w:rsid w:val="0032431C"/>
    <w:rsid w:val="00324544"/>
    <w:rsid w:val="00324957"/>
    <w:rsid w:val="00324A3D"/>
    <w:rsid w:val="00325066"/>
    <w:rsid w:val="00325150"/>
    <w:rsid w:val="0032533A"/>
    <w:rsid w:val="003254D8"/>
    <w:rsid w:val="00325672"/>
    <w:rsid w:val="003256AF"/>
    <w:rsid w:val="00325915"/>
    <w:rsid w:val="00325A4C"/>
    <w:rsid w:val="00325AAD"/>
    <w:rsid w:val="00325BA8"/>
    <w:rsid w:val="00325BE1"/>
    <w:rsid w:val="0032607D"/>
    <w:rsid w:val="00326AB7"/>
    <w:rsid w:val="00326D74"/>
    <w:rsid w:val="00326DCF"/>
    <w:rsid w:val="00326F2F"/>
    <w:rsid w:val="00327066"/>
    <w:rsid w:val="00327101"/>
    <w:rsid w:val="0032717B"/>
    <w:rsid w:val="003271DD"/>
    <w:rsid w:val="003273E9"/>
    <w:rsid w:val="0032776C"/>
    <w:rsid w:val="00327787"/>
    <w:rsid w:val="0032786C"/>
    <w:rsid w:val="00327A31"/>
    <w:rsid w:val="00327C13"/>
    <w:rsid w:val="00327E38"/>
    <w:rsid w:val="0033000C"/>
    <w:rsid w:val="0033024B"/>
    <w:rsid w:val="00330506"/>
    <w:rsid w:val="003305E2"/>
    <w:rsid w:val="003305F9"/>
    <w:rsid w:val="00330C9E"/>
    <w:rsid w:val="00331303"/>
    <w:rsid w:val="00331646"/>
    <w:rsid w:val="003319E2"/>
    <w:rsid w:val="00331A8A"/>
    <w:rsid w:val="00331F9D"/>
    <w:rsid w:val="0033239B"/>
    <w:rsid w:val="003324BD"/>
    <w:rsid w:val="00332547"/>
    <w:rsid w:val="0033264A"/>
    <w:rsid w:val="0033286E"/>
    <w:rsid w:val="00332CDE"/>
    <w:rsid w:val="00332D1D"/>
    <w:rsid w:val="003334BC"/>
    <w:rsid w:val="00333552"/>
    <w:rsid w:val="00333683"/>
    <w:rsid w:val="003336DE"/>
    <w:rsid w:val="003337E1"/>
    <w:rsid w:val="00334253"/>
    <w:rsid w:val="003342A2"/>
    <w:rsid w:val="00334713"/>
    <w:rsid w:val="003348E7"/>
    <w:rsid w:val="00335061"/>
    <w:rsid w:val="00335064"/>
    <w:rsid w:val="0033517D"/>
    <w:rsid w:val="003352C7"/>
    <w:rsid w:val="00335332"/>
    <w:rsid w:val="00335414"/>
    <w:rsid w:val="00335557"/>
    <w:rsid w:val="0033595F"/>
    <w:rsid w:val="00335D62"/>
    <w:rsid w:val="003362C7"/>
    <w:rsid w:val="003362DD"/>
    <w:rsid w:val="0033638C"/>
    <w:rsid w:val="00336439"/>
    <w:rsid w:val="00336490"/>
    <w:rsid w:val="003366EF"/>
    <w:rsid w:val="0033684C"/>
    <w:rsid w:val="00336922"/>
    <w:rsid w:val="00336C9C"/>
    <w:rsid w:val="00337024"/>
    <w:rsid w:val="003373F4"/>
    <w:rsid w:val="00337860"/>
    <w:rsid w:val="003400AA"/>
    <w:rsid w:val="0034022D"/>
    <w:rsid w:val="00340290"/>
    <w:rsid w:val="003405BA"/>
    <w:rsid w:val="003406A8"/>
    <w:rsid w:val="00340707"/>
    <w:rsid w:val="00340810"/>
    <w:rsid w:val="00340999"/>
    <w:rsid w:val="00340F33"/>
    <w:rsid w:val="003410A3"/>
    <w:rsid w:val="00341130"/>
    <w:rsid w:val="003412DA"/>
    <w:rsid w:val="00341720"/>
    <w:rsid w:val="00341743"/>
    <w:rsid w:val="00341774"/>
    <w:rsid w:val="00341ABC"/>
    <w:rsid w:val="00341B50"/>
    <w:rsid w:val="00341C82"/>
    <w:rsid w:val="00341C9A"/>
    <w:rsid w:val="00341D97"/>
    <w:rsid w:val="0034255F"/>
    <w:rsid w:val="00342577"/>
    <w:rsid w:val="003425E7"/>
    <w:rsid w:val="00342E7B"/>
    <w:rsid w:val="00342E97"/>
    <w:rsid w:val="00343039"/>
    <w:rsid w:val="003433BA"/>
    <w:rsid w:val="00343719"/>
    <w:rsid w:val="00343B69"/>
    <w:rsid w:val="00343C7D"/>
    <w:rsid w:val="00343CB6"/>
    <w:rsid w:val="00344843"/>
    <w:rsid w:val="00344925"/>
    <w:rsid w:val="00344A11"/>
    <w:rsid w:val="00344FE3"/>
    <w:rsid w:val="0034567B"/>
    <w:rsid w:val="00345DC3"/>
    <w:rsid w:val="00345EC7"/>
    <w:rsid w:val="00346093"/>
    <w:rsid w:val="0034615E"/>
    <w:rsid w:val="00346686"/>
    <w:rsid w:val="00346D21"/>
    <w:rsid w:val="003471AA"/>
    <w:rsid w:val="003472C1"/>
    <w:rsid w:val="00347494"/>
    <w:rsid w:val="00347781"/>
    <w:rsid w:val="00347B07"/>
    <w:rsid w:val="00347C16"/>
    <w:rsid w:val="00350006"/>
    <w:rsid w:val="0035068E"/>
    <w:rsid w:val="003507E9"/>
    <w:rsid w:val="00350A1E"/>
    <w:rsid w:val="00350D5F"/>
    <w:rsid w:val="003510CF"/>
    <w:rsid w:val="00351206"/>
    <w:rsid w:val="003514DE"/>
    <w:rsid w:val="003526C2"/>
    <w:rsid w:val="003529BA"/>
    <w:rsid w:val="00352A3D"/>
    <w:rsid w:val="00352DC4"/>
    <w:rsid w:val="00352F91"/>
    <w:rsid w:val="0035322C"/>
    <w:rsid w:val="003536DA"/>
    <w:rsid w:val="00353B73"/>
    <w:rsid w:val="00353C6C"/>
    <w:rsid w:val="00353F2F"/>
    <w:rsid w:val="0035411A"/>
    <w:rsid w:val="0035417A"/>
    <w:rsid w:val="003542D0"/>
    <w:rsid w:val="00354583"/>
    <w:rsid w:val="00354681"/>
    <w:rsid w:val="00354A53"/>
    <w:rsid w:val="00354AEB"/>
    <w:rsid w:val="003552AB"/>
    <w:rsid w:val="003556C8"/>
    <w:rsid w:val="00355A04"/>
    <w:rsid w:val="00355EA2"/>
    <w:rsid w:val="00356360"/>
    <w:rsid w:val="00356D8C"/>
    <w:rsid w:val="00356F5E"/>
    <w:rsid w:val="003570C0"/>
    <w:rsid w:val="0035741B"/>
    <w:rsid w:val="003578D6"/>
    <w:rsid w:val="00357A88"/>
    <w:rsid w:val="00357B75"/>
    <w:rsid w:val="00357C41"/>
    <w:rsid w:val="0036087E"/>
    <w:rsid w:val="003609BE"/>
    <w:rsid w:val="00360A54"/>
    <w:rsid w:val="0036131B"/>
    <w:rsid w:val="00361535"/>
    <w:rsid w:val="00361861"/>
    <w:rsid w:val="00361BCB"/>
    <w:rsid w:val="00361BDA"/>
    <w:rsid w:val="00361E68"/>
    <w:rsid w:val="00361EB8"/>
    <w:rsid w:val="0036203B"/>
    <w:rsid w:val="003621AD"/>
    <w:rsid w:val="00362232"/>
    <w:rsid w:val="00362628"/>
    <w:rsid w:val="00362A4F"/>
    <w:rsid w:val="00362D70"/>
    <w:rsid w:val="00362DC9"/>
    <w:rsid w:val="00362DD4"/>
    <w:rsid w:val="0036319B"/>
    <w:rsid w:val="003631CC"/>
    <w:rsid w:val="003633A3"/>
    <w:rsid w:val="003633ED"/>
    <w:rsid w:val="00363412"/>
    <w:rsid w:val="003634BC"/>
    <w:rsid w:val="003635B7"/>
    <w:rsid w:val="003640F0"/>
    <w:rsid w:val="00364125"/>
    <w:rsid w:val="00364430"/>
    <w:rsid w:val="00364ABE"/>
    <w:rsid w:val="00364B41"/>
    <w:rsid w:val="00364E04"/>
    <w:rsid w:val="00364ED1"/>
    <w:rsid w:val="00364F34"/>
    <w:rsid w:val="00365221"/>
    <w:rsid w:val="00365291"/>
    <w:rsid w:val="00365EF5"/>
    <w:rsid w:val="00365F61"/>
    <w:rsid w:val="00365FCA"/>
    <w:rsid w:val="0036611A"/>
    <w:rsid w:val="0036641D"/>
    <w:rsid w:val="00366632"/>
    <w:rsid w:val="00366DEF"/>
    <w:rsid w:val="00366E13"/>
    <w:rsid w:val="00366EBE"/>
    <w:rsid w:val="0036769B"/>
    <w:rsid w:val="00367E20"/>
    <w:rsid w:val="00367F68"/>
    <w:rsid w:val="00370023"/>
    <w:rsid w:val="0037009D"/>
    <w:rsid w:val="003705C0"/>
    <w:rsid w:val="00370752"/>
    <w:rsid w:val="00370AB7"/>
    <w:rsid w:val="00370ADD"/>
    <w:rsid w:val="00370B48"/>
    <w:rsid w:val="00370CAD"/>
    <w:rsid w:val="00370EBC"/>
    <w:rsid w:val="00371615"/>
    <w:rsid w:val="00371A0F"/>
    <w:rsid w:val="00371B2F"/>
    <w:rsid w:val="00371C1E"/>
    <w:rsid w:val="00371F50"/>
    <w:rsid w:val="003721CF"/>
    <w:rsid w:val="00372247"/>
    <w:rsid w:val="003726DD"/>
    <w:rsid w:val="0037281E"/>
    <w:rsid w:val="0037287B"/>
    <w:rsid w:val="00372AA5"/>
    <w:rsid w:val="00372CAF"/>
    <w:rsid w:val="00372DDF"/>
    <w:rsid w:val="00373284"/>
    <w:rsid w:val="00373561"/>
    <w:rsid w:val="003735B7"/>
    <w:rsid w:val="00373A5C"/>
    <w:rsid w:val="00373DFC"/>
    <w:rsid w:val="0037406F"/>
    <w:rsid w:val="003740FE"/>
    <w:rsid w:val="003745D2"/>
    <w:rsid w:val="00374794"/>
    <w:rsid w:val="00374883"/>
    <w:rsid w:val="00374A8D"/>
    <w:rsid w:val="00374BB7"/>
    <w:rsid w:val="00374E0B"/>
    <w:rsid w:val="00374F15"/>
    <w:rsid w:val="0037505E"/>
    <w:rsid w:val="0037560C"/>
    <w:rsid w:val="00375650"/>
    <w:rsid w:val="003758BF"/>
    <w:rsid w:val="003758D1"/>
    <w:rsid w:val="00375910"/>
    <w:rsid w:val="00375CD2"/>
    <w:rsid w:val="00375F97"/>
    <w:rsid w:val="0037602E"/>
    <w:rsid w:val="00376064"/>
    <w:rsid w:val="003765C6"/>
    <w:rsid w:val="0037689E"/>
    <w:rsid w:val="00376951"/>
    <w:rsid w:val="00376996"/>
    <w:rsid w:val="00376F74"/>
    <w:rsid w:val="003772E4"/>
    <w:rsid w:val="00377785"/>
    <w:rsid w:val="00377AD0"/>
    <w:rsid w:val="00377DFD"/>
    <w:rsid w:val="00377FC7"/>
    <w:rsid w:val="0038001D"/>
    <w:rsid w:val="00380536"/>
    <w:rsid w:val="003806C8"/>
    <w:rsid w:val="0038072A"/>
    <w:rsid w:val="00380850"/>
    <w:rsid w:val="003809B7"/>
    <w:rsid w:val="00380D11"/>
    <w:rsid w:val="00380FD1"/>
    <w:rsid w:val="00381453"/>
    <w:rsid w:val="00381855"/>
    <w:rsid w:val="0038199F"/>
    <w:rsid w:val="00381A09"/>
    <w:rsid w:val="00381FFC"/>
    <w:rsid w:val="0038204A"/>
    <w:rsid w:val="003821D7"/>
    <w:rsid w:val="00382366"/>
    <w:rsid w:val="00382E19"/>
    <w:rsid w:val="00382EA7"/>
    <w:rsid w:val="00382FD0"/>
    <w:rsid w:val="00383134"/>
    <w:rsid w:val="00383175"/>
    <w:rsid w:val="0038335E"/>
    <w:rsid w:val="00383381"/>
    <w:rsid w:val="00383991"/>
    <w:rsid w:val="00383A6B"/>
    <w:rsid w:val="00383DAF"/>
    <w:rsid w:val="00383FA9"/>
    <w:rsid w:val="00384035"/>
    <w:rsid w:val="003845A9"/>
    <w:rsid w:val="00384780"/>
    <w:rsid w:val="00384AE0"/>
    <w:rsid w:val="00385200"/>
    <w:rsid w:val="003858A2"/>
    <w:rsid w:val="00385BD7"/>
    <w:rsid w:val="00385CB8"/>
    <w:rsid w:val="003860D0"/>
    <w:rsid w:val="00386A39"/>
    <w:rsid w:val="003875FB"/>
    <w:rsid w:val="00387833"/>
    <w:rsid w:val="00387924"/>
    <w:rsid w:val="00387995"/>
    <w:rsid w:val="00387C71"/>
    <w:rsid w:val="00387D47"/>
    <w:rsid w:val="00387F34"/>
    <w:rsid w:val="00387FC7"/>
    <w:rsid w:val="00390022"/>
    <w:rsid w:val="00390163"/>
    <w:rsid w:val="003903F6"/>
    <w:rsid w:val="003908A2"/>
    <w:rsid w:val="003908A5"/>
    <w:rsid w:val="0039099F"/>
    <w:rsid w:val="003914FD"/>
    <w:rsid w:val="0039177E"/>
    <w:rsid w:val="00391EB2"/>
    <w:rsid w:val="003923A9"/>
    <w:rsid w:val="00392578"/>
    <w:rsid w:val="003925D3"/>
    <w:rsid w:val="003926F9"/>
    <w:rsid w:val="00392ACE"/>
    <w:rsid w:val="00392B04"/>
    <w:rsid w:val="00392CA9"/>
    <w:rsid w:val="00392E42"/>
    <w:rsid w:val="00392FFC"/>
    <w:rsid w:val="0039310A"/>
    <w:rsid w:val="00393A61"/>
    <w:rsid w:val="00393F90"/>
    <w:rsid w:val="00393FA0"/>
    <w:rsid w:val="003941E2"/>
    <w:rsid w:val="00394202"/>
    <w:rsid w:val="00394518"/>
    <w:rsid w:val="003945DA"/>
    <w:rsid w:val="0039476F"/>
    <w:rsid w:val="003948CF"/>
    <w:rsid w:val="00394B5C"/>
    <w:rsid w:val="00395172"/>
    <w:rsid w:val="00395456"/>
    <w:rsid w:val="00395C71"/>
    <w:rsid w:val="00395C8A"/>
    <w:rsid w:val="00395D37"/>
    <w:rsid w:val="00395FD2"/>
    <w:rsid w:val="00396F55"/>
    <w:rsid w:val="00397062"/>
    <w:rsid w:val="00397699"/>
    <w:rsid w:val="0039778A"/>
    <w:rsid w:val="00397A62"/>
    <w:rsid w:val="00397A6C"/>
    <w:rsid w:val="003A04E1"/>
    <w:rsid w:val="003A0BFD"/>
    <w:rsid w:val="003A0CF2"/>
    <w:rsid w:val="003A0DFC"/>
    <w:rsid w:val="003A0F52"/>
    <w:rsid w:val="003A14D0"/>
    <w:rsid w:val="003A159F"/>
    <w:rsid w:val="003A169E"/>
    <w:rsid w:val="003A16A0"/>
    <w:rsid w:val="003A176F"/>
    <w:rsid w:val="003A1D53"/>
    <w:rsid w:val="003A211C"/>
    <w:rsid w:val="003A21AE"/>
    <w:rsid w:val="003A2449"/>
    <w:rsid w:val="003A255D"/>
    <w:rsid w:val="003A28E4"/>
    <w:rsid w:val="003A293C"/>
    <w:rsid w:val="003A29F0"/>
    <w:rsid w:val="003A2E50"/>
    <w:rsid w:val="003A317F"/>
    <w:rsid w:val="003A3800"/>
    <w:rsid w:val="003A3BD6"/>
    <w:rsid w:val="003A3C26"/>
    <w:rsid w:val="003A3E01"/>
    <w:rsid w:val="003A41C8"/>
    <w:rsid w:val="003A43CA"/>
    <w:rsid w:val="003A444F"/>
    <w:rsid w:val="003A447A"/>
    <w:rsid w:val="003A46E1"/>
    <w:rsid w:val="003A496D"/>
    <w:rsid w:val="003A4B65"/>
    <w:rsid w:val="003A4E03"/>
    <w:rsid w:val="003A500B"/>
    <w:rsid w:val="003A502B"/>
    <w:rsid w:val="003A5495"/>
    <w:rsid w:val="003A564F"/>
    <w:rsid w:val="003A5684"/>
    <w:rsid w:val="003A573B"/>
    <w:rsid w:val="003A595D"/>
    <w:rsid w:val="003A5A92"/>
    <w:rsid w:val="003A5C46"/>
    <w:rsid w:val="003A5F30"/>
    <w:rsid w:val="003A6073"/>
    <w:rsid w:val="003A62F7"/>
    <w:rsid w:val="003A6317"/>
    <w:rsid w:val="003A66B2"/>
    <w:rsid w:val="003A67BC"/>
    <w:rsid w:val="003A6AB0"/>
    <w:rsid w:val="003A6D88"/>
    <w:rsid w:val="003A6EA1"/>
    <w:rsid w:val="003A6EEE"/>
    <w:rsid w:val="003A7135"/>
    <w:rsid w:val="003A756D"/>
    <w:rsid w:val="003A796D"/>
    <w:rsid w:val="003A7A0A"/>
    <w:rsid w:val="003A7AB6"/>
    <w:rsid w:val="003A7B51"/>
    <w:rsid w:val="003A7FA6"/>
    <w:rsid w:val="003B0217"/>
    <w:rsid w:val="003B021A"/>
    <w:rsid w:val="003B028D"/>
    <w:rsid w:val="003B02B2"/>
    <w:rsid w:val="003B06CE"/>
    <w:rsid w:val="003B06D0"/>
    <w:rsid w:val="003B0822"/>
    <w:rsid w:val="003B08D4"/>
    <w:rsid w:val="003B0EC0"/>
    <w:rsid w:val="003B1065"/>
    <w:rsid w:val="003B10B7"/>
    <w:rsid w:val="003B11C0"/>
    <w:rsid w:val="003B18AC"/>
    <w:rsid w:val="003B19CA"/>
    <w:rsid w:val="003B1A9B"/>
    <w:rsid w:val="003B1ED4"/>
    <w:rsid w:val="003B1FD7"/>
    <w:rsid w:val="003B2330"/>
    <w:rsid w:val="003B2341"/>
    <w:rsid w:val="003B238B"/>
    <w:rsid w:val="003B245A"/>
    <w:rsid w:val="003B259A"/>
    <w:rsid w:val="003B28E9"/>
    <w:rsid w:val="003B2994"/>
    <w:rsid w:val="003B2CF7"/>
    <w:rsid w:val="003B303C"/>
    <w:rsid w:val="003B32AB"/>
    <w:rsid w:val="003B32E1"/>
    <w:rsid w:val="003B37EF"/>
    <w:rsid w:val="003B3C17"/>
    <w:rsid w:val="003B3DCE"/>
    <w:rsid w:val="003B3F7C"/>
    <w:rsid w:val="003B40A9"/>
    <w:rsid w:val="003B4136"/>
    <w:rsid w:val="003B4634"/>
    <w:rsid w:val="003B4647"/>
    <w:rsid w:val="003B48B6"/>
    <w:rsid w:val="003B4E65"/>
    <w:rsid w:val="003B4F9C"/>
    <w:rsid w:val="003B4FB7"/>
    <w:rsid w:val="003B5012"/>
    <w:rsid w:val="003B509E"/>
    <w:rsid w:val="003B5181"/>
    <w:rsid w:val="003B5358"/>
    <w:rsid w:val="003B5408"/>
    <w:rsid w:val="003B5633"/>
    <w:rsid w:val="003B5C21"/>
    <w:rsid w:val="003B5E2B"/>
    <w:rsid w:val="003B5F5A"/>
    <w:rsid w:val="003B5F62"/>
    <w:rsid w:val="003B6244"/>
    <w:rsid w:val="003B6297"/>
    <w:rsid w:val="003B6366"/>
    <w:rsid w:val="003B63B5"/>
    <w:rsid w:val="003B6665"/>
    <w:rsid w:val="003B6A16"/>
    <w:rsid w:val="003B6B15"/>
    <w:rsid w:val="003B6BD0"/>
    <w:rsid w:val="003B6D56"/>
    <w:rsid w:val="003B739D"/>
    <w:rsid w:val="003B7494"/>
    <w:rsid w:val="003B773D"/>
    <w:rsid w:val="003B791E"/>
    <w:rsid w:val="003B7B02"/>
    <w:rsid w:val="003B7B04"/>
    <w:rsid w:val="003B7BDC"/>
    <w:rsid w:val="003B7F25"/>
    <w:rsid w:val="003B7F29"/>
    <w:rsid w:val="003C02E7"/>
    <w:rsid w:val="003C089E"/>
    <w:rsid w:val="003C0C29"/>
    <w:rsid w:val="003C0D3A"/>
    <w:rsid w:val="003C1269"/>
    <w:rsid w:val="003C14BA"/>
    <w:rsid w:val="003C16A2"/>
    <w:rsid w:val="003C189C"/>
    <w:rsid w:val="003C1F4E"/>
    <w:rsid w:val="003C2067"/>
    <w:rsid w:val="003C2135"/>
    <w:rsid w:val="003C2208"/>
    <w:rsid w:val="003C26BB"/>
    <w:rsid w:val="003C2A3E"/>
    <w:rsid w:val="003C2A79"/>
    <w:rsid w:val="003C3032"/>
    <w:rsid w:val="003C308E"/>
    <w:rsid w:val="003C32C2"/>
    <w:rsid w:val="003C3415"/>
    <w:rsid w:val="003C348D"/>
    <w:rsid w:val="003C353C"/>
    <w:rsid w:val="003C3757"/>
    <w:rsid w:val="003C39BA"/>
    <w:rsid w:val="003C39DC"/>
    <w:rsid w:val="003C3CB5"/>
    <w:rsid w:val="003C416F"/>
    <w:rsid w:val="003C41EF"/>
    <w:rsid w:val="003C432C"/>
    <w:rsid w:val="003C49C2"/>
    <w:rsid w:val="003C4B20"/>
    <w:rsid w:val="003C513F"/>
    <w:rsid w:val="003C5285"/>
    <w:rsid w:val="003C535D"/>
    <w:rsid w:val="003C5410"/>
    <w:rsid w:val="003C557E"/>
    <w:rsid w:val="003C5C6C"/>
    <w:rsid w:val="003C610D"/>
    <w:rsid w:val="003C6217"/>
    <w:rsid w:val="003C628F"/>
    <w:rsid w:val="003C6CC3"/>
    <w:rsid w:val="003C6DC7"/>
    <w:rsid w:val="003C6E6C"/>
    <w:rsid w:val="003C710B"/>
    <w:rsid w:val="003C735C"/>
    <w:rsid w:val="003C76CD"/>
    <w:rsid w:val="003C7725"/>
    <w:rsid w:val="003C78A3"/>
    <w:rsid w:val="003C78DE"/>
    <w:rsid w:val="003C7A7D"/>
    <w:rsid w:val="003C7D1D"/>
    <w:rsid w:val="003C7D5F"/>
    <w:rsid w:val="003C7E68"/>
    <w:rsid w:val="003C7FA6"/>
    <w:rsid w:val="003D0202"/>
    <w:rsid w:val="003D07DC"/>
    <w:rsid w:val="003D085C"/>
    <w:rsid w:val="003D096B"/>
    <w:rsid w:val="003D0B55"/>
    <w:rsid w:val="003D100C"/>
    <w:rsid w:val="003D123D"/>
    <w:rsid w:val="003D13B0"/>
    <w:rsid w:val="003D1713"/>
    <w:rsid w:val="003D1B7A"/>
    <w:rsid w:val="003D1D7B"/>
    <w:rsid w:val="003D1FDA"/>
    <w:rsid w:val="003D20B8"/>
    <w:rsid w:val="003D24D0"/>
    <w:rsid w:val="003D2981"/>
    <w:rsid w:val="003D2C82"/>
    <w:rsid w:val="003D2DF2"/>
    <w:rsid w:val="003D2F84"/>
    <w:rsid w:val="003D3145"/>
    <w:rsid w:val="003D35F0"/>
    <w:rsid w:val="003D3E1C"/>
    <w:rsid w:val="003D40E2"/>
    <w:rsid w:val="003D40FB"/>
    <w:rsid w:val="003D42AA"/>
    <w:rsid w:val="003D44D7"/>
    <w:rsid w:val="003D4612"/>
    <w:rsid w:val="003D4CF1"/>
    <w:rsid w:val="003D5012"/>
    <w:rsid w:val="003D50F0"/>
    <w:rsid w:val="003D55E7"/>
    <w:rsid w:val="003D5823"/>
    <w:rsid w:val="003D5953"/>
    <w:rsid w:val="003D5F60"/>
    <w:rsid w:val="003D60B9"/>
    <w:rsid w:val="003D61CB"/>
    <w:rsid w:val="003D6787"/>
    <w:rsid w:val="003D6859"/>
    <w:rsid w:val="003D6901"/>
    <w:rsid w:val="003D6AA6"/>
    <w:rsid w:val="003D6ECC"/>
    <w:rsid w:val="003D702F"/>
    <w:rsid w:val="003D727E"/>
    <w:rsid w:val="003D7431"/>
    <w:rsid w:val="003D75DC"/>
    <w:rsid w:val="003D7DCF"/>
    <w:rsid w:val="003D7DFA"/>
    <w:rsid w:val="003E0199"/>
    <w:rsid w:val="003E0395"/>
    <w:rsid w:val="003E0413"/>
    <w:rsid w:val="003E066F"/>
    <w:rsid w:val="003E084D"/>
    <w:rsid w:val="003E09B0"/>
    <w:rsid w:val="003E0AF9"/>
    <w:rsid w:val="003E0CAC"/>
    <w:rsid w:val="003E0F92"/>
    <w:rsid w:val="003E10AF"/>
    <w:rsid w:val="003E1267"/>
    <w:rsid w:val="003E1382"/>
    <w:rsid w:val="003E1516"/>
    <w:rsid w:val="003E15C5"/>
    <w:rsid w:val="003E21F1"/>
    <w:rsid w:val="003E24DD"/>
    <w:rsid w:val="003E2636"/>
    <w:rsid w:val="003E29AA"/>
    <w:rsid w:val="003E2A04"/>
    <w:rsid w:val="003E2BC6"/>
    <w:rsid w:val="003E2CB2"/>
    <w:rsid w:val="003E2DB5"/>
    <w:rsid w:val="003E2F0E"/>
    <w:rsid w:val="003E2F24"/>
    <w:rsid w:val="003E31A8"/>
    <w:rsid w:val="003E3274"/>
    <w:rsid w:val="003E3611"/>
    <w:rsid w:val="003E3723"/>
    <w:rsid w:val="003E3984"/>
    <w:rsid w:val="003E3C5E"/>
    <w:rsid w:val="003E3DC7"/>
    <w:rsid w:val="003E3E22"/>
    <w:rsid w:val="003E45A3"/>
    <w:rsid w:val="003E489D"/>
    <w:rsid w:val="003E4934"/>
    <w:rsid w:val="003E49CF"/>
    <w:rsid w:val="003E4B35"/>
    <w:rsid w:val="003E5188"/>
    <w:rsid w:val="003E57AB"/>
    <w:rsid w:val="003E5AF4"/>
    <w:rsid w:val="003E5C5E"/>
    <w:rsid w:val="003E5C62"/>
    <w:rsid w:val="003E5E79"/>
    <w:rsid w:val="003E62E7"/>
    <w:rsid w:val="003E652F"/>
    <w:rsid w:val="003E65A0"/>
    <w:rsid w:val="003E6C90"/>
    <w:rsid w:val="003E6E1A"/>
    <w:rsid w:val="003E6E31"/>
    <w:rsid w:val="003E7025"/>
    <w:rsid w:val="003E7080"/>
    <w:rsid w:val="003E70BE"/>
    <w:rsid w:val="003E7307"/>
    <w:rsid w:val="003E7419"/>
    <w:rsid w:val="003E74F3"/>
    <w:rsid w:val="003E7502"/>
    <w:rsid w:val="003E75BD"/>
    <w:rsid w:val="003E7640"/>
    <w:rsid w:val="003E7715"/>
    <w:rsid w:val="003E798D"/>
    <w:rsid w:val="003E7ED0"/>
    <w:rsid w:val="003E7EE0"/>
    <w:rsid w:val="003E7FB8"/>
    <w:rsid w:val="003F01C4"/>
    <w:rsid w:val="003F06CD"/>
    <w:rsid w:val="003F070A"/>
    <w:rsid w:val="003F07EB"/>
    <w:rsid w:val="003F0843"/>
    <w:rsid w:val="003F09E7"/>
    <w:rsid w:val="003F0B82"/>
    <w:rsid w:val="003F0CA5"/>
    <w:rsid w:val="003F0CC6"/>
    <w:rsid w:val="003F0CE2"/>
    <w:rsid w:val="003F1D81"/>
    <w:rsid w:val="003F202F"/>
    <w:rsid w:val="003F203B"/>
    <w:rsid w:val="003F224A"/>
    <w:rsid w:val="003F23FC"/>
    <w:rsid w:val="003F24D2"/>
    <w:rsid w:val="003F2555"/>
    <w:rsid w:val="003F2611"/>
    <w:rsid w:val="003F27C4"/>
    <w:rsid w:val="003F29D5"/>
    <w:rsid w:val="003F3018"/>
    <w:rsid w:val="003F31C1"/>
    <w:rsid w:val="003F3C16"/>
    <w:rsid w:val="003F3CE9"/>
    <w:rsid w:val="003F4609"/>
    <w:rsid w:val="003F485F"/>
    <w:rsid w:val="003F495D"/>
    <w:rsid w:val="003F4A15"/>
    <w:rsid w:val="003F4AAA"/>
    <w:rsid w:val="003F4B0C"/>
    <w:rsid w:val="003F4D84"/>
    <w:rsid w:val="003F5156"/>
    <w:rsid w:val="003F541B"/>
    <w:rsid w:val="003F55DF"/>
    <w:rsid w:val="003F5C7D"/>
    <w:rsid w:val="003F603B"/>
    <w:rsid w:val="003F6293"/>
    <w:rsid w:val="003F6580"/>
    <w:rsid w:val="003F66E8"/>
    <w:rsid w:val="003F6B91"/>
    <w:rsid w:val="003F6CDD"/>
    <w:rsid w:val="003F715B"/>
    <w:rsid w:val="003F7209"/>
    <w:rsid w:val="003F7720"/>
    <w:rsid w:val="003F7DF2"/>
    <w:rsid w:val="003F7FAF"/>
    <w:rsid w:val="0040095B"/>
    <w:rsid w:val="00400B98"/>
    <w:rsid w:val="00400C7F"/>
    <w:rsid w:val="00400E33"/>
    <w:rsid w:val="00401556"/>
    <w:rsid w:val="004017A8"/>
    <w:rsid w:val="004017D1"/>
    <w:rsid w:val="00401C35"/>
    <w:rsid w:val="00401CB5"/>
    <w:rsid w:val="0040216F"/>
    <w:rsid w:val="004021DF"/>
    <w:rsid w:val="004022C9"/>
    <w:rsid w:val="00402788"/>
    <w:rsid w:val="00402851"/>
    <w:rsid w:val="00402878"/>
    <w:rsid w:val="00402BC4"/>
    <w:rsid w:val="004030C5"/>
    <w:rsid w:val="004031D3"/>
    <w:rsid w:val="0040321C"/>
    <w:rsid w:val="00403389"/>
    <w:rsid w:val="00403A99"/>
    <w:rsid w:val="004041B8"/>
    <w:rsid w:val="004041EE"/>
    <w:rsid w:val="0040446B"/>
    <w:rsid w:val="00404593"/>
    <w:rsid w:val="00404612"/>
    <w:rsid w:val="00404644"/>
    <w:rsid w:val="00404BEA"/>
    <w:rsid w:val="00404C02"/>
    <w:rsid w:val="00404CB6"/>
    <w:rsid w:val="00404DAF"/>
    <w:rsid w:val="00404F62"/>
    <w:rsid w:val="00404FAC"/>
    <w:rsid w:val="004052B1"/>
    <w:rsid w:val="004054C1"/>
    <w:rsid w:val="00405626"/>
    <w:rsid w:val="004059DA"/>
    <w:rsid w:val="00405BB8"/>
    <w:rsid w:val="00405CD2"/>
    <w:rsid w:val="00406046"/>
    <w:rsid w:val="00406245"/>
    <w:rsid w:val="004064D3"/>
    <w:rsid w:val="00406942"/>
    <w:rsid w:val="00406B32"/>
    <w:rsid w:val="00406C54"/>
    <w:rsid w:val="00406C9E"/>
    <w:rsid w:val="00407017"/>
    <w:rsid w:val="00407160"/>
    <w:rsid w:val="00407216"/>
    <w:rsid w:val="0040726C"/>
    <w:rsid w:val="00407493"/>
    <w:rsid w:val="00407889"/>
    <w:rsid w:val="00407932"/>
    <w:rsid w:val="00407968"/>
    <w:rsid w:val="00407A12"/>
    <w:rsid w:val="00407F62"/>
    <w:rsid w:val="0041040E"/>
    <w:rsid w:val="004109EF"/>
    <w:rsid w:val="00410AD4"/>
    <w:rsid w:val="00410E97"/>
    <w:rsid w:val="00411199"/>
    <w:rsid w:val="00411AC7"/>
    <w:rsid w:val="00411C3D"/>
    <w:rsid w:val="00411CEE"/>
    <w:rsid w:val="00412087"/>
    <w:rsid w:val="00412191"/>
    <w:rsid w:val="00412235"/>
    <w:rsid w:val="0041255D"/>
    <w:rsid w:val="004125DC"/>
    <w:rsid w:val="0041269E"/>
    <w:rsid w:val="0041291E"/>
    <w:rsid w:val="00412B35"/>
    <w:rsid w:val="00412F2B"/>
    <w:rsid w:val="004131DE"/>
    <w:rsid w:val="00413271"/>
    <w:rsid w:val="00413400"/>
    <w:rsid w:val="00413408"/>
    <w:rsid w:val="004135AC"/>
    <w:rsid w:val="004136F9"/>
    <w:rsid w:val="004137E4"/>
    <w:rsid w:val="0041390B"/>
    <w:rsid w:val="00413B09"/>
    <w:rsid w:val="00413DF9"/>
    <w:rsid w:val="00413EBE"/>
    <w:rsid w:val="00413FF4"/>
    <w:rsid w:val="0041403D"/>
    <w:rsid w:val="00414173"/>
    <w:rsid w:val="0041429F"/>
    <w:rsid w:val="00414541"/>
    <w:rsid w:val="004147E0"/>
    <w:rsid w:val="00414879"/>
    <w:rsid w:val="0041490D"/>
    <w:rsid w:val="00414CF6"/>
    <w:rsid w:val="00414D50"/>
    <w:rsid w:val="00414EFB"/>
    <w:rsid w:val="004152A6"/>
    <w:rsid w:val="004153B3"/>
    <w:rsid w:val="00415581"/>
    <w:rsid w:val="0041572D"/>
    <w:rsid w:val="00415D27"/>
    <w:rsid w:val="00415E5C"/>
    <w:rsid w:val="00415FCB"/>
    <w:rsid w:val="004160FA"/>
    <w:rsid w:val="00416209"/>
    <w:rsid w:val="0041623E"/>
    <w:rsid w:val="004164C6"/>
    <w:rsid w:val="0041652B"/>
    <w:rsid w:val="0041652E"/>
    <w:rsid w:val="00416BF7"/>
    <w:rsid w:val="00416DA8"/>
    <w:rsid w:val="004170B2"/>
    <w:rsid w:val="004171DC"/>
    <w:rsid w:val="00417274"/>
    <w:rsid w:val="004172C7"/>
    <w:rsid w:val="004172D4"/>
    <w:rsid w:val="0041753D"/>
    <w:rsid w:val="00417569"/>
    <w:rsid w:val="00417709"/>
    <w:rsid w:val="00417880"/>
    <w:rsid w:val="00417AAC"/>
    <w:rsid w:val="00417AD2"/>
    <w:rsid w:val="00417E64"/>
    <w:rsid w:val="0042025B"/>
    <w:rsid w:val="0042053B"/>
    <w:rsid w:val="004208A3"/>
    <w:rsid w:val="00420999"/>
    <w:rsid w:val="00420A17"/>
    <w:rsid w:val="00420B06"/>
    <w:rsid w:val="00420FD3"/>
    <w:rsid w:val="0042144A"/>
    <w:rsid w:val="00421807"/>
    <w:rsid w:val="00421850"/>
    <w:rsid w:val="00421FB1"/>
    <w:rsid w:val="0042245E"/>
    <w:rsid w:val="004225AB"/>
    <w:rsid w:val="00422713"/>
    <w:rsid w:val="004227AF"/>
    <w:rsid w:val="00422931"/>
    <w:rsid w:val="00422932"/>
    <w:rsid w:val="00422A8A"/>
    <w:rsid w:val="00422AB9"/>
    <w:rsid w:val="00422B7E"/>
    <w:rsid w:val="00422D79"/>
    <w:rsid w:val="00423031"/>
    <w:rsid w:val="00423198"/>
    <w:rsid w:val="00423617"/>
    <w:rsid w:val="004237FD"/>
    <w:rsid w:val="00423807"/>
    <w:rsid w:val="0042380E"/>
    <w:rsid w:val="004238D4"/>
    <w:rsid w:val="00423A85"/>
    <w:rsid w:val="00423CFD"/>
    <w:rsid w:val="00423E7E"/>
    <w:rsid w:val="0042411C"/>
    <w:rsid w:val="00424314"/>
    <w:rsid w:val="004244AB"/>
    <w:rsid w:val="00424562"/>
    <w:rsid w:val="00424D98"/>
    <w:rsid w:val="00424E21"/>
    <w:rsid w:val="00424F21"/>
    <w:rsid w:val="0042522A"/>
    <w:rsid w:val="00425416"/>
    <w:rsid w:val="00425488"/>
    <w:rsid w:val="00425636"/>
    <w:rsid w:val="0042563C"/>
    <w:rsid w:val="00425E0D"/>
    <w:rsid w:val="004263A2"/>
    <w:rsid w:val="00426AE9"/>
    <w:rsid w:val="00426BA0"/>
    <w:rsid w:val="00426C31"/>
    <w:rsid w:val="00426D57"/>
    <w:rsid w:val="00426D94"/>
    <w:rsid w:val="00426DBF"/>
    <w:rsid w:val="00426E26"/>
    <w:rsid w:val="0042717C"/>
    <w:rsid w:val="004273D1"/>
    <w:rsid w:val="004279C7"/>
    <w:rsid w:val="00427BDD"/>
    <w:rsid w:val="00427D04"/>
    <w:rsid w:val="00427F82"/>
    <w:rsid w:val="00427F89"/>
    <w:rsid w:val="00430100"/>
    <w:rsid w:val="00430405"/>
    <w:rsid w:val="004306CF"/>
    <w:rsid w:val="00430B88"/>
    <w:rsid w:val="00431119"/>
    <w:rsid w:val="00431141"/>
    <w:rsid w:val="00431297"/>
    <w:rsid w:val="004314AD"/>
    <w:rsid w:val="00431595"/>
    <w:rsid w:val="004315F3"/>
    <w:rsid w:val="004317C1"/>
    <w:rsid w:val="00431EA4"/>
    <w:rsid w:val="00431F9D"/>
    <w:rsid w:val="00432044"/>
    <w:rsid w:val="00432226"/>
    <w:rsid w:val="00432515"/>
    <w:rsid w:val="00432692"/>
    <w:rsid w:val="004327F4"/>
    <w:rsid w:val="00432C44"/>
    <w:rsid w:val="00432F5A"/>
    <w:rsid w:val="004344B9"/>
    <w:rsid w:val="00434751"/>
    <w:rsid w:val="00434A66"/>
    <w:rsid w:val="00434BDC"/>
    <w:rsid w:val="00434E59"/>
    <w:rsid w:val="00435272"/>
    <w:rsid w:val="004355B3"/>
    <w:rsid w:val="00435FD3"/>
    <w:rsid w:val="00436023"/>
    <w:rsid w:val="0043604A"/>
    <w:rsid w:val="00436272"/>
    <w:rsid w:val="00436292"/>
    <w:rsid w:val="004362BC"/>
    <w:rsid w:val="004364B5"/>
    <w:rsid w:val="004366E8"/>
    <w:rsid w:val="004367C5"/>
    <w:rsid w:val="0043691B"/>
    <w:rsid w:val="00436F26"/>
    <w:rsid w:val="00436FFA"/>
    <w:rsid w:val="0043700A"/>
    <w:rsid w:val="0043739D"/>
    <w:rsid w:val="00437651"/>
    <w:rsid w:val="004379B0"/>
    <w:rsid w:val="004379E4"/>
    <w:rsid w:val="004379EA"/>
    <w:rsid w:val="00437A3F"/>
    <w:rsid w:val="00437BCA"/>
    <w:rsid w:val="00437D2D"/>
    <w:rsid w:val="0044039C"/>
    <w:rsid w:val="0044070D"/>
    <w:rsid w:val="004408A9"/>
    <w:rsid w:val="00440B56"/>
    <w:rsid w:val="00440CEE"/>
    <w:rsid w:val="00440DCE"/>
    <w:rsid w:val="00440DE8"/>
    <w:rsid w:val="004412DF"/>
    <w:rsid w:val="00441335"/>
    <w:rsid w:val="0044184B"/>
    <w:rsid w:val="00441A44"/>
    <w:rsid w:val="004421A1"/>
    <w:rsid w:val="0044275E"/>
    <w:rsid w:val="00442A2E"/>
    <w:rsid w:val="00442B40"/>
    <w:rsid w:val="00442D41"/>
    <w:rsid w:val="00442DD7"/>
    <w:rsid w:val="00442F13"/>
    <w:rsid w:val="00442FAA"/>
    <w:rsid w:val="00443115"/>
    <w:rsid w:val="004432BA"/>
    <w:rsid w:val="0044357F"/>
    <w:rsid w:val="00443675"/>
    <w:rsid w:val="00443E71"/>
    <w:rsid w:val="00443EEB"/>
    <w:rsid w:val="00444125"/>
    <w:rsid w:val="004441B4"/>
    <w:rsid w:val="004442CA"/>
    <w:rsid w:val="004443CA"/>
    <w:rsid w:val="00444BBE"/>
    <w:rsid w:val="00444DCB"/>
    <w:rsid w:val="00444F81"/>
    <w:rsid w:val="00445088"/>
    <w:rsid w:val="0044530A"/>
    <w:rsid w:val="0044537E"/>
    <w:rsid w:val="00445D21"/>
    <w:rsid w:val="00445DDB"/>
    <w:rsid w:val="00445E28"/>
    <w:rsid w:val="00445EC6"/>
    <w:rsid w:val="00445F47"/>
    <w:rsid w:val="00446751"/>
    <w:rsid w:val="00447078"/>
    <w:rsid w:val="00447097"/>
    <w:rsid w:val="0044728F"/>
    <w:rsid w:val="00447380"/>
    <w:rsid w:val="00447462"/>
    <w:rsid w:val="0044746A"/>
    <w:rsid w:val="004474D1"/>
    <w:rsid w:val="0044755C"/>
    <w:rsid w:val="00447575"/>
    <w:rsid w:val="00447AE8"/>
    <w:rsid w:val="00447AF4"/>
    <w:rsid w:val="00447CB4"/>
    <w:rsid w:val="00447F2C"/>
    <w:rsid w:val="0045006B"/>
    <w:rsid w:val="0045042F"/>
    <w:rsid w:val="0045074E"/>
    <w:rsid w:val="0045079D"/>
    <w:rsid w:val="00450F5D"/>
    <w:rsid w:val="004511C6"/>
    <w:rsid w:val="00451268"/>
    <w:rsid w:val="004514E3"/>
    <w:rsid w:val="004517A6"/>
    <w:rsid w:val="004519A9"/>
    <w:rsid w:val="00451B5D"/>
    <w:rsid w:val="00451D8B"/>
    <w:rsid w:val="00451E1F"/>
    <w:rsid w:val="00452370"/>
    <w:rsid w:val="00452573"/>
    <w:rsid w:val="00452611"/>
    <w:rsid w:val="004526A5"/>
    <w:rsid w:val="0045292B"/>
    <w:rsid w:val="00452AB3"/>
    <w:rsid w:val="00452C12"/>
    <w:rsid w:val="00452ECE"/>
    <w:rsid w:val="004531F7"/>
    <w:rsid w:val="004534E9"/>
    <w:rsid w:val="004535F0"/>
    <w:rsid w:val="0045365F"/>
    <w:rsid w:val="00453A3A"/>
    <w:rsid w:val="00453EDE"/>
    <w:rsid w:val="0045427A"/>
    <w:rsid w:val="0045455C"/>
    <w:rsid w:val="00454637"/>
    <w:rsid w:val="00454B3D"/>
    <w:rsid w:val="00454BE1"/>
    <w:rsid w:val="00454C54"/>
    <w:rsid w:val="00454D7A"/>
    <w:rsid w:val="00455099"/>
    <w:rsid w:val="00455428"/>
    <w:rsid w:val="00455676"/>
    <w:rsid w:val="0045585D"/>
    <w:rsid w:val="00455C52"/>
    <w:rsid w:val="00455CA4"/>
    <w:rsid w:val="00455CD2"/>
    <w:rsid w:val="00455DFC"/>
    <w:rsid w:val="00455FDE"/>
    <w:rsid w:val="004560BD"/>
    <w:rsid w:val="00456801"/>
    <w:rsid w:val="00456B0C"/>
    <w:rsid w:val="00456BE8"/>
    <w:rsid w:val="004576BA"/>
    <w:rsid w:val="00457A82"/>
    <w:rsid w:val="00457B14"/>
    <w:rsid w:val="00457FC9"/>
    <w:rsid w:val="004600C0"/>
    <w:rsid w:val="004600C9"/>
    <w:rsid w:val="00460269"/>
    <w:rsid w:val="004605C3"/>
    <w:rsid w:val="004606AD"/>
    <w:rsid w:val="00460996"/>
    <w:rsid w:val="00460E83"/>
    <w:rsid w:val="00461250"/>
    <w:rsid w:val="00462116"/>
    <w:rsid w:val="0046215B"/>
    <w:rsid w:val="00462204"/>
    <w:rsid w:val="0046232F"/>
    <w:rsid w:val="004624D6"/>
    <w:rsid w:val="004625A8"/>
    <w:rsid w:val="00462BC8"/>
    <w:rsid w:val="00462C6F"/>
    <w:rsid w:val="00462DC8"/>
    <w:rsid w:val="00462E03"/>
    <w:rsid w:val="00462E11"/>
    <w:rsid w:val="00463046"/>
    <w:rsid w:val="004632CE"/>
    <w:rsid w:val="00463380"/>
    <w:rsid w:val="00463742"/>
    <w:rsid w:val="0046383E"/>
    <w:rsid w:val="004638C5"/>
    <w:rsid w:val="004639D8"/>
    <w:rsid w:val="00463AFF"/>
    <w:rsid w:val="00463D1E"/>
    <w:rsid w:val="00463F1F"/>
    <w:rsid w:val="00464510"/>
    <w:rsid w:val="0046470E"/>
    <w:rsid w:val="00464738"/>
    <w:rsid w:val="00464870"/>
    <w:rsid w:val="00464AB7"/>
    <w:rsid w:val="00464AE0"/>
    <w:rsid w:val="004652E6"/>
    <w:rsid w:val="0046537E"/>
    <w:rsid w:val="00465528"/>
    <w:rsid w:val="00465581"/>
    <w:rsid w:val="004655AD"/>
    <w:rsid w:val="00465A81"/>
    <w:rsid w:val="00465D39"/>
    <w:rsid w:val="004661A3"/>
    <w:rsid w:val="00466268"/>
    <w:rsid w:val="004663C7"/>
    <w:rsid w:val="00466452"/>
    <w:rsid w:val="00467111"/>
    <w:rsid w:val="0046721D"/>
    <w:rsid w:val="004672F6"/>
    <w:rsid w:val="00467612"/>
    <w:rsid w:val="00467629"/>
    <w:rsid w:val="00467660"/>
    <w:rsid w:val="00467666"/>
    <w:rsid w:val="004677DF"/>
    <w:rsid w:val="00467947"/>
    <w:rsid w:val="00467E3C"/>
    <w:rsid w:val="004702A2"/>
    <w:rsid w:val="00470634"/>
    <w:rsid w:val="00470AD5"/>
    <w:rsid w:val="00470C00"/>
    <w:rsid w:val="00470CB3"/>
    <w:rsid w:val="00471458"/>
    <w:rsid w:val="0047145C"/>
    <w:rsid w:val="00471562"/>
    <w:rsid w:val="00471680"/>
    <w:rsid w:val="00471686"/>
    <w:rsid w:val="0047182F"/>
    <w:rsid w:val="0047187B"/>
    <w:rsid w:val="00471BAC"/>
    <w:rsid w:val="00471D89"/>
    <w:rsid w:val="00471ED7"/>
    <w:rsid w:val="00471F21"/>
    <w:rsid w:val="00471F5E"/>
    <w:rsid w:val="004732C3"/>
    <w:rsid w:val="004732CF"/>
    <w:rsid w:val="00473625"/>
    <w:rsid w:val="004737F8"/>
    <w:rsid w:val="00473850"/>
    <w:rsid w:val="00473857"/>
    <w:rsid w:val="004739F2"/>
    <w:rsid w:val="00473A07"/>
    <w:rsid w:val="00473ADB"/>
    <w:rsid w:val="00473B2E"/>
    <w:rsid w:val="00474261"/>
    <w:rsid w:val="004742DB"/>
    <w:rsid w:val="00474531"/>
    <w:rsid w:val="004745F1"/>
    <w:rsid w:val="00474684"/>
    <w:rsid w:val="004748B4"/>
    <w:rsid w:val="00474B09"/>
    <w:rsid w:val="00474D11"/>
    <w:rsid w:val="00474E41"/>
    <w:rsid w:val="00474ED1"/>
    <w:rsid w:val="00474F0F"/>
    <w:rsid w:val="004751BF"/>
    <w:rsid w:val="0047534F"/>
    <w:rsid w:val="0047536F"/>
    <w:rsid w:val="004754E0"/>
    <w:rsid w:val="00475A52"/>
    <w:rsid w:val="00475C8F"/>
    <w:rsid w:val="00475E3E"/>
    <w:rsid w:val="004762F4"/>
    <w:rsid w:val="004763EC"/>
    <w:rsid w:val="004763F2"/>
    <w:rsid w:val="00476464"/>
    <w:rsid w:val="004764EA"/>
    <w:rsid w:val="0047665C"/>
    <w:rsid w:val="00476931"/>
    <w:rsid w:val="00476D88"/>
    <w:rsid w:val="00476DE2"/>
    <w:rsid w:val="00476E41"/>
    <w:rsid w:val="0047704E"/>
    <w:rsid w:val="004770B0"/>
    <w:rsid w:val="004770D9"/>
    <w:rsid w:val="004770F6"/>
    <w:rsid w:val="00477489"/>
    <w:rsid w:val="00477847"/>
    <w:rsid w:val="00477C7F"/>
    <w:rsid w:val="00477E1F"/>
    <w:rsid w:val="00480360"/>
    <w:rsid w:val="004803C9"/>
    <w:rsid w:val="00480976"/>
    <w:rsid w:val="00480A65"/>
    <w:rsid w:val="00480AF3"/>
    <w:rsid w:val="00481022"/>
    <w:rsid w:val="00481627"/>
    <w:rsid w:val="00481E0C"/>
    <w:rsid w:val="004820E6"/>
    <w:rsid w:val="004821E3"/>
    <w:rsid w:val="0048244E"/>
    <w:rsid w:val="00482BFB"/>
    <w:rsid w:val="00482E50"/>
    <w:rsid w:val="004836B8"/>
    <w:rsid w:val="00483A48"/>
    <w:rsid w:val="00483D41"/>
    <w:rsid w:val="00483EEE"/>
    <w:rsid w:val="00484101"/>
    <w:rsid w:val="00484109"/>
    <w:rsid w:val="004841A7"/>
    <w:rsid w:val="00484251"/>
    <w:rsid w:val="0048469F"/>
    <w:rsid w:val="004846BF"/>
    <w:rsid w:val="004849BB"/>
    <w:rsid w:val="00484E42"/>
    <w:rsid w:val="00484E75"/>
    <w:rsid w:val="00484EED"/>
    <w:rsid w:val="004850F5"/>
    <w:rsid w:val="00485412"/>
    <w:rsid w:val="004854C5"/>
    <w:rsid w:val="0048585B"/>
    <w:rsid w:val="004858A5"/>
    <w:rsid w:val="0048595E"/>
    <w:rsid w:val="00485BA9"/>
    <w:rsid w:val="00485D01"/>
    <w:rsid w:val="00485D0D"/>
    <w:rsid w:val="00485E1C"/>
    <w:rsid w:val="00485E5D"/>
    <w:rsid w:val="004864D5"/>
    <w:rsid w:val="00486500"/>
    <w:rsid w:val="00486895"/>
    <w:rsid w:val="00486D2D"/>
    <w:rsid w:val="00486DB5"/>
    <w:rsid w:val="00487191"/>
    <w:rsid w:val="004872D0"/>
    <w:rsid w:val="0048754D"/>
    <w:rsid w:val="00487C7E"/>
    <w:rsid w:val="00487D71"/>
    <w:rsid w:val="0049003B"/>
    <w:rsid w:val="004903A7"/>
    <w:rsid w:val="00490CF7"/>
    <w:rsid w:val="00490D08"/>
    <w:rsid w:val="0049109C"/>
    <w:rsid w:val="00491180"/>
    <w:rsid w:val="0049119E"/>
    <w:rsid w:val="004913C4"/>
    <w:rsid w:val="00491814"/>
    <w:rsid w:val="00491BC0"/>
    <w:rsid w:val="00492039"/>
    <w:rsid w:val="004927D9"/>
    <w:rsid w:val="0049289F"/>
    <w:rsid w:val="00493497"/>
    <w:rsid w:val="004935E6"/>
    <w:rsid w:val="00493722"/>
    <w:rsid w:val="00493791"/>
    <w:rsid w:val="0049385E"/>
    <w:rsid w:val="0049392D"/>
    <w:rsid w:val="00493A0E"/>
    <w:rsid w:val="00493A6C"/>
    <w:rsid w:val="00493C76"/>
    <w:rsid w:val="00493E1D"/>
    <w:rsid w:val="00493FE4"/>
    <w:rsid w:val="00494099"/>
    <w:rsid w:val="0049415D"/>
    <w:rsid w:val="00494349"/>
    <w:rsid w:val="00494374"/>
    <w:rsid w:val="004946ED"/>
    <w:rsid w:val="004949EE"/>
    <w:rsid w:val="00494A98"/>
    <w:rsid w:val="00494B78"/>
    <w:rsid w:val="00494D48"/>
    <w:rsid w:val="00494DF7"/>
    <w:rsid w:val="00494F9C"/>
    <w:rsid w:val="004951DC"/>
    <w:rsid w:val="0049578A"/>
    <w:rsid w:val="00495AD6"/>
    <w:rsid w:val="00496017"/>
    <w:rsid w:val="00496156"/>
    <w:rsid w:val="00496594"/>
    <w:rsid w:val="00496621"/>
    <w:rsid w:val="004966DE"/>
    <w:rsid w:val="00496D33"/>
    <w:rsid w:val="0049732A"/>
    <w:rsid w:val="00497470"/>
    <w:rsid w:val="004974DE"/>
    <w:rsid w:val="0049752C"/>
    <w:rsid w:val="00497597"/>
    <w:rsid w:val="00497646"/>
    <w:rsid w:val="00497A24"/>
    <w:rsid w:val="00497EFE"/>
    <w:rsid w:val="004A001C"/>
    <w:rsid w:val="004A01CF"/>
    <w:rsid w:val="004A030A"/>
    <w:rsid w:val="004A0530"/>
    <w:rsid w:val="004A068C"/>
    <w:rsid w:val="004A0780"/>
    <w:rsid w:val="004A14F3"/>
    <w:rsid w:val="004A180F"/>
    <w:rsid w:val="004A1881"/>
    <w:rsid w:val="004A18A5"/>
    <w:rsid w:val="004A1B64"/>
    <w:rsid w:val="004A1EE0"/>
    <w:rsid w:val="004A1F80"/>
    <w:rsid w:val="004A2166"/>
    <w:rsid w:val="004A24EF"/>
    <w:rsid w:val="004A25D4"/>
    <w:rsid w:val="004A2820"/>
    <w:rsid w:val="004A2DB8"/>
    <w:rsid w:val="004A3224"/>
    <w:rsid w:val="004A3852"/>
    <w:rsid w:val="004A3874"/>
    <w:rsid w:val="004A3939"/>
    <w:rsid w:val="004A396F"/>
    <w:rsid w:val="004A3B08"/>
    <w:rsid w:val="004A3DB3"/>
    <w:rsid w:val="004A3DCC"/>
    <w:rsid w:val="004A3EEA"/>
    <w:rsid w:val="004A3FA1"/>
    <w:rsid w:val="004A404C"/>
    <w:rsid w:val="004A4599"/>
    <w:rsid w:val="004A468B"/>
    <w:rsid w:val="004A4837"/>
    <w:rsid w:val="004A4BD6"/>
    <w:rsid w:val="004A4BEA"/>
    <w:rsid w:val="004A4C59"/>
    <w:rsid w:val="004A4D77"/>
    <w:rsid w:val="004A4EC3"/>
    <w:rsid w:val="004A4FCA"/>
    <w:rsid w:val="004A519E"/>
    <w:rsid w:val="004A51D8"/>
    <w:rsid w:val="004A528F"/>
    <w:rsid w:val="004A5307"/>
    <w:rsid w:val="004A5403"/>
    <w:rsid w:val="004A542A"/>
    <w:rsid w:val="004A5645"/>
    <w:rsid w:val="004A57A8"/>
    <w:rsid w:val="004A57D8"/>
    <w:rsid w:val="004A5EE0"/>
    <w:rsid w:val="004A63C2"/>
    <w:rsid w:val="004A6F3D"/>
    <w:rsid w:val="004A724D"/>
    <w:rsid w:val="004A73FA"/>
    <w:rsid w:val="004A7A03"/>
    <w:rsid w:val="004A7A39"/>
    <w:rsid w:val="004A7C7D"/>
    <w:rsid w:val="004B024C"/>
    <w:rsid w:val="004B030A"/>
    <w:rsid w:val="004B0314"/>
    <w:rsid w:val="004B0405"/>
    <w:rsid w:val="004B09ED"/>
    <w:rsid w:val="004B0A0A"/>
    <w:rsid w:val="004B0B05"/>
    <w:rsid w:val="004B0E22"/>
    <w:rsid w:val="004B108C"/>
    <w:rsid w:val="004B15E7"/>
    <w:rsid w:val="004B17AC"/>
    <w:rsid w:val="004B1BD6"/>
    <w:rsid w:val="004B1F89"/>
    <w:rsid w:val="004B25B5"/>
    <w:rsid w:val="004B273C"/>
    <w:rsid w:val="004B2883"/>
    <w:rsid w:val="004B2C1F"/>
    <w:rsid w:val="004B2DB9"/>
    <w:rsid w:val="004B2F6B"/>
    <w:rsid w:val="004B32B2"/>
    <w:rsid w:val="004B3666"/>
    <w:rsid w:val="004B369D"/>
    <w:rsid w:val="004B375E"/>
    <w:rsid w:val="004B39B9"/>
    <w:rsid w:val="004B3D8E"/>
    <w:rsid w:val="004B3E53"/>
    <w:rsid w:val="004B44A5"/>
    <w:rsid w:val="004B44E8"/>
    <w:rsid w:val="004B4FC5"/>
    <w:rsid w:val="004B53BB"/>
    <w:rsid w:val="004B556E"/>
    <w:rsid w:val="004B570E"/>
    <w:rsid w:val="004B5B88"/>
    <w:rsid w:val="004B5EC7"/>
    <w:rsid w:val="004B5FF5"/>
    <w:rsid w:val="004B6386"/>
    <w:rsid w:val="004B65F7"/>
    <w:rsid w:val="004B67DF"/>
    <w:rsid w:val="004B697D"/>
    <w:rsid w:val="004B6B64"/>
    <w:rsid w:val="004B70BA"/>
    <w:rsid w:val="004B76C1"/>
    <w:rsid w:val="004B7A60"/>
    <w:rsid w:val="004C008B"/>
    <w:rsid w:val="004C00C1"/>
    <w:rsid w:val="004C0154"/>
    <w:rsid w:val="004C0183"/>
    <w:rsid w:val="004C0339"/>
    <w:rsid w:val="004C03D4"/>
    <w:rsid w:val="004C045F"/>
    <w:rsid w:val="004C079D"/>
    <w:rsid w:val="004C095B"/>
    <w:rsid w:val="004C0C3A"/>
    <w:rsid w:val="004C0DA8"/>
    <w:rsid w:val="004C10C7"/>
    <w:rsid w:val="004C15FE"/>
    <w:rsid w:val="004C1BB0"/>
    <w:rsid w:val="004C1CAC"/>
    <w:rsid w:val="004C1FD5"/>
    <w:rsid w:val="004C246E"/>
    <w:rsid w:val="004C28EA"/>
    <w:rsid w:val="004C2B39"/>
    <w:rsid w:val="004C2BBD"/>
    <w:rsid w:val="004C2C6C"/>
    <w:rsid w:val="004C2F94"/>
    <w:rsid w:val="004C314A"/>
    <w:rsid w:val="004C314D"/>
    <w:rsid w:val="004C3433"/>
    <w:rsid w:val="004C3615"/>
    <w:rsid w:val="004C36A2"/>
    <w:rsid w:val="004C3770"/>
    <w:rsid w:val="004C38ED"/>
    <w:rsid w:val="004C3B4D"/>
    <w:rsid w:val="004C3BDF"/>
    <w:rsid w:val="004C3DCB"/>
    <w:rsid w:val="004C4001"/>
    <w:rsid w:val="004C407E"/>
    <w:rsid w:val="004C4218"/>
    <w:rsid w:val="004C4A88"/>
    <w:rsid w:val="004C4B38"/>
    <w:rsid w:val="004C5112"/>
    <w:rsid w:val="004C512C"/>
    <w:rsid w:val="004C51A6"/>
    <w:rsid w:val="004C5B26"/>
    <w:rsid w:val="004C5B47"/>
    <w:rsid w:val="004C5E36"/>
    <w:rsid w:val="004C5FD7"/>
    <w:rsid w:val="004C6034"/>
    <w:rsid w:val="004C6116"/>
    <w:rsid w:val="004C63FF"/>
    <w:rsid w:val="004C65D1"/>
    <w:rsid w:val="004C68D1"/>
    <w:rsid w:val="004C6975"/>
    <w:rsid w:val="004C6C9E"/>
    <w:rsid w:val="004C6E39"/>
    <w:rsid w:val="004C6F74"/>
    <w:rsid w:val="004C703F"/>
    <w:rsid w:val="004C70DF"/>
    <w:rsid w:val="004C75FF"/>
    <w:rsid w:val="004C7874"/>
    <w:rsid w:val="004C795F"/>
    <w:rsid w:val="004C7AAB"/>
    <w:rsid w:val="004C7E0C"/>
    <w:rsid w:val="004D007E"/>
    <w:rsid w:val="004D0111"/>
    <w:rsid w:val="004D02B6"/>
    <w:rsid w:val="004D071F"/>
    <w:rsid w:val="004D0741"/>
    <w:rsid w:val="004D0BD7"/>
    <w:rsid w:val="004D112D"/>
    <w:rsid w:val="004D140B"/>
    <w:rsid w:val="004D1487"/>
    <w:rsid w:val="004D1559"/>
    <w:rsid w:val="004D172F"/>
    <w:rsid w:val="004D1976"/>
    <w:rsid w:val="004D19B4"/>
    <w:rsid w:val="004D1AC6"/>
    <w:rsid w:val="004D1D2D"/>
    <w:rsid w:val="004D1FD3"/>
    <w:rsid w:val="004D2325"/>
    <w:rsid w:val="004D24A9"/>
    <w:rsid w:val="004D25CC"/>
    <w:rsid w:val="004D2777"/>
    <w:rsid w:val="004D2E43"/>
    <w:rsid w:val="004D326F"/>
    <w:rsid w:val="004D3620"/>
    <w:rsid w:val="004D3708"/>
    <w:rsid w:val="004D3850"/>
    <w:rsid w:val="004D3BAC"/>
    <w:rsid w:val="004D3C3B"/>
    <w:rsid w:val="004D3ECE"/>
    <w:rsid w:val="004D43A4"/>
    <w:rsid w:val="004D452E"/>
    <w:rsid w:val="004D4614"/>
    <w:rsid w:val="004D48E9"/>
    <w:rsid w:val="004D490E"/>
    <w:rsid w:val="004D4F13"/>
    <w:rsid w:val="004D4F2D"/>
    <w:rsid w:val="004D5188"/>
    <w:rsid w:val="004D5246"/>
    <w:rsid w:val="004D52A9"/>
    <w:rsid w:val="004D52CD"/>
    <w:rsid w:val="004D5431"/>
    <w:rsid w:val="004D5735"/>
    <w:rsid w:val="004D5859"/>
    <w:rsid w:val="004D5864"/>
    <w:rsid w:val="004D6016"/>
    <w:rsid w:val="004D6A18"/>
    <w:rsid w:val="004D6A41"/>
    <w:rsid w:val="004D6A9E"/>
    <w:rsid w:val="004D6E40"/>
    <w:rsid w:val="004D7329"/>
    <w:rsid w:val="004D74C6"/>
    <w:rsid w:val="004D751D"/>
    <w:rsid w:val="004D75B3"/>
    <w:rsid w:val="004D7679"/>
    <w:rsid w:val="004D78D2"/>
    <w:rsid w:val="004D794E"/>
    <w:rsid w:val="004D7BAD"/>
    <w:rsid w:val="004D7F35"/>
    <w:rsid w:val="004E0240"/>
    <w:rsid w:val="004E0463"/>
    <w:rsid w:val="004E06CA"/>
    <w:rsid w:val="004E08AB"/>
    <w:rsid w:val="004E0DC6"/>
    <w:rsid w:val="004E1687"/>
    <w:rsid w:val="004E17AA"/>
    <w:rsid w:val="004E1CD7"/>
    <w:rsid w:val="004E2037"/>
    <w:rsid w:val="004E2451"/>
    <w:rsid w:val="004E2657"/>
    <w:rsid w:val="004E2687"/>
    <w:rsid w:val="004E276C"/>
    <w:rsid w:val="004E29EC"/>
    <w:rsid w:val="004E2B6B"/>
    <w:rsid w:val="004E2BBE"/>
    <w:rsid w:val="004E30DA"/>
    <w:rsid w:val="004E320A"/>
    <w:rsid w:val="004E3479"/>
    <w:rsid w:val="004E3C8C"/>
    <w:rsid w:val="004E4310"/>
    <w:rsid w:val="004E4393"/>
    <w:rsid w:val="004E45DE"/>
    <w:rsid w:val="004E4681"/>
    <w:rsid w:val="004E46F0"/>
    <w:rsid w:val="004E4728"/>
    <w:rsid w:val="004E4775"/>
    <w:rsid w:val="004E4979"/>
    <w:rsid w:val="004E49CE"/>
    <w:rsid w:val="004E4B50"/>
    <w:rsid w:val="004E4B7E"/>
    <w:rsid w:val="004E4C28"/>
    <w:rsid w:val="004E4C48"/>
    <w:rsid w:val="004E501B"/>
    <w:rsid w:val="004E5356"/>
    <w:rsid w:val="004E538B"/>
    <w:rsid w:val="004E5494"/>
    <w:rsid w:val="004E565E"/>
    <w:rsid w:val="004E5C36"/>
    <w:rsid w:val="004E65A6"/>
    <w:rsid w:val="004E66E8"/>
    <w:rsid w:val="004E6978"/>
    <w:rsid w:val="004E6BAC"/>
    <w:rsid w:val="004E771D"/>
    <w:rsid w:val="004E7880"/>
    <w:rsid w:val="004E7914"/>
    <w:rsid w:val="004E7E9E"/>
    <w:rsid w:val="004F002D"/>
    <w:rsid w:val="004F04E4"/>
    <w:rsid w:val="004F0B71"/>
    <w:rsid w:val="004F0BF7"/>
    <w:rsid w:val="004F0C9E"/>
    <w:rsid w:val="004F0CB7"/>
    <w:rsid w:val="004F107E"/>
    <w:rsid w:val="004F148A"/>
    <w:rsid w:val="004F165A"/>
    <w:rsid w:val="004F1838"/>
    <w:rsid w:val="004F1906"/>
    <w:rsid w:val="004F1CEE"/>
    <w:rsid w:val="004F2122"/>
    <w:rsid w:val="004F2175"/>
    <w:rsid w:val="004F233C"/>
    <w:rsid w:val="004F2560"/>
    <w:rsid w:val="004F2561"/>
    <w:rsid w:val="004F2961"/>
    <w:rsid w:val="004F32DF"/>
    <w:rsid w:val="004F38B4"/>
    <w:rsid w:val="004F3A6B"/>
    <w:rsid w:val="004F3B95"/>
    <w:rsid w:val="004F3B9C"/>
    <w:rsid w:val="004F3C08"/>
    <w:rsid w:val="004F3C2D"/>
    <w:rsid w:val="004F3CD5"/>
    <w:rsid w:val="004F433D"/>
    <w:rsid w:val="004F455C"/>
    <w:rsid w:val="004F4860"/>
    <w:rsid w:val="004F4ADB"/>
    <w:rsid w:val="004F4E5A"/>
    <w:rsid w:val="004F4F76"/>
    <w:rsid w:val="004F50B6"/>
    <w:rsid w:val="004F50C1"/>
    <w:rsid w:val="004F5154"/>
    <w:rsid w:val="004F51B7"/>
    <w:rsid w:val="004F531B"/>
    <w:rsid w:val="004F555C"/>
    <w:rsid w:val="004F56F4"/>
    <w:rsid w:val="004F5712"/>
    <w:rsid w:val="004F582F"/>
    <w:rsid w:val="004F5EE8"/>
    <w:rsid w:val="004F6057"/>
    <w:rsid w:val="004F6395"/>
    <w:rsid w:val="004F68F3"/>
    <w:rsid w:val="004F6CB2"/>
    <w:rsid w:val="004F7070"/>
    <w:rsid w:val="004F7302"/>
    <w:rsid w:val="004F7794"/>
    <w:rsid w:val="004F789C"/>
    <w:rsid w:val="004F79DE"/>
    <w:rsid w:val="004F7B79"/>
    <w:rsid w:val="004F7CEF"/>
    <w:rsid w:val="004F7CFA"/>
    <w:rsid w:val="0050003D"/>
    <w:rsid w:val="0050054C"/>
    <w:rsid w:val="00500AA4"/>
    <w:rsid w:val="00500D41"/>
    <w:rsid w:val="00500DAA"/>
    <w:rsid w:val="00500DB6"/>
    <w:rsid w:val="00500F88"/>
    <w:rsid w:val="005012C0"/>
    <w:rsid w:val="005016B3"/>
    <w:rsid w:val="00501DBC"/>
    <w:rsid w:val="0050204B"/>
    <w:rsid w:val="005020D7"/>
    <w:rsid w:val="00502450"/>
    <w:rsid w:val="00502477"/>
    <w:rsid w:val="005024C6"/>
    <w:rsid w:val="005028CA"/>
    <w:rsid w:val="00503581"/>
    <w:rsid w:val="00503997"/>
    <w:rsid w:val="00503BEE"/>
    <w:rsid w:val="00503C57"/>
    <w:rsid w:val="00503FE8"/>
    <w:rsid w:val="00504211"/>
    <w:rsid w:val="00504829"/>
    <w:rsid w:val="005049A9"/>
    <w:rsid w:val="00504A30"/>
    <w:rsid w:val="00504B6D"/>
    <w:rsid w:val="00504C06"/>
    <w:rsid w:val="00504CA4"/>
    <w:rsid w:val="00504D51"/>
    <w:rsid w:val="00504ED4"/>
    <w:rsid w:val="00504EF5"/>
    <w:rsid w:val="0050518B"/>
    <w:rsid w:val="0050525B"/>
    <w:rsid w:val="00505417"/>
    <w:rsid w:val="005054B5"/>
    <w:rsid w:val="00505825"/>
    <w:rsid w:val="00505D4A"/>
    <w:rsid w:val="00505D99"/>
    <w:rsid w:val="005065FF"/>
    <w:rsid w:val="00506AD5"/>
    <w:rsid w:val="00506C6E"/>
    <w:rsid w:val="00506D30"/>
    <w:rsid w:val="00506D6C"/>
    <w:rsid w:val="00506E1A"/>
    <w:rsid w:val="00507126"/>
    <w:rsid w:val="0050733F"/>
    <w:rsid w:val="00507668"/>
    <w:rsid w:val="005077A1"/>
    <w:rsid w:val="00507821"/>
    <w:rsid w:val="00507A46"/>
    <w:rsid w:val="00507BFA"/>
    <w:rsid w:val="00507DF2"/>
    <w:rsid w:val="00507F54"/>
    <w:rsid w:val="0051015B"/>
    <w:rsid w:val="0051016B"/>
    <w:rsid w:val="005101D1"/>
    <w:rsid w:val="00510431"/>
    <w:rsid w:val="0051043E"/>
    <w:rsid w:val="005104D8"/>
    <w:rsid w:val="005106BA"/>
    <w:rsid w:val="005109F1"/>
    <w:rsid w:val="00510FCB"/>
    <w:rsid w:val="00511282"/>
    <w:rsid w:val="00511373"/>
    <w:rsid w:val="005114EE"/>
    <w:rsid w:val="005114F7"/>
    <w:rsid w:val="0051186B"/>
    <w:rsid w:val="00511876"/>
    <w:rsid w:val="0051198B"/>
    <w:rsid w:val="00511B9A"/>
    <w:rsid w:val="005120EA"/>
    <w:rsid w:val="0051257D"/>
    <w:rsid w:val="0051292A"/>
    <w:rsid w:val="00512A0C"/>
    <w:rsid w:val="00512DBB"/>
    <w:rsid w:val="0051318A"/>
    <w:rsid w:val="005131DD"/>
    <w:rsid w:val="0051321A"/>
    <w:rsid w:val="005137A9"/>
    <w:rsid w:val="00513A3A"/>
    <w:rsid w:val="00513ED0"/>
    <w:rsid w:val="005144EE"/>
    <w:rsid w:val="0051458A"/>
    <w:rsid w:val="005145E2"/>
    <w:rsid w:val="00514668"/>
    <w:rsid w:val="005147E9"/>
    <w:rsid w:val="005148EA"/>
    <w:rsid w:val="00514A87"/>
    <w:rsid w:val="00514E03"/>
    <w:rsid w:val="00514E9E"/>
    <w:rsid w:val="00514EFC"/>
    <w:rsid w:val="00514F75"/>
    <w:rsid w:val="00515152"/>
    <w:rsid w:val="00515189"/>
    <w:rsid w:val="00515214"/>
    <w:rsid w:val="0051560F"/>
    <w:rsid w:val="0051573E"/>
    <w:rsid w:val="00515EFA"/>
    <w:rsid w:val="0051603B"/>
    <w:rsid w:val="00516269"/>
    <w:rsid w:val="00516559"/>
    <w:rsid w:val="0051666A"/>
    <w:rsid w:val="0051686E"/>
    <w:rsid w:val="0051692E"/>
    <w:rsid w:val="00516997"/>
    <w:rsid w:val="00516A31"/>
    <w:rsid w:val="00516E8C"/>
    <w:rsid w:val="00516EA2"/>
    <w:rsid w:val="00517024"/>
    <w:rsid w:val="005172AA"/>
    <w:rsid w:val="005174A1"/>
    <w:rsid w:val="00517898"/>
    <w:rsid w:val="00517BB8"/>
    <w:rsid w:val="00517C58"/>
    <w:rsid w:val="00517D1F"/>
    <w:rsid w:val="00517D39"/>
    <w:rsid w:val="00517DB4"/>
    <w:rsid w:val="005204AF"/>
    <w:rsid w:val="00520637"/>
    <w:rsid w:val="005206DB"/>
    <w:rsid w:val="005209E0"/>
    <w:rsid w:val="005209F0"/>
    <w:rsid w:val="00520C25"/>
    <w:rsid w:val="0052100F"/>
    <w:rsid w:val="00521011"/>
    <w:rsid w:val="005212B1"/>
    <w:rsid w:val="00521385"/>
    <w:rsid w:val="005215A8"/>
    <w:rsid w:val="00521B10"/>
    <w:rsid w:val="00521C9C"/>
    <w:rsid w:val="00522134"/>
    <w:rsid w:val="005221D8"/>
    <w:rsid w:val="00522418"/>
    <w:rsid w:val="00522470"/>
    <w:rsid w:val="00522672"/>
    <w:rsid w:val="00522815"/>
    <w:rsid w:val="005228F6"/>
    <w:rsid w:val="005229F5"/>
    <w:rsid w:val="00522A9A"/>
    <w:rsid w:val="00522BFA"/>
    <w:rsid w:val="00522C73"/>
    <w:rsid w:val="00523041"/>
    <w:rsid w:val="005232C3"/>
    <w:rsid w:val="005233E7"/>
    <w:rsid w:val="005234CF"/>
    <w:rsid w:val="005239A2"/>
    <w:rsid w:val="005239AA"/>
    <w:rsid w:val="00523B53"/>
    <w:rsid w:val="00523B75"/>
    <w:rsid w:val="00523CBF"/>
    <w:rsid w:val="00523DEE"/>
    <w:rsid w:val="005246B0"/>
    <w:rsid w:val="00524A58"/>
    <w:rsid w:val="00524BA6"/>
    <w:rsid w:val="0052534D"/>
    <w:rsid w:val="00525429"/>
    <w:rsid w:val="00525812"/>
    <w:rsid w:val="00525BAE"/>
    <w:rsid w:val="0052603D"/>
    <w:rsid w:val="00526414"/>
    <w:rsid w:val="00526646"/>
    <w:rsid w:val="005267EA"/>
    <w:rsid w:val="00526BC9"/>
    <w:rsid w:val="00526F36"/>
    <w:rsid w:val="00527227"/>
    <w:rsid w:val="0052722B"/>
    <w:rsid w:val="005272BF"/>
    <w:rsid w:val="00527544"/>
    <w:rsid w:val="00527932"/>
    <w:rsid w:val="00527B57"/>
    <w:rsid w:val="00527B83"/>
    <w:rsid w:val="00527EBB"/>
    <w:rsid w:val="005302D4"/>
    <w:rsid w:val="005304BF"/>
    <w:rsid w:val="0053095F"/>
    <w:rsid w:val="00530F88"/>
    <w:rsid w:val="00531107"/>
    <w:rsid w:val="0053114E"/>
    <w:rsid w:val="00531438"/>
    <w:rsid w:val="005316F0"/>
    <w:rsid w:val="00531AFB"/>
    <w:rsid w:val="00531B89"/>
    <w:rsid w:val="00531FED"/>
    <w:rsid w:val="005323CD"/>
    <w:rsid w:val="00532773"/>
    <w:rsid w:val="005327DD"/>
    <w:rsid w:val="00532CA7"/>
    <w:rsid w:val="00532CAF"/>
    <w:rsid w:val="00532CC9"/>
    <w:rsid w:val="00532CDC"/>
    <w:rsid w:val="00532D98"/>
    <w:rsid w:val="00532FE5"/>
    <w:rsid w:val="00533113"/>
    <w:rsid w:val="005331AF"/>
    <w:rsid w:val="00533276"/>
    <w:rsid w:val="00533428"/>
    <w:rsid w:val="005334C4"/>
    <w:rsid w:val="00533DEF"/>
    <w:rsid w:val="0053408C"/>
    <w:rsid w:val="0053458E"/>
    <w:rsid w:val="00534693"/>
    <w:rsid w:val="00534F00"/>
    <w:rsid w:val="005351EA"/>
    <w:rsid w:val="0053521F"/>
    <w:rsid w:val="005359C5"/>
    <w:rsid w:val="00535DD2"/>
    <w:rsid w:val="00535EFB"/>
    <w:rsid w:val="00535F02"/>
    <w:rsid w:val="00536037"/>
    <w:rsid w:val="0053668F"/>
    <w:rsid w:val="00536A38"/>
    <w:rsid w:val="00536A45"/>
    <w:rsid w:val="00536FC1"/>
    <w:rsid w:val="00537025"/>
    <w:rsid w:val="005374C6"/>
    <w:rsid w:val="005378A2"/>
    <w:rsid w:val="00537ABE"/>
    <w:rsid w:val="00537B8D"/>
    <w:rsid w:val="00537EBD"/>
    <w:rsid w:val="00537EF8"/>
    <w:rsid w:val="0054005F"/>
    <w:rsid w:val="0054018C"/>
    <w:rsid w:val="005404ED"/>
    <w:rsid w:val="0054080C"/>
    <w:rsid w:val="005408A5"/>
    <w:rsid w:val="005408DB"/>
    <w:rsid w:val="00540B0B"/>
    <w:rsid w:val="00540BEC"/>
    <w:rsid w:val="00540FA9"/>
    <w:rsid w:val="00540FF9"/>
    <w:rsid w:val="005413FF"/>
    <w:rsid w:val="00541899"/>
    <w:rsid w:val="005418C9"/>
    <w:rsid w:val="00541912"/>
    <w:rsid w:val="00541BEC"/>
    <w:rsid w:val="00541F30"/>
    <w:rsid w:val="00541FE8"/>
    <w:rsid w:val="00542074"/>
    <w:rsid w:val="00542406"/>
    <w:rsid w:val="005426D1"/>
    <w:rsid w:val="00542782"/>
    <w:rsid w:val="0054298D"/>
    <w:rsid w:val="00542A37"/>
    <w:rsid w:val="00542B87"/>
    <w:rsid w:val="00542DDF"/>
    <w:rsid w:val="00542F55"/>
    <w:rsid w:val="00542F86"/>
    <w:rsid w:val="00543066"/>
    <w:rsid w:val="00543071"/>
    <w:rsid w:val="005430AD"/>
    <w:rsid w:val="005436A0"/>
    <w:rsid w:val="00543858"/>
    <w:rsid w:val="005439CA"/>
    <w:rsid w:val="00544278"/>
    <w:rsid w:val="00544297"/>
    <w:rsid w:val="0054457F"/>
    <w:rsid w:val="00544CDB"/>
    <w:rsid w:val="0054502B"/>
    <w:rsid w:val="005453AE"/>
    <w:rsid w:val="00545552"/>
    <w:rsid w:val="0054557C"/>
    <w:rsid w:val="00545680"/>
    <w:rsid w:val="00545747"/>
    <w:rsid w:val="005458B1"/>
    <w:rsid w:val="00545959"/>
    <w:rsid w:val="00545A1D"/>
    <w:rsid w:val="00545BB0"/>
    <w:rsid w:val="00545C3B"/>
    <w:rsid w:val="00545C8C"/>
    <w:rsid w:val="00545DB1"/>
    <w:rsid w:val="005463B6"/>
    <w:rsid w:val="005463CD"/>
    <w:rsid w:val="00546438"/>
    <w:rsid w:val="00546BD1"/>
    <w:rsid w:val="00546F53"/>
    <w:rsid w:val="005479BA"/>
    <w:rsid w:val="00547AD5"/>
    <w:rsid w:val="00547BCF"/>
    <w:rsid w:val="00547DAF"/>
    <w:rsid w:val="00550051"/>
    <w:rsid w:val="005509C7"/>
    <w:rsid w:val="00550A0B"/>
    <w:rsid w:val="00550A42"/>
    <w:rsid w:val="00550AA2"/>
    <w:rsid w:val="00550AD9"/>
    <w:rsid w:val="00550BDB"/>
    <w:rsid w:val="0055103E"/>
    <w:rsid w:val="00551212"/>
    <w:rsid w:val="00551563"/>
    <w:rsid w:val="00551617"/>
    <w:rsid w:val="0055163C"/>
    <w:rsid w:val="00551649"/>
    <w:rsid w:val="005517C6"/>
    <w:rsid w:val="00551D8D"/>
    <w:rsid w:val="0055206B"/>
    <w:rsid w:val="005520FF"/>
    <w:rsid w:val="0055219E"/>
    <w:rsid w:val="00552415"/>
    <w:rsid w:val="005524BF"/>
    <w:rsid w:val="00552517"/>
    <w:rsid w:val="00552798"/>
    <w:rsid w:val="00552DF9"/>
    <w:rsid w:val="00553002"/>
    <w:rsid w:val="005533CB"/>
    <w:rsid w:val="005533D7"/>
    <w:rsid w:val="00553424"/>
    <w:rsid w:val="00553480"/>
    <w:rsid w:val="00553A63"/>
    <w:rsid w:val="00553E90"/>
    <w:rsid w:val="005540D9"/>
    <w:rsid w:val="005542F3"/>
    <w:rsid w:val="00554483"/>
    <w:rsid w:val="005547CB"/>
    <w:rsid w:val="00554847"/>
    <w:rsid w:val="00554906"/>
    <w:rsid w:val="00554969"/>
    <w:rsid w:val="00554A21"/>
    <w:rsid w:val="00554C4F"/>
    <w:rsid w:val="00554CF9"/>
    <w:rsid w:val="00555439"/>
    <w:rsid w:val="005554AD"/>
    <w:rsid w:val="00555A2B"/>
    <w:rsid w:val="00555BED"/>
    <w:rsid w:val="00555E03"/>
    <w:rsid w:val="00556118"/>
    <w:rsid w:val="0055652F"/>
    <w:rsid w:val="00556620"/>
    <w:rsid w:val="00556909"/>
    <w:rsid w:val="00556A72"/>
    <w:rsid w:val="00556B70"/>
    <w:rsid w:val="00556FAC"/>
    <w:rsid w:val="005572EF"/>
    <w:rsid w:val="0055739B"/>
    <w:rsid w:val="005575AC"/>
    <w:rsid w:val="0055793C"/>
    <w:rsid w:val="00557DA9"/>
    <w:rsid w:val="00557EED"/>
    <w:rsid w:val="005603B2"/>
    <w:rsid w:val="00560731"/>
    <w:rsid w:val="00560B8E"/>
    <w:rsid w:val="00560DFE"/>
    <w:rsid w:val="0056155C"/>
    <w:rsid w:val="0056160E"/>
    <w:rsid w:val="005617E3"/>
    <w:rsid w:val="00561842"/>
    <w:rsid w:val="00561BF7"/>
    <w:rsid w:val="00561FE2"/>
    <w:rsid w:val="00562109"/>
    <w:rsid w:val="00562627"/>
    <w:rsid w:val="00562662"/>
    <w:rsid w:val="00562831"/>
    <w:rsid w:val="00562D58"/>
    <w:rsid w:val="005631EF"/>
    <w:rsid w:val="00563249"/>
    <w:rsid w:val="00563742"/>
    <w:rsid w:val="00563A82"/>
    <w:rsid w:val="00563D09"/>
    <w:rsid w:val="00564049"/>
    <w:rsid w:val="00564062"/>
    <w:rsid w:val="00564105"/>
    <w:rsid w:val="00564364"/>
    <w:rsid w:val="00564892"/>
    <w:rsid w:val="00564ABA"/>
    <w:rsid w:val="005651A8"/>
    <w:rsid w:val="005652E4"/>
    <w:rsid w:val="0056534E"/>
    <w:rsid w:val="0056546E"/>
    <w:rsid w:val="005655F5"/>
    <w:rsid w:val="0056589D"/>
    <w:rsid w:val="00565A7E"/>
    <w:rsid w:val="00565CE6"/>
    <w:rsid w:val="00565DFB"/>
    <w:rsid w:val="00565E84"/>
    <w:rsid w:val="00566A5F"/>
    <w:rsid w:val="005670AD"/>
    <w:rsid w:val="00567264"/>
    <w:rsid w:val="00567402"/>
    <w:rsid w:val="0056740A"/>
    <w:rsid w:val="00567BFD"/>
    <w:rsid w:val="00567CA7"/>
    <w:rsid w:val="00570039"/>
    <w:rsid w:val="005701FB"/>
    <w:rsid w:val="005703E4"/>
    <w:rsid w:val="005705B7"/>
    <w:rsid w:val="005705E0"/>
    <w:rsid w:val="00570631"/>
    <w:rsid w:val="0057066B"/>
    <w:rsid w:val="0057079C"/>
    <w:rsid w:val="00570899"/>
    <w:rsid w:val="00570D41"/>
    <w:rsid w:val="00570EFA"/>
    <w:rsid w:val="00570F7D"/>
    <w:rsid w:val="005712CE"/>
    <w:rsid w:val="005712F4"/>
    <w:rsid w:val="005714C8"/>
    <w:rsid w:val="00571631"/>
    <w:rsid w:val="00571DFD"/>
    <w:rsid w:val="00571FC3"/>
    <w:rsid w:val="00572523"/>
    <w:rsid w:val="00572A51"/>
    <w:rsid w:val="00572AFE"/>
    <w:rsid w:val="00572E66"/>
    <w:rsid w:val="0057304A"/>
    <w:rsid w:val="0057342C"/>
    <w:rsid w:val="005735A3"/>
    <w:rsid w:val="005735BB"/>
    <w:rsid w:val="005736E3"/>
    <w:rsid w:val="00573B38"/>
    <w:rsid w:val="00573D44"/>
    <w:rsid w:val="00573E81"/>
    <w:rsid w:val="00574387"/>
    <w:rsid w:val="0057469A"/>
    <w:rsid w:val="00574B8F"/>
    <w:rsid w:val="00574DDE"/>
    <w:rsid w:val="0057540A"/>
    <w:rsid w:val="005759BA"/>
    <w:rsid w:val="00575A89"/>
    <w:rsid w:val="00575DEA"/>
    <w:rsid w:val="005761C3"/>
    <w:rsid w:val="00576518"/>
    <w:rsid w:val="005767E8"/>
    <w:rsid w:val="005768FC"/>
    <w:rsid w:val="0057692B"/>
    <w:rsid w:val="00576B03"/>
    <w:rsid w:val="00576B0F"/>
    <w:rsid w:val="00576D64"/>
    <w:rsid w:val="00576D90"/>
    <w:rsid w:val="00576F8D"/>
    <w:rsid w:val="0057737A"/>
    <w:rsid w:val="00577504"/>
    <w:rsid w:val="0057776F"/>
    <w:rsid w:val="005778CA"/>
    <w:rsid w:val="005779A7"/>
    <w:rsid w:val="00577AF0"/>
    <w:rsid w:val="00577ED9"/>
    <w:rsid w:val="00580582"/>
    <w:rsid w:val="005806D9"/>
    <w:rsid w:val="00580799"/>
    <w:rsid w:val="0058083E"/>
    <w:rsid w:val="00580DCB"/>
    <w:rsid w:val="00580FE8"/>
    <w:rsid w:val="00581526"/>
    <w:rsid w:val="005817A8"/>
    <w:rsid w:val="0058180B"/>
    <w:rsid w:val="00581879"/>
    <w:rsid w:val="00581CBE"/>
    <w:rsid w:val="00581CBF"/>
    <w:rsid w:val="00581CDF"/>
    <w:rsid w:val="00581CEA"/>
    <w:rsid w:val="00581F49"/>
    <w:rsid w:val="005820FA"/>
    <w:rsid w:val="00582314"/>
    <w:rsid w:val="00582331"/>
    <w:rsid w:val="005824BF"/>
    <w:rsid w:val="005824EF"/>
    <w:rsid w:val="00582B17"/>
    <w:rsid w:val="00582D4C"/>
    <w:rsid w:val="00582E3D"/>
    <w:rsid w:val="00582F85"/>
    <w:rsid w:val="005835AB"/>
    <w:rsid w:val="005835AD"/>
    <w:rsid w:val="005839C7"/>
    <w:rsid w:val="00583A57"/>
    <w:rsid w:val="00583DC1"/>
    <w:rsid w:val="00583DC2"/>
    <w:rsid w:val="00583FB9"/>
    <w:rsid w:val="005844C1"/>
    <w:rsid w:val="005849F0"/>
    <w:rsid w:val="00584A81"/>
    <w:rsid w:val="00584D9D"/>
    <w:rsid w:val="00584F73"/>
    <w:rsid w:val="005851C9"/>
    <w:rsid w:val="00585A39"/>
    <w:rsid w:val="00585F4F"/>
    <w:rsid w:val="0058795C"/>
    <w:rsid w:val="0058799E"/>
    <w:rsid w:val="00587B63"/>
    <w:rsid w:val="00587DB7"/>
    <w:rsid w:val="00587E09"/>
    <w:rsid w:val="00590136"/>
    <w:rsid w:val="00590305"/>
    <w:rsid w:val="005904DE"/>
    <w:rsid w:val="005907EC"/>
    <w:rsid w:val="00590B3D"/>
    <w:rsid w:val="00590D99"/>
    <w:rsid w:val="00590EBD"/>
    <w:rsid w:val="00591B55"/>
    <w:rsid w:val="0059213D"/>
    <w:rsid w:val="005922ED"/>
    <w:rsid w:val="00592514"/>
    <w:rsid w:val="00592821"/>
    <w:rsid w:val="005928A6"/>
    <w:rsid w:val="005928C4"/>
    <w:rsid w:val="00592FC0"/>
    <w:rsid w:val="005933AB"/>
    <w:rsid w:val="005937CE"/>
    <w:rsid w:val="00593805"/>
    <w:rsid w:val="00593950"/>
    <w:rsid w:val="005939B7"/>
    <w:rsid w:val="00593BFB"/>
    <w:rsid w:val="0059428F"/>
    <w:rsid w:val="0059433D"/>
    <w:rsid w:val="0059435C"/>
    <w:rsid w:val="005945B3"/>
    <w:rsid w:val="0059494B"/>
    <w:rsid w:val="00594D14"/>
    <w:rsid w:val="00595814"/>
    <w:rsid w:val="00595826"/>
    <w:rsid w:val="005959BE"/>
    <w:rsid w:val="00595A34"/>
    <w:rsid w:val="00595FDA"/>
    <w:rsid w:val="0059606E"/>
    <w:rsid w:val="0059619C"/>
    <w:rsid w:val="005962CA"/>
    <w:rsid w:val="005963E3"/>
    <w:rsid w:val="0059659F"/>
    <w:rsid w:val="00596B05"/>
    <w:rsid w:val="00596CFB"/>
    <w:rsid w:val="00596F8F"/>
    <w:rsid w:val="00597C07"/>
    <w:rsid w:val="00597F0B"/>
    <w:rsid w:val="005A0037"/>
    <w:rsid w:val="005A00DC"/>
    <w:rsid w:val="005A014A"/>
    <w:rsid w:val="005A069F"/>
    <w:rsid w:val="005A075E"/>
    <w:rsid w:val="005A0ABB"/>
    <w:rsid w:val="005A0D6D"/>
    <w:rsid w:val="005A0DA1"/>
    <w:rsid w:val="005A0F6D"/>
    <w:rsid w:val="005A1987"/>
    <w:rsid w:val="005A19BF"/>
    <w:rsid w:val="005A20B1"/>
    <w:rsid w:val="005A276A"/>
    <w:rsid w:val="005A28F3"/>
    <w:rsid w:val="005A29D9"/>
    <w:rsid w:val="005A2AB7"/>
    <w:rsid w:val="005A2B43"/>
    <w:rsid w:val="005A33BE"/>
    <w:rsid w:val="005A356C"/>
    <w:rsid w:val="005A38B4"/>
    <w:rsid w:val="005A3FBF"/>
    <w:rsid w:val="005A4076"/>
    <w:rsid w:val="005A4179"/>
    <w:rsid w:val="005A422B"/>
    <w:rsid w:val="005A4554"/>
    <w:rsid w:val="005A48D4"/>
    <w:rsid w:val="005A4AA9"/>
    <w:rsid w:val="005A4C09"/>
    <w:rsid w:val="005A4C8A"/>
    <w:rsid w:val="005A4CAD"/>
    <w:rsid w:val="005A50F1"/>
    <w:rsid w:val="005A531F"/>
    <w:rsid w:val="005A5580"/>
    <w:rsid w:val="005A57F2"/>
    <w:rsid w:val="005A5E91"/>
    <w:rsid w:val="005A62F1"/>
    <w:rsid w:val="005A65E1"/>
    <w:rsid w:val="005A6770"/>
    <w:rsid w:val="005A680C"/>
    <w:rsid w:val="005A6E35"/>
    <w:rsid w:val="005A6E48"/>
    <w:rsid w:val="005A6FAA"/>
    <w:rsid w:val="005A70DB"/>
    <w:rsid w:val="005A71D3"/>
    <w:rsid w:val="005A7214"/>
    <w:rsid w:val="005A76D2"/>
    <w:rsid w:val="005A7C2B"/>
    <w:rsid w:val="005A7EB5"/>
    <w:rsid w:val="005A842C"/>
    <w:rsid w:val="005B027D"/>
    <w:rsid w:val="005B0384"/>
    <w:rsid w:val="005B0667"/>
    <w:rsid w:val="005B068C"/>
    <w:rsid w:val="005B06DA"/>
    <w:rsid w:val="005B0912"/>
    <w:rsid w:val="005B0A65"/>
    <w:rsid w:val="005B0D8C"/>
    <w:rsid w:val="005B1330"/>
    <w:rsid w:val="005B19B4"/>
    <w:rsid w:val="005B1A23"/>
    <w:rsid w:val="005B1F2F"/>
    <w:rsid w:val="005B1FA0"/>
    <w:rsid w:val="005B2280"/>
    <w:rsid w:val="005B239D"/>
    <w:rsid w:val="005B28C1"/>
    <w:rsid w:val="005B28E7"/>
    <w:rsid w:val="005B2D03"/>
    <w:rsid w:val="005B2FA6"/>
    <w:rsid w:val="005B3270"/>
    <w:rsid w:val="005B32CA"/>
    <w:rsid w:val="005B337D"/>
    <w:rsid w:val="005B3827"/>
    <w:rsid w:val="005B389C"/>
    <w:rsid w:val="005B3F98"/>
    <w:rsid w:val="005B4123"/>
    <w:rsid w:val="005B4469"/>
    <w:rsid w:val="005B4719"/>
    <w:rsid w:val="005B4AF2"/>
    <w:rsid w:val="005B5315"/>
    <w:rsid w:val="005B5691"/>
    <w:rsid w:val="005B56D7"/>
    <w:rsid w:val="005B5882"/>
    <w:rsid w:val="005B5955"/>
    <w:rsid w:val="005B5F1C"/>
    <w:rsid w:val="005B6515"/>
    <w:rsid w:val="005B66C5"/>
    <w:rsid w:val="005B69A0"/>
    <w:rsid w:val="005B6CEA"/>
    <w:rsid w:val="005B74D0"/>
    <w:rsid w:val="005B7691"/>
    <w:rsid w:val="005B77E3"/>
    <w:rsid w:val="005B77FA"/>
    <w:rsid w:val="005B788B"/>
    <w:rsid w:val="005B7A51"/>
    <w:rsid w:val="005B7CC5"/>
    <w:rsid w:val="005B7CCE"/>
    <w:rsid w:val="005C021B"/>
    <w:rsid w:val="005C036B"/>
    <w:rsid w:val="005C08B7"/>
    <w:rsid w:val="005C0F5D"/>
    <w:rsid w:val="005C0FDA"/>
    <w:rsid w:val="005C1087"/>
    <w:rsid w:val="005C1796"/>
    <w:rsid w:val="005C18C1"/>
    <w:rsid w:val="005C25A2"/>
    <w:rsid w:val="005C25EE"/>
    <w:rsid w:val="005C2618"/>
    <w:rsid w:val="005C26CD"/>
    <w:rsid w:val="005C2EEE"/>
    <w:rsid w:val="005C306E"/>
    <w:rsid w:val="005C31C4"/>
    <w:rsid w:val="005C352F"/>
    <w:rsid w:val="005C3576"/>
    <w:rsid w:val="005C3A6B"/>
    <w:rsid w:val="005C3BDF"/>
    <w:rsid w:val="005C3C44"/>
    <w:rsid w:val="005C4018"/>
    <w:rsid w:val="005C41F8"/>
    <w:rsid w:val="005C4487"/>
    <w:rsid w:val="005C45C9"/>
    <w:rsid w:val="005C465F"/>
    <w:rsid w:val="005C4812"/>
    <w:rsid w:val="005C4843"/>
    <w:rsid w:val="005C4AC3"/>
    <w:rsid w:val="005C5251"/>
    <w:rsid w:val="005C53A5"/>
    <w:rsid w:val="005C54E2"/>
    <w:rsid w:val="005C566B"/>
    <w:rsid w:val="005C577F"/>
    <w:rsid w:val="005C599B"/>
    <w:rsid w:val="005C5C69"/>
    <w:rsid w:val="005C5CC0"/>
    <w:rsid w:val="005C634E"/>
    <w:rsid w:val="005C636A"/>
    <w:rsid w:val="005C63AC"/>
    <w:rsid w:val="005C65E4"/>
    <w:rsid w:val="005C6653"/>
    <w:rsid w:val="005C67FE"/>
    <w:rsid w:val="005C696B"/>
    <w:rsid w:val="005C7061"/>
    <w:rsid w:val="005C7E4C"/>
    <w:rsid w:val="005D003A"/>
    <w:rsid w:val="005D00CB"/>
    <w:rsid w:val="005D019B"/>
    <w:rsid w:val="005D01FA"/>
    <w:rsid w:val="005D0327"/>
    <w:rsid w:val="005D03FF"/>
    <w:rsid w:val="005D05E1"/>
    <w:rsid w:val="005D06C0"/>
    <w:rsid w:val="005D0721"/>
    <w:rsid w:val="005D07AE"/>
    <w:rsid w:val="005D07B2"/>
    <w:rsid w:val="005D0942"/>
    <w:rsid w:val="005D10E4"/>
    <w:rsid w:val="005D158F"/>
    <w:rsid w:val="005D15CD"/>
    <w:rsid w:val="005D1856"/>
    <w:rsid w:val="005D1887"/>
    <w:rsid w:val="005D19BE"/>
    <w:rsid w:val="005D1C4F"/>
    <w:rsid w:val="005D1CC2"/>
    <w:rsid w:val="005D1D1D"/>
    <w:rsid w:val="005D1DB2"/>
    <w:rsid w:val="005D2AB2"/>
    <w:rsid w:val="005D2BBB"/>
    <w:rsid w:val="005D2E45"/>
    <w:rsid w:val="005D3542"/>
    <w:rsid w:val="005D361D"/>
    <w:rsid w:val="005D3D70"/>
    <w:rsid w:val="005D3E9F"/>
    <w:rsid w:val="005D4075"/>
    <w:rsid w:val="005D410A"/>
    <w:rsid w:val="005D42A2"/>
    <w:rsid w:val="005D432F"/>
    <w:rsid w:val="005D438D"/>
    <w:rsid w:val="005D44F2"/>
    <w:rsid w:val="005D46EB"/>
    <w:rsid w:val="005D47F5"/>
    <w:rsid w:val="005D4B9D"/>
    <w:rsid w:val="005D4D68"/>
    <w:rsid w:val="005D547D"/>
    <w:rsid w:val="005D5636"/>
    <w:rsid w:val="005D5758"/>
    <w:rsid w:val="005D57C1"/>
    <w:rsid w:val="005D5A2D"/>
    <w:rsid w:val="005D6061"/>
    <w:rsid w:val="005D61E7"/>
    <w:rsid w:val="005D632A"/>
    <w:rsid w:val="005D6587"/>
    <w:rsid w:val="005D66A4"/>
    <w:rsid w:val="005D6795"/>
    <w:rsid w:val="005D67DA"/>
    <w:rsid w:val="005D69A5"/>
    <w:rsid w:val="005D6EAC"/>
    <w:rsid w:val="005D7216"/>
    <w:rsid w:val="005D75CF"/>
    <w:rsid w:val="005D77EC"/>
    <w:rsid w:val="005D7D3F"/>
    <w:rsid w:val="005D7E5B"/>
    <w:rsid w:val="005E00E0"/>
    <w:rsid w:val="005E02D6"/>
    <w:rsid w:val="005E0787"/>
    <w:rsid w:val="005E0AC1"/>
    <w:rsid w:val="005E0B01"/>
    <w:rsid w:val="005E10FC"/>
    <w:rsid w:val="005E127D"/>
    <w:rsid w:val="005E1325"/>
    <w:rsid w:val="005E17E0"/>
    <w:rsid w:val="005E1B00"/>
    <w:rsid w:val="005E1D63"/>
    <w:rsid w:val="005E2990"/>
    <w:rsid w:val="005E2BFD"/>
    <w:rsid w:val="005E2D88"/>
    <w:rsid w:val="005E2E52"/>
    <w:rsid w:val="005E3041"/>
    <w:rsid w:val="005E32C2"/>
    <w:rsid w:val="005E32DE"/>
    <w:rsid w:val="005E343E"/>
    <w:rsid w:val="005E3A4C"/>
    <w:rsid w:val="005E3ACF"/>
    <w:rsid w:val="005E3E6B"/>
    <w:rsid w:val="005E4042"/>
    <w:rsid w:val="005E40C9"/>
    <w:rsid w:val="005E4119"/>
    <w:rsid w:val="005E414A"/>
    <w:rsid w:val="005E49E9"/>
    <w:rsid w:val="005E4A25"/>
    <w:rsid w:val="005E4BA6"/>
    <w:rsid w:val="005E4DD2"/>
    <w:rsid w:val="005E518F"/>
    <w:rsid w:val="005E51BA"/>
    <w:rsid w:val="005E5277"/>
    <w:rsid w:val="005E5948"/>
    <w:rsid w:val="005E5CCC"/>
    <w:rsid w:val="005E5E6D"/>
    <w:rsid w:val="005E5F0D"/>
    <w:rsid w:val="005E60E2"/>
    <w:rsid w:val="005E6323"/>
    <w:rsid w:val="005E6685"/>
    <w:rsid w:val="005E66B7"/>
    <w:rsid w:val="005E6937"/>
    <w:rsid w:val="005E6BDE"/>
    <w:rsid w:val="005E6D16"/>
    <w:rsid w:val="005E6F9E"/>
    <w:rsid w:val="005E7014"/>
    <w:rsid w:val="005E70E0"/>
    <w:rsid w:val="005E711E"/>
    <w:rsid w:val="005E713A"/>
    <w:rsid w:val="005E72CF"/>
    <w:rsid w:val="005E73EF"/>
    <w:rsid w:val="005E7430"/>
    <w:rsid w:val="005E7844"/>
    <w:rsid w:val="005E7BD8"/>
    <w:rsid w:val="005F01FF"/>
    <w:rsid w:val="005F037A"/>
    <w:rsid w:val="005F04DB"/>
    <w:rsid w:val="005F0C47"/>
    <w:rsid w:val="005F0D28"/>
    <w:rsid w:val="005F0D2C"/>
    <w:rsid w:val="005F0D75"/>
    <w:rsid w:val="005F0DC7"/>
    <w:rsid w:val="005F128E"/>
    <w:rsid w:val="005F13CD"/>
    <w:rsid w:val="005F1412"/>
    <w:rsid w:val="005F145B"/>
    <w:rsid w:val="005F14C2"/>
    <w:rsid w:val="005F14D8"/>
    <w:rsid w:val="005F1673"/>
    <w:rsid w:val="005F16C0"/>
    <w:rsid w:val="005F17E5"/>
    <w:rsid w:val="005F18F8"/>
    <w:rsid w:val="005F1BAD"/>
    <w:rsid w:val="005F1CEF"/>
    <w:rsid w:val="005F1FC7"/>
    <w:rsid w:val="005F2279"/>
    <w:rsid w:val="005F22EC"/>
    <w:rsid w:val="005F25E2"/>
    <w:rsid w:val="005F26A7"/>
    <w:rsid w:val="005F2734"/>
    <w:rsid w:val="005F2747"/>
    <w:rsid w:val="005F2C7E"/>
    <w:rsid w:val="005F2C8B"/>
    <w:rsid w:val="005F2D5A"/>
    <w:rsid w:val="005F2F79"/>
    <w:rsid w:val="005F301C"/>
    <w:rsid w:val="005F34DB"/>
    <w:rsid w:val="005F35C9"/>
    <w:rsid w:val="005F3780"/>
    <w:rsid w:val="005F37E7"/>
    <w:rsid w:val="005F38D5"/>
    <w:rsid w:val="005F4356"/>
    <w:rsid w:val="005F4405"/>
    <w:rsid w:val="005F4423"/>
    <w:rsid w:val="005F45FA"/>
    <w:rsid w:val="005F5119"/>
    <w:rsid w:val="005F5158"/>
    <w:rsid w:val="005F54A8"/>
    <w:rsid w:val="005F5575"/>
    <w:rsid w:val="005F576B"/>
    <w:rsid w:val="005F5799"/>
    <w:rsid w:val="005F5967"/>
    <w:rsid w:val="005F5BE7"/>
    <w:rsid w:val="005F5E55"/>
    <w:rsid w:val="005F5FB0"/>
    <w:rsid w:val="005F610A"/>
    <w:rsid w:val="005F636A"/>
    <w:rsid w:val="005F6401"/>
    <w:rsid w:val="005F668F"/>
    <w:rsid w:val="005F66ED"/>
    <w:rsid w:val="005F680C"/>
    <w:rsid w:val="005F6D97"/>
    <w:rsid w:val="005F6EEE"/>
    <w:rsid w:val="005F715C"/>
    <w:rsid w:val="005F71F8"/>
    <w:rsid w:val="005F7B33"/>
    <w:rsid w:val="0060020A"/>
    <w:rsid w:val="006002A1"/>
    <w:rsid w:val="00600393"/>
    <w:rsid w:val="00600746"/>
    <w:rsid w:val="00600770"/>
    <w:rsid w:val="00600880"/>
    <w:rsid w:val="00600A8F"/>
    <w:rsid w:val="00600F83"/>
    <w:rsid w:val="00600FE6"/>
    <w:rsid w:val="00601399"/>
    <w:rsid w:val="00601895"/>
    <w:rsid w:val="006018EC"/>
    <w:rsid w:val="00601C3B"/>
    <w:rsid w:val="00601C61"/>
    <w:rsid w:val="00601E54"/>
    <w:rsid w:val="00602266"/>
    <w:rsid w:val="00602500"/>
    <w:rsid w:val="00602953"/>
    <w:rsid w:val="00602D89"/>
    <w:rsid w:val="00602DEB"/>
    <w:rsid w:val="00603117"/>
    <w:rsid w:val="006032C0"/>
    <w:rsid w:val="00603349"/>
    <w:rsid w:val="006034B8"/>
    <w:rsid w:val="006035F7"/>
    <w:rsid w:val="006036C3"/>
    <w:rsid w:val="00603834"/>
    <w:rsid w:val="00603952"/>
    <w:rsid w:val="00603D5D"/>
    <w:rsid w:val="00603D93"/>
    <w:rsid w:val="00603EAB"/>
    <w:rsid w:val="00603F4F"/>
    <w:rsid w:val="0060409F"/>
    <w:rsid w:val="00604198"/>
    <w:rsid w:val="006042E5"/>
    <w:rsid w:val="0060473A"/>
    <w:rsid w:val="00604925"/>
    <w:rsid w:val="00604A50"/>
    <w:rsid w:val="00604D85"/>
    <w:rsid w:val="00604F40"/>
    <w:rsid w:val="006050EE"/>
    <w:rsid w:val="0060532A"/>
    <w:rsid w:val="0060580F"/>
    <w:rsid w:val="00605839"/>
    <w:rsid w:val="0060597C"/>
    <w:rsid w:val="00605B6B"/>
    <w:rsid w:val="00605E5E"/>
    <w:rsid w:val="00606174"/>
    <w:rsid w:val="00606646"/>
    <w:rsid w:val="00606D2C"/>
    <w:rsid w:val="00606EFF"/>
    <w:rsid w:val="006070C0"/>
    <w:rsid w:val="006071AD"/>
    <w:rsid w:val="006072C9"/>
    <w:rsid w:val="00607580"/>
    <w:rsid w:val="00607706"/>
    <w:rsid w:val="00607737"/>
    <w:rsid w:val="00607A25"/>
    <w:rsid w:val="006102EA"/>
    <w:rsid w:val="0061052E"/>
    <w:rsid w:val="006108B1"/>
    <w:rsid w:val="006108C3"/>
    <w:rsid w:val="00610CF9"/>
    <w:rsid w:val="00610D22"/>
    <w:rsid w:val="00611708"/>
    <w:rsid w:val="00611C59"/>
    <w:rsid w:val="00611C85"/>
    <w:rsid w:val="00611DB5"/>
    <w:rsid w:val="00611DCE"/>
    <w:rsid w:val="00612325"/>
    <w:rsid w:val="00612505"/>
    <w:rsid w:val="0061262A"/>
    <w:rsid w:val="006128ED"/>
    <w:rsid w:val="0061294C"/>
    <w:rsid w:val="00612CBD"/>
    <w:rsid w:val="00612DF1"/>
    <w:rsid w:val="00613162"/>
    <w:rsid w:val="006134DE"/>
    <w:rsid w:val="00613577"/>
    <w:rsid w:val="0061385B"/>
    <w:rsid w:val="0061387B"/>
    <w:rsid w:val="00613E04"/>
    <w:rsid w:val="00613FC0"/>
    <w:rsid w:val="00614E2B"/>
    <w:rsid w:val="00615059"/>
    <w:rsid w:val="00615A3B"/>
    <w:rsid w:val="00616182"/>
    <w:rsid w:val="00616441"/>
    <w:rsid w:val="0061653E"/>
    <w:rsid w:val="00616865"/>
    <w:rsid w:val="00616BF9"/>
    <w:rsid w:val="00616C45"/>
    <w:rsid w:val="00616D2B"/>
    <w:rsid w:val="00616E67"/>
    <w:rsid w:val="00616F3D"/>
    <w:rsid w:val="00617018"/>
    <w:rsid w:val="006173E7"/>
    <w:rsid w:val="00617430"/>
    <w:rsid w:val="00617D4D"/>
    <w:rsid w:val="00617D95"/>
    <w:rsid w:val="0062005B"/>
    <w:rsid w:val="006205CD"/>
    <w:rsid w:val="00620699"/>
    <w:rsid w:val="00620BE8"/>
    <w:rsid w:val="00620F5B"/>
    <w:rsid w:val="006210E1"/>
    <w:rsid w:val="00621422"/>
    <w:rsid w:val="00621B71"/>
    <w:rsid w:val="00621B72"/>
    <w:rsid w:val="00621C44"/>
    <w:rsid w:val="00621E70"/>
    <w:rsid w:val="006225CC"/>
    <w:rsid w:val="00622B32"/>
    <w:rsid w:val="00622CCA"/>
    <w:rsid w:val="00622DD1"/>
    <w:rsid w:val="00622FA9"/>
    <w:rsid w:val="00623026"/>
    <w:rsid w:val="00623441"/>
    <w:rsid w:val="00623561"/>
    <w:rsid w:val="0062359A"/>
    <w:rsid w:val="0062371A"/>
    <w:rsid w:val="006237D9"/>
    <w:rsid w:val="006239A2"/>
    <w:rsid w:val="0062400C"/>
    <w:rsid w:val="00624024"/>
    <w:rsid w:val="00624152"/>
    <w:rsid w:val="006241C7"/>
    <w:rsid w:val="0062430B"/>
    <w:rsid w:val="00624745"/>
    <w:rsid w:val="006247E3"/>
    <w:rsid w:val="006248A3"/>
    <w:rsid w:val="006248AB"/>
    <w:rsid w:val="0062493D"/>
    <w:rsid w:val="00624AEA"/>
    <w:rsid w:val="00624BE5"/>
    <w:rsid w:val="00625787"/>
    <w:rsid w:val="00625804"/>
    <w:rsid w:val="00625918"/>
    <w:rsid w:val="00625997"/>
    <w:rsid w:val="006259FE"/>
    <w:rsid w:val="00625A9A"/>
    <w:rsid w:val="00625ADB"/>
    <w:rsid w:val="00625BC2"/>
    <w:rsid w:val="00625E13"/>
    <w:rsid w:val="0062647B"/>
    <w:rsid w:val="006265E7"/>
    <w:rsid w:val="00626F22"/>
    <w:rsid w:val="0062733F"/>
    <w:rsid w:val="00627461"/>
    <w:rsid w:val="006274DD"/>
    <w:rsid w:val="0062793C"/>
    <w:rsid w:val="00627A37"/>
    <w:rsid w:val="00627A45"/>
    <w:rsid w:val="00627E68"/>
    <w:rsid w:val="0063027D"/>
    <w:rsid w:val="0063055D"/>
    <w:rsid w:val="006315AA"/>
    <w:rsid w:val="006316B8"/>
    <w:rsid w:val="0063170D"/>
    <w:rsid w:val="006317FF"/>
    <w:rsid w:val="00631935"/>
    <w:rsid w:val="00631CA3"/>
    <w:rsid w:val="00631D83"/>
    <w:rsid w:val="00631E9D"/>
    <w:rsid w:val="00631EB3"/>
    <w:rsid w:val="00631FD9"/>
    <w:rsid w:val="006322E2"/>
    <w:rsid w:val="006324B4"/>
    <w:rsid w:val="006324C3"/>
    <w:rsid w:val="006324CB"/>
    <w:rsid w:val="006329A2"/>
    <w:rsid w:val="00632C01"/>
    <w:rsid w:val="00632C75"/>
    <w:rsid w:val="00632CB5"/>
    <w:rsid w:val="00632CDD"/>
    <w:rsid w:val="00632DEB"/>
    <w:rsid w:val="0063334D"/>
    <w:rsid w:val="006333C7"/>
    <w:rsid w:val="00633423"/>
    <w:rsid w:val="0063346B"/>
    <w:rsid w:val="0063382F"/>
    <w:rsid w:val="00633870"/>
    <w:rsid w:val="0063413C"/>
    <w:rsid w:val="00634369"/>
    <w:rsid w:val="00634458"/>
    <w:rsid w:val="00634606"/>
    <w:rsid w:val="00634720"/>
    <w:rsid w:val="0063479C"/>
    <w:rsid w:val="006348F1"/>
    <w:rsid w:val="00634958"/>
    <w:rsid w:val="00634B60"/>
    <w:rsid w:val="00634BE4"/>
    <w:rsid w:val="00634E33"/>
    <w:rsid w:val="00634EEB"/>
    <w:rsid w:val="00635355"/>
    <w:rsid w:val="0063536A"/>
    <w:rsid w:val="00635DDD"/>
    <w:rsid w:val="00635F33"/>
    <w:rsid w:val="006360BC"/>
    <w:rsid w:val="00636511"/>
    <w:rsid w:val="00636547"/>
    <w:rsid w:val="0063683C"/>
    <w:rsid w:val="00636D33"/>
    <w:rsid w:val="00637070"/>
    <w:rsid w:val="00637101"/>
    <w:rsid w:val="006372D8"/>
    <w:rsid w:val="006375E8"/>
    <w:rsid w:val="00637792"/>
    <w:rsid w:val="00637DDB"/>
    <w:rsid w:val="00637F6A"/>
    <w:rsid w:val="006401BF"/>
    <w:rsid w:val="006403CE"/>
    <w:rsid w:val="00640B7F"/>
    <w:rsid w:val="00641B08"/>
    <w:rsid w:val="00641BB8"/>
    <w:rsid w:val="00641F4F"/>
    <w:rsid w:val="00641FF5"/>
    <w:rsid w:val="00642182"/>
    <w:rsid w:val="0064241E"/>
    <w:rsid w:val="006428B9"/>
    <w:rsid w:val="00642A94"/>
    <w:rsid w:val="00642E27"/>
    <w:rsid w:val="006430DD"/>
    <w:rsid w:val="00643188"/>
    <w:rsid w:val="0064329C"/>
    <w:rsid w:val="006432C5"/>
    <w:rsid w:val="0064335F"/>
    <w:rsid w:val="0064366F"/>
    <w:rsid w:val="0064379A"/>
    <w:rsid w:val="00643852"/>
    <w:rsid w:val="006438F1"/>
    <w:rsid w:val="00644259"/>
    <w:rsid w:val="00644518"/>
    <w:rsid w:val="006448D0"/>
    <w:rsid w:val="006449C6"/>
    <w:rsid w:val="00644AC5"/>
    <w:rsid w:val="00644BCF"/>
    <w:rsid w:val="00644C69"/>
    <w:rsid w:val="00644F8D"/>
    <w:rsid w:val="0064506B"/>
    <w:rsid w:val="006450E7"/>
    <w:rsid w:val="006451EF"/>
    <w:rsid w:val="00645274"/>
    <w:rsid w:val="006457F9"/>
    <w:rsid w:val="00645A0C"/>
    <w:rsid w:val="00646603"/>
    <w:rsid w:val="006466C2"/>
    <w:rsid w:val="0064674E"/>
    <w:rsid w:val="00646C1D"/>
    <w:rsid w:val="00646DF6"/>
    <w:rsid w:val="006470CA"/>
    <w:rsid w:val="0064728D"/>
    <w:rsid w:val="00647477"/>
    <w:rsid w:val="00647597"/>
    <w:rsid w:val="006476AA"/>
    <w:rsid w:val="0064791E"/>
    <w:rsid w:val="00647AA4"/>
    <w:rsid w:val="00647F45"/>
    <w:rsid w:val="006503E7"/>
    <w:rsid w:val="0065058C"/>
    <w:rsid w:val="0065074A"/>
    <w:rsid w:val="006508E8"/>
    <w:rsid w:val="006508F3"/>
    <w:rsid w:val="00650BBA"/>
    <w:rsid w:val="00650DF2"/>
    <w:rsid w:val="00650EC7"/>
    <w:rsid w:val="006510B5"/>
    <w:rsid w:val="00651197"/>
    <w:rsid w:val="006512F8"/>
    <w:rsid w:val="00651687"/>
    <w:rsid w:val="00651881"/>
    <w:rsid w:val="0065188C"/>
    <w:rsid w:val="006518B3"/>
    <w:rsid w:val="006519B9"/>
    <w:rsid w:val="00651ABC"/>
    <w:rsid w:val="00651D46"/>
    <w:rsid w:val="00651E34"/>
    <w:rsid w:val="006522D8"/>
    <w:rsid w:val="00652328"/>
    <w:rsid w:val="00652619"/>
    <w:rsid w:val="006526DC"/>
    <w:rsid w:val="00652720"/>
    <w:rsid w:val="006528F4"/>
    <w:rsid w:val="00652A9F"/>
    <w:rsid w:val="00653589"/>
    <w:rsid w:val="00653B72"/>
    <w:rsid w:val="00653E6C"/>
    <w:rsid w:val="00654457"/>
    <w:rsid w:val="006549D3"/>
    <w:rsid w:val="00654CD7"/>
    <w:rsid w:val="00654F5C"/>
    <w:rsid w:val="00655306"/>
    <w:rsid w:val="0065588B"/>
    <w:rsid w:val="00655A97"/>
    <w:rsid w:val="00655D2A"/>
    <w:rsid w:val="00655E2E"/>
    <w:rsid w:val="00655E97"/>
    <w:rsid w:val="006560A3"/>
    <w:rsid w:val="006560DE"/>
    <w:rsid w:val="006563A6"/>
    <w:rsid w:val="0065676B"/>
    <w:rsid w:val="00656834"/>
    <w:rsid w:val="00656CBC"/>
    <w:rsid w:val="00657772"/>
    <w:rsid w:val="00657BB3"/>
    <w:rsid w:val="00657D8D"/>
    <w:rsid w:val="00660019"/>
    <w:rsid w:val="00660280"/>
    <w:rsid w:val="00660549"/>
    <w:rsid w:val="00660566"/>
    <w:rsid w:val="0066057A"/>
    <w:rsid w:val="006607D1"/>
    <w:rsid w:val="006608CD"/>
    <w:rsid w:val="006609B4"/>
    <w:rsid w:val="0066129B"/>
    <w:rsid w:val="006613A9"/>
    <w:rsid w:val="0066154C"/>
    <w:rsid w:val="006616AA"/>
    <w:rsid w:val="006622B5"/>
    <w:rsid w:val="0066263C"/>
    <w:rsid w:val="0066265B"/>
    <w:rsid w:val="00662666"/>
    <w:rsid w:val="00662676"/>
    <w:rsid w:val="00662813"/>
    <w:rsid w:val="00662991"/>
    <w:rsid w:val="00662CA8"/>
    <w:rsid w:val="00662DB7"/>
    <w:rsid w:val="006631BC"/>
    <w:rsid w:val="006631D3"/>
    <w:rsid w:val="006632BF"/>
    <w:rsid w:val="006633F4"/>
    <w:rsid w:val="00663603"/>
    <w:rsid w:val="00663804"/>
    <w:rsid w:val="00663814"/>
    <w:rsid w:val="00663965"/>
    <w:rsid w:val="006639BB"/>
    <w:rsid w:val="00663AEA"/>
    <w:rsid w:val="00663E9C"/>
    <w:rsid w:val="00664656"/>
    <w:rsid w:val="006649FE"/>
    <w:rsid w:val="00664C19"/>
    <w:rsid w:val="00664C31"/>
    <w:rsid w:val="00664C42"/>
    <w:rsid w:val="00664FCD"/>
    <w:rsid w:val="0066544C"/>
    <w:rsid w:val="006654D2"/>
    <w:rsid w:val="00665510"/>
    <w:rsid w:val="0066563C"/>
    <w:rsid w:val="00665763"/>
    <w:rsid w:val="0066589E"/>
    <w:rsid w:val="00665A39"/>
    <w:rsid w:val="00665C33"/>
    <w:rsid w:val="00665CB5"/>
    <w:rsid w:val="0066606E"/>
    <w:rsid w:val="0066633A"/>
    <w:rsid w:val="006663F0"/>
    <w:rsid w:val="0066659F"/>
    <w:rsid w:val="006665AA"/>
    <w:rsid w:val="006666D0"/>
    <w:rsid w:val="00666759"/>
    <w:rsid w:val="00666B9E"/>
    <w:rsid w:val="00666D08"/>
    <w:rsid w:val="00666DA6"/>
    <w:rsid w:val="00666F83"/>
    <w:rsid w:val="006679C8"/>
    <w:rsid w:val="006702CB"/>
    <w:rsid w:val="006708CF"/>
    <w:rsid w:val="006708F1"/>
    <w:rsid w:val="0067097A"/>
    <w:rsid w:val="00670C25"/>
    <w:rsid w:val="00671139"/>
    <w:rsid w:val="00671146"/>
    <w:rsid w:val="006711C3"/>
    <w:rsid w:val="0067127D"/>
    <w:rsid w:val="00671359"/>
    <w:rsid w:val="006714CB"/>
    <w:rsid w:val="00671919"/>
    <w:rsid w:val="00671A27"/>
    <w:rsid w:val="00671A7D"/>
    <w:rsid w:val="00671BAB"/>
    <w:rsid w:val="00671C0F"/>
    <w:rsid w:val="00671E09"/>
    <w:rsid w:val="00672192"/>
    <w:rsid w:val="0067227B"/>
    <w:rsid w:val="006722F6"/>
    <w:rsid w:val="00672597"/>
    <w:rsid w:val="00672CB2"/>
    <w:rsid w:val="00672F9F"/>
    <w:rsid w:val="00673059"/>
    <w:rsid w:val="00673293"/>
    <w:rsid w:val="006734F2"/>
    <w:rsid w:val="00673526"/>
    <w:rsid w:val="0067353C"/>
    <w:rsid w:val="00673E8F"/>
    <w:rsid w:val="00674C77"/>
    <w:rsid w:val="00674E0A"/>
    <w:rsid w:val="00674EE7"/>
    <w:rsid w:val="00675514"/>
    <w:rsid w:val="0067554D"/>
    <w:rsid w:val="00675825"/>
    <w:rsid w:val="0067583F"/>
    <w:rsid w:val="00675B7D"/>
    <w:rsid w:val="00675CAA"/>
    <w:rsid w:val="00675CC7"/>
    <w:rsid w:val="00675E84"/>
    <w:rsid w:val="00676182"/>
    <w:rsid w:val="006762EC"/>
    <w:rsid w:val="0067640B"/>
    <w:rsid w:val="0067641B"/>
    <w:rsid w:val="00676468"/>
    <w:rsid w:val="00676627"/>
    <w:rsid w:val="006766C9"/>
    <w:rsid w:val="00676857"/>
    <w:rsid w:val="00676D69"/>
    <w:rsid w:val="00676E0C"/>
    <w:rsid w:val="00677007"/>
    <w:rsid w:val="006772C0"/>
    <w:rsid w:val="00677AE5"/>
    <w:rsid w:val="00677B61"/>
    <w:rsid w:val="00677BEA"/>
    <w:rsid w:val="00677D11"/>
    <w:rsid w:val="00677E36"/>
    <w:rsid w:val="00677E81"/>
    <w:rsid w:val="00677FA5"/>
    <w:rsid w:val="006800EB"/>
    <w:rsid w:val="00680252"/>
    <w:rsid w:val="0068038E"/>
    <w:rsid w:val="00680520"/>
    <w:rsid w:val="00680AFB"/>
    <w:rsid w:val="00680F98"/>
    <w:rsid w:val="0068147C"/>
    <w:rsid w:val="0068162A"/>
    <w:rsid w:val="006819FA"/>
    <w:rsid w:val="00681B55"/>
    <w:rsid w:val="00681E71"/>
    <w:rsid w:val="00681EA9"/>
    <w:rsid w:val="00681F7C"/>
    <w:rsid w:val="00682489"/>
    <w:rsid w:val="006828A8"/>
    <w:rsid w:val="00682919"/>
    <w:rsid w:val="00682927"/>
    <w:rsid w:val="00682A11"/>
    <w:rsid w:val="00682C93"/>
    <w:rsid w:val="00682D85"/>
    <w:rsid w:val="00682E9F"/>
    <w:rsid w:val="00682F23"/>
    <w:rsid w:val="00682F94"/>
    <w:rsid w:val="00682FEC"/>
    <w:rsid w:val="00683223"/>
    <w:rsid w:val="006838B2"/>
    <w:rsid w:val="00683B21"/>
    <w:rsid w:val="006843E3"/>
    <w:rsid w:val="006845E8"/>
    <w:rsid w:val="006848A0"/>
    <w:rsid w:val="00684B32"/>
    <w:rsid w:val="006852C7"/>
    <w:rsid w:val="006852EF"/>
    <w:rsid w:val="006858D4"/>
    <w:rsid w:val="00685A6E"/>
    <w:rsid w:val="00685CBA"/>
    <w:rsid w:val="00686173"/>
    <w:rsid w:val="00686245"/>
    <w:rsid w:val="0068683B"/>
    <w:rsid w:val="006869FC"/>
    <w:rsid w:val="00686B7C"/>
    <w:rsid w:val="00686CBD"/>
    <w:rsid w:val="00686D88"/>
    <w:rsid w:val="00687543"/>
    <w:rsid w:val="00687822"/>
    <w:rsid w:val="0068786F"/>
    <w:rsid w:val="00687900"/>
    <w:rsid w:val="00687BCA"/>
    <w:rsid w:val="006901CD"/>
    <w:rsid w:val="006901E9"/>
    <w:rsid w:val="00690513"/>
    <w:rsid w:val="00690F6D"/>
    <w:rsid w:val="00691040"/>
    <w:rsid w:val="00691256"/>
    <w:rsid w:val="00691C17"/>
    <w:rsid w:val="0069223C"/>
    <w:rsid w:val="006924E0"/>
    <w:rsid w:val="00692520"/>
    <w:rsid w:val="00692699"/>
    <w:rsid w:val="00692938"/>
    <w:rsid w:val="00692E6C"/>
    <w:rsid w:val="006932C1"/>
    <w:rsid w:val="00693591"/>
    <w:rsid w:val="00693666"/>
    <w:rsid w:val="006938F9"/>
    <w:rsid w:val="00693912"/>
    <w:rsid w:val="006939AF"/>
    <w:rsid w:val="00694664"/>
    <w:rsid w:val="006948ED"/>
    <w:rsid w:val="00694940"/>
    <w:rsid w:val="00694C67"/>
    <w:rsid w:val="00694C9B"/>
    <w:rsid w:val="00694DBC"/>
    <w:rsid w:val="00694EE5"/>
    <w:rsid w:val="00695068"/>
    <w:rsid w:val="00695228"/>
    <w:rsid w:val="00695313"/>
    <w:rsid w:val="006953B0"/>
    <w:rsid w:val="0069572F"/>
    <w:rsid w:val="006958C0"/>
    <w:rsid w:val="00695B21"/>
    <w:rsid w:val="00695B5D"/>
    <w:rsid w:val="00695D8E"/>
    <w:rsid w:val="00696D13"/>
    <w:rsid w:val="00697076"/>
    <w:rsid w:val="00697327"/>
    <w:rsid w:val="00697517"/>
    <w:rsid w:val="006975A6"/>
    <w:rsid w:val="006977E9"/>
    <w:rsid w:val="006A0113"/>
    <w:rsid w:val="006A06F0"/>
    <w:rsid w:val="006A0788"/>
    <w:rsid w:val="006A07E0"/>
    <w:rsid w:val="006A08F9"/>
    <w:rsid w:val="006A0A5C"/>
    <w:rsid w:val="006A0C19"/>
    <w:rsid w:val="006A0FDB"/>
    <w:rsid w:val="006A1027"/>
    <w:rsid w:val="006A1634"/>
    <w:rsid w:val="006A171C"/>
    <w:rsid w:val="006A1906"/>
    <w:rsid w:val="006A1CAA"/>
    <w:rsid w:val="006A1CDE"/>
    <w:rsid w:val="006A1FFB"/>
    <w:rsid w:val="006A2084"/>
    <w:rsid w:val="006A2938"/>
    <w:rsid w:val="006A2A4E"/>
    <w:rsid w:val="006A2C1C"/>
    <w:rsid w:val="006A2E52"/>
    <w:rsid w:val="006A3281"/>
    <w:rsid w:val="006A36FE"/>
    <w:rsid w:val="006A3782"/>
    <w:rsid w:val="006A384F"/>
    <w:rsid w:val="006A430D"/>
    <w:rsid w:val="006A4A6E"/>
    <w:rsid w:val="006A4C0A"/>
    <w:rsid w:val="006A4F4E"/>
    <w:rsid w:val="006A5313"/>
    <w:rsid w:val="006A566B"/>
    <w:rsid w:val="006A5683"/>
    <w:rsid w:val="006A56B9"/>
    <w:rsid w:val="006A5A84"/>
    <w:rsid w:val="006A5C61"/>
    <w:rsid w:val="006A5EC2"/>
    <w:rsid w:val="006A60A2"/>
    <w:rsid w:val="006A64EE"/>
    <w:rsid w:val="006A664E"/>
    <w:rsid w:val="006A669B"/>
    <w:rsid w:val="006A6B20"/>
    <w:rsid w:val="006A6CB6"/>
    <w:rsid w:val="006A70AB"/>
    <w:rsid w:val="006A71FA"/>
    <w:rsid w:val="006A73C0"/>
    <w:rsid w:val="006A788C"/>
    <w:rsid w:val="006A78E7"/>
    <w:rsid w:val="006A7B6A"/>
    <w:rsid w:val="006A7C5C"/>
    <w:rsid w:val="006A7DD1"/>
    <w:rsid w:val="006B07C0"/>
    <w:rsid w:val="006B07D7"/>
    <w:rsid w:val="006B07F0"/>
    <w:rsid w:val="006B0885"/>
    <w:rsid w:val="006B0E20"/>
    <w:rsid w:val="006B0FB8"/>
    <w:rsid w:val="006B121F"/>
    <w:rsid w:val="006B139F"/>
    <w:rsid w:val="006B1586"/>
    <w:rsid w:val="006B16AE"/>
    <w:rsid w:val="006B1A7F"/>
    <w:rsid w:val="006B1ACC"/>
    <w:rsid w:val="006B1CF9"/>
    <w:rsid w:val="006B209C"/>
    <w:rsid w:val="006B236D"/>
    <w:rsid w:val="006B2799"/>
    <w:rsid w:val="006B29AB"/>
    <w:rsid w:val="006B2B37"/>
    <w:rsid w:val="006B2CD7"/>
    <w:rsid w:val="006B306B"/>
    <w:rsid w:val="006B3557"/>
    <w:rsid w:val="006B3937"/>
    <w:rsid w:val="006B3BDE"/>
    <w:rsid w:val="006B3D59"/>
    <w:rsid w:val="006B48EA"/>
    <w:rsid w:val="006B4AA7"/>
    <w:rsid w:val="006B4C07"/>
    <w:rsid w:val="006B4EED"/>
    <w:rsid w:val="006B557D"/>
    <w:rsid w:val="006B5984"/>
    <w:rsid w:val="006B5A7C"/>
    <w:rsid w:val="006B5BD7"/>
    <w:rsid w:val="006B5F7B"/>
    <w:rsid w:val="006B6056"/>
    <w:rsid w:val="006B6293"/>
    <w:rsid w:val="006B62BC"/>
    <w:rsid w:val="006B65CF"/>
    <w:rsid w:val="006B67FE"/>
    <w:rsid w:val="006B6902"/>
    <w:rsid w:val="006B713F"/>
    <w:rsid w:val="006B7439"/>
    <w:rsid w:val="006B74F4"/>
    <w:rsid w:val="006B796B"/>
    <w:rsid w:val="006B7B47"/>
    <w:rsid w:val="006B7B5C"/>
    <w:rsid w:val="006B7BC7"/>
    <w:rsid w:val="006B7C43"/>
    <w:rsid w:val="006B7DE8"/>
    <w:rsid w:val="006C0183"/>
    <w:rsid w:val="006C0425"/>
    <w:rsid w:val="006C0664"/>
    <w:rsid w:val="006C0712"/>
    <w:rsid w:val="006C08E7"/>
    <w:rsid w:val="006C099A"/>
    <w:rsid w:val="006C0E41"/>
    <w:rsid w:val="006C15CF"/>
    <w:rsid w:val="006C160F"/>
    <w:rsid w:val="006C1623"/>
    <w:rsid w:val="006C1909"/>
    <w:rsid w:val="006C190E"/>
    <w:rsid w:val="006C1B06"/>
    <w:rsid w:val="006C1D68"/>
    <w:rsid w:val="006C1E02"/>
    <w:rsid w:val="006C2534"/>
    <w:rsid w:val="006C2545"/>
    <w:rsid w:val="006C2925"/>
    <w:rsid w:val="006C29F7"/>
    <w:rsid w:val="006C2A38"/>
    <w:rsid w:val="006C31D6"/>
    <w:rsid w:val="006C325B"/>
    <w:rsid w:val="006C35F8"/>
    <w:rsid w:val="006C3650"/>
    <w:rsid w:val="006C37E0"/>
    <w:rsid w:val="006C3BFA"/>
    <w:rsid w:val="006C3CC8"/>
    <w:rsid w:val="006C3F00"/>
    <w:rsid w:val="006C3F5F"/>
    <w:rsid w:val="006C4098"/>
    <w:rsid w:val="006C41A0"/>
    <w:rsid w:val="006C4438"/>
    <w:rsid w:val="006C449C"/>
    <w:rsid w:val="006C4BD9"/>
    <w:rsid w:val="006C4C4B"/>
    <w:rsid w:val="006C4E37"/>
    <w:rsid w:val="006C5167"/>
    <w:rsid w:val="006C5327"/>
    <w:rsid w:val="006C59F5"/>
    <w:rsid w:val="006C5B15"/>
    <w:rsid w:val="006C5BA8"/>
    <w:rsid w:val="006C5C39"/>
    <w:rsid w:val="006C5C41"/>
    <w:rsid w:val="006C6029"/>
    <w:rsid w:val="006C606F"/>
    <w:rsid w:val="006C650B"/>
    <w:rsid w:val="006C6528"/>
    <w:rsid w:val="006C658B"/>
    <w:rsid w:val="006C65A6"/>
    <w:rsid w:val="006C6FBA"/>
    <w:rsid w:val="006C6FE2"/>
    <w:rsid w:val="006C76F6"/>
    <w:rsid w:val="006C7B06"/>
    <w:rsid w:val="006C7C96"/>
    <w:rsid w:val="006C7F1D"/>
    <w:rsid w:val="006C7F23"/>
    <w:rsid w:val="006D0085"/>
    <w:rsid w:val="006D03BF"/>
    <w:rsid w:val="006D09EF"/>
    <w:rsid w:val="006D0A86"/>
    <w:rsid w:val="006D0C4F"/>
    <w:rsid w:val="006D0CC9"/>
    <w:rsid w:val="006D1124"/>
    <w:rsid w:val="006D1215"/>
    <w:rsid w:val="006D1732"/>
    <w:rsid w:val="006D1A15"/>
    <w:rsid w:val="006D1C87"/>
    <w:rsid w:val="006D1DF5"/>
    <w:rsid w:val="006D1E6D"/>
    <w:rsid w:val="006D24D6"/>
    <w:rsid w:val="006D2872"/>
    <w:rsid w:val="006D28D2"/>
    <w:rsid w:val="006D297C"/>
    <w:rsid w:val="006D2AF5"/>
    <w:rsid w:val="006D2B30"/>
    <w:rsid w:val="006D3107"/>
    <w:rsid w:val="006D31B1"/>
    <w:rsid w:val="006D341D"/>
    <w:rsid w:val="006D3C92"/>
    <w:rsid w:val="006D3FC3"/>
    <w:rsid w:val="006D42A4"/>
    <w:rsid w:val="006D42CE"/>
    <w:rsid w:val="006D4354"/>
    <w:rsid w:val="006D4786"/>
    <w:rsid w:val="006D4882"/>
    <w:rsid w:val="006D491E"/>
    <w:rsid w:val="006D4A9A"/>
    <w:rsid w:val="006D4DC0"/>
    <w:rsid w:val="006D4FA8"/>
    <w:rsid w:val="006D5086"/>
    <w:rsid w:val="006D52A2"/>
    <w:rsid w:val="006D5465"/>
    <w:rsid w:val="006D569D"/>
    <w:rsid w:val="006D5C90"/>
    <w:rsid w:val="006D5D47"/>
    <w:rsid w:val="006D5E71"/>
    <w:rsid w:val="006D5E8D"/>
    <w:rsid w:val="006D6013"/>
    <w:rsid w:val="006D64A2"/>
    <w:rsid w:val="006D6615"/>
    <w:rsid w:val="006D6687"/>
    <w:rsid w:val="006D668D"/>
    <w:rsid w:val="006D696B"/>
    <w:rsid w:val="006D6C22"/>
    <w:rsid w:val="006D6C24"/>
    <w:rsid w:val="006D6D81"/>
    <w:rsid w:val="006D6E7C"/>
    <w:rsid w:val="006D78C5"/>
    <w:rsid w:val="006D7F3D"/>
    <w:rsid w:val="006E00F8"/>
    <w:rsid w:val="006E0324"/>
    <w:rsid w:val="006E0435"/>
    <w:rsid w:val="006E0755"/>
    <w:rsid w:val="006E0C01"/>
    <w:rsid w:val="006E0CB7"/>
    <w:rsid w:val="006E0CB8"/>
    <w:rsid w:val="006E0DB1"/>
    <w:rsid w:val="006E10D9"/>
    <w:rsid w:val="006E12E3"/>
    <w:rsid w:val="006E1780"/>
    <w:rsid w:val="006E18BF"/>
    <w:rsid w:val="006E18C4"/>
    <w:rsid w:val="006E1CA0"/>
    <w:rsid w:val="006E1CA9"/>
    <w:rsid w:val="006E1D2B"/>
    <w:rsid w:val="006E2265"/>
    <w:rsid w:val="006E242B"/>
    <w:rsid w:val="006E252D"/>
    <w:rsid w:val="006E262D"/>
    <w:rsid w:val="006E3099"/>
    <w:rsid w:val="006E3539"/>
    <w:rsid w:val="006E38C3"/>
    <w:rsid w:val="006E3AAE"/>
    <w:rsid w:val="006E4191"/>
    <w:rsid w:val="006E44B1"/>
    <w:rsid w:val="006E45B7"/>
    <w:rsid w:val="006E478D"/>
    <w:rsid w:val="006E4993"/>
    <w:rsid w:val="006E4BDF"/>
    <w:rsid w:val="006E5012"/>
    <w:rsid w:val="006E50A4"/>
    <w:rsid w:val="006E524F"/>
    <w:rsid w:val="006E53E9"/>
    <w:rsid w:val="006E54E1"/>
    <w:rsid w:val="006E55B6"/>
    <w:rsid w:val="006E563A"/>
    <w:rsid w:val="006E5A23"/>
    <w:rsid w:val="006E5AD6"/>
    <w:rsid w:val="006E5B18"/>
    <w:rsid w:val="006E5CF3"/>
    <w:rsid w:val="006E5D4B"/>
    <w:rsid w:val="006E5E7D"/>
    <w:rsid w:val="006E62E4"/>
    <w:rsid w:val="006E64C2"/>
    <w:rsid w:val="006E6571"/>
    <w:rsid w:val="006E6BC8"/>
    <w:rsid w:val="006E6CBF"/>
    <w:rsid w:val="006E6EA1"/>
    <w:rsid w:val="006E7010"/>
    <w:rsid w:val="006E708A"/>
    <w:rsid w:val="006E70F7"/>
    <w:rsid w:val="006E7453"/>
    <w:rsid w:val="006E74A5"/>
    <w:rsid w:val="006E7659"/>
    <w:rsid w:val="006E76B4"/>
    <w:rsid w:val="006E77DA"/>
    <w:rsid w:val="006E7BE3"/>
    <w:rsid w:val="006F00E3"/>
    <w:rsid w:val="006F0172"/>
    <w:rsid w:val="006F02AC"/>
    <w:rsid w:val="006F030D"/>
    <w:rsid w:val="006F0510"/>
    <w:rsid w:val="006F0793"/>
    <w:rsid w:val="006F0AB8"/>
    <w:rsid w:val="006F0BFC"/>
    <w:rsid w:val="006F0C07"/>
    <w:rsid w:val="006F0CAF"/>
    <w:rsid w:val="006F0E5C"/>
    <w:rsid w:val="006F1006"/>
    <w:rsid w:val="006F114E"/>
    <w:rsid w:val="006F136C"/>
    <w:rsid w:val="006F1765"/>
    <w:rsid w:val="006F17D6"/>
    <w:rsid w:val="006F1911"/>
    <w:rsid w:val="006F2CB0"/>
    <w:rsid w:val="006F2DEB"/>
    <w:rsid w:val="006F2E42"/>
    <w:rsid w:val="006F376B"/>
    <w:rsid w:val="006F3949"/>
    <w:rsid w:val="006F3CFB"/>
    <w:rsid w:val="006F4051"/>
    <w:rsid w:val="006F4964"/>
    <w:rsid w:val="006F4DF9"/>
    <w:rsid w:val="006F56A0"/>
    <w:rsid w:val="006F5E2E"/>
    <w:rsid w:val="006F67CA"/>
    <w:rsid w:val="006F6F0B"/>
    <w:rsid w:val="006F6F8E"/>
    <w:rsid w:val="006F7062"/>
    <w:rsid w:val="006F75E6"/>
    <w:rsid w:val="006F7635"/>
    <w:rsid w:val="006F7CA8"/>
    <w:rsid w:val="007003AA"/>
    <w:rsid w:val="0070092F"/>
    <w:rsid w:val="00700BDD"/>
    <w:rsid w:val="00700DCA"/>
    <w:rsid w:val="00701095"/>
    <w:rsid w:val="0070113C"/>
    <w:rsid w:val="0070146C"/>
    <w:rsid w:val="00701625"/>
    <w:rsid w:val="00701677"/>
    <w:rsid w:val="00701702"/>
    <w:rsid w:val="007025F9"/>
    <w:rsid w:val="00702869"/>
    <w:rsid w:val="00702924"/>
    <w:rsid w:val="00702B1B"/>
    <w:rsid w:val="00702CE1"/>
    <w:rsid w:val="00702E96"/>
    <w:rsid w:val="0070356B"/>
    <w:rsid w:val="007039EC"/>
    <w:rsid w:val="00703E3F"/>
    <w:rsid w:val="00703F1F"/>
    <w:rsid w:val="00704618"/>
    <w:rsid w:val="00704B2C"/>
    <w:rsid w:val="00704B7F"/>
    <w:rsid w:val="00704DDB"/>
    <w:rsid w:val="00704DE5"/>
    <w:rsid w:val="007052B6"/>
    <w:rsid w:val="007056FA"/>
    <w:rsid w:val="0070589F"/>
    <w:rsid w:val="007058B2"/>
    <w:rsid w:val="00705B87"/>
    <w:rsid w:val="00705E40"/>
    <w:rsid w:val="00705EF9"/>
    <w:rsid w:val="00706048"/>
    <w:rsid w:val="0070630E"/>
    <w:rsid w:val="007064F0"/>
    <w:rsid w:val="00706BA2"/>
    <w:rsid w:val="00706E19"/>
    <w:rsid w:val="00706EC3"/>
    <w:rsid w:val="00707185"/>
    <w:rsid w:val="00707593"/>
    <w:rsid w:val="007078AE"/>
    <w:rsid w:val="00707C10"/>
    <w:rsid w:val="00707C2D"/>
    <w:rsid w:val="00707CE0"/>
    <w:rsid w:val="00707D96"/>
    <w:rsid w:val="00707DBF"/>
    <w:rsid w:val="00710081"/>
    <w:rsid w:val="007105F3"/>
    <w:rsid w:val="00710612"/>
    <w:rsid w:val="00710815"/>
    <w:rsid w:val="00710838"/>
    <w:rsid w:val="00710D04"/>
    <w:rsid w:val="00710FCD"/>
    <w:rsid w:val="007113C9"/>
    <w:rsid w:val="00711BF1"/>
    <w:rsid w:val="00711CE1"/>
    <w:rsid w:val="00711DBB"/>
    <w:rsid w:val="00712149"/>
    <w:rsid w:val="00712851"/>
    <w:rsid w:val="00712909"/>
    <w:rsid w:val="00712A71"/>
    <w:rsid w:val="00712BEF"/>
    <w:rsid w:val="00713593"/>
    <w:rsid w:val="007137BE"/>
    <w:rsid w:val="00713BE3"/>
    <w:rsid w:val="00713F75"/>
    <w:rsid w:val="00714392"/>
    <w:rsid w:val="00714859"/>
    <w:rsid w:val="00714901"/>
    <w:rsid w:val="00714DD2"/>
    <w:rsid w:val="00714ECC"/>
    <w:rsid w:val="0071519A"/>
    <w:rsid w:val="0071525A"/>
    <w:rsid w:val="007152CA"/>
    <w:rsid w:val="0071566C"/>
    <w:rsid w:val="007159D4"/>
    <w:rsid w:val="00715DE5"/>
    <w:rsid w:val="00715DFB"/>
    <w:rsid w:val="00715EC6"/>
    <w:rsid w:val="0071604D"/>
    <w:rsid w:val="007167AA"/>
    <w:rsid w:val="00716B0C"/>
    <w:rsid w:val="00716C32"/>
    <w:rsid w:val="007172D0"/>
    <w:rsid w:val="007173B9"/>
    <w:rsid w:val="00717C1A"/>
    <w:rsid w:val="00717D0B"/>
    <w:rsid w:val="00717F76"/>
    <w:rsid w:val="00717F7D"/>
    <w:rsid w:val="00720293"/>
    <w:rsid w:val="007204E7"/>
    <w:rsid w:val="00720616"/>
    <w:rsid w:val="00720EC8"/>
    <w:rsid w:val="00720F1B"/>
    <w:rsid w:val="007213A2"/>
    <w:rsid w:val="00721DB5"/>
    <w:rsid w:val="0072206B"/>
    <w:rsid w:val="007225D5"/>
    <w:rsid w:val="0072276E"/>
    <w:rsid w:val="00722CA7"/>
    <w:rsid w:val="00722D5E"/>
    <w:rsid w:val="00722F42"/>
    <w:rsid w:val="007238D5"/>
    <w:rsid w:val="0072391C"/>
    <w:rsid w:val="00723F9E"/>
    <w:rsid w:val="0072429D"/>
    <w:rsid w:val="007244DD"/>
    <w:rsid w:val="007245AC"/>
    <w:rsid w:val="007245F3"/>
    <w:rsid w:val="00724656"/>
    <w:rsid w:val="0072481A"/>
    <w:rsid w:val="00724825"/>
    <w:rsid w:val="00724873"/>
    <w:rsid w:val="00724A10"/>
    <w:rsid w:val="00724C33"/>
    <w:rsid w:val="00724D86"/>
    <w:rsid w:val="00724E5F"/>
    <w:rsid w:val="00724ED4"/>
    <w:rsid w:val="00725175"/>
    <w:rsid w:val="00725373"/>
    <w:rsid w:val="00725960"/>
    <w:rsid w:val="00726293"/>
    <w:rsid w:val="00726373"/>
    <w:rsid w:val="0072675E"/>
    <w:rsid w:val="007270FD"/>
    <w:rsid w:val="00727645"/>
    <w:rsid w:val="00727AE2"/>
    <w:rsid w:val="00727CDA"/>
    <w:rsid w:val="00727D61"/>
    <w:rsid w:val="007302A1"/>
    <w:rsid w:val="007307F3"/>
    <w:rsid w:val="00730C49"/>
    <w:rsid w:val="00731BEB"/>
    <w:rsid w:val="00731DE9"/>
    <w:rsid w:val="00731FC0"/>
    <w:rsid w:val="0073206C"/>
    <w:rsid w:val="0073291F"/>
    <w:rsid w:val="007329DD"/>
    <w:rsid w:val="00732A96"/>
    <w:rsid w:val="00733215"/>
    <w:rsid w:val="00733556"/>
    <w:rsid w:val="007340C4"/>
    <w:rsid w:val="0073426E"/>
    <w:rsid w:val="007344E3"/>
    <w:rsid w:val="00734890"/>
    <w:rsid w:val="00734943"/>
    <w:rsid w:val="00735230"/>
    <w:rsid w:val="007353D7"/>
    <w:rsid w:val="00735431"/>
    <w:rsid w:val="007354EC"/>
    <w:rsid w:val="00735500"/>
    <w:rsid w:val="007355B4"/>
    <w:rsid w:val="007355FA"/>
    <w:rsid w:val="007356AD"/>
    <w:rsid w:val="007357DB"/>
    <w:rsid w:val="007358E9"/>
    <w:rsid w:val="00735966"/>
    <w:rsid w:val="00735AE8"/>
    <w:rsid w:val="00735AFD"/>
    <w:rsid w:val="00735B56"/>
    <w:rsid w:val="00735EA7"/>
    <w:rsid w:val="00736470"/>
    <w:rsid w:val="007368FE"/>
    <w:rsid w:val="0073696E"/>
    <w:rsid w:val="0073699A"/>
    <w:rsid w:val="007372D7"/>
    <w:rsid w:val="0073734E"/>
    <w:rsid w:val="007374C4"/>
    <w:rsid w:val="007406DA"/>
    <w:rsid w:val="0074072D"/>
    <w:rsid w:val="0074091C"/>
    <w:rsid w:val="00740BB1"/>
    <w:rsid w:val="00740DA6"/>
    <w:rsid w:val="00740E3B"/>
    <w:rsid w:val="00740EBB"/>
    <w:rsid w:val="00740F0F"/>
    <w:rsid w:val="007416FB"/>
    <w:rsid w:val="00741734"/>
    <w:rsid w:val="00741750"/>
    <w:rsid w:val="00741AE1"/>
    <w:rsid w:val="00741B83"/>
    <w:rsid w:val="00741F57"/>
    <w:rsid w:val="007421C1"/>
    <w:rsid w:val="007422D5"/>
    <w:rsid w:val="007424FF"/>
    <w:rsid w:val="00742694"/>
    <w:rsid w:val="0074272F"/>
    <w:rsid w:val="007428A3"/>
    <w:rsid w:val="00742C69"/>
    <w:rsid w:val="00742DA4"/>
    <w:rsid w:val="0074309D"/>
    <w:rsid w:val="0074379C"/>
    <w:rsid w:val="0074390D"/>
    <w:rsid w:val="00743A50"/>
    <w:rsid w:val="00743CA0"/>
    <w:rsid w:val="00743E09"/>
    <w:rsid w:val="00743E28"/>
    <w:rsid w:val="00744796"/>
    <w:rsid w:val="00744823"/>
    <w:rsid w:val="00744962"/>
    <w:rsid w:val="00744C13"/>
    <w:rsid w:val="00744C67"/>
    <w:rsid w:val="00744D21"/>
    <w:rsid w:val="00744F44"/>
    <w:rsid w:val="00745174"/>
    <w:rsid w:val="007451AD"/>
    <w:rsid w:val="00745929"/>
    <w:rsid w:val="00745C13"/>
    <w:rsid w:val="00745CB9"/>
    <w:rsid w:val="00745D90"/>
    <w:rsid w:val="0074634C"/>
    <w:rsid w:val="00746444"/>
    <w:rsid w:val="00746573"/>
    <w:rsid w:val="007469BA"/>
    <w:rsid w:val="00746BB2"/>
    <w:rsid w:val="00746D86"/>
    <w:rsid w:val="00746DE8"/>
    <w:rsid w:val="00746F59"/>
    <w:rsid w:val="0074728E"/>
    <w:rsid w:val="00747748"/>
    <w:rsid w:val="00747970"/>
    <w:rsid w:val="007479D3"/>
    <w:rsid w:val="00747CE0"/>
    <w:rsid w:val="00747D34"/>
    <w:rsid w:val="00750025"/>
    <w:rsid w:val="007501FF"/>
    <w:rsid w:val="00750338"/>
    <w:rsid w:val="007505B8"/>
    <w:rsid w:val="00750894"/>
    <w:rsid w:val="00750AD5"/>
    <w:rsid w:val="00750CE2"/>
    <w:rsid w:val="00750E97"/>
    <w:rsid w:val="0075139E"/>
    <w:rsid w:val="00751473"/>
    <w:rsid w:val="007515F9"/>
    <w:rsid w:val="007516BC"/>
    <w:rsid w:val="00751750"/>
    <w:rsid w:val="00751BF6"/>
    <w:rsid w:val="00751D2C"/>
    <w:rsid w:val="00751D6D"/>
    <w:rsid w:val="00751DA6"/>
    <w:rsid w:val="00751F4F"/>
    <w:rsid w:val="007520E3"/>
    <w:rsid w:val="00752727"/>
    <w:rsid w:val="00752A9D"/>
    <w:rsid w:val="00752ABF"/>
    <w:rsid w:val="00752CCC"/>
    <w:rsid w:val="00753247"/>
    <w:rsid w:val="00753276"/>
    <w:rsid w:val="007532EF"/>
    <w:rsid w:val="00753478"/>
    <w:rsid w:val="00753512"/>
    <w:rsid w:val="007535AD"/>
    <w:rsid w:val="007535BA"/>
    <w:rsid w:val="00753768"/>
    <w:rsid w:val="00753835"/>
    <w:rsid w:val="007538F5"/>
    <w:rsid w:val="00753947"/>
    <w:rsid w:val="00754021"/>
    <w:rsid w:val="00754031"/>
    <w:rsid w:val="00754347"/>
    <w:rsid w:val="00754695"/>
    <w:rsid w:val="007547CE"/>
    <w:rsid w:val="00754960"/>
    <w:rsid w:val="00754C15"/>
    <w:rsid w:val="00754C46"/>
    <w:rsid w:val="00754D68"/>
    <w:rsid w:val="0075541E"/>
    <w:rsid w:val="00755A90"/>
    <w:rsid w:val="00755B2E"/>
    <w:rsid w:val="00755ED9"/>
    <w:rsid w:val="00756138"/>
    <w:rsid w:val="00756290"/>
    <w:rsid w:val="0075638C"/>
    <w:rsid w:val="00756583"/>
    <w:rsid w:val="007567BD"/>
    <w:rsid w:val="00756992"/>
    <w:rsid w:val="00756C65"/>
    <w:rsid w:val="007577BE"/>
    <w:rsid w:val="007577C2"/>
    <w:rsid w:val="0076013E"/>
    <w:rsid w:val="00760425"/>
    <w:rsid w:val="00760C83"/>
    <w:rsid w:val="00760D50"/>
    <w:rsid w:val="00761468"/>
    <w:rsid w:val="00761543"/>
    <w:rsid w:val="00761595"/>
    <w:rsid w:val="00761A96"/>
    <w:rsid w:val="00761DAA"/>
    <w:rsid w:val="00761DD3"/>
    <w:rsid w:val="00761DD4"/>
    <w:rsid w:val="00761F1A"/>
    <w:rsid w:val="00761F23"/>
    <w:rsid w:val="0076207F"/>
    <w:rsid w:val="0076213A"/>
    <w:rsid w:val="00762289"/>
    <w:rsid w:val="00762879"/>
    <w:rsid w:val="007629CF"/>
    <w:rsid w:val="00762A83"/>
    <w:rsid w:val="00762A8D"/>
    <w:rsid w:val="00762CD8"/>
    <w:rsid w:val="00762DFC"/>
    <w:rsid w:val="00762E1F"/>
    <w:rsid w:val="00762E3C"/>
    <w:rsid w:val="00762F4B"/>
    <w:rsid w:val="00762FA8"/>
    <w:rsid w:val="007632C6"/>
    <w:rsid w:val="00763402"/>
    <w:rsid w:val="007636CC"/>
    <w:rsid w:val="0076385C"/>
    <w:rsid w:val="0076410B"/>
    <w:rsid w:val="00764166"/>
    <w:rsid w:val="0076426C"/>
    <w:rsid w:val="007644E3"/>
    <w:rsid w:val="00764849"/>
    <w:rsid w:val="00764BDD"/>
    <w:rsid w:val="00764D0A"/>
    <w:rsid w:val="00765038"/>
    <w:rsid w:val="00765248"/>
    <w:rsid w:val="007653A0"/>
    <w:rsid w:val="0076550D"/>
    <w:rsid w:val="00765918"/>
    <w:rsid w:val="00765B13"/>
    <w:rsid w:val="00765B84"/>
    <w:rsid w:val="00765E87"/>
    <w:rsid w:val="0076632F"/>
    <w:rsid w:val="00766470"/>
    <w:rsid w:val="00766536"/>
    <w:rsid w:val="0076680F"/>
    <w:rsid w:val="00766BEF"/>
    <w:rsid w:val="00766D7A"/>
    <w:rsid w:val="007673F1"/>
    <w:rsid w:val="007678BC"/>
    <w:rsid w:val="007678FF"/>
    <w:rsid w:val="00767984"/>
    <w:rsid w:val="007679BF"/>
    <w:rsid w:val="00767B1C"/>
    <w:rsid w:val="00767DE6"/>
    <w:rsid w:val="007701DA"/>
    <w:rsid w:val="007703F7"/>
    <w:rsid w:val="007706AA"/>
    <w:rsid w:val="00770AE3"/>
    <w:rsid w:val="00770D9D"/>
    <w:rsid w:val="00771135"/>
    <w:rsid w:val="0077126B"/>
    <w:rsid w:val="00771408"/>
    <w:rsid w:val="00771676"/>
    <w:rsid w:val="00771D6D"/>
    <w:rsid w:val="00771ED8"/>
    <w:rsid w:val="0077275F"/>
    <w:rsid w:val="00772906"/>
    <w:rsid w:val="00772C6C"/>
    <w:rsid w:val="00772D9A"/>
    <w:rsid w:val="007735A0"/>
    <w:rsid w:val="007736D6"/>
    <w:rsid w:val="007739DD"/>
    <w:rsid w:val="00773D7A"/>
    <w:rsid w:val="007745EE"/>
    <w:rsid w:val="00774A35"/>
    <w:rsid w:val="00774B21"/>
    <w:rsid w:val="00774F2F"/>
    <w:rsid w:val="007751A2"/>
    <w:rsid w:val="00775989"/>
    <w:rsid w:val="007759A3"/>
    <w:rsid w:val="007761BE"/>
    <w:rsid w:val="00776238"/>
    <w:rsid w:val="0077696A"/>
    <w:rsid w:val="007769F8"/>
    <w:rsid w:val="00776E1E"/>
    <w:rsid w:val="00776E1F"/>
    <w:rsid w:val="00777099"/>
    <w:rsid w:val="0077759D"/>
    <w:rsid w:val="007777FC"/>
    <w:rsid w:val="00777CF2"/>
    <w:rsid w:val="007803CE"/>
    <w:rsid w:val="0078049A"/>
    <w:rsid w:val="00780577"/>
    <w:rsid w:val="00780962"/>
    <w:rsid w:val="0078098E"/>
    <w:rsid w:val="00780A30"/>
    <w:rsid w:val="00780B7C"/>
    <w:rsid w:val="00780EA7"/>
    <w:rsid w:val="00781062"/>
    <w:rsid w:val="00781183"/>
    <w:rsid w:val="007812D0"/>
    <w:rsid w:val="007812F4"/>
    <w:rsid w:val="00781726"/>
    <w:rsid w:val="00781738"/>
    <w:rsid w:val="00781BB9"/>
    <w:rsid w:val="00781BE7"/>
    <w:rsid w:val="00781DC5"/>
    <w:rsid w:val="00781FD6"/>
    <w:rsid w:val="0078211E"/>
    <w:rsid w:val="00782481"/>
    <w:rsid w:val="00782590"/>
    <w:rsid w:val="007825D5"/>
    <w:rsid w:val="007826D2"/>
    <w:rsid w:val="00782D47"/>
    <w:rsid w:val="00782E7F"/>
    <w:rsid w:val="00782EF9"/>
    <w:rsid w:val="0078358B"/>
    <w:rsid w:val="00783891"/>
    <w:rsid w:val="0078392F"/>
    <w:rsid w:val="00783D44"/>
    <w:rsid w:val="00783ED8"/>
    <w:rsid w:val="00783F63"/>
    <w:rsid w:val="00784403"/>
    <w:rsid w:val="00784BE0"/>
    <w:rsid w:val="00785561"/>
    <w:rsid w:val="0078598A"/>
    <w:rsid w:val="00785A05"/>
    <w:rsid w:val="00785F23"/>
    <w:rsid w:val="00786430"/>
    <w:rsid w:val="00786817"/>
    <w:rsid w:val="00786912"/>
    <w:rsid w:val="007869FE"/>
    <w:rsid w:val="00786AD2"/>
    <w:rsid w:val="00786B7A"/>
    <w:rsid w:val="00787496"/>
    <w:rsid w:val="0078789A"/>
    <w:rsid w:val="00787B42"/>
    <w:rsid w:val="00787BDB"/>
    <w:rsid w:val="00787D0D"/>
    <w:rsid w:val="0079023C"/>
    <w:rsid w:val="0079066C"/>
    <w:rsid w:val="007906F4"/>
    <w:rsid w:val="007908AE"/>
    <w:rsid w:val="00790E17"/>
    <w:rsid w:val="00790E6C"/>
    <w:rsid w:val="0079108E"/>
    <w:rsid w:val="0079110F"/>
    <w:rsid w:val="0079140C"/>
    <w:rsid w:val="00791611"/>
    <w:rsid w:val="00791695"/>
    <w:rsid w:val="007918D3"/>
    <w:rsid w:val="00791B2F"/>
    <w:rsid w:val="00791DB7"/>
    <w:rsid w:val="00791E5C"/>
    <w:rsid w:val="00791E69"/>
    <w:rsid w:val="00792240"/>
    <w:rsid w:val="0079229B"/>
    <w:rsid w:val="007924BE"/>
    <w:rsid w:val="0079257E"/>
    <w:rsid w:val="00792900"/>
    <w:rsid w:val="00792B8B"/>
    <w:rsid w:val="00792E04"/>
    <w:rsid w:val="007934AA"/>
    <w:rsid w:val="007934C3"/>
    <w:rsid w:val="007934D1"/>
    <w:rsid w:val="007935EA"/>
    <w:rsid w:val="007936FA"/>
    <w:rsid w:val="00793842"/>
    <w:rsid w:val="007938DC"/>
    <w:rsid w:val="00793994"/>
    <w:rsid w:val="00793A63"/>
    <w:rsid w:val="00793CDC"/>
    <w:rsid w:val="00793D4A"/>
    <w:rsid w:val="00793E93"/>
    <w:rsid w:val="00793F89"/>
    <w:rsid w:val="0079420D"/>
    <w:rsid w:val="007948F3"/>
    <w:rsid w:val="00794A27"/>
    <w:rsid w:val="00795281"/>
    <w:rsid w:val="007955EC"/>
    <w:rsid w:val="00795D4D"/>
    <w:rsid w:val="00795E12"/>
    <w:rsid w:val="00795FDC"/>
    <w:rsid w:val="007961A3"/>
    <w:rsid w:val="00796580"/>
    <w:rsid w:val="00796625"/>
    <w:rsid w:val="00796A26"/>
    <w:rsid w:val="00796AFD"/>
    <w:rsid w:val="00796B52"/>
    <w:rsid w:val="00796EF5"/>
    <w:rsid w:val="00797395"/>
    <w:rsid w:val="007977F7"/>
    <w:rsid w:val="007978B7"/>
    <w:rsid w:val="00797C3C"/>
    <w:rsid w:val="007A061B"/>
    <w:rsid w:val="007A0631"/>
    <w:rsid w:val="007A0697"/>
    <w:rsid w:val="007A0728"/>
    <w:rsid w:val="007A0855"/>
    <w:rsid w:val="007A0E72"/>
    <w:rsid w:val="007A1047"/>
    <w:rsid w:val="007A12A0"/>
    <w:rsid w:val="007A1458"/>
    <w:rsid w:val="007A15A0"/>
    <w:rsid w:val="007A1634"/>
    <w:rsid w:val="007A19DE"/>
    <w:rsid w:val="007A1A7A"/>
    <w:rsid w:val="007A1FE4"/>
    <w:rsid w:val="007A2779"/>
    <w:rsid w:val="007A283A"/>
    <w:rsid w:val="007A291B"/>
    <w:rsid w:val="007A2CF5"/>
    <w:rsid w:val="007A2D49"/>
    <w:rsid w:val="007A2EE9"/>
    <w:rsid w:val="007A323E"/>
    <w:rsid w:val="007A3336"/>
    <w:rsid w:val="007A381D"/>
    <w:rsid w:val="007A39A9"/>
    <w:rsid w:val="007A3DDB"/>
    <w:rsid w:val="007A433A"/>
    <w:rsid w:val="007A439C"/>
    <w:rsid w:val="007A486A"/>
    <w:rsid w:val="007A4976"/>
    <w:rsid w:val="007A4D39"/>
    <w:rsid w:val="007A4D82"/>
    <w:rsid w:val="007A4F8F"/>
    <w:rsid w:val="007A510F"/>
    <w:rsid w:val="007A52BF"/>
    <w:rsid w:val="007A53FE"/>
    <w:rsid w:val="007A553A"/>
    <w:rsid w:val="007A566D"/>
    <w:rsid w:val="007A5842"/>
    <w:rsid w:val="007A5AB7"/>
    <w:rsid w:val="007A5BF0"/>
    <w:rsid w:val="007A5CD4"/>
    <w:rsid w:val="007A60A2"/>
    <w:rsid w:val="007A62C5"/>
    <w:rsid w:val="007A6628"/>
    <w:rsid w:val="007A66B4"/>
    <w:rsid w:val="007A6925"/>
    <w:rsid w:val="007A6AA1"/>
    <w:rsid w:val="007A6AA4"/>
    <w:rsid w:val="007A6B35"/>
    <w:rsid w:val="007A6B6E"/>
    <w:rsid w:val="007A6E31"/>
    <w:rsid w:val="007A720E"/>
    <w:rsid w:val="007A7234"/>
    <w:rsid w:val="007A7B6B"/>
    <w:rsid w:val="007A7BF1"/>
    <w:rsid w:val="007B0539"/>
    <w:rsid w:val="007B0989"/>
    <w:rsid w:val="007B09F4"/>
    <w:rsid w:val="007B0C4C"/>
    <w:rsid w:val="007B123B"/>
    <w:rsid w:val="007B12E5"/>
    <w:rsid w:val="007B1394"/>
    <w:rsid w:val="007B14B5"/>
    <w:rsid w:val="007B1759"/>
    <w:rsid w:val="007B1760"/>
    <w:rsid w:val="007B1E14"/>
    <w:rsid w:val="007B23D5"/>
    <w:rsid w:val="007B2997"/>
    <w:rsid w:val="007B2EAB"/>
    <w:rsid w:val="007B2F94"/>
    <w:rsid w:val="007B3092"/>
    <w:rsid w:val="007B30E2"/>
    <w:rsid w:val="007B39BB"/>
    <w:rsid w:val="007B3EEB"/>
    <w:rsid w:val="007B42DE"/>
    <w:rsid w:val="007B4463"/>
    <w:rsid w:val="007B49B8"/>
    <w:rsid w:val="007B49FC"/>
    <w:rsid w:val="007B4C71"/>
    <w:rsid w:val="007B4D5E"/>
    <w:rsid w:val="007B4E3C"/>
    <w:rsid w:val="007B55D3"/>
    <w:rsid w:val="007B5676"/>
    <w:rsid w:val="007B58F8"/>
    <w:rsid w:val="007B5934"/>
    <w:rsid w:val="007B5BDF"/>
    <w:rsid w:val="007B6079"/>
    <w:rsid w:val="007B6136"/>
    <w:rsid w:val="007B6292"/>
    <w:rsid w:val="007B6477"/>
    <w:rsid w:val="007B6A55"/>
    <w:rsid w:val="007B6B88"/>
    <w:rsid w:val="007B6D1F"/>
    <w:rsid w:val="007B6E5E"/>
    <w:rsid w:val="007B77DA"/>
    <w:rsid w:val="007B7CE0"/>
    <w:rsid w:val="007B7F51"/>
    <w:rsid w:val="007B7FA7"/>
    <w:rsid w:val="007C07CC"/>
    <w:rsid w:val="007C0B13"/>
    <w:rsid w:val="007C0BA2"/>
    <w:rsid w:val="007C101D"/>
    <w:rsid w:val="007C12C9"/>
    <w:rsid w:val="007C1429"/>
    <w:rsid w:val="007C14AC"/>
    <w:rsid w:val="007C1518"/>
    <w:rsid w:val="007C15E9"/>
    <w:rsid w:val="007C1B44"/>
    <w:rsid w:val="007C1F09"/>
    <w:rsid w:val="007C25EC"/>
    <w:rsid w:val="007C27E4"/>
    <w:rsid w:val="007C2A90"/>
    <w:rsid w:val="007C2E5C"/>
    <w:rsid w:val="007C2FD6"/>
    <w:rsid w:val="007C311F"/>
    <w:rsid w:val="007C3AFE"/>
    <w:rsid w:val="007C3B0C"/>
    <w:rsid w:val="007C3C24"/>
    <w:rsid w:val="007C408A"/>
    <w:rsid w:val="007C42F5"/>
    <w:rsid w:val="007C458D"/>
    <w:rsid w:val="007C4965"/>
    <w:rsid w:val="007C4B62"/>
    <w:rsid w:val="007C4EC4"/>
    <w:rsid w:val="007C5186"/>
    <w:rsid w:val="007C5641"/>
    <w:rsid w:val="007C5675"/>
    <w:rsid w:val="007C59C0"/>
    <w:rsid w:val="007C5CD4"/>
    <w:rsid w:val="007C5EAB"/>
    <w:rsid w:val="007C5FBE"/>
    <w:rsid w:val="007C60C2"/>
    <w:rsid w:val="007C62F1"/>
    <w:rsid w:val="007C637C"/>
    <w:rsid w:val="007C638A"/>
    <w:rsid w:val="007C6D85"/>
    <w:rsid w:val="007C6FC1"/>
    <w:rsid w:val="007C7134"/>
    <w:rsid w:val="007C75C4"/>
    <w:rsid w:val="007C770F"/>
    <w:rsid w:val="007C782E"/>
    <w:rsid w:val="007C78DE"/>
    <w:rsid w:val="007C7AF8"/>
    <w:rsid w:val="007C7BAF"/>
    <w:rsid w:val="007C7F06"/>
    <w:rsid w:val="007D0035"/>
    <w:rsid w:val="007D00C1"/>
    <w:rsid w:val="007D04D5"/>
    <w:rsid w:val="007D06B8"/>
    <w:rsid w:val="007D0835"/>
    <w:rsid w:val="007D0836"/>
    <w:rsid w:val="007D0BCA"/>
    <w:rsid w:val="007D1300"/>
    <w:rsid w:val="007D16C3"/>
    <w:rsid w:val="007D17AC"/>
    <w:rsid w:val="007D1AE5"/>
    <w:rsid w:val="007D1DCD"/>
    <w:rsid w:val="007D1EC0"/>
    <w:rsid w:val="007D1FE7"/>
    <w:rsid w:val="007D2130"/>
    <w:rsid w:val="007D2396"/>
    <w:rsid w:val="007D2685"/>
    <w:rsid w:val="007D2985"/>
    <w:rsid w:val="007D2F52"/>
    <w:rsid w:val="007D2F83"/>
    <w:rsid w:val="007D34F1"/>
    <w:rsid w:val="007D3524"/>
    <w:rsid w:val="007D3719"/>
    <w:rsid w:val="007D390D"/>
    <w:rsid w:val="007D3AA8"/>
    <w:rsid w:val="007D3EF8"/>
    <w:rsid w:val="007D4040"/>
    <w:rsid w:val="007D404D"/>
    <w:rsid w:val="007D4167"/>
    <w:rsid w:val="007D4536"/>
    <w:rsid w:val="007D4604"/>
    <w:rsid w:val="007D49E2"/>
    <w:rsid w:val="007D4FC1"/>
    <w:rsid w:val="007D541D"/>
    <w:rsid w:val="007D548E"/>
    <w:rsid w:val="007D567B"/>
    <w:rsid w:val="007D586B"/>
    <w:rsid w:val="007D5910"/>
    <w:rsid w:val="007D5D4F"/>
    <w:rsid w:val="007D60F4"/>
    <w:rsid w:val="007D6291"/>
    <w:rsid w:val="007D6642"/>
    <w:rsid w:val="007D6715"/>
    <w:rsid w:val="007D6799"/>
    <w:rsid w:val="007D6860"/>
    <w:rsid w:val="007D6D5C"/>
    <w:rsid w:val="007D70EB"/>
    <w:rsid w:val="007D74E9"/>
    <w:rsid w:val="007D77E4"/>
    <w:rsid w:val="007D7822"/>
    <w:rsid w:val="007D7838"/>
    <w:rsid w:val="007D7B6A"/>
    <w:rsid w:val="007E0140"/>
    <w:rsid w:val="007E0223"/>
    <w:rsid w:val="007E0922"/>
    <w:rsid w:val="007E0D03"/>
    <w:rsid w:val="007E0D1A"/>
    <w:rsid w:val="007E0E29"/>
    <w:rsid w:val="007E1017"/>
    <w:rsid w:val="007E10E5"/>
    <w:rsid w:val="007E127C"/>
    <w:rsid w:val="007E1334"/>
    <w:rsid w:val="007E1336"/>
    <w:rsid w:val="007E1363"/>
    <w:rsid w:val="007E138C"/>
    <w:rsid w:val="007E16E0"/>
    <w:rsid w:val="007E1707"/>
    <w:rsid w:val="007E17B6"/>
    <w:rsid w:val="007E17D9"/>
    <w:rsid w:val="007E18B7"/>
    <w:rsid w:val="007E1A5A"/>
    <w:rsid w:val="007E1E4C"/>
    <w:rsid w:val="007E1F1E"/>
    <w:rsid w:val="007E207E"/>
    <w:rsid w:val="007E255E"/>
    <w:rsid w:val="007E26B3"/>
    <w:rsid w:val="007E2D56"/>
    <w:rsid w:val="007E2DD4"/>
    <w:rsid w:val="007E2F22"/>
    <w:rsid w:val="007E2F7E"/>
    <w:rsid w:val="007E308A"/>
    <w:rsid w:val="007E3157"/>
    <w:rsid w:val="007E3284"/>
    <w:rsid w:val="007E34B5"/>
    <w:rsid w:val="007E36BD"/>
    <w:rsid w:val="007E37A8"/>
    <w:rsid w:val="007E3836"/>
    <w:rsid w:val="007E3CBA"/>
    <w:rsid w:val="007E3D77"/>
    <w:rsid w:val="007E4288"/>
    <w:rsid w:val="007E44D6"/>
    <w:rsid w:val="007E4CDF"/>
    <w:rsid w:val="007E4DD2"/>
    <w:rsid w:val="007E50CC"/>
    <w:rsid w:val="007E58C0"/>
    <w:rsid w:val="007E5BD4"/>
    <w:rsid w:val="007E5CB7"/>
    <w:rsid w:val="007E6087"/>
    <w:rsid w:val="007E6305"/>
    <w:rsid w:val="007E668E"/>
    <w:rsid w:val="007E6748"/>
    <w:rsid w:val="007E6D1A"/>
    <w:rsid w:val="007E6DEF"/>
    <w:rsid w:val="007E710E"/>
    <w:rsid w:val="007E71E5"/>
    <w:rsid w:val="007E721B"/>
    <w:rsid w:val="007E72BE"/>
    <w:rsid w:val="007E7456"/>
    <w:rsid w:val="007E75BF"/>
    <w:rsid w:val="007E7689"/>
    <w:rsid w:val="007E7832"/>
    <w:rsid w:val="007E7A61"/>
    <w:rsid w:val="007E7AD3"/>
    <w:rsid w:val="007E7CBB"/>
    <w:rsid w:val="007F0159"/>
    <w:rsid w:val="007F0210"/>
    <w:rsid w:val="007F027F"/>
    <w:rsid w:val="007F02D2"/>
    <w:rsid w:val="007F037F"/>
    <w:rsid w:val="007F0473"/>
    <w:rsid w:val="007F0C39"/>
    <w:rsid w:val="007F0CC4"/>
    <w:rsid w:val="007F0D46"/>
    <w:rsid w:val="007F0EDD"/>
    <w:rsid w:val="007F0EF7"/>
    <w:rsid w:val="007F0F2C"/>
    <w:rsid w:val="007F0F7B"/>
    <w:rsid w:val="007F14E7"/>
    <w:rsid w:val="007F1BC2"/>
    <w:rsid w:val="007F1DBE"/>
    <w:rsid w:val="007F2207"/>
    <w:rsid w:val="007F24F7"/>
    <w:rsid w:val="007F2599"/>
    <w:rsid w:val="007F2667"/>
    <w:rsid w:val="007F2762"/>
    <w:rsid w:val="007F2B07"/>
    <w:rsid w:val="007F2B32"/>
    <w:rsid w:val="007F2F21"/>
    <w:rsid w:val="007F2F78"/>
    <w:rsid w:val="007F2FA5"/>
    <w:rsid w:val="007F3287"/>
    <w:rsid w:val="007F336E"/>
    <w:rsid w:val="007F339F"/>
    <w:rsid w:val="007F3598"/>
    <w:rsid w:val="007F36E3"/>
    <w:rsid w:val="007F3786"/>
    <w:rsid w:val="007F3DE5"/>
    <w:rsid w:val="007F3F41"/>
    <w:rsid w:val="007F46C8"/>
    <w:rsid w:val="007F46F2"/>
    <w:rsid w:val="007F4898"/>
    <w:rsid w:val="007F5124"/>
    <w:rsid w:val="007F53C4"/>
    <w:rsid w:val="007F5CB0"/>
    <w:rsid w:val="007F614B"/>
    <w:rsid w:val="007F62BD"/>
    <w:rsid w:val="007F674B"/>
    <w:rsid w:val="007F6817"/>
    <w:rsid w:val="007F688E"/>
    <w:rsid w:val="007F6CEC"/>
    <w:rsid w:val="007F6D51"/>
    <w:rsid w:val="007F6DB6"/>
    <w:rsid w:val="007F6DFE"/>
    <w:rsid w:val="007F6E5E"/>
    <w:rsid w:val="007F6E73"/>
    <w:rsid w:val="007F7210"/>
    <w:rsid w:val="007F76D0"/>
    <w:rsid w:val="007F7726"/>
    <w:rsid w:val="007F77AF"/>
    <w:rsid w:val="007F7BC4"/>
    <w:rsid w:val="007F7EA6"/>
    <w:rsid w:val="0080026D"/>
    <w:rsid w:val="00800404"/>
    <w:rsid w:val="00800622"/>
    <w:rsid w:val="00800BE1"/>
    <w:rsid w:val="00800E68"/>
    <w:rsid w:val="00800F4E"/>
    <w:rsid w:val="008018DE"/>
    <w:rsid w:val="00801C2D"/>
    <w:rsid w:val="00801F1E"/>
    <w:rsid w:val="0080208B"/>
    <w:rsid w:val="0080228E"/>
    <w:rsid w:val="008024BD"/>
    <w:rsid w:val="00802664"/>
    <w:rsid w:val="008027BB"/>
    <w:rsid w:val="00802863"/>
    <w:rsid w:val="0080287A"/>
    <w:rsid w:val="00802B21"/>
    <w:rsid w:val="00802B8B"/>
    <w:rsid w:val="00802C92"/>
    <w:rsid w:val="00802E41"/>
    <w:rsid w:val="0080304A"/>
    <w:rsid w:val="0080318F"/>
    <w:rsid w:val="00803789"/>
    <w:rsid w:val="00803BF9"/>
    <w:rsid w:val="00803CFB"/>
    <w:rsid w:val="00803D09"/>
    <w:rsid w:val="0080405F"/>
    <w:rsid w:val="00804274"/>
    <w:rsid w:val="00804341"/>
    <w:rsid w:val="00804523"/>
    <w:rsid w:val="00804C31"/>
    <w:rsid w:val="008051E2"/>
    <w:rsid w:val="00805278"/>
    <w:rsid w:val="0080577F"/>
    <w:rsid w:val="008057C6"/>
    <w:rsid w:val="008057CC"/>
    <w:rsid w:val="00805A98"/>
    <w:rsid w:val="00805DEB"/>
    <w:rsid w:val="0080650F"/>
    <w:rsid w:val="00806573"/>
    <w:rsid w:val="00806661"/>
    <w:rsid w:val="00806668"/>
    <w:rsid w:val="0080668C"/>
    <w:rsid w:val="008068B5"/>
    <w:rsid w:val="00806E46"/>
    <w:rsid w:val="00806E99"/>
    <w:rsid w:val="00807490"/>
    <w:rsid w:val="0080750F"/>
    <w:rsid w:val="008075F1"/>
    <w:rsid w:val="00807D0C"/>
    <w:rsid w:val="00810108"/>
    <w:rsid w:val="0081055B"/>
    <w:rsid w:val="00810C45"/>
    <w:rsid w:val="008114EC"/>
    <w:rsid w:val="00811541"/>
    <w:rsid w:val="00811872"/>
    <w:rsid w:val="0081291C"/>
    <w:rsid w:val="00812AD2"/>
    <w:rsid w:val="00812AF5"/>
    <w:rsid w:val="008133A7"/>
    <w:rsid w:val="008134A8"/>
    <w:rsid w:val="00813942"/>
    <w:rsid w:val="00813B9B"/>
    <w:rsid w:val="00813BBC"/>
    <w:rsid w:val="00813F62"/>
    <w:rsid w:val="00814372"/>
    <w:rsid w:val="00814635"/>
    <w:rsid w:val="00814785"/>
    <w:rsid w:val="00814894"/>
    <w:rsid w:val="00814DED"/>
    <w:rsid w:val="00814EC7"/>
    <w:rsid w:val="0081541A"/>
    <w:rsid w:val="008158C8"/>
    <w:rsid w:val="00815E52"/>
    <w:rsid w:val="008162CF"/>
    <w:rsid w:val="0081639E"/>
    <w:rsid w:val="00816773"/>
    <w:rsid w:val="00816A15"/>
    <w:rsid w:val="00816AED"/>
    <w:rsid w:val="00816F38"/>
    <w:rsid w:val="0081768F"/>
    <w:rsid w:val="008177B1"/>
    <w:rsid w:val="00817A9C"/>
    <w:rsid w:val="00817B30"/>
    <w:rsid w:val="00817BF6"/>
    <w:rsid w:val="008201A7"/>
    <w:rsid w:val="00820271"/>
    <w:rsid w:val="00820350"/>
    <w:rsid w:val="00820487"/>
    <w:rsid w:val="00820596"/>
    <w:rsid w:val="00820612"/>
    <w:rsid w:val="00820CDE"/>
    <w:rsid w:val="00820D04"/>
    <w:rsid w:val="00820E81"/>
    <w:rsid w:val="00821312"/>
    <w:rsid w:val="008217D5"/>
    <w:rsid w:val="008218EA"/>
    <w:rsid w:val="00821905"/>
    <w:rsid w:val="00821B48"/>
    <w:rsid w:val="00821F17"/>
    <w:rsid w:val="00822193"/>
    <w:rsid w:val="0082246A"/>
    <w:rsid w:val="00822DC7"/>
    <w:rsid w:val="00822F7D"/>
    <w:rsid w:val="00822FBF"/>
    <w:rsid w:val="00822FF7"/>
    <w:rsid w:val="008231BB"/>
    <w:rsid w:val="00823316"/>
    <w:rsid w:val="00823420"/>
    <w:rsid w:val="00823E70"/>
    <w:rsid w:val="00823F8F"/>
    <w:rsid w:val="00824044"/>
    <w:rsid w:val="0082417C"/>
    <w:rsid w:val="0082420F"/>
    <w:rsid w:val="00824262"/>
    <w:rsid w:val="008242B2"/>
    <w:rsid w:val="00824541"/>
    <w:rsid w:val="008246C6"/>
    <w:rsid w:val="0082496F"/>
    <w:rsid w:val="00824A5E"/>
    <w:rsid w:val="00824B1C"/>
    <w:rsid w:val="00824B70"/>
    <w:rsid w:val="00824C90"/>
    <w:rsid w:val="0082544A"/>
    <w:rsid w:val="008256F7"/>
    <w:rsid w:val="008257BF"/>
    <w:rsid w:val="00825B60"/>
    <w:rsid w:val="008261D7"/>
    <w:rsid w:val="008265FC"/>
    <w:rsid w:val="00826722"/>
    <w:rsid w:val="0082683C"/>
    <w:rsid w:val="0082694A"/>
    <w:rsid w:val="00826A08"/>
    <w:rsid w:val="00826CAD"/>
    <w:rsid w:val="00827066"/>
    <w:rsid w:val="00827253"/>
    <w:rsid w:val="00827415"/>
    <w:rsid w:val="00827AF0"/>
    <w:rsid w:val="00827BCD"/>
    <w:rsid w:val="00827C72"/>
    <w:rsid w:val="0083009A"/>
    <w:rsid w:val="00830254"/>
    <w:rsid w:val="0083053B"/>
    <w:rsid w:val="008307C8"/>
    <w:rsid w:val="00830B8D"/>
    <w:rsid w:val="00830BE1"/>
    <w:rsid w:val="00830DC1"/>
    <w:rsid w:val="00830FFB"/>
    <w:rsid w:val="0083107E"/>
    <w:rsid w:val="008310C3"/>
    <w:rsid w:val="008316E8"/>
    <w:rsid w:val="008318BA"/>
    <w:rsid w:val="00831A9D"/>
    <w:rsid w:val="00831D9E"/>
    <w:rsid w:val="00831E2C"/>
    <w:rsid w:val="00831E39"/>
    <w:rsid w:val="00831E46"/>
    <w:rsid w:val="00832307"/>
    <w:rsid w:val="00832530"/>
    <w:rsid w:val="00832B1E"/>
    <w:rsid w:val="008330D4"/>
    <w:rsid w:val="00833791"/>
    <w:rsid w:val="00833B16"/>
    <w:rsid w:val="00833B46"/>
    <w:rsid w:val="00833C31"/>
    <w:rsid w:val="00833C92"/>
    <w:rsid w:val="00834295"/>
    <w:rsid w:val="00834372"/>
    <w:rsid w:val="008347D2"/>
    <w:rsid w:val="00834B3A"/>
    <w:rsid w:val="00834D2C"/>
    <w:rsid w:val="00834D58"/>
    <w:rsid w:val="00834D97"/>
    <w:rsid w:val="00834E25"/>
    <w:rsid w:val="00834EBF"/>
    <w:rsid w:val="00834FC8"/>
    <w:rsid w:val="008350FB"/>
    <w:rsid w:val="00835196"/>
    <w:rsid w:val="008351D8"/>
    <w:rsid w:val="00835217"/>
    <w:rsid w:val="0083580D"/>
    <w:rsid w:val="00835871"/>
    <w:rsid w:val="00835A21"/>
    <w:rsid w:val="00836052"/>
    <w:rsid w:val="008364C8"/>
    <w:rsid w:val="008364CD"/>
    <w:rsid w:val="0083699E"/>
    <w:rsid w:val="00836BDE"/>
    <w:rsid w:val="00836C29"/>
    <w:rsid w:val="00836DD8"/>
    <w:rsid w:val="00836E9B"/>
    <w:rsid w:val="00836F3F"/>
    <w:rsid w:val="00836FD7"/>
    <w:rsid w:val="00837227"/>
    <w:rsid w:val="0083725D"/>
    <w:rsid w:val="00837431"/>
    <w:rsid w:val="00837571"/>
    <w:rsid w:val="008375F3"/>
    <w:rsid w:val="00837766"/>
    <w:rsid w:val="0083792B"/>
    <w:rsid w:val="00837934"/>
    <w:rsid w:val="008379F2"/>
    <w:rsid w:val="00837EE7"/>
    <w:rsid w:val="00840319"/>
    <w:rsid w:val="00840425"/>
    <w:rsid w:val="008404A4"/>
    <w:rsid w:val="0084050F"/>
    <w:rsid w:val="00840830"/>
    <w:rsid w:val="00840ECD"/>
    <w:rsid w:val="00840EDA"/>
    <w:rsid w:val="0084119A"/>
    <w:rsid w:val="0084146E"/>
    <w:rsid w:val="00841594"/>
    <w:rsid w:val="008415C7"/>
    <w:rsid w:val="00841658"/>
    <w:rsid w:val="008416DE"/>
    <w:rsid w:val="008419F6"/>
    <w:rsid w:val="00841EF0"/>
    <w:rsid w:val="00842169"/>
    <w:rsid w:val="00842606"/>
    <w:rsid w:val="00842C12"/>
    <w:rsid w:val="0084301A"/>
    <w:rsid w:val="00843593"/>
    <w:rsid w:val="008439A0"/>
    <w:rsid w:val="00843FAE"/>
    <w:rsid w:val="00844575"/>
    <w:rsid w:val="00844623"/>
    <w:rsid w:val="00844644"/>
    <w:rsid w:val="00844945"/>
    <w:rsid w:val="008449DF"/>
    <w:rsid w:val="00844A78"/>
    <w:rsid w:val="008452DD"/>
    <w:rsid w:val="0084538E"/>
    <w:rsid w:val="0084566A"/>
    <w:rsid w:val="00845752"/>
    <w:rsid w:val="008457DC"/>
    <w:rsid w:val="00845B5D"/>
    <w:rsid w:val="00845FB8"/>
    <w:rsid w:val="008460A7"/>
    <w:rsid w:val="00846375"/>
    <w:rsid w:val="008465DE"/>
    <w:rsid w:val="00846683"/>
    <w:rsid w:val="00846B59"/>
    <w:rsid w:val="00846BB7"/>
    <w:rsid w:val="00846C66"/>
    <w:rsid w:val="00846F9D"/>
    <w:rsid w:val="0084704B"/>
    <w:rsid w:val="00847115"/>
    <w:rsid w:val="0084716D"/>
    <w:rsid w:val="00847250"/>
    <w:rsid w:val="0084727F"/>
    <w:rsid w:val="00847285"/>
    <w:rsid w:val="008472EF"/>
    <w:rsid w:val="00847C9C"/>
    <w:rsid w:val="00847D5A"/>
    <w:rsid w:val="008505E4"/>
    <w:rsid w:val="008506BE"/>
    <w:rsid w:val="008506D5"/>
    <w:rsid w:val="0085077E"/>
    <w:rsid w:val="00850A8D"/>
    <w:rsid w:val="00850A9D"/>
    <w:rsid w:val="00850BC3"/>
    <w:rsid w:val="00850E7F"/>
    <w:rsid w:val="00851248"/>
    <w:rsid w:val="0085137C"/>
    <w:rsid w:val="008515AE"/>
    <w:rsid w:val="0085198C"/>
    <w:rsid w:val="00851D1A"/>
    <w:rsid w:val="0085209D"/>
    <w:rsid w:val="0085288C"/>
    <w:rsid w:val="00852D32"/>
    <w:rsid w:val="00852F3A"/>
    <w:rsid w:val="00852FC4"/>
    <w:rsid w:val="00852FC9"/>
    <w:rsid w:val="008530D3"/>
    <w:rsid w:val="00853155"/>
    <w:rsid w:val="0085341C"/>
    <w:rsid w:val="00853C60"/>
    <w:rsid w:val="00853D7C"/>
    <w:rsid w:val="00854077"/>
    <w:rsid w:val="0085441C"/>
    <w:rsid w:val="00854679"/>
    <w:rsid w:val="0085472A"/>
    <w:rsid w:val="00854950"/>
    <w:rsid w:val="00854985"/>
    <w:rsid w:val="00854B37"/>
    <w:rsid w:val="00854C0E"/>
    <w:rsid w:val="00854CF6"/>
    <w:rsid w:val="00854E11"/>
    <w:rsid w:val="00855539"/>
    <w:rsid w:val="0085563F"/>
    <w:rsid w:val="00855B9D"/>
    <w:rsid w:val="00855EE9"/>
    <w:rsid w:val="0085606A"/>
    <w:rsid w:val="008560A1"/>
    <w:rsid w:val="00856582"/>
    <w:rsid w:val="00856764"/>
    <w:rsid w:val="00856BB5"/>
    <w:rsid w:val="00856D01"/>
    <w:rsid w:val="00856FCD"/>
    <w:rsid w:val="00857220"/>
    <w:rsid w:val="008575FE"/>
    <w:rsid w:val="00857B17"/>
    <w:rsid w:val="00857E90"/>
    <w:rsid w:val="00857E9A"/>
    <w:rsid w:val="0086005F"/>
    <w:rsid w:val="008600D6"/>
    <w:rsid w:val="00860189"/>
    <w:rsid w:val="008604BC"/>
    <w:rsid w:val="00860780"/>
    <w:rsid w:val="0086097E"/>
    <w:rsid w:val="00860F1D"/>
    <w:rsid w:val="00861212"/>
    <w:rsid w:val="008617DF"/>
    <w:rsid w:val="00861896"/>
    <w:rsid w:val="00861B52"/>
    <w:rsid w:val="00861E30"/>
    <w:rsid w:val="00861F47"/>
    <w:rsid w:val="00862242"/>
    <w:rsid w:val="0086235B"/>
    <w:rsid w:val="00862421"/>
    <w:rsid w:val="008628FD"/>
    <w:rsid w:val="00862B59"/>
    <w:rsid w:val="00862BCD"/>
    <w:rsid w:val="00862D24"/>
    <w:rsid w:val="00862DF3"/>
    <w:rsid w:val="00862E39"/>
    <w:rsid w:val="0086322C"/>
    <w:rsid w:val="008633D3"/>
    <w:rsid w:val="00863690"/>
    <w:rsid w:val="00863738"/>
    <w:rsid w:val="00863749"/>
    <w:rsid w:val="00863ADE"/>
    <w:rsid w:val="00863F10"/>
    <w:rsid w:val="00863FF7"/>
    <w:rsid w:val="0086484C"/>
    <w:rsid w:val="00865020"/>
    <w:rsid w:val="00865030"/>
    <w:rsid w:val="00865074"/>
    <w:rsid w:val="00865154"/>
    <w:rsid w:val="00865894"/>
    <w:rsid w:val="00865C44"/>
    <w:rsid w:val="00865F27"/>
    <w:rsid w:val="00865F83"/>
    <w:rsid w:val="0086608E"/>
    <w:rsid w:val="00866124"/>
    <w:rsid w:val="00866210"/>
    <w:rsid w:val="008667AE"/>
    <w:rsid w:val="0086694B"/>
    <w:rsid w:val="008669BD"/>
    <w:rsid w:val="00866FE1"/>
    <w:rsid w:val="0086707F"/>
    <w:rsid w:val="008672FD"/>
    <w:rsid w:val="00867499"/>
    <w:rsid w:val="00867672"/>
    <w:rsid w:val="00867C1D"/>
    <w:rsid w:val="00867F0F"/>
    <w:rsid w:val="00870275"/>
    <w:rsid w:val="00870417"/>
    <w:rsid w:val="0087047C"/>
    <w:rsid w:val="00870997"/>
    <w:rsid w:val="00870B20"/>
    <w:rsid w:val="00870CFB"/>
    <w:rsid w:val="00870D8E"/>
    <w:rsid w:val="00870F4B"/>
    <w:rsid w:val="008712CB"/>
    <w:rsid w:val="00871345"/>
    <w:rsid w:val="0087141F"/>
    <w:rsid w:val="00871556"/>
    <w:rsid w:val="008715C0"/>
    <w:rsid w:val="00871635"/>
    <w:rsid w:val="008716C5"/>
    <w:rsid w:val="008719C8"/>
    <w:rsid w:val="00871C6E"/>
    <w:rsid w:val="00871D7B"/>
    <w:rsid w:val="00873929"/>
    <w:rsid w:val="00874137"/>
    <w:rsid w:val="008744C0"/>
    <w:rsid w:val="008744E1"/>
    <w:rsid w:val="00874785"/>
    <w:rsid w:val="0087490E"/>
    <w:rsid w:val="00874E64"/>
    <w:rsid w:val="00874FD6"/>
    <w:rsid w:val="00875078"/>
    <w:rsid w:val="0087509B"/>
    <w:rsid w:val="00875950"/>
    <w:rsid w:val="00875CBF"/>
    <w:rsid w:val="00875D72"/>
    <w:rsid w:val="0087611B"/>
    <w:rsid w:val="00876151"/>
    <w:rsid w:val="0087623F"/>
    <w:rsid w:val="00876280"/>
    <w:rsid w:val="008762A7"/>
    <w:rsid w:val="00876EC0"/>
    <w:rsid w:val="00877ABF"/>
    <w:rsid w:val="00877CB5"/>
    <w:rsid w:val="00877CBA"/>
    <w:rsid w:val="00880028"/>
    <w:rsid w:val="008801B5"/>
    <w:rsid w:val="008803CF"/>
    <w:rsid w:val="00880610"/>
    <w:rsid w:val="008806EB"/>
    <w:rsid w:val="00880764"/>
    <w:rsid w:val="00880847"/>
    <w:rsid w:val="00880AEC"/>
    <w:rsid w:val="00880BFC"/>
    <w:rsid w:val="00880CCE"/>
    <w:rsid w:val="00880EC6"/>
    <w:rsid w:val="008810DB"/>
    <w:rsid w:val="008812E3"/>
    <w:rsid w:val="00881677"/>
    <w:rsid w:val="00881730"/>
    <w:rsid w:val="00881AD5"/>
    <w:rsid w:val="00881C4C"/>
    <w:rsid w:val="00881DC8"/>
    <w:rsid w:val="00882994"/>
    <w:rsid w:val="00882A97"/>
    <w:rsid w:val="00882B4E"/>
    <w:rsid w:val="00882BBB"/>
    <w:rsid w:val="008831F3"/>
    <w:rsid w:val="0088341E"/>
    <w:rsid w:val="008835E7"/>
    <w:rsid w:val="0088362E"/>
    <w:rsid w:val="008838F0"/>
    <w:rsid w:val="00883C3F"/>
    <w:rsid w:val="00884217"/>
    <w:rsid w:val="0088423B"/>
    <w:rsid w:val="0088425C"/>
    <w:rsid w:val="00884C2A"/>
    <w:rsid w:val="0088503A"/>
    <w:rsid w:val="00885117"/>
    <w:rsid w:val="008853FE"/>
    <w:rsid w:val="008854A2"/>
    <w:rsid w:val="00885BE4"/>
    <w:rsid w:val="00885DFD"/>
    <w:rsid w:val="00885EED"/>
    <w:rsid w:val="00885F9D"/>
    <w:rsid w:val="00886191"/>
    <w:rsid w:val="008863C0"/>
    <w:rsid w:val="008867C8"/>
    <w:rsid w:val="00886CDC"/>
    <w:rsid w:val="00886D59"/>
    <w:rsid w:val="00886DAF"/>
    <w:rsid w:val="00886DBF"/>
    <w:rsid w:val="00886E71"/>
    <w:rsid w:val="0088733F"/>
    <w:rsid w:val="00887383"/>
    <w:rsid w:val="00887426"/>
    <w:rsid w:val="00887612"/>
    <w:rsid w:val="00887AF5"/>
    <w:rsid w:val="00887B4C"/>
    <w:rsid w:val="008901A9"/>
    <w:rsid w:val="008902CA"/>
    <w:rsid w:val="00890B18"/>
    <w:rsid w:val="00890B7D"/>
    <w:rsid w:val="00890E29"/>
    <w:rsid w:val="00890F9C"/>
    <w:rsid w:val="00891017"/>
    <w:rsid w:val="008915AA"/>
    <w:rsid w:val="00891686"/>
    <w:rsid w:val="008916A1"/>
    <w:rsid w:val="008916D9"/>
    <w:rsid w:val="00891E69"/>
    <w:rsid w:val="00892006"/>
    <w:rsid w:val="008920D3"/>
    <w:rsid w:val="00892884"/>
    <w:rsid w:val="008928D9"/>
    <w:rsid w:val="0089290B"/>
    <w:rsid w:val="00892AEC"/>
    <w:rsid w:val="00892C52"/>
    <w:rsid w:val="00892CB5"/>
    <w:rsid w:val="00892E39"/>
    <w:rsid w:val="00893132"/>
    <w:rsid w:val="00893134"/>
    <w:rsid w:val="00893614"/>
    <w:rsid w:val="0089367D"/>
    <w:rsid w:val="00893CF4"/>
    <w:rsid w:val="00893D55"/>
    <w:rsid w:val="00893D6D"/>
    <w:rsid w:val="008943CD"/>
    <w:rsid w:val="00894630"/>
    <w:rsid w:val="008947DE"/>
    <w:rsid w:val="00894F76"/>
    <w:rsid w:val="0089519E"/>
    <w:rsid w:val="0089541E"/>
    <w:rsid w:val="00895B1E"/>
    <w:rsid w:val="00895D72"/>
    <w:rsid w:val="00896185"/>
    <w:rsid w:val="0089629B"/>
    <w:rsid w:val="008962C6"/>
    <w:rsid w:val="00896534"/>
    <w:rsid w:val="008967C6"/>
    <w:rsid w:val="00896B3A"/>
    <w:rsid w:val="00896BBA"/>
    <w:rsid w:val="00896D55"/>
    <w:rsid w:val="00896E19"/>
    <w:rsid w:val="00896E38"/>
    <w:rsid w:val="00896E69"/>
    <w:rsid w:val="00896EA1"/>
    <w:rsid w:val="008970C3"/>
    <w:rsid w:val="008971DA"/>
    <w:rsid w:val="008972B3"/>
    <w:rsid w:val="008972F1"/>
    <w:rsid w:val="008973E0"/>
    <w:rsid w:val="008974B7"/>
    <w:rsid w:val="0089753A"/>
    <w:rsid w:val="00897760"/>
    <w:rsid w:val="0089787C"/>
    <w:rsid w:val="00897C87"/>
    <w:rsid w:val="008A07C2"/>
    <w:rsid w:val="008A07F6"/>
    <w:rsid w:val="008A10ED"/>
    <w:rsid w:val="008A142A"/>
    <w:rsid w:val="008A1578"/>
    <w:rsid w:val="008A1597"/>
    <w:rsid w:val="008A1E72"/>
    <w:rsid w:val="008A1FE3"/>
    <w:rsid w:val="008A2105"/>
    <w:rsid w:val="008A2218"/>
    <w:rsid w:val="008A232A"/>
    <w:rsid w:val="008A270F"/>
    <w:rsid w:val="008A2715"/>
    <w:rsid w:val="008A2EED"/>
    <w:rsid w:val="008A30D3"/>
    <w:rsid w:val="008A3329"/>
    <w:rsid w:val="008A335A"/>
    <w:rsid w:val="008A37BF"/>
    <w:rsid w:val="008A3BE8"/>
    <w:rsid w:val="008A3F7D"/>
    <w:rsid w:val="008A41D0"/>
    <w:rsid w:val="008A43B5"/>
    <w:rsid w:val="008A45E6"/>
    <w:rsid w:val="008A4C79"/>
    <w:rsid w:val="008A4CDE"/>
    <w:rsid w:val="008A4E06"/>
    <w:rsid w:val="008A4E41"/>
    <w:rsid w:val="008A52F9"/>
    <w:rsid w:val="008A564A"/>
    <w:rsid w:val="008A569A"/>
    <w:rsid w:val="008A5725"/>
    <w:rsid w:val="008A57FC"/>
    <w:rsid w:val="008A605A"/>
    <w:rsid w:val="008A625D"/>
    <w:rsid w:val="008A6373"/>
    <w:rsid w:val="008A63E8"/>
    <w:rsid w:val="008A6B53"/>
    <w:rsid w:val="008A6D99"/>
    <w:rsid w:val="008A707C"/>
    <w:rsid w:val="008A72EA"/>
    <w:rsid w:val="008A77C5"/>
    <w:rsid w:val="008A785D"/>
    <w:rsid w:val="008A7A2F"/>
    <w:rsid w:val="008A7D06"/>
    <w:rsid w:val="008A7D9D"/>
    <w:rsid w:val="008B0097"/>
    <w:rsid w:val="008B05F3"/>
    <w:rsid w:val="008B0762"/>
    <w:rsid w:val="008B09B2"/>
    <w:rsid w:val="008B0CA5"/>
    <w:rsid w:val="008B0E05"/>
    <w:rsid w:val="008B106A"/>
    <w:rsid w:val="008B1252"/>
    <w:rsid w:val="008B140A"/>
    <w:rsid w:val="008B1491"/>
    <w:rsid w:val="008B14E0"/>
    <w:rsid w:val="008B1511"/>
    <w:rsid w:val="008B2542"/>
    <w:rsid w:val="008B2560"/>
    <w:rsid w:val="008B2ADB"/>
    <w:rsid w:val="008B2FE0"/>
    <w:rsid w:val="008B3089"/>
    <w:rsid w:val="008B3166"/>
    <w:rsid w:val="008B333E"/>
    <w:rsid w:val="008B38F1"/>
    <w:rsid w:val="008B39DD"/>
    <w:rsid w:val="008B3E1E"/>
    <w:rsid w:val="008B40C3"/>
    <w:rsid w:val="008B4260"/>
    <w:rsid w:val="008B429E"/>
    <w:rsid w:val="008B44B2"/>
    <w:rsid w:val="008B4A4B"/>
    <w:rsid w:val="008B4B24"/>
    <w:rsid w:val="008B5076"/>
    <w:rsid w:val="008B5179"/>
    <w:rsid w:val="008B53C0"/>
    <w:rsid w:val="008B55E7"/>
    <w:rsid w:val="008B561E"/>
    <w:rsid w:val="008B58D6"/>
    <w:rsid w:val="008B5E42"/>
    <w:rsid w:val="008B5ED7"/>
    <w:rsid w:val="008B6130"/>
    <w:rsid w:val="008B61B4"/>
    <w:rsid w:val="008B64BE"/>
    <w:rsid w:val="008B721D"/>
    <w:rsid w:val="008B73A6"/>
    <w:rsid w:val="008B76B4"/>
    <w:rsid w:val="008B77B9"/>
    <w:rsid w:val="008B78B3"/>
    <w:rsid w:val="008B792D"/>
    <w:rsid w:val="008B79FB"/>
    <w:rsid w:val="008B7BCF"/>
    <w:rsid w:val="008B7DA0"/>
    <w:rsid w:val="008B7EB8"/>
    <w:rsid w:val="008C0A46"/>
    <w:rsid w:val="008C0D49"/>
    <w:rsid w:val="008C0FB5"/>
    <w:rsid w:val="008C1295"/>
    <w:rsid w:val="008C1597"/>
    <w:rsid w:val="008C1633"/>
    <w:rsid w:val="008C16B5"/>
    <w:rsid w:val="008C1A2C"/>
    <w:rsid w:val="008C1A75"/>
    <w:rsid w:val="008C1B86"/>
    <w:rsid w:val="008C21A6"/>
    <w:rsid w:val="008C2989"/>
    <w:rsid w:val="008C2BE9"/>
    <w:rsid w:val="008C2E84"/>
    <w:rsid w:val="008C2F83"/>
    <w:rsid w:val="008C300D"/>
    <w:rsid w:val="008C31EF"/>
    <w:rsid w:val="008C33B8"/>
    <w:rsid w:val="008C3727"/>
    <w:rsid w:val="008C3865"/>
    <w:rsid w:val="008C3DB2"/>
    <w:rsid w:val="008C416B"/>
    <w:rsid w:val="008C4A3E"/>
    <w:rsid w:val="008C4ABC"/>
    <w:rsid w:val="008C4B10"/>
    <w:rsid w:val="008C519F"/>
    <w:rsid w:val="008C5440"/>
    <w:rsid w:val="008C5951"/>
    <w:rsid w:val="008C6088"/>
    <w:rsid w:val="008C6BA1"/>
    <w:rsid w:val="008C6CC5"/>
    <w:rsid w:val="008C6CE8"/>
    <w:rsid w:val="008C6D4E"/>
    <w:rsid w:val="008C738A"/>
    <w:rsid w:val="008C75BD"/>
    <w:rsid w:val="008C7677"/>
    <w:rsid w:val="008C7678"/>
    <w:rsid w:val="008C78BB"/>
    <w:rsid w:val="008C7D1C"/>
    <w:rsid w:val="008C7DC6"/>
    <w:rsid w:val="008C7E01"/>
    <w:rsid w:val="008D01F3"/>
    <w:rsid w:val="008D027E"/>
    <w:rsid w:val="008D0327"/>
    <w:rsid w:val="008D0397"/>
    <w:rsid w:val="008D055A"/>
    <w:rsid w:val="008D0646"/>
    <w:rsid w:val="008D09C4"/>
    <w:rsid w:val="008D0DFB"/>
    <w:rsid w:val="008D10E0"/>
    <w:rsid w:val="008D1430"/>
    <w:rsid w:val="008D15F7"/>
    <w:rsid w:val="008D15FD"/>
    <w:rsid w:val="008D265C"/>
    <w:rsid w:val="008D28EC"/>
    <w:rsid w:val="008D297A"/>
    <w:rsid w:val="008D2ADA"/>
    <w:rsid w:val="008D3384"/>
    <w:rsid w:val="008D37DE"/>
    <w:rsid w:val="008D3832"/>
    <w:rsid w:val="008D39A4"/>
    <w:rsid w:val="008D3A93"/>
    <w:rsid w:val="008D40A3"/>
    <w:rsid w:val="008D4107"/>
    <w:rsid w:val="008D437E"/>
    <w:rsid w:val="008D4468"/>
    <w:rsid w:val="008D4522"/>
    <w:rsid w:val="008D47B3"/>
    <w:rsid w:val="008D482E"/>
    <w:rsid w:val="008D4E89"/>
    <w:rsid w:val="008D524A"/>
    <w:rsid w:val="008D5261"/>
    <w:rsid w:val="008D54F8"/>
    <w:rsid w:val="008D55CA"/>
    <w:rsid w:val="008D568C"/>
    <w:rsid w:val="008D5C4B"/>
    <w:rsid w:val="008D5EA5"/>
    <w:rsid w:val="008D5F73"/>
    <w:rsid w:val="008D6062"/>
    <w:rsid w:val="008D62A8"/>
    <w:rsid w:val="008D641C"/>
    <w:rsid w:val="008D66E7"/>
    <w:rsid w:val="008D6B93"/>
    <w:rsid w:val="008D6D56"/>
    <w:rsid w:val="008D6E1E"/>
    <w:rsid w:val="008D6EA4"/>
    <w:rsid w:val="008D6FEB"/>
    <w:rsid w:val="008D7407"/>
    <w:rsid w:val="008D740A"/>
    <w:rsid w:val="008D74F5"/>
    <w:rsid w:val="008D750C"/>
    <w:rsid w:val="008D777C"/>
    <w:rsid w:val="008D7922"/>
    <w:rsid w:val="008D7958"/>
    <w:rsid w:val="008D7ADA"/>
    <w:rsid w:val="008E0258"/>
    <w:rsid w:val="008E0357"/>
    <w:rsid w:val="008E0435"/>
    <w:rsid w:val="008E089A"/>
    <w:rsid w:val="008E096F"/>
    <w:rsid w:val="008E099B"/>
    <w:rsid w:val="008E09D5"/>
    <w:rsid w:val="008E103B"/>
    <w:rsid w:val="008E1122"/>
    <w:rsid w:val="008E1602"/>
    <w:rsid w:val="008E1619"/>
    <w:rsid w:val="008E1FF0"/>
    <w:rsid w:val="008E22D3"/>
    <w:rsid w:val="008E22DB"/>
    <w:rsid w:val="008E24B4"/>
    <w:rsid w:val="008E2BDA"/>
    <w:rsid w:val="008E3366"/>
    <w:rsid w:val="008E34D6"/>
    <w:rsid w:val="008E3A07"/>
    <w:rsid w:val="008E3B5A"/>
    <w:rsid w:val="008E3BF2"/>
    <w:rsid w:val="008E3C2A"/>
    <w:rsid w:val="008E3FA8"/>
    <w:rsid w:val="008E4238"/>
    <w:rsid w:val="008E454A"/>
    <w:rsid w:val="008E456A"/>
    <w:rsid w:val="008E4CA4"/>
    <w:rsid w:val="008E4EBC"/>
    <w:rsid w:val="008E4F11"/>
    <w:rsid w:val="008E5377"/>
    <w:rsid w:val="008E546A"/>
    <w:rsid w:val="008E5506"/>
    <w:rsid w:val="008E56D4"/>
    <w:rsid w:val="008E56DA"/>
    <w:rsid w:val="008E5AFF"/>
    <w:rsid w:val="008E5D45"/>
    <w:rsid w:val="008E626B"/>
    <w:rsid w:val="008E62FD"/>
    <w:rsid w:val="008E692D"/>
    <w:rsid w:val="008E6CF4"/>
    <w:rsid w:val="008E734F"/>
    <w:rsid w:val="008E7465"/>
    <w:rsid w:val="008E75DE"/>
    <w:rsid w:val="008E75FD"/>
    <w:rsid w:val="008E77CC"/>
    <w:rsid w:val="008E77DF"/>
    <w:rsid w:val="008E79B1"/>
    <w:rsid w:val="008E7B6D"/>
    <w:rsid w:val="008F04C3"/>
    <w:rsid w:val="008F06CD"/>
    <w:rsid w:val="008F08BA"/>
    <w:rsid w:val="008F0C36"/>
    <w:rsid w:val="008F0C9B"/>
    <w:rsid w:val="008F0DEF"/>
    <w:rsid w:val="008F0E40"/>
    <w:rsid w:val="008F0FD8"/>
    <w:rsid w:val="008F1067"/>
    <w:rsid w:val="008F13E7"/>
    <w:rsid w:val="008F18A9"/>
    <w:rsid w:val="008F1D4E"/>
    <w:rsid w:val="008F1F62"/>
    <w:rsid w:val="008F2083"/>
    <w:rsid w:val="008F21C2"/>
    <w:rsid w:val="008F225C"/>
    <w:rsid w:val="008F2370"/>
    <w:rsid w:val="008F2761"/>
    <w:rsid w:val="008F2A0B"/>
    <w:rsid w:val="008F2AD5"/>
    <w:rsid w:val="008F2AE8"/>
    <w:rsid w:val="008F2C65"/>
    <w:rsid w:val="008F30A6"/>
    <w:rsid w:val="008F3CC5"/>
    <w:rsid w:val="008F3DFB"/>
    <w:rsid w:val="008F3EB4"/>
    <w:rsid w:val="008F3FCC"/>
    <w:rsid w:val="008F40C9"/>
    <w:rsid w:val="008F41CC"/>
    <w:rsid w:val="008F44F3"/>
    <w:rsid w:val="008F48E7"/>
    <w:rsid w:val="008F4A5F"/>
    <w:rsid w:val="008F4BFE"/>
    <w:rsid w:val="008F4CCF"/>
    <w:rsid w:val="008F4EFE"/>
    <w:rsid w:val="008F5726"/>
    <w:rsid w:val="008F5ADB"/>
    <w:rsid w:val="008F5B45"/>
    <w:rsid w:val="008F5B6E"/>
    <w:rsid w:val="008F5C0B"/>
    <w:rsid w:val="008F6184"/>
    <w:rsid w:val="008F6306"/>
    <w:rsid w:val="008F65D0"/>
    <w:rsid w:val="008F6701"/>
    <w:rsid w:val="008F6DB0"/>
    <w:rsid w:val="008F72BC"/>
    <w:rsid w:val="008F72D4"/>
    <w:rsid w:val="008F731D"/>
    <w:rsid w:val="008F7363"/>
    <w:rsid w:val="008F7708"/>
    <w:rsid w:val="008F774F"/>
    <w:rsid w:val="008F7CED"/>
    <w:rsid w:val="00900136"/>
    <w:rsid w:val="0090023E"/>
    <w:rsid w:val="0090035F"/>
    <w:rsid w:val="00900461"/>
    <w:rsid w:val="00900488"/>
    <w:rsid w:val="00900562"/>
    <w:rsid w:val="009006CC"/>
    <w:rsid w:val="009007CA"/>
    <w:rsid w:val="0090096A"/>
    <w:rsid w:val="009009BB"/>
    <w:rsid w:val="00900C1D"/>
    <w:rsid w:val="00900DEC"/>
    <w:rsid w:val="00901208"/>
    <w:rsid w:val="00901367"/>
    <w:rsid w:val="009016F0"/>
    <w:rsid w:val="009018CA"/>
    <w:rsid w:val="00901946"/>
    <w:rsid w:val="00901A61"/>
    <w:rsid w:val="00901CA0"/>
    <w:rsid w:val="00901D13"/>
    <w:rsid w:val="00901D33"/>
    <w:rsid w:val="00901FAA"/>
    <w:rsid w:val="00902062"/>
    <w:rsid w:val="0090247F"/>
    <w:rsid w:val="009024F3"/>
    <w:rsid w:val="00902850"/>
    <w:rsid w:val="00903336"/>
    <w:rsid w:val="009034CF"/>
    <w:rsid w:val="00903590"/>
    <w:rsid w:val="0090368F"/>
    <w:rsid w:val="00903B1A"/>
    <w:rsid w:val="00903F12"/>
    <w:rsid w:val="0090406D"/>
    <w:rsid w:val="00904855"/>
    <w:rsid w:val="009048DB"/>
    <w:rsid w:val="00904D03"/>
    <w:rsid w:val="00905939"/>
    <w:rsid w:val="00905C86"/>
    <w:rsid w:val="00905F1F"/>
    <w:rsid w:val="00906436"/>
    <w:rsid w:val="009068D3"/>
    <w:rsid w:val="00906BC0"/>
    <w:rsid w:val="00906C65"/>
    <w:rsid w:val="00906F91"/>
    <w:rsid w:val="00907074"/>
    <w:rsid w:val="0090762B"/>
    <w:rsid w:val="009076FF"/>
    <w:rsid w:val="00907B28"/>
    <w:rsid w:val="00907C23"/>
    <w:rsid w:val="009100A6"/>
    <w:rsid w:val="0091012C"/>
    <w:rsid w:val="00910619"/>
    <w:rsid w:val="0091083A"/>
    <w:rsid w:val="00910AD7"/>
    <w:rsid w:val="00910B23"/>
    <w:rsid w:val="009110B4"/>
    <w:rsid w:val="00911A95"/>
    <w:rsid w:val="00911D5C"/>
    <w:rsid w:val="00911E07"/>
    <w:rsid w:val="00912CC0"/>
    <w:rsid w:val="00912EEC"/>
    <w:rsid w:val="00913100"/>
    <w:rsid w:val="0091375F"/>
    <w:rsid w:val="0091382B"/>
    <w:rsid w:val="0091383E"/>
    <w:rsid w:val="00913DB2"/>
    <w:rsid w:val="009141BD"/>
    <w:rsid w:val="00914418"/>
    <w:rsid w:val="0091455F"/>
    <w:rsid w:val="0091456A"/>
    <w:rsid w:val="00914800"/>
    <w:rsid w:val="00914BD5"/>
    <w:rsid w:val="00914C7E"/>
    <w:rsid w:val="00914F51"/>
    <w:rsid w:val="00914FF3"/>
    <w:rsid w:val="009150A1"/>
    <w:rsid w:val="009151B2"/>
    <w:rsid w:val="009154E5"/>
    <w:rsid w:val="00915D57"/>
    <w:rsid w:val="00916037"/>
    <w:rsid w:val="0091617B"/>
    <w:rsid w:val="00916410"/>
    <w:rsid w:val="009164E5"/>
    <w:rsid w:val="009166A0"/>
    <w:rsid w:val="009168BF"/>
    <w:rsid w:val="00916901"/>
    <w:rsid w:val="00916BEA"/>
    <w:rsid w:val="00916CC0"/>
    <w:rsid w:val="00916CE2"/>
    <w:rsid w:val="00916E6F"/>
    <w:rsid w:val="0091748C"/>
    <w:rsid w:val="009174CD"/>
    <w:rsid w:val="0091768F"/>
    <w:rsid w:val="009178D9"/>
    <w:rsid w:val="00917A19"/>
    <w:rsid w:val="00917C94"/>
    <w:rsid w:val="00917CBC"/>
    <w:rsid w:val="00917FB5"/>
    <w:rsid w:val="009202D2"/>
    <w:rsid w:val="009204F6"/>
    <w:rsid w:val="0092060E"/>
    <w:rsid w:val="00921079"/>
    <w:rsid w:val="009212C4"/>
    <w:rsid w:val="0092138E"/>
    <w:rsid w:val="009218A1"/>
    <w:rsid w:val="00921A30"/>
    <w:rsid w:val="00921D62"/>
    <w:rsid w:val="00921EC5"/>
    <w:rsid w:val="009220EA"/>
    <w:rsid w:val="00922136"/>
    <w:rsid w:val="0092221C"/>
    <w:rsid w:val="00922329"/>
    <w:rsid w:val="009224BF"/>
    <w:rsid w:val="009225B2"/>
    <w:rsid w:val="0092285E"/>
    <w:rsid w:val="00922BCC"/>
    <w:rsid w:val="00922BF4"/>
    <w:rsid w:val="00922FF4"/>
    <w:rsid w:val="00923344"/>
    <w:rsid w:val="00923473"/>
    <w:rsid w:val="00923947"/>
    <w:rsid w:val="00923BDA"/>
    <w:rsid w:val="00923C26"/>
    <w:rsid w:val="00923D56"/>
    <w:rsid w:val="00923FE9"/>
    <w:rsid w:val="00924524"/>
    <w:rsid w:val="00924FEA"/>
    <w:rsid w:val="009251B3"/>
    <w:rsid w:val="00925677"/>
    <w:rsid w:val="009256AE"/>
    <w:rsid w:val="009258D7"/>
    <w:rsid w:val="00925EC8"/>
    <w:rsid w:val="00925ECF"/>
    <w:rsid w:val="00926393"/>
    <w:rsid w:val="009264DC"/>
    <w:rsid w:val="00926535"/>
    <w:rsid w:val="00926575"/>
    <w:rsid w:val="009265D6"/>
    <w:rsid w:val="00926674"/>
    <w:rsid w:val="009266E0"/>
    <w:rsid w:val="00926990"/>
    <w:rsid w:val="00927046"/>
    <w:rsid w:val="009272BC"/>
    <w:rsid w:val="009272DD"/>
    <w:rsid w:val="0092775E"/>
    <w:rsid w:val="00927C98"/>
    <w:rsid w:val="00927D05"/>
    <w:rsid w:val="00927F37"/>
    <w:rsid w:val="00930116"/>
    <w:rsid w:val="00930374"/>
    <w:rsid w:val="009303FC"/>
    <w:rsid w:val="0093041D"/>
    <w:rsid w:val="0093083D"/>
    <w:rsid w:val="00930A9A"/>
    <w:rsid w:val="00930D06"/>
    <w:rsid w:val="00930D34"/>
    <w:rsid w:val="00930FD2"/>
    <w:rsid w:val="009310D1"/>
    <w:rsid w:val="0093115A"/>
    <w:rsid w:val="00931A42"/>
    <w:rsid w:val="00931BCA"/>
    <w:rsid w:val="00931E0D"/>
    <w:rsid w:val="009321E8"/>
    <w:rsid w:val="0093242F"/>
    <w:rsid w:val="009327CD"/>
    <w:rsid w:val="0093280A"/>
    <w:rsid w:val="00932811"/>
    <w:rsid w:val="009329FD"/>
    <w:rsid w:val="00932B8D"/>
    <w:rsid w:val="00932F8E"/>
    <w:rsid w:val="009330A8"/>
    <w:rsid w:val="00933400"/>
    <w:rsid w:val="009334FD"/>
    <w:rsid w:val="00933528"/>
    <w:rsid w:val="0093364A"/>
    <w:rsid w:val="00933A98"/>
    <w:rsid w:val="00933DBE"/>
    <w:rsid w:val="009343FF"/>
    <w:rsid w:val="00934400"/>
    <w:rsid w:val="0093446C"/>
    <w:rsid w:val="00934A3E"/>
    <w:rsid w:val="00934B94"/>
    <w:rsid w:val="00934E9F"/>
    <w:rsid w:val="0093533F"/>
    <w:rsid w:val="00935C08"/>
    <w:rsid w:val="00936439"/>
    <w:rsid w:val="0093663A"/>
    <w:rsid w:val="00936D7D"/>
    <w:rsid w:val="00936D9C"/>
    <w:rsid w:val="00936E68"/>
    <w:rsid w:val="00936E97"/>
    <w:rsid w:val="0093734D"/>
    <w:rsid w:val="009374CE"/>
    <w:rsid w:val="0093750E"/>
    <w:rsid w:val="00937575"/>
    <w:rsid w:val="009375A5"/>
    <w:rsid w:val="0093760B"/>
    <w:rsid w:val="00937C27"/>
    <w:rsid w:val="00937CC0"/>
    <w:rsid w:val="00937D72"/>
    <w:rsid w:val="00940070"/>
    <w:rsid w:val="0094040D"/>
    <w:rsid w:val="0094054B"/>
    <w:rsid w:val="0094087E"/>
    <w:rsid w:val="00940891"/>
    <w:rsid w:val="00940DA6"/>
    <w:rsid w:val="009412D4"/>
    <w:rsid w:val="00941730"/>
    <w:rsid w:val="00941BE4"/>
    <w:rsid w:val="00941C7A"/>
    <w:rsid w:val="00941CFB"/>
    <w:rsid w:val="00941D83"/>
    <w:rsid w:val="00941E82"/>
    <w:rsid w:val="0094232B"/>
    <w:rsid w:val="00942694"/>
    <w:rsid w:val="0094287C"/>
    <w:rsid w:val="00942CD3"/>
    <w:rsid w:val="00942E0A"/>
    <w:rsid w:val="00942FC4"/>
    <w:rsid w:val="00943561"/>
    <w:rsid w:val="00943593"/>
    <w:rsid w:val="00943773"/>
    <w:rsid w:val="009439F6"/>
    <w:rsid w:val="00943A5F"/>
    <w:rsid w:val="00943B14"/>
    <w:rsid w:val="00943E3A"/>
    <w:rsid w:val="00943E95"/>
    <w:rsid w:val="00943EAB"/>
    <w:rsid w:val="00943FC5"/>
    <w:rsid w:val="00944062"/>
    <w:rsid w:val="00944096"/>
    <w:rsid w:val="009447CF"/>
    <w:rsid w:val="00944C3D"/>
    <w:rsid w:val="009451A8"/>
    <w:rsid w:val="00945221"/>
    <w:rsid w:val="00945613"/>
    <w:rsid w:val="00946118"/>
    <w:rsid w:val="0094633C"/>
    <w:rsid w:val="0094642E"/>
    <w:rsid w:val="009469D9"/>
    <w:rsid w:val="00946E0E"/>
    <w:rsid w:val="00946F2D"/>
    <w:rsid w:val="009472EC"/>
    <w:rsid w:val="0094739A"/>
    <w:rsid w:val="009473DD"/>
    <w:rsid w:val="00947843"/>
    <w:rsid w:val="00947C6E"/>
    <w:rsid w:val="00950118"/>
    <w:rsid w:val="0095029D"/>
    <w:rsid w:val="009507A1"/>
    <w:rsid w:val="009508F7"/>
    <w:rsid w:val="00950A53"/>
    <w:rsid w:val="00950B64"/>
    <w:rsid w:val="00950CA7"/>
    <w:rsid w:val="00950F4B"/>
    <w:rsid w:val="00951318"/>
    <w:rsid w:val="0095153C"/>
    <w:rsid w:val="00951F26"/>
    <w:rsid w:val="00951F6E"/>
    <w:rsid w:val="009523FA"/>
    <w:rsid w:val="00952438"/>
    <w:rsid w:val="0095266E"/>
    <w:rsid w:val="0095283D"/>
    <w:rsid w:val="00952BDD"/>
    <w:rsid w:val="0095326F"/>
    <w:rsid w:val="009532D0"/>
    <w:rsid w:val="009532F4"/>
    <w:rsid w:val="00953348"/>
    <w:rsid w:val="00953460"/>
    <w:rsid w:val="00953687"/>
    <w:rsid w:val="00953B7C"/>
    <w:rsid w:val="009540CC"/>
    <w:rsid w:val="00954110"/>
    <w:rsid w:val="009545E1"/>
    <w:rsid w:val="00954770"/>
    <w:rsid w:val="00954BE1"/>
    <w:rsid w:val="00955063"/>
    <w:rsid w:val="009550AD"/>
    <w:rsid w:val="009551DD"/>
    <w:rsid w:val="009552FA"/>
    <w:rsid w:val="009556A1"/>
    <w:rsid w:val="00955AFB"/>
    <w:rsid w:val="00955E2A"/>
    <w:rsid w:val="00955E32"/>
    <w:rsid w:val="009563CD"/>
    <w:rsid w:val="009567B3"/>
    <w:rsid w:val="00956B50"/>
    <w:rsid w:val="00956F2B"/>
    <w:rsid w:val="00956FDF"/>
    <w:rsid w:val="009570EF"/>
    <w:rsid w:val="00957328"/>
    <w:rsid w:val="0096022E"/>
    <w:rsid w:val="00960607"/>
    <w:rsid w:val="009608BE"/>
    <w:rsid w:val="00960C64"/>
    <w:rsid w:val="00960D2D"/>
    <w:rsid w:val="00960ECB"/>
    <w:rsid w:val="0096123E"/>
    <w:rsid w:val="00961243"/>
    <w:rsid w:val="0096151A"/>
    <w:rsid w:val="009616E9"/>
    <w:rsid w:val="0096190B"/>
    <w:rsid w:val="00961D1F"/>
    <w:rsid w:val="00962013"/>
    <w:rsid w:val="009623A9"/>
    <w:rsid w:val="0096240B"/>
    <w:rsid w:val="009624A1"/>
    <w:rsid w:val="00962800"/>
    <w:rsid w:val="0096282B"/>
    <w:rsid w:val="009629CB"/>
    <w:rsid w:val="00962A58"/>
    <w:rsid w:val="00962E73"/>
    <w:rsid w:val="0096326D"/>
    <w:rsid w:val="009632BF"/>
    <w:rsid w:val="009637D2"/>
    <w:rsid w:val="009637FB"/>
    <w:rsid w:val="00963822"/>
    <w:rsid w:val="0096388B"/>
    <w:rsid w:val="00963C09"/>
    <w:rsid w:val="0096407E"/>
    <w:rsid w:val="00964426"/>
    <w:rsid w:val="00964564"/>
    <w:rsid w:val="0096485B"/>
    <w:rsid w:val="00965296"/>
    <w:rsid w:val="009652FB"/>
    <w:rsid w:val="009653BA"/>
    <w:rsid w:val="00965648"/>
    <w:rsid w:val="0096564B"/>
    <w:rsid w:val="009658B2"/>
    <w:rsid w:val="00965CE2"/>
    <w:rsid w:val="00965D11"/>
    <w:rsid w:val="00965D52"/>
    <w:rsid w:val="00965E40"/>
    <w:rsid w:val="00966490"/>
    <w:rsid w:val="0096665C"/>
    <w:rsid w:val="009666FA"/>
    <w:rsid w:val="009669EC"/>
    <w:rsid w:val="009669F4"/>
    <w:rsid w:val="00967204"/>
    <w:rsid w:val="0096735D"/>
    <w:rsid w:val="00967616"/>
    <w:rsid w:val="00967C88"/>
    <w:rsid w:val="00967D23"/>
    <w:rsid w:val="00967E58"/>
    <w:rsid w:val="00967F70"/>
    <w:rsid w:val="00967FC0"/>
    <w:rsid w:val="0097036B"/>
    <w:rsid w:val="009705BC"/>
    <w:rsid w:val="009706CB"/>
    <w:rsid w:val="009706EA"/>
    <w:rsid w:val="009707B7"/>
    <w:rsid w:val="0097087E"/>
    <w:rsid w:val="009708EB"/>
    <w:rsid w:val="00970960"/>
    <w:rsid w:val="00970ACA"/>
    <w:rsid w:val="009719AD"/>
    <w:rsid w:val="00971CD0"/>
    <w:rsid w:val="00971E9D"/>
    <w:rsid w:val="009723F3"/>
    <w:rsid w:val="00972410"/>
    <w:rsid w:val="00972C4B"/>
    <w:rsid w:val="00972D3D"/>
    <w:rsid w:val="00972DB5"/>
    <w:rsid w:val="00972F6E"/>
    <w:rsid w:val="00973018"/>
    <w:rsid w:val="009734CE"/>
    <w:rsid w:val="0097358D"/>
    <w:rsid w:val="00973632"/>
    <w:rsid w:val="00973674"/>
    <w:rsid w:val="0097372C"/>
    <w:rsid w:val="009738EE"/>
    <w:rsid w:val="00973931"/>
    <w:rsid w:val="00973ABD"/>
    <w:rsid w:val="00973E10"/>
    <w:rsid w:val="00973E1C"/>
    <w:rsid w:val="0097402E"/>
    <w:rsid w:val="00974DA9"/>
    <w:rsid w:val="00974EDD"/>
    <w:rsid w:val="00975425"/>
    <w:rsid w:val="00975579"/>
    <w:rsid w:val="0097565F"/>
    <w:rsid w:val="00975A77"/>
    <w:rsid w:val="00975B99"/>
    <w:rsid w:val="00975C3C"/>
    <w:rsid w:val="00976030"/>
    <w:rsid w:val="009769AB"/>
    <w:rsid w:val="00976ADC"/>
    <w:rsid w:val="00976BBD"/>
    <w:rsid w:val="00976BCE"/>
    <w:rsid w:val="00976C4B"/>
    <w:rsid w:val="00976D4E"/>
    <w:rsid w:val="00976DAF"/>
    <w:rsid w:val="0097705F"/>
    <w:rsid w:val="009773E8"/>
    <w:rsid w:val="009775C5"/>
    <w:rsid w:val="00977697"/>
    <w:rsid w:val="00977880"/>
    <w:rsid w:val="00977A7A"/>
    <w:rsid w:val="00977B51"/>
    <w:rsid w:val="0097F7F4"/>
    <w:rsid w:val="009803B7"/>
    <w:rsid w:val="00980ED9"/>
    <w:rsid w:val="00981487"/>
    <w:rsid w:val="00981582"/>
    <w:rsid w:val="0098159F"/>
    <w:rsid w:val="009817F1"/>
    <w:rsid w:val="00981C50"/>
    <w:rsid w:val="00981E6C"/>
    <w:rsid w:val="00981E88"/>
    <w:rsid w:val="00982478"/>
    <w:rsid w:val="00982627"/>
    <w:rsid w:val="00982770"/>
    <w:rsid w:val="00982BEA"/>
    <w:rsid w:val="009830C2"/>
    <w:rsid w:val="009832D6"/>
    <w:rsid w:val="00983408"/>
    <w:rsid w:val="00983506"/>
    <w:rsid w:val="0098362A"/>
    <w:rsid w:val="009837D9"/>
    <w:rsid w:val="00983860"/>
    <w:rsid w:val="009839CA"/>
    <w:rsid w:val="009839DC"/>
    <w:rsid w:val="00983A41"/>
    <w:rsid w:val="00983B18"/>
    <w:rsid w:val="00983B80"/>
    <w:rsid w:val="00983BE3"/>
    <w:rsid w:val="00983CE3"/>
    <w:rsid w:val="00983D6A"/>
    <w:rsid w:val="00983D6E"/>
    <w:rsid w:val="00983E5A"/>
    <w:rsid w:val="00983F02"/>
    <w:rsid w:val="009841B1"/>
    <w:rsid w:val="00984204"/>
    <w:rsid w:val="0098452F"/>
    <w:rsid w:val="0098459E"/>
    <w:rsid w:val="00984933"/>
    <w:rsid w:val="009849AE"/>
    <w:rsid w:val="00984A35"/>
    <w:rsid w:val="00984C85"/>
    <w:rsid w:val="00984E89"/>
    <w:rsid w:val="00984F99"/>
    <w:rsid w:val="009854EC"/>
    <w:rsid w:val="00985679"/>
    <w:rsid w:val="0098585D"/>
    <w:rsid w:val="009858D4"/>
    <w:rsid w:val="00985D90"/>
    <w:rsid w:val="00986784"/>
    <w:rsid w:val="009867E5"/>
    <w:rsid w:val="00986818"/>
    <w:rsid w:val="00986B8B"/>
    <w:rsid w:val="00986C1B"/>
    <w:rsid w:val="00986EBC"/>
    <w:rsid w:val="00987001"/>
    <w:rsid w:val="0098794B"/>
    <w:rsid w:val="00987E3F"/>
    <w:rsid w:val="00987E44"/>
    <w:rsid w:val="00990112"/>
    <w:rsid w:val="009903C2"/>
    <w:rsid w:val="0099040E"/>
    <w:rsid w:val="0099045C"/>
    <w:rsid w:val="00990534"/>
    <w:rsid w:val="00990970"/>
    <w:rsid w:val="00990E11"/>
    <w:rsid w:val="00990FCB"/>
    <w:rsid w:val="0099139A"/>
    <w:rsid w:val="009914F0"/>
    <w:rsid w:val="009919E0"/>
    <w:rsid w:val="00991AB2"/>
    <w:rsid w:val="00991CE7"/>
    <w:rsid w:val="00991F51"/>
    <w:rsid w:val="009924FA"/>
    <w:rsid w:val="009925A5"/>
    <w:rsid w:val="009925C5"/>
    <w:rsid w:val="0099298B"/>
    <w:rsid w:val="00992A13"/>
    <w:rsid w:val="00992A77"/>
    <w:rsid w:val="00992BC4"/>
    <w:rsid w:val="00992C65"/>
    <w:rsid w:val="00992D6A"/>
    <w:rsid w:val="00992E6F"/>
    <w:rsid w:val="00993029"/>
    <w:rsid w:val="009936F2"/>
    <w:rsid w:val="00993749"/>
    <w:rsid w:val="00993775"/>
    <w:rsid w:val="0099388E"/>
    <w:rsid w:val="0099391D"/>
    <w:rsid w:val="00993B02"/>
    <w:rsid w:val="00993D0A"/>
    <w:rsid w:val="00993D76"/>
    <w:rsid w:val="00993DCC"/>
    <w:rsid w:val="00993E42"/>
    <w:rsid w:val="009940FE"/>
    <w:rsid w:val="00994413"/>
    <w:rsid w:val="00994989"/>
    <w:rsid w:val="00994C14"/>
    <w:rsid w:val="00994DBE"/>
    <w:rsid w:val="00994EAE"/>
    <w:rsid w:val="00995396"/>
    <w:rsid w:val="009955A8"/>
    <w:rsid w:val="00995676"/>
    <w:rsid w:val="0099567E"/>
    <w:rsid w:val="00995921"/>
    <w:rsid w:val="00995955"/>
    <w:rsid w:val="009959C7"/>
    <w:rsid w:val="009959CB"/>
    <w:rsid w:val="00995A47"/>
    <w:rsid w:val="00995AD1"/>
    <w:rsid w:val="00995D35"/>
    <w:rsid w:val="00995D58"/>
    <w:rsid w:val="00995E0C"/>
    <w:rsid w:val="00996147"/>
    <w:rsid w:val="00996D0B"/>
    <w:rsid w:val="00996DE0"/>
    <w:rsid w:val="00996EF6"/>
    <w:rsid w:val="0099703F"/>
    <w:rsid w:val="00997398"/>
    <w:rsid w:val="009974B6"/>
    <w:rsid w:val="0099762B"/>
    <w:rsid w:val="00997865"/>
    <w:rsid w:val="009978CA"/>
    <w:rsid w:val="00997A0C"/>
    <w:rsid w:val="00997A54"/>
    <w:rsid w:val="00997B95"/>
    <w:rsid w:val="00997D02"/>
    <w:rsid w:val="00997D52"/>
    <w:rsid w:val="00997EC4"/>
    <w:rsid w:val="00997F00"/>
    <w:rsid w:val="009A02F8"/>
    <w:rsid w:val="009A03BE"/>
    <w:rsid w:val="009A03CB"/>
    <w:rsid w:val="009A056E"/>
    <w:rsid w:val="009A0BD5"/>
    <w:rsid w:val="009A0DD7"/>
    <w:rsid w:val="009A0DF1"/>
    <w:rsid w:val="009A0EBD"/>
    <w:rsid w:val="009A0EF9"/>
    <w:rsid w:val="009A131B"/>
    <w:rsid w:val="009A134A"/>
    <w:rsid w:val="009A1435"/>
    <w:rsid w:val="009A14A9"/>
    <w:rsid w:val="009A16B3"/>
    <w:rsid w:val="009A17A0"/>
    <w:rsid w:val="009A1A12"/>
    <w:rsid w:val="009A1A3F"/>
    <w:rsid w:val="009A1BB3"/>
    <w:rsid w:val="009A1BFD"/>
    <w:rsid w:val="009A1D50"/>
    <w:rsid w:val="009A1E93"/>
    <w:rsid w:val="009A1F41"/>
    <w:rsid w:val="009A20AA"/>
    <w:rsid w:val="009A212E"/>
    <w:rsid w:val="009A24FE"/>
    <w:rsid w:val="009A265A"/>
    <w:rsid w:val="009A2AB1"/>
    <w:rsid w:val="009A2C9A"/>
    <w:rsid w:val="009A2D19"/>
    <w:rsid w:val="009A306F"/>
    <w:rsid w:val="009A32A2"/>
    <w:rsid w:val="009A3322"/>
    <w:rsid w:val="009A36D9"/>
    <w:rsid w:val="009A3BD0"/>
    <w:rsid w:val="009A3F73"/>
    <w:rsid w:val="009A3FF0"/>
    <w:rsid w:val="009A40E5"/>
    <w:rsid w:val="009A4185"/>
    <w:rsid w:val="009A49BC"/>
    <w:rsid w:val="009A4A2D"/>
    <w:rsid w:val="009A4B47"/>
    <w:rsid w:val="009A4F0F"/>
    <w:rsid w:val="009A5200"/>
    <w:rsid w:val="009A53EB"/>
    <w:rsid w:val="009A55A1"/>
    <w:rsid w:val="009A5A69"/>
    <w:rsid w:val="009A5B83"/>
    <w:rsid w:val="009A5CF3"/>
    <w:rsid w:val="009A5F2F"/>
    <w:rsid w:val="009A6C2F"/>
    <w:rsid w:val="009A7082"/>
    <w:rsid w:val="009A70AA"/>
    <w:rsid w:val="009A7244"/>
    <w:rsid w:val="009A728F"/>
    <w:rsid w:val="009A72E7"/>
    <w:rsid w:val="009A7524"/>
    <w:rsid w:val="009A795A"/>
    <w:rsid w:val="009A79DA"/>
    <w:rsid w:val="009A7AF7"/>
    <w:rsid w:val="009A7FD9"/>
    <w:rsid w:val="009B00EA"/>
    <w:rsid w:val="009B018F"/>
    <w:rsid w:val="009B0208"/>
    <w:rsid w:val="009B043C"/>
    <w:rsid w:val="009B05A9"/>
    <w:rsid w:val="009B0770"/>
    <w:rsid w:val="009B087F"/>
    <w:rsid w:val="009B093D"/>
    <w:rsid w:val="009B09A0"/>
    <w:rsid w:val="009B0B98"/>
    <w:rsid w:val="009B0DB4"/>
    <w:rsid w:val="009B0DB5"/>
    <w:rsid w:val="009B1274"/>
    <w:rsid w:val="009B1335"/>
    <w:rsid w:val="009B139D"/>
    <w:rsid w:val="009B14C0"/>
    <w:rsid w:val="009B1553"/>
    <w:rsid w:val="009B1637"/>
    <w:rsid w:val="009B1C0E"/>
    <w:rsid w:val="009B2054"/>
    <w:rsid w:val="009B2204"/>
    <w:rsid w:val="009B24AF"/>
    <w:rsid w:val="009B26B1"/>
    <w:rsid w:val="009B2CFD"/>
    <w:rsid w:val="009B2D86"/>
    <w:rsid w:val="009B2F50"/>
    <w:rsid w:val="009B36E6"/>
    <w:rsid w:val="009B384D"/>
    <w:rsid w:val="009B3F4F"/>
    <w:rsid w:val="009B4186"/>
    <w:rsid w:val="009B42AC"/>
    <w:rsid w:val="009B46BD"/>
    <w:rsid w:val="009B47A1"/>
    <w:rsid w:val="009B4B47"/>
    <w:rsid w:val="009B550C"/>
    <w:rsid w:val="009B5582"/>
    <w:rsid w:val="009B5829"/>
    <w:rsid w:val="009B5D95"/>
    <w:rsid w:val="009B6353"/>
    <w:rsid w:val="009B6697"/>
    <w:rsid w:val="009B6B90"/>
    <w:rsid w:val="009B6D82"/>
    <w:rsid w:val="009B6E75"/>
    <w:rsid w:val="009B6F6D"/>
    <w:rsid w:val="009B7222"/>
    <w:rsid w:val="009B73EF"/>
    <w:rsid w:val="009B7923"/>
    <w:rsid w:val="009B7A51"/>
    <w:rsid w:val="009B7B13"/>
    <w:rsid w:val="009B7C40"/>
    <w:rsid w:val="009B7F0E"/>
    <w:rsid w:val="009C024B"/>
    <w:rsid w:val="009C0446"/>
    <w:rsid w:val="009C06C2"/>
    <w:rsid w:val="009C084F"/>
    <w:rsid w:val="009C08DD"/>
    <w:rsid w:val="009C09CB"/>
    <w:rsid w:val="009C1247"/>
    <w:rsid w:val="009C15FB"/>
    <w:rsid w:val="009C1AF5"/>
    <w:rsid w:val="009C1B99"/>
    <w:rsid w:val="009C1C2F"/>
    <w:rsid w:val="009C1C71"/>
    <w:rsid w:val="009C20DA"/>
    <w:rsid w:val="009C2250"/>
    <w:rsid w:val="009C293D"/>
    <w:rsid w:val="009C2A1A"/>
    <w:rsid w:val="009C2A54"/>
    <w:rsid w:val="009C2ACC"/>
    <w:rsid w:val="009C2AD0"/>
    <w:rsid w:val="009C2D92"/>
    <w:rsid w:val="009C2E68"/>
    <w:rsid w:val="009C2F68"/>
    <w:rsid w:val="009C2FC0"/>
    <w:rsid w:val="009C31D9"/>
    <w:rsid w:val="009C322C"/>
    <w:rsid w:val="009C3D0E"/>
    <w:rsid w:val="009C3EED"/>
    <w:rsid w:val="009C4524"/>
    <w:rsid w:val="009C4941"/>
    <w:rsid w:val="009C4AC7"/>
    <w:rsid w:val="009C4BAE"/>
    <w:rsid w:val="009C4F17"/>
    <w:rsid w:val="009C4F1E"/>
    <w:rsid w:val="009C5203"/>
    <w:rsid w:val="009C572C"/>
    <w:rsid w:val="009C59E9"/>
    <w:rsid w:val="009C5F30"/>
    <w:rsid w:val="009C6201"/>
    <w:rsid w:val="009C634B"/>
    <w:rsid w:val="009C639B"/>
    <w:rsid w:val="009C646D"/>
    <w:rsid w:val="009C65F1"/>
    <w:rsid w:val="009C66F4"/>
    <w:rsid w:val="009C67A1"/>
    <w:rsid w:val="009C7266"/>
    <w:rsid w:val="009C7937"/>
    <w:rsid w:val="009C7D87"/>
    <w:rsid w:val="009D0364"/>
    <w:rsid w:val="009D04C8"/>
    <w:rsid w:val="009D04D1"/>
    <w:rsid w:val="009D05E6"/>
    <w:rsid w:val="009D061D"/>
    <w:rsid w:val="009D0778"/>
    <w:rsid w:val="009D1015"/>
    <w:rsid w:val="009D105D"/>
    <w:rsid w:val="009D1157"/>
    <w:rsid w:val="009D1D70"/>
    <w:rsid w:val="009D1EA2"/>
    <w:rsid w:val="009D21BD"/>
    <w:rsid w:val="009D263B"/>
    <w:rsid w:val="009D26EF"/>
    <w:rsid w:val="009D27FE"/>
    <w:rsid w:val="009D2898"/>
    <w:rsid w:val="009D2FAA"/>
    <w:rsid w:val="009D30B5"/>
    <w:rsid w:val="009D314F"/>
    <w:rsid w:val="009D33B1"/>
    <w:rsid w:val="009D3504"/>
    <w:rsid w:val="009D3701"/>
    <w:rsid w:val="009D3B9B"/>
    <w:rsid w:val="009D3D7E"/>
    <w:rsid w:val="009D3F87"/>
    <w:rsid w:val="009D4D40"/>
    <w:rsid w:val="009D4EED"/>
    <w:rsid w:val="009D526F"/>
    <w:rsid w:val="009D5A83"/>
    <w:rsid w:val="009D5DAC"/>
    <w:rsid w:val="009D5E1C"/>
    <w:rsid w:val="009D5F79"/>
    <w:rsid w:val="009D6271"/>
    <w:rsid w:val="009D62DF"/>
    <w:rsid w:val="009D65F8"/>
    <w:rsid w:val="009D67BE"/>
    <w:rsid w:val="009D6CB3"/>
    <w:rsid w:val="009D729B"/>
    <w:rsid w:val="009D7639"/>
    <w:rsid w:val="009D7678"/>
    <w:rsid w:val="009D7689"/>
    <w:rsid w:val="009D7860"/>
    <w:rsid w:val="009D7904"/>
    <w:rsid w:val="009D7AF9"/>
    <w:rsid w:val="009E02F7"/>
    <w:rsid w:val="009E03CE"/>
    <w:rsid w:val="009E059A"/>
    <w:rsid w:val="009E0755"/>
    <w:rsid w:val="009E07E7"/>
    <w:rsid w:val="009E0AD4"/>
    <w:rsid w:val="009E0E3A"/>
    <w:rsid w:val="009E0EC6"/>
    <w:rsid w:val="009E0F8A"/>
    <w:rsid w:val="009E10C7"/>
    <w:rsid w:val="009E11AF"/>
    <w:rsid w:val="009E14AF"/>
    <w:rsid w:val="009E17A1"/>
    <w:rsid w:val="009E188D"/>
    <w:rsid w:val="009E191E"/>
    <w:rsid w:val="009E1948"/>
    <w:rsid w:val="009E1D73"/>
    <w:rsid w:val="009E1D90"/>
    <w:rsid w:val="009E20FD"/>
    <w:rsid w:val="009E2185"/>
    <w:rsid w:val="009E21DB"/>
    <w:rsid w:val="009E2261"/>
    <w:rsid w:val="009E2989"/>
    <w:rsid w:val="009E2A06"/>
    <w:rsid w:val="009E2A1F"/>
    <w:rsid w:val="009E2C54"/>
    <w:rsid w:val="009E317D"/>
    <w:rsid w:val="009E3284"/>
    <w:rsid w:val="009E347C"/>
    <w:rsid w:val="009E3630"/>
    <w:rsid w:val="009E3AFA"/>
    <w:rsid w:val="009E3D21"/>
    <w:rsid w:val="009E3E19"/>
    <w:rsid w:val="009E3FB8"/>
    <w:rsid w:val="009E4304"/>
    <w:rsid w:val="009E446B"/>
    <w:rsid w:val="009E48C7"/>
    <w:rsid w:val="009E4CCB"/>
    <w:rsid w:val="009E514F"/>
    <w:rsid w:val="009E564B"/>
    <w:rsid w:val="009E56A1"/>
    <w:rsid w:val="009E5AE9"/>
    <w:rsid w:val="009E5F04"/>
    <w:rsid w:val="009E5F5B"/>
    <w:rsid w:val="009E6033"/>
    <w:rsid w:val="009E6055"/>
    <w:rsid w:val="009E622C"/>
    <w:rsid w:val="009E62A9"/>
    <w:rsid w:val="009E6306"/>
    <w:rsid w:val="009E63B8"/>
    <w:rsid w:val="009E63FA"/>
    <w:rsid w:val="009E6519"/>
    <w:rsid w:val="009E67F6"/>
    <w:rsid w:val="009E6943"/>
    <w:rsid w:val="009E6B53"/>
    <w:rsid w:val="009E6C6A"/>
    <w:rsid w:val="009E6D28"/>
    <w:rsid w:val="009E6D50"/>
    <w:rsid w:val="009E6F63"/>
    <w:rsid w:val="009E6FD4"/>
    <w:rsid w:val="009E7063"/>
    <w:rsid w:val="009E7105"/>
    <w:rsid w:val="009E730B"/>
    <w:rsid w:val="009E73D4"/>
    <w:rsid w:val="009E740E"/>
    <w:rsid w:val="009E766A"/>
    <w:rsid w:val="009E7B71"/>
    <w:rsid w:val="009E7FB1"/>
    <w:rsid w:val="009F00A6"/>
    <w:rsid w:val="009F01D7"/>
    <w:rsid w:val="009F0489"/>
    <w:rsid w:val="009F068E"/>
    <w:rsid w:val="009F0D29"/>
    <w:rsid w:val="009F0ECD"/>
    <w:rsid w:val="009F10C8"/>
    <w:rsid w:val="009F1461"/>
    <w:rsid w:val="009F151E"/>
    <w:rsid w:val="009F158A"/>
    <w:rsid w:val="009F1679"/>
    <w:rsid w:val="009F1924"/>
    <w:rsid w:val="009F1B41"/>
    <w:rsid w:val="009F2070"/>
    <w:rsid w:val="009F2160"/>
    <w:rsid w:val="009F23C1"/>
    <w:rsid w:val="009F2CBB"/>
    <w:rsid w:val="009F3123"/>
    <w:rsid w:val="009F35F1"/>
    <w:rsid w:val="009F3604"/>
    <w:rsid w:val="009F374C"/>
    <w:rsid w:val="009F385B"/>
    <w:rsid w:val="009F3CD2"/>
    <w:rsid w:val="009F3DF6"/>
    <w:rsid w:val="009F420F"/>
    <w:rsid w:val="009F4272"/>
    <w:rsid w:val="009F4724"/>
    <w:rsid w:val="009F4799"/>
    <w:rsid w:val="009F4867"/>
    <w:rsid w:val="009F4A54"/>
    <w:rsid w:val="009F4CAA"/>
    <w:rsid w:val="009F4DAE"/>
    <w:rsid w:val="009F503D"/>
    <w:rsid w:val="009F510F"/>
    <w:rsid w:val="009F61EE"/>
    <w:rsid w:val="009F6211"/>
    <w:rsid w:val="009F67B3"/>
    <w:rsid w:val="009F67D5"/>
    <w:rsid w:val="009F6872"/>
    <w:rsid w:val="009F68EA"/>
    <w:rsid w:val="009F6CF3"/>
    <w:rsid w:val="009F6DFD"/>
    <w:rsid w:val="009F71AD"/>
    <w:rsid w:val="009F726E"/>
    <w:rsid w:val="009F775C"/>
    <w:rsid w:val="009F777B"/>
    <w:rsid w:val="009F79E3"/>
    <w:rsid w:val="009F7B9E"/>
    <w:rsid w:val="009F7E29"/>
    <w:rsid w:val="009F7E7B"/>
    <w:rsid w:val="009F7EBA"/>
    <w:rsid w:val="009F7F13"/>
    <w:rsid w:val="00A005AE"/>
    <w:rsid w:val="00A0080D"/>
    <w:rsid w:val="00A00846"/>
    <w:rsid w:val="00A00992"/>
    <w:rsid w:val="00A0130D"/>
    <w:rsid w:val="00A01545"/>
    <w:rsid w:val="00A01649"/>
    <w:rsid w:val="00A017E8"/>
    <w:rsid w:val="00A01D10"/>
    <w:rsid w:val="00A01D77"/>
    <w:rsid w:val="00A01DBF"/>
    <w:rsid w:val="00A01DC8"/>
    <w:rsid w:val="00A01F18"/>
    <w:rsid w:val="00A01F47"/>
    <w:rsid w:val="00A020A9"/>
    <w:rsid w:val="00A02184"/>
    <w:rsid w:val="00A0229F"/>
    <w:rsid w:val="00A02C11"/>
    <w:rsid w:val="00A02CD4"/>
    <w:rsid w:val="00A032E9"/>
    <w:rsid w:val="00A033A1"/>
    <w:rsid w:val="00A0349A"/>
    <w:rsid w:val="00A034FC"/>
    <w:rsid w:val="00A038C5"/>
    <w:rsid w:val="00A03F0E"/>
    <w:rsid w:val="00A03F9D"/>
    <w:rsid w:val="00A04119"/>
    <w:rsid w:val="00A04235"/>
    <w:rsid w:val="00A053AF"/>
    <w:rsid w:val="00A056D8"/>
    <w:rsid w:val="00A058B7"/>
    <w:rsid w:val="00A05E8F"/>
    <w:rsid w:val="00A05ED8"/>
    <w:rsid w:val="00A0628A"/>
    <w:rsid w:val="00A06426"/>
    <w:rsid w:val="00A067B8"/>
    <w:rsid w:val="00A069BC"/>
    <w:rsid w:val="00A06C2C"/>
    <w:rsid w:val="00A06F6E"/>
    <w:rsid w:val="00A07049"/>
    <w:rsid w:val="00A07092"/>
    <w:rsid w:val="00A070AB"/>
    <w:rsid w:val="00A07126"/>
    <w:rsid w:val="00A073E7"/>
    <w:rsid w:val="00A07A29"/>
    <w:rsid w:val="00A07B2E"/>
    <w:rsid w:val="00A07D07"/>
    <w:rsid w:val="00A07D78"/>
    <w:rsid w:val="00A1010E"/>
    <w:rsid w:val="00A10498"/>
    <w:rsid w:val="00A1057C"/>
    <w:rsid w:val="00A10832"/>
    <w:rsid w:val="00A10D0E"/>
    <w:rsid w:val="00A11ABE"/>
    <w:rsid w:val="00A120BC"/>
    <w:rsid w:val="00A12247"/>
    <w:rsid w:val="00A124C5"/>
    <w:rsid w:val="00A1272E"/>
    <w:rsid w:val="00A12CDD"/>
    <w:rsid w:val="00A12D6A"/>
    <w:rsid w:val="00A12D93"/>
    <w:rsid w:val="00A12E24"/>
    <w:rsid w:val="00A13013"/>
    <w:rsid w:val="00A132A0"/>
    <w:rsid w:val="00A13361"/>
    <w:rsid w:val="00A137E1"/>
    <w:rsid w:val="00A137E7"/>
    <w:rsid w:val="00A1396D"/>
    <w:rsid w:val="00A13B55"/>
    <w:rsid w:val="00A1424B"/>
    <w:rsid w:val="00A147FF"/>
    <w:rsid w:val="00A14BA8"/>
    <w:rsid w:val="00A14DC7"/>
    <w:rsid w:val="00A14E52"/>
    <w:rsid w:val="00A14F2B"/>
    <w:rsid w:val="00A14F69"/>
    <w:rsid w:val="00A1537F"/>
    <w:rsid w:val="00A1544B"/>
    <w:rsid w:val="00A15538"/>
    <w:rsid w:val="00A159AE"/>
    <w:rsid w:val="00A15DBA"/>
    <w:rsid w:val="00A15ED4"/>
    <w:rsid w:val="00A15F93"/>
    <w:rsid w:val="00A160F4"/>
    <w:rsid w:val="00A16616"/>
    <w:rsid w:val="00A1681B"/>
    <w:rsid w:val="00A1687B"/>
    <w:rsid w:val="00A16B0C"/>
    <w:rsid w:val="00A16B98"/>
    <w:rsid w:val="00A16C09"/>
    <w:rsid w:val="00A16CCF"/>
    <w:rsid w:val="00A16F86"/>
    <w:rsid w:val="00A175F3"/>
    <w:rsid w:val="00A1768F"/>
    <w:rsid w:val="00A176B6"/>
    <w:rsid w:val="00A176F6"/>
    <w:rsid w:val="00A178D4"/>
    <w:rsid w:val="00A17980"/>
    <w:rsid w:val="00A2002A"/>
    <w:rsid w:val="00A20507"/>
    <w:rsid w:val="00A209AF"/>
    <w:rsid w:val="00A20CA6"/>
    <w:rsid w:val="00A2102F"/>
    <w:rsid w:val="00A2148B"/>
    <w:rsid w:val="00A21669"/>
    <w:rsid w:val="00A216B2"/>
    <w:rsid w:val="00A217EE"/>
    <w:rsid w:val="00A21999"/>
    <w:rsid w:val="00A21F51"/>
    <w:rsid w:val="00A2248A"/>
    <w:rsid w:val="00A225B6"/>
    <w:rsid w:val="00A226A0"/>
    <w:rsid w:val="00A22786"/>
    <w:rsid w:val="00A227A5"/>
    <w:rsid w:val="00A22A59"/>
    <w:rsid w:val="00A22AAB"/>
    <w:rsid w:val="00A22ABA"/>
    <w:rsid w:val="00A22D0C"/>
    <w:rsid w:val="00A22D34"/>
    <w:rsid w:val="00A22EB9"/>
    <w:rsid w:val="00A2326C"/>
    <w:rsid w:val="00A23507"/>
    <w:rsid w:val="00A23520"/>
    <w:rsid w:val="00A23732"/>
    <w:rsid w:val="00A23828"/>
    <w:rsid w:val="00A23C8D"/>
    <w:rsid w:val="00A24500"/>
    <w:rsid w:val="00A2450E"/>
    <w:rsid w:val="00A24771"/>
    <w:rsid w:val="00A2478B"/>
    <w:rsid w:val="00A24915"/>
    <w:rsid w:val="00A25416"/>
    <w:rsid w:val="00A25538"/>
    <w:rsid w:val="00A2573F"/>
    <w:rsid w:val="00A25A7A"/>
    <w:rsid w:val="00A25A82"/>
    <w:rsid w:val="00A25BC4"/>
    <w:rsid w:val="00A25BD8"/>
    <w:rsid w:val="00A25D9A"/>
    <w:rsid w:val="00A25E69"/>
    <w:rsid w:val="00A25EE6"/>
    <w:rsid w:val="00A25F3F"/>
    <w:rsid w:val="00A260BA"/>
    <w:rsid w:val="00A26394"/>
    <w:rsid w:val="00A26B75"/>
    <w:rsid w:val="00A26C41"/>
    <w:rsid w:val="00A26F0C"/>
    <w:rsid w:val="00A270E7"/>
    <w:rsid w:val="00A27200"/>
    <w:rsid w:val="00A2721F"/>
    <w:rsid w:val="00A2752C"/>
    <w:rsid w:val="00A27BE7"/>
    <w:rsid w:val="00A3003B"/>
    <w:rsid w:val="00A3013F"/>
    <w:rsid w:val="00A3015A"/>
    <w:rsid w:val="00A303D4"/>
    <w:rsid w:val="00A30490"/>
    <w:rsid w:val="00A3065F"/>
    <w:rsid w:val="00A30752"/>
    <w:rsid w:val="00A307A2"/>
    <w:rsid w:val="00A3086A"/>
    <w:rsid w:val="00A308C4"/>
    <w:rsid w:val="00A30C68"/>
    <w:rsid w:val="00A312D5"/>
    <w:rsid w:val="00A319B2"/>
    <w:rsid w:val="00A32789"/>
    <w:rsid w:val="00A32A59"/>
    <w:rsid w:val="00A32AA5"/>
    <w:rsid w:val="00A32B79"/>
    <w:rsid w:val="00A32CA9"/>
    <w:rsid w:val="00A32E2F"/>
    <w:rsid w:val="00A32EC5"/>
    <w:rsid w:val="00A333AB"/>
    <w:rsid w:val="00A333C3"/>
    <w:rsid w:val="00A33896"/>
    <w:rsid w:val="00A338A5"/>
    <w:rsid w:val="00A33D60"/>
    <w:rsid w:val="00A3407F"/>
    <w:rsid w:val="00A3415F"/>
    <w:rsid w:val="00A342D9"/>
    <w:rsid w:val="00A3445B"/>
    <w:rsid w:val="00A344F2"/>
    <w:rsid w:val="00A347AD"/>
    <w:rsid w:val="00A349F6"/>
    <w:rsid w:val="00A34BF9"/>
    <w:rsid w:val="00A34D5A"/>
    <w:rsid w:val="00A34D85"/>
    <w:rsid w:val="00A3504F"/>
    <w:rsid w:val="00A351B3"/>
    <w:rsid w:val="00A35478"/>
    <w:rsid w:val="00A355BE"/>
    <w:rsid w:val="00A35A54"/>
    <w:rsid w:val="00A35A5F"/>
    <w:rsid w:val="00A35B97"/>
    <w:rsid w:val="00A35CFA"/>
    <w:rsid w:val="00A35D33"/>
    <w:rsid w:val="00A35DFE"/>
    <w:rsid w:val="00A3623C"/>
    <w:rsid w:val="00A36304"/>
    <w:rsid w:val="00A3679F"/>
    <w:rsid w:val="00A368D3"/>
    <w:rsid w:val="00A36981"/>
    <w:rsid w:val="00A369DE"/>
    <w:rsid w:val="00A36AAB"/>
    <w:rsid w:val="00A36B57"/>
    <w:rsid w:val="00A36C63"/>
    <w:rsid w:val="00A36FDF"/>
    <w:rsid w:val="00A370C5"/>
    <w:rsid w:val="00A37676"/>
    <w:rsid w:val="00A37890"/>
    <w:rsid w:val="00A37ACA"/>
    <w:rsid w:val="00A401FE"/>
    <w:rsid w:val="00A404F6"/>
    <w:rsid w:val="00A40AE1"/>
    <w:rsid w:val="00A40AFB"/>
    <w:rsid w:val="00A40BC1"/>
    <w:rsid w:val="00A40E76"/>
    <w:rsid w:val="00A40EA5"/>
    <w:rsid w:val="00A41007"/>
    <w:rsid w:val="00A411BF"/>
    <w:rsid w:val="00A41A14"/>
    <w:rsid w:val="00A41E20"/>
    <w:rsid w:val="00A41F61"/>
    <w:rsid w:val="00A4225D"/>
    <w:rsid w:val="00A4225E"/>
    <w:rsid w:val="00A42351"/>
    <w:rsid w:val="00A425AB"/>
    <w:rsid w:val="00A42A40"/>
    <w:rsid w:val="00A42A6F"/>
    <w:rsid w:val="00A42B4B"/>
    <w:rsid w:val="00A42B9A"/>
    <w:rsid w:val="00A42FF5"/>
    <w:rsid w:val="00A430BC"/>
    <w:rsid w:val="00A4312F"/>
    <w:rsid w:val="00A43226"/>
    <w:rsid w:val="00A4327D"/>
    <w:rsid w:val="00A4333C"/>
    <w:rsid w:val="00A434A1"/>
    <w:rsid w:val="00A436B3"/>
    <w:rsid w:val="00A436F8"/>
    <w:rsid w:val="00A438B2"/>
    <w:rsid w:val="00A43E86"/>
    <w:rsid w:val="00A44513"/>
    <w:rsid w:val="00A4459B"/>
    <w:rsid w:val="00A44A6D"/>
    <w:rsid w:val="00A44A76"/>
    <w:rsid w:val="00A44B4C"/>
    <w:rsid w:val="00A44DD6"/>
    <w:rsid w:val="00A4512F"/>
    <w:rsid w:val="00A45339"/>
    <w:rsid w:val="00A4539D"/>
    <w:rsid w:val="00A45C09"/>
    <w:rsid w:val="00A46053"/>
    <w:rsid w:val="00A46441"/>
    <w:rsid w:val="00A46817"/>
    <w:rsid w:val="00A46AE2"/>
    <w:rsid w:val="00A46E09"/>
    <w:rsid w:val="00A46F46"/>
    <w:rsid w:val="00A474DA"/>
    <w:rsid w:val="00A47633"/>
    <w:rsid w:val="00A4773D"/>
    <w:rsid w:val="00A47784"/>
    <w:rsid w:val="00A4796B"/>
    <w:rsid w:val="00A47DAE"/>
    <w:rsid w:val="00A501F3"/>
    <w:rsid w:val="00A50814"/>
    <w:rsid w:val="00A50AEA"/>
    <w:rsid w:val="00A50D3B"/>
    <w:rsid w:val="00A50E5A"/>
    <w:rsid w:val="00A50F31"/>
    <w:rsid w:val="00A510BC"/>
    <w:rsid w:val="00A5115C"/>
    <w:rsid w:val="00A51415"/>
    <w:rsid w:val="00A516FC"/>
    <w:rsid w:val="00A51751"/>
    <w:rsid w:val="00A51C12"/>
    <w:rsid w:val="00A51F68"/>
    <w:rsid w:val="00A51F98"/>
    <w:rsid w:val="00A5252F"/>
    <w:rsid w:val="00A5262B"/>
    <w:rsid w:val="00A526B3"/>
    <w:rsid w:val="00A52758"/>
    <w:rsid w:val="00A52FE7"/>
    <w:rsid w:val="00A531CA"/>
    <w:rsid w:val="00A5320D"/>
    <w:rsid w:val="00A535F5"/>
    <w:rsid w:val="00A536F4"/>
    <w:rsid w:val="00A5375D"/>
    <w:rsid w:val="00A53A44"/>
    <w:rsid w:val="00A542F3"/>
    <w:rsid w:val="00A54760"/>
    <w:rsid w:val="00A547B8"/>
    <w:rsid w:val="00A548C5"/>
    <w:rsid w:val="00A5490E"/>
    <w:rsid w:val="00A54EAE"/>
    <w:rsid w:val="00A554EB"/>
    <w:rsid w:val="00A555B8"/>
    <w:rsid w:val="00A55919"/>
    <w:rsid w:val="00A55A40"/>
    <w:rsid w:val="00A55AD1"/>
    <w:rsid w:val="00A55F5E"/>
    <w:rsid w:val="00A55F73"/>
    <w:rsid w:val="00A56096"/>
    <w:rsid w:val="00A565A1"/>
    <w:rsid w:val="00A5665D"/>
    <w:rsid w:val="00A56EFA"/>
    <w:rsid w:val="00A57343"/>
    <w:rsid w:val="00A5749F"/>
    <w:rsid w:val="00A57876"/>
    <w:rsid w:val="00A57C3C"/>
    <w:rsid w:val="00A57CA5"/>
    <w:rsid w:val="00A57D7B"/>
    <w:rsid w:val="00A60055"/>
    <w:rsid w:val="00A6009D"/>
    <w:rsid w:val="00A600D0"/>
    <w:rsid w:val="00A60115"/>
    <w:rsid w:val="00A60240"/>
    <w:rsid w:val="00A60A3C"/>
    <w:rsid w:val="00A60C46"/>
    <w:rsid w:val="00A60D35"/>
    <w:rsid w:val="00A60E71"/>
    <w:rsid w:val="00A6195F"/>
    <w:rsid w:val="00A61998"/>
    <w:rsid w:val="00A61A40"/>
    <w:rsid w:val="00A61CC3"/>
    <w:rsid w:val="00A61EB9"/>
    <w:rsid w:val="00A6210E"/>
    <w:rsid w:val="00A621AE"/>
    <w:rsid w:val="00A621EB"/>
    <w:rsid w:val="00A62270"/>
    <w:rsid w:val="00A624AE"/>
    <w:rsid w:val="00A625A8"/>
    <w:rsid w:val="00A625BD"/>
    <w:rsid w:val="00A625C7"/>
    <w:rsid w:val="00A6277D"/>
    <w:rsid w:val="00A627C5"/>
    <w:rsid w:val="00A628CF"/>
    <w:rsid w:val="00A62ED8"/>
    <w:rsid w:val="00A62EFB"/>
    <w:rsid w:val="00A6323A"/>
    <w:rsid w:val="00A63750"/>
    <w:rsid w:val="00A63E8E"/>
    <w:rsid w:val="00A641B2"/>
    <w:rsid w:val="00A6429E"/>
    <w:rsid w:val="00A6459E"/>
    <w:rsid w:val="00A648CA"/>
    <w:rsid w:val="00A64E37"/>
    <w:rsid w:val="00A64EDF"/>
    <w:rsid w:val="00A6556C"/>
    <w:rsid w:val="00A655B3"/>
    <w:rsid w:val="00A6563D"/>
    <w:rsid w:val="00A6596B"/>
    <w:rsid w:val="00A65CAE"/>
    <w:rsid w:val="00A65DC7"/>
    <w:rsid w:val="00A669E4"/>
    <w:rsid w:val="00A66A52"/>
    <w:rsid w:val="00A66AFF"/>
    <w:rsid w:val="00A66C6B"/>
    <w:rsid w:val="00A67438"/>
    <w:rsid w:val="00A6779F"/>
    <w:rsid w:val="00A67E45"/>
    <w:rsid w:val="00A67E84"/>
    <w:rsid w:val="00A67E9F"/>
    <w:rsid w:val="00A7056E"/>
    <w:rsid w:val="00A70B96"/>
    <w:rsid w:val="00A70C7F"/>
    <w:rsid w:val="00A71109"/>
    <w:rsid w:val="00A71285"/>
    <w:rsid w:val="00A718CF"/>
    <w:rsid w:val="00A71D1F"/>
    <w:rsid w:val="00A72673"/>
    <w:rsid w:val="00A72724"/>
    <w:rsid w:val="00A728C3"/>
    <w:rsid w:val="00A728CB"/>
    <w:rsid w:val="00A72D5E"/>
    <w:rsid w:val="00A72D8B"/>
    <w:rsid w:val="00A73073"/>
    <w:rsid w:val="00A730BD"/>
    <w:rsid w:val="00A7335F"/>
    <w:rsid w:val="00A73424"/>
    <w:rsid w:val="00A73901"/>
    <w:rsid w:val="00A73941"/>
    <w:rsid w:val="00A73A8D"/>
    <w:rsid w:val="00A73D24"/>
    <w:rsid w:val="00A73F98"/>
    <w:rsid w:val="00A74251"/>
    <w:rsid w:val="00A743D2"/>
    <w:rsid w:val="00A745EF"/>
    <w:rsid w:val="00A747C2"/>
    <w:rsid w:val="00A74C23"/>
    <w:rsid w:val="00A752C4"/>
    <w:rsid w:val="00A7537A"/>
    <w:rsid w:val="00A75768"/>
    <w:rsid w:val="00A75BBA"/>
    <w:rsid w:val="00A75E1C"/>
    <w:rsid w:val="00A76060"/>
    <w:rsid w:val="00A762AE"/>
    <w:rsid w:val="00A762D0"/>
    <w:rsid w:val="00A7636C"/>
    <w:rsid w:val="00A766BB"/>
    <w:rsid w:val="00A76722"/>
    <w:rsid w:val="00A76967"/>
    <w:rsid w:val="00A76DD1"/>
    <w:rsid w:val="00A76F44"/>
    <w:rsid w:val="00A77117"/>
    <w:rsid w:val="00A772D6"/>
    <w:rsid w:val="00A774C3"/>
    <w:rsid w:val="00A77962"/>
    <w:rsid w:val="00A779B4"/>
    <w:rsid w:val="00A77A46"/>
    <w:rsid w:val="00A77ACC"/>
    <w:rsid w:val="00A77C18"/>
    <w:rsid w:val="00A8008F"/>
    <w:rsid w:val="00A801D2"/>
    <w:rsid w:val="00A80509"/>
    <w:rsid w:val="00A80648"/>
    <w:rsid w:val="00A8071E"/>
    <w:rsid w:val="00A80A6F"/>
    <w:rsid w:val="00A80C36"/>
    <w:rsid w:val="00A80F27"/>
    <w:rsid w:val="00A814CE"/>
    <w:rsid w:val="00A814F9"/>
    <w:rsid w:val="00A8152D"/>
    <w:rsid w:val="00A815D6"/>
    <w:rsid w:val="00A815E9"/>
    <w:rsid w:val="00A819E3"/>
    <w:rsid w:val="00A82286"/>
    <w:rsid w:val="00A82E38"/>
    <w:rsid w:val="00A8322A"/>
    <w:rsid w:val="00A83718"/>
    <w:rsid w:val="00A8372C"/>
    <w:rsid w:val="00A837EB"/>
    <w:rsid w:val="00A83819"/>
    <w:rsid w:val="00A83883"/>
    <w:rsid w:val="00A83938"/>
    <w:rsid w:val="00A83F5D"/>
    <w:rsid w:val="00A83FA9"/>
    <w:rsid w:val="00A84036"/>
    <w:rsid w:val="00A843F6"/>
    <w:rsid w:val="00A8455A"/>
    <w:rsid w:val="00A84C32"/>
    <w:rsid w:val="00A84C3A"/>
    <w:rsid w:val="00A84EE1"/>
    <w:rsid w:val="00A8502A"/>
    <w:rsid w:val="00A85F85"/>
    <w:rsid w:val="00A867FA"/>
    <w:rsid w:val="00A86EDE"/>
    <w:rsid w:val="00A86F59"/>
    <w:rsid w:val="00A86FD3"/>
    <w:rsid w:val="00A870E0"/>
    <w:rsid w:val="00A870FE"/>
    <w:rsid w:val="00A87263"/>
    <w:rsid w:val="00A872B1"/>
    <w:rsid w:val="00A8746A"/>
    <w:rsid w:val="00A8771D"/>
    <w:rsid w:val="00A87763"/>
    <w:rsid w:val="00A877B9"/>
    <w:rsid w:val="00A877CC"/>
    <w:rsid w:val="00A87A9F"/>
    <w:rsid w:val="00A87BBA"/>
    <w:rsid w:val="00A87C7C"/>
    <w:rsid w:val="00A87EA1"/>
    <w:rsid w:val="00A90096"/>
    <w:rsid w:val="00A90156"/>
    <w:rsid w:val="00A903CB"/>
    <w:rsid w:val="00A9064E"/>
    <w:rsid w:val="00A906AB"/>
    <w:rsid w:val="00A906EE"/>
    <w:rsid w:val="00A90942"/>
    <w:rsid w:val="00A90BC3"/>
    <w:rsid w:val="00A90CC1"/>
    <w:rsid w:val="00A90FA1"/>
    <w:rsid w:val="00A9131F"/>
    <w:rsid w:val="00A9193D"/>
    <w:rsid w:val="00A91EF5"/>
    <w:rsid w:val="00A91FE5"/>
    <w:rsid w:val="00A9201D"/>
    <w:rsid w:val="00A92361"/>
    <w:rsid w:val="00A923A0"/>
    <w:rsid w:val="00A925B5"/>
    <w:rsid w:val="00A9277D"/>
    <w:rsid w:val="00A92B49"/>
    <w:rsid w:val="00A92D65"/>
    <w:rsid w:val="00A92D84"/>
    <w:rsid w:val="00A92DA3"/>
    <w:rsid w:val="00A93374"/>
    <w:rsid w:val="00A93398"/>
    <w:rsid w:val="00A93678"/>
    <w:rsid w:val="00A93B03"/>
    <w:rsid w:val="00A93DD5"/>
    <w:rsid w:val="00A93EC7"/>
    <w:rsid w:val="00A93F24"/>
    <w:rsid w:val="00A94063"/>
    <w:rsid w:val="00A941D2"/>
    <w:rsid w:val="00A94235"/>
    <w:rsid w:val="00A9433D"/>
    <w:rsid w:val="00A94A40"/>
    <w:rsid w:val="00A94B1C"/>
    <w:rsid w:val="00A94B42"/>
    <w:rsid w:val="00A95111"/>
    <w:rsid w:val="00A95224"/>
    <w:rsid w:val="00A9538A"/>
    <w:rsid w:val="00A953E0"/>
    <w:rsid w:val="00A95A5F"/>
    <w:rsid w:val="00A95B47"/>
    <w:rsid w:val="00A95D13"/>
    <w:rsid w:val="00A95DA3"/>
    <w:rsid w:val="00A95ED0"/>
    <w:rsid w:val="00A95F1D"/>
    <w:rsid w:val="00A961C2"/>
    <w:rsid w:val="00A9621D"/>
    <w:rsid w:val="00A9645A"/>
    <w:rsid w:val="00A967D1"/>
    <w:rsid w:val="00A96993"/>
    <w:rsid w:val="00A96BF0"/>
    <w:rsid w:val="00A96DF2"/>
    <w:rsid w:val="00A974B7"/>
    <w:rsid w:val="00A977CB"/>
    <w:rsid w:val="00A97820"/>
    <w:rsid w:val="00A978D8"/>
    <w:rsid w:val="00A97A25"/>
    <w:rsid w:val="00A97C26"/>
    <w:rsid w:val="00AA0242"/>
    <w:rsid w:val="00AA047C"/>
    <w:rsid w:val="00AA04AA"/>
    <w:rsid w:val="00AA0941"/>
    <w:rsid w:val="00AA0ACA"/>
    <w:rsid w:val="00AA0C96"/>
    <w:rsid w:val="00AA1775"/>
    <w:rsid w:val="00AA1B18"/>
    <w:rsid w:val="00AA1BFF"/>
    <w:rsid w:val="00AA1F1B"/>
    <w:rsid w:val="00AA217A"/>
    <w:rsid w:val="00AA2456"/>
    <w:rsid w:val="00AA262B"/>
    <w:rsid w:val="00AA2633"/>
    <w:rsid w:val="00AA2790"/>
    <w:rsid w:val="00AA2C08"/>
    <w:rsid w:val="00AA2CCC"/>
    <w:rsid w:val="00AA2ED4"/>
    <w:rsid w:val="00AA2F81"/>
    <w:rsid w:val="00AA2FF6"/>
    <w:rsid w:val="00AA3F27"/>
    <w:rsid w:val="00AA4027"/>
    <w:rsid w:val="00AA435F"/>
    <w:rsid w:val="00AA43D7"/>
    <w:rsid w:val="00AA45DA"/>
    <w:rsid w:val="00AA47A2"/>
    <w:rsid w:val="00AA47B6"/>
    <w:rsid w:val="00AA4ABE"/>
    <w:rsid w:val="00AA4B8D"/>
    <w:rsid w:val="00AA4BC2"/>
    <w:rsid w:val="00AA4D33"/>
    <w:rsid w:val="00AA4E5C"/>
    <w:rsid w:val="00AA53A4"/>
    <w:rsid w:val="00AA5764"/>
    <w:rsid w:val="00AA5A78"/>
    <w:rsid w:val="00AA5A93"/>
    <w:rsid w:val="00AA5BEE"/>
    <w:rsid w:val="00AA6999"/>
    <w:rsid w:val="00AA6BCF"/>
    <w:rsid w:val="00AA6CEC"/>
    <w:rsid w:val="00AA6D09"/>
    <w:rsid w:val="00AA715A"/>
    <w:rsid w:val="00AA7674"/>
    <w:rsid w:val="00AA7895"/>
    <w:rsid w:val="00AA7953"/>
    <w:rsid w:val="00AB0099"/>
    <w:rsid w:val="00AB024B"/>
    <w:rsid w:val="00AB02C5"/>
    <w:rsid w:val="00AB0690"/>
    <w:rsid w:val="00AB06D0"/>
    <w:rsid w:val="00AB08AF"/>
    <w:rsid w:val="00AB09F4"/>
    <w:rsid w:val="00AB0A96"/>
    <w:rsid w:val="00AB0CAA"/>
    <w:rsid w:val="00AB0D1B"/>
    <w:rsid w:val="00AB12B0"/>
    <w:rsid w:val="00AB1332"/>
    <w:rsid w:val="00AB140B"/>
    <w:rsid w:val="00AB1577"/>
    <w:rsid w:val="00AB1938"/>
    <w:rsid w:val="00AB1A5F"/>
    <w:rsid w:val="00AB1CC4"/>
    <w:rsid w:val="00AB1D07"/>
    <w:rsid w:val="00AB1D95"/>
    <w:rsid w:val="00AB1E94"/>
    <w:rsid w:val="00AB1EC6"/>
    <w:rsid w:val="00AB2117"/>
    <w:rsid w:val="00AB222B"/>
    <w:rsid w:val="00AB264E"/>
    <w:rsid w:val="00AB26C2"/>
    <w:rsid w:val="00AB2777"/>
    <w:rsid w:val="00AB2E49"/>
    <w:rsid w:val="00AB30C6"/>
    <w:rsid w:val="00AB340B"/>
    <w:rsid w:val="00AB3765"/>
    <w:rsid w:val="00AB388B"/>
    <w:rsid w:val="00AB3919"/>
    <w:rsid w:val="00AB3BA4"/>
    <w:rsid w:val="00AB3C61"/>
    <w:rsid w:val="00AB3D10"/>
    <w:rsid w:val="00AB3DC8"/>
    <w:rsid w:val="00AB3DEA"/>
    <w:rsid w:val="00AB3E4A"/>
    <w:rsid w:val="00AB3E5E"/>
    <w:rsid w:val="00AB43E4"/>
    <w:rsid w:val="00AB4955"/>
    <w:rsid w:val="00AB5A6C"/>
    <w:rsid w:val="00AB5D5E"/>
    <w:rsid w:val="00AB5E5E"/>
    <w:rsid w:val="00AB6111"/>
    <w:rsid w:val="00AB6133"/>
    <w:rsid w:val="00AB63F3"/>
    <w:rsid w:val="00AB65CA"/>
    <w:rsid w:val="00AB65DF"/>
    <w:rsid w:val="00AB66E5"/>
    <w:rsid w:val="00AB689E"/>
    <w:rsid w:val="00AB692D"/>
    <w:rsid w:val="00AB6F1C"/>
    <w:rsid w:val="00AB6F88"/>
    <w:rsid w:val="00AB7053"/>
    <w:rsid w:val="00AB7068"/>
    <w:rsid w:val="00AB7115"/>
    <w:rsid w:val="00AB7878"/>
    <w:rsid w:val="00AB790A"/>
    <w:rsid w:val="00AB7D23"/>
    <w:rsid w:val="00AB7FF7"/>
    <w:rsid w:val="00AC0085"/>
    <w:rsid w:val="00AC049C"/>
    <w:rsid w:val="00AC04BB"/>
    <w:rsid w:val="00AC0BD9"/>
    <w:rsid w:val="00AC0C02"/>
    <w:rsid w:val="00AC0FEB"/>
    <w:rsid w:val="00AC1520"/>
    <w:rsid w:val="00AC1537"/>
    <w:rsid w:val="00AC1C0F"/>
    <w:rsid w:val="00AC20F8"/>
    <w:rsid w:val="00AC23AB"/>
    <w:rsid w:val="00AC23B6"/>
    <w:rsid w:val="00AC2484"/>
    <w:rsid w:val="00AC26A2"/>
    <w:rsid w:val="00AC2AFE"/>
    <w:rsid w:val="00AC2B3C"/>
    <w:rsid w:val="00AC2F17"/>
    <w:rsid w:val="00AC3005"/>
    <w:rsid w:val="00AC3167"/>
    <w:rsid w:val="00AC3270"/>
    <w:rsid w:val="00AC36C1"/>
    <w:rsid w:val="00AC3840"/>
    <w:rsid w:val="00AC3921"/>
    <w:rsid w:val="00AC393B"/>
    <w:rsid w:val="00AC3D7E"/>
    <w:rsid w:val="00AC3E21"/>
    <w:rsid w:val="00AC3E39"/>
    <w:rsid w:val="00AC3FB3"/>
    <w:rsid w:val="00AC46F8"/>
    <w:rsid w:val="00AC4A59"/>
    <w:rsid w:val="00AC4DE6"/>
    <w:rsid w:val="00AC50FB"/>
    <w:rsid w:val="00AC50FD"/>
    <w:rsid w:val="00AC517C"/>
    <w:rsid w:val="00AC51C3"/>
    <w:rsid w:val="00AC5519"/>
    <w:rsid w:val="00AC5942"/>
    <w:rsid w:val="00AC5997"/>
    <w:rsid w:val="00AC599B"/>
    <w:rsid w:val="00AC5A83"/>
    <w:rsid w:val="00AC6698"/>
    <w:rsid w:val="00AC6A78"/>
    <w:rsid w:val="00AC6AA7"/>
    <w:rsid w:val="00AC6B2E"/>
    <w:rsid w:val="00AC6BDE"/>
    <w:rsid w:val="00AC6C73"/>
    <w:rsid w:val="00AC6D2A"/>
    <w:rsid w:val="00AC6E87"/>
    <w:rsid w:val="00AC6F83"/>
    <w:rsid w:val="00AC7426"/>
    <w:rsid w:val="00AC7717"/>
    <w:rsid w:val="00AC7753"/>
    <w:rsid w:val="00AC78AB"/>
    <w:rsid w:val="00AC7994"/>
    <w:rsid w:val="00AC7C4C"/>
    <w:rsid w:val="00AC7DB4"/>
    <w:rsid w:val="00AD0138"/>
    <w:rsid w:val="00AD0214"/>
    <w:rsid w:val="00AD0B87"/>
    <w:rsid w:val="00AD0F42"/>
    <w:rsid w:val="00AD1151"/>
    <w:rsid w:val="00AD11D8"/>
    <w:rsid w:val="00AD12FF"/>
    <w:rsid w:val="00AD19AE"/>
    <w:rsid w:val="00AD1A62"/>
    <w:rsid w:val="00AD1ABE"/>
    <w:rsid w:val="00AD1B70"/>
    <w:rsid w:val="00AD1BDF"/>
    <w:rsid w:val="00AD1C92"/>
    <w:rsid w:val="00AD1F08"/>
    <w:rsid w:val="00AD26AF"/>
    <w:rsid w:val="00AD2965"/>
    <w:rsid w:val="00AD29E7"/>
    <w:rsid w:val="00AD2B30"/>
    <w:rsid w:val="00AD2B41"/>
    <w:rsid w:val="00AD2BAF"/>
    <w:rsid w:val="00AD324F"/>
    <w:rsid w:val="00AD32E5"/>
    <w:rsid w:val="00AD345D"/>
    <w:rsid w:val="00AD3783"/>
    <w:rsid w:val="00AD38B6"/>
    <w:rsid w:val="00AD3AFB"/>
    <w:rsid w:val="00AD3D12"/>
    <w:rsid w:val="00AD3E4D"/>
    <w:rsid w:val="00AD3F74"/>
    <w:rsid w:val="00AD43C8"/>
    <w:rsid w:val="00AD48E4"/>
    <w:rsid w:val="00AD4BDF"/>
    <w:rsid w:val="00AD4C64"/>
    <w:rsid w:val="00AD4FCF"/>
    <w:rsid w:val="00AD5083"/>
    <w:rsid w:val="00AD5569"/>
    <w:rsid w:val="00AD59B7"/>
    <w:rsid w:val="00AD5E28"/>
    <w:rsid w:val="00AD635D"/>
    <w:rsid w:val="00AD64B5"/>
    <w:rsid w:val="00AD6678"/>
    <w:rsid w:val="00AD6832"/>
    <w:rsid w:val="00AD6A84"/>
    <w:rsid w:val="00AD6D00"/>
    <w:rsid w:val="00AD742D"/>
    <w:rsid w:val="00AD7433"/>
    <w:rsid w:val="00AD7D4E"/>
    <w:rsid w:val="00AD7F1C"/>
    <w:rsid w:val="00AE0126"/>
    <w:rsid w:val="00AE0399"/>
    <w:rsid w:val="00AE098B"/>
    <w:rsid w:val="00AE0ECB"/>
    <w:rsid w:val="00AE0EDE"/>
    <w:rsid w:val="00AE0EFF"/>
    <w:rsid w:val="00AE191E"/>
    <w:rsid w:val="00AE1D79"/>
    <w:rsid w:val="00AE213E"/>
    <w:rsid w:val="00AE21D1"/>
    <w:rsid w:val="00AE250D"/>
    <w:rsid w:val="00AE2539"/>
    <w:rsid w:val="00AE2ACA"/>
    <w:rsid w:val="00AE2BBA"/>
    <w:rsid w:val="00AE2EAC"/>
    <w:rsid w:val="00AE2F95"/>
    <w:rsid w:val="00AE3739"/>
    <w:rsid w:val="00AE3DD7"/>
    <w:rsid w:val="00AE4968"/>
    <w:rsid w:val="00AE4B61"/>
    <w:rsid w:val="00AE4E89"/>
    <w:rsid w:val="00AE5009"/>
    <w:rsid w:val="00AE51BE"/>
    <w:rsid w:val="00AE5249"/>
    <w:rsid w:val="00AE5407"/>
    <w:rsid w:val="00AE5451"/>
    <w:rsid w:val="00AE58C7"/>
    <w:rsid w:val="00AE5906"/>
    <w:rsid w:val="00AE595B"/>
    <w:rsid w:val="00AE5C52"/>
    <w:rsid w:val="00AE5D25"/>
    <w:rsid w:val="00AE5E31"/>
    <w:rsid w:val="00AE629A"/>
    <w:rsid w:val="00AE6452"/>
    <w:rsid w:val="00AE6999"/>
    <w:rsid w:val="00AE6E7B"/>
    <w:rsid w:val="00AE7415"/>
    <w:rsid w:val="00AE7673"/>
    <w:rsid w:val="00AE7980"/>
    <w:rsid w:val="00AE7A2A"/>
    <w:rsid w:val="00AE7B4D"/>
    <w:rsid w:val="00AE7C42"/>
    <w:rsid w:val="00AF003F"/>
    <w:rsid w:val="00AF032A"/>
    <w:rsid w:val="00AF0B69"/>
    <w:rsid w:val="00AF0EE4"/>
    <w:rsid w:val="00AF1373"/>
    <w:rsid w:val="00AF1466"/>
    <w:rsid w:val="00AF1598"/>
    <w:rsid w:val="00AF1828"/>
    <w:rsid w:val="00AF1AE4"/>
    <w:rsid w:val="00AF1F18"/>
    <w:rsid w:val="00AF246F"/>
    <w:rsid w:val="00AF247C"/>
    <w:rsid w:val="00AF2535"/>
    <w:rsid w:val="00AF331C"/>
    <w:rsid w:val="00AF341D"/>
    <w:rsid w:val="00AF3553"/>
    <w:rsid w:val="00AF38A8"/>
    <w:rsid w:val="00AF3D92"/>
    <w:rsid w:val="00AF42DB"/>
    <w:rsid w:val="00AF450C"/>
    <w:rsid w:val="00AF47E5"/>
    <w:rsid w:val="00AF485B"/>
    <w:rsid w:val="00AF4BCA"/>
    <w:rsid w:val="00AF4CFB"/>
    <w:rsid w:val="00AF4FDC"/>
    <w:rsid w:val="00AF4FF7"/>
    <w:rsid w:val="00AF5007"/>
    <w:rsid w:val="00AF54C0"/>
    <w:rsid w:val="00AF55B4"/>
    <w:rsid w:val="00AF5CD8"/>
    <w:rsid w:val="00AF5FC5"/>
    <w:rsid w:val="00AF602A"/>
    <w:rsid w:val="00AF6214"/>
    <w:rsid w:val="00AF62FB"/>
    <w:rsid w:val="00AF6568"/>
    <w:rsid w:val="00AF6584"/>
    <w:rsid w:val="00AF6755"/>
    <w:rsid w:val="00AF6CC0"/>
    <w:rsid w:val="00AF7031"/>
    <w:rsid w:val="00AF7687"/>
    <w:rsid w:val="00AF773E"/>
    <w:rsid w:val="00AF77AD"/>
    <w:rsid w:val="00AF77FE"/>
    <w:rsid w:val="00AF798F"/>
    <w:rsid w:val="00AF7AFD"/>
    <w:rsid w:val="00AF7CC9"/>
    <w:rsid w:val="00AF7CF7"/>
    <w:rsid w:val="00AF7EAA"/>
    <w:rsid w:val="00AF7F82"/>
    <w:rsid w:val="00AF7FA5"/>
    <w:rsid w:val="00AFA7D3"/>
    <w:rsid w:val="00B00251"/>
    <w:rsid w:val="00B003EC"/>
    <w:rsid w:val="00B004A3"/>
    <w:rsid w:val="00B00764"/>
    <w:rsid w:val="00B00857"/>
    <w:rsid w:val="00B008D8"/>
    <w:rsid w:val="00B00A21"/>
    <w:rsid w:val="00B00C01"/>
    <w:rsid w:val="00B00D33"/>
    <w:rsid w:val="00B00DBE"/>
    <w:rsid w:val="00B010E5"/>
    <w:rsid w:val="00B01993"/>
    <w:rsid w:val="00B01D69"/>
    <w:rsid w:val="00B01E15"/>
    <w:rsid w:val="00B0210E"/>
    <w:rsid w:val="00B02164"/>
    <w:rsid w:val="00B02588"/>
    <w:rsid w:val="00B02B76"/>
    <w:rsid w:val="00B02EE6"/>
    <w:rsid w:val="00B03658"/>
    <w:rsid w:val="00B039DE"/>
    <w:rsid w:val="00B03A38"/>
    <w:rsid w:val="00B03B55"/>
    <w:rsid w:val="00B040ED"/>
    <w:rsid w:val="00B04317"/>
    <w:rsid w:val="00B044C6"/>
    <w:rsid w:val="00B04577"/>
    <w:rsid w:val="00B045FA"/>
    <w:rsid w:val="00B04628"/>
    <w:rsid w:val="00B04961"/>
    <w:rsid w:val="00B04B10"/>
    <w:rsid w:val="00B04DBF"/>
    <w:rsid w:val="00B04E17"/>
    <w:rsid w:val="00B05390"/>
    <w:rsid w:val="00B058ED"/>
    <w:rsid w:val="00B05D43"/>
    <w:rsid w:val="00B05D6C"/>
    <w:rsid w:val="00B05F1B"/>
    <w:rsid w:val="00B06101"/>
    <w:rsid w:val="00B0615B"/>
    <w:rsid w:val="00B06889"/>
    <w:rsid w:val="00B06D20"/>
    <w:rsid w:val="00B072FC"/>
    <w:rsid w:val="00B073FB"/>
    <w:rsid w:val="00B07C12"/>
    <w:rsid w:val="00B07DA4"/>
    <w:rsid w:val="00B07DE7"/>
    <w:rsid w:val="00B1032A"/>
    <w:rsid w:val="00B103C5"/>
    <w:rsid w:val="00B104E9"/>
    <w:rsid w:val="00B105ED"/>
    <w:rsid w:val="00B10849"/>
    <w:rsid w:val="00B10857"/>
    <w:rsid w:val="00B1085C"/>
    <w:rsid w:val="00B10966"/>
    <w:rsid w:val="00B10A9F"/>
    <w:rsid w:val="00B10CBF"/>
    <w:rsid w:val="00B11790"/>
    <w:rsid w:val="00B11A5C"/>
    <w:rsid w:val="00B11B5C"/>
    <w:rsid w:val="00B11CBA"/>
    <w:rsid w:val="00B11E6F"/>
    <w:rsid w:val="00B1238A"/>
    <w:rsid w:val="00B1286B"/>
    <w:rsid w:val="00B12AE7"/>
    <w:rsid w:val="00B12DF1"/>
    <w:rsid w:val="00B13059"/>
    <w:rsid w:val="00B13190"/>
    <w:rsid w:val="00B133A9"/>
    <w:rsid w:val="00B13520"/>
    <w:rsid w:val="00B13588"/>
    <w:rsid w:val="00B13755"/>
    <w:rsid w:val="00B13B19"/>
    <w:rsid w:val="00B13C5A"/>
    <w:rsid w:val="00B13EE2"/>
    <w:rsid w:val="00B14014"/>
    <w:rsid w:val="00B14081"/>
    <w:rsid w:val="00B142B9"/>
    <w:rsid w:val="00B145D9"/>
    <w:rsid w:val="00B146CF"/>
    <w:rsid w:val="00B14701"/>
    <w:rsid w:val="00B148A9"/>
    <w:rsid w:val="00B14C4C"/>
    <w:rsid w:val="00B14C4E"/>
    <w:rsid w:val="00B1509C"/>
    <w:rsid w:val="00B150D7"/>
    <w:rsid w:val="00B151E7"/>
    <w:rsid w:val="00B1532E"/>
    <w:rsid w:val="00B154A4"/>
    <w:rsid w:val="00B156A9"/>
    <w:rsid w:val="00B156D4"/>
    <w:rsid w:val="00B15D5A"/>
    <w:rsid w:val="00B1607B"/>
    <w:rsid w:val="00B1616B"/>
    <w:rsid w:val="00B1628E"/>
    <w:rsid w:val="00B163EE"/>
    <w:rsid w:val="00B16697"/>
    <w:rsid w:val="00B16742"/>
    <w:rsid w:val="00B16C0A"/>
    <w:rsid w:val="00B16E4B"/>
    <w:rsid w:val="00B16E70"/>
    <w:rsid w:val="00B174D1"/>
    <w:rsid w:val="00B177D7"/>
    <w:rsid w:val="00B17AEC"/>
    <w:rsid w:val="00B20006"/>
    <w:rsid w:val="00B20027"/>
    <w:rsid w:val="00B20076"/>
    <w:rsid w:val="00B201CB"/>
    <w:rsid w:val="00B201F0"/>
    <w:rsid w:val="00B20268"/>
    <w:rsid w:val="00B207A6"/>
    <w:rsid w:val="00B218D3"/>
    <w:rsid w:val="00B218DE"/>
    <w:rsid w:val="00B21A20"/>
    <w:rsid w:val="00B21B78"/>
    <w:rsid w:val="00B21DF8"/>
    <w:rsid w:val="00B21E11"/>
    <w:rsid w:val="00B222DA"/>
    <w:rsid w:val="00B22610"/>
    <w:rsid w:val="00B228A4"/>
    <w:rsid w:val="00B2293D"/>
    <w:rsid w:val="00B22ABD"/>
    <w:rsid w:val="00B22C6A"/>
    <w:rsid w:val="00B22CD3"/>
    <w:rsid w:val="00B22EA4"/>
    <w:rsid w:val="00B230CF"/>
    <w:rsid w:val="00B231FA"/>
    <w:rsid w:val="00B232C6"/>
    <w:rsid w:val="00B2341E"/>
    <w:rsid w:val="00B238C4"/>
    <w:rsid w:val="00B238E5"/>
    <w:rsid w:val="00B23927"/>
    <w:rsid w:val="00B23D94"/>
    <w:rsid w:val="00B24209"/>
    <w:rsid w:val="00B24592"/>
    <w:rsid w:val="00B24A12"/>
    <w:rsid w:val="00B251D8"/>
    <w:rsid w:val="00B25639"/>
    <w:rsid w:val="00B256B9"/>
    <w:rsid w:val="00B25719"/>
    <w:rsid w:val="00B25946"/>
    <w:rsid w:val="00B25E73"/>
    <w:rsid w:val="00B26467"/>
    <w:rsid w:val="00B26639"/>
    <w:rsid w:val="00B26671"/>
    <w:rsid w:val="00B269B8"/>
    <w:rsid w:val="00B26BEB"/>
    <w:rsid w:val="00B26D32"/>
    <w:rsid w:val="00B26EE2"/>
    <w:rsid w:val="00B26F50"/>
    <w:rsid w:val="00B26F58"/>
    <w:rsid w:val="00B2717D"/>
    <w:rsid w:val="00B272E8"/>
    <w:rsid w:val="00B275BB"/>
    <w:rsid w:val="00B278C1"/>
    <w:rsid w:val="00B27959"/>
    <w:rsid w:val="00B27A69"/>
    <w:rsid w:val="00B27BE5"/>
    <w:rsid w:val="00B27C01"/>
    <w:rsid w:val="00B27DFA"/>
    <w:rsid w:val="00B27EF1"/>
    <w:rsid w:val="00B27FAE"/>
    <w:rsid w:val="00B3015A"/>
    <w:rsid w:val="00B30169"/>
    <w:rsid w:val="00B302C6"/>
    <w:rsid w:val="00B30388"/>
    <w:rsid w:val="00B3046E"/>
    <w:rsid w:val="00B304BF"/>
    <w:rsid w:val="00B30627"/>
    <w:rsid w:val="00B306A3"/>
    <w:rsid w:val="00B307D6"/>
    <w:rsid w:val="00B307E2"/>
    <w:rsid w:val="00B3172A"/>
    <w:rsid w:val="00B318A6"/>
    <w:rsid w:val="00B31AAD"/>
    <w:rsid w:val="00B31AF8"/>
    <w:rsid w:val="00B31CAB"/>
    <w:rsid w:val="00B31CC0"/>
    <w:rsid w:val="00B31E57"/>
    <w:rsid w:val="00B321DC"/>
    <w:rsid w:val="00B324BF"/>
    <w:rsid w:val="00B32540"/>
    <w:rsid w:val="00B32602"/>
    <w:rsid w:val="00B32E42"/>
    <w:rsid w:val="00B332CC"/>
    <w:rsid w:val="00B342E3"/>
    <w:rsid w:val="00B344B8"/>
    <w:rsid w:val="00B34735"/>
    <w:rsid w:val="00B34977"/>
    <w:rsid w:val="00B3497E"/>
    <w:rsid w:val="00B34DE4"/>
    <w:rsid w:val="00B355FF"/>
    <w:rsid w:val="00B3570A"/>
    <w:rsid w:val="00B35ECB"/>
    <w:rsid w:val="00B374FD"/>
    <w:rsid w:val="00B376C6"/>
    <w:rsid w:val="00B3783D"/>
    <w:rsid w:val="00B37CAE"/>
    <w:rsid w:val="00B37EE8"/>
    <w:rsid w:val="00B401E9"/>
    <w:rsid w:val="00B40865"/>
    <w:rsid w:val="00B40B20"/>
    <w:rsid w:val="00B40C2C"/>
    <w:rsid w:val="00B40C8F"/>
    <w:rsid w:val="00B4109A"/>
    <w:rsid w:val="00B41195"/>
    <w:rsid w:val="00B4120C"/>
    <w:rsid w:val="00B4148E"/>
    <w:rsid w:val="00B41527"/>
    <w:rsid w:val="00B41C80"/>
    <w:rsid w:val="00B41D04"/>
    <w:rsid w:val="00B41D82"/>
    <w:rsid w:val="00B42011"/>
    <w:rsid w:val="00B42436"/>
    <w:rsid w:val="00B42531"/>
    <w:rsid w:val="00B42585"/>
    <w:rsid w:val="00B42C0E"/>
    <w:rsid w:val="00B431EC"/>
    <w:rsid w:val="00B43317"/>
    <w:rsid w:val="00B43658"/>
    <w:rsid w:val="00B43901"/>
    <w:rsid w:val="00B439FF"/>
    <w:rsid w:val="00B44036"/>
    <w:rsid w:val="00B44367"/>
    <w:rsid w:val="00B44517"/>
    <w:rsid w:val="00B448EC"/>
    <w:rsid w:val="00B44A23"/>
    <w:rsid w:val="00B45447"/>
    <w:rsid w:val="00B4549B"/>
    <w:rsid w:val="00B454D4"/>
    <w:rsid w:val="00B45534"/>
    <w:rsid w:val="00B4565F"/>
    <w:rsid w:val="00B456B6"/>
    <w:rsid w:val="00B456FC"/>
    <w:rsid w:val="00B459DC"/>
    <w:rsid w:val="00B45A27"/>
    <w:rsid w:val="00B45AFB"/>
    <w:rsid w:val="00B45BB9"/>
    <w:rsid w:val="00B45DF4"/>
    <w:rsid w:val="00B45E48"/>
    <w:rsid w:val="00B45F52"/>
    <w:rsid w:val="00B4605C"/>
    <w:rsid w:val="00B461D1"/>
    <w:rsid w:val="00B4642D"/>
    <w:rsid w:val="00B46614"/>
    <w:rsid w:val="00B468E3"/>
    <w:rsid w:val="00B46B24"/>
    <w:rsid w:val="00B46E86"/>
    <w:rsid w:val="00B4716D"/>
    <w:rsid w:val="00B473AC"/>
    <w:rsid w:val="00B473F5"/>
    <w:rsid w:val="00B475F4"/>
    <w:rsid w:val="00B476C7"/>
    <w:rsid w:val="00B476CF"/>
    <w:rsid w:val="00B477D9"/>
    <w:rsid w:val="00B50136"/>
    <w:rsid w:val="00B50247"/>
    <w:rsid w:val="00B50346"/>
    <w:rsid w:val="00B50BDC"/>
    <w:rsid w:val="00B50F85"/>
    <w:rsid w:val="00B512AB"/>
    <w:rsid w:val="00B516FF"/>
    <w:rsid w:val="00B518EF"/>
    <w:rsid w:val="00B51AA8"/>
    <w:rsid w:val="00B51E83"/>
    <w:rsid w:val="00B51F9B"/>
    <w:rsid w:val="00B52270"/>
    <w:rsid w:val="00B522AE"/>
    <w:rsid w:val="00B52486"/>
    <w:rsid w:val="00B5262C"/>
    <w:rsid w:val="00B52767"/>
    <w:rsid w:val="00B53369"/>
    <w:rsid w:val="00B539FB"/>
    <w:rsid w:val="00B5412F"/>
    <w:rsid w:val="00B541A7"/>
    <w:rsid w:val="00B542A9"/>
    <w:rsid w:val="00B543A0"/>
    <w:rsid w:val="00B54720"/>
    <w:rsid w:val="00B54833"/>
    <w:rsid w:val="00B5492E"/>
    <w:rsid w:val="00B54C45"/>
    <w:rsid w:val="00B5541E"/>
    <w:rsid w:val="00B55958"/>
    <w:rsid w:val="00B55FF3"/>
    <w:rsid w:val="00B5613F"/>
    <w:rsid w:val="00B565BC"/>
    <w:rsid w:val="00B56A4D"/>
    <w:rsid w:val="00B56F9B"/>
    <w:rsid w:val="00B57391"/>
    <w:rsid w:val="00B5759D"/>
    <w:rsid w:val="00B575AD"/>
    <w:rsid w:val="00B575BD"/>
    <w:rsid w:val="00B57A20"/>
    <w:rsid w:val="00B600E8"/>
    <w:rsid w:val="00B6022A"/>
    <w:rsid w:val="00B60356"/>
    <w:rsid w:val="00B60751"/>
    <w:rsid w:val="00B607F8"/>
    <w:rsid w:val="00B6093D"/>
    <w:rsid w:val="00B60AA9"/>
    <w:rsid w:val="00B60BB7"/>
    <w:rsid w:val="00B60C9B"/>
    <w:rsid w:val="00B60CF6"/>
    <w:rsid w:val="00B60DA9"/>
    <w:rsid w:val="00B60E4A"/>
    <w:rsid w:val="00B60EA1"/>
    <w:rsid w:val="00B60F4F"/>
    <w:rsid w:val="00B611B0"/>
    <w:rsid w:val="00B6137E"/>
    <w:rsid w:val="00B61BDE"/>
    <w:rsid w:val="00B61C91"/>
    <w:rsid w:val="00B61D2F"/>
    <w:rsid w:val="00B61DDF"/>
    <w:rsid w:val="00B61ED0"/>
    <w:rsid w:val="00B626E5"/>
    <w:rsid w:val="00B6294A"/>
    <w:rsid w:val="00B62C41"/>
    <w:rsid w:val="00B62E76"/>
    <w:rsid w:val="00B63479"/>
    <w:rsid w:val="00B63578"/>
    <w:rsid w:val="00B63840"/>
    <w:rsid w:val="00B63AFC"/>
    <w:rsid w:val="00B63C7C"/>
    <w:rsid w:val="00B63FBC"/>
    <w:rsid w:val="00B6433D"/>
    <w:rsid w:val="00B64CB1"/>
    <w:rsid w:val="00B64ED9"/>
    <w:rsid w:val="00B654F3"/>
    <w:rsid w:val="00B65627"/>
    <w:rsid w:val="00B6585D"/>
    <w:rsid w:val="00B659D4"/>
    <w:rsid w:val="00B65B4E"/>
    <w:rsid w:val="00B65F91"/>
    <w:rsid w:val="00B664D2"/>
    <w:rsid w:val="00B668E1"/>
    <w:rsid w:val="00B66E8F"/>
    <w:rsid w:val="00B67262"/>
    <w:rsid w:val="00B6737C"/>
    <w:rsid w:val="00B6752A"/>
    <w:rsid w:val="00B675F1"/>
    <w:rsid w:val="00B679CA"/>
    <w:rsid w:val="00B67C4C"/>
    <w:rsid w:val="00B67FCB"/>
    <w:rsid w:val="00B7015C"/>
    <w:rsid w:val="00B7039A"/>
    <w:rsid w:val="00B7097A"/>
    <w:rsid w:val="00B70A8A"/>
    <w:rsid w:val="00B70D21"/>
    <w:rsid w:val="00B70DDF"/>
    <w:rsid w:val="00B71051"/>
    <w:rsid w:val="00B710BE"/>
    <w:rsid w:val="00B71A0A"/>
    <w:rsid w:val="00B71E51"/>
    <w:rsid w:val="00B721DD"/>
    <w:rsid w:val="00B72419"/>
    <w:rsid w:val="00B7241F"/>
    <w:rsid w:val="00B7264E"/>
    <w:rsid w:val="00B72759"/>
    <w:rsid w:val="00B72A52"/>
    <w:rsid w:val="00B72A9F"/>
    <w:rsid w:val="00B72AEF"/>
    <w:rsid w:val="00B72E4C"/>
    <w:rsid w:val="00B7311B"/>
    <w:rsid w:val="00B735A1"/>
    <w:rsid w:val="00B7378C"/>
    <w:rsid w:val="00B73897"/>
    <w:rsid w:val="00B7396D"/>
    <w:rsid w:val="00B740DE"/>
    <w:rsid w:val="00B74228"/>
    <w:rsid w:val="00B74DED"/>
    <w:rsid w:val="00B74E6B"/>
    <w:rsid w:val="00B74FC5"/>
    <w:rsid w:val="00B75130"/>
    <w:rsid w:val="00B75427"/>
    <w:rsid w:val="00B75498"/>
    <w:rsid w:val="00B7575E"/>
    <w:rsid w:val="00B7591E"/>
    <w:rsid w:val="00B75C17"/>
    <w:rsid w:val="00B75D74"/>
    <w:rsid w:val="00B764A1"/>
    <w:rsid w:val="00B76801"/>
    <w:rsid w:val="00B768F3"/>
    <w:rsid w:val="00B76927"/>
    <w:rsid w:val="00B76963"/>
    <w:rsid w:val="00B76AB1"/>
    <w:rsid w:val="00B76BB7"/>
    <w:rsid w:val="00B76E52"/>
    <w:rsid w:val="00B76EDB"/>
    <w:rsid w:val="00B76EE8"/>
    <w:rsid w:val="00B76F4E"/>
    <w:rsid w:val="00B774EF"/>
    <w:rsid w:val="00B77519"/>
    <w:rsid w:val="00B77746"/>
    <w:rsid w:val="00B77918"/>
    <w:rsid w:val="00B80420"/>
    <w:rsid w:val="00B80737"/>
    <w:rsid w:val="00B81112"/>
    <w:rsid w:val="00B8186C"/>
    <w:rsid w:val="00B81A50"/>
    <w:rsid w:val="00B81D3F"/>
    <w:rsid w:val="00B81F34"/>
    <w:rsid w:val="00B825FD"/>
    <w:rsid w:val="00B82A53"/>
    <w:rsid w:val="00B82B99"/>
    <w:rsid w:val="00B82C43"/>
    <w:rsid w:val="00B82E05"/>
    <w:rsid w:val="00B83593"/>
    <w:rsid w:val="00B83782"/>
    <w:rsid w:val="00B8389D"/>
    <w:rsid w:val="00B83BFD"/>
    <w:rsid w:val="00B83FE4"/>
    <w:rsid w:val="00B847A4"/>
    <w:rsid w:val="00B848B2"/>
    <w:rsid w:val="00B848E9"/>
    <w:rsid w:val="00B84AC1"/>
    <w:rsid w:val="00B84C31"/>
    <w:rsid w:val="00B84C49"/>
    <w:rsid w:val="00B84C59"/>
    <w:rsid w:val="00B84FEA"/>
    <w:rsid w:val="00B85205"/>
    <w:rsid w:val="00B8526C"/>
    <w:rsid w:val="00B85559"/>
    <w:rsid w:val="00B855B9"/>
    <w:rsid w:val="00B85ADE"/>
    <w:rsid w:val="00B8602B"/>
    <w:rsid w:val="00B86049"/>
    <w:rsid w:val="00B86762"/>
    <w:rsid w:val="00B867B5"/>
    <w:rsid w:val="00B86B12"/>
    <w:rsid w:val="00B86EF0"/>
    <w:rsid w:val="00B872E4"/>
    <w:rsid w:val="00B87C98"/>
    <w:rsid w:val="00B87FCE"/>
    <w:rsid w:val="00B90134"/>
    <w:rsid w:val="00B901B5"/>
    <w:rsid w:val="00B90398"/>
    <w:rsid w:val="00B90806"/>
    <w:rsid w:val="00B9088D"/>
    <w:rsid w:val="00B90A2D"/>
    <w:rsid w:val="00B90C1D"/>
    <w:rsid w:val="00B91144"/>
    <w:rsid w:val="00B914B0"/>
    <w:rsid w:val="00B91508"/>
    <w:rsid w:val="00B91514"/>
    <w:rsid w:val="00B91574"/>
    <w:rsid w:val="00B91738"/>
    <w:rsid w:val="00B9179D"/>
    <w:rsid w:val="00B9186D"/>
    <w:rsid w:val="00B91937"/>
    <w:rsid w:val="00B91C31"/>
    <w:rsid w:val="00B921B3"/>
    <w:rsid w:val="00B925A9"/>
    <w:rsid w:val="00B92E7E"/>
    <w:rsid w:val="00B93199"/>
    <w:rsid w:val="00B9343E"/>
    <w:rsid w:val="00B93445"/>
    <w:rsid w:val="00B93527"/>
    <w:rsid w:val="00B935D5"/>
    <w:rsid w:val="00B939AD"/>
    <w:rsid w:val="00B93C79"/>
    <w:rsid w:val="00B941C8"/>
    <w:rsid w:val="00B94C09"/>
    <w:rsid w:val="00B94D1B"/>
    <w:rsid w:val="00B94DDD"/>
    <w:rsid w:val="00B95029"/>
    <w:rsid w:val="00B9544C"/>
    <w:rsid w:val="00B9567F"/>
    <w:rsid w:val="00B95DE8"/>
    <w:rsid w:val="00B9611F"/>
    <w:rsid w:val="00B9629B"/>
    <w:rsid w:val="00B96DC1"/>
    <w:rsid w:val="00B97360"/>
    <w:rsid w:val="00B9759B"/>
    <w:rsid w:val="00B97A18"/>
    <w:rsid w:val="00B97D27"/>
    <w:rsid w:val="00B97D40"/>
    <w:rsid w:val="00BA008F"/>
    <w:rsid w:val="00BA0324"/>
    <w:rsid w:val="00BA0510"/>
    <w:rsid w:val="00BA0713"/>
    <w:rsid w:val="00BA0858"/>
    <w:rsid w:val="00BA086E"/>
    <w:rsid w:val="00BA0C65"/>
    <w:rsid w:val="00BA114A"/>
    <w:rsid w:val="00BA12C9"/>
    <w:rsid w:val="00BA12EF"/>
    <w:rsid w:val="00BA1F5E"/>
    <w:rsid w:val="00BA219D"/>
    <w:rsid w:val="00BA2378"/>
    <w:rsid w:val="00BA26CB"/>
    <w:rsid w:val="00BA288C"/>
    <w:rsid w:val="00BA2AC9"/>
    <w:rsid w:val="00BA2B97"/>
    <w:rsid w:val="00BA2E85"/>
    <w:rsid w:val="00BA2E93"/>
    <w:rsid w:val="00BA2FB7"/>
    <w:rsid w:val="00BA3272"/>
    <w:rsid w:val="00BA33B1"/>
    <w:rsid w:val="00BA370E"/>
    <w:rsid w:val="00BA3CED"/>
    <w:rsid w:val="00BA3E04"/>
    <w:rsid w:val="00BA446D"/>
    <w:rsid w:val="00BA4516"/>
    <w:rsid w:val="00BA4828"/>
    <w:rsid w:val="00BA483A"/>
    <w:rsid w:val="00BA4840"/>
    <w:rsid w:val="00BA4FD8"/>
    <w:rsid w:val="00BA5043"/>
    <w:rsid w:val="00BA53B1"/>
    <w:rsid w:val="00BA5468"/>
    <w:rsid w:val="00BA573A"/>
    <w:rsid w:val="00BA573B"/>
    <w:rsid w:val="00BA60E4"/>
    <w:rsid w:val="00BA6127"/>
    <w:rsid w:val="00BA6246"/>
    <w:rsid w:val="00BA653F"/>
    <w:rsid w:val="00BA654B"/>
    <w:rsid w:val="00BA663F"/>
    <w:rsid w:val="00BA6A0B"/>
    <w:rsid w:val="00BA6AE0"/>
    <w:rsid w:val="00BA6B92"/>
    <w:rsid w:val="00BA6DA7"/>
    <w:rsid w:val="00BA6E43"/>
    <w:rsid w:val="00BA706B"/>
    <w:rsid w:val="00BA7349"/>
    <w:rsid w:val="00BA7610"/>
    <w:rsid w:val="00BA7733"/>
    <w:rsid w:val="00BA776F"/>
    <w:rsid w:val="00BA77EB"/>
    <w:rsid w:val="00BA7907"/>
    <w:rsid w:val="00BB0285"/>
    <w:rsid w:val="00BB0340"/>
    <w:rsid w:val="00BB03D3"/>
    <w:rsid w:val="00BB0433"/>
    <w:rsid w:val="00BB0830"/>
    <w:rsid w:val="00BB09CE"/>
    <w:rsid w:val="00BB0D25"/>
    <w:rsid w:val="00BB0F1B"/>
    <w:rsid w:val="00BB15F6"/>
    <w:rsid w:val="00BB1AD9"/>
    <w:rsid w:val="00BB1C55"/>
    <w:rsid w:val="00BB20C2"/>
    <w:rsid w:val="00BB227E"/>
    <w:rsid w:val="00BB233B"/>
    <w:rsid w:val="00BB252E"/>
    <w:rsid w:val="00BB262A"/>
    <w:rsid w:val="00BB2733"/>
    <w:rsid w:val="00BB273A"/>
    <w:rsid w:val="00BB2810"/>
    <w:rsid w:val="00BB2B6D"/>
    <w:rsid w:val="00BB2FDD"/>
    <w:rsid w:val="00BB30AB"/>
    <w:rsid w:val="00BB32AE"/>
    <w:rsid w:val="00BB3358"/>
    <w:rsid w:val="00BB3429"/>
    <w:rsid w:val="00BB35F6"/>
    <w:rsid w:val="00BB3C38"/>
    <w:rsid w:val="00BB3DDE"/>
    <w:rsid w:val="00BB400C"/>
    <w:rsid w:val="00BB40A0"/>
    <w:rsid w:val="00BB4561"/>
    <w:rsid w:val="00BB4635"/>
    <w:rsid w:val="00BB470E"/>
    <w:rsid w:val="00BB478F"/>
    <w:rsid w:val="00BB4811"/>
    <w:rsid w:val="00BB4895"/>
    <w:rsid w:val="00BB4A7C"/>
    <w:rsid w:val="00BB4BBB"/>
    <w:rsid w:val="00BB4D09"/>
    <w:rsid w:val="00BB50BA"/>
    <w:rsid w:val="00BB51E3"/>
    <w:rsid w:val="00BB5505"/>
    <w:rsid w:val="00BB58D1"/>
    <w:rsid w:val="00BB5C42"/>
    <w:rsid w:val="00BB5C53"/>
    <w:rsid w:val="00BB5E4C"/>
    <w:rsid w:val="00BB621F"/>
    <w:rsid w:val="00BB62A9"/>
    <w:rsid w:val="00BB659D"/>
    <w:rsid w:val="00BB6D68"/>
    <w:rsid w:val="00BB71E1"/>
    <w:rsid w:val="00BB727D"/>
    <w:rsid w:val="00BB72B1"/>
    <w:rsid w:val="00BB7457"/>
    <w:rsid w:val="00BB799C"/>
    <w:rsid w:val="00BB79BB"/>
    <w:rsid w:val="00BB7D50"/>
    <w:rsid w:val="00BB7EE9"/>
    <w:rsid w:val="00BC0431"/>
    <w:rsid w:val="00BC056F"/>
    <w:rsid w:val="00BC07DA"/>
    <w:rsid w:val="00BC0AF2"/>
    <w:rsid w:val="00BC0AF6"/>
    <w:rsid w:val="00BC0F8B"/>
    <w:rsid w:val="00BC10B6"/>
    <w:rsid w:val="00BC11D7"/>
    <w:rsid w:val="00BC150D"/>
    <w:rsid w:val="00BC1662"/>
    <w:rsid w:val="00BC1778"/>
    <w:rsid w:val="00BC1846"/>
    <w:rsid w:val="00BC18D2"/>
    <w:rsid w:val="00BC1942"/>
    <w:rsid w:val="00BC1963"/>
    <w:rsid w:val="00BC19DD"/>
    <w:rsid w:val="00BC1CEE"/>
    <w:rsid w:val="00BC1EFB"/>
    <w:rsid w:val="00BC20B9"/>
    <w:rsid w:val="00BC20EC"/>
    <w:rsid w:val="00BC21B7"/>
    <w:rsid w:val="00BC22CE"/>
    <w:rsid w:val="00BC23A6"/>
    <w:rsid w:val="00BC27CF"/>
    <w:rsid w:val="00BC2A1F"/>
    <w:rsid w:val="00BC2C7D"/>
    <w:rsid w:val="00BC2DDA"/>
    <w:rsid w:val="00BC2E0C"/>
    <w:rsid w:val="00BC2E33"/>
    <w:rsid w:val="00BC2ED9"/>
    <w:rsid w:val="00BC3117"/>
    <w:rsid w:val="00BC314B"/>
    <w:rsid w:val="00BC3199"/>
    <w:rsid w:val="00BC3314"/>
    <w:rsid w:val="00BC3655"/>
    <w:rsid w:val="00BC38A7"/>
    <w:rsid w:val="00BC3D07"/>
    <w:rsid w:val="00BC3D4E"/>
    <w:rsid w:val="00BC4169"/>
    <w:rsid w:val="00BC4841"/>
    <w:rsid w:val="00BC4985"/>
    <w:rsid w:val="00BC49AF"/>
    <w:rsid w:val="00BC52F4"/>
    <w:rsid w:val="00BC53C3"/>
    <w:rsid w:val="00BC57A1"/>
    <w:rsid w:val="00BC57C4"/>
    <w:rsid w:val="00BC5C8B"/>
    <w:rsid w:val="00BC5F2B"/>
    <w:rsid w:val="00BC60AC"/>
    <w:rsid w:val="00BC6207"/>
    <w:rsid w:val="00BC62C5"/>
    <w:rsid w:val="00BC6551"/>
    <w:rsid w:val="00BC660D"/>
    <w:rsid w:val="00BC6808"/>
    <w:rsid w:val="00BC68E3"/>
    <w:rsid w:val="00BC6BB9"/>
    <w:rsid w:val="00BC6DC6"/>
    <w:rsid w:val="00BC6DFF"/>
    <w:rsid w:val="00BC6F22"/>
    <w:rsid w:val="00BC717D"/>
    <w:rsid w:val="00BC72BC"/>
    <w:rsid w:val="00BC72C1"/>
    <w:rsid w:val="00BC77EE"/>
    <w:rsid w:val="00BC78AF"/>
    <w:rsid w:val="00BC7BF4"/>
    <w:rsid w:val="00BC7E40"/>
    <w:rsid w:val="00BC7ECE"/>
    <w:rsid w:val="00BD05FD"/>
    <w:rsid w:val="00BD10AD"/>
    <w:rsid w:val="00BD15A9"/>
    <w:rsid w:val="00BD1705"/>
    <w:rsid w:val="00BD18E7"/>
    <w:rsid w:val="00BD1F30"/>
    <w:rsid w:val="00BD230E"/>
    <w:rsid w:val="00BD24D3"/>
    <w:rsid w:val="00BD2701"/>
    <w:rsid w:val="00BD283C"/>
    <w:rsid w:val="00BD291E"/>
    <w:rsid w:val="00BD2941"/>
    <w:rsid w:val="00BD2D42"/>
    <w:rsid w:val="00BD3018"/>
    <w:rsid w:val="00BD30F8"/>
    <w:rsid w:val="00BD3481"/>
    <w:rsid w:val="00BD350C"/>
    <w:rsid w:val="00BD3FCF"/>
    <w:rsid w:val="00BD4590"/>
    <w:rsid w:val="00BD463D"/>
    <w:rsid w:val="00BD48D2"/>
    <w:rsid w:val="00BD4DCF"/>
    <w:rsid w:val="00BD4EF3"/>
    <w:rsid w:val="00BD4F3B"/>
    <w:rsid w:val="00BD5CBC"/>
    <w:rsid w:val="00BD5FEB"/>
    <w:rsid w:val="00BD62BF"/>
    <w:rsid w:val="00BD648F"/>
    <w:rsid w:val="00BD669A"/>
    <w:rsid w:val="00BD6888"/>
    <w:rsid w:val="00BD68BA"/>
    <w:rsid w:val="00BD6BAC"/>
    <w:rsid w:val="00BD6CCB"/>
    <w:rsid w:val="00BD6DB5"/>
    <w:rsid w:val="00BD70D2"/>
    <w:rsid w:val="00BD719F"/>
    <w:rsid w:val="00BD79BA"/>
    <w:rsid w:val="00BD7A7B"/>
    <w:rsid w:val="00BD7B72"/>
    <w:rsid w:val="00BD7BB2"/>
    <w:rsid w:val="00BD7C68"/>
    <w:rsid w:val="00BD7D9A"/>
    <w:rsid w:val="00BD7E31"/>
    <w:rsid w:val="00BD7EE0"/>
    <w:rsid w:val="00BE0096"/>
    <w:rsid w:val="00BE0251"/>
    <w:rsid w:val="00BE047B"/>
    <w:rsid w:val="00BE079D"/>
    <w:rsid w:val="00BE0C4B"/>
    <w:rsid w:val="00BE0D2E"/>
    <w:rsid w:val="00BE0DF0"/>
    <w:rsid w:val="00BE0F0D"/>
    <w:rsid w:val="00BE0FD2"/>
    <w:rsid w:val="00BE1363"/>
    <w:rsid w:val="00BE1536"/>
    <w:rsid w:val="00BE153C"/>
    <w:rsid w:val="00BE1635"/>
    <w:rsid w:val="00BE1B68"/>
    <w:rsid w:val="00BE1E42"/>
    <w:rsid w:val="00BE1E57"/>
    <w:rsid w:val="00BE1FB8"/>
    <w:rsid w:val="00BE20B4"/>
    <w:rsid w:val="00BE22C2"/>
    <w:rsid w:val="00BE2374"/>
    <w:rsid w:val="00BE2449"/>
    <w:rsid w:val="00BE26BF"/>
    <w:rsid w:val="00BE2847"/>
    <w:rsid w:val="00BE2F29"/>
    <w:rsid w:val="00BE335D"/>
    <w:rsid w:val="00BE3468"/>
    <w:rsid w:val="00BE34A4"/>
    <w:rsid w:val="00BE35A1"/>
    <w:rsid w:val="00BE3665"/>
    <w:rsid w:val="00BE3CBD"/>
    <w:rsid w:val="00BE3DFB"/>
    <w:rsid w:val="00BE4000"/>
    <w:rsid w:val="00BE40B1"/>
    <w:rsid w:val="00BE4519"/>
    <w:rsid w:val="00BE4576"/>
    <w:rsid w:val="00BE4B4E"/>
    <w:rsid w:val="00BE4E80"/>
    <w:rsid w:val="00BE4FB1"/>
    <w:rsid w:val="00BE506B"/>
    <w:rsid w:val="00BE50C1"/>
    <w:rsid w:val="00BE5203"/>
    <w:rsid w:val="00BE544E"/>
    <w:rsid w:val="00BE5628"/>
    <w:rsid w:val="00BE57A6"/>
    <w:rsid w:val="00BE5A9B"/>
    <w:rsid w:val="00BE5C79"/>
    <w:rsid w:val="00BE5CAD"/>
    <w:rsid w:val="00BE5F43"/>
    <w:rsid w:val="00BE5F9E"/>
    <w:rsid w:val="00BE6054"/>
    <w:rsid w:val="00BE65B8"/>
    <w:rsid w:val="00BE6733"/>
    <w:rsid w:val="00BE69CF"/>
    <w:rsid w:val="00BE6E27"/>
    <w:rsid w:val="00BE7016"/>
    <w:rsid w:val="00BE7031"/>
    <w:rsid w:val="00BE71A0"/>
    <w:rsid w:val="00BE72C3"/>
    <w:rsid w:val="00BE73FF"/>
    <w:rsid w:val="00BE750F"/>
    <w:rsid w:val="00BE7564"/>
    <w:rsid w:val="00BE7DCB"/>
    <w:rsid w:val="00BE7E00"/>
    <w:rsid w:val="00BF0219"/>
    <w:rsid w:val="00BF0422"/>
    <w:rsid w:val="00BF06DA"/>
    <w:rsid w:val="00BF07AB"/>
    <w:rsid w:val="00BF0A04"/>
    <w:rsid w:val="00BF16B0"/>
    <w:rsid w:val="00BF16F2"/>
    <w:rsid w:val="00BF1A61"/>
    <w:rsid w:val="00BF1A91"/>
    <w:rsid w:val="00BF2000"/>
    <w:rsid w:val="00BF20EC"/>
    <w:rsid w:val="00BF21E3"/>
    <w:rsid w:val="00BF2627"/>
    <w:rsid w:val="00BF29DE"/>
    <w:rsid w:val="00BF2F5F"/>
    <w:rsid w:val="00BF316E"/>
    <w:rsid w:val="00BF3212"/>
    <w:rsid w:val="00BF385E"/>
    <w:rsid w:val="00BF399F"/>
    <w:rsid w:val="00BF3AC0"/>
    <w:rsid w:val="00BF4202"/>
    <w:rsid w:val="00BF4263"/>
    <w:rsid w:val="00BF489F"/>
    <w:rsid w:val="00BF48B6"/>
    <w:rsid w:val="00BF49EC"/>
    <w:rsid w:val="00BF4A31"/>
    <w:rsid w:val="00BF4B5D"/>
    <w:rsid w:val="00BF4B99"/>
    <w:rsid w:val="00BF4BED"/>
    <w:rsid w:val="00BF4D5F"/>
    <w:rsid w:val="00BF4EB2"/>
    <w:rsid w:val="00BF4F1B"/>
    <w:rsid w:val="00BF5208"/>
    <w:rsid w:val="00BF5314"/>
    <w:rsid w:val="00BF58C9"/>
    <w:rsid w:val="00BF5F1E"/>
    <w:rsid w:val="00BF5FA2"/>
    <w:rsid w:val="00BF617B"/>
    <w:rsid w:val="00BF62B6"/>
    <w:rsid w:val="00BF63E7"/>
    <w:rsid w:val="00BF65C6"/>
    <w:rsid w:val="00BF6787"/>
    <w:rsid w:val="00BF6C14"/>
    <w:rsid w:val="00BF6C46"/>
    <w:rsid w:val="00BF6F53"/>
    <w:rsid w:val="00BF76D0"/>
    <w:rsid w:val="00BF76E2"/>
    <w:rsid w:val="00BF774B"/>
    <w:rsid w:val="00BF780E"/>
    <w:rsid w:val="00BF7D9A"/>
    <w:rsid w:val="00BF7FA7"/>
    <w:rsid w:val="00BF7FEB"/>
    <w:rsid w:val="00C001D7"/>
    <w:rsid w:val="00C005D7"/>
    <w:rsid w:val="00C009B4"/>
    <w:rsid w:val="00C00A43"/>
    <w:rsid w:val="00C00E64"/>
    <w:rsid w:val="00C00FF5"/>
    <w:rsid w:val="00C01001"/>
    <w:rsid w:val="00C01052"/>
    <w:rsid w:val="00C01292"/>
    <w:rsid w:val="00C012F6"/>
    <w:rsid w:val="00C015DA"/>
    <w:rsid w:val="00C016CB"/>
    <w:rsid w:val="00C01888"/>
    <w:rsid w:val="00C018B8"/>
    <w:rsid w:val="00C01991"/>
    <w:rsid w:val="00C019BE"/>
    <w:rsid w:val="00C01A39"/>
    <w:rsid w:val="00C01AF1"/>
    <w:rsid w:val="00C01B05"/>
    <w:rsid w:val="00C01BCD"/>
    <w:rsid w:val="00C0212B"/>
    <w:rsid w:val="00C02312"/>
    <w:rsid w:val="00C0279F"/>
    <w:rsid w:val="00C02D3F"/>
    <w:rsid w:val="00C035F2"/>
    <w:rsid w:val="00C036AF"/>
    <w:rsid w:val="00C03B22"/>
    <w:rsid w:val="00C03FD4"/>
    <w:rsid w:val="00C04161"/>
    <w:rsid w:val="00C04196"/>
    <w:rsid w:val="00C041B8"/>
    <w:rsid w:val="00C043F4"/>
    <w:rsid w:val="00C0445F"/>
    <w:rsid w:val="00C04700"/>
    <w:rsid w:val="00C04AB3"/>
    <w:rsid w:val="00C04C44"/>
    <w:rsid w:val="00C04DE6"/>
    <w:rsid w:val="00C04F73"/>
    <w:rsid w:val="00C05038"/>
    <w:rsid w:val="00C0505C"/>
    <w:rsid w:val="00C051E7"/>
    <w:rsid w:val="00C05929"/>
    <w:rsid w:val="00C05C94"/>
    <w:rsid w:val="00C05D2B"/>
    <w:rsid w:val="00C05E23"/>
    <w:rsid w:val="00C0619C"/>
    <w:rsid w:val="00C062DD"/>
    <w:rsid w:val="00C0652A"/>
    <w:rsid w:val="00C0665B"/>
    <w:rsid w:val="00C07002"/>
    <w:rsid w:val="00C07193"/>
    <w:rsid w:val="00C072DC"/>
    <w:rsid w:val="00C075E0"/>
    <w:rsid w:val="00C076B6"/>
    <w:rsid w:val="00C07C8D"/>
    <w:rsid w:val="00C07E3F"/>
    <w:rsid w:val="00C100ED"/>
    <w:rsid w:val="00C102CD"/>
    <w:rsid w:val="00C10487"/>
    <w:rsid w:val="00C104FA"/>
    <w:rsid w:val="00C109CA"/>
    <w:rsid w:val="00C1107B"/>
    <w:rsid w:val="00C112B5"/>
    <w:rsid w:val="00C113DD"/>
    <w:rsid w:val="00C11472"/>
    <w:rsid w:val="00C116A0"/>
    <w:rsid w:val="00C11779"/>
    <w:rsid w:val="00C11C8E"/>
    <w:rsid w:val="00C11D97"/>
    <w:rsid w:val="00C11F35"/>
    <w:rsid w:val="00C124CA"/>
    <w:rsid w:val="00C12625"/>
    <w:rsid w:val="00C12885"/>
    <w:rsid w:val="00C128E3"/>
    <w:rsid w:val="00C12A9E"/>
    <w:rsid w:val="00C12D71"/>
    <w:rsid w:val="00C12F24"/>
    <w:rsid w:val="00C12FD7"/>
    <w:rsid w:val="00C13B5D"/>
    <w:rsid w:val="00C13E9F"/>
    <w:rsid w:val="00C13F0D"/>
    <w:rsid w:val="00C141E3"/>
    <w:rsid w:val="00C143E9"/>
    <w:rsid w:val="00C14410"/>
    <w:rsid w:val="00C14911"/>
    <w:rsid w:val="00C14BF3"/>
    <w:rsid w:val="00C14BF7"/>
    <w:rsid w:val="00C14C63"/>
    <w:rsid w:val="00C14C67"/>
    <w:rsid w:val="00C1510A"/>
    <w:rsid w:val="00C15592"/>
    <w:rsid w:val="00C15631"/>
    <w:rsid w:val="00C15678"/>
    <w:rsid w:val="00C15742"/>
    <w:rsid w:val="00C15A04"/>
    <w:rsid w:val="00C165CD"/>
    <w:rsid w:val="00C16639"/>
    <w:rsid w:val="00C16F57"/>
    <w:rsid w:val="00C16F8A"/>
    <w:rsid w:val="00C16FB4"/>
    <w:rsid w:val="00C16FDE"/>
    <w:rsid w:val="00C171B8"/>
    <w:rsid w:val="00C17D39"/>
    <w:rsid w:val="00C17E7A"/>
    <w:rsid w:val="00C17F1D"/>
    <w:rsid w:val="00C20771"/>
    <w:rsid w:val="00C20BCC"/>
    <w:rsid w:val="00C2105D"/>
    <w:rsid w:val="00C211D7"/>
    <w:rsid w:val="00C212D9"/>
    <w:rsid w:val="00C213AD"/>
    <w:rsid w:val="00C213C1"/>
    <w:rsid w:val="00C21608"/>
    <w:rsid w:val="00C2171F"/>
    <w:rsid w:val="00C217A6"/>
    <w:rsid w:val="00C2187E"/>
    <w:rsid w:val="00C2199F"/>
    <w:rsid w:val="00C21C03"/>
    <w:rsid w:val="00C21CB9"/>
    <w:rsid w:val="00C22017"/>
    <w:rsid w:val="00C220F2"/>
    <w:rsid w:val="00C2239A"/>
    <w:rsid w:val="00C2299C"/>
    <w:rsid w:val="00C229C5"/>
    <w:rsid w:val="00C22A4A"/>
    <w:rsid w:val="00C22B9E"/>
    <w:rsid w:val="00C22F04"/>
    <w:rsid w:val="00C23189"/>
    <w:rsid w:val="00C232AF"/>
    <w:rsid w:val="00C234DC"/>
    <w:rsid w:val="00C2353A"/>
    <w:rsid w:val="00C23BA2"/>
    <w:rsid w:val="00C241CC"/>
    <w:rsid w:val="00C241DB"/>
    <w:rsid w:val="00C24269"/>
    <w:rsid w:val="00C244EE"/>
    <w:rsid w:val="00C2487C"/>
    <w:rsid w:val="00C248BE"/>
    <w:rsid w:val="00C248EB"/>
    <w:rsid w:val="00C249D5"/>
    <w:rsid w:val="00C24A49"/>
    <w:rsid w:val="00C24AA8"/>
    <w:rsid w:val="00C24BD5"/>
    <w:rsid w:val="00C24F7E"/>
    <w:rsid w:val="00C2514C"/>
    <w:rsid w:val="00C25528"/>
    <w:rsid w:val="00C25A31"/>
    <w:rsid w:val="00C25B43"/>
    <w:rsid w:val="00C25C60"/>
    <w:rsid w:val="00C25D48"/>
    <w:rsid w:val="00C2602E"/>
    <w:rsid w:val="00C26074"/>
    <w:rsid w:val="00C2648A"/>
    <w:rsid w:val="00C26ACF"/>
    <w:rsid w:val="00C26AEB"/>
    <w:rsid w:val="00C26B00"/>
    <w:rsid w:val="00C26C44"/>
    <w:rsid w:val="00C26FC7"/>
    <w:rsid w:val="00C27067"/>
    <w:rsid w:val="00C273ED"/>
    <w:rsid w:val="00C2746B"/>
    <w:rsid w:val="00C27590"/>
    <w:rsid w:val="00C278C0"/>
    <w:rsid w:val="00C279E3"/>
    <w:rsid w:val="00C27A37"/>
    <w:rsid w:val="00C27CED"/>
    <w:rsid w:val="00C27D5A"/>
    <w:rsid w:val="00C27EA8"/>
    <w:rsid w:val="00C27F83"/>
    <w:rsid w:val="00C30497"/>
    <w:rsid w:val="00C309F7"/>
    <w:rsid w:val="00C30CD1"/>
    <w:rsid w:val="00C318FD"/>
    <w:rsid w:val="00C3199D"/>
    <w:rsid w:val="00C31BBE"/>
    <w:rsid w:val="00C31DFE"/>
    <w:rsid w:val="00C3273F"/>
    <w:rsid w:val="00C327D4"/>
    <w:rsid w:val="00C33329"/>
    <w:rsid w:val="00C333D8"/>
    <w:rsid w:val="00C338E0"/>
    <w:rsid w:val="00C33A20"/>
    <w:rsid w:val="00C342FA"/>
    <w:rsid w:val="00C343F9"/>
    <w:rsid w:val="00C3441C"/>
    <w:rsid w:val="00C346C6"/>
    <w:rsid w:val="00C347F7"/>
    <w:rsid w:val="00C3484B"/>
    <w:rsid w:val="00C3524B"/>
    <w:rsid w:val="00C35588"/>
    <w:rsid w:val="00C355A6"/>
    <w:rsid w:val="00C35771"/>
    <w:rsid w:val="00C35A5B"/>
    <w:rsid w:val="00C35E58"/>
    <w:rsid w:val="00C35F39"/>
    <w:rsid w:val="00C35FCC"/>
    <w:rsid w:val="00C36523"/>
    <w:rsid w:val="00C3668E"/>
    <w:rsid w:val="00C3672F"/>
    <w:rsid w:val="00C36AC4"/>
    <w:rsid w:val="00C36DAF"/>
    <w:rsid w:val="00C37195"/>
    <w:rsid w:val="00C376B2"/>
    <w:rsid w:val="00C377CE"/>
    <w:rsid w:val="00C37A66"/>
    <w:rsid w:val="00C37F0D"/>
    <w:rsid w:val="00C37F6D"/>
    <w:rsid w:val="00C37FD5"/>
    <w:rsid w:val="00C4034F"/>
    <w:rsid w:val="00C404FD"/>
    <w:rsid w:val="00C40920"/>
    <w:rsid w:val="00C40D1A"/>
    <w:rsid w:val="00C40E39"/>
    <w:rsid w:val="00C41190"/>
    <w:rsid w:val="00C41804"/>
    <w:rsid w:val="00C42646"/>
    <w:rsid w:val="00C4284C"/>
    <w:rsid w:val="00C428A9"/>
    <w:rsid w:val="00C42AFF"/>
    <w:rsid w:val="00C42D6D"/>
    <w:rsid w:val="00C42DCE"/>
    <w:rsid w:val="00C432D9"/>
    <w:rsid w:val="00C4339F"/>
    <w:rsid w:val="00C435EF"/>
    <w:rsid w:val="00C43734"/>
    <w:rsid w:val="00C4378F"/>
    <w:rsid w:val="00C437C1"/>
    <w:rsid w:val="00C4389C"/>
    <w:rsid w:val="00C43A51"/>
    <w:rsid w:val="00C43A66"/>
    <w:rsid w:val="00C43DAD"/>
    <w:rsid w:val="00C43DEC"/>
    <w:rsid w:val="00C43FC6"/>
    <w:rsid w:val="00C440D8"/>
    <w:rsid w:val="00C444F1"/>
    <w:rsid w:val="00C45027"/>
    <w:rsid w:val="00C45075"/>
    <w:rsid w:val="00C45275"/>
    <w:rsid w:val="00C4532E"/>
    <w:rsid w:val="00C45906"/>
    <w:rsid w:val="00C45ACB"/>
    <w:rsid w:val="00C45DEA"/>
    <w:rsid w:val="00C45F69"/>
    <w:rsid w:val="00C462A6"/>
    <w:rsid w:val="00C462A9"/>
    <w:rsid w:val="00C4686A"/>
    <w:rsid w:val="00C46A11"/>
    <w:rsid w:val="00C46A9D"/>
    <w:rsid w:val="00C46AAB"/>
    <w:rsid w:val="00C46ABC"/>
    <w:rsid w:val="00C46D74"/>
    <w:rsid w:val="00C46DD8"/>
    <w:rsid w:val="00C46EDA"/>
    <w:rsid w:val="00C4713A"/>
    <w:rsid w:val="00C4745F"/>
    <w:rsid w:val="00C47533"/>
    <w:rsid w:val="00C47AF1"/>
    <w:rsid w:val="00C47BAF"/>
    <w:rsid w:val="00C47C53"/>
    <w:rsid w:val="00C47E94"/>
    <w:rsid w:val="00C47FE0"/>
    <w:rsid w:val="00C47FF4"/>
    <w:rsid w:val="00C50586"/>
    <w:rsid w:val="00C506E0"/>
    <w:rsid w:val="00C50F66"/>
    <w:rsid w:val="00C51487"/>
    <w:rsid w:val="00C5155D"/>
    <w:rsid w:val="00C516DE"/>
    <w:rsid w:val="00C517A1"/>
    <w:rsid w:val="00C51838"/>
    <w:rsid w:val="00C51959"/>
    <w:rsid w:val="00C51BD9"/>
    <w:rsid w:val="00C51C9A"/>
    <w:rsid w:val="00C51D04"/>
    <w:rsid w:val="00C51F33"/>
    <w:rsid w:val="00C5214D"/>
    <w:rsid w:val="00C52652"/>
    <w:rsid w:val="00C52D0F"/>
    <w:rsid w:val="00C52EB3"/>
    <w:rsid w:val="00C53267"/>
    <w:rsid w:val="00C53286"/>
    <w:rsid w:val="00C534E6"/>
    <w:rsid w:val="00C535BB"/>
    <w:rsid w:val="00C53ABE"/>
    <w:rsid w:val="00C53C2D"/>
    <w:rsid w:val="00C53D2B"/>
    <w:rsid w:val="00C53F51"/>
    <w:rsid w:val="00C54106"/>
    <w:rsid w:val="00C541E1"/>
    <w:rsid w:val="00C54679"/>
    <w:rsid w:val="00C547CB"/>
    <w:rsid w:val="00C549D4"/>
    <w:rsid w:val="00C54F98"/>
    <w:rsid w:val="00C550B5"/>
    <w:rsid w:val="00C55131"/>
    <w:rsid w:val="00C551ED"/>
    <w:rsid w:val="00C55507"/>
    <w:rsid w:val="00C55570"/>
    <w:rsid w:val="00C55955"/>
    <w:rsid w:val="00C55ACA"/>
    <w:rsid w:val="00C55D34"/>
    <w:rsid w:val="00C55D63"/>
    <w:rsid w:val="00C55EB4"/>
    <w:rsid w:val="00C56061"/>
    <w:rsid w:val="00C5647F"/>
    <w:rsid w:val="00C56555"/>
    <w:rsid w:val="00C56C1E"/>
    <w:rsid w:val="00C56E30"/>
    <w:rsid w:val="00C570C0"/>
    <w:rsid w:val="00C57173"/>
    <w:rsid w:val="00C573C1"/>
    <w:rsid w:val="00C57B76"/>
    <w:rsid w:val="00C60445"/>
    <w:rsid w:val="00C60474"/>
    <w:rsid w:val="00C6052E"/>
    <w:rsid w:val="00C606A9"/>
    <w:rsid w:val="00C60827"/>
    <w:rsid w:val="00C6093F"/>
    <w:rsid w:val="00C61238"/>
    <w:rsid w:val="00C6186A"/>
    <w:rsid w:val="00C6189B"/>
    <w:rsid w:val="00C618F7"/>
    <w:rsid w:val="00C61979"/>
    <w:rsid w:val="00C6224D"/>
    <w:rsid w:val="00C629BD"/>
    <w:rsid w:val="00C62D7A"/>
    <w:rsid w:val="00C633C7"/>
    <w:rsid w:val="00C63634"/>
    <w:rsid w:val="00C637EC"/>
    <w:rsid w:val="00C6386D"/>
    <w:rsid w:val="00C63A0F"/>
    <w:rsid w:val="00C6406A"/>
    <w:rsid w:val="00C642B0"/>
    <w:rsid w:val="00C644B2"/>
    <w:rsid w:val="00C645D7"/>
    <w:rsid w:val="00C647A2"/>
    <w:rsid w:val="00C64876"/>
    <w:rsid w:val="00C64C02"/>
    <w:rsid w:val="00C64C19"/>
    <w:rsid w:val="00C64C63"/>
    <w:rsid w:val="00C64CB4"/>
    <w:rsid w:val="00C64F1A"/>
    <w:rsid w:val="00C65070"/>
    <w:rsid w:val="00C65080"/>
    <w:rsid w:val="00C651EA"/>
    <w:rsid w:val="00C654A2"/>
    <w:rsid w:val="00C654BF"/>
    <w:rsid w:val="00C65546"/>
    <w:rsid w:val="00C659AE"/>
    <w:rsid w:val="00C65ACC"/>
    <w:rsid w:val="00C65F85"/>
    <w:rsid w:val="00C66062"/>
    <w:rsid w:val="00C662BF"/>
    <w:rsid w:val="00C66420"/>
    <w:rsid w:val="00C666C8"/>
    <w:rsid w:val="00C669AD"/>
    <w:rsid w:val="00C669EF"/>
    <w:rsid w:val="00C669F5"/>
    <w:rsid w:val="00C66A98"/>
    <w:rsid w:val="00C66D07"/>
    <w:rsid w:val="00C6730B"/>
    <w:rsid w:val="00C6733F"/>
    <w:rsid w:val="00C67614"/>
    <w:rsid w:val="00C6790D"/>
    <w:rsid w:val="00C67B4C"/>
    <w:rsid w:val="00C67B9D"/>
    <w:rsid w:val="00C67CF5"/>
    <w:rsid w:val="00C67DBA"/>
    <w:rsid w:val="00C67F4F"/>
    <w:rsid w:val="00C70361"/>
    <w:rsid w:val="00C7043D"/>
    <w:rsid w:val="00C70462"/>
    <w:rsid w:val="00C708E9"/>
    <w:rsid w:val="00C70E1B"/>
    <w:rsid w:val="00C710E4"/>
    <w:rsid w:val="00C71307"/>
    <w:rsid w:val="00C714D4"/>
    <w:rsid w:val="00C715F9"/>
    <w:rsid w:val="00C71915"/>
    <w:rsid w:val="00C71947"/>
    <w:rsid w:val="00C719F1"/>
    <w:rsid w:val="00C71A89"/>
    <w:rsid w:val="00C71B20"/>
    <w:rsid w:val="00C71C06"/>
    <w:rsid w:val="00C71C53"/>
    <w:rsid w:val="00C71D4F"/>
    <w:rsid w:val="00C72004"/>
    <w:rsid w:val="00C720E0"/>
    <w:rsid w:val="00C72326"/>
    <w:rsid w:val="00C724E4"/>
    <w:rsid w:val="00C726B9"/>
    <w:rsid w:val="00C7293D"/>
    <w:rsid w:val="00C72A7B"/>
    <w:rsid w:val="00C72E0E"/>
    <w:rsid w:val="00C72F33"/>
    <w:rsid w:val="00C734FF"/>
    <w:rsid w:val="00C736E2"/>
    <w:rsid w:val="00C73C38"/>
    <w:rsid w:val="00C742C7"/>
    <w:rsid w:val="00C74352"/>
    <w:rsid w:val="00C74412"/>
    <w:rsid w:val="00C74468"/>
    <w:rsid w:val="00C7456A"/>
    <w:rsid w:val="00C751D8"/>
    <w:rsid w:val="00C751E4"/>
    <w:rsid w:val="00C7533C"/>
    <w:rsid w:val="00C753C2"/>
    <w:rsid w:val="00C759C3"/>
    <w:rsid w:val="00C759E5"/>
    <w:rsid w:val="00C75C77"/>
    <w:rsid w:val="00C75D44"/>
    <w:rsid w:val="00C75E04"/>
    <w:rsid w:val="00C760CF"/>
    <w:rsid w:val="00C76102"/>
    <w:rsid w:val="00C76132"/>
    <w:rsid w:val="00C76252"/>
    <w:rsid w:val="00C7641D"/>
    <w:rsid w:val="00C766A2"/>
    <w:rsid w:val="00C7689B"/>
    <w:rsid w:val="00C7693C"/>
    <w:rsid w:val="00C76C14"/>
    <w:rsid w:val="00C76F2F"/>
    <w:rsid w:val="00C77390"/>
    <w:rsid w:val="00C773F6"/>
    <w:rsid w:val="00C77450"/>
    <w:rsid w:val="00C774BA"/>
    <w:rsid w:val="00C777C7"/>
    <w:rsid w:val="00C77968"/>
    <w:rsid w:val="00C77A24"/>
    <w:rsid w:val="00C77CC4"/>
    <w:rsid w:val="00C77D13"/>
    <w:rsid w:val="00C77E48"/>
    <w:rsid w:val="00C80344"/>
    <w:rsid w:val="00C804AC"/>
    <w:rsid w:val="00C807B5"/>
    <w:rsid w:val="00C807CA"/>
    <w:rsid w:val="00C80A9F"/>
    <w:rsid w:val="00C80B24"/>
    <w:rsid w:val="00C80E88"/>
    <w:rsid w:val="00C810F4"/>
    <w:rsid w:val="00C81B02"/>
    <w:rsid w:val="00C81B61"/>
    <w:rsid w:val="00C821A9"/>
    <w:rsid w:val="00C82A56"/>
    <w:rsid w:val="00C83075"/>
    <w:rsid w:val="00C83264"/>
    <w:rsid w:val="00C83465"/>
    <w:rsid w:val="00C83DCA"/>
    <w:rsid w:val="00C84052"/>
    <w:rsid w:val="00C844BA"/>
    <w:rsid w:val="00C8457C"/>
    <w:rsid w:val="00C84898"/>
    <w:rsid w:val="00C84C2C"/>
    <w:rsid w:val="00C84EB8"/>
    <w:rsid w:val="00C84ED4"/>
    <w:rsid w:val="00C855B5"/>
    <w:rsid w:val="00C85829"/>
    <w:rsid w:val="00C8594D"/>
    <w:rsid w:val="00C85A19"/>
    <w:rsid w:val="00C85AEC"/>
    <w:rsid w:val="00C85DB9"/>
    <w:rsid w:val="00C85F92"/>
    <w:rsid w:val="00C86014"/>
    <w:rsid w:val="00C86277"/>
    <w:rsid w:val="00C86375"/>
    <w:rsid w:val="00C86D24"/>
    <w:rsid w:val="00C86D82"/>
    <w:rsid w:val="00C86EE2"/>
    <w:rsid w:val="00C87251"/>
    <w:rsid w:val="00C87291"/>
    <w:rsid w:val="00C87811"/>
    <w:rsid w:val="00C878EC"/>
    <w:rsid w:val="00C87912"/>
    <w:rsid w:val="00C87A22"/>
    <w:rsid w:val="00C87B55"/>
    <w:rsid w:val="00C87C1B"/>
    <w:rsid w:val="00C90152"/>
    <w:rsid w:val="00C90483"/>
    <w:rsid w:val="00C90A8E"/>
    <w:rsid w:val="00C90D91"/>
    <w:rsid w:val="00C91156"/>
    <w:rsid w:val="00C911E2"/>
    <w:rsid w:val="00C916A4"/>
    <w:rsid w:val="00C917A6"/>
    <w:rsid w:val="00C917B0"/>
    <w:rsid w:val="00C91A03"/>
    <w:rsid w:val="00C91CE5"/>
    <w:rsid w:val="00C91D5A"/>
    <w:rsid w:val="00C9205C"/>
    <w:rsid w:val="00C92099"/>
    <w:rsid w:val="00C925D8"/>
    <w:rsid w:val="00C92C25"/>
    <w:rsid w:val="00C933CD"/>
    <w:rsid w:val="00C937D4"/>
    <w:rsid w:val="00C93899"/>
    <w:rsid w:val="00C9392B"/>
    <w:rsid w:val="00C9397B"/>
    <w:rsid w:val="00C93CA5"/>
    <w:rsid w:val="00C93F36"/>
    <w:rsid w:val="00C94016"/>
    <w:rsid w:val="00C9434B"/>
    <w:rsid w:val="00C9436C"/>
    <w:rsid w:val="00C9439D"/>
    <w:rsid w:val="00C945C8"/>
    <w:rsid w:val="00C94D55"/>
    <w:rsid w:val="00C95007"/>
    <w:rsid w:val="00C950CE"/>
    <w:rsid w:val="00C950F5"/>
    <w:rsid w:val="00C95284"/>
    <w:rsid w:val="00C9542B"/>
    <w:rsid w:val="00C95548"/>
    <w:rsid w:val="00C95956"/>
    <w:rsid w:val="00C959DC"/>
    <w:rsid w:val="00C95CD1"/>
    <w:rsid w:val="00C960F1"/>
    <w:rsid w:val="00C96233"/>
    <w:rsid w:val="00C963C5"/>
    <w:rsid w:val="00C9640E"/>
    <w:rsid w:val="00C968A7"/>
    <w:rsid w:val="00C968B1"/>
    <w:rsid w:val="00C969C1"/>
    <w:rsid w:val="00C97162"/>
    <w:rsid w:val="00C9720A"/>
    <w:rsid w:val="00C97735"/>
    <w:rsid w:val="00C97750"/>
    <w:rsid w:val="00C97799"/>
    <w:rsid w:val="00C97B6A"/>
    <w:rsid w:val="00C97C14"/>
    <w:rsid w:val="00C9F494"/>
    <w:rsid w:val="00CA0123"/>
    <w:rsid w:val="00CA02A1"/>
    <w:rsid w:val="00CA0329"/>
    <w:rsid w:val="00CA0393"/>
    <w:rsid w:val="00CA03D0"/>
    <w:rsid w:val="00CA06AA"/>
    <w:rsid w:val="00CA0C12"/>
    <w:rsid w:val="00CA0D66"/>
    <w:rsid w:val="00CA120A"/>
    <w:rsid w:val="00CA1216"/>
    <w:rsid w:val="00CA131F"/>
    <w:rsid w:val="00CA13A5"/>
    <w:rsid w:val="00CA13B1"/>
    <w:rsid w:val="00CA1766"/>
    <w:rsid w:val="00CA1907"/>
    <w:rsid w:val="00CA1E1B"/>
    <w:rsid w:val="00CA223C"/>
    <w:rsid w:val="00CA24C1"/>
    <w:rsid w:val="00CA29B7"/>
    <w:rsid w:val="00CA29E0"/>
    <w:rsid w:val="00CA2A01"/>
    <w:rsid w:val="00CA2B37"/>
    <w:rsid w:val="00CA2C81"/>
    <w:rsid w:val="00CA34EB"/>
    <w:rsid w:val="00CA35B6"/>
    <w:rsid w:val="00CA361E"/>
    <w:rsid w:val="00CA37C0"/>
    <w:rsid w:val="00CA37E1"/>
    <w:rsid w:val="00CA3B7C"/>
    <w:rsid w:val="00CA4286"/>
    <w:rsid w:val="00CA43E1"/>
    <w:rsid w:val="00CA4882"/>
    <w:rsid w:val="00CA4CFE"/>
    <w:rsid w:val="00CA54DF"/>
    <w:rsid w:val="00CA58D4"/>
    <w:rsid w:val="00CA5901"/>
    <w:rsid w:val="00CA59C6"/>
    <w:rsid w:val="00CA5D69"/>
    <w:rsid w:val="00CA6DC6"/>
    <w:rsid w:val="00CA73E6"/>
    <w:rsid w:val="00CA75A4"/>
    <w:rsid w:val="00CA7708"/>
    <w:rsid w:val="00CA77D4"/>
    <w:rsid w:val="00CA77E9"/>
    <w:rsid w:val="00CA77F6"/>
    <w:rsid w:val="00CA7AB1"/>
    <w:rsid w:val="00CA7F0A"/>
    <w:rsid w:val="00CA7F9A"/>
    <w:rsid w:val="00CB017E"/>
    <w:rsid w:val="00CB01CF"/>
    <w:rsid w:val="00CB0235"/>
    <w:rsid w:val="00CB0679"/>
    <w:rsid w:val="00CB0AC5"/>
    <w:rsid w:val="00CB0E1F"/>
    <w:rsid w:val="00CB10B8"/>
    <w:rsid w:val="00CB12FE"/>
    <w:rsid w:val="00CB1468"/>
    <w:rsid w:val="00CB1680"/>
    <w:rsid w:val="00CB18AD"/>
    <w:rsid w:val="00CB1A3C"/>
    <w:rsid w:val="00CB20B3"/>
    <w:rsid w:val="00CB2175"/>
    <w:rsid w:val="00CB27DF"/>
    <w:rsid w:val="00CB2BFB"/>
    <w:rsid w:val="00CB2FF5"/>
    <w:rsid w:val="00CB3088"/>
    <w:rsid w:val="00CB34DB"/>
    <w:rsid w:val="00CB35CC"/>
    <w:rsid w:val="00CB374B"/>
    <w:rsid w:val="00CB3850"/>
    <w:rsid w:val="00CB38EE"/>
    <w:rsid w:val="00CB3E8C"/>
    <w:rsid w:val="00CB43A3"/>
    <w:rsid w:val="00CB45F1"/>
    <w:rsid w:val="00CB4C39"/>
    <w:rsid w:val="00CB500A"/>
    <w:rsid w:val="00CB5165"/>
    <w:rsid w:val="00CB53FA"/>
    <w:rsid w:val="00CB556B"/>
    <w:rsid w:val="00CB5AC8"/>
    <w:rsid w:val="00CB662D"/>
    <w:rsid w:val="00CB6951"/>
    <w:rsid w:val="00CB6AAF"/>
    <w:rsid w:val="00CB79F3"/>
    <w:rsid w:val="00CB7A50"/>
    <w:rsid w:val="00CB7C3A"/>
    <w:rsid w:val="00CC0041"/>
    <w:rsid w:val="00CC04EF"/>
    <w:rsid w:val="00CC05F2"/>
    <w:rsid w:val="00CC0AD5"/>
    <w:rsid w:val="00CC0BFE"/>
    <w:rsid w:val="00CC0E9A"/>
    <w:rsid w:val="00CC1374"/>
    <w:rsid w:val="00CC156D"/>
    <w:rsid w:val="00CC174E"/>
    <w:rsid w:val="00CC1874"/>
    <w:rsid w:val="00CC1A61"/>
    <w:rsid w:val="00CC1AC2"/>
    <w:rsid w:val="00CC1AF0"/>
    <w:rsid w:val="00CC1D0D"/>
    <w:rsid w:val="00CC1E28"/>
    <w:rsid w:val="00CC1E49"/>
    <w:rsid w:val="00CC1ECD"/>
    <w:rsid w:val="00CC23FB"/>
    <w:rsid w:val="00CC2645"/>
    <w:rsid w:val="00CC2832"/>
    <w:rsid w:val="00CC2F85"/>
    <w:rsid w:val="00CC369F"/>
    <w:rsid w:val="00CC36EF"/>
    <w:rsid w:val="00CC373D"/>
    <w:rsid w:val="00CC37F4"/>
    <w:rsid w:val="00CC393D"/>
    <w:rsid w:val="00CC3EB2"/>
    <w:rsid w:val="00CC40D8"/>
    <w:rsid w:val="00CC41DC"/>
    <w:rsid w:val="00CC4951"/>
    <w:rsid w:val="00CC498C"/>
    <w:rsid w:val="00CC4BEC"/>
    <w:rsid w:val="00CC4F7B"/>
    <w:rsid w:val="00CC50B7"/>
    <w:rsid w:val="00CC557E"/>
    <w:rsid w:val="00CC5868"/>
    <w:rsid w:val="00CC5A47"/>
    <w:rsid w:val="00CC5D39"/>
    <w:rsid w:val="00CC5FE8"/>
    <w:rsid w:val="00CC6212"/>
    <w:rsid w:val="00CC6608"/>
    <w:rsid w:val="00CC66E7"/>
    <w:rsid w:val="00CC689C"/>
    <w:rsid w:val="00CC724E"/>
    <w:rsid w:val="00CC72FC"/>
    <w:rsid w:val="00CC7339"/>
    <w:rsid w:val="00CC74AB"/>
    <w:rsid w:val="00CC7726"/>
    <w:rsid w:val="00CC7944"/>
    <w:rsid w:val="00CC7DAE"/>
    <w:rsid w:val="00CC7E2D"/>
    <w:rsid w:val="00CD0348"/>
    <w:rsid w:val="00CD04A6"/>
    <w:rsid w:val="00CD0569"/>
    <w:rsid w:val="00CD07E6"/>
    <w:rsid w:val="00CD0B0A"/>
    <w:rsid w:val="00CD0C32"/>
    <w:rsid w:val="00CD0C9F"/>
    <w:rsid w:val="00CD0E92"/>
    <w:rsid w:val="00CD0F68"/>
    <w:rsid w:val="00CD0FD3"/>
    <w:rsid w:val="00CD11AC"/>
    <w:rsid w:val="00CD135B"/>
    <w:rsid w:val="00CD1A3D"/>
    <w:rsid w:val="00CD20C2"/>
    <w:rsid w:val="00CD2275"/>
    <w:rsid w:val="00CD23C0"/>
    <w:rsid w:val="00CD2E3B"/>
    <w:rsid w:val="00CD2F1B"/>
    <w:rsid w:val="00CD3215"/>
    <w:rsid w:val="00CD3492"/>
    <w:rsid w:val="00CD35A7"/>
    <w:rsid w:val="00CD3910"/>
    <w:rsid w:val="00CD3914"/>
    <w:rsid w:val="00CD3A4D"/>
    <w:rsid w:val="00CD3D92"/>
    <w:rsid w:val="00CD3DD0"/>
    <w:rsid w:val="00CD3E56"/>
    <w:rsid w:val="00CD3F06"/>
    <w:rsid w:val="00CD4066"/>
    <w:rsid w:val="00CD4260"/>
    <w:rsid w:val="00CD4782"/>
    <w:rsid w:val="00CD4E4D"/>
    <w:rsid w:val="00CD52A5"/>
    <w:rsid w:val="00CD534B"/>
    <w:rsid w:val="00CD542E"/>
    <w:rsid w:val="00CD54B0"/>
    <w:rsid w:val="00CD54CF"/>
    <w:rsid w:val="00CD5508"/>
    <w:rsid w:val="00CD5548"/>
    <w:rsid w:val="00CD564C"/>
    <w:rsid w:val="00CD5A8E"/>
    <w:rsid w:val="00CD5FAE"/>
    <w:rsid w:val="00CD6154"/>
    <w:rsid w:val="00CD616B"/>
    <w:rsid w:val="00CD646F"/>
    <w:rsid w:val="00CD653D"/>
    <w:rsid w:val="00CD697A"/>
    <w:rsid w:val="00CD6B99"/>
    <w:rsid w:val="00CD6BA6"/>
    <w:rsid w:val="00CD6DE2"/>
    <w:rsid w:val="00CD70C5"/>
    <w:rsid w:val="00CD75F3"/>
    <w:rsid w:val="00CD7877"/>
    <w:rsid w:val="00CD7AE0"/>
    <w:rsid w:val="00CD7B9C"/>
    <w:rsid w:val="00CD7FEF"/>
    <w:rsid w:val="00CE06E5"/>
    <w:rsid w:val="00CE070E"/>
    <w:rsid w:val="00CE0BF9"/>
    <w:rsid w:val="00CE0C2E"/>
    <w:rsid w:val="00CE0EBB"/>
    <w:rsid w:val="00CE1228"/>
    <w:rsid w:val="00CE1320"/>
    <w:rsid w:val="00CE13A3"/>
    <w:rsid w:val="00CE15F3"/>
    <w:rsid w:val="00CE1760"/>
    <w:rsid w:val="00CE1D86"/>
    <w:rsid w:val="00CE1D9B"/>
    <w:rsid w:val="00CE2A6C"/>
    <w:rsid w:val="00CE2EFC"/>
    <w:rsid w:val="00CE2FE9"/>
    <w:rsid w:val="00CE30AD"/>
    <w:rsid w:val="00CE319D"/>
    <w:rsid w:val="00CE32DE"/>
    <w:rsid w:val="00CE334A"/>
    <w:rsid w:val="00CE3356"/>
    <w:rsid w:val="00CE3852"/>
    <w:rsid w:val="00CE3D0C"/>
    <w:rsid w:val="00CE3FC2"/>
    <w:rsid w:val="00CE40F3"/>
    <w:rsid w:val="00CE4122"/>
    <w:rsid w:val="00CE41B1"/>
    <w:rsid w:val="00CE44E2"/>
    <w:rsid w:val="00CE4562"/>
    <w:rsid w:val="00CE4707"/>
    <w:rsid w:val="00CE4736"/>
    <w:rsid w:val="00CE4756"/>
    <w:rsid w:val="00CE49EC"/>
    <w:rsid w:val="00CE55F7"/>
    <w:rsid w:val="00CE564D"/>
    <w:rsid w:val="00CE5CA6"/>
    <w:rsid w:val="00CE620B"/>
    <w:rsid w:val="00CE6340"/>
    <w:rsid w:val="00CE6465"/>
    <w:rsid w:val="00CE6529"/>
    <w:rsid w:val="00CE7145"/>
    <w:rsid w:val="00CE73BA"/>
    <w:rsid w:val="00CE7441"/>
    <w:rsid w:val="00CE75B1"/>
    <w:rsid w:val="00CE779F"/>
    <w:rsid w:val="00CE7BB2"/>
    <w:rsid w:val="00CE7C71"/>
    <w:rsid w:val="00CE7D2C"/>
    <w:rsid w:val="00CF010A"/>
    <w:rsid w:val="00CF036C"/>
    <w:rsid w:val="00CF04C9"/>
    <w:rsid w:val="00CF08C2"/>
    <w:rsid w:val="00CF0A4D"/>
    <w:rsid w:val="00CF0B05"/>
    <w:rsid w:val="00CF0BC1"/>
    <w:rsid w:val="00CF0E29"/>
    <w:rsid w:val="00CF10F1"/>
    <w:rsid w:val="00CF1140"/>
    <w:rsid w:val="00CF1643"/>
    <w:rsid w:val="00CF1A2D"/>
    <w:rsid w:val="00CF1CDB"/>
    <w:rsid w:val="00CF1FD1"/>
    <w:rsid w:val="00CF1FE3"/>
    <w:rsid w:val="00CF2083"/>
    <w:rsid w:val="00CF20A7"/>
    <w:rsid w:val="00CF27A6"/>
    <w:rsid w:val="00CF2A4B"/>
    <w:rsid w:val="00CF2C10"/>
    <w:rsid w:val="00CF2D55"/>
    <w:rsid w:val="00CF2EB3"/>
    <w:rsid w:val="00CF333A"/>
    <w:rsid w:val="00CF33E7"/>
    <w:rsid w:val="00CF34E5"/>
    <w:rsid w:val="00CF38CA"/>
    <w:rsid w:val="00CF426E"/>
    <w:rsid w:val="00CF43D3"/>
    <w:rsid w:val="00CF451A"/>
    <w:rsid w:val="00CF48BD"/>
    <w:rsid w:val="00CF4B9C"/>
    <w:rsid w:val="00CF4F31"/>
    <w:rsid w:val="00CF4FD4"/>
    <w:rsid w:val="00CF52F3"/>
    <w:rsid w:val="00CF5491"/>
    <w:rsid w:val="00CF54CE"/>
    <w:rsid w:val="00CF552E"/>
    <w:rsid w:val="00CF5530"/>
    <w:rsid w:val="00CF580A"/>
    <w:rsid w:val="00CF595B"/>
    <w:rsid w:val="00CF5A57"/>
    <w:rsid w:val="00CF630E"/>
    <w:rsid w:val="00CF638F"/>
    <w:rsid w:val="00CF695E"/>
    <w:rsid w:val="00CF6C64"/>
    <w:rsid w:val="00CF6D25"/>
    <w:rsid w:val="00CF70DF"/>
    <w:rsid w:val="00CF73AC"/>
    <w:rsid w:val="00CF79B7"/>
    <w:rsid w:val="00CF7AEE"/>
    <w:rsid w:val="00CF7B43"/>
    <w:rsid w:val="00CF7BD2"/>
    <w:rsid w:val="00D0017F"/>
    <w:rsid w:val="00D00368"/>
    <w:rsid w:val="00D0055C"/>
    <w:rsid w:val="00D00673"/>
    <w:rsid w:val="00D006E6"/>
    <w:rsid w:val="00D00805"/>
    <w:rsid w:val="00D00C7C"/>
    <w:rsid w:val="00D00D2D"/>
    <w:rsid w:val="00D00F17"/>
    <w:rsid w:val="00D00F9F"/>
    <w:rsid w:val="00D0110C"/>
    <w:rsid w:val="00D0123D"/>
    <w:rsid w:val="00D0154C"/>
    <w:rsid w:val="00D017DE"/>
    <w:rsid w:val="00D0185C"/>
    <w:rsid w:val="00D021C5"/>
    <w:rsid w:val="00D02663"/>
    <w:rsid w:val="00D028FB"/>
    <w:rsid w:val="00D02918"/>
    <w:rsid w:val="00D02A4D"/>
    <w:rsid w:val="00D02B68"/>
    <w:rsid w:val="00D02F1C"/>
    <w:rsid w:val="00D031BB"/>
    <w:rsid w:val="00D035F4"/>
    <w:rsid w:val="00D038D5"/>
    <w:rsid w:val="00D03A1F"/>
    <w:rsid w:val="00D03BA9"/>
    <w:rsid w:val="00D04281"/>
    <w:rsid w:val="00D04347"/>
    <w:rsid w:val="00D043E3"/>
    <w:rsid w:val="00D047FC"/>
    <w:rsid w:val="00D04C55"/>
    <w:rsid w:val="00D04CE6"/>
    <w:rsid w:val="00D0568B"/>
    <w:rsid w:val="00D05760"/>
    <w:rsid w:val="00D059C5"/>
    <w:rsid w:val="00D05BAB"/>
    <w:rsid w:val="00D05D16"/>
    <w:rsid w:val="00D06A74"/>
    <w:rsid w:val="00D07240"/>
    <w:rsid w:val="00D0727C"/>
    <w:rsid w:val="00D0780D"/>
    <w:rsid w:val="00D07927"/>
    <w:rsid w:val="00D07DF8"/>
    <w:rsid w:val="00D07EDB"/>
    <w:rsid w:val="00D07F34"/>
    <w:rsid w:val="00D07F94"/>
    <w:rsid w:val="00D10474"/>
    <w:rsid w:val="00D1048D"/>
    <w:rsid w:val="00D104C3"/>
    <w:rsid w:val="00D10729"/>
    <w:rsid w:val="00D1079F"/>
    <w:rsid w:val="00D1086A"/>
    <w:rsid w:val="00D108E6"/>
    <w:rsid w:val="00D10A11"/>
    <w:rsid w:val="00D10BF9"/>
    <w:rsid w:val="00D10E23"/>
    <w:rsid w:val="00D1133A"/>
    <w:rsid w:val="00D1164F"/>
    <w:rsid w:val="00D11664"/>
    <w:rsid w:val="00D11712"/>
    <w:rsid w:val="00D11E05"/>
    <w:rsid w:val="00D12055"/>
    <w:rsid w:val="00D1215E"/>
    <w:rsid w:val="00D12266"/>
    <w:rsid w:val="00D122B8"/>
    <w:rsid w:val="00D123FB"/>
    <w:rsid w:val="00D12419"/>
    <w:rsid w:val="00D13029"/>
    <w:rsid w:val="00D136F5"/>
    <w:rsid w:val="00D13951"/>
    <w:rsid w:val="00D13C10"/>
    <w:rsid w:val="00D13C8D"/>
    <w:rsid w:val="00D13CAC"/>
    <w:rsid w:val="00D13E56"/>
    <w:rsid w:val="00D1432C"/>
    <w:rsid w:val="00D1454E"/>
    <w:rsid w:val="00D149A3"/>
    <w:rsid w:val="00D14FCB"/>
    <w:rsid w:val="00D153C4"/>
    <w:rsid w:val="00D15544"/>
    <w:rsid w:val="00D156DA"/>
    <w:rsid w:val="00D164A9"/>
    <w:rsid w:val="00D16715"/>
    <w:rsid w:val="00D167F8"/>
    <w:rsid w:val="00D16CAB"/>
    <w:rsid w:val="00D16D57"/>
    <w:rsid w:val="00D16D95"/>
    <w:rsid w:val="00D16F8C"/>
    <w:rsid w:val="00D17019"/>
    <w:rsid w:val="00D17100"/>
    <w:rsid w:val="00D172FA"/>
    <w:rsid w:val="00D17BF9"/>
    <w:rsid w:val="00D17BFC"/>
    <w:rsid w:val="00D17EE3"/>
    <w:rsid w:val="00D2010E"/>
    <w:rsid w:val="00D202C7"/>
    <w:rsid w:val="00D20336"/>
    <w:rsid w:val="00D20645"/>
    <w:rsid w:val="00D20DE7"/>
    <w:rsid w:val="00D211AA"/>
    <w:rsid w:val="00D21341"/>
    <w:rsid w:val="00D215CC"/>
    <w:rsid w:val="00D217C0"/>
    <w:rsid w:val="00D21C49"/>
    <w:rsid w:val="00D21D92"/>
    <w:rsid w:val="00D21ED3"/>
    <w:rsid w:val="00D21F45"/>
    <w:rsid w:val="00D222AA"/>
    <w:rsid w:val="00D22434"/>
    <w:rsid w:val="00D225DA"/>
    <w:rsid w:val="00D2287A"/>
    <w:rsid w:val="00D22927"/>
    <w:rsid w:val="00D22A28"/>
    <w:rsid w:val="00D22D25"/>
    <w:rsid w:val="00D22DD6"/>
    <w:rsid w:val="00D23693"/>
    <w:rsid w:val="00D23794"/>
    <w:rsid w:val="00D2387B"/>
    <w:rsid w:val="00D23C31"/>
    <w:rsid w:val="00D23F3E"/>
    <w:rsid w:val="00D245D9"/>
    <w:rsid w:val="00D245E1"/>
    <w:rsid w:val="00D24F5F"/>
    <w:rsid w:val="00D25201"/>
    <w:rsid w:val="00D254D3"/>
    <w:rsid w:val="00D2557A"/>
    <w:rsid w:val="00D25585"/>
    <w:rsid w:val="00D2562E"/>
    <w:rsid w:val="00D25BC5"/>
    <w:rsid w:val="00D25FAC"/>
    <w:rsid w:val="00D2651B"/>
    <w:rsid w:val="00D26FBA"/>
    <w:rsid w:val="00D27407"/>
    <w:rsid w:val="00D27A45"/>
    <w:rsid w:val="00D27A88"/>
    <w:rsid w:val="00D27B51"/>
    <w:rsid w:val="00D30305"/>
    <w:rsid w:val="00D30353"/>
    <w:rsid w:val="00D3041F"/>
    <w:rsid w:val="00D30895"/>
    <w:rsid w:val="00D30A58"/>
    <w:rsid w:val="00D30D4C"/>
    <w:rsid w:val="00D30E19"/>
    <w:rsid w:val="00D30F55"/>
    <w:rsid w:val="00D317DD"/>
    <w:rsid w:val="00D31848"/>
    <w:rsid w:val="00D319A8"/>
    <w:rsid w:val="00D31BC9"/>
    <w:rsid w:val="00D31EEB"/>
    <w:rsid w:val="00D31FD2"/>
    <w:rsid w:val="00D322CC"/>
    <w:rsid w:val="00D323A8"/>
    <w:rsid w:val="00D32533"/>
    <w:rsid w:val="00D325C5"/>
    <w:rsid w:val="00D32730"/>
    <w:rsid w:val="00D329C7"/>
    <w:rsid w:val="00D3303B"/>
    <w:rsid w:val="00D33060"/>
    <w:rsid w:val="00D3363A"/>
    <w:rsid w:val="00D337C0"/>
    <w:rsid w:val="00D34082"/>
    <w:rsid w:val="00D34326"/>
    <w:rsid w:val="00D3440F"/>
    <w:rsid w:val="00D34E35"/>
    <w:rsid w:val="00D34F91"/>
    <w:rsid w:val="00D3508E"/>
    <w:rsid w:val="00D352D2"/>
    <w:rsid w:val="00D3550C"/>
    <w:rsid w:val="00D35608"/>
    <w:rsid w:val="00D356C3"/>
    <w:rsid w:val="00D357A8"/>
    <w:rsid w:val="00D35D71"/>
    <w:rsid w:val="00D35DB2"/>
    <w:rsid w:val="00D36445"/>
    <w:rsid w:val="00D36851"/>
    <w:rsid w:val="00D36A97"/>
    <w:rsid w:val="00D36E5B"/>
    <w:rsid w:val="00D36EAD"/>
    <w:rsid w:val="00D36F56"/>
    <w:rsid w:val="00D37569"/>
    <w:rsid w:val="00D37837"/>
    <w:rsid w:val="00D40248"/>
    <w:rsid w:val="00D406AE"/>
    <w:rsid w:val="00D408A7"/>
    <w:rsid w:val="00D40B78"/>
    <w:rsid w:val="00D40D70"/>
    <w:rsid w:val="00D40FAF"/>
    <w:rsid w:val="00D410EC"/>
    <w:rsid w:val="00D41113"/>
    <w:rsid w:val="00D41455"/>
    <w:rsid w:val="00D41583"/>
    <w:rsid w:val="00D41A7A"/>
    <w:rsid w:val="00D41C23"/>
    <w:rsid w:val="00D41DA8"/>
    <w:rsid w:val="00D41FAC"/>
    <w:rsid w:val="00D42022"/>
    <w:rsid w:val="00D422C3"/>
    <w:rsid w:val="00D4245E"/>
    <w:rsid w:val="00D42554"/>
    <w:rsid w:val="00D426FE"/>
    <w:rsid w:val="00D42797"/>
    <w:rsid w:val="00D4297A"/>
    <w:rsid w:val="00D42D71"/>
    <w:rsid w:val="00D42DA1"/>
    <w:rsid w:val="00D42DFD"/>
    <w:rsid w:val="00D433DA"/>
    <w:rsid w:val="00D4343D"/>
    <w:rsid w:val="00D43895"/>
    <w:rsid w:val="00D4391F"/>
    <w:rsid w:val="00D43C3A"/>
    <w:rsid w:val="00D44091"/>
    <w:rsid w:val="00D4427A"/>
    <w:rsid w:val="00D44734"/>
    <w:rsid w:val="00D44911"/>
    <w:rsid w:val="00D4499B"/>
    <w:rsid w:val="00D44D0F"/>
    <w:rsid w:val="00D44DD8"/>
    <w:rsid w:val="00D44FC5"/>
    <w:rsid w:val="00D45379"/>
    <w:rsid w:val="00D45535"/>
    <w:rsid w:val="00D45634"/>
    <w:rsid w:val="00D45790"/>
    <w:rsid w:val="00D45860"/>
    <w:rsid w:val="00D45DB0"/>
    <w:rsid w:val="00D45F6F"/>
    <w:rsid w:val="00D46104"/>
    <w:rsid w:val="00D46466"/>
    <w:rsid w:val="00D4653B"/>
    <w:rsid w:val="00D46ADE"/>
    <w:rsid w:val="00D46D03"/>
    <w:rsid w:val="00D46E56"/>
    <w:rsid w:val="00D46E74"/>
    <w:rsid w:val="00D4706B"/>
    <w:rsid w:val="00D4719A"/>
    <w:rsid w:val="00D471BC"/>
    <w:rsid w:val="00D472DA"/>
    <w:rsid w:val="00D4740A"/>
    <w:rsid w:val="00D47698"/>
    <w:rsid w:val="00D500D6"/>
    <w:rsid w:val="00D50249"/>
    <w:rsid w:val="00D5036B"/>
    <w:rsid w:val="00D503D8"/>
    <w:rsid w:val="00D50862"/>
    <w:rsid w:val="00D50ABE"/>
    <w:rsid w:val="00D50B61"/>
    <w:rsid w:val="00D512AA"/>
    <w:rsid w:val="00D51386"/>
    <w:rsid w:val="00D5178E"/>
    <w:rsid w:val="00D517BC"/>
    <w:rsid w:val="00D51901"/>
    <w:rsid w:val="00D51A44"/>
    <w:rsid w:val="00D521E7"/>
    <w:rsid w:val="00D5230D"/>
    <w:rsid w:val="00D523F9"/>
    <w:rsid w:val="00D5254B"/>
    <w:rsid w:val="00D52699"/>
    <w:rsid w:val="00D526C6"/>
    <w:rsid w:val="00D526C7"/>
    <w:rsid w:val="00D526FC"/>
    <w:rsid w:val="00D5279C"/>
    <w:rsid w:val="00D527E1"/>
    <w:rsid w:val="00D52E7B"/>
    <w:rsid w:val="00D53044"/>
    <w:rsid w:val="00D53062"/>
    <w:rsid w:val="00D53666"/>
    <w:rsid w:val="00D536BC"/>
    <w:rsid w:val="00D53764"/>
    <w:rsid w:val="00D53C28"/>
    <w:rsid w:val="00D53C69"/>
    <w:rsid w:val="00D53D23"/>
    <w:rsid w:val="00D53D57"/>
    <w:rsid w:val="00D53FC2"/>
    <w:rsid w:val="00D542F9"/>
    <w:rsid w:val="00D543FA"/>
    <w:rsid w:val="00D54607"/>
    <w:rsid w:val="00D54C94"/>
    <w:rsid w:val="00D54CD2"/>
    <w:rsid w:val="00D54CEA"/>
    <w:rsid w:val="00D54D55"/>
    <w:rsid w:val="00D54E04"/>
    <w:rsid w:val="00D54FDE"/>
    <w:rsid w:val="00D5553D"/>
    <w:rsid w:val="00D5588C"/>
    <w:rsid w:val="00D558D7"/>
    <w:rsid w:val="00D55940"/>
    <w:rsid w:val="00D5595B"/>
    <w:rsid w:val="00D55BE9"/>
    <w:rsid w:val="00D55BFB"/>
    <w:rsid w:val="00D55D5D"/>
    <w:rsid w:val="00D55E1E"/>
    <w:rsid w:val="00D55E35"/>
    <w:rsid w:val="00D56299"/>
    <w:rsid w:val="00D562DD"/>
    <w:rsid w:val="00D5670A"/>
    <w:rsid w:val="00D56A90"/>
    <w:rsid w:val="00D56ABA"/>
    <w:rsid w:val="00D56BB9"/>
    <w:rsid w:val="00D56D82"/>
    <w:rsid w:val="00D5719F"/>
    <w:rsid w:val="00D574D3"/>
    <w:rsid w:val="00D5769A"/>
    <w:rsid w:val="00D57801"/>
    <w:rsid w:val="00D579F7"/>
    <w:rsid w:val="00D57DF9"/>
    <w:rsid w:val="00D57E68"/>
    <w:rsid w:val="00D57F45"/>
    <w:rsid w:val="00D60057"/>
    <w:rsid w:val="00D60473"/>
    <w:rsid w:val="00D604B3"/>
    <w:rsid w:val="00D606D7"/>
    <w:rsid w:val="00D607E2"/>
    <w:rsid w:val="00D609A5"/>
    <w:rsid w:val="00D60ADF"/>
    <w:rsid w:val="00D60BF0"/>
    <w:rsid w:val="00D60D48"/>
    <w:rsid w:val="00D60F03"/>
    <w:rsid w:val="00D61060"/>
    <w:rsid w:val="00D610A0"/>
    <w:rsid w:val="00D6114A"/>
    <w:rsid w:val="00D61182"/>
    <w:rsid w:val="00D61416"/>
    <w:rsid w:val="00D6142D"/>
    <w:rsid w:val="00D615F7"/>
    <w:rsid w:val="00D618F0"/>
    <w:rsid w:val="00D61914"/>
    <w:rsid w:val="00D61B9D"/>
    <w:rsid w:val="00D61C4D"/>
    <w:rsid w:val="00D61E7D"/>
    <w:rsid w:val="00D62073"/>
    <w:rsid w:val="00D620AC"/>
    <w:rsid w:val="00D621DC"/>
    <w:rsid w:val="00D62234"/>
    <w:rsid w:val="00D6225F"/>
    <w:rsid w:val="00D6276E"/>
    <w:rsid w:val="00D6287F"/>
    <w:rsid w:val="00D629FE"/>
    <w:rsid w:val="00D62C9A"/>
    <w:rsid w:val="00D62D2F"/>
    <w:rsid w:val="00D62DCB"/>
    <w:rsid w:val="00D62F5E"/>
    <w:rsid w:val="00D63032"/>
    <w:rsid w:val="00D63434"/>
    <w:rsid w:val="00D63A45"/>
    <w:rsid w:val="00D63D5F"/>
    <w:rsid w:val="00D63E37"/>
    <w:rsid w:val="00D640D2"/>
    <w:rsid w:val="00D641F3"/>
    <w:rsid w:val="00D643AA"/>
    <w:rsid w:val="00D64726"/>
    <w:rsid w:val="00D6474E"/>
    <w:rsid w:val="00D64878"/>
    <w:rsid w:val="00D651C6"/>
    <w:rsid w:val="00D6556C"/>
    <w:rsid w:val="00D65641"/>
    <w:rsid w:val="00D6585E"/>
    <w:rsid w:val="00D65A82"/>
    <w:rsid w:val="00D65B4B"/>
    <w:rsid w:val="00D65C8F"/>
    <w:rsid w:val="00D65DC6"/>
    <w:rsid w:val="00D65E0D"/>
    <w:rsid w:val="00D65FFB"/>
    <w:rsid w:val="00D66148"/>
    <w:rsid w:val="00D667ED"/>
    <w:rsid w:val="00D66C14"/>
    <w:rsid w:val="00D66DF6"/>
    <w:rsid w:val="00D66FE2"/>
    <w:rsid w:val="00D6760E"/>
    <w:rsid w:val="00D6794B"/>
    <w:rsid w:val="00D67958"/>
    <w:rsid w:val="00D67972"/>
    <w:rsid w:val="00D67F4C"/>
    <w:rsid w:val="00D67FB1"/>
    <w:rsid w:val="00D70006"/>
    <w:rsid w:val="00D7050A"/>
    <w:rsid w:val="00D706EA"/>
    <w:rsid w:val="00D70F01"/>
    <w:rsid w:val="00D722B1"/>
    <w:rsid w:val="00D72663"/>
    <w:rsid w:val="00D72B33"/>
    <w:rsid w:val="00D72C4D"/>
    <w:rsid w:val="00D72CC6"/>
    <w:rsid w:val="00D72CC7"/>
    <w:rsid w:val="00D72EAD"/>
    <w:rsid w:val="00D72F3F"/>
    <w:rsid w:val="00D72FB0"/>
    <w:rsid w:val="00D73218"/>
    <w:rsid w:val="00D733D2"/>
    <w:rsid w:val="00D73777"/>
    <w:rsid w:val="00D737ED"/>
    <w:rsid w:val="00D73A45"/>
    <w:rsid w:val="00D73DF0"/>
    <w:rsid w:val="00D74235"/>
    <w:rsid w:val="00D742E2"/>
    <w:rsid w:val="00D7444D"/>
    <w:rsid w:val="00D74662"/>
    <w:rsid w:val="00D7488E"/>
    <w:rsid w:val="00D74969"/>
    <w:rsid w:val="00D749E1"/>
    <w:rsid w:val="00D74C5E"/>
    <w:rsid w:val="00D74EF5"/>
    <w:rsid w:val="00D74F4B"/>
    <w:rsid w:val="00D750BB"/>
    <w:rsid w:val="00D753F7"/>
    <w:rsid w:val="00D75832"/>
    <w:rsid w:val="00D759E1"/>
    <w:rsid w:val="00D75AB5"/>
    <w:rsid w:val="00D75B4A"/>
    <w:rsid w:val="00D75DC2"/>
    <w:rsid w:val="00D76230"/>
    <w:rsid w:val="00D7641F"/>
    <w:rsid w:val="00D76B88"/>
    <w:rsid w:val="00D77292"/>
    <w:rsid w:val="00D772E1"/>
    <w:rsid w:val="00D774F5"/>
    <w:rsid w:val="00D774F9"/>
    <w:rsid w:val="00D77505"/>
    <w:rsid w:val="00D77A80"/>
    <w:rsid w:val="00D77C12"/>
    <w:rsid w:val="00D77F77"/>
    <w:rsid w:val="00D80327"/>
    <w:rsid w:val="00D804E3"/>
    <w:rsid w:val="00D8067C"/>
    <w:rsid w:val="00D80C6D"/>
    <w:rsid w:val="00D80CF1"/>
    <w:rsid w:val="00D80D4A"/>
    <w:rsid w:val="00D810C3"/>
    <w:rsid w:val="00D8116B"/>
    <w:rsid w:val="00D81374"/>
    <w:rsid w:val="00D81638"/>
    <w:rsid w:val="00D8171E"/>
    <w:rsid w:val="00D81D5F"/>
    <w:rsid w:val="00D822DE"/>
    <w:rsid w:val="00D825E5"/>
    <w:rsid w:val="00D828AB"/>
    <w:rsid w:val="00D82FCF"/>
    <w:rsid w:val="00D83320"/>
    <w:rsid w:val="00D838AC"/>
    <w:rsid w:val="00D83C9F"/>
    <w:rsid w:val="00D83E2F"/>
    <w:rsid w:val="00D84260"/>
    <w:rsid w:val="00D843CF"/>
    <w:rsid w:val="00D8479C"/>
    <w:rsid w:val="00D84F23"/>
    <w:rsid w:val="00D84FD4"/>
    <w:rsid w:val="00D852A3"/>
    <w:rsid w:val="00D85505"/>
    <w:rsid w:val="00D85709"/>
    <w:rsid w:val="00D85764"/>
    <w:rsid w:val="00D85C04"/>
    <w:rsid w:val="00D860F0"/>
    <w:rsid w:val="00D8631F"/>
    <w:rsid w:val="00D863D1"/>
    <w:rsid w:val="00D864DE"/>
    <w:rsid w:val="00D865DB"/>
    <w:rsid w:val="00D86CD9"/>
    <w:rsid w:val="00D86DA4"/>
    <w:rsid w:val="00D8767F"/>
    <w:rsid w:val="00D87714"/>
    <w:rsid w:val="00D87760"/>
    <w:rsid w:val="00D877E6"/>
    <w:rsid w:val="00D878E5"/>
    <w:rsid w:val="00D8798D"/>
    <w:rsid w:val="00D879D2"/>
    <w:rsid w:val="00D87A99"/>
    <w:rsid w:val="00D87C63"/>
    <w:rsid w:val="00D87D1D"/>
    <w:rsid w:val="00D87F14"/>
    <w:rsid w:val="00D900A0"/>
    <w:rsid w:val="00D902D7"/>
    <w:rsid w:val="00D90494"/>
    <w:rsid w:val="00D90D1A"/>
    <w:rsid w:val="00D90DA9"/>
    <w:rsid w:val="00D90F32"/>
    <w:rsid w:val="00D9102C"/>
    <w:rsid w:val="00D91032"/>
    <w:rsid w:val="00D9118C"/>
    <w:rsid w:val="00D91425"/>
    <w:rsid w:val="00D91546"/>
    <w:rsid w:val="00D917A0"/>
    <w:rsid w:val="00D917B8"/>
    <w:rsid w:val="00D91B09"/>
    <w:rsid w:val="00D91B11"/>
    <w:rsid w:val="00D92188"/>
    <w:rsid w:val="00D92253"/>
    <w:rsid w:val="00D92364"/>
    <w:rsid w:val="00D92520"/>
    <w:rsid w:val="00D926F4"/>
    <w:rsid w:val="00D928A4"/>
    <w:rsid w:val="00D929E7"/>
    <w:rsid w:val="00D92CAD"/>
    <w:rsid w:val="00D931DB"/>
    <w:rsid w:val="00D9359B"/>
    <w:rsid w:val="00D935D3"/>
    <w:rsid w:val="00D93B1C"/>
    <w:rsid w:val="00D93F14"/>
    <w:rsid w:val="00D9441F"/>
    <w:rsid w:val="00D94425"/>
    <w:rsid w:val="00D944E5"/>
    <w:rsid w:val="00D946E7"/>
    <w:rsid w:val="00D94985"/>
    <w:rsid w:val="00D94CE8"/>
    <w:rsid w:val="00D950B2"/>
    <w:rsid w:val="00D951B9"/>
    <w:rsid w:val="00D95310"/>
    <w:rsid w:val="00D95366"/>
    <w:rsid w:val="00D9545A"/>
    <w:rsid w:val="00D95564"/>
    <w:rsid w:val="00D95631"/>
    <w:rsid w:val="00D960A6"/>
    <w:rsid w:val="00D960FD"/>
    <w:rsid w:val="00D961FE"/>
    <w:rsid w:val="00D9625E"/>
    <w:rsid w:val="00D96CD5"/>
    <w:rsid w:val="00D96FA4"/>
    <w:rsid w:val="00D97099"/>
    <w:rsid w:val="00D97453"/>
    <w:rsid w:val="00D97B0C"/>
    <w:rsid w:val="00D97B1D"/>
    <w:rsid w:val="00DA0223"/>
    <w:rsid w:val="00DA02D1"/>
    <w:rsid w:val="00DA057F"/>
    <w:rsid w:val="00DA05CE"/>
    <w:rsid w:val="00DA0902"/>
    <w:rsid w:val="00DA0A4B"/>
    <w:rsid w:val="00DA0AB4"/>
    <w:rsid w:val="00DA0F9A"/>
    <w:rsid w:val="00DA1628"/>
    <w:rsid w:val="00DA1A75"/>
    <w:rsid w:val="00DA1B7D"/>
    <w:rsid w:val="00DA1D9D"/>
    <w:rsid w:val="00DA1DBB"/>
    <w:rsid w:val="00DA1E80"/>
    <w:rsid w:val="00DA2376"/>
    <w:rsid w:val="00DA248E"/>
    <w:rsid w:val="00DA253B"/>
    <w:rsid w:val="00DA2906"/>
    <w:rsid w:val="00DA2AD8"/>
    <w:rsid w:val="00DA2CF4"/>
    <w:rsid w:val="00DA2D3D"/>
    <w:rsid w:val="00DA3371"/>
    <w:rsid w:val="00DA34F4"/>
    <w:rsid w:val="00DA3BBA"/>
    <w:rsid w:val="00DA4005"/>
    <w:rsid w:val="00DA42B9"/>
    <w:rsid w:val="00DA4558"/>
    <w:rsid w:val="00DA492B"/>
    <w:rsid w:val="00DA4ABE"/>
    <w:rsid w:val="00DA4C7E"/>
    <w:rsid w:val="00DA4E05"/>
    <w:rsid w:val="00DA4E8D"/>
    <w:rsid w:val="00DA5316"/>
    <w:rsid w:val="00DA5765"/>
    <w:rsid w:val="00DA5766"/>
    <w:rsid w:val="00DA5819"/>
    <w:rsid w:val="00DA612E"/>
    <w:rsid w:val="00DA66D3"/>
    <w:rsid w:val="00DA6A0C"/>
    <w:rsid w:val="00DA6A98"/>
    <w:rsid w:val="00DA74B5"/>
    <w:rsid w:val="00DA78E8"/>
    <w:rsid w:val="00DA7CA4"/>
    <w:rsid w:val="00DB0206"/>
    <w:rsid w:val="00DB03EA"/>
    <w:rsid w:val="00DB09E2"/>
    <w:rsid w:val="00DB0B24"/>
    <w:rsid w:val="00DB0BEC"/>
    <w:rsid w:val="00DB0E20"/>
    <w:rsid w:val="00DB0E82"/>
    <w:rsid w:val="00DB1044"/>
    <w:rsid w:val="00DB125F"/>
    <w:rsid w:val="00DB12D9"/>
    <w:rsid w:val="00DB1437"/>
    <w:rsid w:val="00DB14FB"/>
    <w:rsid w:val="00DB1686"/>
    <w:rsid w:val="00DB17D2"/>
    <w:rsid w:val="00DB1905"/>
    <w:rsid w:val="00DB2015"/>
    <w:rsid w:val="00DB23EF"/>
    <w:rsid w:val="00DB23FA"/>
    <w:rsid w:val="00DB27C8"/>
    <w:rsid w:val="00DB2A0D"/>
    <w:rsid w:val="00DB2A4D"/>
    <w:rsid w:val="00DB2C4C"/>
    <w:rsid w:val="00DB2DEF"/>
    <w:rsid w:val="00DB2DFD"/>
    <w:rsid w:val="00DB2F38"/>
    <w:rsid w:val="00DB344D"/>
    <w:rsid w:val="00DB35A1"/>
    <w:rsid w:val="00DB365E"/>
    <w:rsid w:val="00DB3699"/>
    <w:rsid w:val="00DB3700"/>
    <w:rsid w:val="00DB4173"/>
    <w:rsid w:val="00DB4341"/>
    <w:rsid w:val="00DB48BC"/>
    <w:rsid w:val="00DB4AE2"/>
    <w:rsid w:val="00DB4B9E"/>
    <w:rsid w:val="00DB4BD4"/>
    <w:rsid w:val="00DB5653"/>
    <w:rsid w:val="00DB587F"/>
    <w:rsid w:val="00DB5941"/>
    <w:rsid w:val="00DB596B"/>
    <w:rsid w:val="00DB5B3B"/>
    <w:rsid w:val="00DB5BF6"/>
    <w:rsid w:val="00DB5C50"/>
    <w:rsid w:val="00DB60B3"/>
    <w:rsid w:val="00DB61BD"/>
    <w:rsid w:val="00DB664C"/>
    <w:rsid w:val="00DB66DB"/>
    <w:rsid w:val="00DB67F0"/>
    <w:rsid w:val="00DB6807"/>
    <w:rsid w:val="00DB6D42"/>
    <w:rsid w:val="00DB6D83"/>
    <w:rsid w:val="00DB7170"/>
    <w:rsid w:val="00DB723F"/>
    <w:rsid w:val="00DB7938"/>
    <w:rsid w:val="00DB7C78"/>
    <w:rsid w:val="00DC0578"/>
    <w:rsid w:val="00DC151E"/>
    <w:rsid w:val="00DC1849"/>
    <w:rsid w:val="00DC1D5F"/>
    <w:rsid w:val="00DC1FD3"/>
    <w:rsid w:val="00DC20EF"/>
    <w:rsid w:val="00DC2309"/>
    <w:rsid w:val="00DC247C"/>
    <w:rsid w:val="00DC25C1"/>
    <w:rsid w:val="00DC271D"/>
    <w:rsid w:val="00DC2749"/>
    <w:rsid w:val="00DC2A8F"/>
    <w:rsid w:val="00DC2BD7"/>
    <w:rsid w:val="00DC2D29"/>
    <w:rsid w:val="00DC2DAE"/>
    <w:rsid w:val="00DC2DFB"/>
    <w:rsid w:val="00DC2EBD"/>
    <w:rsid w:val="00DC3058"/>
    <w:rsid w:val="00DC30E6"/>
    <w:rsid w:val="00DC35A6"/>
    <w:rsid w:val="00DC3871"/>
    <w:rsid w:val="00DC3A5B"/>
    <w:rsid w:val="00DC3A68"/>
    <w:rsid w:val="00DC3B13"/>
    <w:rsid w:val="00DC3C51"/>
    <w:rsid w:val="00DC3CD3"/>
    <w:rsid w:val="00DC3DEE"/>
    <w:rsid w:val="00DC43E4"/>
    <w:rsid w:val="00DC45E4"/>
    <w:rsid w:val="00DC47F9"/>
    <w:rsid w:val="00DC513E"/>
    <w:rsid w:val="00DC5151"/>
    <w:rsid w:val="00DC5433"/>
    <w:rsid w:val="00DC59D4"/>
    <w:rsid w:val="00DC5A50"/>
    <w:rsid w:val="00DC5CF1"/>
    <w:rsid w:val="00DC5D24"/>
    <w:rsid w:val="00DC5D8D"/>
    <w:rsid w:val="00DC5FA1"/>
    <w:rsid w:val="00DC6156"/>
    <w:rsid w:val="00DC63C3"/>
    <w:rsid w:val="00DC66A1"/>
    <w:rsid w:val="00DC68F3"/>
    <w:rsid w:val="00DC6D75"/>
    <w:rsid w:val="00DC6FC6"/>
    <w:rsid w:val="00DC7563"/>
    <w:rsid w:val="00DC7704"/>
    <w:rsid w:val="00DC7A98"/>
    <w:rsid w:val="00DC7D50"/>
    <w:rsid w:val="00DC7F2D"/>
    <w:rsid w:val="00DC7F3F"/>
    <w:rsid w:val="00DC7F4B"/>
    <w:rsid w:val="00DD02CC"/>
    <w:rsid w:val="00DD06C2"/>
    <w:rsid w:val="00DD0932"/>
    <w:rsid w:val="00DD0B7A"/>
    <w:rsid w:val="00DD0D46"/>
    <w:rsid w:val="00DD10EC"/>
    <w:rsid w:val="00DD1236"/>
    <w:rsid w:val="00DD135C"/>
    <w:rsid w:val="00DD14AA"/>
    <w:rsid w:val="00DD161B"/>
    <w:rsid w:val="00DD1710"/>
    <w:rsid w:val="00DD1922"/>
    <w:rsid w:val="00DD1952"/>
    <w:rsid w:val="00DD1A20"/>
    <w:rsid w:val="00DD1E8F"/>
    <w:rsid w:val="00DD239B"/>
    <w:rsid w:val="00DD278F"/>
    <w:rsid w:val="00DD28EC"/>
    <w:rsid w:val="00DD293D"/>
    <w:rsid w:val="00DD32AB"/>
    <w:rsid w:val="00DD3408"/>
    <w:rsid w:val="00DD3742"/>
    <w:rsid w:val="00DD3ADE"/>
    <w:rsid w:val="00DD3C0C"/>
    <w:rsid w:val="00DD3D07"/>
    <w:rsid w:val="00DD3FF1"/>
    <w:rsid w:val="00DD4073"/>
    <w:rsid w:val="00DD41A5"/>
    <w:rsid w:val="00DD41D4"/>
    <w:rsid w:val="00DD4717"/>
    <w:rsid w:val="00DD477A"/>
    <w:rsid w:val="00DD4FBC"/>
    <w:rsid w:val="00DD5014"/>
    <w:rsid w:val="00DD50DA"/>
    <w:rsid w:val="00DD51EC"/>
    <w:rsid w:val="00DD542B"/>
    <w:rsid w:val="00DD58B9"/>
    <w:rsid w:val="00DD5B25"/>
    <w:rsid w:val="00DD607E"/>
    <w:rsid w:val="00DD63E8"/>
    <w:rsid w:val="00DD6DA2"/>
    <w:rsid w:val="00DD6E17"/>
    <w:rsid w:val="00DD6EF7"/>
    <w:rsid w:val="00DD7AE4"/>
    <w:rsid w:val="00DD7D7E"/>
    <w:rsid w:val="00DE03C4"/>
    <w:rsid w:val="00DE06B7"/>
    <w:rsid w:val="00DE06CF"/>
    <w:rsid w:val="00DE0900"/>
    <w:rsid w:val="00DE0BA8"/>
    <w:rsid w:val="00DE0CE0"/>
    <w:rsid w:val="00DE0EFD"/>
    <w:rsid w:val="00DE0FF3"/>
    <w:rsid w:val="00DE14C8"/>
    <w:rsid w:val="00DE14FB"/>
    <w:rsid w:val="00DE1527"/>
    <w:rsid w:val="00DE1931"/>
    <w:rsid w:val="00DE19C4"/>
    <w:rsid w:val="00DE1B43"/>
    <w:rsid w:val="00DE1C0D"/>
    <w:rsid w:val="00DE1E75"/>
    <w:rsid w:val="00DE2625"/>
    <w:rsid w:val="00DE27B6"/>
    <w:rsid w:val="00DE2F1E"/>
    <w:rsid w:val="00DE2F2B"/>
    <w:rsid w:val="00DE2F50"/>
    <w:rsid w:val="00DE344B"/>
    <w:rsid w:val="00DE3856"/>
    <w:rsid w:val="00DE38E7"/>
    <w:rsid w:val="00DE392D"/>
    <w:rsid w:val="00DE3A75"/>
    <w:rsid w:val="00DE3BD3"/>
    <w:rsid w:val="00DE3E64"/>
    <w:rsid w:val="00DE3F38"/>
    <w:rsid w:val="00DE49C2"/>
    <w:rsid w:val="00DE4AE3"/>
    <w:rsid w:val="00DE4B17"/>
    <w:rsid w:val="00DE4C26"/>
    <w:rsid w:val="00DE4D72"/>
    <w:rsid w:val="00DE4E2E"/>
    <w:rsid w:val="00DE52E2"/>
    <w:rsid w:val="00DE53E1"/>
    <w:rsid w:val="00DE5476"/>
    <w:rsid w:val="00DE5757"/>
    <w:rsid w:val="00DE59D6"/>
    <w:rsid w:val="00DE5A84"/>
    <w:rsid w:val="00DE5AAA"/>
    <w:rsid w:val="00DE5CBC"/>
    <w:rsid w:val="00DE60A0"/>
    <w:rsid w:val="00DE6174"/>
    <w:rsid w:val="00DE6322"/>
    <w:rsid w:val="00DE657A"/>
    <w:rsid w:val="00DE6C08"/>
    <w:rsid w:val="00DE6CA6"/>
    <w:rsid w:val="00DE6E5A"/>
    <w:rsid w:val="00DE6F5E"/>
    <w:rsid w:val="00DE7351"/>
    <w:rsid w:val="00DE73EB"/>
    <w:rsid w:val="00DE78F3"/>
    <w:rsid w:val="00DE7A7B"/>
    <w:rsid w:val="00DE7EEF"/>
    <w:rsid w:val="00DF002B"/>
    <w:rsid w:val="00DF06C5"/>
    <w:rsid w:val="00DF0A26"/>
    <w:rsid w:val="00DF0E6D"/>
    <w:rsid w:val="00DF1484"/>
    <w:rsid w:val="00DF14C8"/>
    <w:rsid w:val="00DF162C"/>
    <w:rsid w:val="00DF1647"/>
    <w:rsid w:val="00DF16CB"/>
    <w:rsid w:val="00DF1A7D"/>
    <w:rsid w:val="00DF1CA4"/>
    <w:rsid w:val="00DF1DE6"/>
    <w:rsid w:val="00DF1E58"/>
    <w:rsid w:val="00DF2269"/>
    <w:rsid w:val="00DF2337"/>
    <w:rsid w:val="00DF2756"/>
    <w:rsid w:val="00DF2B13"/>
    <w:rsid w:val="00DF2BCA"/>
    <w:rsid w:val="00DF2E11"/>
    <w:rsid w:val="00DF315C"/>
    <w:rsid w:val="00DF372E"/>
    <w:rsid w:val="00DF3D03"/>
    <w:rsid w:val="00DF424B"/>
    <w:rsid w:val="00DF44F0"/>
    <w:rsid w:val="00DF4D30"/>
    <w:rsid w:val="00DF50A9"/>
    <w:rsid w:val="00DF527F"/>
    <w:rsid w:val="00DF53CB"/>
    <w:rsid w:val="00DF56AE"/>
    <w:rsid w:val="00DF5AA7"/>
    <w:rsid w:val="00DF5C04"/>
    <w:rsid w:val="00DF61BD"/>
    <w:rsid w:val="00DF64D1"/>
    <w:rsid w:val="00DF69B4"/>
    <w:rsid w:val="00DF6C9C"/>
    <w:rsid w:val="00DF7322"/>
    <w:rsid w:val="00DF75F9"/>
    <w:rsid w:val="00DF76A6"/>
    <w:rsid w:val="00DF78B6"/>
    <w:rsid w:val="00DF7D9E"/>
    <w:rsid w:val="00E002CC"/>
    <w:rsid w:val="00E00869"/>
    <w:rsid w:val="00E00CEF"/>
    <w:rsid w:val="00E00DBD"/>
    <w:rsid w:val="00E00F0B"/>
    <w:rsid w:val="00E013FD"/>
    <w:rsid w:val="00E01444"/>
    <w:rsid w:val="00E016B2"/>
    <w:rsid w:val="00E017D2"/>
    <w:rsid w:val="00E01A1B"/>
    <w:rsid w:val="00E01F3A"/>
    <w:rsid w:val="00E0281E"/>
    <w:rsid w:val="00E02A3A"/>
    <w:rsid w:val="00E02C00"/>
    <w:rsid w:val="00E02E33"/>
    <w:rsid w:val="00E0369F"/>
    <w:rsid w:val="00E0390B"/>
    <w:rsid w:val="00E039D3"/>
    <w:rsid w:val="00E03AB4"/>
    <w:rsid w:val="00E03DA2"/>
    <w:rsid w:val="00E047EA"/>
    <w:rsid w:val="00E04A4A"/>
    <w:rsid w:val="00E04C6D"/>
    <w:rsid w:val="00E04CE9"/>
    <w:rsid w:val="00E04DEA"/>
    <w:rsid w:val="00E04E2D"/>
    <w:rsid w:val="00E05034"/>
    <w:rsid w:val="00E05137"/>
    <w:rsid w:val="00E05448"/>
    <w:rsid w:val="00E05478"/>
    <w:rsid w:val="00E05491"/>
    <w:rsid w:val="00E054EA"/>
    <w:rsid w:val="00E05556"/>
    <w:rsid w:val="00E0558F"/>
    <w:rsid w:val="00E0564E"/>
    <w:rsid w:val="00E057BB"/>
    <w:rsid w:val="00E058A7"/>
    <w:rsid w:val="00E058EF"/>
    <w:rsid w:val="00E059B0"/>
    <w:rsid w:val="00E05ADD"/>
    <w:rsid w:val="00E06498"/>
    <w:rsid w:val="00E06F76"/>
    <w:rsid w:val="00E073C8"/>
    <w:rsid w:val="00E075F3"/>
    <w:rsid w:val="00E078BF"/>
    <w:rsid w:val="00E07930"/>
    <w:rsid w:val="00E10838"/>
    <w:rsid w:val="00E10A7F"/>
    <w:rsid w:val="00E10B37"/>
    <w:rsid w:val="00E10F18"/>
    <w:rsid w:val="00E10F52"/>
    <w:rsid w:val="00E110AF"/>
    <w:rsid w:val="00E11367"/>
    <w:rsid w:val="00E114A5"/>
    <w:rsid w:val="00E1178E"/>
    <w:rsid w:val="00E1192E"/>
    <w:rsid w:val="00E11B5C"/>
    <w:rsid w:val="00E11D7B"/>
    <w:rsid w:val="00E11F37"/>
    <w:rsid w:val="00E12077"/>
    <w:rsid w:val="00E120EF"/>
    <w:rsid w:val="00E125BE"/>
    <w:rsid w:val="00E129F8"/>
    <w:rsid w:val="00E12B20"/>
    <w:rsid w:val="00E12B8A"/>
    <w:rsid w:val="00E12BE0"/>
    <w:rsid w:val="00E12EB3"/>
    <w:rsid w:val="00E12F36"/>
    <w:rsid w:val="00E130DF"/>
    <w:rsid w:val="00E13403"/>
    <w:rsid w:val="00E136DA"/>
    <w:rsid w:val="00E14439"/>
    <w:rsid w:val="00E14CFE"/>
    <w:rsid w:val="00E1570D"/>
    <w:rsid w:val="00E159CE"/>
    <w:rsid w:val="00E15AC7"/>
    <w:rsid w:val="00E15AD9"/>
    <w:rsid w:val="00E15D53"/>
    <w:rsid w:val="00E16186"/>
    <w:rsid w:val="00E16196"/>
    <w:rsid w:val="00E1621E"/>
    <w:rsid w:val="00E16794"/>
    <w:rsid w:val="00E16987"/>
    <w:rsid w:val="00E16C06"/>
    <w:rsid w:val="00E16F0A"/>
    <w:rsid w:val="00E171CD"/>
    <w:rsid w:val="00E17436"/>
    <w:rsid w:val="00E17451"/>
    <w:rsid w:val="00E17CA3"/>
    <w:rsid w:val="00E17CEE"/>
    <w:rsid w:val="00E200B2"/>
    <w:rsid w:val="00E204E4"/>
    <w:rsid w:val="00E20900"/>
    <w:rsid w:val="00E20B6C"/>
    <w:rsid w:val="00E20BB9"/>
    <w:rsid w:val="00E20F1A"/>
    <w:rsid w:val="00E20FCF"/>
    <w:rsid w:val="00E211F7"/>
    <w:rsid w:val="00E213DB"/>
    <w:rsid w:val="00E2183A"/>
    <w:rsid w:val="00E21840"/>
    <w:rsid w:val="00E2198F"/>
    <w:rsid w:val="00E21B7E"/>
    <w:rsid w:val="00E21EAB"/>
    <w:rsid w:val="00E21F05"/>
    <w:rsid w:val="00E22056"/>
    <w:rsid w:val="00E22094"/>
    <w:rsid w:val="00E2215F"/>
    <w:rsid w:val="00E2259C"/>
    <w:rsid w:val="00E225CB"/>
    <w:rsid w:val="00E2290B"/>
    <w:rsid w:val="00E22E58"/>
    <w:rsid w:val="00E22ECA"/>
    <w:rsid w:val="00E2337B"/>
    <w:rsid w:val="00E23415"/>
    <w:rsid w:val="00E235B2"/>
    <w:rsid w:val="00E23668"/>
    <w:rsid w:val="00E239EB"/>
    <w:rsid w:val="00E23F93"/>
    <w:rsid w:val="00E24181"/>
    <w:rsid w:val="00E24786"/>
    <w:rsid w:val="00E24913"/>
    <w:rsid w:val="00E24DCA"/>
    <w:rsid w:val="00E2510A"/>
    <w:rsid w:val="00E25135"/>
    <w:rsid w:val="00E25224"/>
    <w:rsid w:val="00E253D1"/>
    <w:rsid w:val="00E2543F"/>
    <w:rsid w:val="00E257D4"/>
    <w:rsid w:val="00E257FA"/>
    <w:rsid w:val="00E25839"/>
    <w:rsid w:val="00E2591E"/>
    <w:rsid w:val="00E259C5"/>
    <w:rsid w:val="00E259C8"/>
    <w:rsid w:val="00E25D5C"/>
    <w:rsid w:val="00E25EB7"/>
    <w:rsid w:val="00E25FDA"/>
    <w:rsid w:val="00E265FB"/>
    <w:rsid w:val="00E26608"/>
    <w:rsid w:val="00E26759"/>
    <w:rsid w:val="00E269A9"/>
    <w:rsid w:val="00E26D61"/>
    <w:rsid w:val="00E26E5F"/>
    <w:rsid w:val="00E27354"/>
    <w:rsid w:val="00E27C85"/>
    <w:rsid w:val="00E27C9E"/>
    <w:rsid w:val="00E27F04"/>
    <w:rsid w:val="00E27F58"/>
    <w:rsid w:val="00E300A0"/>
    <w:rsid w:val="00E30372"/>
    <w:rsid w:val="00E3051C"/>
    <w:rsid w:val="00E30675"/>
    <w:rsid w:val="00E30B6E"/>
    <w:rsid w:val="00E30BDB"/>
    <w:rsid w:val="00E30F2E"/>
    <w:rsid w:val="00E3104A"/>
    <w:rsid w:val="00E3129C"/>
    <w:rsid w:val="00E31496"/>
    <w:rsid w:val="00E31611"/>
    <w:rsid w:val="00E316D9"/>
    <w:rsid w:val="00E31A5C"/>
    <w:rsid w:val="00E31F6B"/>
    <w:rsid w:val="00E3211D"/>
    <w:rsid w:val="00E3230E"/>
    <w:rsid w:val="00E324AA"/>
    <w:rsid w:val="00E326BA"/>
    <w:rsid w:val="00E32DB1"/>
    <w:rsid w:val="00E32E97"/>
    <w:rsid w:val="00E3337C"/>
    <w:rsid w:val="00E333B4"/>
    <w:rsid w:val="00E33597"/>
    <w:rsid w:val="00E34150"/>
    <w:rsid w:val="00E34175"/>
    <w:rsid w:val="00E341DB"/>
    <w:rsid w:val="00E347F0"/>
    <w:rsid w:val="00E34CFA"/>
    <w:rsid w:val="00E34D98"/>
    <w:rsid w:val="00E353F2"/>
    <w:rsid w:val="00E35678"/>
    <w:rsid w:val="00E3573A"/>
    <w:rsid w:val="00E35789"/>
    <w:rsid w:val="00E35E00"/>
    <w:rsid w:val="00E3601E"/>
    <w:rsid w:val="00E36363"/>
    <w:rsid w:val="00E36543"/>
    <w:rsid w:val="00E3684C"/>
    <w:rsid w:val="00E36A25"/>
    <w:rsid w:val="00E36B01"/>
    <w:rsid w:val="00E373B6"/>
    <w:rsid w:val="00E37469"/>
    <w:rsid w:val="00E375B4"/>
    <w:rsid w:val="00E3781F"/>
    <w:rsid w:val="00E3785E"/>
    <w:rsid w:val="00E378CA"/>
    <w:rsid w:val="00E37D33"/>
    <w:rsid w:val="00E37EB3"/>
    <w:rsid w:val="00E4043C"/>
    <w:rsid w:val="00E4047E"/>
    <w:rsid w:val="00E4055E"/>
    <w:rsid w:val="00E406DF"/>
    <w:rsid w:val="00E4088B"/>
    <w:rsid w:val="00E40F82"/>
    <w:rsid w:val="00E40FE7"/>
    <w:rsid w:val="00E41340"/>
    <w:rsid w:val="00E41365"/>
    <w:rsid w:val="00E416C0"/>
    <w:rsid w:val="00E4186C"/>
    <w:rsid w:val="00E41994"/>
    <w:rsid w:val="00E41ED9"/>
    <w:rsid w:val="00E4202B"/>
    <w:rsid w:val="00E421A8"/>
    <w:rsid w:val="00E4236F"/>
    <w:rsid w:val="00E425C2"/>
    <w:rsid w:val="00E426A7"/>
    <w:rsid w:val="00E42826"/>
    <w:rsid w:val="00E4284E"/>
    <w:rsid w:val="00E42A4B"/>
    <w:rsid w:val="00E42D7B"/>
    <w:rsid w:val="00E4318C"/>
    <w:rsid w:val="00E432C0"/>
    <w:rsid w:val="00E436EF"/>
    <w:rsid w:val="00E4398B"/>
    <w:rsid w:val="00E43A65"/>
    <w:rsid w:val="00E4400C"/>
    <w:rsid w:val="00E442E1"/>
    <w:rsid w:val="00E4450E"/>
    <w:rsid w:val="00E44AD2"/>
    <w:rsid w:val="00E44D97"/>
    <w:rsid w:val="00E44FF6"/>
    <w:rsid w:val="00E45C34"/>
    <w:rsid w:val="00E45F42"/>
    <w:rsid w:val="00E465CC"/>
    <w:rsid w:val="00E46B85"/>
    <w:rsid w:val="00E46E05"/>
    <w:rsid w:val="00E4701C"/>
    <w:rsid w:val="00E47427"/>
    <w:rsid w:val="00E475B6"/>
    <w:rsid w:val="00E476E1"/>
    <w:rsid w:val="00E47C42"/>
    <w:rsid w:val="00E47E2C"/>
    <w:rsid w:val="00E47F70"/>
    <w:rsid w:val="00E47FD0"/>
    <w:rsid w:val="00E50077"/>
    <w:rsid w:val="00E5058C"/>
    <w:rsid w:val="00E507BC"/>
    <w:rsid w:val="00E50801"/>
    <w:rsid w:val="00E50943"/>
    <w:rsid w:val="00E50C67"/>
    <w:rsid w:val="00E513A4"/>
    <w:rsid w:val="00E5171D"/>
    <w:rsid w:val="00E5218C"/>
    <w:rsid w:val="00E5245E"/>
    <w:rsid w:val="00E52A63"/>
    <w:rsid w:val="00E52CBB"/>
    <w:rsid w:val="00E52F87"/>
    <w:rsid w:val="00E52FA8"/>
    <w:rsid w:val="00E5319F"/>
    <w:rsid w:val="00E535E8"/>
    <w:rsid w:val="00E53C33"/>
    <w:rsid w:val="00E53F89"/>
    <w:rsid w:val="00E541A6"/>
    <w:rsid w:val="00E54224"/>
    <w:rsid w:val="00E543AE"/>
    <w:rsid w:val="00E5493D"/>
    <w:rsid w:val="00E549D1"/>
    <w:rsid w:val="00E549EA"/>
    <w:rsid w:val="00E54B26"/>
    <w:rsid w:val="00E550F6"/>
    <w:rsid w:val="00E55BFC"/>
    <w:rsid w:val="00E56006"/>
    <w:rsid w:val="00E563D1"/>
    <w:rsid w:val="00E56614"/>
    <w:rsid w:val="00E567B8"/>
    <w:rsid w:val="00E57763"/>
    <w:rsid w:val="00E57EEC"/>
    <w:rsid w:val="00E60B5C"/>
    <w:rsid w:val="00E60C57"/>
    <w:rsid w:val="00E60D7F"/>
    <w:rsid w:val="00E60DFC"/>
    <w:rsid w:val="00E614ED"/>
    <w:rsid w:val="00E61887"/>
    <w:rsid w:val="00E61AC6"/>
    <w:rsid w:val="00E61DA2"/>
    <w:rsid w:val="00E61E7D"/>
    <w:rsid w:val="00E62182"/>
    <w:rsid w:val="00E62217"/>
    <w:rsid w:val="00E62429"/>
    <w:rsid w:val="00E62735"/>
    <w:rsid w:val="00E62752"/>
    <w:rsid w:val="00E62809"/>
    <w:rsid w:val="00E6287F"/>
    <w:rsid w:val="00E628FC"/>
    <w:rsid w:val="00E62A19"/>
    <w:rsid w:val="00E63657"/>
    <w:rsid w:val="00E6371B"/>
    <w:rsid w:val="00E63951"/>
    <w:rsid w:val="00E63F22"/>
    <w:rsid w:val="00E63F8A"/>
    <w:rsid w:val="00E63F8F"/>
    <w:rsid w:val="00E6410E"/>
    <w:rsid w:val="00E642C8"/>
    <w:rsid w:val="00E64485"/>
    <w:rsid w:val="00E6449F"/>
    <w:rsid w:val="00E6455F"/>
    <w:rsid w:val="00E64597"/>
    <w:rsid w:val="00E6464C"/>
    <w:rsid w:val="00E648F4"/>
    <w:rsid w:val="00E648FD"/>
    <w:rsid w:val="00E64BC3"/>
    <w:rsid w:val="00E64BF6"/>
    <w:rsid w:val="00E64C31"/>
    <w:rsid w:val="00E655D6"/>
    <w:rsid w:val="00E655DD"/>
    <w:rsid w:val="00E65800"/>
    <w:rsid w:val="00E6593C"/>
    <w:rsid w:val="00E6595D"/>
    <w:rsid w:val="00E65AB2"/>
    <w:rsid w:val="00E65B4F"/>
    <w:rsid w:val="00E663DA"/>
    <w:rsid w:val="00E666A5"/>
    <w:rsid w:val="00E66A39"/>
    <w:rsid w:val="00E66B3D"/>
    <w:rsid w:val="00E66B69"/>
    <w:rsid w:val="00E6711A"/>
    <w:rsid w:val="00E67331"/>
    <w:rsid w:val="00E677E5"/>
    <w:rsid w:val="00E67BFC"/>
    <w:rsid w:val="00E67E15"/>
    <w:rsid w:val="00E702CE"/>
    <w:rsid w:val="00E7065B"/>
    <w:rsid w:val="00E7081E"/>
    <w:rsid w:val="00E70C04"/>
    <w:rsid w:val="00E70D03"/>
    <w:rsid w:val="00E71204"/>
    <w:rsid w:val="00E71381"/>
    <w:rsid w:val="00E714BB"/>
    <w:rsid w:val="00E716AF"/>
    <w:rsid w:val="00E717DF"/>
    <w:rsid w:val="00E71800"/>
    <w:rsid w:val="00E7186D"/>
    <w:rsid w:val="00E71B08"/>
    <w:rsid w:val="00E71B70"/>
    <w:rsid w:val="00E71F21"/>
    <w:rsid w:val="00E71FBC"/>
    <w:rsid w:val="00E7221A"/>
    <w:rsid w:val="00E722D7"/>
    <w:rsid w:val="00E72BF9"/>
    <w:rsid w:val="00E72C2D"/>
    <w:rsid w:val="00E72C9B"/>
    <w:rsid w:val="00E72CD3"/>
    <w:rsid w:val="00E730DA"/>
    <w:rsid w:val="00E73321"/>
    <w:rsid w:val="00E7351A"/>
    <w:rsid w:val="00E737D4"/>
    <w:rsid w:val="00E7383D"/>
    <w:rsid w:val="00E73990"/>
    <w:rsid w:val="00E73A0B"/>
    <w:rsid w:val="00E73C41"/>
    <w:rsid w:val="00E73F74"/>
    <w:rsid w:val="00E74203"/>
    <w:rsid w:val="00E74236"/>
    <w:rsid w:val="00E742E0"/>
    <w:rsid w:val="00E7436F"/>
    <w:rsid w:val="00E745B9"/>
    <w:rsid w:val="00E748DB"/>
    <w:rsid w:val="00E74D6A"/>
    <w:rsid w:val="00E74E79"/>
    <w:rsid w:val="00E7501B"/>
    <w:rsid w:val="00E75410"/>
    <w:rsid w:val="00E75501"/>
    <w:rsid w:val="00E75595"/>
    <w:rsid w:val="00E7581B"/>
    <w:rsid w:val="00E7595E"/>
    <w:rsid w:val="00E75983"/>
    <w:rsid w:val="00E75AE6"/>
    <w:rsid w:val="00E75E60"/>
    <w:rsid w:val="00E75F29"/>
    <w:rsid w:val="00E75FA0"/>
    <w:rsid w:val="00E75FB9"/>
    <w:rsid w:val="00E76065"/>
    <w:rsid w:val="00E7618A"/>
    <w:rsid w:val="00E766B5"/>
    <w:rsid w:val="00E76831"/>
    <w:rsid w:val="00E76AED"/>
    <w:rsid w:val="00E76BB8"/>
    <w:rsid w:val="00E76CCB"/>
    <w:rsid w:val="00E77273"/>
    <w:rsid w:val="00E7740C"/>
    <w:rsid w:val="00E77481"/>
    <w:rsid w:val="00E774B4"/>
    <w:rsid w:val="00E77779"/>
    <w:rsid w:val="00E77820"/>
    <w:rsid w:val="00E7798D"/>
    <w:rsid w:val="00E77AAD"/>
    <w:rsid w:val="00E8009F"/>
    <w:rsid w:val="00E805A4"/>
    <w:rsid w:val="00E806C7"/>
    <w:rsid w:val="00E80921"/>
    <w:rsid w:val="00E80C2C"/>
    <w:rsid w:val="00E80F47"/>
    <w:rsid w:val="00E810AA"/>
    <w:rsid w:val="00E81325"/>
    <w:rsid w:val="00E81489"/>
    <w:rsid w:val="00E81491"/>
    <w:rsid w:val="00E819EF"/>
    <w:rsid w:val="00E81C3C"/>
    <w:rsid w:val="00E81E99"/>
    <w:rsid w:val="00E82097"/>
    <w:rsid w:val="00E821FF"/>
    <w:rsid w:val="00E82962"/>
    <w:rsid w:val="00E82AEC"/>
    <w:rsid w:val="00E82CDD"/>
    <w:rsid w:val="00E834F8"/>
    <w:rsid w:val="00E836A9"/>
    <w:rsid w:val="00E8370D"/>
    <w:rsid w:val="00E83CCA"/>
    <w:rsid w:val="00E83CDA"/>
    <w:rsid w:val="00E83DE1"/>
    <w:rsid w:val="00E8435D"/>
    <w:rsid w:val="00E843E0"/>
    <w:rsid w:val="00E844AA"/>
    <w:rsid w:val="00E8483C"/>
    <w:rsid w:val="00E84B1D"/>
    <w:rsid w:val="00E84D0C"/>
    <w:rsid w:val="00E84FCF"/>
    <w:rsid w:val="00E85146"/>
    <w:rsid w:val="00E855FA"/>
    <w:rsid w:val="00E8569A"/>
    <w:rsid w:val="00E859AB"/>
    <w:rsid w:val="00E85A0A"/>
    <w:rsid w:val="00E85C6A"/>
    <w:rsid w:val="00E85D7C"/>
    <w:rsid w:val="00E86306"/>
    <w:rsid w:val="00E86354"/>
    <w:rsid w:val="00E867D2"/>
    <w:rsid w:val="00E868CA"/>
    <w:rsid w:val="00E86B12"/>
    <w:rsid w:val="00E86F0A"/>
    <w:rsid w:val="00E870A9"/>
    <w:rsid w:val="00E878BF"/>
    <w:rsid w:val="00E87A63"/>
    <w:rsid w:val="00E90338"/>
    <w:rsid w:val="00E90382"/>
    <w:rsid w:val="00E90670"/>
    <w:rsid w:val="00E90883"/>
    <w:rsid w:val="00E9092C"/>
    <w:rsid w:val="00E90E12"/>
    <w:rsid w:val="00E911C0"/>
    <w:rsid w:val="00E9165D"/>
    <w:rsid w:val="00E918D2"/>
    <w:rsid w:val="00E91B58"/>
    <w:rsid w:val="00E91D46"/>
    <w:rsid w:val="00E91DCF"/>
    <w:rsid w:val="00E920B4"/>
    <w:rsid w:val="00E9212C"/>
    <w:rsid w:val="00E92153"/>
    <w:rsid w:val="00E9219B"/>
    <w:rsid w:val="00E92282"/>
    <w:rsid w:val="00E9246F"/>
    <w:rsid w:val="00E927BE"/>
    <w:rsid w:val="00E92832"/>
    <w:rsid w:val="00E92A98"/>
    <w:rsid w:val="00E92B75"/>
    <w:rsid w:val="00E92F85"/>
    <w:rsid w:val="00E93004"/>
    <w:rsid w:val="00E930F2"/>
    <w:rsid w:val="00E931BC"/>
    <w:rsid w:val="00E9365A"/>
    <w:rsid w:val="00E9367C"/>
    <w:rsid w:val="00E93838"/>
    <w:rsid w:val="00E93DA3"/>
    <w:rsid w:val="00E93E4C"/>
    <w:rsid w:val="00E94087"/>
    <w:rsid w:val="00E94669"/>
    <w:rsid w:val="00E94CA0"/>
    <w:rsid w:val="00E94CBF"/>
    <w:rsid w:val="00E94F0C"/>
    <w:rsid w:val="00E95083"/>
    <w:rsid w:val="00E95459"/>
    <w:rsid w:val="00E95522"/>
    <w:rsid w:val="00E95676"/>
    <w:rsid w:val="00E95D92"/>
    <w:rsid w:val="00E95FD5"/>
    <w:rsid w:val="00E96221"/>
    <w:rsid w:val="00E963B3"/>
    <w:rsid w:val="00E965B0"/>
    <w:rsid w:val="00E966B9"/>
    <w:rsid w:val="00E96A9D"/>
    <w:rsid w:val="00E96AB6"/>
    <w:rsid w:val="00E96E3C"/>
    <w:rsid w:val="00E975CD"/>
    <w:rsid w:val="00E9790F"/>
    <w:rsid w:val="00E97C43"/>
    <w:rsid w:val="00E97E3C"/>
    <w:rsid w:val="00EA010F"/>
    <w:rsid w:val="00EA06B7"/>
    <w:rsid w:val="00EA0952"/>
    <w:rsid w:val="00EA0DFE"/>
    <w:rsid w:val="00EA0E9F"/>
    <w:rsid w:val="00EA107E"/>
    <w:rsid w:val="00EA140B"/>
    <w:rsid w:val="00EA1453"/>
    <w:rsid w:val="00EA19BA"/>
    <w:rsid w:val="00EA1BBB"/>
    <w:rsid w:val="00EA1CFA"/>
    <w:rsid w:val="00EA1DFB"/>
    <w:rsid w:val="00EA281F"/>
    <w:rsid w:val="00EA2881"/>
    <w:rsid w:val="00EA2923"/>
    <w:rsid w:val="00EA2AC1"/>
    <w:rsid w:val="00EA2B0B"/>
    <w:rsid w:val="00EA2CBC"/>
    <w:rsid w:val="00EA2F1F"/>
    <w:rsid w:val="00EA2F29"/>
    <w:rsid w:val="00EA3CD9"/>
    <w:rsid w:val="00EA3DF1"/>
    <w:rsid w:val="00EA3E30"/>
    <w:rsid w:val="00EA41B4"/>
    <w:rsid w:val="00EA43F0"/>
    <w:rsid w:val="00EA45B8"/>
    <w:rsid w:val="00EA4852"/>
    <w:rsid w:val="00EA4935"/>
    <w:rsid w:val="00EA49E9"/>
    <w:rsid w:val="00EA4A80"/>
    <w:rsid w:val="00EA4AB2"/>
    <w:rsid w:val="00EA4C93"/>
    <w:rsid w:val="00EA4D02"/>
    <w:rsid w:val="00EA4DA1"/>
    <w:rsid w:val="00EA4E74"/>
    <w:rsid w:val="00EA4EC3"/>
    <w:rsid w:val="00EA4FAB"/>
    <w:rsid w:val="00EA502A"/>
    <w:rsid w:val="00EA520A"/>
    <w:rsid w:val="00EA532C"/>
    <w:rsid w:val="00EA55A3"/>
    <w:rsid w:val="00EA5857"/>
    <w:rsid w:val="00EA58A2"/>
    <w:rsid w:val="00EA5A0F"/>
    <w:rsid w:val="00EA60C3"/>
    <w:rsid w:val="00EA61B5"/>
    <w:rsid w:val="00EA621D"/>
    <w:rsid w:val="00EA65DB"/>
    <w:rsid w:val="00EA684E"/>
    <w:rsid w:val="00EA7281"/>
    <w:rsid w:val="00EA754F"/>
    <w:rsid w:val="00EA75F1"/>
    <w:rsid w:val="00EA764D"/>
    <w:rsid w:val="00EA773E"/>
    <w:rsid w:val="00EA7839"/>
    <w:rsid w:val="00EA7A71"/>
    <w:rsid w:val="00EA7B17"/>
    <w:rsid w:val="00EA7CE4"/>
    <w:rsid w:val="00EA7F0B"/>
    <w:rsid w:val="00EB00ED"/>
    <w:rsid w:val="00EB06F5"/>
    <w:rsid w:val="00EB071B"/>
    <w:rsid w:val="00EB083D"/>
    <w:rsid w:val="00EB0A16"/>
    <w:rsid w:val="00EB0D7B"/>
    <w:rsid w:val="00EB118A"/>
    <w:rsid w:val="00EB1365"/>
    <w:rsid w:val="00EB1380"/>
    <w:rsid w:val="00EB1593"/>
    <w:rsid w:val="00EB15A9"/>
    <w:rsid w:val="00EB1967"/>
    <w:rsid w:val="00EB1B9E"/>
    <w:rsid w:val="00EB1D82"/>
    <w:rsid w:val="00EB20F9"/>
    <w:rsid w:val="00EB22A1"/>
    <w:rsid w:val="00EB2661"/>
    <w:rsid w:val="00EB2687"/>
    <w:rsid w:val="00EB281F"/>
    <w:rsid w:val="00EB2A7F"/>
    <w:rsid w:val="00EB2AF8"/>
    <w:rsid w:val="00EB2B68"/>
    <w:rsid w:val="00EB2BD6"/>
    <w:rsid w:val="00EB2DCF"/>
    <w:rsid w:val="00EB2F67"/>
    <w:rsid w:val="00EB3457"/>
    <w:rsid w:val="00EB3C25"/>
    <w:rsid w:val="00EB3CB0"/>
    <w:rsid w:val="00EB42BD"/>
    <w:rsid w:val="00EB460D"/>
    <w:rsid w:val="00EB49D6"/>
    <w:rsid w:val="00EB4EA5"/>
    <w:rsid w:val="00EB55B0"/>
    <w:rsid w:val="00EB5622"/>
    <w:rsid w:val="00EB5660"/>
    <w:rsid w:val="00EB58A8"/>
    <w:rsid w:val="00EB596B"/>
    <w:rsid w:val="00EB5F63"/>
    <w:rsid w:val="00EB6454"/>
    <w:rsid w:val="00EB65E6"/>
    <w:rsid w:val="00EB6D6E"/>
    <w:rsid w:val="00EB6DBC"/>
    <w:rsid w:val="00EB6F03"/>
    <w:rsid w:val="00EB6FE2"/>
    <w:rsid w:val="00EB7284"/>
    <w:rsid w:val="00EB74D1"/>
    <w:rsid w:val="00EB799B"/>
    <w:rsid w:val="00EB7FB2"/>
    <w:rsid w:val="00EC005E"/>
    <w:rsid w:val="00EC00F1"/>
    <w:rsid w:val="00EC059E"/>
    <w:rsid w:val="00EC066D"/>
    <w:rsid w:val="00EC0928"/>
    <w:rsid w:val="00EC0B3C"/>
    <w:rsid w:val="00EC0C5D"/>
    <w:rsid w:val="00EC0C91"/>
    <w:rsid w:val="00EC0E4C"/>
    <w:rsid w:val="00EC0F4B"/>
    <w:rsid w:val="00EC1216"/>
    <w:rsid w:val="00EC1296"/>
    <w:rsid w:val="00EC1573"/>
    <w:rsid w:val="00EC1AA2"/>
    <w:rsid w:val="00EC1F61"/>
    <w:rsid w:val="00EC2089"/>
    <w:rsid w:val="00EC215C"/>
    <w:rsid w:val="00EC21FF"/>
    <w:rsid w:val="00EC237B"/>
    <w:rsid w:val="00EC2AA1"/>
    <w:rsid w:val="00EC2F0D"/>
    <w:rsid w:val="00EC352C"/>
    <w:rsid w:val="00EC3A56"/>
    <w:rsid w:val="00EC3BE3"/>
    <w:rsid w:val="00EC3FD5"/>
    <w:rsid w:val="00EC40C0"/>
    <w:rsid w:val="00EC41E0"/>
    <w:rsid w:val="00EC41FB"/>
    <w:rsid w:val="00EC456C"/>
    <w:rsid w:val="00EC4EE2"/>
    <w:rsid w:val="00EC5051"/>
    <w:rsid w:val="00EC54C3"/>
    <w:rsid w:val="00EC55FA"/>
    <w:rsid w:val="00EC5F54"/>
    <w:rsid w:val="00EC5F7E"/>
    <w:rsid w:val="00EC5FB3"/>
    <w:rsid w:val="00EC60E8"/>
    <w:rsid w:val="00EC6379"/>
    <w:rsid w:val="00EC6C04"/>
    <w:rsid w:val="00EC6FC0"/>
    <w:rsid w:val="00EC7238"/>
    <w:rsid w:val="00EC7840"/>
    <w:rsid w:val="00EC7A23"/>
    <w:rsid w:val="00EC7A60"/>
    <w:rsid w:val="00EC7E55"/>
    <w:rsid w:val="00ED0043"/>
    <w:rsid w:val="00ED02C1"/>
    <w:rsid w:val="00ED0555"/>
    <w:rsid w:val="00ED092A"/>
    <w:rsid w:val="00ED0AA8"/>
    <w:rsid w:val="00ED0B8E"/>
    <w:rsid w:val="00ED0DC8"/>
    <w:rsid w:val="00ED1358"/>
    <w:rsid w:val="00ED13C9"/>
    <w:rsid w:val="00ED1A23"/>
    <w:rsid w:val="00ED1A38"/>
    <w:rsid w:val="00ED21F9"/>
    <w:rsid w:val="00ED224A"/>
    <w:rsid w:val="00ED2308"/>
    <w:rsid w:val="00ED23DF"/>
    <w:rsid w:val="00ED25CF"/>
    <w:rsid w:val="00ED2871"/>
    <w:rsid w:val="00ED28B5"/>
    <w:rsid w:val="00ED2B47"/>
    <w:rsid w:val="00ED2B6B"/>
    <w:rsid w:val="00ED3212"/>
    <w:rsid w:val="00ED3285"/>
    <w:rsid w:val="00ED3428"/>
    <w:rsid w:val="00ED359E"/>
    <w:rsid w:val="00ED3A68"/>
    <w:rsid w:val="00ED3D8E"/>
    <w:rsid w:val="00ED432E"/>
    <w:rsid w:val="00ED43C8"/>
    <w:rsid w:val="00ED448A"/>
    <w:rsid w:val="00ED44D9"/>
    <w:rsid w:val="00ED4873"/>
    <w:rsid w:val="00ED4A0F"/>
    <w:rsid w:val="00ED4D58"/>
    <w:rsid w:val="00ED4FAD"/>
    <w:rsid w:val="00ED515B"/>
    <w:rsid w:val="00ED55B0"/>
    <w:rsid w:val="00ED57D3"/>
    <w:rsid w:val="00ED580F"/>
    <w:rsid w:val="00ED5866"/>
    <w:rsid w:val="00ED5A8F"/>
    <w:rsid w:val="00ED5A91"/>
    <w:rsid w:val="00ED5C62"/>
    <w:rsid w:val="00ED5EB1"/>
    <w:rsid w:val="00ED615E"/>
    <w:rsid w:val="00ED619D"/>
    <w:rsid w:val="00ED61CB"/>
    <w:rsid w:val="00ED6359"/>
    <w:rsid w:val="00ED667D"/>
    <w:rsid w:val="00ED674D"/>
    <w:rsid w:val="00ED678B"/>
    <w:rsid w:val="00ED6AC7"/>
    <w:rsid w:val="00ED6D62"/>
    <w:rsid w:val="00ED6EAA"/>
    <w:rsid w:val="00ED7094"/>
    <w:rsid w:val="00ED7383"/>
    <w:rsid w:val="00ED77A8"/>
    <w:rsid w:val="00ED79AE"/>
    <w:rsid w:val="00ED7B6B"/>
    <w:rsid w:val="00ED7E34"/>
    <w:rsid w:val="00ED7FDA"/>
    <w:rsid w:val="00EE0268"/>
    <w:rsid w:val="00EE073C"/>
    <w:rsid w:val="00EE080F"/>
    <w:rsid w:val="00EE0A14"/>
    <w:rsid w:val="00EE0CA0"/>
    <w:rsid w:val="00EE0EAB"/>
    <w:rsid w:val="00EE0F76"/>
    <w:rsid w:val="00EE0FFD"/>
    <w:rsid w:val="00EE1099"/>
    <w:rsid w:val="00EE178F"/>
    <w:rsid w:val="00EE18CE"/>
    <w:rsid w:val="00EE1925"/>
    <w:rsid w:val="00EE1A38"/>
    <w:rsid w:val="00EE1BF4"/>
    <w:rsid w:val="00EE1D66"/>
    <w:rsid w:val="00EE1DD5"/>
    <w:rsid w:val="00EE1DD6"/>
    <w:rsid w:val="00EE1FF2"/>
    <w:rsid w:val="00EE2290"/>
    <w:rsid w:val="00EE25B5"/>
    <w:rsid w:val="00EE2886"/>
    <w:rsid w:val="00EE2C68"/>
    <w:rsid w:val="00EE2D14"/>
    <w:rsid w:val="00EE3561"/>
    <w:rsid w:val="00EE3CB8"/>
    <w:rsid w:val="00EE3F9D"/>
    <w:rsid w:val="00EE426E"/>
    <w:rsid w:val="00EE4832"/>
    <w:rsid w:val="00EE48D4"/>
    <w:rsid w:val="00EE496A"/>
    <w:rsid w:val="00EE4AED"/>
    <w:rsid w:val="00EE4F6E"/>
    <w:rsid w:val="00EE50BF"/>
    <w:rsid w:val="00EE531D"/>
    <w:rsid w:val="00EE5980"/>
    <w:rsid w:val="00EE598D"/>
    <w:rsid w:val="00EE5A1F"/>
    <w:rsid w:val="00EE5E5B"/>
    <w:rsid w:val="00EE601D"/>
    <w:rsid w:val="00EE64D6"/>
    <w:rsid w:val="00EE685A"/>
    <w:rsid w:val="00EE6A37"/>
    <w:rsid w:val="00EE6C05"/>
    <w:rsid w:val="00EE6CE0"/>
    <w:rsid w:val="00EE6D69"/>
    <w:rsid w:val="00EE6E25"/>
    <w:rsid w:val="00EE6EFD"/>
    <w:rsid w:val="00EE7044"/>
    <w:rsid w:val="00EE734F"/>
    <w:rsid w:val="00EE7391"/>
    <w:rsid w:val="00EE764B"/>
    <w:rsid w:val="00EE7B42"/>
    <w:rsid w:val="00EE7E6C"/>
    <w:rsid w:val="00EE7F64"/>
    <w:rsid w:val="00EF0090"/>
    <w:rsid w:val="00EF0410"/>
    <w:rsid w:val="00EF07C4"/>
    <w:rsid w:val="00EF0975"/>
    <w:rsid w:val="00EF0D32"/>
    <w:rsid w:val="00EF0D65"/>
    <w:rsid w:val="00EF1025"/>
    <w:rsid w:val="00EF1554"/>
    <w:rsid w:val="00EF16CE"/>
    <w:rsid w:val="00EF1B6D"/>
    <w:rsid w:val="00EF1CF0"/>
    <w:rsid w:val="00EF1D29"/>
    <w:rsid w:val="00EF1DA3"/>
    <w:rsid w:val="00EF1DEB"/>
    <w:rsid w:val="00EF212F"/>
    <w:rsid w:val="00EF2361"/>
    <w:rsid w:val="00EF2A4D"/>
    <w:rsid w:val="00EF2FB3"/>
    <w:rsid w:val="00EF2FF1"/>
    <w:rsid w:val="00EF321D"/>
    <w:rsid w:val="00EF33C4"/>
    <w:rsid w:val="00EF33EA"/>
    <w:rsid w:val="00EF3675"/>
    <w:rsid w:val="00EF3BE8"/>
    <w:rsid w:val="00EF3F2B"/>
    <w:rsid w:val="00EF4666"/>
    <w:rsid w:val="00EF4698"/>
    <w:rsid w:val="00EF469C"/>
    <w:rsid w:val="00EF4AD5"/>
    <w:rsid w:val="00EF4B5E"/>
    <w:rsid w:val="00EF56A2"/>
    <w:rsid w:val="00EF57AD"/>
    <w:rsid w:val="00EF591A"/>
    <w:rsid w:val="00EF5A34"/>
    <w:rsid w:val="00EF5F44"/>
    <w:rsid w:val="00EF605A"/>
    <w:rsid w:val="00EF60D0"/>
    <w:rsid w:val="00EF60D8"/>
    <w:rsid w:val="00EF6421"/>
    <w:rsid w:val="00EF66AD"/>
    <w:rsid w:val="00EF6979"/>
    <w:rsid w:val="00EF69AE"/>
    <w:rsid w:val="00EF69FA"/>
    <w:rsid w:val="00EF6A35"/>
    <w:rsid w:val="00EF6B14"/>
    <w:rsid w:val="00EF6D72"/>
    <w:rsid w:val="00EF6E12"/>
    <w:rsid w:val="00EF6EC1"/>
    <w:rsid w:val="00EF7830"/>
    <w:rsid w:val="00EF79A2"/>
    <w:rsid w:val="00EF7B10"/>
    <w:rsid w:val="00EF7B40"/>
    <w:rsid w:val="00EF7FB9"/>
    <w:rsid w:val="00F000ED"/>
    <w:rsid w:val="00F00E6A"/>
    <w:rsid w:val="00F01448"/>
    <w:rsid w:val="00F018E5"/>
    <w:rsid w:val="00F01980"/>
    <w:rsid w:val="00F01BFE"/>
    <w:rsid w:val="00F020B4"/>
    <w:rsid w:val="00F02520"/>
    <w:rsid w:val="00F02A52"/>
    <w:rsid w:val="00F02BFC"/>
    <w:rsid w:val="00F03107"/>
    <w:rsid w:val="00F03158"/>
    <w:rsid w:val="00F033E0"/>
    <w:rsid w:val="00F03715"/>
    <w:rsid w:val="00F03D31"/>
    <w:rsid w:val="00F0424A"/>
    <w:rsid w:val="00F04591"/>
    <w:rsid w:val="00F0473F"/>
    <w:rsid w:val="00F04823"/>
    <w:rsid w:val="00F04988"/>
    <w:rsid w:val="00F04CF8"/>
    <w:rsid w:val="00F04D43"/>
    <w:rsid w:val="00F04FFB"/>
    <w:rsid w:val="00F0557B"/>
    <w:rsid w:val="00F056B1"/>
    <w:rsid w:val="00F05B2F"/>
    <w:rsid w:val="00F05C1C"/>
    <w:rsid w:val="00F05E24"/>
    <w:rsid w:val="00F05ED4"/>
    <w:rsid w:val="00F06030"/>
    <w:rsid w:val="00F065F5"/>
    <w:rsid w:val="00F067D7"/>
    <w:rsid w:val="00F06BAE"/>
    <w:rsid w:val="00F0737B"/>
    <w:rsid w:val="00F07975"/>
    <w:rsid w:val="00F07E4B"/>
    <w:rsid w:val="00F10079"/>
    <w:rsid w:val="00F10093"/>
    <w:rsid w:val="00F10259"/>
    <w:rsid w:val="00F105F1"/>
    <w:rsid w:val="00F10647"/>
    <w:rsid w:val="00F1086B"/>
    <w:rsid w:val="00F1098F"/>
    <w:rsid w:val="00F11043"/>
    <w:rsid w:val="00F110EA"/>
    <w:rsid w:val="00F11147"/>
    <w:rsid w:val="00F112D8"/>
    <w:rsid w:val="00F116A8"/>
    <w:rsid w:val="00F12410"/>
    <w:rsid w:val="00F1243C"/>
    <w:rsid w:val="00F1261B"/>
    <w:rsid w:val="00F12828"/>
    <w:rsid w:val="00F12940"/>
    <w:rsid w:val="00F12A72"/>
    <w:rsid w:val="00F12B4C"/>
    <w:rsid w:val="00F12C23"/>
    <w:rsid w:val="00F12D7F"/>
    <w:rsid w:val="00F12DB2"/>
    <w:rsid w:val="00F134F9"/>
    <w:rsid w:val="00F13555"/>
    <w:rsid w:val="00F1367A"/>
    <w:rsid w:val="00F13A20"/>
    <w:rsid w:val="00F13B7A"/>
    <w:rsid w:val="00F13DA6"/>
    <w:rsid w:val="00F13FDC"/>
    <w:rsid w:val="00F140F5"/>
    <w:rsid w:val="00F14156"/>
    <w:rsid w:val="00F1423E"/>
    <w:rsid w:val="00F1467A"/>
    <w:rsid w:val="00F14758"/>
    <w:rsid w:val="00F1478D"/>
    <w:rsid w:val="00F14930"/>
    <w:rsid w:val="00F14ACD"/>
    <w:rsid w:val="00F14ACE"/>
    <w:rsid w:val="00F14DA5"/>
    <w:rsid w:val="00F14F12"/>
    <w:rsid w:val="00F14F48"/>
    <w:rsid w:val="00F14F59"/>
    <w:rsid w:val="00F15273"/>
    <w:rsid w:val="00F1538B"/>
    <w:rsid w:val="00F15C67"/>
    <w:rsid w:val="00F15DA8"/>
    <w:rsid w:val="00F161C4"/>
    <w:rsid w:val="00F164CA"/>
    <w:rsid w:val="00F1651D"/>
    <w:rsid w:val="00F172DF"/>
    <w:rsid w:val="00F17C01"/>
    <w:rsid w:val="00F200D7"/>
    <w:rsid w:val="00F2021C"/>
    <w:rsid w:val="00F20275"/>
    <w:rsid w:val="00F20290"/>
    <w:rsid w:val="00F20605"/>
    <w:rsid w:val="00F20B53"/>
    <w:rsid w:val="00F21709"/>
    <w:rsid w:val="00F21A76"/>
    <w:rsid w:val="00F221FC"/>
    <w:rsid w:val="00F2252C"/>
    <w:rsid w:val="00F228E5"/>
    <w:rsid w:val="00F22C82"/>
    <w:rsid w:val="00F22DF5"/>
    <w:rsid w:val="00F22F39"/>
    <w:rsid w:val="00F2340B"/>
    <w:rsid w:val="00F237C9"/>
    <w:rsid w:val="00F23ABB"/>
    <w:rsid w:val="00F24294"/>
    <w:rsid w:val="00F248AB"/>
    <w:rsid w:val="00F24BAD"/>
    <w:rsid w:val="00F24DED"/>
    <w:rsid w:val="00F2507E"/>
    <w:rsid w:val="00F25569"/>
    <w:rsid w:val="00F255BE"/>
    <w:rsid w:val="00F255F6"/>
    <w:rsid w:val="00F256DE"/>
    <w:rsid w:val="00F25A48"/>
    <w:rsid w:val="00F25DF8"/>
    <w:rsid w:val="00F25E01"/>
    <w:rsid w:val="00F25FBC"/>
    <w:rsid w:val="00F26023"/>
    <w:rsid w:val="00F26765"/>
    <w:rsid w:val="00F26821"/>
    <w:rsid w:val="00F2687F"/>
    <w:rsid w:val="00F26928"/>
    <w:rsid w:val="00F26C07"/>
    <w:rsid w:val="00F26E2E"/>
    <w:rsid w:val="00F271B5"/>
    <w:rsid w:val="00F27337"/>
    <w:rsid w:val="00F273E0"/>
    <w:rsid w:val="00F2745D"/>
    <w:rsid w:val="00F278BC"/>
    <w:rsid w:val="00F2795A"/>
    <w:rsid w:val="00F27A2C"/>
    <w:rsid w:val="00F27D88"/>
    <w:rsid w:val="00F27EE0"/>
    <w:rsid w:val="00F27F6C"/>
    <w:rsid w:val="00F30008"/>
    <w:rsid w:val="00F30097"/>
    <w:rsid w:val="00F302D4"/>
    <w:rsid w:val="00F302D8"/>
    <w:rsid w:val="00F302F8"/>
    <w:rsid w:val="00F3046C"/>
    <w:rsid w:val="00F3089B"/>
    <w:rsid w:val="00F30DFD"/>
    <w:rsid w:val="00F311B8"/>
    <w:rsid w:val="00F31740"/>
    <w:rsid w:val="00F31886"/>
    <w:rsid w:val="00F327ED"/>
    <w:rsid w:val="00F32815"/>
    <w:rsid w:val="00F32CE7"/>
    <w:rsid w:val="00F32DCF"/>
    <w:rsid w:val="00F33476"/>
    <w:rsid w:val="00F3348D"/>
    <w:rsid w:val="00F3359B"/>
    <w:rsid w:val="00F3360E"/>
    <w:rsid w:val="00F33950"/>
    <w:rsid w:val="00F33992"/>
    <w:rsid w:val="00F33CEB"/>
    <w:rsid w:val="00F33D0F"/>
    <w:rsid w:val="00F3416A"/>
    <w:rsid w:val="00F345EF"/>
    <w:rsid w:val="00F34AF1"/>
    <w:rsid w:val="00F34CAE"/>
    <w:rsid w:val="00F34E4E"/>
    <w:rsid w:val="00F35481"/>
    <w:rsid w:val="00F363C1"/>
    <w:rsid w:val="00F3652D"/>
    <w:rsid w:val="00F366DD"/>
    <w:rsid w:val="00F36F42"/>
    <w:rsid w:val="00F3728D"/>
    <w:rsid w:val="00F37B07"/>
    <w:rsid w:val="00F37CDE"/>
    <w:rsid w:val="00F37D7C"/>
    <w:rsid w:val="00F37EB8"/>
    <w:rsid w:val="00F40024"/>
    <w:rsid w:val="00F40B36"/>
    <w:rsid w:val="00F40C79"/>
    <w:rsid w:val="00F410F4"/>
    <w:rsid w:val="00F41110"/>
    <w:rsid w:val="00F41555"/>
    <w:rsid w:val="00F41627"/>
    <w:rsid w:val="00F4167C"/>
    <w:rsid w:val="00F41932"/>
    <w:rsid w:val="00F419D5"/>
    <w:rsid w:val="00F41DA1"/>
    <w:rsid w:val="00F41E9D"/>
    <w:rsid w:val="00F41F72"/>
    <w:rsid w:val="00F41FF8"/>
    <w:rsid w:val="00F42378"/>
    <w:rsid w:val="00F424FD"/>
    <w:rsid w:val="00F4257B"/>
    <w:rsid w:val="00F42ADA"/>
    <w:rsid w:val="00F42D2A"/>
    <w:rsid w:val="00F43053"/>
    <w:rsid w:val="00F435A8"/>
    <w:rsid w:val="00F43637"/>
    <w:rsid w:val="00F438A7"/>
    <w:rsid w:val="00F43EC9"/>
    <w:rsid w:val="00F43FCF"/>
    <w:rsid w:val="00F441FC"/>
    <w:rsid w:val="00F44256"/>
    <w:rsid w:val="00F44289"/>
    <w:rsid w:val="00F44597"/>
    <w:rsid w:val="00F445DE"/>
    <w:rsid w:val="00F44693"/>
    <w:rsid w:val="00F447DC"/>
    <w:rsid w:val="00F44AAD"/>
    <w:rsid w:val="00F44B37"/>
    <w:rsid w:val="00F44BBF"/>
    <w:rsid w:val="00F44C87"/>
    <w:rsid w:val="00F45369"/>
    <w:rsid w:val="00F45B18"/>
    <w:rsid w:val="00F45D68"/>
    <w:rsid w:val="00F46583"/>
    <w:rsid w:val="00F465CC"/>
    <w:rsid w:val="00F4669C"/>
    <w:rsid w:val="00F467B7"/>
    <w:rsid w:val="00F46E04"/>
    <w:rsid w:val="00F46FDC"/>
    <w:rsid w:val="00F47261"/>
    <w:rsid w:val="00F475FC"/>
    <w:rsid w:val="00F4769B"/>
    <w:rsid w:val="00F476DE"/>
    <w:rsid w:val="00F4773D"/>
    <w:rsid w:val="00F47A70"/>
    <w:rsid w:val="00F47D0D"/>
    <w:rsid w:val="00F502D2"/>
    <w:rsid w:val="00F50588"/>
    <w:rsid w:val="00F50589"/>
    <w:rsid w:val="00F50665"/>
    <w:rsid w:val="00F509C7"/>
    <w:rsid w:val="00F50A2A"/>
    <w:rsid w:val="00F50AB7"/>
    <w:rsid w:val="00F50D4C"/>
    <w:rsid w:val="00F50DA0"/>
    <w:rsid w:val="00F50FBD"/>
    <w:rsid w:val="00F51166"/>
    <w:rsid w:val="00F511B2"/>
    <w:rsid w:val="00F512BE"/>
    <w:rsid w:val="00F51328"/>
    <w:rsid w:val="00F51B28"/>
    <w:rsid w:val="00F51D03"/>
    <w:rsid w:val="00F5211D"/>
    <w:rsid w:val="00F523C2"/>
    <w:rsid w:val="00F52469"/>
    <w:rsid w:val="00F524DD"/>
    <w:rsid w:val="00F525F4"/>
    <w:rsid w:val="00F52804"/>
    <w:rsid w:val="00F52A3A"/>
    <w:rsid w:val="00F52AC6"/>
    <w:rsid w:val="00F5325C"/>
    <w:rsid w:val="00F536FD"/>
    <w:rsid w:val="00F53ABD"/>
    <w:rsid w:val="00F53BD6"/>
    <w:rsid w:val="00F545A9"/>
    <w:rsid w:val="00F54918"/>
    <w:rsid w:val="00F54A09"/>
    <w:rsid w:val="00F54AF8"/>
    <w:rsid w:val="00F54FE8"/>
    <w:rsid w:val="00F5501F"/>
    <w:rsid w:val="00F55681"/>
    <w:rsid w:val="00F55949"/>
    <w:rsid w:val="00F55AB7"/>
    <w:rsid w:val="00F55C09"/>
    <w:rsid w:val="00F55F93"/>
    <w:rsid w:val="00F56711"/>
    <w:rsid w:val="00F56845"/>
    <w:rsid w:val="00F569FB"/>
    <w:rsid w:val="00F56A5F"/>
    <w:rsid w:val="00F571B5"/>
    <w:rsid w:val="00F573B3"/>
    <w:rsid w:val="00F57B32"/>
    <w:rsid w:val="00F57DF5"/>
    <w:rsid w:val="00F603DD"/>
    <w:rsid w:val="00F6075E"/>
    <w:rsid w:val="00F60C96"/>
    <w:rsid w:val="00F60FDB"/>
    <w:rsid w:val="00F61025"/>
    <w:rsid w:val="00F610B2"/>
    <w:rsid w:val="00F616D1"/>
    <w:rsid w:val="00F61A7E"/>
    <w:rsid w:val="00F61B77"/>
    <w:rsid w:val="00F61EE0"/>
    <w:rsid w:val="00F62040"/>
    <w:rsid w:val="00F62475"/>
    <w:rsid w:val="00F62604"/>
    <w:rsid w:val="00F6276C"/>
    <w:rsid w:val="00F62A3F"/>
    <w:rsid w:val="00F62BC7"/>
    <w:rsid w:val="00F62CD3"/>
    <w:rsid w:val="00F63128"/>
    <w:rsid w:val="00F631B0"/>
    <w:rsid w:val="00F6335D"/>
    <w:rsid w:val="00F636D1"/>
    <w:rsid w:val="00F63798"/>
    <w:rsid w:val="00F63818"/>
    <w:rsid w:val="00F638EA"/>
    <w:rsid w:val="00F639C8"/>
    <w:rsid w:val="00F63D57"/>
    <w:rsid w:val="00F64005"/>
    <w:rsid w:val="00F6404A"/>
    <w:rsid w:val="00F640B5"/>
    <w:rsid w:val="00F6430E"/>
    <w:rsid w:val="00F6433D"/>
    <w:rsid w:val="00F64901"/>
    <w:rsid w:val="00F6493D"/>
    <w:rsid w:val="00F6496D"/>
    <w:rsid w:val="00F64B94"/>
    <w:rsid w:val="00F64C67"/>
    <w:rsid w:val="00F64FEA"/>
    <w:rsid w:val="00F65176"/>
    <w:rsid w:val="00F654A0"/>
    <w:rsid w:val="00F6576A"/>
    <w:rsid w:val="00F657F3"/>
    <w:rsid w:val="00F65B8D"/>
    <w:rsid w:val="00F65E27"/>
    <w:rsid w:val="00F65E4D"/>
    <w:rsid w:val="00F65EE1"/>
    <w:rsid w:val="00F6613C"/>
    <w:rsid w:val="00F663B7"/>
    <w:rsid w:val="00F66594"/>
    <w:rsid w:val="00F66987"/>
    <w:rsid w:val="00F66995"/>
    <w:rsid w:val="00F66A99"/>
    <w:rsid w:val="00F67183"/>
    <w:rsid w:val="00F67261"/>
    <w:rsid w:val="00F67C0F"/>
    <w:rsid w:val="00F67FD4"/>
    <w:rsid w:val="00F701AD"/>
    <w:rsid w:val="00F70214"/>
    <w:rsid w:val="00F70219"/>
    <w:rsid w:val="00F7026F"/>
    <w:rsid w:val="00F70489"/>
    <w:rsid w:val="00F70990"/>
    <w:rsid w:val="00F70D4E"/>
    <w:rsid w:val="00F70E5D"/>
    <w:rsid w:val="00F7109F"/>
    <w:rsid w:val="00F710FD"/>
    <w:rsid w:val="00F711D3"/>
    <w:rsid w:val="00F71266"/>
    <w:rsid w:val="00F7139E"/>
    <w:rsid w:val="00F71492"/>
    <w:rsid w:val="00F717D1"/>
    <w:rsid w:val="00F7183A"/>
    <w:rsid w:val="00F71CCD"/>
    <w:rsid w:val="00F71DFC"/>
    <w:rsid w:val="00F71F81"/>
    <w:rsid w:val="00F720E7"/>
    <w:rsid w:val="00F722C8"/>
    <w:rsid w:val="00F72668"/>
    <w:rsid w:val="00F7292D"/>
    <w:rsid w:val="00F72CEC"/>
    <w:rsid w:val="00F72EA6"/>
    <w:rsid w:val="00F73179"/>
    <w:rsid w:val="00F73375"/>
    <w:rsid w:val="00F7361F"/>
    <w:rsid w:val="00F73A16"/>
    <w:rsid w:val="00F73C13"/>
    <w:rsid w:val="00F74598"/>
    <w:rsid w:val="00F74851"/>
    <w:rsid w:val="00F749FF"/>
    <w:rsid w:val="00F75139"/>
    <w:rsid w:val="00F75211"/>
    <w:rsid w:val="00F75329"/>
    <w:rsid w:val="00F753DB"/>
    <w:rsid w:val="00F7540A"/>
    <w:rsid w:val="00F755DF"/>
    <w:rsid w:val="00F756F6"/>
    <w:rsid w:val="00F75701"/>
    <w:rsid w:val="00F75712"/>
    <w:rsid w:val="00F75B4B"/>
    <w:rsid w:val="00F75E51"/>
    <w:rsid w:val="00F75FA7"/>
    <w:rsid w:val="00F760C2"/>
    <w:rsid w:val="00F7627A"/>
    <w:rsid w:val="00F7629F"/>
    <w:rsid w:val="00F76B77"/>
    <w:rsid w:val="00F76D80"/>
    <w:rsid w:val="00F770C5"/>
    <w:rsid w:val="00F774B5"/>
    <w:rsid w:val="00F776B1"/>
    <w:rsid w:val="00F77D48"/>
    <w:rsid w:val="00F8012D"/>
    <w:rsid w:val="00F80817"/>
    <w:rsid w:val="00F809A7"/>
    <w:rsid w:val="00F80B93"/>
    <w:rsid w:val="00F80E6D"/>
    <w:rsid w:val="00F80E86"/>
    <w:rsid w:val="00F8123E"/>
    <w:rsid w:val="00F81428"/>
    <w:rsid w:val="00F8148C"/>
    <w:rsid w:val="00F81826"/>
    <w:rsid w:val="00F81A2C"/>
    <w:rsid w:val="00F81BD1"/>
    <w:rsid w:val="00F81C9E"/>
    <w:rsid w:val="00F81F75"/>
    <w:rsid w:val="00F8214C"/>
    <w:rsid w:val="00F82326"/>
    <w:rsid w:val="00F82338"/>
    <w:rsid w:val="00F82BB6"/>
    <w:rsid w:val="00F82C69"/>
    <w:rsid w:val="00F82DCA"/>
    <w:rsid w:val="00F82E81"/>
    <w:rsid w:val="00F82F7E"/>
    <w:rsid w:val="00F8337D"/>
    <w:rsid w:val="00F83381"/>
    <w:rsid w:val="00F8345A"/>
    <w:rsid w:val="00F83558"/>
    <w:rsid w:val="00F8379F"/>
    <w:rsid w:val="00F839CC"/>
    <w:rsid w:val="00F839E5"/>
    <w:rsid w:val="00F8406C"/>
    <w:rsid w:val="00F8409F"/>
    <w:rsid w:val="00F8417C"/>
    <w:rsid w:val="00F843C0"/>
    <w:rsid w:val="00F8469D"/>
    <w:rsid w:val="00F84E60"/>
    <w:rsid w:val="00F84F29"/>
    <w:rsid w:val="00F84F86"/>
    <w:rsid w:val="00F85404"/>
    <w:rsid w:val="00F854BF"/>
    <w:rsid w:val="00F8556C"/>
    <w:rsid w:val="00F85654"/>
    <w:rsid w:val="00F856F1"/>
    <w:rsid w:val="00F8599B"/>
    <w:rsid w:val="00F860E6"/>
    <w:rsid w:val="00F863D0"/>
    <w:rsid w:val="00F8684B"/>
    <w:rsid w:val="00F868A1"/>
    <w:rsid w:val="00F86A4D"/>
    <w:rsid w:val="00F87974"/>
    <w:rsid w:val="00F879E3"/>
    <w:rsid w:val="00F87DFF"/>
    <w:rsid w:val="00F87E12"/>
    <w:rsid w:val="00F87F0A"/>
    <w:rsid w:val="00F90606"/>
    <w:rsid w:val="00F906E2"/>
    <w:rsid w:val="00F912C9"/>
    <w:rsid w:val="00F91493"/>
    <w:rsid w:val="00F91595"/>
    <w:rsid w:val="00F915C5"/>
    <w:rsid w:val="00F91A70"/>
    <w:rsid w:val="00F91D9F"/>
    <w:rsid w:val="00F91F55"/>
    <w:rsid w:val="00F9205A"/>
    <w:rsid w:val="00F9208A"/>
    <w:rsid w:val="00F921AE"/>
    <w:rsid w:val="00F92401"/>
    <w:rsid w:val="00F925AE"/>
    <w:rsid w:val="00F925F4"/>
    <w:rsid w:val="00F92BFF"/>
    <w:rsid w:val="00F92C45"/>
    <w:rsid w:val="00F9363A"/>
    <w:rsid w:val="00F937FE"/>
    <w:rsid w:val="00F93ABE"/>
    <w:rsid w:val="00F93E20"/>
    <w:rsid w:val="00F93FF8"/>
    <w:rsid w:val="00F9408A"/>
    <w:rsid w:val="00F942E3"/>
    <w:rsid w:val="00F94418"/>
    <w:rsid w:val="00F94CD2"/>
    <w:rsid w:val="00F950B4"/>
    <w:rsid w:val="00F95255"/>
    <w:rsid w:val="00F95ADA"/>
    <w:rsid w:val="00F95DBA"/>
    <w:rsid w:val="00F9619A"/>
    <w:rsid w:val="00F96F4D"/>
    <w:rsid w:val="00F96F81"/>
    <w:rsid w:val="00F97341"/>
    <w:rsid w:val="00F97400"/>
    <w:rsid w:val="00F9763F"/>
    <w:rsid w:val="00F97668"/>
    <w:rsid w:val="00F9789E"/>
    <w:rsid w:val="00FA00F5"/>
    <w:rsid w:val="00FA016F"/>
    <w:rsid w:val="00FA0362"/>
    <w:rsid w:val="00FA0416"/>
    <w:rsid w:val="00FA063E"/>
    <w:rsid w:val="00FA06E6"/>
    <w:rsid w:val="00FA0908"/>
    <w:rsid w:val="00FA0F17"/>
    <w:rsid w:val="00FA108B"/>
    <w:rsid w:val="00FA112D"/>
    <w:rsid w:val="00FA11FF"/>
    <w:rsid w:val="00FA1220"/>
    <w:rsid w:val="00FA1334"/>
    <w:rsid w:val="00FA161F"/>
    <w:rsid w:val="00FA165A"/>
    <w:rsid w:val="00FA1836"/>
    <w:rsid w:val="00FA18AF"/>
    <w:rsid w:val="00FA18C7"/>
    <w:rsid w:val="00FA18D6"/>
    <w:rsid w:val="00FA1D1A"/>
    <w:rsid w:val="00FA1DF2"/>
    <w:rsid w:val="00FA1EBD"/>
    <w:rsid w:val="00FA2005"/>
    <w:rsid w:val="00FA203E"/>
    <w:rsid w:val="00FA2465"/>
    <w:rsid w:val="00FA2813"/>
    <w:rsid w:val="00FA2955"/>
    <w:rsid w:val="00FA29EA"/>
    <w:rsid w:val="00FA2B01"/>
    <w:rsid w:val="00FA2D0C"/>
    <w:rsid w:val="00FA2D5D"/>
    <w:rsid w:val="00FA3172"/>
    <w:rsid w:val="00FA3299"/>
    <w:rsid w:val="00FA342C"/>
    <w:rsid w:val="00FA354C"/>
    <w:rsid w:val="00FA3955"/>
    <w:rsid w:val="00FA3958"/>
    <w:rsid w:val="00FA3AE2"/>
    <w:rsid w:val="00FA4384"/>
    <w:rsid w:val="00FA490B"/>
    <w:rsid w:val="00FA49BF"/>
    <w:rsid w:val="00FA5C89"/>
    <w:rsid w:val="00FA60F0"/>
    <w:rsid w:val="00FA629F"/>
    <w:rsid w:val="00FA642B"/>
    <w:rsid w:val="00FA693A"/>
    <w:rsid w:val="00FA6943"/>
    <w:rsid w:val="00FA6A4F"/>
    <w:rsid w:val="00FA6C2D"/>
    <w:rsid w:val="00FA713D"/>
    <w:rsid w:val="00FA7978"/>
    <w:rsid w:val="00FA7A30"/>
    <w:rsid w:val="00FA7F3E"/>
    <w:rsid w:val="00FB015B"/>
    <w:rsid w:val="00FB0166"/>
    <w:rsid w:val="00FB02A4"/>
    <w:rsid w:val="00FB065A"/>
    <w:rsid w:val="00FB0A3E"/>
    <w:rsid w:val="00FB19B7"/>
    <w:rsid w:val="00FB20B1"/>
    <w:rsid w:val="00FB2490"/>
    <w:rsid w:val="00FB25B6"/>
    <w:rsid w:val="00FB26CA"/>
    <w:rsid w:val="00FB2A26"/>
    <w:rsid w:val="00FB2B5C"/>
    <w:rsid w:val="00FB2E85"/>
    <w:rsid w:val="00FB348D"/>
    <w:rsid w:val="00FB358B"/>
    <w:rsid w:val="00FB3675"/>
    <w:rsid w:val="00FB36BA"/>
    <w:rsid w:val="00FB3DEA"/>
    <w:rsid w:val="00FB4A4B"/>
    <w:rsid w:val="00FB4CFB"/>
    <w:rsid w:val="00FB507A"/>
    <w:rsid w:val="00FB50CC"/>
    <w:rsid w:val="00FB57D3"/>
    <w:rsid w:val="00FB583B"/>
    <w:rsid w:val="00FB594B"/>
    <w:rsid w:val="00FB5BB9"/>
    <w:rsid w:val="00FB5E70"/>
    <w:rsid w:val="00FB5F8B"/>
    <w:rsid w:val="00FB605E"/>
    <w:rsid w:val="00FB60B9"/>
    <w:rsid w:val="00FB611E"/>
    <w:rsid w:val="00FB658F"/>
    <w:rsid w:val="00FB667E"/>
    <w:rsid w:val="00FB66C8"/>
    <w:rsid w:val="00FB69BC"/>
    <w:rsid w:val="00FB6ED5"/>
    <w:rsid w:val="00FB704F"/>
    <w:rsid w:val="00FB777B"/>
    <w:rsid w:val="00FB7802"/>
    <w:rsid w:val="00FB7A03"/>
    <w:rsid w:val="00FB7A60"/>
    <w:rsid w:val="00FB7ED5"/>
    <w:rsid w:val="00FC0034"/>
    <w:rsid w:val="00FC00A8"/>
    <w:rsid w:val="00FC011B"/>
    <w:rsid w:val="00FC0444"/>
    <w:rsid w:val="00FC05A5"/>
    <w:rsid w:val="00FC0E35"/>
    <w:rsid w:val="00FC0F46"/>
    <w:rsid w:val="00FC112D"/>
    <w:rsid w:val="00FC11E5"/>
    <w:rsid w:val="00FC1793"/>
    <w:rsid w:val="00FC19FC"/>
    <w:rsid w:val="00FC1CA8"/>
    <w:rsid w:val="00FC1F0E"/>
    <w:rsid w:val="00FC208A"/>
    <w:rsid w:val="00FC2574"/>
    <w:rsid w:val="00FC26BD"/>
    <w:rsid w:val="00FC28AA"/>
    <w:rsid w:val="00FC2AF7"/>
    <w:rsid w:val="00FC2C0A"/>
    <w:rsid w:val="00FC2E31"/>
    <w:rsid w:val="00FC339A"/>
    <w:rsid w:val="00FC35F7"/>
    <w:rsid w:val="00FC386A"/>
    <w:rsid w:val="00FC39BF"/>
    <w:rsid w:val="00FC3B4A"/>
    <w:rsid w:val="00FC4608"/>
    <w:rsid w:val="00FC475D"/>
    <w:rsid w:val="00FC4B8E"/>
    <w:rsid w:val="00FC4E11"/>
    <w:rsid w:val="00FC50EF"/>
    <w:rsid w:val="00FC529B"/>
    <w:rsid w:val="00FC59FD"/>
    <w:rsid w:val="00FC5A60"/>
    <w:rsid w:val="00FC5AF6"/>
    <w:rsid w:val="00FC5CA1"/>
    <w:rsid w:val="00FC5F7C"/>
    <w:rsid w:val="00FC6185"/>
    <w:rsid w:val="00FC6412"/>
    <w:rsid w:val="00FC6441"/>
    <w:rsid w:val="00FC686D"/>
    <w:rsid w:val="00FC6D6A"/>
    <w:rsid w:val="00FC6DAC"/>
    <w:rsid w:val="00FC6FC5"/>
    <w:rsid w:val="00FC703E"/>
    <w:rsid w:val="00FC7073"/>
    <w:rsid w:val="00FC7204"/>
    <w:rsid w:val="00FC7544"/>
    <w:rsid w:val="00FC78F9"/>
    <w:rsid w:val="00FC7A60"/>
    <w:rsid w:val="00FC7E10"/>
    <w:rsid w:val="00FC7EA7"/>
    <w:rsid w:val="00FC7F4E"/>
    <w:rsid w:val="00FD0497"/>
    <w:rsid w:val="00FD0889"/>
    <w:rsid w:val="00FD0BC2"/>
    <w:rsid w:val="00FD1587"/>
    <w:rsid w:val="00FD1D6A"/>
    <w:rsid w:val="00FD1DD5"/>
    <w:rsid w:val="00FD21DB"/>
    <w:rsid w:val="00FD230F"/>
    <w:rsid w:val="00FD295A"/>
    <w:rsid w:val="00FD29BA"/>
    <w:rsid w:val="00FD2B53"/>
    <w:rsid w:val="00FD2DC4"/>
    <w:rsid w:val="00FD2F17"/>
    <w:rsid w:val="00FD3049"/>
    <w:rsid w:val="00FD3197"/>
    <w:rsid w:val="00FD35D0"/>
    <w:rsid w:val="00FD3761"/>
    <w:rsid w:val="00FD382B"/>
    <w:rsid w:val="00FD384B"/>
    <w:rsid w:val="00FD3A6C"/>
    <w:rsid w:val="00FD3C02"/>
    <w:rsid w:val="00FD3C36"/>
    <w:rsid w:val="00FD3D00"/>
    <w:rsid w:val="00FD3EC7"/>
    <w:rsid w:val="00FD3EF2"/>
    <w:rsid w:val="00FD4207"/>
    <w:rsid w:val="00FD466F"/>
    <w:rsid w:val="00FD4B27"/>
    <w:rsid w:val="00FD4B82"/>
    <w:rsid w:val="00FD4D86"/>
    <w:rsid w:val="00FD501A"/>
    <w:rsid w:val="00FD50F6"/>
    <w:rsid w:val="00FD512C"/>
    <w:rsid w:val="00FD5315"/>
    <w:rsid w:val="00FD55C5"/>
    <w:rsid w:val="00FD5A53"/>
    <w:rsid w:val="00FD5D9D"/>
    <w:rsid w:val="00FD5FE0"/>
    <w:rsid w:val="00FD6037"/>
    <w:rsid w:val="00FD63CF"/>
    <w:rsid w:val="00FD6426"/>
    <w:rsid w:val="00FD650A"/>
    <w:rsid w:val="00FD6645"/>
    <w:rsid w:val="00FD6791"/>
    <w:rsid w:val="00FD6D24"/>
    <w:rsid w:val="00FD72BF"/>
    <w:rsid w:val="00FD7305"/>
    <w:rsid w:val="00FD7760"/>
    <w:rsid w:val="00FD7B49"/>
    <w:rsid w:val="00FD7CF2"/>
    <w:rsid w:val="00FD7EAA"/>
    <w:rsid w:val="00FE0035"/>
    <w:rsid w:val="00FE0069"/>
    <w:rsid w:val="00FE0112"/>
    <w:rsid w:val="00FE02C0"/>
    <w:rsid w:val="00FE0542"/>
    <w:rsid w:val="00FE09FA"/>
    <w:rsid w:val="00FE0B58"/>
    <w:rsid w:val="00FE0BC2"/>
    <w:rsid w:val="00FE0EBE"/>
    <w:rsid w:val="00FE0F57"/>
    <w:rsid w:val="00FE0FAD"/>
    <w:rsid w:val="00FE0FBA"/>
    <w:rsid w:val="00FE105A"/>
    <w:rsid w:val="00FE108C"/>
    <w:rsid w:val="00FE1804"/>
    <w:rsid w:val="00FE1955"/>
    <w:rsid w:val="00FE198B"/>
    <w:rsid w:val="00FE1A24"/>
    <w:rsid w:val="00FE1B4B"/>
    <w:rsid w:val="00FE20DD"/>
    <w:rsid w:val="00FE2331"/>
    <w:rsid w:val="00FE2464"/>
    <w:rsid w:val="00FE264E"/>
    <w:rsid w:val="00FE2768"/>
    <w:rsid w:val="00FE3095"/>
    <w:rsid w:val="00FE324A"/>
    <w:rsid w:val="00FE33B7"/>
    <w:rsid w:val="00FE33EC"/>
    <w:rsid w:val="00FE3664"/>
    <w:rsid w:val="00FE3941"/>
    <w:rsid w:val="00FE3EFF"/>
    <w:rsid w:val="00FE4259"/>
    <w:rsid w:val="00FE4339"/>
    <w:rsid w:val="00FE4C1B"/>
    <w:rsid w:val="00FE4DC4"/>
    <w:rsid w:val="00FE500A"/>
    <w:rsid w:val="00FE51B0"/>
    <w:rsid w:val="00FE553B"/>
    <w:rsid w:val="00FE56F2"/>
    <w:rsid w:val="00FE5AA5"/>
    <w:rsid w:val="00FE66CF"/>
    <w:rsid w:val="00FE6D47"/>
    <w:rsid w:val="00FE7168"/>
    <w:rsid w:val="00FE71BF"/>
    <w:rsid w:val="00FE71E4"/>
    <w:rsid w:val="00FE743C"/>
    <w:rsid w:val="00FE779E"/>
    <w:rsid w:val="00FE7A1C"/>
    <w:rsid w:val="00FE7F75"/>
    <w:rsid w:val="00FF025D"/>
    <w:rsid w:val="00FF081B"/>
    <w:rsid w:val="00FF0A60"/>
    <w:rsid w:val="00FF0BE6"/>
    <w:rsid w:val="00FF0D6B"/>
    <w:rsid w:val="00FF1079"/>
    <w:rsid w:val="00FF11E7"/>
    <w:rsid w:val="00FF11EF"/>
    <w:rsid w:val="00FF1345"/>
    <w:rsid w:val="00FF1932"/>
    <w:rsid w:val="00FF1A97"/>
    <w:rsid w:val="00FF20AA"/>
    <w:rsid w:val="00FF21AE"/>
    <w:rsid w:val="00FF2234"/>
    <w:rsid w:val="00FF24A1"/>
    <w:rsid w:val="00FF2700"/>
    <w:rsid w:val="00FF2789"/>
    <w:rsid w:val="00FF294B"/>
    <w:rsid w:val="00FF298B"/>
    <w:rsid w:val="00FF2AF8"/>
    <w:rsid w:val="00FF2CA9"/>
    <w:rsid w:val="00FF2D2C"/>
    <w:rsid w:val="00FF37E0"/>
    <w:rsid w:val="00FF3DAB"/>
    <w:rsid w:val="00FF3EC9"/>
    <w:rsid w:val="00FF3F3A"/>
    <w:rsid w:val="00FF3FFF"/>
    <w:rsid w:val="00FF405E"/>
    <w:rsid w:val="00FF45D4"/>
    <w:rsid w:val="00FF4B8D"/>
    <w:rsid w:val="00FF4BDD"/>
    <w:rsid w:val="00FF4C24"/>
    <w:rsid w:val="00FF4E34"/>
    <w:rsid w:val="00FF4F9E"/>
    <w:rsid w:val="00FF54AF"/>
    <w:rsid w:val="00FF5693"/>
    <w:rsid w:val="00FF56FC"/>
    <w:rsid w:val="00FF58EB"/>
    <w:rsid w:val="00FF5A8C"/>
    <w:rsid w:val="00FF5E36"/>
    <w:rsid w:val="00FF6569"/>
    <w:rsid w:val="00FF681F"/>
    <w:rsid w:val="00FF6E57"/>
    <w:rsid w:val="00FF6EF0"/>
    <w:rsid w:val="00FF6EFA"/>
    <w:rsid w:val="00FF717A"/>
    <w:rsid w:val="00FF72C9"/>
    <w:rsid w:val="00FF7345"/>
    <w:rsid w:val="00FF75E5"/>
    <w:rsid w:val="00FF7A98"/>
    <w:rsid w:val="00FF7AF6"/>
    <w:rsid w:val="01090F52"/>
    <w:rsid w:val="0113C515"/>
    <w:rsid w:val="013504E7"/>
    <w:rsid w:val="0139C157"/>
    <w:rsid w:val="013C6C8C"/>
    <w:rsid w:val="01505EA1"/>
    <w:rsid w:val="01537498"/>
    <w:rsid w:val="0181E20B"/>
    <w:rsid w:val="01EB9694"/>
    <w:rsid w:val="021B48F8"/>
    <w:rsid w:val="02239C31"/>
    <w:rsid w:val="023A5195"/>
    <w:rsid w:val="0265232F"/>
    <w:rsid w:val="026E93B5"/>
    <w:rsid w:val="02760157"/>
    <w:rsid w:val="0288B155"/>
    <w:rsid w:val="029739EB"/>
    <w:rsid w:val="02A8B70C"/>
    <w:rsid w:val="02AAB509"/>
    <w:rsid w:val="02C2EF7A"/>
    <w:rsid w:val="02C95CA7"/>
    <w:rsid w:val="02CE3AB4"/>
    <w:rsid w:val="02DE4D73"/>
    <w:rsid w:val="02DE856E"/>
    <w:rsid w:val="02E77159"/>
    <w:rsid w:val="02F11BEC"/>
    <w:rsid w:val="02F20899"/>
    <w:rsid w:val="02F85CD8"/>
    <w:rsid w:val="030A74D9"/>
    <w:rsid w:val="033184BF"/>
    <w:rsid w:val="033E9530"/>
    <w:rsid w:val="0357C180"/>
    <w:rsid w:val="0380E616"/>
    <w:rsid w:val="0383153B"/>
    <w:rsid w:val="038B0CF7"/>
    <w:rsid w:val="03DAEF77"/>
    <w:rsid w:val="03E61B88"/>
    <w:rsid w:val="03FE77FC"/>
    <w:rsid w:val="04033527"/>
    <w:rsid w:val="0411E149"/>
    <w:rsid w:val="042A559F"/>
    <w:rsid w:val="04408067"/>
    <w:rsid w:val="0444C24B"/>
    <w:rsid w:val="044B0595"/>
    <w:rsid w:val="049442DA"/>
    <w:rsid w:val="04BEEC8C"/>
    <w:rsid w:val="04CCF248"/>
    <w:rsid w:val="04CDD5CE"/>
    <w:rsid w:val="04CF1770"/>
    <w:rsid w:val="04DE3D66"/>
    <w:rsid w:val="05092C75"/>
    <w:rsid w:val="0518AD06"/>
    <w:rsid w:val="051A4160"/>
    <w:rsid w:val="052C99F2"/>
    <w:rsid w:val="054835E4"/>
    <w:rsid w:val="055065EC"/>
    <w:rsid w:val="058DD6B1"/>
    <w:rsid w:val="05A4B180"/>
    <w:rsid w:val="05BCF13C"/>
    <w:rsid w:val="05DBDBC1"/>
    <w:rsid w:val="05E76B0F"/>
    <w:rsid w:val="066A020A"/>
    <w:rsid w:val="06754574"/>
    <w:rsid w:val="06B63BDC"/>
    <w:rsid w:val="06DD3C5C"/>
    <w:rsid w:val="06EEBA1B"/>
    <w:rsid w:val="0702E496"/>
    <w:rsid w:val="0732EFF2"/>
    <w:rsid w:val="073A802F"/>
    <w:rsid w:val="0747395D"/>
    <w:rsid w:val="074D1555"/>
    <w:rsid w:val="07618CE8"/>
    <w:rsid w:val="077ACA19"/>
    <w:rsid w:val="077B37AF"/>
    <w:rsid w:val="0783DE30"/>
    <w:rsid w:val="07B63117"/>
    <w:rsid w:val="07BB60B9"/>
    <w:rsid w:val="07DBDB8D"/>
    <w:rsid w:val="08196F0D"/>
    <w:rsid w:val="0820A2FD"/>
    <w:rsid w:val="0825C731"/>
    <w:rsid w:val="082FF78A"/>
    <w:rsid w:val="0835F71B"/>
    <w:rsid w:val="0855657B"/>
    <w:rsid w:val="08819186"/>
    <w:rsid w:val="088D61AD"/>
    <w:rsid w:val="089099B5"/>
    <w:rsid w:val="08A2C68A"/>
    <w:rsid w:val="08BDDA08"/>
    <w:rsid w:val="08EF506E"/>
    <w:rsid w:val="090A5C72"/>
    <w:rsid w:val="090F2E68"/>
    <w:rsid w:val="0915053A"/>
    <w:rsid w:val="092B4598"/>
    <w:rsid w:val="0935FED9"/>
    <w:rsid w:val="093C4DE1"/>
    <w:rsid w:val="09414406"/>
    <w:rsid w:val="09788F3A"/>
    <w:rsid w:val="098D8FE5"/>
    <w:rsid w:val="09909A34"/>
    <w:rsid w:val="09C598D8"/>
    <w:rsid w:val="09C64276"/>
    <w:rsid w:val="09D1310D"/>
    <w:rsid w:val="09D2BBD9"/>
    <w:rsid w:val="09DC39EA"/>
    <w:rsid w:val="0A0FD654"/>
    <w:rsid w:val="0A2A05D9"/>
    <w:rsid w:val="0A2E4863"/>
    <w:rsid w:val="0A41C0F4"/>
    <w:rsid w:val="0A47E451"/>
    <w:rsid w:val="0A4B4097"/>
    <w:rsid w:val="0A591584"/>
    <w:rsid w:val="0A79FCAC"/>
    <w:rsid w:val="0A81F257"/>
    <w:rsid w:val="0A8625B4"/>
    <w:rsid w:val="0A9CB1C0"/>
    <w:rsid w:val="0ADE23F6"/>
    <w:rsid w:val="0ADFAE5A"/>
    <w:rsid w:val="0AF4EAA2"/>
    <w:rsid w:val="0AF8C99A"/>
    <w:rsid w:val="0B14A714"/>
    <w:rsid w:val="0B1A1DD0"/>
    <w:rsid w:val="0B2D62B6"/>
    <w:rsid w:val="0B40BE55"/>
    <w:rsid w:val="0B44190C"/>
    <w:rsid w:val="0B5D75BB"/>
    <w:rsid w:val="0B619E35"/>
    <w:rsid w:val="0B73D6D7"/>
    <w:rsid w:val="0BAE85EF"/>
    <w:rsid w:val="0BB294C1"/>
    <w:rsid w:val="0BB34788"/>
    <w:rsid w:val="0BCF36D7"/>
    <w:rsid w:val="0BD787C5"/>
    <w:rsid w:val="0BD8EAF4"/>
    <w:rsid w:val="0BDBF902"/>
    <w:rsid w:val="0BDFEE67"/>
    <w:rsid w:val="0BF562E2"/>
    <w:rsid w:val="0C23D1FA"/>
    <w:rsid w:val="0C678445"/>
    <w:rsid w:val="0C77A568"/>
    <w:rsid w:val="0C7CB29E"/>
    <w:rsid w:val="0C8836CF"/>
    <w:rsid w:val="0C93F519"/>
    <w:rsid w:val="0C9C5BAB"/>
    <w:rsid w:val="0CBFBE63"/>
    <w:rsid w:val="0CFD473D"/>
    <w:rsid w:val="0D6F4280"/>
    <w:rsid w:val="0D706FC8"/>
    <w:rsid w:val="0D8A0391"/>
    <w:rsid w:val="0D923353"/>
    <w:rsid w:val="0DA32F52"/>
    <w:rsid w:val="0DC4C66E"/>
    <w:rsid w:val="0DD878AA"/>
    <w:rsid w:val="0DEA759E"/>
    <w:rsid w:val="0E122EFC"/>
    <w:rsid w:val="0E325405"/>
    <w:rsid w:val="0E3E370A"/>
    <w:rsid w:val="0E629C26"/>
    <w:rsid w:val="0E6CE5F7"/>
    <w:rsid w:val="0E8246E5"/>
    <w:rsid w:val="0E856D32"/>
    <w:rsid w:val="0E9CEC9A"/>
    <w:rsid w:val="0EA319AB"/>
    <w:rsid w:val="0EAADBDD"/>
    <w:rsid w:val="0ED39AE6"/>
    <w:rsid w:val="0EE8F6DC"/>
    <w:rsid w:val="0EEE7FCA"/>
    <w:rsid w:val="0F2D5C39"/>
    <w:rsid w:val="0F7E6869"/>
    <w:rsid w:val="0F8D53E0"/>
    <w:rsid w:val="0FA3BA9B"/>
    <w:rsid w:val="0FBFCE22"/>
    <w:rsid w:val="0FC039AC"/>
    <w:rsid w:val="0FCDC060"/>
    <w:rsid w:val="0FD1CFB2"/>
    <w:rsid w:val="0FD2D7AA"/>
    <w:rsid w:val="1025964D"/>
    <w:rsid w:val="102DD20D"/>
    <w:rsid w:val="106E8A0D"/>
    <w:rsid w:val="108034B1"/>
    <w:rsid w:val="10803DF2"/>
    <w:rsid w:val="10815BBF"/>
    <w:rsid w:val="10884148"/>
    <w:rsid w:val="1094E437"/>
    <w:rsid w:val="109D89E7"/>
    <w:rsid w:val="10F70DDF"/>
    <w:rsid w:val="111723ED"/>
    <w:rsid w:val="116A2383"/>
    <w:rsid w:val="116AA188"/>
    <w:rsid w:val="116F4326"/>
    <w:rsid w:val="1177C0F1"/>
    <w:rsid w:val="117CC0B3"/>
    <w:rsid w:val="118191F5"/>
    <w:rsid w:val="1196A7EC"/>
    <w:rsid w:val="11B8C398"/>
    <w:rsid w:val="11C3632A"/>
    <w:rsid w:val="11C57DC6"/>
    <w:rsid w:val="11C6CD7B"/>
    <w:rsid w:val="11F5824C"/>
    <w:rsid w:val="11FE39B2"/>
    <w:rsid w:val="120239E1"/>
    <w:rsid w:val="1222F673"/>
    <w:rsid w:val="1226B7BA"/>
    <w:rsid w:val="122D423B"/>
    <w:rsid w:val="12304CEA"/>
    <w:rsid w:val="12374253"/>
    <w:rsid w:val="1248B1BD"/>
    <w:rsid w:val="12677028"/>
    <w:rsid w:val="1295DE38"/>
    <w:rsid w:val="12960AAF"/>
    <w:rsid w:val="129741A9"/>
    <w:rsid w:val="12A2BF23"/>
    <w:rsid w:val="12BB72DD"/>
    <w:rsid w:val="12CB16E1"/>
    <w:rsid w:val="12D5414A"/>
    <w:rsid w:val="12DF098C"/>
    <w:rsid w:val="12E743AA"/>
    <w:rsid w:val="12E779DE"/>
    <w:rsid w:val="12FB08E1"/>
    <w:rsid w:val="12FDBCD9"/>
    <w:rsid w:val="130A4D72"/>
    <w:rsid w:val="131B6919"/>
    <w:rsid w:val="1321801E"/>
    <w:rsid w:val="13666CBC"/>
    <w:rsid w:val="138164CA"/>
    <w:rsid w:val="13CE6F11"/>
    <w:rsid w:val="13E72846"/>
    <w:rsid w:val="13EFC2B1"/>
    <w:rsid w:val="13FFD6B8"/>
    <w:rsid w:val="14097088"/>
    <w:rsid w:val="140E03DF"/>
    <w:rsid w:val="1414105A"/>
    <w:rsid w:val="14347FA0"/>
    <w:rsid w:val="1456F22A"/>
    <w:rsid w:val="1483AFB7"/>
    <w:rsid w:val="14A7F08E"/>
    <w:rsid w:val="14D97F75"/>
    <w:rsid w:val="14DA08B3"/>
    <w:rsid w:val="14F8769E"/>
    <w:rsid w:val="1508E407"/>
    <w:rsid w:val="1511C996"/>
    <w:rsid w:val="15248164"/>
    <w:rsid w:val="1546E7B2"/>
    <w:rsid w:val="154F2352"/>
    <w:rsid w:val="1553DB7E"/>
    <w:rsid w:val="15632B23"/>
    <w:rsid w:val="15675AA4"/>
    <w:rsid w:val="157CC8B0"/>
    <w:rsid w:val="157D0F7D"/>
    <w:rsid w:val="15830118"/>
    <w:rsid w:val="15841414"/>
    <w:rsid w:val="15A0F6A4"/>
    <w:rsid w:val="15A20389"/>
    <w:rsid w:val="15AFB3F9"/>
    <w:rsid w:val="15B5E304"/>
    <w:rsid w:val="15BE8B24"/>
    <w:rsid w:val="1630BE4D"/>
    <w:rsid w:val="1633C6D8"/>
    <w:rsid w:val="16460BF2"/>
    <w:rsid w:val="165EE008"/>
    <w:rsid w:val="166ED1D6"/>
    <w:rsid w:val="16831D71"/>
    <w:rsid w:val="168DAF79"/>
    <w:rsid w:val="1694005F"/>
    <w:rsid w:val="1696900B"/>
    <w:rsid w:val="16AAAF38"/>
    <w:rsid w:val="16BA5584"/>
    <w:rsid w:val="16BED667"/>
    <w:rsid w:val="16C39027"/>
    <w:rsid w:val="16E19166"/>
    <w:rsid w:val="16F7C1BD"/>
    <w:rsid w:val="1715F64E"/>
    <w:rsid w:val="1719B93F"/>
    <w:rsid w:val="171AFB25"/>
    <w:rsid w:val="172509CE"/>
    <w:rsid w:val="173EBA72"/>
    <w:rsid w:val="17597ABA"/>
    <w:rsid w:val="1770BE44"/>
    <w:rsid w:val="17751260"/>
    <w:rsid w:val="1779A895"/>
    <w:rsid w:val="178975A6"/>
    <w:rsid w:val="178B6288"/>
    <w:rsid w:val="17991F64"/>
    <w:rsid w:val="179D6EBE"/>
    <w:rsid w:val="17A6D7BD"/>
    <w:rsid w:val="17B9A55F"/>
    <w:rsid w:val="17C35D15"/>
    <w:rsid w:val="17CA08CC"/>
    <w:rsid w:val="17DDF57B"/>
    <w:rsid w:val="17E72427"/>
    <w:rsid w:val="17F31C7A"/>
    <w:rsid w:val="17F490CD"/>
    <w:rsid w:val="17FA1761"/>
    <w:rsid w:val="180F65A8"/>
    <w:rsid w:val="18338A35"/>
    <w:rsid w:val="18626A93"/>
    <w:rsid w:val="186BFB5E"/>
    <w:rsid w:val="186C5BB1"/>
    <w:rsid w:val="1882C7C9"/>
    <w:rsid w:val="18CDEE3B"/>
    <w:rsid w:val="18E2507B"/>
    <w:rsid w:val="19049D47"/>
    <w:rsid w:val="1914303A"/>
    <w:rsid w:val="191A8F03"/>
    <w:rsid w:val="191CCE21"/>
    <w:rsid w:val="192A45FB"/>
    <w:rsid w:val="19344F4C"/>
    <w:rsid w:val="1949D49B"/>
    <w:rsid w:val="19592DC3"/>
    <w:rsid w:val="1969C860"/>
    <w:rsid w:val="197DA6DD"/>
    <w:rsid w:val="198ECABB"/>
    <w:rsid w:val="1A082C12"/>
    <w:rsid w:val="1A8A2182"/>
    <w:rsid w:val="1A97BAD9"/>
    <w:rsid w:val="1AA587B0"/>
    <w:rsid w:val="1AB7C9BE"/>
    <w:rsid w:val="1ABA1F49"/>
    <w:rsid w:val="1ACABDEE"/>
    <w:rsid w:val="1ACF0AC5"/>
    <w:rsid w:val="1AF1A308"/>
    <w:rsid w:val="1AF2AFEC"/>
    <w:rsid w:val="1B1B319A"/>
    <w:rsid w:val="1B23C261"/>
    <w:rsid w:val="1B2BDE6E"/>
    <w:rsid w:val="1B3A7F4E"/>
    <w:rsid w:val="1B5F9E08"/>
    <w:rsid w:val="1BB13872"/>
    <w:rsid w:val="1BB3C3FF"/>
    <w:rsid w:val="1BD5D08B"/>
    <w:rsid w:val="1BFFE3F8"/>
    <w:rsid w:val="1C0A3D58"/>
    <w:rsid w:val="1C1AD4C4"/>
    <w:rsid w:val="1C1AF21F"/>
    <w:rsid w:val="1C4D4AFB"/>
    <w:rsid w:val="1C5C6A45"/>
    <w:rsid w:val="1C644F07"/>
    <w:rsid w:val="1C771E40"/>
    <w:rsid w:val="1C850D51"/>
    <w:rsid w:val="1C928267"/>
    <w:rsid w:val="1CA48725"/>
    <w:rsid w:val="1CCA50B3"/>
    <w:rsid w:val="1CCB478E"/>
    <w:rsid w:val="1CDCF599"/>
    <w:rsid w:val="1CE04CD3"/>
    <w:rsid w:val="1CE7F8A2"/>
    <w:rsid w:val="1CFC65F2"/>
    <w:rsid w:val="1CFFB89C"/>
    <w:rsid w:val="1D0DB2EC"/>
    <w:rsid w:val="1D0FAFA2"/>
    <w:rsid w:val="1D1989FB"/>
    <w:rsid w:val="1D1B21DA"/>
    <w:rsid w:val="1D2206E8"/>
    <w:rsid w:val="1D338475"/>
    <w:rsid w:val="1D48574C"/>
    <w:rsid w:val="1D6E04FE"/>
    <w:rsid w:val="1D746614"/>
    <w:rsid w:val="1D98788C"/>
    <w:rsid w:val="1D9E15F1"/>
    <w:rsid w:val="1DAE518D"/>
    <w:rsid w:val="1DF034EF"/>
    <w:rsid w:val="1E0C340B"/>
    <w:rsid w:val="1E1B0814"/>
    <w:rsid w:val="1E218F2F"/>
    <w:rsid w:val="1E242DAA"/>
    <w:rsid w:val="1E422D95"/>
    <w:rsid w:val="1E46503F"/>
    <w:rsid w:val="1E74376D"/>
    <w:rsid w:val="1E7C2B40"/>
    <w:rsid w:val="1E928D5E"/>
    <w:rsid w:val="1E9BBA12"/>
    <w:rsid w:val="1EB3C418"/>
    <w:rsid w:val="1EB61D01"/>
    <w:rsid w:val="1EB8E7C0"/>
    <w:rsid w:val="1EB91DAE"/>
    <w:rsid w:val="1EB925A7"/>
    <w:rsid w:val="1EDFB6E9"/>
    <w:rsid w:val="1EE30D16"/>
    <w:rsid w:val="1EF88600"/>
    <w:rsid w:val="1F68A372"/>
    <w:rsid w:val="1F86795B"/>
    <w:rsid w:val="1F8D2E10"/>
    <w:rsid w:val="1FB0EDA7"/>
    <w:rsid w:val="1FB7FECD"/>
    <w:rsid w:val="20129C80"/>
    <w:rsid w:val="2013915B"/>
    <w:rsid w:val="201CBF53"/>
    <w:rsid w:val="20336A35"/>
    <w:rsid w:val="2039B8B0"/>
    <w:rsid w:val="20500B85"/>
    <w:rsid w:val="2071C471"/>
    <w:rsid w:val="2084F5F2"/>
    <w:rsid w:val="20EFB597"/>
    <w:rsid w:val="21189B37"/>
    <w:rsid w:val="21268497"/>
    <w:rsid w:val="212CAC12"/>
    <w:rsid w:val="213C86C2"/>
    <w:rsid w:val="213E66F1"/>
    <w:rsid w:val="2152B9B2"/>
    <w:rsid w:val="216CDB82"/>
    <w:rsid w:val="218E4847"/>
    <w:rsid w:val="2198CE50"/>
    <w:rsid w:val="219D05FF"/>
    <w:rsid w:val="21D061D0"/>
    <w:rsid w:val="220E240A"/>
    <w:rsid w:val="226BE50C"/>
    <w:rsid w:val="22A5530A"/>
    <w:rsid w:val="22D58325"/>
    <w:rsid w:val="22EDF165"/>
    <w:rsid w:val="230601F0"/>
    <w:rsid w:val="230C9840"/>
    <w:rsid w:val="231E957E"/>
    <w:rsid w:val="2325986C"/>
    <w:rsid w:val="2336175D"/>
    <w:rsid w:val="2338508E"/>
    <w:rsid w:val="235D0896"/>
    <w:rsid w:val="236725F0"/>
    <w:rsid w:val="2369992B"/>
    <w:rsid w:val="2384839C"/>
    <w:rsid w:val="239EDBC1"/>
    <w:rsid w:val="23D3B03C"/>
    <w:rsid w:val="23F8E700"/>
    <w:rsid w:val="241DD399"/>
    <w:rsid w:val="242483D6"/>
    <w:rsid w:val="24373625"/>
    <w:rsid w:val="2470EFC0"/>
    <w:rsid w:val="24BEC5ED"/>
    <w:rsid w:val="24C5DE71"/>
    <w:rsid w:val="24DB3DBF"/>
    <w:rsid w:val="24E541D4"/>
    <w:rsid w:val="24EDACE3"/>
    <w:rsid w:val="24EE7CF0"/>
    <w:rsid w:val="24F4ADEA"/>
    <w:rsid w:val="24F9D406"/>
    <w:rsid w:val="25277A67"/>
    <w:rsid w:val="255FAAB0"/>
    <w:rsid w:val="2571CC28"/>
    <w:rsid w:val="257649B0"/>
    <w:rsid w:val="257EC042"/>
    <w:rsid w:val="25A73E23"/>
    <w:rsid w:val="25A86BE3"/>
    <w:rsid w:val="25C8F8DA"/>
    <w:rsid w:val="25C93914"/>
    <w:rsid w:val="25E5FB22"/>
    <w:rsid w:val="25E865EC"/>
    <w:rsid w:val="2606FFF5"/>
    <w:rsid w:val="26138AC5"/>
    <w:rsid w:val="2624D305"/>
    <w:rsid w:val="263616DD"/>
    <w:rsid w:val="264DD1D3"/>
    <w:rsid w:val="2657137F"/>
    <w:rsid w:val="2667F5EE"/>
    <w:rsid w:val="267F027F"/>
    <w:rsid w:val="2681AA14"/>
    <w:rsid w:val="26931829"/>
    <w:rsid w:val="26DFAB9B"/>
    <w:rsid w:val="26F8F2F4"/>
    <w:rsid w:val="27021F86"/>
    <w:rsid w:val="272A5D67"/>
    <w:rsid w:val="273A041A"/>
    <w:rsid w:val="27421FB6"/>
    <w:rsid w:val="274C9CF6"/>
    <w:rsid w:val="274CD425"/>
    <w:rsid w:val="278B21A1"/>
    <w:rsid w:val="27917271"/>
    <w:rsid w:val="27AFC6F7"/>
    <w:rsid w:val="27B99604"/>
    <w:rsid w:val="27C490FC"/>
    <w:rsid w:val="27D73D9B"/>
    <w:rsid w:val="27DA3D8A"/>
    <w:rsid w:val="27DC2E15"/>
    <w:rsid w:val="282E94F9"/>
    <w:rsid w:val="28440227"/>
    <w:rsid w:val="28463F60"/>
    <w:rsid w:val="284B3E85"/>
    <w:rsid w:val="284B43B6"/>
    <w:rsid w:val="2882B5A8"/>
    <w:rsid w:val="28D03CD2"/>
    <w:rsid w:val="290E4B87"/>
    <w:rsid w:val="2965E4FE"/>
    <w:rsid w:val="297325C7"/>
    <w:rsid w:val="29A7FFF5"/>
    <w:rsid w:val="29B2AAAF"/>
    <w:rsid w:val="29B77495"/>
    <w:rsid w:val="29CD410B"/>
    <w:rsid w:val="29D48B2E"/>
    <w:rsid w:val="29EAFDCC"/>
    <w:rsid w:val="29F49CC8"/>
    <w:rsid w:val="29F89882"/>
    <w:rsid w:val="29FBE653"/>
    <w:rsid w:val="2A02BF07"/>
    <w:rsid w:val="2A08B5D9"/>
    <w:rsid w:val="2A1361A7"/>
    <w:rsid w:val="2A1E5384"/>
    <w:rsid w:val="2A21B109"/>
    <w:rsid w:val="2A28BE7E"/>
    <w:rsid w:val="2A40C8C3"/>
    <w:rsid w:val="2A4F48E4"/>
    <w:rsid w:val="2A7AA180"/>
    <w:rsid w:val="2A7FE255"/>
    <w:rsid w:val="2AA90A02"/>
    <w:rsid w:val="2AB031A9"/>
    <w:rsid w:val="2AB71D65"/>
    <w:rsid w:val="2AE8CE14"/>
    <w:rsid w:val="2AF354CB"/>
    <w:rsid w:val="2B0F3F0F"/>
    <w:rsid w:val="2B2B46C1"/>
    <w:rsid w:val="2B3CD8C8"/>
    <w:rsid w:val="2B54A4B3"/>
    <w:rsid w:val="2B63ECDB"/>
    <w:rsid w:val="2B6AF4C4"/>
    <w:rsid w:val="2B7D3FF6"/>
    <w:rsid w:val="2B943053"/>
    <w:rsid w:val="2BAB9328"/>
    <w:rsid w:val="2BAF3E7D"/>
    <w:rsid w:val="2BC46AA8"/>
    <w:rsid w:val="2BEADC65"/>
    <w:rsid w:val="2C03F6AD"/>
    <w:rsid w:val="2C2A150D"/>
    <w:rsid w:val="2C3736E3"/>
    <w:rsid w:val="2C3953B7"/>
    <w:rsid w:val="2C521DBF"/>
    <w:rsid w:val="2C5889AE"/>
    <w:rsid w:val="2C5DC4DB"/>
    <w:rsid w:val="2C606681"/>
    <w:rsid w:val="2C7039A4"/>
    <w:rsid w:val="2C771760"/>
    <w:rsid w:val="2CB29130"/>
    <w:rsid w:val="2CC67232"/>
    <w:rsid w:val="2CC8671A"/>
    <w:rsid w:val="2CEAB7DD"/>
    <w:rsid w:val="2D110FA7"/>
    <w:rsid w:val="2D1CDA51"/>
    <w:rsid w:val="2D328F60"/>
    <w:rsid w:val="2D37CBAB"/>
    <w:rsid w:val="2D3A383C"/>
    <w:rsid w:val="2D653765"/>
    <w:rsid w:val="2D66EB66"/>
    <w:rsid w:val="2D6996CF"/>
    <w:rsid w:val="2D6C71E7"/>
    <w:rsid w:val="2D84B815"/>
    <w:rsid w:val="2D99C198"/>
    <w:rsid w:val="2DB25BA8"/>
    <w:rsid w:val="2DB8BD98"/>
    <w:rsid w:val="2DD25B2E"/>
    <w:rsid w:val="2DE254BB"/>
    <w:rsid w:val="2E055C21"/>
    <w:rsid w:val="2E05D624"/>
    <w:rsid w:val="2E1A3876"/>
    <w:rsid w:val="2E37D11A"/>
    <w:rsid w:val="2E6D5544"/>
    <w:rsid w:val="2E729CB3"/>
    <w:rsid w:val="2E90EC8B"/>
    <w:rsid w:val="2EFA023D"/>
    <w:rsid w:val="2F0E3B55"/>
    <w:rsid w:val="2F4BA425"/>
    <w:rsid w:val="2F6562D9"/>
    <w:rsid w:val="2F9E59F9"/>
    <w:rsid w:val="2FACC711"/>
    <w:rsid w:val="2FB4062F"/>
    <w:rsid w:val="2FB4FC50"/>
    <w:rsid w:val="2FB975A5"/>
    <w:rsid w:val="2FC85F5D"/>
    <w:rsid w:val="2FC90E2B"/>
    <w:rsid w:val="2FF3A4D0"/>
    <w:rsid w:val="30213F38"/>
    <w:rsid w:val="304BC3C2"/>
    <w:rsid w:val="306CCA70"/>
    <w:rsid w:val="306ECE03"/>
    <w:rsid w:val="309FEF71"/>
    <w:rsid w:val="30CC6131"/>
    <w:rsid w:val="30D2F579"/>
    <w:rsid w:val="3118CC1B"/>
    <w:rsid w:val="313CA34D"/>
    <w:rsid w:val="31703690"/>
    <w:rsid w:val="318CD0F9"/>
    <w:rsid w:val="318CFF81"/>
    <w:rsid w:val="318D4C08"/>
    <w:rsid w:val="319EFD52"/>
    <w:rsid w:val="31B49BD0"/>
    <w:rsid w:val="31CDB9FF"/>
    <w:rsid w:val="31DD5BDC"/>
    <w:rsid w:val="31E4B8C2"/>
    <w:rsid w:val="31FDA2B9"/>
    <w:rsid w:val="32429E96"/>
    <w:rsid w:val="32450EE0"/>
    <w:rsid w:val="324F8D04"/>
    <w:rsid w:val="32546C6A"/>
    <w:rsid w:val="3257C955"/>
    <w:rsid w:val="32845399"/>
    <w:rsid w:val="32936A1D"/>
    <w:rsid w:val="32C9434B"/>
    <w:rsid w:val="32D6FD78"/>
    <w:rsid w:val="32D8F9A2"/>
    <w:rsid w:val="32DE46B4"/>
    <w:rsid w:val="32F5AFC6"/>
    <w:rsid w:val="3355DC7F"/>
    <w:rsid w:val="33583516"/>
    <w:rsid w:val="33687FCE"/>
    <w:rsid w:val="33768395"/>
    <w:rsid w:val="337C08F1"/>
    <w:rsid w:val="3381D278"/>
    <w:rsid w:val="33ACCE38"/>
    <w:rsid w:val="33B391A9"/>
    <w:rsid w:val="33C018E6"/>
    <w:rsid w:val="33CBA089"/>
    <w:rsid w:val="341A5086"/>
    <w:rsid w:val="3444492B"/>
    <w:rsid w:val="34629434"/>
    <w:rsid w:val="34638C9D"/>
    <w:rsid w:val="3479399D"/>
    <w:rsid w:val="348C1C92"/>
    <w:rsid w:val="3492F8A5"/>
    <w:rsid w:val="34A33344"/>
    <w:rsid w:val="34A5E843"/>
    <w:rsid w:val="34A6EDFE"/>
    <w:rsid w:val="34A86A44"/>
    <w:rsid w:val="34D2BA73"/>
    <w:rsid w:val="34E5295A"/>
    <w:rsid w:val="34EE91CD"/>
    <w:rsid w:val="35066134"/>
    <w:rsid w:val="351E2C13"/>
    <w:rsid w:val="352B2517"/>
    <w:rsid w:val="353EEA61"/>
    <w:rsid w:val="35666D50"/>
    <w:rsid w:val="3567EBC1"/>
    <w:rsid w:val="35682F9D"/>
    <w:rsid w:val="356EF402"/>
    <w:rsid w:val="3570FF82"/>
    <w:rsid w:val="358244F9"/>
    <w:rsid w:val="358799A6"/>
    <w:rsid w:val="35894978"/>
    <w:rsid w:val="358F35CE"/>
    <w:rsid w:val="35CFCFC6"/>
    <w:rsid w:val="3611C8F2"/>
    <w:rsid w:val="3619675D"/>
    <w:rsid w:val="3628E6A4"/>
    <w:rsid w:val="36415FA1"/>
    <w:rsid w:val="3647954D"/>
    <w:rsid w:val="365C023B"/>
    <w:rsid w:val="3677DD34"/>
    <w:rsid w:val="36817F0D"/>
    <w:rsid w:val="36BD45FE"/>
    <w:rsid w:val="36C04BD4"/>
    <w:rsid w:val="36DA51B2"/>
    <w:rsid w:val="36ED1FA6"/>
    <w:rsid w:val="37208B08"/>
    <w:rsid w:val="3737EF4A"/>
    <w:rsid w:val="378AF226"/>
    <w:rsid w:val="37984F6D"/>
    <w:rsid w:val="37A527E6"/>
    <w:rsid w:val="37BDF747"/>
    <w:rsid w:val="37DD3002"/>
    <w:rsid w:val="37DD8905"/>
    <w:rsid w:val="37DE60C7"/>
    <w:rsid w:val="37F88C34"/>
    <w:rsid w:val="3802D871"/>
    <w:rsid w:val="380F32E9"/>
    <w:rsid w:val="382CFBA6"/>
    <w:rsid w:val="383AD975"/>
    <w:rsid w:val="38788E8F"/>
    <w:rsid w:val="389B5D67"/>
    <w:rsid w:val="389C4462"/>
    <w:rsid w:val="38B56A4F"/>
    <w:rsid w:val="38BC0BF5"/>
    <w:rsid w:val="38C9A671"/>
    <w:rsid w:val="38CCEB21"/>
    <w:rsid w:val="38CEEAE2"/>
    <w:rsid w:val="39051CDC"/>
    <w:rsid w:val="391D572B"/>
    <w:rsid w:val="39236739"/>
    <w:rsid w:val="392EE316"/>
    <w:rsid w:val="39631026"/>
    <w:rsid w:val="396B889B"/>
    <w:rsid w:val="39879027"/>
    <w:rsid w:val="39C4F983"/>
    <w:rsid w:val="39C9AA89"/>
    <w:rsid w:val="39CA6CFF"/>
    <w:rsid w:val="39DDA899"/>
    <w:rsid w:val="39EF2530"/>
    <w:rsid w:val="3A1E8CA1"/>
    <w:rsid w:val="3A2122C8"/>
    <w:rsid w:val="3A7C139F"/>
    <w:rsid w:val="3AA33C1B"/>
    <w:rsid w:val="3ABBDD2C"/>
    <w:rsid w:val="3ACAB7B5"/>
    <w:rsid w:val="3B234EBF"/>
    <w:rsid w:val="3B7D7884"/>
    <w:rsid w:val="3BB3BF0D"/>
    <w:rsid w:val="3BCDE3CD"/>
    <w:rsid w:val="3BCE2F35"/>
    <w:rsid w:val="3BD488F6"/>
    <w:rsid w:val="3BEEF396"/>
    <w:rsid w:val="3C13F254"/>
    <w:rsid w:val="3C4AC797"/>
    <w:rsid w:val="3C5820AA"/>
    <w:rsid w:val="3C5972EB"/>
    <w:rsid w:val="3C5CDBBB"/>
    <w:rsid w:val="3C824E33"/>
    <w:rsid w:val="3CAAC37D"/>
    <w:rsid w:val="3CB46FFE"/>
    <w:rsid w:val="3CCD3E88"/>
    <w:rsid w:val="3CEA3CF4"/>
    <w:rsid w:val="3CF779BF"/>
    <w:rsid w:val="3D113220"/>
    <w:rsid w:val="3D22A9C8"/>
    <w:rsid w:val="3D579FF4"/>
    <w:rsid w:val="3D6A1CA3"/>
    <w:rsid w:val="3D6E91AB"/>
    <w:rsid w:val="3D743DF8"/>
    <w:rsid w:val="3D9B3EE4"/>
    <w:rsid w:val="3D9DB608"/>
    <w:rsid w:val="3DA417AB"/>
    <w:rsid w:val="3DA94611"/>
    <w:rsid w:val="3DAA004C"/>
    <w:rsid w:val="3DD8E97E"/>
    <w:rsid w:val="3DDD9C38"/>
    <w:rsid w:val="3E279A94"/>
    <w:rsid w:val="3E694769"/>
    <w:rsid w:val="3E89A940"/>
    <w:rsid w:val="3E93D9AA"/>
    <w:rsid w:val="3E9C5C2E"/>
    <w:rsid w:val="3EC2878B"/>
    <w:rsid w:val="3ECB994E"/>
    <w:rsid w:val="3ECDFFA5"/>
    <w:rsid w:val="3ED11A25"/>
    <w:rsid w:val="3ED55FF4"/>
    <w:rsid w:val="3ED5F36C"/>
    <w:rsid w:val="3EE4B26C"/>
    <w:rsid w:val="3EF80AB8"/>
    <w:rsid w:val="3F0225A8"/>
    <w:rsid w:val="3F031F9C"/>
    <w:rsid w:val="3F0B0A41"/>
    <w:rsid w:val="3F225185"/>
    <w:rsid w:val="3F550AD6"/>
    <w:rsid w:val="3F5D89AF"/>
    <w:rsid w:val="3F7EEED4"/>
    <w:rsid w:val="3F97CEB6"/>
    <w:rsid w:val="3FB98221"/>
    <w:rsid w:val="3FC7D0E7"/>
    <w:rsid w:val="3FECD757"/>
    <w:rsid w:val="3FEEBF9F"/>
    <w:rsid w:val="401C2D20"/>
    <w:rsid w:val="4064A893"/>
    <w:rsid w:val="4095D0ED"/>
    <w:rsid w:val="40A3C900"/>
    <w:rsid w:val="40A5BABB"/>
    <w:rsid w:val="40A6F385"/>
    <w:rsid w:val="40BB02B7"/>
    <w:rsid w:val="40EA6F48"/>
    <w:rsid w:val="40FF0F7F"/>
    <w:rsid w:val="4105FC9C"/>
    <w:rsid w:val="413E59AD"/>
    <w:rsid w:val="414177FD"/>
    <w:rsid w:val="416115A8"/>
    <w:rsid w:val="419C6750"/>
    <w:rsid w:val="41CA31B3"/>
    <w:rsid w:val="41EF0613"/>
    <w:rsid w:val="4208954D"/>
    <w:rsid w:val="420E0E9C"/>
    <w:rsid w:val="42130C64"/>
    <w:rsid w:val="4273D44F"/>
    <w:rsid w:val="428C1C58"/>
    <w:rsid w:val="428C28E2"/>
    <w:rsid w:val="428C9ED4"/>
    <w:rsid w:val="429BAD11"/>
    <w:rsid w:val="42A108C1"/>
    <w:rsid w:val="42B3BE22"/>
    <w:rsid w:val="42BC9959"/>
    <w:rsid w:val="42DDC728"/>
    <w:rsid w:val="430C8BAB"/>
    <w:rsid w:val="4316A252"/>
    <w:rsid w:val="431A100D"/>
    <w:rsid w:val="432AABDD"/>
    <w:rsid w:val="432D7773"/>
    <w:rsid w:val="434F1009"/>
    <w:rsid w:val="43529B02"/>
    <w:rsid w:val="435FEE88"/>
    <w:rsid w:val="4371B16B"/>
    <w:rsid w:val="4389CB7D"/>
    <w:rsid w:val="438B5406"/>
    <w:rsid w:val="439164CB"/>
    <w:rsid w:val="43A7F170"/>
    <w:rsid w:val="43E4A9E8"/>
    <w:rsid w:val="43F3F169"/>
    <w:rsid w:val="43F549D5"/>
    <w:rsid w:val="441F8292"/>
    <w:rsid w:val="4423A0F7"/>
    <w:rsid w:val="442A504D"/>
    <w:rsid w:val="442E15C5"/>
    <w:rsid w:val="445B8BC0"/>
    <w:rsid w:val="448D4632"/>
    <w:rsid w:val="44996B13"/>
    <w:rsid w:val="44A3C1BC"/>
    <w:rsid w:val="44BA313D"/>
    <w:rsid w:val="44F064BA"/>
    <w:rsid w:val="44F4680D"/>
    <w:rsid w:val="452729EB"/>
    <w:rsid w:val="4544EBF8"/>
    <w:rsid w:val="456D2B68"/>
    <w:rsid w:val="45AB57DB"/>
    <w:rsid w:val="45CBA2A8"/>
    <w:rsid w:val="45CDF617"/>
    <w:rsid w:val="45D7088E"/>
    <w:rsid w:val="45E5F390"/>
    <w:rsid w:val="461580C8"/>
    <w:rsid w:val="46161BC5"/>
    <w:rsid w:val="4627525F"/>
    <w:rsid w:val="4627E3FC"/>
    <w:rsid w:val="462BED03"/>
    <w:rsid w:val="462DBDC1"/>
    <w:rsid w:val="46415928"/>
    <w:rsid w:val="4643BC69"/>
    <w:rsid w:val="4687A5F1"/>
    <w:rsid w:val="468A9585"/>
    <w:rsid w:val="46CF03FF"/>
    <w:rsid w:val="46DCE708"/>
    <w:rsid w:val="46EB81FA"/>
    <w:rsid w:val="471EE8D0"/>
    <w:rsid w:val="472FEB6E"/>
    <w:rsid w:val="4735569D"/>
    <w:rsid w:val="4737B8CC"/>
    <w:rsid w:val="473BAE2D"/>
    <w:rsid w:val="474651D5"/>
    <w:rsid w:val="474B465E"/>
    <w:rsid w:val="47548337"/>
    <w:rsid w:val="475CBC98"/>
    <w:rsid w:val="477F45EF"/>
    <w:rsid w:val="478D7E73"/>
    <w:rsid w:val="4794CA9E"/>
    <w:rsid w:val="47A4F3ED"/>
    <w:rsid w:val="47BEDA50"/>
    <w:rsid w:val="47C815B0"/>
    <w:rsid w:val="47CA7C3F"/>
    <w:rsid w:val="4804D193"/>
    <w:rsid w:val="480D1E85"/>
    <w:rsid w:val="4815A1A6"/>
    <w:rsid w:val="4820E34F"/>
    <w:rsid w:val="4845A547"/>
    <w:rsid w:val="4854CDA5"/>
    <w:rsid w:val="485E22DF"/>
    <w:rsid w:val="487A31A5"/>
    <w:rsid w:val="48A3C329"/>
    <w:rsid w:val="48AE5DEF"/>
    <w:rsid w:val="48D9158A"/>
    <w:rsid w:val="48ED39F2"/>
    <w:rsid w:val="4926EBD6"/>
    <w:rsid w:val="49290A08"/>
    <w:rsid w:val="492F0FA6"/>
    <w:rsid w:val="4936F02E"/>
    <w:rsid w:val="4943933D"/>
    <w:rsid w:val="49595681"/>
    <w:rsid w:val="49B82125"/>
    <w:rsid w:val="49EC0AC1"/>
    <w:rsid w:val="49F3B5B9"/>
    <w:rsid w:val="4A207FDB"/>
    <w:rsid w:val="4A295C64"/>
    <w:rsid w:val="4A3EFC31"/>
    <w:rsid w:val="4A7D947F"/>
    <w:rsid w:val="4A80B1DC"/>
    <w:rsid w:val="4A82103D"/>
    <w:rsid w:val="4A8EC416"/>
    <w:rsid w:val="4A9A3024"/>
    <w:rsid w:val="4AA0298B"/>
    <w:rsid w:val="4AB66B10"/>
    <w:rsid w:val="4ABDF3EA"/>
    <w:rsid w:val="4AE174AF"/>
    <w:rsid w:val="4AE83A0D"/>
    <w:rsid w:val="4B04C93B"/>
    <w:rsid w:val="4B31ED5D"/>
    <w:rsid w:val="4B3A06E8"/>
    <w:rsid w:val="4B4D3F05"/>
    <w:rsid w:val="4B50BB94"/>
    <w:rsid w:val="4B566758"/>
    <w:rsid w:val="4B63C7D7"/>
    <w:rsid w:val="4B7D3A26"/>
    <w:rsid w:val="4B873CC6"/>
    <w:rsid w:val="4B8A01CE"/>
    <w:rsid w:val="4BB165DA"/>
    <w:rsid w:val="4BB29829"/>
    <w:rsid w:val="4C205657"/>
    <w:rsid w:val="4C2C2E8F"/>
    <w:rsid w:val="4C364BAE"/>
    <w:rsid w:val="4C3C08EB"/>
    <w:rsid w:val="4C5A54E6"/>
    <w:rsid w:val="4C631C0C"/>
    <w:rsid w:val="4C73218D"/>
    <w:rsid w:val="4C780C3C"/>
    <w:rsid w:val="4C9B6225"/>
    <w:rsid w:val="4CAFD22B"/>
    <w:rsid w:val="4CCBA787"/>
    <w:rsid w:val="4CEAD66E"/>
    <w:rsid w:val="4CF106B5"/>
    <w:rsid w:val="4D05BA48"/>
    <w:rsid w:val="4D141C3C"/>
    <w:rsid w:val="4D3B2247"/>
    <w:rsid w:val="4D3E3F49"/>
    <w:rsid w:val="4D854ED4"/>
    <w:rsid w:val="4D9C8FBB"/>
    <w:rsid w:val="4DABD9AA"/>
    <w:rsid w:val="4DBA6690"/>
    <w:rsid w:val="4DBA9D69"/>
    <w:rsid w:val="4DFEE4C3"/>
    <w:rsid w:val="4E0163CF"/>
    <w:rsid w:val="4E07B2B6"/>
    <w:rsid w:val="4E30947F"/>
    <w:rsid w:val="4ED6A68E"/>
    <w:rsid w:val="4EDD322C"/>
    <w:rsid w:val="4EE161BF"/>
    <w:rsid w:val="4F171E46"/>
    <w:rsid w:val="4F2675C1"/>
    <w:rsid w:val="4F38DDF6"/>
    <w:rsid w:val="4F95D791"/>
    <w:rsid w:val="4F992EC9"/>
    <w:rsid w:val="4F9D04A1"/>
    <w:rsid w:val="4FADF955"/>
    <w:rsid w:val="4FB0EC58"/>
    <w:rsid w:val="4FC404D1"/>
    <w:rsid w:val="4FF339A0"/>
    <w:rsid w:val="500EDB3F"/>
    <w:rsid w:val="50278405"/>
    <w:rsid w:val="502AC20D"/>
    <w:rsid w:val="5060BE0E"/>
    <w:rsid w:val="50744536"/>
    <w:rsid w:val="5079D0BA"/>
    <w:rsid w:val="5089EB13"/>
    <w:rsid w:val="50D7CDA2"/>
    <w:rsid w:val="50E5FEC1"/>
    <w:rsid w:val="50ECA0F3"/>
    <w:rsid w:val="50EF7E27"/>
    <w:rsid w:val="50FD1839"/>
    <w:rsid w:val="50FF5E39"/>
    <w:rsid w:val="51142BEA"/>
    <w:rsid w:val="5115D8F4"/>
    <w:rsid w:val="512568D4"/>
    <w:rsid w:val="512CFB8A"/>
    <w:rsid w:val="516A3A14"/>
    <w:rsid w:val="51993B24"/>
    <w:rsid w:val="519FCBE7"/>
    <w:rsid w:val="51A96C2F"/>
    <w:rsid w:val="51C16328"/>
    <w:rsid w:val="51CE6CC3"/>
    <w:rsid w:val="51D6D06C"/>
    <w:rsid w:val="51EC65D2"/>
    <w:rsid w:val="51F76D08"/>
    <w:rsid w:val="51FEC1D5"/>
    <w:rsid w:val="520FF841"/>
    <w:rsid w:val="5232CE05"/>
    <w:rsid w:val="524B049C"/>
    <w:rsid w:val="52536A0F"/>
    <w:rsid w:val="525E9D92"/>
    <w:rsid w:val="5271070D"/>
    <w:rsid w:val="527A7E98"/>
    <w:rsid w:val="52A81861"/>
    <w:rsid w:val="52B84D19"/>
    <w:rsid w:val="52BC3F08"/>
    <w:rsid w:val="52CD871D"/>
    <w:rsid w:val="52DEDA4E"/>
    <w:rsid w:val="52E76146"/>
    <w:rsid w:val="52EBECE4"/>
    <w:rsid w:val="53811AE5"/>
    <w:rsid w:val="53C85926"/>
    <w:rsid w:val="53F30A26"/>
    <w:rsid w:val="53FA6DF3"/>
    <w:rsid w:val="54100A9A"/>
    <w:rsid w:val="54168D93"/>
    <w:rsid w:val="54279477"/>
    <w:rsid w:val="542EBFDC"/>
    <w:rsid w:val="544263D8"/>
    <w:rsid w:val="546590BA"/>
    <w:rsid w:val="546E2E56"/>
    <w:rsid w:val="547CC5D0"/>
    <w:rsid w:val="549D06C1"/>
    <w:rsid w:val="54B31CC2"/>
    <w:rsid w:val="54C85D47"/>
    <w:rsid w:val="55122778"/>
    <w:rsid w:val="55340731"/>
    <w:rsid w:val="553CB41E"/>
    <w:rsid w:val="55488B86"/>
    <w:rsid w:val="557DBFEC"/>
    <w:rsid w:val="55960025"/>
    <w:rsid w:val="55A4466A"/>
    <w:rsid w:val="55B25033"/>
    <w:rsid w:val="55B98CE8"/>
    <w:rsid w:val="55C860E0"/>
    <w:rsid w:val="562ACB4D"/>
    <w:rsid w:val="566105D6"/>
    <w:rsid w:val="566D8224"/>
    <w:rsid w:val="567C439E"/>
    <w:rsid w:val="56813F1F"/>
    <w:rsid w:val="56852C86"/>
    <w:rsid w:val="56B91FDD"/>
    <w:rsid w:val="56BDAC84"/>
    <w:rsid w:val="56C6E49E"/>
    <w:rsid w:val="56D746B4"/>
    <w:rsid w:val="56DD3591"/>
    <w:rsid w:val="56E7F93D"/>
    <w:rsid w:val="570BC296"/>
    <w:rsid w:val="5714DB9F"/>
    <w:rsid w:val="571E644C"/>
    <w:rsid w:val="573D0B9E"/>
    <w:rsid w:val="5748C5BF"/>
    <w:rsid w:val="5765F40D"/>
    <w:rsid w:val="576BBAD9"/>
    <w:rsid w:val="579EB313"/>
    <w:rsid w:val="57AA98D7"/>
    <w:rsid w:val="57AE5085"/>
    <w:rsid w:val="57BA75D4"/>
    <w:rsid w:val="57C318CD"/>
    <w:rsid w:val="57E74955"/>
    <w:rsid w:val="58179D20"/>
    <w:rsid w:val="5826268C"/>
    <w:rsid w:val="582D39EB"/>
    <w:rsid w:val="584F5EE8"/>
    <w:rsid w:val="58742590"/>
    <w:rsid w:val="587DFF99"/>
    <w:rsid w:val="588F9729"/>
    <w:rsid w:val="5896E757"/>
    <w:rsid w:val="58C4C036"/>
    <w:rsid w:val="58C96BC8"/>
    <w:rsid w:val="58C97496"/>
    <w:rsid w:val="58CF1776"/>
    <w:rsid w:val="58E3E54D"/>
    <w:rsid w:val="58E6BDA9"/>
    <w:rsid w:val="590260E5"/>
    <w:rsid w:val="590D50B5"/>
    <w:rsid w:val="5916AD31"/>
    <w:rsid w:val="5939E6C2"/>
    <w:rsid w:val="593CCDA8"/>
    <w:rsid w:val="59580859"/>
    <w:rsid w:val="59682B4A"/>
    <w:rsid w:val="59759462"/>
    <w:rsid w:val="5986A983"/>
    <w:rsid w:val="5995D27C"/>
    <w:rsid w:val="59A19439"/>
    <w:rsid w:val="59A4B080"/>
    <w:rsid w:val="59A80EE9"/>
    <w:rsid w:val="59BCF1EE"/>
    <w:rsid w:val="59E7A353"/>
    <w:rsid w:val="59F712E6"/>
    <w:rsid w:val="59F8B08C"/>
    <w:rsid w:val="5A03C4F6"/>
    <w:rsid w:val="5A113978"/>
    <w:rsid w:val="5A13B158"/>
    <w:rsid w:val="5A23A67A"/>
    <w:rsid w:val="5A326919"/>
    <w:rsid w:val="5A5FF31D"/>
    <w:rsid w:val="5A91C31E"/>
    <w:rsid w:val="5A988135"/>
    <w:rsid w:val="5ABAF470"/>
    <w:rsid w:val="5ADFBEB0"/>
    <w:rsid w:val="5AF398B3"/>
    <w:rsid w:val="5B502ECC"/>
    <w:rsid w:val="5B67E969"/>
    <w:rsid w:val="5B6BDAC0"/>
    <w:rsid w:val="5B903A81"/>
    <w:rsid w:val="5B93025B"/>
    <w:rsid w:val="5B98DCE0"/>
    <w:rsid w:val="5BB843B0"/>
    <w:rsid w:val="5BC7114E"/>
    <w:rsid w:val="5BCBCFBA"/>
    <w:rsid w:val="5BF1F897"/>
    <w:rsid w:val="5C1EC055"/>
    <w:rsid w:val="5C329B58"/>
    <w:rsid w:val="5C33D96E"/>
    <w:rsid w:val="5C3941E7"/>
    <w:rsid w:val="5C4775C6"/>
    <w:rsid w:val="5C5ABFC5"/>
    <w:rsid w:val="5C5BFB77"/>
    <w:rsid w:val="5CA8C0DD"/>
    <w:rsid w:val="5CD9D928"/>
    <w:rsid w:val="5CE778ED"/>
    <w:rsid w:val="5CFBD186"/>
    <w:rsid w:val="5CFCBDFC"/>
    <w:rsid w:val="5D1308B4"/>
    <w:rsid w:val="5D2B439D"/>
    <w:rsid w:val="5D3E47CB"/>
    <w:rsid w:val="5D4153E6"/>
    <w:rsid w:val="5D4A63BE"/>
    <w:rsid w:val="5D68F4F2"/>
    <w:rsid w:val="5D80B609"/>
    <w:rsid w:val="5D81779B"/>
    <w:rsid w:val="5D889A9F"/>
    <w:rsid w:val="5D926A23"/>
    <w:rsid w:val="5DA06088"/>
    <w:rsid w:val="5DD13572"/>
    <w:rsid w:val="5DD73598"/>
    <w:rsid w:val="5DEA8873"/>
    <w:rsid w:val="5E159F80"/>
    <w:rsid w:val="5E36EF6A"/>
    <w:rsid w:val="5E497A1E"/>
    <w:rsid w:val="5E515A86"/>
    <w:rsid w:val="5E594054"/>
    <w:rsid w:val="5E5D6A4E"/>
    <w:rsid w:val="5E5ECBB8"/>
    <w:rsid w:val="5E60201A"/>
    <w:rsid w:val="5EADB564"/>
    <w:rsid w:val="5EDF38E5"/>
    <w:rsid w:val="5EFC1F20"/>
    <w:rsid w:val="5EFD7808"/>
    <w:rsid w:val="5F27A00D"/>
    <w:rsid w:val="5F3A20C1"/>
    <w:rsid w:val="5F43BECC"/>
    <w:rsid w:val="5F516346"/>
    <w:rsid w:val="5F91BEC9"/>
    <w:rsid w:val="5F921245"/>
    <w:rsid w:val="5F9A693C"/>
    <w:rsid w:val="5FD852C9"/>
    <w:rsid w:val="5FFCB1C9"/>
    <w:rsid w:val="6000D497"/>
    <w:rsid w:val="60126F70"/>
    <w:rsid w:val="6025F8DC"/>
    <w:rsid w:val="604DD20E"/>
    <w:rsid w:val="60728B5C"/>
    <w:rsid w:val="60991FC1"/>
    <w:rsid w:val="60A06C44"/>
    <w:rsid w:val="60A99711"/>
    <w:rsid w:val="60BAF361"/>
    <w:rsid w:val="60C7DC51"/>
    <w:rsid w:val="60D454A3"/>
    <w:rsid w:val="60D9F3D1"/>
    <w:rsid w:val="60EBA600"/>
    <w:rsid w:val="60F982E0"/>
    <w:rsid w:val="611C4CDE"/>
    <w:rsid w:val="611C7184"/>
    <w:rsid w:val="6121FCD4"/>
    <w:rsid w:val="6136ABB1"/>
    <w:rsid w:val="613B1A9F"/>
    <w:rsid w:val="614007A6"/>
    <w:rsid w:val="6154D67B"/>
    <w:rsid w:val="615B40E1"/>
    <w:rsid w:val="615FD57C"/>
    <w:rsid w:val="61730B6F"/>
    <w:rsid w:val="617DCBA8"/>
    <w:rsid w:val="61951903"/>
    <w:rsid w:val="619C9B9B"/>
    <w:rsid w:val="61A6A97B"/>
    <w:rsid w:val="61CB74BB"/>
    <w:rsid w:val="62045E0F"/>
    <w:rsid w:val="620B665F"/>
    <w:rsid w:val="62117342"/>
    <w:rsid w:val="6214292B"/>
    <w:rsid w:val="621C2ED1"/>
    <w:rsid w:val="624856D7"/>
    <w:rsid w:val="625EBEA0"/>
    <w:rsid w:val="627C1363"/>
    <w:rsid w:val="6281C0A8"/>
    <w:rsid w:val="628244B4"/>
    <w:rsid w:val="62ACA5A2"/>
    <w:rsid w:val="62B53FCA"/>
    <w:rsid w:val="62BBA05C"/>
    <w:rsid w:val="62D979D0"/>
    <w:rsid w:val="62DA8CF0"/>
    <w:rsid w:val="62E3A48D"/>
    <w:rsid w:val="62EE48A0"/>
    <w:rsid w:val="62F13047"/>
    <w:rsid w:val="62FF18E1"/>
    <w:rsid w:val="6301E2CF"/>
    <w:rsid w:val="6302847C"/>
    <w:rsid w:val="6317E3BE"/>
    <w:rsid w:val="631F4496"/>
    <w:rsid w:val="6328AAF8"/>
    <w:rsid w:val="632E2146"/>
    <w:rsid w:val="632F61AD"/>
    <w:rsid w:val="633AD1EC"/>
    <w:rsid w:val="63471E25"/>
    <w:rsid w:val="6364716C"/>
    <w:rsid w:val="636CD107"/>
    <w:rsid w:val="637B6CA7"/>
    <w:rsid w:val="63A845C1"/>
    <w:rsid w:val="63CC374B"/>
    <w:rsid w:val="63ECAFB6"/>
    <w:rsid w:val="63ECFF08"/>
    <w:rsid w:val="6401B025"/>
    <w:rsid w:val="6410C664"/>
    <w:rsid w:val="643A489A"/>
    <w:rsid w:val="643CF7E1"/>
    <w:rsid w:val="645696CC"/>
    <w:rsid w:val="645F6000"/>
    <w:rsid w:val="6468DE29"/>
    <w:rsid w:val="646E4C73"/>
    <w:rsid w:val="6481BA10"/>
    <w:rsid w:val="64822CC3"/>
    <w:rsid w:val="64BAFE3A"/>
    <w:rsid w:val="64C47290"/>
    <w:rsid w:val="64CB2D3D"/>
    <w:rsid w:val="64CD4D6C"/>
    <w:rsid w:val="64D3CB83"/>
    <w:rsid w:val="64DA74D5"/>
    <w:rsid w:val="64DC713B"/>
    <w:rsid w:val="64EF6DC2"/>
    <w:rsid w:val="64F9A737"/>
    <w:rsid w:val="65044757"/>
    <w:rsid w:val="650F1803"/>
    <w:rsid w:val="652028E3"/>
    <w:rsid w:val="65377ED7"/>
    <w:rsid w:val="6580DD9F"/>
    <w:rsid w:val="65888017"/>
    <w:rsid w:val="65912DAC"/>
    <w:rsid w:val="6599CF07"/>
    <w:rsid w:val="65B3C012"/>
    <w:rsid w:val="65CC6F38"/>
    <w:rsid w:val="65CCE7B1"/>
    <w:rsid w:val="66341DA6"/>
    <w:rsid w:val="6644DF4D"/>
    <w:rsid w:val="6695F556"/>
    <w:rsid w:val="66E6D86C"/>
    <w:rsid w:val="670EBCED"/>
    <w:rsid w:val="6724F770"/>
    <w:rsid w:val="67529498"/>
    <w:rsid w:val="67603AA7"/>
    <w:rsid w:val="676B1172"/>
    <w:rsid w:val="678A66E7"/>
    <w:rsid w:val="679762E9"/>
    <w:rsid w:val="67A033F0"/>
    <w:rsid w:val="67AC5E01"/>
    <w:rsid w:val="67B9162B"/>
    <w:rsid w:val="68681E13"/>
    <w:rsid w:val="68750E3A"/>
    <w:rsid w:val="688003BD"/>
    <w:rsid w:val="68AB632B"/>
    <w:rsid w:val="68B3E110"/>
    <w:rsid w:val="68E44039"/>
    <w:rsid w:val="690A1FAF"/>
    <w:rsid w:val="690EBB9F"/>
    <w:rsid w:val="69301BDA"/>
    <w:rsid w:val="69369A4B"/>
    <w:rsid w:val="6939B554"/>
    <w:rsid w:val="693B1EA7"/>
    <w:rsid w:val="6948CA3D"/>
    <w:rsid w:val="695F7EAF"/>
    <w:rsid w:val="69728043"/>
    <w:rsid w:val="6978C38B"/>
    <w:rsid w:val="6978F7D1"/>
    <w:rsid w:val="69795F7D"/>
    <w:rsid w:val="697E0C26"/>
    <w:rsid w:val="699ECA1C"/>
    <w:rsid w:val="69A81575"/>
    <w:rsid w:val="69A887BA"/>
    <w:rsid w:val="69BEE765"/>
    <w:rsid w:val="69C65151"/>
    <w:rsid w:val="69E3A492"/>
    <w:rsid w:val="69E48022"/>
    <w:rsid w:val="69E68A20"/>
    <w:rsid w:val="69EBB4E8"/>
    <w:rsid w:val="6A135E67"/>
    <w:rsid w:val="6A1A29B0"/>
    <w:rsid w:val="6A2A6BD5"/>
    <w:rsid w:val="6A609F67"/>
    <w:rsid w:val="6A7FBD1F"/>
    <w:rsid w:val="6AA51FBB"/>
    <w:rsid w:val="6AAFB572"/>
    <w:rsid w:val="6AD04370"/>
    <w:rsid w:val="6AE0498A"/>
    <w:rsid w:val="6B03790F"/>
    <w:rsid w:val="6B04D854"/>
    <w:rsid w:val="6B04EF7F"/>
    <w:rsid w:val="6B07082C"/>
    <w:rsid w:val="6B264478"/>
    <w:rsid w:val="6B4A892E"/>
    <w:rsid w:val="6B5EEC89"/>
    <w:rsid w:val="6B63D2DA"/>
    <w:rsid w:val="6B8795E5"/>
    <w:rsid w:val="6B951F9A"/>
    <w:rsid w:val="6BA314AB"/>
    <w:rsid w:val="6BCC64B2"/>
    <w:rsid w:val="6BF73F48"/>
    <w:rsid w:val="6BF7C19B"/>
    <w:rsid w:val="6C0704EC"/>
    <w:rsid w:val="6C16CE21"/>
    <w:rsid w:val="6C33E4A5"/>
    <w:rsid w:val="6C3C5A80"/>
    <w:rsid w:val="6C55ABD3"/>
    <w:rsid w:val="6C62F29C"/>
    <w:rsid w:val="6C7551BD"/>
    <w:rsid w:val="6C7F175C"/>
    <w:rsid w:val="6C90D166"/>
    <w:rsid w:val="6CC207AD"/>
    <w:rsid w:val="6CD1BDBC"/>
    <w:rsid w:val="6CEC28AC"/>
    <w:rsid w:val="6CF37DE4"/>
    <w:rsid w:val="6CF760BB"/>
    <w:rsid w:val="6D0AA3B7"/>
    <w:rsid w:val="6D186CB1"/>
    <w:rsid w:val="6D627EB9"/>
    <w:rsid w:val="6D9391FC"/>
    <w:rsid w:val="6DB44142"/>
    <w:rsid w:val="6DD26175"/>
    <w:rsid w:val="6DF4F9A6"/>
    <w:rsid w:val="6E3577BD"/>
    <w:rsid w:val="6E6AAF1E"/>
    <w:rsid w:val="6E9501EF"/>
    <w:rsid w:val="6EC9B095"/>
    <w:rsid w:val="6EEAC8E6"/>
    <w:rsid w:val="6EEF58D8"/>
    <w:rsid w:val="6F037BC0"/>
    <w:rsid w:val="6F06BDD1"/>
    <w:rsid w:val="6F0A5132"/>
    <w:rsid w:val="6F0E1BB0"/>
    <w:rsid w:val="6F5119BA"/>
    <w:rsid w:val="6F55BB8C"/>
    <w:rsid w:val="6F73AFEF"/>
    <w:rsid w:val="6F83EB3D"/>
    <w:rsid w:val="6F8CB547"/>
    <w:rsid w:val="6FEBAAD9"/>
    <w:rsid w:val="6FFE22A7"/>
    <w:rsid w:val="70048413"/>
    <w:rsid w:val="701F753C"/>
    <w:rsid w:val="7022CDB3"/>
    <w:rsid w:val="707F88C7"/>
    <w:rsid w:val="709053CE"/>
    <w:rsid w:val="70972CF2"/>
    <w:rsid w:val="70A64A2B"/>
    <w:rsid w:val="70AC037A"/>
    <w:rsid w:val="70B7ABF3"/>
    <w:rsid w:val="70C7949C"/>
    <w:rsid w:val="70CB32BE"/>
    <w:rsid w:val="70CD3ADE"/>
    <w:rsid w:val="70E7585B"/>
    <w:rsid w:val="70FC17A3"/>
    <w:rsid w:val="7111C50A"/>
    <w:rsid w:val="712A92C2"/>
    <w:rsid w:val="71407C59"/>
    <w:rsid w:val="7150FC91"/>
    <w:rsid w:val="715A86A0"/>
    <w:rsid w:val="7177C317"/>
    <w:rsid w:val="718ADDDC"/>
    <w:rsid w:val="7199B25E"/>
    <w:rsid w:val="71CCBB4F"/>
    <w:rsid w:val="71DA6F36"/>
    <w:rsid w:val="71DDDE7A"/>
    <w:rsid w:val="71E4F82D"/>
    <w:rsid w:val="722AF0C5"/>
    <w:rsid w:val="7233E5A2"/>
    <w:rsid w:val="7267031F"/>
    <w:rsid w:val="72687C05"/>
    <w:rsid w:val="727B1242"/>
    <w:rsid w:val="727B463C"/>
    <w:rsid w:val="72B585D4"/>
    <w:rsid w:val="72BD2E36"/>
    <w:rsid w:val="72D341AF"/>
    <w:rsid w:val="72D53604"/>
    <w:rsid w:val="72EE8F17"/>
    <w:rsid w:val="72FECEB6"/>
    <w:rsid w:val="730E6085"/>
    <w:rsid w:val="7311C3A6"/>
    <w:rsid w:val="731F7E99"/>
    <w:rsid w:val="73383BCC"/>
    <w:rsid w:val="7383E5AD"/>
    <w:rsid w:val="73978180"/>
    <w:rsid w:val="73A26370"/>
    <w:rsid w:val="73B2B8B2"/>
    <w:rsid w:val="73B5EE70"/>
    <w:rsid w:val="73FD28B2"/>
    <w:rsid w:val="7422CBB2"/>
    <w:rsid w:val="743CFC41"/>
    <w:rsid w:val="743ED21C"/>
    <w:rsid w:val="7474D7E4"/>
    <w:rsid w:val="747BC0D4"/>
    <w:rsid w:val="748A3DA6"/>
    <w:rsid w:val="74C1ED9A"/>
    <w:rsid w:val="74C98507"/>
    <w:rsid w:val="74CA72ED"/>
    <w:rsid w:val="74E47AAE"/>
    <w:rsid w:val="75157634"/>
    <w:rsid w:val="7524AF85"/>
    <w:rsid w:val="753D5787"/>
    <w:rsid w:val="7544760C"/>
    <w:rsid w:val="754E6FBA"/>
    <w:rsid w:val="7555EE4C"/>
    <w:rsid w:val="756073B8"/>
    <w:rsid w:val="7585B655"/>
    <w:rsid w:val="759AA5DB"/>
    <w:rsid w:val="75A94292"/>
    <w:rsid w:val="75AA1347"/>
    <w:rsid w:val="75DBB0EB"/>
    <w:rsid w:val="75DCAF5B"/>
    <w:rsid w:val="75E8C7CF"/>
    <w:rsid w:val="75FCB9AC"/>
    <w:rsid w:val="761CD872"/>
    <w:rsid w:val="761FD952"/>
    <w:rsid w:val="763B2A24"/>
    <w:rsid w:val="7695D71E"/>
    <w:rsid w:val="76C037EC"/>
    <w:rsid w:val="76CA7C31"/>
    <w:rsid w:val="76DB76EC"/>
    <w:rsid w:val="76FADB34"/>
    <w:rsid w:val="77181297"/>
    <w:rsid w:val="7720826E"/>
    <w:rsid w:val="772A4A7C"/>
    <w:rsid w:val="772AA0C7"/>
    <w:rsid w:val="77386680"/>
    <w:rsid w:val="77437A37"/>
    <w:rsid w:val="77791FC7"/>
    <w:rsid w:val="78100F0E"/>
    <w:rsid w:val="781EBEFD"/>
    <w:rsid w:val="7862EE71"/>
    <w:rsid w:val="7875A9F1"/>
    <w:rsid w:val="787CDCCF"/>
    <w:rsid w:val="78810FC6"/>
    <w:rsid w:val="7896AB95"/>
    <w:rsid w:val="789C1880"/>
    <w:rsid w:val="78A70879"/>
    <w:rsid w:val="78AEA6BA"/>
    <w:rsid w:val="78D69142"/>
    <w:rsid w:val="78D77A37"/>
    <w:rsid w:val="78DFE396"/>
    <w:rsid w:val="78F831E2"/>
    <w:rsid w:val="790FC53E"/>
    <w:rsid w:val="79295B10"/>
    <w:rsid w:val="792FE6D5"/>
    <w:rsid w:val="79370FD7"/>
    <w:rsid w:val="79554203"/>
    <w:rsid w:val="7957B9CC"/>
    <w:rsid w:val="7963B723"/>
    <w:rsid w:val="797670F2"/>
    <w:rsid w:val="79C3DC95"/>
    <w:rsid w:val="79DC4622"/>
    <w:rsid w:val="79DE2F57"/>
    <w:rsid w:val="7A13C5A3"/>
    <w:rsid w:val="7A1623C8"/>
    <w:rsid w:val="7A295F6F"/>
    <w:rsid w:val="7A63678D"/>
    <w:rsid w:val="7A687513"/>
    <w:rsid w:val="7A73285A"/>
    <w:rsid w:val="7A836FDD"/>
    <w:rsid w:val="7A8EC8D0"/>
    <w:rsid w:val="7A9B1247"/>
    <w:rsid w:val="7AA6FB31"/>
    <w:rsid w:val="7AA9C2C8"/>
    <w:rsid w:val="7ACC825C"/>
    <w:rsid w:val="7AD433FF"/>
    <w:rsid w:val="7AEB7B01"/>
    <w:rsid w:val="7B10875B"/>
    <w:rsid w:val="7B11FAC1"/>
    <w:rsid w:val="7B1EA939"/>
    <w:rsid w:val="7B355D29"/>
    <w:rsid w:val="7B408104"/>
    <w:rsid w:val="7B94E8AA"/>
    <w:rsid w:val="7BA4FDC7"/>
    <w:rsid w:val="7BB5552D"/>
    <w:rsid w:val="7BBA0BE3"/>
    <w:rsid w:val="7BE79239"/>
    <w:rsid w:val="7C1576D0"/>
    <w:rsid w:val="7C246BEB"/>
    <w:rsid w:val="7C246DC6"/>
    <w:rsid w:val="7C311B87"/>
    <w:rsid w:val="7C9E01FD"/>
    <w:rsid w:val="7CB71E4D"/>
    <w:rsid w:val="7CB95B40"/>
    <w:rsid w:val="7CBD9602"/>
    <w:rsid w:val="7CCAD35F"/>
    <w:rsid w:val="7CCC522E"/>
    <w:rsid w:val="7CCFDC69"/>
    <w:rsid w:val="7CD61613"/>
    <w:rsid w:val="7CDA2C73"/>
    <w:rsid w:val="7CF51992"/>
    <w:rsid w:val="7D099821"/>
    <w:rsid w:val="7D0C79C3"/>
    <w:rsid w:val="7D2ADBA1"/>
    <w:rsid w:val="7D2CCD81"/>
    <w:rsid w:val="7D36397F"/>
    <w:rsid w:val="7D3DFA50"/>
    <w:rsid w:val="7D45EC5D"/>
    <w:rsid w:val="7D7DD09C"/>
    <w:rsid w:val="7D8B9FD3"/>
    <w:rsid w:val="7D96EAD6"/>
    <w:rsid w:val="7DA5C44F"/>
    <w:rsid w:val="7DB05D14"/>
    <w:rsid w:val="7DD67027"/>
    <w:rsid w:val="7DE0F809"/>
    <w:rsid w:val="7DECA34E"/>
    <w:rsid w:val="7DF1A3F9"/>
    <w:rsid w:val="7E1C65CF"/>
    <w:rsid w:val="7E54CC35"/>
    <w:rsid w:val="7E6CA77D"/>
    <w:rsid w:val="7E7DCDFD"/>
    <w:rsid w:val="7E808D94"/>
    <w:rsid w:val="7EBB2680"/>
    <w:rsid w:val="7ECF1252"/>
    <w:rsid w:val="7ECF6364"/>
    <w:rsid w:val="7ED2A666"/>
    <w:rsid w:val="7ED4D391"/>
    <w:rsid w:val="7EE35F4B"/>
    <w:rsid w:val="7EE3A835"/>
    <w:rsid w:val="7EF2064C"/>
    <w:rsid w:val="7EF4825C"/>
    <w:rsid w:val="7F05ED19"/>
    <w:rsid w:val="7F1291D2"/>
    <w:rsid w:val="7F2D63E0"/>
    <w:rsid w:val="7F56F719"/>
    <w:rsid w:val="7F741327"/>
    <w:rsid w:val="7F7CC170"/>
    <w:rsid w:val="7F8F833D"/>
    <w:rsid w:val="7F9D10EA"/>
    <w:rsid w:val="7FA1CC6A"/>
    <w:rsid w:val="7FB175CB"/>
    <w:rsid w:val="7FB4475D"/>
    <w:rsid w:val="7FB5EF09"/>
    <w:rsid w:val="7FCE50CE"/>
    <w:rsid w:val="7FD3B24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3FB4F8"/>
  <w15:chartTrackingRefBased/>
  <w15:docId w15:val="{A746B123-E4C8-48C1-944B-21EB307B4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1"/>
        <w:szCs w:val="21"/>
        <w:lang w:val="en-AU" w:eastAsia="en-US" w:bidi="ar-SA"/>
      </w:rPr>
    </w:rPrDefault>
    <w:pPrDefault>
      <w:pPr>
        <w:spacing w:before="120" w:after="240" w:line="276" w:lineRule="auto"/>
      </w:pPr>
    </w:pPrDefault>
  </w:docDefaults>
  <w:latentStyles w:defLockedState="1" w:defUIPriority="99" w:defSemiHidden="0" w:defUnhideWhenUsed="0" w:defQFormat="0" w:count="376">
    <w:lsdException w:name="Normal" w:locked="0" w:uiPriority="0" w:qFormat="1"/>
    <w:lsdException w:name="heading 1" w:locked="0" w:uiPriority="2" w:qFormat="1"/>
    <w:lsdException w:name="heading 2" w:locked="0" w:semiHidden="1" w:uiPriority="2" w:unhideWhenUsed="1" w:qFormat="1"/>
    <w:lsdException w:name="heading 3" w:locked="0" w:semiHidden="1" w:uiPriority="2" w:unhideWhenUsed="1" w:qFormat="1"/>
    <w:lsdException w:name="heading 4" w:locked="0" w:semiHidden="1" w:uiPriority="2" w:unhideWhenUsed="1" w:qFormat="1"/>
    <w:lsdException w:name="heading 5" w:locked="0" w:semiHidden="1" w:uiPriority="4" w:unhideWhenUsed="1" w:qFormat="1"/>
    <w:lsdException w:name="heading 6" w:locked="0" w:semiHidden="1" w:uiPriority="9" w:unhideWhenUsed="1" w:qFormat="1"/>
    <w:lsdException w:name="heading 7" w:locked="0" w:semiHidden="1" w:uiPriority="6" w:unhideWhenUsed="1" w:qFormat="1"/>
    <w:lsdException w:name="heading 8" w:locked="0" w:semiHidden="1" w:uiPriority="10" w:unhideWhenUsed="1" w:qFormat="1"/>
    <w:lsdException w:name="heading 9" w:locked="0" w:semiHidden="1" w:uiPriority="1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uiPriority="44"/>
    <w:lsdException w:name="footer" w:locked="0"/>
    <w:lsdException w:name="index heading" w:semiHidden="1"/>
    <w:lsdException w:name="caption" w:locked="0" w:uiPriority="20"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semiHidden="1"/>
    <w:lsdException w:name="List Bullet" w:locked="0" w:uiPriority="7" w:qFormat="1"/>
    <w:lsdException w:name="List Number" w:locked="0" w:uiPriority="7"/>
    <w:lsdException w:name="List 2" w:locked="0" w:semiHidden="1"/>
    <w:lsdException w:name="List 3" w:locked="0" w:semiHidden="1"/>
    <w:lsdException w:name="List 4" w:locked="0" w:semiHidden="1"/>
    <w:lsdException w:name="List 5" w:locked="0" w:semiHidden="1"/>
    <w:lsdException w:name="List Bullet 2" w:locked="0" w:uiPriority="7" w:qFormat="1"/>
    <w:lsdException w:name="List Bullet 3" w:locked="0" w:uiPriority="7" w:qFormat="1"/>
    <w:lsdException w:name="List Bullet 4" w:locked="0" w:uiPriority="7"/>
    <w:lsdException w:name="List Bullet 5" w:locked="0" w:uiPriority="7"/>
    <w:lsdException w:name="List Number 2" w:locked="0" w:uiPriority="7"/>
    <w:lsdException w:name="List Number 3" w:locked="0" w:uiPriority="7"/>
    <w:lsdException w:name="List Number 4" w:locked="0" w:uiPriority="7"/>
    <w:lsdException w:name="List Number 5" w:locked="0" w:uiPriority="7"/>
    <w:lsdException w:name="Title" w:locked="0" w:uiPriority="38"/>
    <w:lsdException w:name="Closing" w:semiHidden="1"/>
    <w:lsdException w:name="Signature" w:locked="0" w:uiPriority="34"/>
    <w:lsdException w:name="Default Paragraph Font" w:locked="0" w:semiHidden="1" w:uiPriority="1" w:unhideWhenUsed="1"/>
    <w:lsdException w:name="Body Text" w:semiHidden="1" w:uiPriority="0" w:qFormat="1"/>
    <w:lsdException w:name="Body Text Indent" w:semiHidden="1"/>
    <w:lsdException w:name="List Continue" w:locked="0" w:semiHidden="1" w:uiPriority="17"/>
    <w:lsdException w:name="List Continue 2" w:locked="0" w:semiHidden="1" w:uiPriority="17"/>
    <w:lsdException w:name="List Continue 3" w:locked="0" w:semiHidden="1" w:uiPriority="17"/>
    <w:lsdException w:name="List Continue 4" w:locked="0" w:semiHidden="1" w:uiPriority="17"/>
    <w:lsdException w:name="List Continue 5" w:locked="0" w:semiHidden="1" w:uiPriority="17"/>
    <w:lsdException w:name="Message Header" w:semiHidden="1"/>
    <w:lsdException w:name="Subtitle" w:locked="0" w:uiPriority="38"/>
    <w:lsdException w:name="Salutation" w:locked="0" w:uiPriority="34"/>
    <w:lsdException w:name="Date" w:locked="0" w:uiPriority="34"/>
    <w:lsdException w:name="Body Text First Indent" w:semiHidden="1"/>
    <w:lsdException w:name="Body Text First Indent 2" w:semiHidden="1"/>
    <w:lsdException w:name="Note Heading" w:locked="0" w:uiPriority="20"/>
    <w:lsdException w:name="Body Text 2" w:semiHidden="1"/>
    <w:lsdException w:name="Body Text 3" w:semiHidden="1"/>
    <w:lsdException w:name="Body Text Indent 2" w:semiHidden="1"/>
    <w:lsdException w:name="Body Text Indent 3" w:semiHidden="1"/>
    <w:lsdException w:name="Block Text" w:semiHidden="1"/>
    <w:lsdException w:name="Hyperlink" w:locked="0"/>
    <w:lsdException w:name="FollowedHyperlink" w:locked="0" w:uiPriority="44"/>
    <w:lsdException w:name="Strong" w:locked="0" w:uiPriority="22"/>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8"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E198B"/>
  </w:style>
  <w:style w:type="paragraph" w:styleId="Heading1">
    <w:name w:val="heading 1"/>
    <w:basedOn w:val="Normal"/>
    <w:next w:val="Normal"/>
    <w:link w:val="Heading1Char"/>
    <w:uiPriority w:val="2"/>
    <w:qFormat/>
    <w:rsid w:val="00FE198B"/>
    <w:pPr>
      <w:keepNext/>
      <w:keepLines/>
      <w:numPr>
        <w:numId w:val="2"/>
      </w:numPr>
      <w:pBdr>
        <w:bottom w:val="single" w:sz="4" w:space="6" w:color="auto"/>
      </w:pBdr>
      <w:spacing w:before="360" w:after="120" w:line="240" w:lineRule="auto"/>
      <w:outlineLvl w:val="0"/>
    </w:pPr>
    <w:rPr>
      <w:rFonts w:asciiTheme="majorHAnsi" w:eastAsiaTheme="majorEastAsia" w:hAnsiTheme="majorHAnsi" w:cstheme="majorBidi"/>
      <w:sz w:val="30"/>
      <w:szCs w:val="32"/>
    </w:rPr>
  </w:style>
  <w:style w:type="paragraph" w:styleId="Heading2">
    <w:name w:val="heading 2"/>
    <w:basedOn w:val="Normal"/>
    <w:next w:val="Normal"/>
    <w:link w:val="Heading2Char"/>
    <w:uiPriority w:val="2"/>
    <w:qFormat/>
    <w:rsid w:val="00FE198B"/>
    <w:pPr>
      <w:keepNext/>
      <w:keepLines/>
      <w:numPr>
        <w:ilvl w:val="1"/>
        <w:numId w:val="2"/>
      </w:numPr>
      <w:spacing w:before="360" w:after="180" w:line="240" w:lineRule="auto"/>
      <w:ind w:left="14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2"/>
    <w:qFormat/>
    <w:rsid w:val="00FE198B"/>
    <w:pPr>
      <w:keepNext/>
      <w:keepLines/>
      <w:numPr>
        <w:ilvl w:val="2"/>
        <w:numId w:val="2"/>
      </w:numPr>
      <w:spacing w:before="240" w:after="60" w:line="240" w:lineRule="auto"/>
      <w:ind w:left="2160"/>
      <w:outlineLvl w:val="2"/>
    </w:pPr>
    <w:rPr>
      <w:rFonts w:asciiTheme="majorHAnsi" w:eastAsiaTheme="majorEastAsia" w:hAnsiTheme="majorHAnsi" w:cstheme="majorBidi"/>
      <w:b/>
      <w:sz w:val="22"/>
      <w:szCs w:val="24"/>
    </w:rPr>
  </w:style>
  <w:style w:type="paragraph" w:styleId="Heading4">
    <w:name w:val="heading 4"/>
    <w:basedOn w:val="Normal"/>
    <w:next w:val="Normal"/>
    <w:link w:val="Heading4Char"/>
    <w:uiPriority w:val="2"/>
    <w:qFormat/>
    <w:rsid w:val="00FE198B"/>
    <w:pPr>
      <w:keepNext/>
      <w:keepLines/>
      <w:numPr>
        <w:ilvl w:val="3"/>
        <w:numId w:val="2"/>
      </w:numPr>
      <w:spacing w:before="240" w:after="60" w:line="240" w:lineRule="auto"/>
      <w:ind w:left="288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4"/>
    <w:semiHidden/>
    <w:qFormat/>
    <w:rsid w:val="00FE198B"/>
    <w:pPr>
      <w:keepNext/>
      <w:keepLines/>
      <w:spacing w:before="240" w:after="60" w:line="240" w:lineRule="auto"/>
      <w:outlineLvl w:val="4"/>
    </w:pPr>
    <w:rPr>
      <w:rFonts w:asciiTheme="majorHAnsi" w:eastAsiaTheme="majorEastAsia" w:hAnsiTheme="majorHAnsi" w:cstheme="majorBidi"/>
      <w:color w:val="47A843" w:themeColor="accent1"/>
    </w:rPr>
  </w:style>
  <w:style w:type="paragraph" w:styleId="Heading6">
    <w:name w:val="heading 6"/>
    <w:basedOn w:val="Normal"/>
    <w:next w:val="Normal"/>
    <w:link w:val="Heading6Char"/>
    <w:uiPriority w:val="9"/>
    <w:semiHidden/>
    <w:qFormat/>
    <w:rsid w:val="00FE198B"/>
    <w:pPr>
      <w:keepNext/>
      <w:keepLines/>
      <w:spacing w:before="240" w:after="60" w:line="240" w:lineRule="auto"/>
      <w:outlineLvl w:val="5"/>
    </w:pPr>
    <w:rPr>
      <w:rFonts w:asciiTheme="majorHAnsi" w:eastAsiaTheme="majorEastAsia" w:hAnsiTheme="majorHAnsi" w:cstheme="majorBidi"/>
      <w:color w:val="47A843" w:themeColor="accent1"/>
    </w:rPr>
  </w:style>
  <w:style w:type="paragraph" w:styleId="Heading7">
    <w:name w:val="heading 7"/>
    <w:basedOn w:val="Normal"/>
    <w:next w:val="Normal"/>
    <w:link w:val="Heading7Char"/>
    <w:uiPriority w:val="6"/>
    <w:semiHidden/>
    <w:qFormat/>
    <w:rsid w:val="00FE198B"/>
    <w:pPr>
      <w:keepNext/>
      <w:keepLines/>
      <w:spacing w:before="240" w:after="60" w:line="240" w:lineRule="auto"/>
      <w:outlineLvl w:val="6"/>
    </w:pPr>
    <w:rPr>
      <w:rFonts w:asciiTheme="majorHAnsi" w:eastAsiaTheme="majorEastAsia" w:hAnsiTheme="majorHAnsi" w:cstheme="majorBidi"/>
      <w:i/>
      <w:iCs/>
      <w:color w:val="47A843" w:themeColor="accent1"/>
    </w:rPr>
  </w:style>
  <w:style w:type="paragraph" w:styleId="Heading8">
    <w:name w:val="heading 8"/>
    <w:basedOn w:val="Normal"/>
    <w:next w:val="Normal"/>
    <w:link w:val="Heading8Char"/>
    <w:uiPriority w:val="10"/>
    <w:qFormat/>
    <w:rsid w:val="00FE198B"/>
    <w:pPr>
      <w:keepNext/>
      <w:keepLines/>
      <w:pageBreakBefore/>
      <w:numPr>
        <w:numId w:val="3"/>
      </w:numPr>
      <w:pBdr>
        <w:bottom w:val="single" w:sz="2" w:space="6" w:color="auto"/>
      </w:pBdr>
      <w:spacing w:before="360" w:after="120" w:line="240" w:lineRule="auto"/>
      <w:outlineLvl w:val="7"/>
    </w:pPr>
    <w:rPr>
      <w:rFonts w:asciiTheme="majorHAnsi" w:eastAsiaTheme="majorEastAsia" w:hAnsiTheme="majorHAnsi" w:cstheme="majorBidi"/>
      <w:sz w:val="30"/>
    </w:rPr>
  </w:style>
  <w:style w:type="paragraph" w:styleId="Heading9">
    <w:name w:val="heading 9"/>
    <w:basedOn w:val="Normal"/>
    <w:next w:val="Normal"/>
    <w:link w:val="Heading9Char"/>
    <w:uiPriority w:val="10"/>
    <w:qFormat/>
    <w:rsid w:val="00FE198B"/>
    <w:pPr>
      <w:keepNext/>
      <w:keepLines/>
      <w:numPr>
        <w:ilvl w:val="1"/>
        <w:numId w:val="3"/>
      </w:numPr>
      <w:spacing w:before="360" w:after="120" w:line="240" w:lineRule="auto"/>
      <w:outlineLvl w:val="8"/>
    </w:pPr>
    <w:rPr>
      <w:rFonts w:asciiTheme="majorHAnsi" w:eastAsiaTheme="majorEastAsia" w:hAnsiTheme="majorHAnsi"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198B"/>
    <w:pPr>
      <w:spacing w:before="0" w:after="0"/>
    </w:pPr>
  </w:style>
  <w:style w:type="character" w:customStyle="1" w:styleId="Heading1Char">
    <w:name w:val="Heading 1 Char"/>
    <w:basedOn w:val="DefaultParagraphFont"/>
    <w:link w:val="Heading1"/>
    <w:uiPriority w:val="2"/>
    <w:rsid w:val="00FE198B"/>
    <w:rPr>
      <w:rFonts w:asciiTheme="majorHAnsi" w:eastAsiaTheme="majorEastAsia" w:hAnsiTheme="majorHAnsi" w:cstheme="majorBidi"/>
      <w:sz w:val="30"/>
      <w:szCs w:val="32"/>
    </w:rPr>
  </w:style>
  <w:style w:type="character" w:customStyle="1" w:styleId="Heading2Char">
    <w:name w:val="Heading 2 Char"/>
    <w:basedOn w:val="DefaultParagraphFont"/>
    <w:link w:val="Heading2"/>
    <w:uiPriority w:val="2"/>
    <w:rsid w:val="00FE198B"/>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2"/>
    <w:rsid w:val="00FE198B"/>
    <w:rPr>
      <w:rFonts w:asciiTheme="majorHAnsi" w:eastAsiaTheme="majorEastAsia" w:hAnsiTheme="majorHAnsi" w:cstheme="majorBidi"/>
      <w:b/>
      <w:sz w:val="22"/>
      <w:szCs w:val="24"/>
    </w:rPr>
  </w:style>
  <w:style w:type="character" w:customStyle="1" w:styleId="Heading4Char">
    <w:name w:val="Heading 4 Char"/>
    <w:basedOn w:val="DefaultParagraphFont"/>
    <w:link w:val="Heading4"/>
    <w:uiPriority w:val="2"/>
    <w:rsid w:val="00FE198B"/>
    <w:rPr>
      <w:rFonts w:asciiTheme="majorHAnsi" w:eastAsiaTheme="majorEastAsia" w:hAnsiTheme="majorHAnsi" w:cstheme="majorBidi"/>
      <w:b/>
      <w:iCs/>
    </w:rPr>
  </w:style>
  <w:style w:type="character" w:customStyle="1" w:styleId="Heading5Char">
    <w:name w:val="Heading 5 Char"/>
    <w:basedOn w:val="DefaultParagraphFont"/>
    <w:link w:val="Heading5"/>
    <w:uiPriority w:val="4"/>
    <w:semiHidden/>
    <w:rsid w:val="00FE198B"/>
    <w:rPr>
      <w:rFonts w:asciiTheme="majorHAnsi" w:eastAsiaTheme="majorEastAsia" w:hAnsiTheme="majorHAnsi" w:cstheme="majorBidi"/>
      <w:color w:val="47A843" w:themeColor="accent1"/>
    </w:rPr>
  </w:style>
  <w:style w:type="character" w:customStyle="1" w:styleId="Heading6Char">
    <w:name w:val="Heading 6 Char"/>
    <w:basedOn w:val="DefaultParagraphFont"/>
    <w:link w:val="Heading6"/>
    <w:uiPriority w:val="9"/>
    <w:semiHidden/>
    <w:rsid w:val="00FE198B"/>
    <w:rPr>
      <w:rFonts w:asciiTheme="majorHAnsi" w:eastAsiaTheme="majorEastAsia" w:hAnsiTheme="majorHAnsi" w:cstheme="majorBidi"/>
      <w:color w:val="47A843" w:themeColor="accent1"/>
    </w:rPr>
  </w:style>
  <w:style w:type="character" w:customStyle="1" w:styleId="Heading7Char">
    <w:name w:val="Heading 7 Char"/>
    <w:basedOn w:val="DefaultParagraphFont"/>
    <w:link w:val="Heading7"/>
    <w:uiPriority w:val="6"/>
    <w:semiHidden/>
    <w:rsid w:val="00FE198B"/>
    <w:rPr>
      <w:rFonts w:asciiTheme="majorHAnsi" w:eastAsiaTheme="majorEastAsia" w:hAnsiTheme="majorHAnsi" w:cstheme="majorBidi"/>
      <w:i/>
      <w:iCs/>
      <w:color w:val="47A843" w:themeColor="accent1"/>
    </w:rPr>
  </w:style>
  <w:style w:type="character" w:customStyle="1" w:styleId="Heading8Char">
    <w:name w:val="Heading 8 Char"/>
    <w:basedOn w:val="DefaultParagraphFont"/>
    <w:link w:val="Heading8"/>
    <w:uiPriority w:val="10"/>
    <w:rsid w:val="00FE198B"/>
    <w:rPr>
      <w:rFonts w:asciiTheme="majorHAnsi" w:eastAsiaTheme="majorEastAsia" w:hAnsiTheme="majorHAnsi" w:cstheme="majorBidi"/>
      <w:sz w:val="30"/>
    </w:rPr>
  </w:style>
  <w:style w:type="character" w:customStyle="1" w:styleId="Heading9Char">
    <w:name w:val="Heading 9 Char"/>
    <w:basedOn w:val="DefaultParagraphFont"/>
    <w:link w:val="Heading9"/>
    <w:uiPriority w:val="10"/>
    <w:rsid w:val="00FE198B"/>
    <w:rPr>
      <w:rFonts w:asciiTheme="majorHAnsi" w:eastAsiaTheme="majorEastAsia" w:hAnsiTheme="majorHAnsi" w:cstheme="majorBidi"/>
      <w:b/>
      <w:iCs/>
      <w:sz w:val="24"/>
    </w:rPr>
  </w:style>
  <w:style w:type="paragraph" w:styleId="ListBullet">
    <w:name w:val="List Bullet"/>
    <w:basedOn w:val="Normal"/>
    <w:uiPriority w:val="7"/>
    <w:qFormat/>
    <w:rsid w:val="00FE198B"/>
    <w:pPr>
      <w:numPr>
        <w:numId w:val="8"/>
      </w:numPr>
      <w:spacing w:after="120"/>
      <w:contextualSpacing/>
    </w:pPr>
  </w:style>
  <w:style w:type="numbering" w:customStyle="1" w:styleId="BulletList">
    <w:name w:val="Bullet List"/>
    <w:uiPriority w:val="99"/>
    <w:rsid w:val="00FE198B"/>
    <w:pPr>
      <w:numPr>
        <w:numId w:val="1"/>
      </w:numPr>
    </w:pPr>
  </w:style>
  <w:style w:type="paragraph" w:styleId="ListParagraph">
    <w:name w:val="List Paragraph"/>
    <w:basedOn w:val="Normal"/>
    <w:uiPriority w:val="8"/>
    <w:qFormat/>
    <w:rsid w:val="00FE198B"/>
    <w:pPr>
      <w:ind w:left="357"/>
      <w:contextualSpacing/>
    </w:pPr>
  </w:style>
  <w:style w:type="paragraph" w:styleId="ListBullet2">
    <w:name w:val="List Bullet 2"/>
    <w:basedOn w:val="Normal"/>
    <w:uiPriority w:val="7"/>
    <w:qFormat/>
    <w:rsid w:val="00FE198B"/>
    <w:pPr>
      <w:numPr>
        <w:numId w:val="9"/>
      </w:numPr>
      <w:tabs>
        <w:tab w:val="clear" w:pos="643"/>
      </w:tabs>
      <w:spacing w:after="120"/>
      <w:ind w:left="360"/>
      <w:contextualSpacing/>
    </w:pPr>
  </w:style>
  <w:style w:type="paragraph" w:styleId="ListBullet3">
    <w:name w:val="List Bullet 3"/>
    <w:basedOn w:val="Normal"/>
    <w:uiPriority w:val="7"/>
    <w:qFormat/>
    <w:rsid w:val="00FE198B"/>
    <w:pPr>
      <w:numPr>
        <w:ilvl w:val="2"/>
        <w:numId w:val="12"/>
      </w:numPr>
      <w:spacing w:after="120"/>
      <w:contextualSpacing/>
    </w:pPr>
  </w:style>
  <w:style w:type="paragraph" w:styleId="ListBullet4">
    <w:name w:val="List Bullet 4"/>
    <w:basedOn w:val="Normal"/>
    <w:uiPriority w:val="7"/>
    <w:rsid w:val="00FE198B"/>
    <w:pPr>
      <w:numPr>
        <w:ilvl w:val="3"/>
        <w:numId w:val="12"/>
      </w:numPr>
      <w:spacing w:after="120"/>
      <w:contextualSpacing/>
    </w:pPr>
  </w:style>
  <w:style w:type="paragraph" w:styleId="FootnoteText">
    <w:name w:val="footnote text"/>
    <w:basedOn w:val="Normal"/>
    <w:link w:val="FootnoteTextChar"/>
    <w:uiPriority w:val="99"/>
    <w:rsid w:val="00FE198B"/>
    <w:pPr>
      <w:tabs>
        <w:tab w:val="left" w:pos="227"/>
      </w:tabs>
      <w:spacing w:before="0" w:after="0" w:line="240" w:lineRule="auto"/>
      <w:ind w:left="227" w:hanging="227"/>
    </w:pPr>
    <w:rPr>
      <w:sz w:val="18"/>
      <w:szCs w:val="20"/>
    </w:rPr>
  </w:style>
  <w:style w:type="paragraph" w:styleId="ListBullet5">
    <w:name w:val="List Bullet 5"/>
    <w:basedOn w:val="Normal"/>
    <w:uiPriority w:val="7"/>
    <w:rsid w:val="00FE198B"/>
    <w:pPr>
      <w:numPr>
        <w:ilvl w:val="4"/>
        <w:numId w:val="12"/>
      </w:numPr>
      <w:spacing w:after="120"/>
      <w:contextualSpacing/>
    </w:pPr>
  </w:style>
  <w:style w:type="numbering" w:styleId="111111">
    <w:name w:val="Outline List 2"/>
    <w:basedOn w:val="NoList"/>
    <w:uiPriority w:val="99"/>
    <w:semiHidden/>
    <w:unhideWhenUsed/>
    <w:rsid w:val="00FE198B"/>
    <w:pPr>
      <w:numPr>
        <w:numId w:val="2"/>
      </w:numPr>
    </w:pPr>
  </w:style>
  <w:style w:type="numbering" w:styleId="1ai">
    <w:name w:val="Outline List 1"/>
    <w:basedOn w:val="NoList"/>
    <w:uiPriority w:val="99"/>
    <w:semiHidden/>
    <w:unhideWhenUsed/>
    <w:rsid w:val="00FE198B"/>
    <w:pPr>
      <w:numPr>
        <w:numId w:val="7"/>
      </w:numPr>
    </w:pPr>
  </w:style>
  <w:style w:type="paragraph" w:styleId="ListNumber">
    <w:name w:val="List Number"/>
    <w:basedOn w:val="Normal"/>
    <w:uiPriority w:val="7"/>
    <w:rsid w:val="00FE198B"/>
    <w:pPr>
      <w:numPr>
        <w:numId w:val="4"/>
      </w:numPr>
      <w:tabs>
        <w:tab w:val="num" w:pos="643"/>
      </w:tabs>
      <w:spacing w:after="120"/>
      <w:ind w:left="357" w:hanging="357"/>
      <w:contextualSpacing/>
    </w:pPr>
  </w:style>
  <w:style w:type="paragraph" w:styleId="ListNumber2">
    <w:name w:val="List Number 2"/>
    <w:basedOn w:val="Normal"/>
    <w:uiPriority w:val="7"/>
    <w:rsid w:val="00FE198B"/>
    <w:pPr>
      <w:numPr>
        <w:ilvl w:val="1"/>
        <w:numId w:val="4"/>
      </w:numPr>
      <w:tabs>
        <w:tab w:val="num" w:pos="643"/>
      </w:tabs>
      <w:spacing w:after="120"/>
      <w:ind w:left="714" w:hanging="357"/>
      <w:contextualSpacing/>
    </w:pPr>
  </w:style>
  <w:style w:type="paragraph" w:styleId="ListNumber3">
    <w:name w:val="List Number 3"/>
    <w:basedOn w:val="Normal"/>
    <w:uiPriority w:val="7"/>
    <w:rsid w:val="00FE198B"/>
    <w:pPr>
      <w:numPr>
        <w:ilvl w:val="2"/>
        <w:numId w:val="4"/>
      </w:numPr>
      <w:tabs>
        <w:tab w:val="num" w:pos="643"/>
      </w:tabs>
      <w:spacing w:after="120"/>
      <w:contextualSpacing/>
    </w:pPr>
  </w:style>
  <w:style w:type="paragraph" w:styleId="ListNumber4">
    <w:name w:val="List Number 4"/>
    <w:basedOn w:val="Normal"/>
    <w:uiPriority w:val="7"/>
    <w:rsid w:val="00FE198B"/>
    <w:pPr>
      <w:numPr>
        <w:ilvl w:val="3"/>
        <w:numId w:val="4"/>
      </w:numPr>
      <w:tabs>
        <w:tab w:val="num" w:pos="643"/>
      </w:tabs>
      <w:spacing w:after="120"/>
      <w:ind w:left="1434" w:hanging="357"/>
      <w:contextualSpacing/>
    </w:pPr>
  </w:style>
  <w:style w:type="paragraph" w:styleId="ListNumber5">
    <w:name w:val="List Number 5"/>
    <w:basedOn w:val="Normal"/>
    <w:uiPriority w:val="7"/>
    <w:rsid w:val="00FE198B"/>
    <w:pPr>
      <w:numPr>
        <w:ilvl w:val="4"/>
        <w:numId w:val="4"/>
      </w:numPr>
      <w:tabs>
        <w:tab w:val="num" w:pos="643"/>
      </w:tabs>
      <w:spacing w:after="120"/>
      <w:contextualSpacing/>
    </w:pPr>
  </w:style>
  <w:style w:type="character" w:customStyle="1" w:styleId="FootnoteTextChar">
    <w:name w:val="Footnote Text Char"/>
    <w:basedOn w:val="DefaultParagraphFont"/>
    <w:link w:val="FootnoteText"/>
    <w:uiPriority w:val="99"/>
    <w:rsid w:val="00FE198B"/>
    <w:rPr>
      <w:sz w:val="18"/>
      <w:szCs w:val="20"/>
    </w:rPr>
  </w:style>
  <w:style w:type="character" w:styleId="FootnoteReference">
    <w:name w:val="footnote reference"/>
    <w:basedOn w:val="DefaultParagraphFont"/>
    <w:uiPriority w:val="99"/>
    <w:rsid w:val="00FE198B"/>
    <w:rPr>
      <w:vertAlign w:val="superscript"/>
    </w:rPr>
  </w:style>
  <w:style w:type="paragraph" w:styleId="Caption">
    <w:name w:val="caption"/>
    <w:basedOn w:val="Normal"/>
    <w:next w:val="Normal"/>
    <w:uiPriority w:val="20"/>
    <w:qFormat/>
    <w:rsid w:val="00FE198B"/>
    <w:pPr>
      <w:spacing w:after="120" w:line="240" w:lineRule="auto"/>
    </w:pPr>
    <w:rPr>
      <w:iCs/>
      <w:color w:val="595959" w:themeColor="text1" w:themeTint="A6"/>
      <w:sz w:val="16"/>
      <w:szCs w:val="18"/>
    </w:rPr>
  </w:style>
  <w:style w:type="paragraph" w:styleId="NoteHeading">
    <w:name w:val="Note Heading"/>
    <w:basedOn w:val="Normal"/>
    <w:next w:val="Normal"/>
    <w:link w:val="NoteHeadingChar"/>
    <w:uiPriority w:val="20"/>
    <w:semiHidden/>
    <w:rsid w:val="00FE198B"/>
    <w:pPr>
      <w:spacing w:before="60" w:line="240" w:lineRule="auto"/>
    </w:pPr>
    <w:rPr>
      <w:sz w:val="18"/>
    </w:rPr>
  </w:style>
  <w:style w:type="character" w:customStyle="1" w:styleId="NoteHeadingChar">
    <w:name w:val="Note Heading Char"/>
    <w:basedOn w:val="DefaultParagraphFont"/>
    <w:link w:val="NoteHeading"/>
    <w:uiPriority w:val="20"/>
    <w:semiHidden/>
    <w:rsid w:val="00FE198B"/>
    <w:rPr>
      <w:sz w:val="18"/>
    </w:rPr>
  </w:style>
  <w:style w:type="paragraph" w:styleId="IntenseQuote">
    <w:name w:val="Intense Quote"/>
    <w:basedOn w:val="Normal"/>
    <w:next w:val="Normal"/>
    <w:link w:val="IntenseQuoteChar"/>
    <w:uiPriority w:val="30"/>
    <w:qFormat/>
    <w:locked/>
    <w:rsid w:val="00FE198B"/>
    <w:pPr>
      <w:spacing w:before="240"/>
    </w:pPr>
    <w:rPr>
      <w:b/>
      <w:iCs/>
      <w:color w:val="47A843" w:themeColor="accent1"/>
      <w:sz w:val="26"/>
    </w:rPr>
  </w:style>
  <w:style w:type="character" w:customStyle="1" w:styleId="IntenseQuoteChar">
    <w:name w:val="Intense Quote Char"/>
    <w:basedOn w:val="DefaultParagraphFont"/>
    <w:link w:val="IntenseQuote"/>
    <w:uiPriority w:val="30"/>
    <w:rsid w:val="00FE198B"/>
    <w:rPr>
      <w:b/>
      <w:iCs/>
      <w:color w:val="47A843" w:themeColor="accent1"/>
      <w:sz w:val="26"/>
    </w:rPr>
  </w:style>
  <w:style w:type="paragraph" w:styleId="Salutation">
    <w:name w:val="Salutation"/>
    <w:basedOn w:val="Normal"/>
    <w:next w:val="Normal"/>
    <w:link w:val="SalutationChar"/>
    <w:uiPriority w:val="34"/>
    <w:semiHidden/>
    <w:rsid w:val="00FE198B"/>
    <w:pPr>
      <w:spacing w:before="0" w:after="0"/>
    </w:pPr>
    <w:rPr>
      <w:b/>
    </w:rPr>
  </w:style>
  <w:style w:type="character" w:customStyle="1" w:styleId="SalutationChar">
    <w:name w:val="Salutation Char"/>
    <w:basedOn w:val="DefaultParagraphFont"/>
    <w:link w:val="Salutation"/>
    <w:uiPriority w:val="34"/>
    <w:semiHidden/>
    <w:rsid w:val="00FE198B"/>
    <w:rPr>
      <w:b/>
    </w:rPr>
  </w:style>
  <w:style w:type="paragraph" w:styleId="Signature">
    <w:name w:val="Signature"/>
    <w:basedOn w:val="Normal"/>
    <w:link w:val="SignatureChar"/>
    <w:uiPriority w:val="34"/>
    <w:semiHidden/>
    <w:rsid w:val="00FE198B"/>
    <w:pPr>
      <w:spacing w:before="1080" w:after="0" w:line="240" w:lineRule="auto"/>
      <w:contextualSpacing/>
    </w:pPr>
  </w:style>
  <w:style w:type="character" w:customStyle="1" w:styleId="SignatureChar">
    <w:name w:val="Signature Char"/>
    <w:basedOn w:val="DefaultParagraphFont"/>
    <w:link w:val="Signature"/>
    <w:uiPriority w:val="34"/>
    <w:semiHidden/>
    <w:rsid w:val="00FE198B"/>
  </w:style>
  <w:style w:type="paragraph" w:styleId="Date">
    <w:name w:val="Date"/>
    <w:basedOn w:val="Normal"/>
    <w:next w:val="Normal"/>
    <w:link w:val="DateChar"/>
    <w:uiPriority w:val="34"/>
    <w:semiHidden/>
    <w:rsid w:val="00FE198B"/>
    <w:pPr>
      <w:spacing w:before="0" w:after="360"/>
    </w:pPr>
  </w:style>
  <w:style w:type="character" w:customStyle="1" w:styleId="DateChar">
    <w:name w:val="Date Char"/>
    <w:basedOn w:val="DefaultParagraphFont"/>
    <w:link w:val="Date"/>
    <w:uiPriority w:val="34"/>
    <w:semiHidden/>
    <w:rsid w:val="00FE198B"/>
  </w:style>
  <w:style w:type="paragraph" w:styleId="EnvelopeAddress">
    <w:name w:val="envelope address"/>
    <w:basedOn w:val="Normal"/>
    <w:uiPriority w:val="34"/>
    <w:semiHidden/>
    <w:rsid w:val="00FE198B"/>
    <w:pPr>
      <w:spacing w:before="600" w:after="600" w:line="240" w:lineRule="auto"/>
      <w:contextualSpacing/>
    </w:pPr>
    <w:rPr>
      <w:rFonts w:eastAsiaTheme="majorEastAsia" w:cstheme="majorBidi"/>
      <w:szCs w:val="24"/>
    </w:rPr>
  </w:style>
  <w:style w:type="paragraph" w:styleId="Title">
    <w:name w:val="Title"/>
    <w:basedOn w:val="Normal"/>
    <w:next w:val="Normal"/>
    <w:link w:val="TitleChar"/>
    <w:uiPriority w:val="38"/>
    <w:rsid w:val="00FE198B"/>
    <w:pPr>
      <w:spacing w:before="1680" w:after="180" w:line="240" w:lineRule="auto"/>
      <w:contextualSpacing/>
    </w:pPr>
    <w:rPr>
      <w:rFonts w:asciiTheme="majorHAnsi" w:eastAsiaTheme="majorEastAsia" w:hAnsiTheme="majorHAnsi" w:cstheme="majorBidi"/>
      <w:b/>
      <w:color w:val="auto"/>
      <w:kern w:val="28"/>
      <w:sz w:val="40"/>
      <w:szCs w:val="56"/>
    </w:rPr>
  </w:style>
  <w:style w:type="character" w:customStyle="1" w:styleId="TitleChar">
    <w:name w:val="Title Char"/>
    <w:basedOn w:val="DefaultParagraphFont"/>
    <w:link w:val="Title"/>
    <w:uiPriority w:val="38"/>
    <w:rsid w:val="00FE198B"/>
    <w:rPr>
      <w:rFonts w:asciiTheme="majorHAnsi" w:eastAsiaTheme="majorEastAsia" w:hAnsiTheme="majorHAnsi" w:cstheme="majorBidi"/>
      <w:b/>
      <w:color w:val="auto"/>
      <w:kern w:val="28"/>
      <w:sz w:val="40"/>
      <w:szCs w:val="56"/>
    </w:rPr>
  </w:style>
  <w:style w:type="paragraph" w:styleId="Subtitle">
    <w:name w:val="Subtitle"/>
    <w:basedOn w:val="Title"/>
    <w:next w:val="Normal"/>
    <w:link w:val="SubtitleChar"/>
    <w:uiPriority w:val="38"/>
    <w:rsid w:val="00FE198B"/>
    <w:pPr>
      <w:numPr>
        <w:ilvl w:val="1"/>
      </w:numPr>
      <w:spacing w:before="120" w:after="120"/>
    </w:pPr>
    <w:rPr>
      <w:rFonts w:asciiTheme="minorHAnsi" w:eastAsiaTheme="minorEastAsia" w:hAnsiTheme="minorHAnsi"/>
      <w:b w:val="0"/>
      <w:color w:val="000000" w:themeColor="text1"/>
      <w:kern w:val="0"/>
      <w:sz w:val="24"/>
      <w:szCs w:val="22"/>
    </w:rPr>
  </w:style>
  <w:style w:type="character" w:customStyle="1" w:styleId="SubtitleChar">
    <w:name w:val="Subtitle Char"/>
    <w:basedOn w:val="DefaultParagraphFont"/>
    <w:link w:val="Subtitle"/>
    <w:uiPriority w:val="38"/>
    <w:rsid w:val="00FE198B"/>
    <w:rPr>
      <w:rFonts w:eastAsiaTheme="minorEastAsia" w:cstheme="majorBidi"/>
      <w:sz w:val="24"/>
      <w:szCs w:val="22"/>
    </w:rPr>
  </w:style>
  <w:style w:type="table" w:styleId="TableGrid">
    <w:name w:val="Table Grid"/>
    <w:basedOn w:val="TableNormal"/>
    <w:uiPriority w:val="59"/>
    <w:rsid w:val="00FE198B"/>
    <w:pPr>
      <w:spacing w:before="60" w:after="60" w:line="240" w:lineRule="auto"/>
    </w:pPr>
    <w:rPr>
      <w:szCs w:val="20"/>
    </w:rPr>
    <w:tblP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Pr>
    <w:tblStylePr w:type="firstRow">
      <w:rPr>
        <w:b/>
        <w:color w:val="FFFFFF" w:themeColor="background1"/>
      </w:rPr>
      <w:tblPr/>
      <w:tcPr>
        <w:shd w:val="clear" w:color="auto" w:fill="47A843" w:themeFill="accent1"/>
      </w:tcPr>
    </w:tblStylePr>
  </w:style>
  <w:style w:type="character" w:styleId="PlaceholderText">
    <w:name w:val="Placeholder Text"/>
    <w:basedOn w:val="DefaultParagraphFont"/>
    <w:uiPriority w:val="99"/>
    <w:rsid w:val="00FE198B"/>
    <w:rPr>
      <w:noProof w:val="0"/>
      <w:color w:val="FF0000"/>
      <w:sz w:val="18"/>
      <w:lang w:val="en-AU"/>
    </w:rPr>
  </w:style>
  <w:style w:type="table" w:customStyle="1" w:styleId="TableHidden">
    <w:name w:val="Table Hidden"/>
    <w:basedOn w:val="TableNormal"/>
    <w:uiPriority w:val="99"/>
    <w:rsid w:val="00FE198B"/>
    <w:tblPr>
      <w:tblCellMar>
        <w:left w:w="0" w:type="dxa"/>
        <w:right w:w="0" w:type="dxa"/>
      </w:tblCellMar>
    </w:tblPr>
  </w:style>
  <w:style w:type="numbering" w:customStyle="1" w:styleId="AppendixList">
    <w:name w:val="Appendix List"/>
    <w:uiPriority w:val="99"/>
    <w:rsid w:val="00FE198B"/>
    <w:pPr>
      <w:numPr>
        <w:numId w:val="3"/>
      </w:numPr>
    </w:pPr>
  </w:style>
  <w:style w:type="paragraph" w:styleId="Quote">
    <w:name w:val="Quote"/>
    <w:basedOn w:val="Normal"/>
    <w:next w:val="Normal"/>
    <w:link w:val="QuoteChar"/>
    <w:uiPriority w:val="29"/>
    <w:qFormat/>
    <w:rsid w:val="00FE198B"/>
    <w:pPr>
      <w:spacing w:before="360" w:after="360"/>
      <w:ind w:left="567" w:right="567"/>
    </w:pPr>
    <w:rPr>
      <w:iCs/>
      <w:color w:val="7F7F7F" w:themeColor="text1" w:themeTint="80"/>
      <w:sz w:val="36"/>
    </w:rPr>
  </w:style>
  <w:style w:type="character" w:customStyle="1" w:styleId="QuoteChar">
    <w:name w:val="Quote Char"/>
    <w:basedOn w:val="DefaultParagraphFont"/>
    <w:link w:val="Quote"/>
    <w:uiPriority w:val="29"/>
    <w:rsid w:val="00FE198B"/>
    <w:rPr>
      <w:iCs/>
      <w:color w:val="7F7F7F" w:themeColor="text1" w:themeTint="80"/>
      <w:sz w:val="36"/>
    </w:rPr>
  </w:style>
  <w:style w:type="table" w:customStyle="1" w:styleId="TablewithOptions">
    <w:name w:val="Table with Options"/>
    <w:basedOn w:val="TableGrid"/>
    <w:uiPriority w:val="99"/>
    <w:rsid w:val="00FE198B"/>
    <w:tblPr>
      <w:tblStyleRowBandSize w:val="1"/>
    </w:tblPr>
    <w:tblStylePr w:type="firstRow">
      <w:rPr>
        <w:b/>
        <w:color w:val="FFFFFF" w:themeColor="background1"/>
      </w:rPr>
      <w:tblPr/>
      <w:trPr>
        <w:tblHeader/>
      </w:trPr>
      <w:tcPr>
        <w:shd w:val="clear" w:color="auto" w:fill="47A843" w:themeFill="accent1"/>
      </w:tcPr>
    </w:tblStylePr>
    <w:tblStylePr w:type="lastRow">
      <w:rPr>
        <w:b/>
      </w:rPr>
    </w:tblStylePr>
    <w:tblStylePr w:type="firstCol">
      <w:rPr>
        <w:b/>
      </w:rPr>
    </w:tblStylePr>
    <w:tblStylePr w:type="lastCol">
      <w:pPr>
        <w:jc w:val="right"/>
      </w:pPr>
    </w:tblStylePr>
    <w:tblStylePr w:type="band2Horz">
      <w:tblPr/>
      <w:tcPr>
        <w:shd w:val="clear" w:color="auto" w:fill="D8EFD7" w:themeFill="accent1" w:themeFillTint="33"/>
      </w:tcPr>
    </w:tblStylePr>
  </w:style>
  <w:style w:type="paragraph" w:styleId="TOCHeading">
    <w:name w:val="TOC Heading"/>
    <w:basedOn w:val="Heading1"/>
    <w:next w:val="Normal"/>
    <w:uiPriority w:val="39"/>
    <w:rsid w:val="00FE198B"/>
    <w:pPr>
      <w:numPr>
        <w:numId w:val="0"/>
      </w:numPr>
      <w:pBdr>
        <w:bottom w:val="none" w:sz="0" w:space="0" w:color="auto"/>
      </w:pBdr>
      <w:spacing w:after="600" w:line="288" w:lineRule="auto"/>
      <w:outlineLvl w:val="9"/>
    </w:pPr>
    <w:rPr>
      <w:sz w:val="36"/>
    </w:rPr>
  </w:style>
  <w:style w:type="paragraph" w:styleId="TOC1">
    <w:name w:val="toc 1"/>
    <w:basedOn w:val="Normal"/>
    <w:next w:val="Normal"/>
    <w:autoRedefine/>
    <w:uiPriority w:val="39"/>
    <w:rsid w:val="00FE198B"/>
    <w:pPr>
      <w:tabs>
        <w:tab w:val="right" w:leader="dot" w:pos="9979"/>
      </w:tabs>
      <w:spacing w:before="300" w:after="120"/>
    </w:pPr>
    <w:rPr>
      <w:b/>
    </w:rPr>
  </w:style>
  <w:style w:type="paragraph" w:styleId="TOC2">
    <w:name w:val="toc 2"/>
    <w:basedOn w:val="Normal"/>
    <w:next w:val="Normal"/>
    <w:autoRedefine/>
    <w:uiPriority w:val="39"/>
    <w:rsid w:val="00FE198B"/>
    <w:pPr>
      <w:tabs>
        <w:tab w:val="right" w:leader="dot" w:pos="9979"/>
      </w:tabs>
      <w:spacing w:before="60" w:after="60"/>
      <w:ind w:left="221"/>
    </w:pPr>
  </w:style>
  <w:style w:type="character" w:styleId="Hyperlink">
    <w:name w:val="Hyperlink"/>
    <w:basedOn w:val="DefaultParagraphFont"/>
    <w:uiPriority w:val="99"/>
    <w:unhideWhenUsed/>
    <w:rsid w:val="00FE198B"/>
    <w:rPr>
      <w:color w:val="0066BE" w:themeColor="hyperlink"/>
      <w:u w:val="single"/>
    </w:rPr>
  </w:style>
  <w:style w:type="paragraph" w:styleId="Header">
    <w:name w:val="header"/>
    <w:basedOn w:val="Normal"/>
    <w:link w:val="HeaderChar"/>
    <w:uiPriority w:val="44"/>
    <w:rsid w:val="00FE198B"/>
    <w:pPr>
      <w:tabs>
        <w:tab w:val="center" w:pos="4513"/>
        <w:tab w:val="right" w:pos="9026"/>
      </w:tabs>
      <w:spacing w:before="0" w:after="0" w:line="240" w:lineRule="auto"/>
    </w:pPr>
  </w:style>
  <w:style w:type="character" w:customStyle="1" w:styleId="HeaderChar">
    <w:name w:val="Header Char"/>
    <w:basedOn w:val="DefaultParagraphFont"/>
    <w:link w:val="Header"/>
    <w:uiPriority w:val="44"/>
    <w:rsid w:val="00FE198B"/>
  </w:style>
  <w:style w:type="paragraph" w:styleId="Footer">
    <w:name w:val="footer"/>
    <w:basedOn w:val="Normal"/>
    <w:link w:val="FooterChar"/>
    <w:uiPriority w:val="99"/>
    <w:rsid w:val="00FE198B"/>
    <w:pPr>
      <w:tabs>
        <w:tab w:val="right" w:leader="underscore" w:pos="9979"/>
      </w:tabs>
      <w:spacing w:before="0" w:after="0" w:line="240" w:lineRule="auto"/>
    </w:pPr>
    <w:rPr>
      <w:sz w:val="16"/>
    </w:rPr>
  </w:style>
  <w:style w:type="character" w:customStyle="1" w:styleId="FooterChar">
    <w:name w:val="Footer Char"/>
    <w:basedOn w:val="DefaultParagraphFont"/>
    <w:link w:val="Footer"/>
    <w:uiPriority w:val="99"/>
    <w:rsid w:val="00FE198B"/>
    <w:rPr>
      <w:sz w:val="16"/>
    </w:rPr>
  </w:style>
  <w:style w:type="paragraph" w:styleId="BodyText">
    <w:name w:val="Body Text"/>
    <w:basedOn w:val="Normal"/>
    <w:link w:val="BodyTextChar"/>
    <w:semiHidden/>
    <w:unhideWhenUsed/>
    <w:qFormat/>
    <w:locked/>
    <w:rsid w:val="00FE198B"/>
    <w:rPr>
      <w:rFonts w:ascii="Arial" w:hAnsi="Arial"/>
      <w:color w:val="262626" w:themeColor="text1" w:themeTint="D9"/>
    </w:rPr>
  </w:style>
  <w:style w:type="character" w:customStyle="1" w:styleId="BodyTextChar">
    <w:name w:val="Body Text Char"/>
    <w:basedOn w:val="DefaultParagraphFont"/>
    <w:link w:val="BodyText"/>
    <w:semiHidden/>
    <w:rsid w:val="00FE198B"/>
    <w:rPr>
      <w:rFonts w:ascii="Arial" w:hAnsi="Arial"/>
      <w:color w:val="262626" w:themeColor="text1" w:themeTint="D9"/>
    </w:rPr>
  </w:style>
  <w:style w:type="numbering" w:styleId="ArticleSection">
    <w:name w:val="Outline List 3"/>
    <w:basedOn w:val="NoList"/>
    <w:uiPriority w:val="99"/>
    <w:semiHidden/>
    <w:unhideWhenUsed/>
    <w:locked/>
    <w:rsid w:val="00FE198B"/>
    <w:pPr>
      <w:numPr>
        <w:numId w:val="5"/>
      </w:numPr>
    </w:pPr>
  </w:style>
  <w:style w:type="paragraph" w:styleId="Closing">
    <w:name w:val="Closing"/>
    <w:basedOn w:val="Normal"/>
    <w:link w:val="ClosingChar"/>
    <w:uiPriority w:val="99"/>
    <w:semiHidden/>
    <w:locked/>
    <w:rsid w:val="00FE198B"/>
    <w:pPr>
      <w:spacing w:before="0" w:after="0" w:line="240" w:lineRule="auto"/>
      <w:ind w:left="4252"/>
    </w:pPr>
  </w:style>
  <w:style w:type="paragraph" w:styleId="BalloonText">
    <w:name w:val="Balloon Text"/>
    <w:basedOn w:val="Normal"/>
    <w:link w:val="BalloonTextChar"/>
    <w:uiPriority w:val="99"/>
    <w:semiHidden/>
    <w:locked/>
    <w:rsid w:val="00FE198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98B"/>
    <w:rPr>
      <w:rFonts w:ascii="Segoe UI" w:hAnsi="Segoe UI" w:cs="Segoe UI"/>
      <w:sz w:val="18"/>
      <w:szCs w:val="18"/>
    </w:rPr>
  </w:style>
  <w:style w:type="character" w:styleId="PageNumber">
    <w:name w:val="page number"/>
    <w:basedOn w:val="DefaultParagraphFont"/>
    <w:uiPriority w:val="99"/>
    <w:semiHidden/>
    <w:locked/>
    <w:rsid w:val="00FE198B"/>
  </w:style>
  <w:style w:type="paragraph" w:styleId="Bibliography">
    <w:name w:val="Bibliography"/>
    <w:basedOn w:val="Normal"/>
    <w:next w:val="Normal"/>
    <w:uiPriority w:val="37"/>
    <w:semiHidden/>
    <w:locked/>
    <w:rsid w:val="00FE198B"/>
  </w:style>
  <w:style w:type="paragraph" w:styleId="BlockText">
    <w:name w:val="Block Text"/>
    <w:basedOn w:val="Normal"/>
    <w:uiPriority w:val="99"/>
    <w:semiHidden/>
    <w:locked/>
    <w:rsid w:val="00FE198B"/>
    <w:pPr>
      <w:pBdr>
        <w:top w:val="single" w:sz="2" w:space="10" w:color="47A843" w:themeColor="accent1"/>
        <w:left w:val="single" w:sz="2" w:space="10" w:color="47A843" w:themeColor="accent1"/>
        <w:bottom w:val="single" w:sz="2" w:space="10" w:color="47A843" w:themeColor="accent1"/>
        <w:right w:val="single" w:sz="2" w:space="10" w:color="47A843" w:themeColor="accent1"/>
      </w:pBdr>
      <w:ind w:left="1152" w:right="1152"/>
    </w:pPr>
    <w:rPr>
      <w:rFonts w:eastAsiaTheme="minorEastAsia"/>
      <w:i/>
      <w:iCs/>
      <w:color w:val="47A843" w:themeColor="accent1"/>
    </w:rPr>
  </w:style>
  <w:style w:type="paragraph" w:styleId="BodyText2">
    <w:name w:val="Body Text 2"/>
    <w:basedOn w:val="Normal"/>
    <w:link w:val="BodyText2Char"/>
    <w:uiPriority w:val="99"/>
    <w:semiHidden/>
    <w:locked/>
    <w:rsid w:val="00FE198B"/>
    <w:pPr>
      <w:spacing w:line="480" w:lineRule="auto"/>
    </w:pPr>
  </w:style>
  <w:style w:type="character" w:customStyle="1" w:styleId="BodyText2Char">
    <w:name w:val="Body Text 2 Char"/>
    <w:basedOn w:val="DefaultParagraphFont"/>
    <w:link w:val="BodyText2"/>
    <w:uiPriority w:val="99"/>
    <w:semiHidden/>
    <w:rsid w:val="00FE198B"/>
  </w:style>
  <w:style w:type="table" w:styleId="TableClassic1">
    <w:name w:val="Table Classic 1"/>
    <w:basedOn w:val="TableNormal"/>
    <w:uiPriority w:val="99"/>
    <w:semiHidden/>
    <w:unhideWhenUsed/>
    <w:locked/>
    <w:rsid w:val="00FE198B"/>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semiHidden/>
    <w:unhideWhenUsed/>
    <w:locked/>
    <w:rsid w:val="00FE198B"/>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martHyperlink1">
    <w:name w:val="Smart Hyperlink1"/>
    <w:basedOn w:val="DefaultParagraphFont"/>
    <w:uiPriority w:val="99"/>
    <w:semiHidden/>
    <w:locked/>
    <w:rsid w:val="00FE198B"/>
    <w:rPr>
      <w:u w:val="dotted"/>
    </w:rPr>
  </w:style>
  <w:style w:type="character" w:styleId="HTMLAcronym">
    <w:name w:val="HTML Acronym"/>
    <w:basedOn w:val="DefaultParagraphFont"/>
    <w:uiPriority w:val="99"/>
    <w:semiHidden/>
    <w:locked/>
    <w:rsid w:val="00FE198B"/>
  </w:style>
  <w:style w:type="paragraph" w:styleId="HTMLAddress">
    <w:name w:val="HTML Address"/>
    <w:basedOn w:val="Normal"/>
    <w:link w:val="HTMLAddressChar"/>
    <w:uiPriority w:val="99"/>
    <w:semiHidden/>
    <w:locked/>
    <w:rsid w:val="00FE198B"/>
    <w:pPr>
      <w:spacing w:before="0" w:after="0" w:line="240" w:lineRule="auto"/>
    </w:pPr>
    <w:rPr>
      <w:i/>
      <w:iCs/>
    </w:rPr>
  </w:style>
  <w:style w:type="character" w:customStyle="1" w:styleId="HTMLAddressChar">
    <w:name w:val="HTML Address Char"/>
    <w:basedOn w:val="DefaultParagraphFont"/>
    <w:link w:val="HTMLAddress"/>
    <w:uiPriority w:val="99"/>
    <w:semiHidden/>
    <w:rsid w:val="00FE198B"/>
    <w:rPr>
      <w:i/>
      <w:iCs/>
    </w:rPr>
  </w:style>
  <w:style w:type="character" w:styleId="HTMLCite">
    <w:name w:val="HTML Cite"/>
    <w:basedOn w:val="DefaultParagraphFont"/>
    <w:uiPriority w:val="99"/>
    <w:semiHidden/>
    <w:locked/>
    <w:rsid w:val="00FE198B"/>
    <w:rPr>
      <w:i/>
      <w:iCs/>
    </w:rPr>
  </w:style>
  <w:style w:type="character" w:styleId="Strong">
    <w:name w:val="Strong"/>
    <w:basedOn w:val="DefaultParagraphFont"/>
    <w:uiPriority w:val="22"/>
    <w:rsid w:val="00FE198B"/>
    <w:rPr>
      <w:b/>
      <w:bCs/>
    </w:rPr>
  </w:style>
  <w:style w:type="paragraph" w:styleId="ListContinue">
    <w:name w:val="List Continue"/>
    <w:basedOn w:val="Normal"/>
    <w:uiPriority w:val="17"/>
    <w:semiHidden/>
    <w:rsid w:val="00FE198B"/>
    <w:pPr>
      <w:ind w:left="283"/>
      <w:contextualSpacing/>
    </w:pPr>
  </w:style>
  <w:style w:type="paragraph" w:styleId="ListContinue2">
    <w:name w:val="List Continue 2"/>
    <w:basedOn w:val="Normal"/>
    <w:uiPriority w:val="17"/>
    <w:semiHidden/>
    <w:rsid w:val="00FE198B"/>
    <w:pPr>
      <w:ind w:left="566"/>
      <w:contextualSpacing/>
    </w:pPr>
  </w:style>
  <w:style w:type="character" w:customStyle="1" w:styleId="ClosingChar">
    <w:name w:val="Closing Char"/>
    <w:basedOn w:val="DefaultParagraphFont"/>
    <w:link w:val="Closing"/>
    <w:uiPriority w:val="99"/>
    <w:semiHidden/>
    <w:rsid w:val="00FE198B"/>
  </w:style>
  <w:style w:type="paragraph" w:styleId="BodyText3">
    <w:name w:val="Body Text 3"/>
    <w:basedOn w:val="Normal"/>
    <w:link w:val="BodyText3Char"/>
    <w:uiPriority w:val="99"/>
    <w:semiHidden/>
    <w:locked/>
    <w:rsid w:val="00FE198B"/>
    <w:rPr>
      <w:sz w:val="16"/>
      <w:szCs w:val="16"/>
    </w:rPr>
  </w:style>
  <w:style w:type="character" w:customStyle="1" w:styleId="BodyText3Char">
    <w:name w:val="Body Text 3 Char"/>
    <w:basedOn w:val="DefaultParagraphFont"/>
    <w:link w:val="BodyText3"/>
    <w:uiPriority w:val="99"/>
    <w:semiHidden/>
    <w:rsid w:val="00FE198B"/>
    <w:rPr>
      <w:sz w:val="16"/>
      <w:szCs w:val="16"/>
    </w:rPr>
  </w:style>
  <w:style w:type="paragraph" w:styleId="BodyTextFirstIndent">
    <w:name w:val="Body Text First Indent"/>
    <w:basedOn w:val="BodyText"/>
    <w:link w:val="BodyTextFirstIndentChar"/>
    <w:uiPriority w:val="99"/>
    <w:semiHidden/>
    <w:locked/>
    <w:rsid w:val="00FE198B"/>
    <w:pPr>
      <w:ind w:firstLine="360"/>
    </w:pPr>
    <w:rPr>
      <w:sz w:val="22"/>
    </w:rPr>
  </w:style>
  <w:style w:type="character" w:customStyle="1" w:styleId="BodyTextFirstIndentChar">
    <w:name w:val="Body Text First Indent Char"/>
    <w:basedOn w:val="BodyTextChar"/>
    <w:link w:val="BodyTextFirstIndent"/>
    <w:uiPriority w:val="99"/>
    <w:semiHidden/>
    <w:rsid w:val="00FE198B"/>
    <w:rPr>
      <w:rFonts w:ascii="Arial" w:hAnsi="Arial"/>
      <w:color w:val="262626" w:themeColor="text1" w:themeTint="D9"/>
      <w:sz w:val="22"/>
    </w:rPr>
  </w:style>
  <w:style w:type="paragraph" w:styleId="BodyTextIndent">
    <w:name w:val="Body Text Indent"/>
    <w:basedOn w:val="Normal"/>
    <w:link w:val="BodyTextIndentChar"/>
    <w:uiPriority w:val="99"/>
    <w:semiHidden/>
    <w:locked/>
    <w:rsid w:val="00FE198B"/>
    <w:pPr>
      <w:ind w:left="283"/>
    </w:pPr>
  </w:style>
  <w:style w:type="character" w:customStyle="1" w:styleId="BodyTextIndentChar">
    <w:name w:val="Body Text Indent Char"/>
    <w:basedOn w:val="DefaultParagraphFont"/>
    <w:link w:val="BodyTextIndent"/>
    <w:uiPriority w:val="99"/>
    <w:semiHidden/>
    <w:rsid w:val="00FE198B"/>
  </w:style>
  <w:style w:type="paragraph" w:styleId="BodyTextFirstIndent2">
    <w:name w:val="Body Text First Indent 2"/>
    <w:basedOn w:val="BodyTextIndent"/>
    <w:link w:val="BodyTextFirstIndent2Char"/>
    <w:uiPriority w:val="99"/>
    <w:semiHidden/>
    <w:locked/>
    <w:rsid w:val="00FE198B"/>
    <w:pPr>
      <w:ind w:left="360" w:firstLine="360"/>
    </w:pPr>
  </w:style>
  <w:style w:type="character" w:customStyle="1" w:styleId="BodyTextFirstIndent2Char">
    <w:name w:val="Body Text First Indent 2 Char"/>
    <w:basedOn w:val="BodyTextIndentChar"/>
    <w:link w:val="BodyTextFirstIndent2"/>
    <w:uiPriority w:val="99"/>
    <w:semiHidden/>
    <w:rsid w:val="00FE198B"/>
  </w:style>
  <w:style w:type="paragraph" w:styleId="BodyTextIndent2">
    <w:name w:val="Body Text Indent 2"/>
    <w:basedOn w:val="Normal"/>
    <w:link w:val="BodyTextIndent2Char"/>
    <w:uiPriority w:val="99"/>
    <w:semiHidden/>
    <w:locked/>
    <w:rsid w:val="00FE198B"/>
    <w:pPr>
      <w:spacing w:line="480" w:lineRule="auto"/>
      <w:ind w:left="283"/>
    </w:pPr>
  </w:style>
  <w:style w:type="character" w:customStyle="1" w:styleId="BodyTextIndent2Char">
    <w:name w:val="Body Text Indent 2 Char"/>
    <w:basedOn w:val="DefaultParagraphFont"/>
    <w:link w:val="BodyTextIndent2"/>
    <w:uiPriority w:val="99"/>
    <w:semiHidden/>
    <w:rsid w:val="00FE198B"/>
  </w:style>
  <w:style w:type="paragraph" w:styleId="BodyTextIndent3">
    <w:name w:val="Body Text Indent 3"/>
    <w:basedOn w:val="Normal"/>
    <w:link w:val="BodyTextIndent3Char"/>
    <w:uiPriority w:val="99"/>
    <w:semiHidden/>
    <w:locked/>
    <w:rsid w:val="00FE198B"/>
    <w:pPr>
      <w:ind w:left="283"/>
    </w:pPr>
    <w:rPr>
      <w:sz w:val="16"/>
      <w:szCs w:val="16"/>
    </w:rPr>
  </w:style>
  <w:style w:type="character" w:customStyle="1" w:styleId="BodyTextIndent3Char">
    <w:name w:val="Body Text Indent 3 Char"/>
    <w:basedOn w:val="DefaultParagraphFont"/>
    <w:link w:val="BodyTextIndent3"/>
    <w:uiPriority w:val="99"/>
    <w:semiHidden/>
    <w:rsid w:val="00FE198B"/>
    <w:rPr>
      <w:sz w:val="16"/>
      <w:szCs w:val="16"/>
    </w:rPr>
  </w:style>
  <w:style w:type="character" w:styleId="BookTitle">
    <w:name w:val="Book Title"/>
    <w:basedOn w:val="DefaultParagraphFont"/>
    <w:uiPriority w:val="33"/>
    <w:qFormat/>
    <w:locked/>
    <w:rsid w:val="00FE198B"/>
    <w:rPr>
      <w:b/>
      <w:bCs/>
      <w:i/>
      <w:iCs/>
      <w:spacing w:val="5"/>
    </w:rPr>
  </w:style>
  <w:style w:type="table" w:styleId="ColorfulGrid">
    <w:name w:val="Colorful Grid"/>
    <w:basedOn w:val="TableNormal"/>
    <w:uiPriority w:val="73"/>
    <w:semiHidden/>
    <w:unhideWhenUsed/>
    <w:locked/>
    <w:rsid w:val="00FE198B"/>
    <w:pPr>
      <w:spacing w:before="0"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locked/>
    <w:rsid w:val="00FE198B"/>
    <w:pPr>
      <w:spacing w:before="0" w:after="0" w:line="240" w:lineRule="auto"/>
    </w:pPr>
    <w:tblPr>
      <w:tblStyleRowBandSize w:val="1"/>
      <w:tblStyleColBandSize w:val="1"/>
      <w:tblBorders>
        <w:insideH w:val="single" w:sz="4" w:space="0" w:color="FFFFFF" w:themeColor="background1"/>
      </w:tblBorders>
    </w:tblPr>
    <w:tcPr>
      <w:shd w:val="clear" w:color="auto" w:fill="D8EFD7" w:themeFill="accent1" w:themeFillTint="33"/>
    </w:tcPr>
    <w:tblStylePr w:type="firstRow">
      <w:rPr>
        <w:b/>
        <w:bCs/>
      </w:rPr>
      <w:tblPr/>
      <w:tcPr>
        <w:shd w:val="clear" w:color="auto" w:fill="B2DFB0" w:themeFill="accent1" w:themeFillTint="66"/>
      </w:tcPr>
    </w:tblStylePr>
    <w:tblStylePr w:type="lastRow">
      <w:rPr>
        <w:b/>
        <w:bCs/>
        <w:color w:val="000000" w:themeColor="text1"/>
      </w:rPr>
      <w:tblPr/>
      <w:tcPr>
        <w:shd w:val="clear" w:color="auto" w:fill="B2DFB0" w:themeFill="accent1" w:themeFillTint="66"/>
      </w:tcPr>
    </w:tblStylePr>
    <w:tblStylePr w:type="firstCol">
      <w:rPr>
        <w:color w:val="FFFFFF" w:themeColor="background1"/>
      </w:rPr>
      <w:tblPr/>
      <w:tcPr>
        <w:shd w:val="clear" w:color="auto" w:fill="357D32" w:themeFill="accent1" w:themeFillShade="BF"/>
      </w:tcPr>
    </w:tblStylePr>
    <w:tblStylePr w:type="lastCol">
      <w:rPr>
        <w:color w:val="FFFFFF" w:themeColor="background1"/>
      </w:rPr>
      <w:tblPr/>
      <w:tcPr>
        <w:shd w:val="clear" w:color="auto" w:fill="357D32" w:themeFill="accent1" w:themeFillShade="BF"/>
      </w:tcPr>
    </w:tblStylePr>
    <w:tblStylePr w:type="band1Vert">
      <w:tblPr/>
      <w:tcPr>
        <w:shd w:val="clear" w:color="auto" w:fill="9FD89D" w:themeFill="accent1" w:themeFillTint="7F"/>
      </w:tcPr>
    </w:tblStylePr>
    <w:tblStylePr w:type="band1Horz">
      <w:tblPr/>
      <w:tcPr>
        <w:shd w:val="clear" w:color="auto" w:fill="9FD89D" w:themeFill="accent1" w:themeFillTint="7F"/>
      </w:tcPr>
    </w:tblStylePr>
  </w:style>
  <w:style w:type="table" w:styleId="ColorfulGrid-Accent2">
    <w:name w:val="Colorful Grid Accent 2"/>
    <w:basedOn w:val="TableNormal"/>
    <w:uiPriority w:val="73"/>
    <w:semiHidden/>
    <w:unhideWhenUsed/>
    <w:locked/>
    <w:rsid w:val="00FE198B"/>
    <w:pPr>
      <w:spacing w:before="0" w:after="0" w:line="240" w:lineRule="auto"/>
    </w:pPr>
    <w:tblPr>
      <w:tblStyleRowBandSize w:val="1"/>
      <w:tblStyleColBandSize w:val="1"/>
      <w:tblBorders>
        <w:insideH w:val="single" w:sz="4" w:space="0" w:color="FFFFFF" w:themeColor="background1"/>
      </w:tblBorders>
    </w:tblPr>
    <w:tcPr>
      <w:shd w:val="clear" w:color="auto" w:fill="EFF7D7" w:themeFill="accent2" w:themeFillTint="33"/>
    </w:tcPr>
    <w:tblStylePr w:type="firstRow">
      <w:rPr>
        <w:b/>
        <w:bCs/>
      </w:rPr>
      <w:tblPr/>
      <w:tcPr>
        <w:shd w:val="clear" w:color="auto" w:fill="E0EFAF" w:themeFill="accent2" w:themeFillTint="66"/>
      </w:tcPr>
    </w:tblStylePr>
    <w:tblStylePr w:type="lastRow">
      <w:rPr>
        <w:b/>
        <w:bCs/>
        <w:color w:val="000000" w:themeColor="text1"/>
      </w:rPr>
      <w:tblPr/>
      <w:tcPr>
        <w:shd w:val="clear" w:color="auto" w:fill="E0EFAF" w:themeFill="accent2" w:themeFillTint="66"/>
      </w:tcPr>
    </w:tblStylePr>
    <w:tblStylePr w:type="firstCol">
      <w:rPr>
        <w:color w:val="FFFFFF" w:themeColor="background1"/>
      </w:rPr>
      <w:tblPr/>
      <w:tcPr>
        <w:shd w:val="clear" w:color="auto" w:fill="89AB22" w:themeFill="accent2" w:themeFillShade="BF"/>
      </w:tcPr>
    </w:tblStylePr>
    <w:tblStylePr w:type="lastCol">
      <w:rPr>
        <w:color w:val="FFFFFF" w:themeColor="background1"/>
      </w:rPr>
      <w:tblPr/>
      <w:tcPr>
        <w:shd w:val="clear" w:color="auto" w:fill="89AB22" w:themeFill="accent2" w:themeFillShade="BF"/>
      </w:tcPr>
    </w:tblStylePr>
    <w:tblStylePr w:type="band1Vert">
      <w:tblPr/>
      <w:tcPr>
        <w:shd w:val="clear" w:color="auto" w:fill="D8EB9C" w:themeFill="accent2" w:themeFillTint="7F"/>
      </w:tcPr>
    </w:tblStylePr>
    <w:tblStylePr w:type="band1Horz">
      <w:tblPr/>
      <w:tcPr>
        <w:shd w:val="clear" w:color="auto" w:fill="D8EB9C" w:themeFill="accent2" w:themeFillTint="7F"/>
      </w:tcPr>
    </w:tblStylePr>
  </w:style>
  <w:style w:type="table" w:styleId="ColorfulGrid-Accent3">
    <w:name w:val="Colorful Grid Accent 3"/>
    <w:basedOn w:val="TableNormal"/>
    <w:uiPriority w:val="73"/>
    <w:semiHidden/>
    <w:unhideWhenUsed/>
    <w:locked/>
    <w:rsid w:val="00FE198B"/>
    <w:pPr>
      <w:spacing w:before="0" w:after="0" w:line="240" w:lineRule="auto"/>
    </w:pPr>
    <w:tblPr>
      <w:tblStyleRowBandSize w:val="1"/>
      <w:tblStyleColBandSize w:val="1"/>
      <w:tblBorders>
        <w:insideH w:val="single" w:sz="4" w:space="0" w:color="FFFFFF" w:themeColor="background1"/>
      </w:tblBorders>
    </w:tblPr>
    <w:tcPr>
      <w:shd w:val="clear" w:color="auto" w:fill="BFE1FF" w:themeFill="accent3" w:themeFillTint="33"/>
    </w:tcPr>
    <w:tblStylePr w:type="firstRow">
      <w:rPr>
        <w:b/>
        <w:bCs/>
      </w:rPr>
      <w:tblPr/>
      <w:tcPr>
        <w:shd w:val="clear" w:color="auto" w:fill="7FC3FF" w:themeFill="accent3" w:themeFillTint="66"/>
      </w:tcPr>
    </w:tblStylePr>
    <w:tblStylePr w:type="lastRow">
      <w:rPr>
        <w:b/>
        <w:bCs/>
        <w:color w:val="000000" w:themeColor="text1"/>
      </w:rPr>
      <w:tblPr/>
      <w:tcPr>
        <w:shd w:val="clear" w:color="auto" w:fill="7FC3FF" w:themeFill="accent3" w:themeFillTint="66"/>
      </w:tcPr>
    </w:tblStylePr>
    <w:tblStylePr w:type="firstCol">
      <w:rPr>
        <w:color w:val="FFFFFF" w:themeColor="background1"/>
      </w:rPr>
      <w:tblPr/>
      <w:tcPr>
        <w:shd w:val="clear" w:color="auto" w:fill="004B8E" w:themeFill="accent3" w:themeFillShade="BF"/>
      </w:tcPr>
    </w:tblStylePr>
    <w:tblStylePr w:type="lastCol">
      <w:rPr>
        <w:color w:val="FFFFFF" w:themeColor="background1"/>
      </w:rPr>
      <w:tblPr/>
      <w:tcPr>
        <w:shd w:val="clear" w:color="auto" w:fill="004B8E" w:themeFill="accent3" w:themeFillShade="BF"/>
      </w:tcPr>
    </w:tblStylePr>
    <w:tblStylePr w:type="band1Vert">
      <w:tblPr/>
      <w:tcPr>
        <w:shd w:val="clear" w:color="auto" w:fill="5FB4FF" w:themeFill="accent3" w:themeFillTint="7F"/>
      </w:tcPr>
    </w:tblStylePr>
    <w:tblStylePr w:type="band1Horz">
      <w:tblPr/>
      <w:tcPr>
        <w:shd w:val="clear" w:color="auto" w:fill="5FB4FF" w:themeFill="accent3" w:themeFillTint="7F"/>
      </w:tcPr>
    </w:tblStylePr>
  </w:style>
  <w:style w:type="table" w:styleId="ColorfulGrid-Accent4">
    <w:name w:val="Colorful Grid Accent 4"/>
    <w:basedOn w:val="TableNormal"/>
    <w:uiPriority w:val="73"/>
    <w:semiHidden/>
    <w:unhideWhenUsed/>
    <w:locked/>
    <w:rsid w:val="00FE198B"/>
    <w:pPr>
      <w:spacing w:before="0" w:after="0" w:line="240" w:lineRule="auto"/>
    </w:pPr>
    <w:tblPr>
      <w:tblStyleRowBandSize w:val="1"/>
      <w:tblStyleColBandSize w:val="1"/>
      <w:tblBorders>
        <w:insideH w:val="single" w:sz="4" w:space="0" w:color="FFFFFF" w:themeColor="background1"/>
      </w:tblBorders>
    </w:tblPr>
    <w:tcPr>
      <w:shd w:val="clear" w:color="auto" w:fill="FBE2D2" w:themeFill="accent4" w:themeFillTint="33"/>
    </w:tcPr>
    <w:tblStylePr w:type="firstRow">
      <w:rPr>
        <w:b/>
        <w:bCs/>
      </w:rPr>
      <w:tblPr/>
      <w:tcPr>
        <w:shd w:val="clear" w:color="auto" w:fill="F7C5A6" w:themeFill="accent4" w:themeFillTint="66"/>
      </w:tcPr>
    </w:tblStylePr>
    <w:tblStylePr w:type="lastRow">
      <w:rPr>
        <w:b/>
        <w:bCs/>
        <w:color w:val="000000" w:themeColor="text1"/>
      </w:rPr>
      <w:tblPr/>
      <w:tcPr>
        <w:shd w:val="clear" w:color="auto" w:fill="F7C5A6" w:themeFill="accent4" w:themeFillTint="66"/>
      </w:tcPr>
    </w:tblStylePr>
    <w:tblStylePr w:type="firstCol">
      <w:rPr>
        <w:color w:val="FFFFFF" w:themeColor="background1"/>
      </w:rPr>
      <w:tblPr/>
      <w:tcPr>
        <w:shd w:val="clear" w:color="auto" w:fill="BA5010" w:themeFill="accent4" w:themeFillShade="BF"/>
      </w:tcPr>
    </w:tblStylePr>
    <w:tblStylePr w:type="lastCol">
      <w:rPr>
        <w:color w:val="FFFFFF" w:themeColor="background1"/>
      </w:rPr>
      <w:tblPr/>
      <w:tcPr>
        <w:shd w:val="clear" w:color="auto" w:fill="BA5010" w:themeFill="accent4" w:themeFillShade="BF"/>
      </w:tcPr>
    </w:tblStylePr>
    <w:tblStylePr w:type="band1Vert">
      <w:tblPr/>
      <w:tcPr>
        <w:shd w:val="clear" w:color="auto" w:fill="F5B791" w:themeFill="accent4" w:themeFillTint="7F"/>
      </w:tcPr>
    </w:tblStylePr>
    <w:tblStylePr w:type="band1Horz">
      <w:tblPr/>
      <w:tcPr>
        <w:shd w:val="clear" w:color="auto" w:fill="F5B791" w:themeFill="accent4" w:themeFillTint="7F"/>
      </w:tcPr>
    </w:tblStylePr>
  </w:style>
  <w:style w:type="table" w:styleId="ColorfulGrid-Accent5">
    <w:name w:val="Colorful Grid Accent 5"/>
    <w:basedOn w:val="TableNormal"/>
    <w:uiPriority w:val="73"/>
    <w:semiHidden/>
    <w:unhideWhenUsed/>
    <w:locked/>
    <w:rsid w:val="00FE198B"/>
    <w:pPr>
      <w:spacing w:before="0" w:after="0" w:line="240" w:lineRule="auto"/>
    </w:pPr>
    <w:tblPr>
      <w:tblStyleRowBandSize w:val="1"/>
      <w:tblStyleColBandSize w:val="1"/>
      <w:tblBorders>
        <w:insideH w:val="single" w:sz="4" w:space="0" w:color="FFFFFF" w:themeColor="background1"/>
      </w:tblBorders>
    </w:tblPr>
    <w:tcPr>
      <w:shd w:val="clear" w:color="auto" w:fill="F8D4D4" w:themeFill="accent5" w:themeFillTint="33"/>
    </w:tcPr>
    <w:tblStylePr w:type="firstRow">
      <w:rPr>
        <w:b/>
        <w:bCs/>
      </w:rPr>
      <w:tblPr/>
      <w:tcPr>
        <w:shd w:val="clear" w:color="auto" w:fill="F2A9A9" w:themeFill="accent5" w:themeFillTint="66"/>
      </w:tcPr>
    </w:tblStylePr>
    <w:tblStylePr w:type="lastRow">
      <w:rPr>
        <w:b/>
        <w:bCs/>
        <w:color w:val="000000" w:themeColor="text1"/>
      </w:rPr>
      <w:tblPr/>
      <w:tcPr>
        <w:shd w:val="clear" w:color="auto" w:fill="F2A9A9" w:themeFill="accent5" w:themeFillTint="66"/>
      </w:tcPr>
    </w:tblStylePr>
    <w:tblStylePr w:type="firstCol">
      <w:rPr>
        <w:color w:val="FFFFFF" w:themeColor="background1"/>
      </w:rPr>
      <w:tblPr/>
      <w:tcPr>
        <w:shd w:val="clear" w:color="auto" w:fill="AC1A1A" w:themeFill="accent5" w:themeFillShade="BF"/>
      </w:tcPr>
    </w:tblStylePr>
    <w:tblStylePr w:type="lastCol">
      <w:rPr>
        <w:color w:val="FFFFFF" w:themeColor="background1"/>
      </w:rPr>
      <w:tblPr/>
      <w:tcPr>
        <w:shd w:val="clear" w:color="auto" w:fill="AC1A1A" w:themeFill="accent5" w:themeFillShade="BF"/>
      </w:tcPr>
    </w:tblStylePr>
    <w:tblStylePr w:type="band1Vert">
      <w:tblPr/>
      <w:tcPr>
        <w:shd w:val="clear" w:color="auto" w:fill="EF9494" w:themeFill="accent5" w:themeFillTint="7F"/>
      </w:tcPr>
    </w:tblStylePr>
    <w:tblStylePr w:type="band1Horz">
      <w:tblPr/>
      <w:tcPr>
        <w:shd w:val="clear" w:color="auto" w:fill="EF9494" w:themeFill="accent5" w:themeFillTint="7F"/>
      </w:tcPr>
    </w:tblStylePr>
  </w:style>
  <w:style w:type="table" w:styleId="ColorfulGrid-Accent6">
    <w:name w:val="Colorful Grid Accent 6"/>
    <w:basedOn w:val="TableNormal"/>
    <w:uiPriority w:val="73"/>
    <w:semiHidden/>
    <w:unhideWhenUsed/>
    <w:locked/>
    <w:rsid w:val="00FE198B"/>
    <w:pPr>
      <w:spacing w:before="0" w:after="0" w:line="240" w:lineRule="auto"/>
    </w:pPr>
    <w:tblPr>
      <w:tblStyleRowBandSize w:val="1"/>
      <w:tblStyleColBandSize w:val="1"/>
      <w:tblBorders>
        <w:insideH w:val="single" w:sz="4" w:space="0" w:color="FFFFFF" w:themeColor="background1"/>
      </w:tblBorders>
    </w:tblPr>
    <w:tcPr>
      <w:shd w:val="clear" w:color="auto" w:fill="D8CFF0" w:themeFill="accent6" w:themeFillTint="33"/>
    </w:tcPr>
    <w:tblStylePr w:type="firstRow">
      <w:rPr>
        <w:b/>
        <w:bCs/>
      </w:rPr>
      <w:tblPr/>
      <w:tcPr>
        <w:shd w:val="clear" w:color="auto" w:fill="B2A0E1" w:themeFill="accent6" w:themeFillTint="66"/>
      </w:tcPr>
    </w:tblStylePr>
    <w:tblStylePr w:type="lastRow">
      <w:rPr>
        <w:b/>
        <w:bCs/>
        <w:color w:val="000000" w:themeColor="text1"/>
      </w:rPr>
      <w:tblPr/>
      <w:tcPr>
        <w:shd w:val="clear" w:color="auto" w:fill="B2A0E1" w:themeFill="accent6" w:themeFillTint="66"/>
      </w:tcPr>
    </w:tblStylePr>
    <w:tblStylePr w:type="firstCol">
      <w:rPr>
        <w:color w:val="FFFFFF" w:themeColor="background1"/>
      </w:rPr>
      <w:tblPr/>
      <w:tcPr>
        <w:shd w:val="clear" w:color="auto" w:fill="392471" w:themeFill="accent6" w:themeFillShade="BF"/>
      </w:tcPr>
    </w:tblStylePr>
    <w:tblStylePr w:type="lastCol">
      <w:rPr>
        <w:color w:val="FFFFFF" w:themeColor="background1"/>
      </w:rPr>
      <w:tblPr/>
      <w:tcPr>
        <w:shd w:val="clear" w:color="auto" w:fill="392471" w:themeFill="accent6" w:themeFillShade="BF"/>
      </w:tcPr>
    </w:tblStylePr>
    <w:tblStylePr w:type="band1Vert">
      <w:tblPr/>
      <w:tcPr>
        <w:shd w:val="clear" w:color="auto" w:fill="9F89D9" w:themeFill="accent6" w:themeFillTint="7F"/>
      </w:tcPr>
    </w:tblStylePr>
    <w:tblStylePr w:type="band1Horz">
      <w:tblPr/>
      <w:tcPr>
        <w:shd w:val="clear" w:color="auto" w:fill="9F89D9" w:themeFill="accent6" w:themeFillTint="7F"/>
      </w:tcPr>
    </w:tblStylePr>
  </w:style>
  <w:style w:type="table" w:styleId="ColorfulList">
    <w:name w:val="Colorful List"/>
    <w:basedOn w:val="TableNormal"/>
    <w:uiPriority w:val="72"/>
    <w:semiHidden/>
    <w:unhideWhenUsed/>
    <w:locked/>
    <w:rsid w:val="00FE198B"/>
    <w:pPr>
      <w:spacing w:before="0"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3B624" w:themeFill="accent2" w:themeFillShade="CC"/>
      </w:tcPr>
    </w:tblStylePr>
    <w:tblStylePr w:type="lastRow">
      <w:rPr>
        <w:b/>
        <w:bCs/>
        <w:color w:val="93B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locked/>
    <w:rsid w:val="00FE198B"/>
    <w:pPr>
      <w:spacing w:before="0" w:after="0" w:line="240" w:lineRule="auto"/>
    </w:pPr>
    <w:tblPr>
      <w:tblStyleRowBandSize w:val="1"/>
      <w:tblStyleColBandSize w:val="1"/>
    </w:tblPr>
    <w:tcPr>
      <w:shd w:val="clear" w:color="auto" w:fill="ECF7EB" w:themeFill="accent1" w:themeFillTint="19"/>
    </w:tcPr>
    <w:tblStylePr w:type="firstRow">
      <w:rPr>
        <w:b/>
        <w:bCs/>
        <w:color w:val="FFFFFF" w:themeColor="background1"/>
      </w:rPr>
      <w:tblPr/>
      <w:tcPr>
        <w:tcBorders>
          <w:bottom w:val="single" w:sz="12" w:space="0" w:color="FFFFFF" w:themeColor="background1"/>
        </w:tcBorders>
        <w:shd w:val="clear" w:color="auto" w:fill="93B624" w:themeFill="accent2" w:themeFillShade="CC"/>
      </w:tcPr>
    </w:tblStylePr>
    <w:tblStylePr w:type="lastRow">
      <w:rPr>
        <w:b/>
        <w:bCs/>
        <w:color w:val="93B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BCE" w:themeFill="accent1" w:themeFillTint="3F"/>
      </w:tcPr>
    </w:tblStylePr>
    <w:tblStylePr w:type="band1Horz">
      <w:tblPr/>
      <w:tcPr>
        <w:shd w:val="clear" w:color="auto" w:fill="D8EFD7" w:themeFill="accent1" w:themeFillTint="33"/>
      </w:tcPr>
    </w:tblStylePr>
  </w:style>
  <w:style w:type="table" w:styleId="ColorfulList-Accent2">
    <w:name w:val="Colorful List Accent 2"/>
    <w:basedOn w:val="TableNormal"/>
    <w:uiPriority w:val="72"/>
    <w:semiHidden/>
    <w:unhideWhenUsed/>
    <w:locked/>
    <w:rsid w:val="00FE198B"/>
    <w:pPr>
      <w:spacing w:before="0" w:after="0" w:line="240" w:lineRule="auto"/>
    </w:pPr>
    <w:tblPr>
      <w:tblStyleRowBandSize w:val="1"/>
      <w:tblStyleColBandSize w:val="1"/>
    </w:tblPr>
    <w:tcPr>
      <w:shd w:val="clear" w:color="auto" w:fill="F7FBEB" w:themeFill="accent2" w:themeFillTint="19"/>
    </w:tcPr>
    <w:tblStylePr w:type="firstRow">
      <w:rPr>
        <w:b/>
        <w:bCs/>
        <w:color w:val="FFFFFF" w:themeColor="background1"/>
      </w:rPr>
      <w:tblPr/>
      <w:tcPr>
        <w:tcBorders>
          <w:bottom w:val="single" w:sz="12" w:space="0" w:color="FFFFFF" w:themeColor="background1"/>
        </w:tcBorders>
        <w:shd w:val="clear" w:color="auto" w:fill="93B624" w:themeFill="accent2" w:themeFillShade="CC"/>
      </w:tcPr>
    </w:tblStylePr>
    <w:tblStylePr w:type="lastRow">
      <w:rPr>
        <w:b/>
        <w:bCs/>
        <w:color w:val="93B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5CE" w:themeFill="accent2" w:themeFillTint="3F"/>
      </w:tcPr>
    </w:tblStylePr>
    <w:tblStylePr w:type="band1Horz">
      <w:tblPr/>
      <w:tcPr>
        <w:shd w:val="clear" w:color="auto" w:fill="EFF7D7" w:themeFill="accent2" w:themeFillTint="33"/>
      </w:tcPr>
    </w:tblStylePr>
  </w:style>
  <w:style w:type="table" w:styleId="ColorfulList-Accent3">
    <w:name w:val="Colorful List Accent 3"/>
    <w:basedOn w:val="TableNormal"/>
    <w:uiPriority w:val="72"/>
    <w:semiHidden/>
    <w:unhideWhenUsed/>
    <w:locked/>
    <w:rsid w:val="00FE198B"/>
    <w:pPr>
      <w:spacing w:before="0" w:after="0" w:line="240" w:lineRule="auto"/>
    </w:pPr>
    <w:tblPr>
      <w:tblStyleRowBandSize w:val="1"/>
      <w:tblStyleColBandSize w:val="1"/>
    </w:tblPr>
    <w:tcPr>
      <w:shd w:val="clear" w:color="auto" w:fill="DFF0FF" w:themeFill="accent3" w:themeFillTint="19"/>
    </w:tcPr>
    <w:tblStylePr w:type="firstRow">
      <w:rPr>
        <w:b/>
        <w:bCs/>
        <w:color w:val="FFFFFF" w:themeColor="background1"/>
      </w:rPr>
      <w:tblPr/>
      <w:tcPr>
        <w:tcBorders>
          <w:bottom w:val="single" w:sz="12" w:space="0" w:color="FFFFFF" w:themeColor="background1"/>
        </w:tcBorders>
        <w:shd w:val="clear" w:color="auto" w:fill="C75611" w:themeFill="accent4" w:themeFillShade="CC"/>
      </w:tcPr>
    </w:tblStylePr>
    <w:tblStylePr w:type="lastRow">
      <w:rPr>
        <w:b/>
        <w:bCs/>
        <w:color w:val="C7561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D9FF" w:themeFill="accent3" w:themeFillTint="3F"/>
      </w:tcPr>
    </w:tblStylePr>
    <w:tblStylePr w:type="band1Horz">
      <w:tblPr/>
      <w:tcPr>
        <w:shd w:val="clear" w:color="auto" w:fill="BFE1FF" w:themeFill="accent3" w:themeFillTint="33"/>
      </w:tcPr>
    </w:tblStylePr>
  </w:style>
  <w:style w:type="table" w:styleId="ColorfulList-Accent4">
    <w:name w:val="Colorful List Accent 4"/>
    <w:basedOn w:val="TableNormal"/>
    <w:uiPriority w:val="72"/>
    <w:semiHidden/>
    <w:unhideWhenUsed/>
    <w:locked/>
    <w:rsid w:val="00FE198B"/>
    <w:pPr>
      <w:spacing w:before="0" w:after="0" w:line="240" w:lineRule="auto"/>
    </w:pPr>
    <w:tblPr>
      <w:tblStyleRowBandSize w:val="1"/>
      <w:tblStyleColBandSize w:val="1"/>
    </w:tblPr>
    <w:tcPr>
      <w:shd w:val="clear" w:color="auto" w:fill="FDF0E9" w:themeFill="accent4" w:themeFillTint="19"/>
    </w:tcPr>
    <w:tblStylePr w:type="firstRow">
      <w:rPr>
        <w:b/>
        <w:bCs/>
        <w:color w:val="FFFFFF" w:themeColor="background1"/>
      </w:rPr>
      <w:tblPr/>
      <w:tcPr>
        <w:tcBorders>
          <w:bottom w:val="single" w:sz="12" w:space="0" w:color="FFFFFF" w:themeColor="background1"/>
        </w:tcBorders>
        <w:shd w:val="clear" w:color="auto" w:fill="005198" w:themeFill="accent3" w:themeFillShade="CC"/>
      </w:tcPr>
    </w:tblStylePr>
    <w:tblStylePr w:type="lastRow">
      <w:rPr>
        <w:b/>
        <w:bCs/>
        <w:color w:val="00519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BC8" w:themeFill="accent4" w:themeFillTint="3F"/>
      </w:tcPr>
    </w:tblStylePr>
    <w:tblStylePr w:type="band1Horz">
      <w:tblPr/>
      <w:tcPr>
        <w:shd w:val="clear" w:color="auto" w:fill="FBE2D2" w:themeFill="accent4" w:themeFillTint="33"/>
      </w:tcPr>
    </w:tblStylePr>
  </w:style>
  <w:style w:type="table" w:styleId="ColorfulList-Accent5">
    <w:name w:val="Colorful List Accent 5"/>
    <w:basedOn w:val="TableNormal"/>
    <w:uiPriority w:val="72"/>
    <w:semiHidden/>
    <w:unhideWhenUsed/>
    <w:locked/>
    <w:rsid w:val="00FE198B"/>
    <w:pPr>
      <w:spacing w:before="0" w:after="0" w:line="240" w:lineRule="auto"/>
    </w:pPr>
    <w:tblPr>
      <w:tblStyleRowBandSize w:val="1"/>
      <w:tblStyleColBandSize w:val="1"/>
    </w:tblPr>
    <w:tcPr>
      <w:shd w:val="clear" w:color="auto" w:fill="FBE9E9" w:themeFill="accent5" w:themeFillTint="19"/>
    </w:tcPr>
    <w:tblStylePr w:type="firstRow">
      <w:rPr>
        <w:b/>
        <w:bCs/>
        <w:color w:val="FFFFFF" w:themeColor="background1"/>
      </w:rPr>
      <w:tblPr/>
      <w:tcPr>
        <w:tcBorders>
          <w:bottom w:val="single" w:sz="12" w:space="0" w:color="FFFFFF" w:themeColor="background1"/>
        </w:tcBorders>
        <w:shd w:val="clear" w:color="auto" w:fill="3D2678" w:themeFill="accent6" w:themeFillShade="CC"/>
      </w:tcPr>
    </w:tblStylePr>
    <w:tblStylePr w:type="lastRow">
      <w:rPr>
        <w:b/>
        <w:bCs/>
        <w:color w:val="3D267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ACA" w:themeFill="accent5" w:themeFillTint="3F"/>
      </w:tcPr>
    </w:tblStylePr>
    <w:tblStylePr w:type="band1Horz">
      <w:tblPr/>
      <w:tcPr>
        <w:shd w:val="clear" w:color="auto" w:fill="F8D4D4" w:themeFill="accent5" w:themeFillTint="33"/>
      </w:tcPr>
    </w:tblStylePr>
  </w:style>
  <w:style w:type="table" w:styleId="ColorfulList-Accent6">
    <w:name w:val="Colorful List Accent 6"/>
    <w:basedOn w:val="TableNormal"/>
    <w:uiPriority w:val="72"/>
    <w:semiHidden/>
    <w:unhideWhenUsed/>
    <w:locked/>
    <w:rsid w:val="00FE198B"/>
    <w:pPr>
      <w:spacing w:before="0" w:after="0" w:line="240" w:lineRule="auto"/>
    </w:pPr>
    <w:tblPr>
      <w:tblStyleRowBandSize w:val="1"/>
      <w:tblStyleColBandSize w:val="1"/>
    </w:tblPr>
    <w:tcPr>
      <w:shd w:val="clear" w:color="auto" w:fill="ECE7F7" w:themeFill="accent6" w:themeFillTint="19"/>
    </w:tcPr>
    <w:tblStylePr w:type="firstRow">
      <w:rPr>
        <w:b/>
        <w:bCs/>
        <w:color w:val="FFFFFF" w:themeColor="background1"/>
      </w:rPr>
      <w:tblPr/>
      <w:tcPr>
        <w:tcBorders>
          <w:bottom w:val="single" w:sz="12" w:space="0" w:color="FFFFFF" w:themeColor="background1"/>
        </w:tcBorders>
        <w:shd w:val="clear" w:color="auto" w:fill="B81B1B" w:themeFill="accent5" w:themeFillShade="CC"/>
      </w:tcPr>
    </w:tblStylePr>
    <w:tblStylePr w:type="lastRow">
      <w:rPr>
        <w:b/>
        <w:bCs/>
        <w:color w:val="B81B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4EC" w:themeFill="accent6" w:themeFillTint="3F"/>
      </w:tcPr>
    </w:tblStylePr>
    <w:tblStylePr w:type="band1Horz">
      <w:tblPr/>
      <w:tcPr>
        <w:shd w:val="clear" w:color="auto" w:fill="D8CFF0" w:themeFill="accent6" w:themeFillTint="33"/>
      </w:tcPr>
    </w:tblStylePr>
  </w:style>
  <w:style w:type="table" w:styleId="ColorfulShading">
    <w:name w:val="Colorful Shading"/>
    <w:basedOn w:val="TableNormal"/>
    <w:uiPriority w:val="71"/>
    <w:semiHidden/>
    <w:unhideWhenUsed/>
    <w:locked/>
    <w:rsid w:val="00FE198B"/>
    <w:pPr>
      <w:spacing w:before="0" w:after="0" w:line="240" w:lineRule="auto"/>
    </w:pPr>
    <w:tblPr>
      <w:tblStyleRowBandSize w:val="1"/>
      <w:tblStyleColBandSize w:val="1"/>
      <w:tblBorders>
        <w:top w:val="single" w:sz="24" w:space="0" w:color="B2D83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FE198B"/>
    <w:pPr>
      <w:spacing w:before="0" w:after="0" w:line="240" w:lineRule="auto"/>
    </w:pPr>
    <w:tblPr>
      <w:tblStyleRowBandSize w:val="1"/>
      <w:tblStyleColBandSize w:val="1"/>
      <w:tblBorders>
        <w:top w:val="single" w:sz="24" w:space="0" w:color="B2D83A" w:themeColor="accent2"/>
        <w:left w:val="single" w:sz="4" w:space="0" w:color="47A843" w:themeColor="accent1"/>
        <w:bottom w:val="single" w:sz="4" w:space="0" w:color="47A843" w:themeColor="accent1"/>
        <w:right w:val="single" w:sz="4" w:space="0" w:color="47A843" w:themeColor="accent1"/>
        <w:insideH w:val="single" w:sz="4" w:space="0" w:color="FFFFFF" w:themeColor="background1"/>
        <w:insideV w:val="single" w:sz="4" w:space="0" w:color="FFFFFF" w:themeColor="background1"/>
      </w:tblBorders>
    </w:tblPr>
    <w:tcPr>
      <w:shd w:val="clear" w:color="auto" w:fill="ECF7EB" w:themeFill="accent1" w:themeFillTint="19"/>
    </w:tcPr>
    <w:tblStylePr w:type="firstRow">
      <w:rPr>
        <w:b/>
        <w:bCs/>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6428" w:themeFill="accent1" w:themeFillShade="99"/>
      </w:tcPr>
    </w:tblStylePr>
    <w:tblStylePr w:type="firstCol">
      <w:rPr>
        <w:color w:val="FFFFFF" w:themeColor="background1"/>
      </w:rPr>
      <w:tblPr/>
      <w:tcPr>
        <w:tcBorders>
          <w:top w:val="nil"/>
          <w:left w:val="nil"/>
          <w:bottom w:val="nil"/>
          <w:right w:val="nil"/>
          <w:insideH w:val="single" w:sz="4" w:space="0" w:color="2A6428" w:themeColor="accent1" w:themeShade="99"/>
          <w:insideV w:val="nil"/>
        </w:tcBorders>
        <w:shd w:val="clear" w:color="auto" w:fill="2A642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A6428" w:themeFill="accent1" w:themeFillShade="99"/>
      </w:tcPr>
    </w:tblStylePr>
    <w:tblStylePr w:type="band1Vert">
      <w:tblPr/>
      <w:tcPr>
        <w:shd w:val="clear" w:color="auto" w:fill="B2DFB0" w:themeFill="accent1" w:themeFillTint="66"/>
      </w:tcPr>
    </w:tblStylePr>
    <w:tblStylePr w:type="band1Horz">
      <w:tblPr/>
      <w:tcPr>
        <w:shd w:val="clear" w:color="auto" w:fill="9FD89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locked/>
    <w:rsid w:val="00FE198B"/>
    <w:pPr>
      <w:spacing w:before="0" w:after="0" w:line="240" w:lineRule="auto"/>
    </w:pPr>
    <w:tblPr>
      <w:tblStyleRowBandSize w:val="1"/>
      <w:tblStyleColBandSize w:val="1"/>
      <w:tblBorders>
        <w:top w:val="single" w:sz="24" w:space="0" w:color="B2D83A" w:themeColor="accent2"/>
        <w:left w:val="single" w:sz="4" w:space="0" w:color="B2D83A" w:themeColor="accent2"/>
        <w:bottom w:val="single" w:sz="4" w:space="0" w:color="B2D83A" w:themeColor="accent2"/>
        <w:right w:val="single" w:sz="4" w:space="0" w:color="B2D83A" w:themeColor="accent2"/>
        <w:insideH w:val="single" w:sz="4" w:space="0" w:color="FFFFFF" w:themeColor="background1"/>
        <w:insideV w:val="single" w:sz="4" w:space="0" w:color="FFFFFF" w:themeColor="background1"/>
      </w:tblBorders>
    </w:tblPr>
    <w:tcPr>
      <w:shd w:val="clear" w:color="auto" w:fill="F7FBEB" w:themeFill="accent2" w:themeFillTint="19"/>
    </w:tcPr>
    <w:tblStylePr w:type="firstRow">
      <w:rPr>
        <w:b/>
        <w:bCs/>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891B" w:themeFill="accent2" w:themeFillShade="99"/>
      </w:tcPr>
    </w:tblStylePr>
    <w:tblStylePr w:type="firstCol">
      <w:rPr>
        <w:color w:val="FFFFFF" w:themeColor="background1"/>
      </w:rPr>
      <w:tblPr/>
      <w:tcPr>
        <w:tcBorders>
          <w:top w:val="nil"/>
          <w:left w:val="nil"/>
          <w:bottom w:val="nil"/>
          <w:right w:val="nil"/>
          <w:insideH w:val="single" w:sz="4" w:space="0" w:color="6E891B" w:themeColor="accent2" w:themeShade="99"/>
          <w:insideV w:val="nil"/>
        </w:tcBorders>
        <w:shd w:val="clear" w:color="auto" w:fill="6E89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E891B" w:themeFill="accent2" w:themeFillShade="99"/>
      </w:tcPr>
    </w:tblStylePr>
    <w:tblStylePr w:type="band1Vert">
      <w:tblPr/>
      <w:tcPr>
        <w:shd w:val="clear" w:color="auto" w:fill="E0EFAF" w:themeFill="accent2" w:themeFillTint="66"/>
      </w:tcPr>
    </w:tblStylePr>
    <w:tblStylePr w:type="band1Horz">
      <w:tblPr/>
      <w:tcPr>
        <w:shd w:val="clear" w:color="auto" w:fill="D8EB9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FE198B"/>
    <w:pPr>
      <w:spacing w:before="0" w:after="0" w:line="240" w:lineRule="auto"/>
    </w:pPr>
    <w:tblPr>
      <w:tblStyleRowBandSize w:val="1"/>
      <w:tblStyleColBandSize w:val="1"/>
      <w:tblBorders>
        <w:top w:val="single" w:sz="24" w:space="0" w:color="EC7023" w:themeColor="accent4"/>
        <w:left w:val="single" w:sz="4" w:space="0" w:color="0066BE" w:themeColor="accent3"/>
        <w:bottom w:val="single" w:sz="4" w:space="0" w:color="0066BE" w:themeColor="accent3"/>
        <w:right w:val="single" w:sz="4" w:space="0" w:color="0066BE" w:themeColor="accent3"/>
        <w:insideH w:val="single" w:sz="4" w:space="0" w:color="FFFFFF" w:themeColor="background1"/>
        <w:insideV w:val="single" w:sz="4" w:space="0" w:color="FFFFFF" w:themeColor="background1"/>
      </w:tblBorders>
    </w:tblPr>
    <w:tcPr>
      <w:shd w:val="clear" w:color="auto" w:fill="DFF0FF" w:themeFill="accent3" w:themeFillTint="19"/>
    </w:tcPr>
    <w:tblStylePr w:type="firstRow">
      <w:rPr>
        <w:b/>
        <w:bCs/>
      </w:rPr>
      <w:tblPr/>
      <w:tcPr>
        <w:tcBorders>
          <w:top w:val="nil"/>
          <w:left w:val="nil"/>
          <w:bottom w:val="single" w:sz="24" w:space="0" w:color="EC702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C72" w:themeFill="accent3" w:themeFillShade="99"/>
      </w:tcPr>
    </w:tblStylePr>
    <w:tblStylePr w:type="firstCol">
      <w:rPr>
        <w:color w:val="FFFFFF" w:themeColor="background1"/>
      </w:rPr>
      <w:tblPr/>
      <w:tcPr>
        <w:tcBorders>
          <w:top w:val="nil"/>
          <w:left w:val="nil"/>
          <w:bottom w:val="nil"/>
          <w:right w:val="nil"/>
          <w:insideH w:val="single" w:sz="4" w:space="0" w:color="003C72" w:themeColor="accent3" w:themeShade="99"/>
          <w:insideV w:val="nil"/>
        </w:tcBorders>
        <w:shd w:val="clear" w:color="auto" w:fill="003C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3C72" w:themeFill="accent3" w:themeFillShade="99"/>
      </w:tcPr>
    </w:tblStylePr>
    <w:tblStylePr w:type="band1Vert">
      <w:tblPr/>
      <w:tcPr>
        <w:shd w:val="clear" w:color="auto" w:fill="7FC3FF" w:themeFill="accent3" w:themeFillTint="66"/>
      </w:tcPr>
    </w:tblStylePr>
    <w:tblStylePr w:type="band1Horz">
      <w:tblPr/>
      <w:tcPr>
        <w:shd w:val="clear" w:color="auto" w:fill="5FB4FF" w:themeFill="accent3" w:themeFillTint="7F"/>
      </w:tcPr>
    </w:tblStylePr>
  </w:style>
  <w:style w:type="table" w:styleId="ColorfulShading-Accent4">
    <w:name w:val="Colorful Shading Accent 4"/>
    <w:basedOn w:val="TableNormal"/>
    <w:uiPriority w:val="71"/>
    <w:semiHidden/>
    <w:unhideWhenUsed/>
    <w:locked/>
    <w:rsid w:val="00FE198B"/>
    <w:pPr>
      <w:spacing w:before="0" w:after="0" w:line="240" w:lineRule="auto"/>
    </w:pPr>
    <w:tblPr>
      <w:tblStyleRowBandSize w:val="1"/>
      <w:tblStyleColBandSize w:val="1"/>
      <w:tblBorders>
        <w:top w:val="single" w:sz="24" w:space="0" w:color="0066BE" w:themeColor="accent3"/>
        <w:left w:val="single" w:sz="4" w:space="0" w:color="EC7023" w:themeColor="accent4"/>
        <w:bottom w:val="single" w:sz="4" w:space="0" w:color="EC7023" w:themeColor="accent4"/>
        <w:right w:val="single" w:sz="4" w:space="0" w:color="EC7023" w:themeColor="accent4"/>
        <w:insideH w:val="single" w:sz="4" w:space="0" w:color="FFFFFF" w:themeColor="background1"/>
        <w:insideV w:val="single" w:sz="4" w:space="0" w:color="FFFFFF" w:themeColor="background1"/>
      </w:tblBorders>
    </w:tblPr>
    <w:tcPr>
      <w:shd w:val="clear" w:color="auto" w:fill="FDF0E9" w:themeFill="accent4" w:themeFillTint="19"/>
    </w:tcPr>
    <w:tblStylePr w:type="firstRow">
      <w:rPr>
        <w:b/>
        <w:bCs/>
      </w:rPr>
      <w:tblPr/>
      <w:tcPr>
        <w:tcBorders>
          <w:top w:val="nil"/>
          <w:left w:val="nil"/>
          <w:bottom w:val="single" w:sz="24" w:space="0" w:color="0066B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400D" w:themeFill="accent4" w:themeFillShade="99"/>
      </w:tcPr>
    </w:tblStylePr>
    <w:tblStylePr w:type="firstCol">
      <w:rPr>
        <w:color w:val="FFFFFF" w:themeColor="background1"/>
      </w:rPr>
      <w:tblPr/>
      <w:tcPr>
        <w:tcBorders>
          <w:top w:val="nil"/>
          <w:left w:val="nil"/>
          <w:bottom w:val="nil"/>
          <w:right w:val="nil"/>
          <w:insideH w:val="single" w:sz="4" w:space="0" w:color="95400D" w:themeColor="accent4" w:themeShade="99"/>
          <w:insideV w:val="nil"/>
        </w:tcBorders>
        <w:shd w:val="clear" w:color="auto" w:fill="95400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400D" w:themeFill="accent4" w:themeFillShade="99"/>
      </w:tcPr>
    </w:tblStylePr>
    <w:tblStylePr w:type="band1Vert">
      <w:tblPr/>
      <w:tcPr>
        <w:shd w:val="clear" w:color="auto" w:fill="F7C5A6" w:themeFill="accent4" w:themeFillTint="66"/>
      </w:tcPr>
    </w:tblStylePr>
    <w:tblStylePr w:type="band1Horz">
      <w:tblPr/>
      <w:tcPr>
        <w:shd w:val="clear" w:color="auto" w:fill="F5B79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FE198B"/>
    <w:pPr>
      <w:spacing w:before="0" w:after="0" w:line="240" w:lineRule="auto"/>
    </w:pPr>
    <w:tblPr>
      <w:tblStyleRowBandSize w:val="1"/>
      <w:tblStyleColBandSize w:val="1"/>
      <w:tblBorders>
        <w:top w:val="single" w:sz="24" w:space="0" w:color="4D3097" w:themeColor="accent6"/>
        <w:left w:val="single" w:sz="4" w:space="0" w:color="DF2A2A" w:themeColor="accent5"/>
        <w:bottom w:val="single" w:sz="4" w:space="0" w:color="DF2A2A" w:themeColor="accent5"/>
        <w:right w:val="single" w:sz="4" w:space="0" w:color="DF2A2A" w:themeColor="accent5"/>
        <w:insideH w:val="single" w:sz="4" w:space="0" w:color="FFFFFF" w:themeColor="background1"/>
        <w:insideV w:val="single" w:sz="4" w:space="0" w:color="FFFFFF" w:themeColor="background1"/>
      </w:tblBorders>
    </w:tblPr>
    <w:tcPr>
      <w:shd w:val="clear" w:color="auto" w:fill="FBE9E9" w:themeFill="accent5" w:themeFillTint="19"/>
    </w:tcPr>
    <w:tblStylePr w:type="firstRow">
      <w:rPr>
        <w:b/>
        <w:bCs/>
      </w:rPr>
      <w:tblPr/>
      <w:tcPr>
        <w:tcBorders>
          <w:top w:val="nil"/>
          <w:left w:val="nil"/>
          <w:bottom w:val="single" w:sz="24" w:space="0" w:color="4D309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414" w:themeFill="accent5" w:themeFillShade="99"/>
      </w:tcPr>
    </w:tblStylePr>
    <w:tblStylePr w:type="firstCol">
      <w:rPr>
        <w:color w:val="FFFFFF" w:themeColor="background1"/>
      </w:rPr>
      <w:tblPr/>
      <w:tcPr>
        <w:tcBorders>
          <w:top w:val="nil"/>
          <w:left w:val="nil"/>
          <w:bottom w:val="nil"/>
          <w:right w:val="nil"/>
          <w:insideH w:val="single" w:sz="4" w:space="0" w:color="8A1414" w:themeColor="accent5" w:themeShade="99"/>
          <w:insideV w:val="nil"/>
        </w:tcBorders>
        <w:shd w:val="clear" w:color="auto" w:fill="8A141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A1414" w:themeFill="accent5" w:themeFillShade="99"/>
      </w:tcPr>
    </w:tblStylePr>
    <w:tblStylePr w:type="band1Vert">
      <w:tblPr/>
      <w:tcPr>
        <w:shd w:val="clear" w:color="auto" w:fill="F2A9A9" w:themeFill="accent5" w:themeFillTint="66"/>
      </w:tcPr>
    </w:tblStylePr>
    <w:tblStylePr w:type="band1Horz">
      <w:tblPr/>
      <w:tcPr>
        <w:shd w:val="clear" w:color="auto" w:fill="EF949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locked/>
    <w:rsid w:val="00FE198B"/>
    <w:pPr>
      <w:spacing w:before="0" w:after="0" w:line="240" w:lineRule="auto"/>
    </w:pPr>
    <w:tblPr>
      <w:tblStyleRowBandSize w:val="1"/>
      <w:tblStyleColBandSize w:val="1"/>
      <w:tblBorders>
        <w:top w:val="single" w:sz="24" w:space="0" w:color="DF2A2A" w:themeColor="accent5"/>
        <w:left w:val="single" w:sz="4" w:space="0" w:color="4D3097" w:themeColor="accent6"/>
        <w:bottom w:val="single" w:sz="4" w:space="0" w:color="4D3097" w:themeColor="accent6"/>
        <w:right w:val="single" w:sz="4" w:space="0" w:color="4D3097" w:themeColor="accent6"/>
        <w:insideH w:val="single" w:sz="4" w:space="0" w:color="FFFFFF" w:themeColor="background1"/>
        <w:insideV w:val="single" w:sz="4" w:space="0" w:color="FFFFFF" w:themeColor="background1"/>
      </w:tblBorders>
    </w:tblPr>
    <w:tcPr>
      <w:shd w:val="clear" w:color="auto" w:fill="ECE7F7" w:themeFill="accent6" w:themeFillTint="19"/>
    </w:tcPr>
    <w:tblStylePr w:type="firstRow">
      <w:rPr>
        <w:b/>
        <w:bCs/>
      </w:rPr>
      <w:tblPr/>
      <w:tcPr>
        <w:tcBorders>
          <w:top w:val="nil"/>
          <w:left w:val="nil"/>
          <w:bottom w:val="single" w:sz="24" w:space="0" w:color="DF2A2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1C5A" w:themeFill="accent6" w:themeFillShade="99"/>
      </w:tcPr>
    </w:tblStylePr>
    <w:tblStylePr w:type="firstCol">
      <w:rPr>
        <w:color w:val="FFFFFF" w:themeColor="background1"/>
      </w:rPr>
      <w:tblPr/>
      <w:tcPr>
        <w:tcBorders>
          <w:top w:val="nil"/>
          <w:left w:val="nil"/>
          <w:bottom w:val="nil"/>
          <w:right w:val="nil"/>
          <w:insideH w:val="single" w:sz="4" w:space="0" w:color="2E1C5A" w:themeColor="accent6" w:themeShade="99"/>
          <w:insideV w:val="nil"/>
        </w:tcBorders>
        <w:shd w:val="clear" w:color="auto" w:fill="2E1C5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1C5A" w:themeFill="accent6" w:themeFillShade="99"/>
      </w:tcPr>
    </w:tblStylePr>
    <w:tblStylePr w:type="band1Vert">
      <w:tblPr/>
      <w:tcPr>
        <w:shd w:val="clear" w:color="auto" w:fill="B2A0E1" w:themeFill="accent6" w:themeFillTint="66"/>
      </w:tcPr>
    </w:tblStylePr>
    <w:tblStylePr w:type="band1Horz">
      <w:tblPr/>
      <w:tcPr>
        <w:shd w:val="clear" w:color="auto" w:fill="9F89D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FE198B"/>
    <w:rPr>
      <w:sz w:val="16"/>
      <w:szCs w:val="16"/>
    </w:rPr>
  </w:style>
  <w:style w:type="paragraph" w:styleId="CommentText">
    <w:name w:val="annotation text"/>
    <w:basedOn w:val="Normal"/>
    <w:link w:val="CommentTextChar"/>
    <w:uiPriority w:val="99"/>
    <w:semiHidden/>
    <w:locked/>
    <w:rsid w:val="00FE198B"/>
    <w:pPr>
      <w:spacing w:line="240" w:lineRule="auto"/>
    </w:pPr>
    <w:rPr>
      <w:sz w:val="20"/>
      <w:szCs w:val="20"/>
    </w:rPr>
  </w:style>
  <w:style w:type="character" w:customStyle="1" w:styleId="CommentTextChar">
    <w:name w:val="Comment Text Char"/>
    <w:basedOn w:val="DefaultParagraphFont"/>
    <w:link w:val="CommentText"/>
    <w:uiPriority w:val="99"/>
    <w:semiHidden/>
    <w:rsid w:val="00FE198B"/>
    <w:rPr>
      <w:sz w:val="20"/>
      <w:szCs w:val="20"/>
    </w:rPr>
  </w:style>
  <w:style w:type="paragraph" w:styleId="CommentSubject">
    <w:name w:val="annotation subject"/>
    <w:basedOn w:val="CommentText"/>
    <w:next w:val="CommentText"/>
    <w:link w:val="CommentSubjectChar"/>
    <w:uiPriority w:val="99"/>
    <w:semiHidden/>
    <w:locked/>
    <w:rsid w:val="00FE198B"/>
    <w:rPr>
      <w:b/>
      <w:bCs/>
    </w:rPr>
  </w:style>
  <w:style w:type="character" w:customStyle="1" w:styleId="CommentSubjectChar">
    <w:name w:val="Comment Subject Char"/>
    <w:basedOn w:val="CommentTextChar"/>
    <w:link w:val="CommentSubject"/>
    <w:uiPriority w:val="99"/>
    <w:semiHidden/>
    <w:rsid w:val="00FE198B"/>
    <w:rPr>
      <w:b/>
      <w:bCs/>
      <w:sz w:val="20"/>
      <w:szCs w:val="20"/>
    </w:rPr>
  </w:style>
  <w:style w:type="table" w:styleId="DarkList">
    <w:name w:val="Dark List"/>
    <w:basedOn w:val="TableNormal"/>
    <w:uiPriority w:val="70"/>
    <w:semiHidden/>
    <w:unhideWhenUsed/>
    <w:locked/>
    <w:rsid w:val="00FE198B"/>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locked/>
    <w:rsid w:val="00FE198B"/>
    <w:pPr>
      <w:spacing w:before="0" w:after="0" w:line="240" w:lineRule="auto"/>
    </w:pPr>
    <w:rPr>
      <w:color w:val="FFFFFF" w:themeColor="background1"/>
    </w:rPr>
    <w:tblPr>
      <w:tblStyleRowBandSize w:val="1"/>
      <w:tblStyleColBandSize w:val="1"/>
    </w:tblPr>
    <w:tcPr>
      <w:shd w:val="clear" w:color="auto" w:fill="47A84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532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57D3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57D32" w:themeFill="accent1" w:themeFillShade="BF"/>
      </w:tcPr>
    </w:tblStylePr>
    <w:tblStylePr w:type="band1Vert">
      <w:tblPr/>
      <w:tcPr>
        <w:tcBorders>
          <w:top w:val="nil"/>
          <w:left w:val="nil"/>
          <w:bottom w:val="nil"/>
          <w:right w:val="nil"/>
          <w:insideH w:val="nil"/>
          <w:insideV w:val="nil"/>
        </w:tcBorders>
        <w:shd w:val="clear" w:color="auto" w:fill="357D32" w:themeFill="accent1" w:themeFillShade="BF"/>
      </w:tcPr>
    </w:tblStylePr>
    <w:tblStylePr w:type="band1Horz">
      <w:tblPr/>
      <w:tcPr>
        <w:tcBorders>
          <w:top w:val="nil"/>
          <w:left w:val="nil"/>
          <w:bottom w:val="nil"/>
          <w:right w:val="nil"/>
          <w:insideH w:val="nil"/>
          <w:insideV w:val="nil"/>
        </w:tcBorders>
        <w:shd w:val="clear" w:color="auto" w:fill="357D32" w:themeFill="accent1" w:themeFillShade="BF"/>
      </w:tcPr>
    </w:tblStylePr>
  </w:style>
  <w:style w:type="table" w:styleId="DarkList-Accent2">
    <w:name w:val="Dark List Accent 2"/>
    <w:basedOn w:val="TableNormal"/>
    <w:uiPriority w:val="70"/>
    <w:semiHidden/>
    <w:unhideWhenUsed/>
    <w:locked/>
    <w:rsid w:val="00FE198B"/>
    <w:pPr>
      <w:spacing w:before="0" w:after="0" w:line="240" w:lineRule="auto"/>
    </w:pPr>
    <w:rPr>
      <w:color w:val="FFFFFF" w:themeColor="background1"/>
    </w:rPr>
    <w:tblPr>
      <w:tblStyleRowBandSize w:val="1"/>
      <w:tblStyleColBandSize w:val="1"/>
    </w:tblPr>
    <w:tcPr>
      <w:shd w:val="clear" w:color="auto" w:fill="B2D83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71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9AB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9AB22" w:themeFill="accent2" w:themeFillShade="BF"/>
      </w:tcPr>
    </w:tblStylePr>
    <w:tblStylePr w:type="band1Vert">
      <w:tblPr/>
      <w:tcPr>
        <w:tcBorders>
          <w:top w:val="nil"/>
          <w:left w:val="nil"/>
          <w:bottom w:val="nil"/>
          <w:right w:val="nil"/>
          <w:insideH w:val="nil"/>
          <w:insideV w:val="nil"/>
        </w:tcBorders>
        <w:shd w:val="clear" w:color="auto" w:fill="89AB22" w:themeFill="accent2" w:themeFillShade="BF"/>
      </w:tcPr>
    </w:tblStylePr>
    <w:tblStylePr w:type="band1Horz">
      <w:tblPr/>
      <w:tcPr>
        <w:tcBorders>
          <w:top w:val="nil"/>
          <w:left w:val="nil"/>
          <w:bottom w:val="nil"/>
          <w:right w:val="nil"/>
          <w:insideH w:val="nil"/>
          <w:insideV w:val="nil"/>
        </w:tcBorders>
        <w:shd w:val="clear" w:color="auto" w:fill="89AB22" w:themeFill="accent2" w:themeFillShade="BF"/>
      </w:tcPr>
    </w:tblStylePr>
  </w:style>
  <w:style w:type="table" w:styleId="DarkList-Accent3">
    <w:name w:val="Dark List Accent 3"/>
    <w:basedOn w:val="TableNormal"/>
    <w:uiPriority w:val="70"/>
    <w:semiHidden/>
    <w:unhideWhenUsed/>
    <w:locked/>
    <w:rsid w:val="00FE198B"/>
    <w:pPr>
      <w:spacing w:before="0" w:after="0" w:line="240" w:lineRule="auto"/>
    </w:pPr>
    <w:rPr>
      <w:color w:val="FFFFFF" w:themeColor="background1"/>
    </w:rPr>
    <w:tblPr>
      <w:tblStyleRowBandSize w:val="1"/>
      <w:tblStyleColBandSize w:val="1"/>
    </w:tblPr>
    <w:tcPr>
      <w:shd w:val="clear" w:color="auto" w:fill="0066B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2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4B8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4B8E" w:themeFill="accent3" w:themeFillShade="BF"/>
      </w:tcPr>
    </w:tblStylePr>
    <w:tblStylePr w:type="band1Vert">
      <w:tblPr/>
      <w:tcPr>
        <w:tcBorders>
          <w:top w:val="nil"/>
          <w:left w:val="nil"/>
          <w:bottom w:val="nil"/>
          <w:right w:val="nil"/>
          <w:insideH w:val="nil"/>
          <w:insideV w:val="nil"/>
        </w:tcBorders>
        <w:shd w:val="clear" w:color="auto" w:fill="004B8E" w:themeFill="accent3" w:themeFillShade="BF"/>
      </w:tcPr>
    </w:tblStylePr>
    <w:tblStylePr w:type="band1Horz">
      <w:tblPr/>
      <w:tcPr>
        <w:tcBorders>
          <w:top w:val="nil"/>
          <w:left w:val="nil"/>
          <w:bottom w:val="nil"/>
          <w:right w:val="nil"/>
          <w:insideH w:val="nil"/>
          <w:insideV w:val="nil"/>
        </w:tcBorders>
        <w:shd w:val="clear" w:color="auto" w:fill="004B8E" w:themeFill="accent3" w:themeFillShade="BF"/>
      </w:tcPr>
    </w:tblStylePr>
  </w:style>
  <w:style w:type="table" w:styleId="DarkList-Accent4">
    <w:name w:val="Dark List Accent 4"/>
    <w:basedOn w:val="TableNormal"/>
    <w:uiPriority w:val="70"/>
    <w:semiHidden/>
    <w:unhideWhenUsed/>
    <w:locked/>
    <w:rsid w:val="00FE198B"/>
    <w:pPr>
      <w:spacing w:before="0" w:after="0" w:line="240" w:lineRule="auto"/>
    </w:pPr>
    <w:rPr>
      <w:color w:val="FFFFFF" w:themeColor="background1"/>
    </w:rPr>
    <w:tblPr>
      <w:tblStyleRowBandSize w:val="1"/>
      <w:tblStyleColBandSize w:val="1"/>
    </w:tblPr>
    <w:tcPr>
      <w:shd w:val="clear" w:color="auto" w:fill="EC702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350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501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5010" w:themeFill="accent4" w:themeFillShade="BF"/>
      </w:tcPr>
    </w:tblStylePr>
    <w:tblStylePr w:type="band1Vert">
      <w:tblPr/>
      <w:tcPr>
        <w:tcBorders>
          <w:top w:val="nil"/>
          <w:left w:val="nil"/>
          <w:bottom w:val="nil"/>
          <w:right w:val="nil"/>
          <w:insideH w:val="nil"/>
          <w:insideV w:val="nil"/>
        </w:tcBorders>
        <w:shd w:val="clear" w:color="auto" w:fill="BA5010" w:themeFill="accent4" w:themeFillShade="BF"/>
      </w:tcPr>
    </w:tblStylePr>
    <w:tblStylePr w:type="band1Horz">
      <w:tblPr/>
      <w:tcPr>
        <w:tcBorders>
          <w:top w:val="nil"/>
          <w:left w:val="nil"/>
          <w:bottom w:val="nil"/>
          <w:right w:val="nil"/>
          <w:insideH w:val="nil"/>
          <w:insideV w:val="nil"/>
        </w:tcBorders>
        <w:shd w:val="clear" w:color="auto" w:fill="BA5010" w:themeFill="accent4" w:themeFillShade="BF"/>
      </w:tcPr>
    </w:tblStylePr>
  </w:style>
  <w:style w:type="table" w:styleId="DarkList-Accent5">
    <w:name w:val="Dark List Accent 5"/>
    <w:basedOn w:val="TableNormal"/>
    <w:uiPriority w:val="70"/>
    <w:semiHidden/>
    <w:unhideWhenUsed/>
    <w:locked/>
    <w:rsid w:val="00FE198B"/>
    <w:pPr>
      <w:spacing w:before="0" w:after="0" w:line="240" w:lineRule="auto"/>
    </w:pPr>
    <w:rPr>
      <w:color w:val="FFFFFF" w:themeColor="background1"/>
    </w:rPr>
    <w:tblPr>
      <w:tblStyleRowBandSize w:val="1"/>
      <w:tblStyleColBandSize w:val="1"/>
    </w:tblPr>
    <w:tcPr>
      <w:shd w:val="clear" w:color="auto" w:fill="DF2A2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11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C1A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C1A1A" w:themeFill="accent5" w:themeFillShade="BF"/>
      </w:tcPr>
    </w:tblStylePr>
    <w:tblStylePr w:type="band1Vert">
      <w:tblPr/>
      <w:tcPr>
        <w:tcBorders>
          <w:top w:val="nil"/>
          <w:left w:val="nil"/>
          <w:bottom w:val="nil"/>
          <w:right w:val="nil"/>
          <w:insideH w:val="nil"/>
          <w:insideV w:val="nil"/>
        </w:tcBorders>
        <w:shd w:val="clear" w:color="auto" w:fill="AC1A1A" w:themeFill="accent5" w:themeFillShade="BF"/>
      </w:tcPr>
    </w:tblStylePr>
    <w:tblStylePr w:type="band1Horz">
      <w:tblPr/>
      <w:tcPr>
        <w:tcBorders>
          <w:top w:val="nil"/>
          <w:left w:val="nil"/>
          <w:bottom w:val="nil"/>
          <w:right w:val="nil"/>
          <w:insideH w:val="nil"/>
          <w:insideV w:val="nil"/>
        </w:tcBorders>
        <w:shd w:val="clear" w:color="auto" w:fill="AC1A1A" w:themeFill="accent5" w:themeFillShade="BF"/>
      </w:tcPr>
    </w:tblStylePr>
  </w:style>
  <w:style w:type="table" w:styleId="DarkList-Accent6">
    <w:name w:val="Dark List Accent 6"/>
    <w:basedOn w:val="TableNormal"/>
    <w:uiPriority w:val="70"/>
    <w:semiHidden/>
    <w:unhideWhenUsed/>
    <w:locked/>
    <w:rsid w:val="00FE198B"/>
    <w:pPr>
      <w:spacing w:before="0" w:after="0" w:line="240" w:lineRule="auto"/>
    </w:pPr>
    <w:rPr>
      <w:color w:val="FFFFFF" w:themeColor="background1"/>
    </w:rPr>
    <w:tblPr>
      <w:tblStyleRowBandSize w:val="1"/>
      <w:tblStyleColBandSize w:val="1"/>
    </w:tblPr>
    <w:tcPr>
      <w:shd w:val="clear" w:color="auto" w:fill="4D309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184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247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2471" w:themeFill="accent6" w:themeFillShade="BF"/>
      </w:tcPr>
    </w:tblStylePr>
    <w:tblStylePr w:type="band1Vert">
      <w:tblPr/>
      <w:tcPr>
        <w:tcBorders>
          <w:top w:val="nil"/>
          <w:left w:val="nil"/>
          <w:bottom w:val="nil"/>
          <w:right w:val="nil"/>
          <w:insideH w:val="nil"/>
          <w:insideV w:val="nil"/>
        </w:tcBorders>
        <w:shd w:val="clear" w:color="auto" w:fill="392471" w:themeFill="accent6" w:themeFillShade="BF"/>
      </w:tcPr>
    </w:tblStylePr>
    <w:tblStylePr w:type="band1Horz">
      <w:tblPr/>
      <w:tcPr>
        <w:tcBorders>
          <w:top w:val="nil"/>
          <w:left w:val="nil"/>
          <w:bottom w:val="nil"/>
          <w:right w:val="nil"/>
          <w:insideH w:val="nil"/>
          <w:insideV w:val="nil"/>
        </w:tcBorders>
        <w:shd w:val="clear" w:color="auto" w:fill="392471" w:themeFill="accent6" w:themeFillShade="BF"/>
      </w:tcPr>
    </w:tblStylePr>
  </w:style>
  <w:style w:type="paragraph" w:styleId="DocumentMap">
    <w:name w:val="Document Map"/>
    <w:basedOn w:val="Normal"/>
    <w:link w:val="DocumentMapChar"/>
    <w:uiPriority w:val="99"/>
    <w:semiHidden/>
    <w:locked/>
    <w:rsid w:val="00FE198B"/>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E198B"/>
    <w:rPr>
      <w:rFonts w:ascii="Segoe UI" w:hAnsi="Segoe UI" w:cs="Segoe UI"/>
      <w:sz w:val="16"/>
      <w:szCs w:val="16"/>
    </w:rPr>
  </w:style>
  <w:style w:type="paragraph" w:styleId="E-mailSignature">
    <w:name w:val="E-mail Signature"/>
    <w:basedOn w:val="Normal"/>
    <w:link w:val="E-mailSignatureChar"/>
    <w:uiPriority w:val="99"/>
    <w:semiHidden/>
    <w:locked/>
    <w:rsid w:val="00FE198B"/>
    <w:pPr>
      <w:spacing w:before="0" w:after="0" w:line="240" w:lineRule="auto"/>
    </w:pPr>
  </w:style>
  <w:style w:type="character" w:customStyle="1" w:styleId="E-mailSignatureChar">
    <w:name w:val="E-mail Signature Char"/>
    <w:basedOn w:val="DefaultParagraphFont"/>
    <w:link w:val="E-mailSignature"/>
    <w:uiPriority w:val="99"/>
    <w:semiHidden/>
    <w:rsid w:val="00FE198B"/>
  </w:style>
  <w:style w:type="character" w:styleId="Emphasis">
    <w:name w:val="Emphasis"/>
    <w:basedOn w:val="DefaultParagraphFont"/>
    <w:uiPriority w:val="20"/>
    <w:qFormat/>
    <w:locked/>
    <w:rsid w:val="00FE198B"/>
    <w:rPr>
      <w:i/>
      <w:iCs/>
    </w:rPr>
  </w:style>
  <w:style w:type="character" w:styleId="EndnoteReference">
    <w:name w:val="endnote reference"/>
    <w:basedOn w:val="DefaultParagraphFont"/>
    <w:uiPriority w:val="99"/>
    <w:semiHidden/>
    <w:locked/>
    <w:rsid w:val="00FE198B"/>
    <w:rPr>
      <w:vertAlign w:val="superscript"/>
    </w:rPr>
  </w:style>
  <w:style w:type="paragraph" w:styleId="EndnoteText">
    <w:name w:val="endnote text"/>
    <w:basedOn w:val="Normal"/>
    <w:link w:val="EndnoteTextChar"/>
    <w:uiPriority w:val="99"/>
    <w:semiHidden/>
    <w:locked/>
    <w:rsid w:val="00FE198B"/>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E198B"/>
    <w:rPr>
      <w:sz w:val="20"/>
      <w:szCs w:val="20"/>
    </w:rPr>
  </w:style>
  <w:style w:type="paragraph" w:styleId="EnvelopeReturn">
    <w:name w:val="envelope return"/>
    <w:basedOn w:val="Normal"/>
    <w:uiPriority w:val="99"/>
    <w:semiHidden/>
    <w:rsid w:val="00FE198B"/>
    <w:pPr>
      <w:spacing w:before="0"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44"/>
    <w:rsid w:val="00FE198B"/>
    <w:rPr>
      <w:color w:val="4D3097" w:themeColor="followedHyperlink"/>
      <w:u w:val="single"/>
    </w:rPr>
  </w:style>
  <w:style w:type="table" w:styleId="GridTable1Light">
    <w:name w:val="Grid Table 1 Light"/>
    <w:basedOn w:val="TableNormal"/>
    <w:uiPriority w:val="46"/>
    <w:locked/>
    <w:rsid w:val="00FE19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FE198B"/>
    <w:pPr>
      <w:spacing w:after="0" w:line="240" w:lineRule="auto"/>
    </w:pPr>
    <w:tblPr>
      <w:tblStyleRowBandSize w:val="1"/>
      <w:tblStyleColBandSize w:val="1"/>
      <w:tblBorders>
        <w:top w:val="single" w:sz="4" w:space="0" w:color="B2DFB0" w:themeColor="accent1" w:themeTint="66"/>
        <w:left w:val="single" w:sz="4" w:space="0" w:color="B2DFB0" w:themeColor="accent1" w:themeTint="66"/>
        <w:bottom w:val="single" w:sz="4" w:space="0" w:color="B2DFB0" w:themeColor="accent1" w:themeTint="66"/>
        <w:right w:val="single" w:sz="4" w:space="0" w:color="B2DFB0" w:themeColor="accent1" w:themeTint="66"/>
        <w:insideH w:val="single" w:sz="4" w:space="0" w:color="B2DFB0" w:themeColor="accent1" w:themeTint="66"/>
        <w:insideV w:val="single" w:sz="4" w:space="0" w:color="B2DFB0" w:themeColor="accent1" w:themeTint="66"/>
      </w:tblBorders>
    </w:tblPr>
    <w:tblStylePr w:type="firstRow">
      <w:rPr>
        <w:b/>
        <w:bCs/>
      </w:rPr>
      <w:tblPr/>
      <w:tcPr>
        <w:tcBorders>
          <w:bottom w:val="single" w:sz="12" w:space="0" w:color="8BD089" w:themeColor="accent1" w:themeTint="99"/>
        </w:tcBorders>
      </w:tcPr>
    </w:tblStylePr>
    <w:tblStylePr w:type="lastRow">
      <w:rPr>
        <w:b/>
        <w:bCs/>
      </w:rPr>
      <w:tblPr/>
      <w:tcPr>
        <w:tcBorders>
          <w:top w:val="double" w:sz="2" w:space="0" w:color="8BD08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FE198B"/>
    <w:pPr>
      <w:spacing w:after="0" w:line="240" w:lineRule="auto"/>
    </w:pPr>
    <w:tblPr>
      <w:tblStyleRowBandSize w:val="1"/>
      <w:tblStyleColBandSize w:val="1"/>
      <w:tblBorders>
        <w:top w:val="single" w:sz="4" w:space="0" w:color="E0EFAF" w:themeColor="accent2" w:themeTint="66"/>
        <w:left w:val="single" w:sz="4" w:space="0" w:color="E0EFAF" w:themeColor="accent2" w:themeTint="66"/>
        <w:bottom w:val="single" w:sz="4" w:space="0" w:color="E0EFAF" w:themeColor="accent2" w:themeTint="66"/>
        <w:right w:val="single" w:sz="4" w:space="0" w:color="E0EFAF" w:themeColor="accent2" w:themeTint="66"/>
        <w:insideH w:val="single" w:sz="4" w:space="0" w:color="E0EFAF" w:themeColor="accent2" w:themeTint="66"/>
        <w:insideV w:val="single" w:sz="4" w:space="0" w:color="E0EFAF" w:themeColor="accent2" w:themeTint="66"/>
      </w:tblBorders>
    </w:tblPr>
    <w:tblStylePr w:type="firstRow">
      <w:rPr>
        <w:b/>
        <w:bCs/>
      </w:rPr>
      <w:tblPr/>
      <w:tcPr>
        <w:tcBorders>
          <w:bottom w:val="single" w:sz="12" w:space="0" w:color="D0E788" w:themeColor="accent2" w:themeTint="99"/>
        </w:tcBorders>
      </w:tcPr>
    </w:tblStylePr>
    <w:tblStylePr w:type="lastRow">
      <w:rPr>
        <w:b/>
        <w:bCs/>
      </w:rPr>
      <w:tblPr/>
      <w:tcPr>
        <w:tcBorders>
          <w:top w:val="double" w:sz="2" w:space="0" w:color="D0E788"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FE198B"/>
    <w:pPr>
      <w:spacing w:after="0" w:line="240" w:lineRule="auto"/>
    </w:pPr>
    <w:tblPr>
      <w:tblStyleRowBandSize w:val="1"/>
      <w:tblStyleColBandSize w:val="1"/>
      <w:tblBorders>
        <w:top w:val="single" w:sz="4" w:space="0" w:color="7FC3FF" w:themeColor="accent3" w:themeTint="66"/>
        <w:left w:val="single" w:sz="4" w:space="0" w:color="7FC3FF" w:themeColor="accent3" w:themeTint="66"/>
        <w:bottom w:val="single" w:sz="4" w:space="0" w:color="7FC3FF" w:themeColor="accent3" w:themeTint="66"/>
        <w:right w:val="single" w:sz="4" w:space="0" w:color="7FC3FF" w:themeColor="accent3" w:themeTint="66"/>
        <w:insideH w:val="single" w:sz="4" w:space="0" w:color="7FC3FF" w:themeColor="accent3" w:themeTint="66"/>
        <w:insideV w:val="single" w:sz="4" w:space="0" w:color="7FC3FF" w:themeColor="accent3" w:themeTint="66"/>
      </w:tblBorders>
    </w:tblPr>
    <w:tblStylePr w:type="firstRow">
      <w:rPr>
        <w:b/>
        <w:bCs/>
      </w:rPr>
      <w:tblPr/>
      <w:tcPr>
        <w:tcBorders>
          <w:bottom w:val="single" w:sz="12" w:space="0" w:color="3FA5FF" w:themeColor="accent3" w:themeTint="99"/>
        </w:tcBorders>
      </w:tcPr>
    </w:tblStylePr>
    <w:tblStylePr w:type="lastRow">
      <w:rPr>
        <w:b/>
        <w:bCs/>
      </w:rPr>
      <w:tblPr/>
      <w:tcPr>
        <w:tcBorders>
          <w:top w:val="double" w:sz="2" w:space="0" w:color="3FA5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FE198B"/>
    <w:pPr>
      <w:spacing w:after="0" w:line="240" w:lineRule="auto"/>
    </w:pPr>
    <w:tblPr>
      <w:tblStyleRowBandSize w:val="1"/>
      <w:tblStyleColBandSize w:val="1"/>
      <w:tblBorders>
        <w:top w:val="single" w:sz="4" w:space="0" w:color="F7C5A6" w:themeColor="accent4" w:themeTint="66"/>
        <w:left w:val="single" w:sz="4" w:space="0" w:color="F7C5A6" w:themeColor="accent4" w:themeTint="66"/>
        <w:bottom w:val="single" w:sz="4" w:space="0" w:color="F7C5A6" w:themeColor="accent4" w:themeTint="66"/>
        <w:right w:val="single" w:sz="4" w:space="0" w:color="F7C5A6" w:themeColor="accent4" w:themeTint="66"/>
        <w:insideH w:val="single" w:sz="4" w:space="0" w:color="F7C5A6" w:themeColor="accent4" w:themeTint="66"/>
        <w:insideV w:val="single" w:sz="4" w:space="0" w:color="F7C5A6" w:themeColor="accent4" w:themeTint="66"/>
      </w:tblBorders>
    </w:tblPr>
    <w:tblStylePr w:type="firstRow">
      <w:rPr>
        <w:b/>
        <w:bCs/>
      </w:rPr>
      <w:tblPr/>
      <w:tcPr>
        <w:tcBorders>
          <w:bottom w:val="single" w:sz="12" w:space="0" w:color="F3A87A" w:themeColor="accent4" w:themeTint="99"/>
        </w:tcBorders>
      </w:tcPr>
    </w:tblStylePr>
    <w:tblStylePr w:type="lastRow">
      <w:rPr>
        <w:b/>
        <w:bCs/>
      </w:rPr>
      <w:tblPr/>
      <w:tcPr>
        <w:tcBorders>
          <w:top w:val="double" w:sz="2" w:space="0" w:color="F3A87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FE198B"/>
    <w:pPr>
      <w:spacing w:after="0" w:line="240" w:lineRule="auto"/>
    </w:pPr>
    <w:tblPr>
      <w:tblStyleRowBandSize w:val="1"/>
      <w:tblStyleColBandSize w:val="1"/>
      <w:tblBorders>
        <w:top w:val="single" w:sz="4" w:space="0" w:color="F2A9A9" w:themeColor="accent5" w:themeTint="66"/>
        <w:left w:val="single" w:sz="4" w:space="0" w:color="F2A9A9" w:themeColor="accent5" w:themeTint="66"/>
        <w:bottom w:val="single" w:sz="4" w:space="0" w:color="F2A9A9" w:themeColor="accent5" w:themeTint="66"/>
        <w:right w:val="single" w:sz="4" w:space="0" w:color="F2A9A9" w:themeColor="accent5" w:themeTint="66"/>
        <w:insideH w:val="single" w:sz="4" w:space="0" w:color="F2A9A9" w:themeColor="accent5" w:themeTint="66"/>
        <w:insideV w:val="single" w:sz="4" w:space="0" w:color="F2A9A9" w:themeColor="accent5" w:themeTint="66"/>
      </w:tblBorders>
    </w:tblPr>
    <w:tblStylePr w:type="firstRow">
      <w:rPr>
        <w:b/>
        <w:bCs/>
      </w:rPr>
      <w:tblPr/>
      <w:tcPr>
        <w:tcBorders>
          <w:bottom w:val="single" w:sz="12" w:space="0" w:color="EB7F7F" w:themeColor="accent5" w:themeTint="99"/>
        </w:tcBorders>
      </w:tcPr>
    </w:tblStylePr>
    <w:tblStylePr w:type="lastRow">
      <w:rPr>
        <w:b/>
        <w:bCs/>
      </w:rPr>
      <w:tblPr/>
      <w:tcPr>
        <w:tcBorders>
          <w:top w:val="double" w:sz="2" w:space="0" w:color="EB7F7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FE198B"/>
    <w:pPr>
      <w:spacing w:after="0" w:line="240" w:lineRule="auto"/>
    </w:pPr>
    <w:tblPr>
      <w:tblStyleRowBandSize w:val="1"/>
      <w:tblStyleColBandSize w:val="1"/>
      <w:tblBorders>
        <w:top w:val="single" w:sz="4" w:space="0" w:color="B2A0E1" w:themeColor="accent6" w:themeTint="66"/>
        <w:left w:val="single" w:sz="4" w:space="0" w:color="B2A0E1" w:themeColor="accent6" w:themeTint="66"/>
        <w:bottom w:val="single" w:sz="4" w:space="0" w:color="B2A0E1" w:themeColor="accent6" w:themeTint="66"/>
        <w:right w:val="single" w:sz="4" w:space="0" w:color="B2A0E1" w:themeColor="accent6" w:themeTint="66"/>
        <w:insideH w:val="single" w:sz="4" w:space="0" w:color="B2A0E1" w:themeColor="accent6" w:themeTint="66"/>
        <w:insideV w:val="single" w:sz="4" w:space="0" w:color="B2A0E1" w:themeColor="accent6" w:themeTint="66"/>
      </w:tblBorders>
    </w:tblPr>
    <w:tblStylePr w:type="firstRow">
      <w:rPr>
        <w:b/>
        <w:bCs/>
      </w:rPr>
      <w:tblPr/>
      <w:tcPr>
        <w:tcBorders>
          <w:bottom w:val="single" w:sz="12" w:space="0" w:color="8C71D2" w:themeColor="accent6" w:themeTint="99"/>
        </w:tcBorders>
      </w:tcPr>
    </w:tblStylePr>
    <w:tblStylePr w:type="lastRow">
      <w:rPr>
        <w:b/>
        <w:bCs/>
      </w:rPr>
      <w:tblPr/>
      <w:tcPr>
        <w:tcBorders>
          <w:top w:val="double" w:sz="2" w:space="0" w:color="8C71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FE198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FE198B"/>
    <w:pPr>
      <w:spacing w:after="0" w:line="240" w:lineRule="auto"/>
    </w:pPr>
    <w:tblPr>
      <w:tblStyleRowBandSize w:val="1"/>
      <w:tblStyleColBandSize w:val="1"/>
      <w:tblBorders>
        <w:top w:val="single" w:sz="2" w:space="0" w:color="8BD089" w:themeColor="accent1" w:themeTint="99"/>
        <w:bottom w:val="single" w:sz="2" w:space="0" w:color="8BD089" w:themeColor="accent1" w:themeTint="99"/>
        <w:insideH w:val="single" w:sz="2" w:space="0" w:color="8BD089" w:themeColor="accent1" w:themeTint="99"/>
        <w:insideV w:val="single" w:sz="2" w:space="0" w:color="8BD089" w:themeColor="accent1" w:themeTint="99"/>
      </w:tblBorders>
    </w:tblPr>
    <w:tblStylePr w:type="firstRow">
      <w:rPr>
        <w:b/>
        <w:bCs/>
      </w:rPr>
      <w:tblPr/>
      <w:tcPr>
        <w:tcBorders>
          <w:top w:val="nil"/>
          <w:bottom w:val="single" w:sz="12" w:space="0" w:color="8BD089" w:themeColor="accent1" w:themeTint="99"/>
          <w:insideH w:val="nil"/>
          <w:insideV w:val="nil"/>
        </w:tcBorders>
        <w:shd w:val="clear" w:color="auto" w:fill="FFFFFF" w:themeFill="background1"/>
      </w:tcPr>
    </w:tblStylePr>
    <w:tblStylePr w:type="lastRow">
      <w:rPr>
        <w:b/>
        <w:bCs/>
      </w:rPr>
      <w:tblPr/>
      <w:tcPr>
        <w:tcBorders>
          <w:top w:val="double" w:sz="2" w:space="0" w:color="8BD08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GridTable2-Accent2">
    <w:name w:val="Grid Table 2 Accent 2"/>
    <w:basedOn w:val="TableNormal"/>
    <w:uiPriority w:val="47"/>
    <w:locked/>
    <w:rsid w:val="00FE198B"/>
    <w:pPr>
      <w:spacing w:after="0" w:line="240" w:lineRule="auto"/>
    </w:pPr>
    <w:tblPr>
      <w:tblStyleRowBandSize w:val="1"/>
      <w:tblStyleColBandSize w:val="1"/>
      <w:tblBorders>
        <w:top w:val="single" w:sz="2" w:space="0" w:color="D0E788" w:themeColor="accent2" w:themeTint="99"/>
        <w:bottom w:val="single" w:sz="2" w:space="0" w:color="D0E788" w:themeColor="accent2" w:themeTint="99"/>
        <w:insideH w:val="single" w:sz="2" w:space="0" w:color="D0E788" w:themeColor="accent2" w:themeTint="99"/>
        <w:insideV w:val="single" w:sz="2" w:space="0" w:color="D0E788" w:themeColor="accent2" w:themeTint="99"/>
      </w:tblBorders>
    </w:tblPr>
    <w:tblStylePr w:type="firstRow">
      <w:rPr>
        <w:b/>
        <w:bCs/>
      </w:rPr>
      <w:tblPr/>
      <w:tcPr>
        <w:tcBorders>
          <w:top w:val="nil"/>
          <w:bottom w:val="single" w:sz="12" w:space="0" w:color="D0E788" w:themeColor="accent2" w:themeTint="99"/>
          <w:insideH w:val="nil"/>
          <w:insideV w:val="nil"/>
        </w:tcBorders>
        <w:shd w:val="clear" w:color="auto" w:fill="FFFFFF" w:themeFill="background1"/>
      </w:tcPr>
    </w:tblStylePr>
    <w:tblStylePr w:type="lastRow">
      <w:rPr>
        <w:b/>
        <w:bCs/>
      </w:rPr>
      <w:tblPr/>
      <w:tcPr>
        <w:tcBorders>
          <w:top w:val="double" w:sz="2" w:space="0" w:color="D0E78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GridTable2-Accent3">
    <w:name w:val="Grid Table 2 Accent 3"/>
    <w:basedOn w:val="TableNormal"/>
    <w:uiPriority w:val="47"/>
    <w:locked/>
    <w:rsid w:val="00FE198B"/>
    <w:pPr>
      <w:spacing w:after="0" w:line="240" w:lineRule="auto"/>
    </w:pPr>
    <w:tblPr>
      <w:tblStyleRowBandSize w:val="1"/>
      <w:tblStyleColBandSize w:val="1"/>
      <w:tblBorders>
        <w:top w:val="single" w:sz="2" w:space="0" w:color="3FA5FF" w:themeColor="accent3" w:themeTint="99"/>
        <w:bottom w:val="single" w:sz="2" w:space="0" w:color="3FA5FF" w:themeColor="accent3" w:themeTint="99"/>
        <w:insideH w:val="single" w:sz="2" w:space="0" w:color="3FA5FF" w:themeColor="accent3" w:themeTint="99"/>
        <w:insideV w:val="single" w:sz="2" w:space="0" w:color="3FA5FF" w:themeColor="accent3" w:themeTint="99"/>
      </w:tblBorders>
    </w:tblPr>
    <w:tblStylePr w:type="firstRow">
      <w:rPr>
        <w:b/>
        <w:bCs/>
      </w:rPr>
      <w:tblPr/>
      <w:tcPr>
        <w:tcBorders>
          <w:top w:val="nil"/>
          <w:bottom w:val="single" w:sz="12" w:space="0" w:color="3FA5FF" w:themeColor="accent3" w:themeTint="99"/>
          <w:insideH w:val="nil"/>
          <w:insideV w:val="nil"/>
        </w:tcBorders>
        <w:shd w:val="clear" w:color="auto" w:fill="FFFFFF" w:themeFill="background1"/>
      </w:tcPr>
    </w:tblStylePr>
    <w:tblStylePr w:type="lastRow">
      <w:rPr>
        <w:b/>
        <w:bCs/>
      </w:rPr>
      <w:tblPr/>
      <w:tcPr>
        <w:tcBorders>
          <w:top w:val="double" w:sz="2" w:space="0" w:color="3FA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GridTable2-Accent4">
    <w:name w:val="Grid Table 2 Accent 4"/>
    <w:basedOn w:val="TableNormal"/>
    <w:uiPriority w:val="47"/>
    <w:locked/>
    <w:rsid w:val="00FE198B"/>
    <w:pPr>
      <w:spacing w:after="0" w:line="240" w:lineRule="auto"/>
    </w:pPr>
    <w:tblPr>
      <w:tblStyleRowBandSize w:val="1"/>
      <w:tblStyleColBandSize w:val="1"/>
      <w:tblBorders>
        <w:top w:val="single" w:sz="2" w:space="0" w:color="F3A87A" w:themeColor="accent4" w:themeTint="99"/>
        <w:bottom w:val="single" w:sz="2" w:space="0" w:color="F3A87A" w:themeColor="accent4" w:themeTint="99"/>
        <w:insideH w:val="single" w:sz="2" w:space="0" w:color="F3A87A" w:themeColor="accent4" w:themeTint="99"/>
        <w:insideV w:val="single" w:sz="2" w:space="0" w:color="F3A87A" w:themeColor="accent4" w:themeTint="99"/>
      </w:tblBorders>
    </w:tblPr>
    <w:tblStylePr w:type="firstRow">
      <w:rPr>
        <w:b/>
        <w:bCs/>
      </w:rPr>
      <w:tblPr/>
      <w:tcPr>
        <w:tcBorders>
          <w:top w:val="nil"/>
          <w:bottom w:val="single" w:sz="12" w:space="0" w:color="F3A87A" w:themeColor="accent4" w:themeTint="99"/>
          <w:insideH w:val="nil"/>
          <w:insideV w:val="nil"/>
        </w:tcBorders>
        <w:shd w:val="clear" w:color="auto" w:fill="FFFFFF" w:themeFill="background1"/>
      </w:tcPr>
    </w:tblStylePr>
    <w:tblStylePr w:type="lastRow">
      <w:rPr>
        <w:b/>
        <w:bCs/>
      </w:rPr>
      <w:tblPr/>
      <w:tcPr>
        <w:tcBorders>
          <w:top w:val="double" w:sz="2" w:space="0" w:color="F3A87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GridTable2-Accent5">
    <w:name w:val="Grid Table 2 Accent 5"/>
    <w:basedOn w:val="TableNormal"/>
    <w:uiPriority w:val="47"/>
    <w:locked/>
    <w:rsid w:val="00FE198B"/>
    <w:pPr>
      <w:spacing w:after="0" w:line="240" w:lineRule="auto"/>
    </w:pPr>
    <w:tblPr>
      <w:tblStyleRowBandSize w:val="1"/>
      <w:tblStyleColBandSize w:val="1"/>
      <w:tblBorders>
        <w:top w:val="single" w:sz="2" w:space="0" w:color="EB7F7F" w:themeColor="accent5" w:themeTint="99"/>
        <w:bottom w:val="single" w:sz="2" w:space="0" w:color="EB7F7F" w:themeColor="accent5" w:themeTint="99"/>
        <w:insideH w:val="single" w:sz="2" w:space="0" w:color="EB7F7F" w:themeColor="accent5" w:themeTint="99"/>
        <w:insideV w:val="single" w:sz="2" w:space="0" w:color="EB7F7F" w:themeColor="accent5" w:themeTint="99"/>
      </w:tblBorders>
    </w:tblPr>
    <w:tblStylePr w:type="firstRow">
      <w:rPr>
        <w:b/>
        <w:bCs/>
      </w:rPr>
      <w:tblPr/>
      <w:tcPr>
        <w:tcBorders>
          <w:top w:val="nil"/>
          <w:bottom w:val="single" w:sz="12" w:space="0" w:color="EB7F7F" w:themeColor="accent5" w:themeTint="99"/>
          <w:insideH w:val="nil"/>
          <w:insideV w:val="nil"/>
        </w:tcBorders>
        <w:shd w:val="clear" w:color="auto" w:fill="FFFFFF" w:themeFill="background1"/>
      </w:tcPr>
    </w:tblStylePr>
    <w:tblStylePr w:type="lastRow">
      <w:rPr>
        <w:b/>
        <w:bCs/>
      </w:rPr>
      <w:tblPr/>
      <w:tcPr>
        <w:tcBorders>
          <w:top w:val="double" w:sz="2" w:space="0" w:color="EB7F7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GridTable2-Accent6">
    <w:name w:val="Grid Table 2 Accent 6"/>
    <w:basedOn w:val="TableNormal"/>
    <w:uiPriority w:val="47"/>
    <w:locked/>
    <w:rsid w:val="00FE198B"/>
    <w:pPr>
      <w:spacing w:after="0" w:line="240" w:lineRule="auto"/>
    </w:pPr>
    <w:tblPr>
      <w:tblStyleRowBandSize w:val="1"/>
      <w:tblStyleColBandSize w:val="1"/>
      <w:tblBorders>
        <w:top w:val="single" w:sz="2" w:space="0" w:color="8C71D2" w:themeColor="accent6" w:themeTint="99"/>
        <w:bottom w:val="single" w:sz="2" w:space="0" w:color="8C71D2" w:themeColor="accent6" w:themeTint="99"/>
        <w:insideH w:val="single" w:sz="2" w:space="0" w:color="8C71D2" w:themeColor="accent6" w:themeTint="99"/>
        <w:insideV w:val="single" w:sz="2" w:space="0" w:color="8C71D2" w:themeColor="accent6" w:themeTint="99"/>
      </w:tblBorders>
    </w:tblPr>
    <w:tblStylePr w:type="firstRow">
      <w:rPr>
        <w:b/>
        <w:bCs/>
      </w:rPr>
      <w:tblPr/>
      <w:tcPr>
        <w:tcBorders>
          <w:top w:val="nil"/>
          <w:bottom w:val="single" w:sz="12" w:space="0" w:color="8C71D2" w:themeColor="accent6" w:themeTint="99"/>
          <w:insideH w:val="nil"/>
          <w:insideV w:val="nil"/>
        </w:tcBorders>
        <w:shd w:val="clear" w:color="auto" w:fill="FFFFFF" w:themeFill="background1"/>
      </w:tcPr>
    </w:tblStylePr>
    <w:tblStylePr w:type="lastRow">
      <w:rPr>
        <w:b/>
        <w:bCs/>
      </w:rPr>
      <w:tblPr/>
      <w:tcPr>
        <w:tcBorders>
          <w:top w:val="double" w:sz="2" w:space="0" w:color="8C71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GridTable3">
    <w:name w:val="Grid Table 3"/>
    <w:basedOn w:val="TableNormal"/>
    <w:uiPriority w:val="48"/>
    <w:locked/>
    <w:rsid w:val="00FE198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FE198B"/>
    <w:pPr>
      <w:spacing w:after="0" w:line="240" w:lineRule="auto"/>
    </w:p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FD7" w:themeFill="accent1" w:themeFillTint="33"/>
      </w:tcPr>
    </w:tblStylePr>
    <w:tblStylePr w:type="band1Horz">
      <w:tblPr/>
      <w:tcPr>
        <w:shd w:val="clear" w:color="auto" w:fill="D8EFD7" w:themeFill="accent1" w:themeFillTint="33"/>
      </w:tcPr>
    </w:tblStylePr>
    <w:tblStylePr w:type="neCell">
      <w:tblPr/>
      <w:tcPr>
        <w:tcBorders>
          <w:bottom w:val="single" w:sz="4" w:space="0" w:color="8BD089" w:themeColor="accent1" w:themeTint="99"/>
        </w:tcBorders>
      </w:tcPr>
    </w:tblStylePr>
    <w:tblStylePr w:type="nwCell">
      <w:tblPr/>
      <w:tcPr>
        <w:tcBorders>
          <w:bottom w:val="single" w:sz="4" w:space="0" w:color="8BD089" w:themeColor="accent1" w:themeTint="99"/>
        </w:tcBorders>
      </w:tcPr>
    </w:tblStylePr>
    <w:tblStylePr w:type="seCell">
      <w:tblPr/>
      <w:tcPr>
        <w:tcBorders>
          <w:top w:val="single" w:sz="4" w:space="0" w:color="8BD089" w:themeColor="accent1" w:themeTint="99"/>
        </w:tcBorders>
      </w:tcPr>
    </w:tblStylePr>
    <w:tblStylePr w:type="swCell">
      <w:tblPr/>
      <w:tcPr>
        <w:tcBorders>
          <w:top w:val="single" w:sz="4" w:space="0" w:color="8BD089" w:themeColor="accent1" w:themeTint="99"/>
        </w:tcBorders>
      </w:tcPr>
    </w:tblStylePr>
  </w:style>
  <w:style w:type="table" w:styleId="GridTable3-Accent2">
    <w:name w:val="Grid Table 3 Accent 2"/>
    <w:basedOn w:val="TableNormal"/>
    <w:uiPriority w:val="48"/>
    <w:locked/>
    <w:rsid w:val="00FE198B"/>
    <w:pPr>
      <w:spacing w:after="0" w:line="240" w:lineRule="auto"/>
    </w:p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7D7" w:themeFill="accent2" w:themeFillTint="33"/>
      </w:tcPr>
    </w:tblStylePr>
    <w:tblStylePr w:type="band1Horz">
      <w:tblPr/>
      <w:tcPr>
        <w:shd w:val="clear" w:color="auto" w:fill="EFF7D7" w:themeFill="accent2" w:themeFillTint="33"/>
      </w:tcPr>
    </w:tblStylePr>
    <w:tblStylePr w:type="neCell">
      <w:tblPr/>
      <w:tcPr>
        <w:tcBorders>
          <w:bottom w:val="single" w:sz="4" w:space="0" w:color="D0E788" w:themeColor="accent2" w:themeTint="99"/>
        </w:tcBorders>
      </w:tcPr>
    </w:tblStylePr>
    <w:tblStylePr w:type="nwCell">
      <w:tblPr/>
      <w:tcPr>
        <w:tcBorders>
          <w:bottom w:val="single" w:sz="4" w:space="0" w:color="D0E788" w:themeColor="accent2" w:themeTint="99"/>
        </w:tcBorders>
      </w:tcPr>
    </w:tblStylePr>
    <w:tblStylePr w:type="seCell">
      <w:tblPr/>
      <w:tcPr>
        <w:tcBorders>
          <w:top w:val="single" w:sz="4" w:space="0" w:color="D0E788" w:themeColor="accent2" w:themeTint="99"/>
        </w:tcBorders>
      </w:tcPr>
    </w:tblStylePr>
    <w:tblStylePr w:type="swCell">
      <w:tblPr/>
      <w:tcPr>
        <w:tcBorders>
          <w:top w:val="single" w:sz="4" w:space="0" w:color="D0E788" w:themeColor="accent2" w:themeTint="99"/>
        </w:tcBorders>
      </w:tcPr>
    </w:tblStylePr>
  </w:style>
  <w:style w:type="table" w:styleId="GridTable3-Accent3">
    <w:name w:val="Grid Table 3 Accent 3"/>
    <w:basedOn w:val="TableNormal"/>
    <w:uiPriority w:val="48"/>
    <w:locked/>
    <w:rsid w:val="00FE198B"/>
    <w:pPr>
      <w:spacing w:after="0" w:line="240" w:lineRule="auto"/>
    </w:p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1FF" w:themeFill="accent3" w:themeFillTint="33"/>
      </w:tcPr>
    </w:tblStylePr>
    <w:tblStylePr w:type="band1Horz">
      <w:tblPr/>
      <w:tcPr>
        <w:shd w:val="clear" w:color="auto" w:fill="BFE1FF" w:themeFill="accent3" w:themeFillTint="33"/>
      </w:tcPr>
    </w:tblStylePr>
    <w:tblStylePr w:type="neCell">
      <w:tblPr/>
      <w:tcPr>
        <w:tcBorders>
          <w:bottom w:val="single" w:sz="4" w:space="0" w:color="3FA5FF" w:themeColor="accent3" w:themeTint="99"/>
        </w:tcBorders>
      </w:tcPr>
    </w:tblStylePr>
    <w:tblStylePr w:type="nwCell">
      <w:tblPr/>
      <w:tcPr>
        <w:tcBorders>
          <w:bottom w:val="single" w:sz="4" w:space="0" w:color="3FA5FF" w:themeColor="accent3" w:themeTint="99"/>
        </w:tcBorders>
      </w:tcPr>
    </w:tblStylePr>
    <w:tblStylePr w:type="seCell">
      <w:tblPr/>
      <w:tcPr>
        <w:tcBorders>
          <w:top w:val="single" w:sz="4" w:space="0" w:color="3FA5FF" w:themeColor="accent3" w:themeTint="99"/>
        </w:tcBorders>
      </w:tcPr>
    </w:tblStylePr>
    <w:tblStylePr w:type="swCell">
      <w:tblPr/>
      <w:tcPr>
        <w:tcBorders>
          <w:top w:val="single" w:sz="4" w:space="0" w:color="3FA5FF" w:themeColor="accent3" w:themeTint="99"/>
        </w:tcBorders>
      </w:tcPr>
    </w:tblStylePr>
  </w:style>
  <w:style w:type="table" w:styleId="GridTable3-Accent4">
    <w:name w:val="Grid Table 3 Accent 4"/>
    <w:basedOn w:val="TableNormal"/>
    <w:uiPriority w:val="48"/>
    <w:locked/>
    <w:rsid w:val="00FE198B"/>
    <w:pPr>
      <w:spacing w:after="0" w:line="240" w:lineRule="auto"/>
    </w:p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2" w:themeFill="accent4" w:themeFillTint="33"/>
      </w:tcPr>
    </w:tblStylePr>
    <w:tblStylePr w:type="band1Horz">
      <w:tblPr/>
      <w:tcPr>
        <w:shd w:val="clear" w:color="auto" w:fill="FBE2D2" w:themeFill="accent4" w:themeFillTint="33"/>
      </w:tcPr>
    </w:tblStylePr>
    <w:tblStylePr w:type="neCell">
      <w:tblPr/>
      <w:tcPr>
        <w:tcBorders>
          <w:bottom w:val="single" w:sz="4" w:space="0" w:color="F3A87A" w:themeColor="accent4" w:themeTint="99"/>
        </w:tcBorders>
      </w:tcPr>
    </w:tblStylePr>
    <w:tblStylePr w:type="nwCell">
      <w:tblPr/>
      <w:tcPr>
        <w:tcBorders>
          <w:bottom w:val="single" w:sz="4" w:space="0" w:color="F3A87A" w:themeColor="accent4" w:themeTint="99"/>
        </w:tcBorders>
      </w:tcPr>
    </w:tblStylePr>
    <w:tblStylePr w:type="seCell">
      <w:tblPr/>
      <w:tcPr>
        <w:tcBorders>
          <w:top w:val="single" w:sz="4" w:space="0" w:color="F3A87A" w:themeColor="accent4" w:themeTint="99"/>
        </w:tcBorders>
      </w:tcPr>
    </w:tblStylePr>
    <w:tblStylePr w:type="swCell">
      <w:tblPr/>
      <w:tcPr>
        <w:tcBorders>
          <w:top w:val="single" w:sz="4" w:space="0" w:color="F3A87A" w:themeColor="accent4" w:themeTint="99"/>
        </w:tcBorders>
      </w:tcPr>
    </w:tblStylePr>
  </w:style>
  <w:style w:type="table" w:styleId="GridTable3-Accent5">
    <w:name w:val="Grid Table 3 Accent 5"/>
    <w:basedOn w:val="TableNormal"/>
    <w:uiPriority w:val="48"/>
    <w:locked/>
    <w:rsid w:val="00FE198B"/>
    <w:pPr>
      <w:spacing w:after="0" w:line="240" w:lineRule="auto"/>
    </w:p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4D4" w:themeFill="accent5" w:themeFillTint="33"/>
      </w:tcPr>
    </w:tblStylePr>
    <w:tblStylePr w:type="band1Horz">
      <w:tblPr/>
      <w:tcPr>
        <w:shd w:val="clear" w:color="auto" w:fill="F8D4D4" w:themeFill="accent5" w:themeFillTint="33"/>
      </w:tcPr>
    </w:tblStylePr>
    <w:tblStylePr w:type="neCell">
      <w:tblPr/>
      <w:tcPr>
        <w:tcBorders>
          <w:bottom w:val="single" w:sz="4" w:space="0" w:color="EB7F7F" w:themeColor="accent5" w:themeTint="99"/>
        </w:tcBorders>
      </w:tcPr>
    </w:tblStylePr>
    <w:tblStylePr w:type="nwCell">
      <w:tblPr/>
      <w:tcPr>
        <w:tcBorders>
          <w:bottom w:val="single" w:sz="4" w:space="0" w:color="EB7F7F" w:themeColor="accent5" w:themeTint="99"/>
        </w:tcBorders>
      </w:tcPr>
    </w:tblStylePr>
    <w:tblStylePr w:type="seCell">
      <w:tblPr/>
      <w:tcPr>
        <w:tcBorders>
          <w:top w:val="single" w:sz="4" w:space="0" w:color="EB7F7F" w:themeColor="accent5" w:themeTint="99"/>
        </w:tcBorders>
      </w:tcPr>
    </w:tblStylePr>
    <w:tblStylePr w:type="swCell">
      <w:tblPr/>
      <w:tcPr>
        <w:tcBorders>
          <w:top w:val="single" w:sz="4" w:space="0" w:color="EB7F7F" w:themeColor="accent5" w:themeTint="99"/>
        </w:tcBorders>
      </w:tcPr>
    </w:tblStylePr>
  </w:style>
  <w:style w:type="table" w:styleId="GridTable3-Accent6">
    <w:name w:val="Grid Table 3 Accent 6"/>
    <w:basedOn w:val="TableNormal"/>
    <w:uiPriority w:val="48"/>
    <w:locked/>
    <w:rsid w:val="00FE198B"/>
    <w:pPr>
      <w:spacing w:after="0" w:line="240" w:lineRule="auto"/>
    </w:p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CFF0" w:themeFill="accent6" w:themeFillTint="33"/>
      </w:tcPr>
    </w:tblStylePr>
    <w:tblStylePr w:type="band1Horz">
      <w:tblPr/>
      <w:tcPr>
        <w:shd w:val="clear" w:color="auto" w:fill="D8CFF0" w:themeFill="accent6" w:themeFillTint="33"/>
      </w:tcPr>
    </w:tblStylePr>
    <w:tblStylePr w:type="neCell">
      <w:tblPr/>
      <w:tcPr>
        <w:tcBorders>
          <w:bottom w:val="single" w:sz="4" w:space="0" w:color="8C71D2" w:themeColor="accent6" w:themeTint="99"/>
        </w:tcBorders>
      </w:tcPr>
    </w:tblStylePr>
    <w:tblStylePr w:type="nwCell">
      <w:tblPr/>
      <w:tcPr>
        <w:tcBorders>
          <w:bottom w:val="single" w:sz="4" w:space="0" w:color="8C71D2" w:themeColor="accent6" w:themeTint="99"/>
        </w:tcBorders>
      </w:tcPr>
    </w:tblStylePr>
    <w:tblStylePr w:type="seCell">
      <w:tblPr/>
      <w:tcPr>
        <w:tcBorders>
          <w:top w:val="single" w:sz="4" w:space="0" w:color="8C71D2" w:themeColor="accent6" w:themeTint="99"/>
        </w:tcBorders>
      </w:tcPr>
    </w:tblStylePr>
    <w:tblStylePr w:type="swCell">
      <w:tblPr/>
      <w:tcPr>
        <w:tcBorders>
          <w:top w:val="single" w:sz="4" w:space="0" w:color="8C71D2" w:themeColor="accent6" w:themeTint="99"/>
        </w:tcBorders>
      </w:tcPr>
    </w:tblStylePr>
  </w:style>
  <w:style w:type="table" w:styleId="GridTable4">
    <w:name w:val="Grid Table 4"/>
    <w:basedOn w:val="TableNormal"/>
    <w:uiPriority w:val="49"/>
    <w:locked/>
    <w:rsid w:val="00FE198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FE198B"/>
    <w:pPr>
      <w:spacing w:after="0" w:line="240" w:lineRule="auto"/>
    </w:p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color w:val="FFFFFF" w:themeColor="background1"/>
      </w:rPr>
      <w:tblPr/>
      <w:tcPr>
        <w:tcBorders>
          <w:top w:val="single" w:sz="4" w:space="0" w:color="47A843" w:themeColor="accent1"/>
          <w:left w:val="single" w:sz="4" w:space="0" w:color="47A843" w:themeColor="accent1"/>
          <w:bottom w:val="single" w:sz="4" w:space="0" w:color="47A843" w:themeColor="accent1"/>
          <w:right w:val="single" w:sz="4" w:space="0" w:color="47A843" w:themeColor="accent1"/>
          <w:insideH w:val="nil"/>
          <w:insideV w:val="nil"/>
        </w:tcBorders>
        <w:shd w:val="clear" w:color="auto" w:fill="47A843" w:themeFill="accent1"/>
      </w:tcPr>
    </w:tblStylePr>
    <w:tblStylePr w:type="lastRow">
      <w:rPr>
        <w:b/>
        <w:bCs/>
      </w:rPr>
      <w:tblPr/>
      <w:tcPr>
        <w:tcBorders>
          <w:top w:val="double" w:sz="4" w:space="0" w:color="47A843" w:themeColor="accent1"/>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GridTable4-Accent2">
    <w:name w:val="Grid Table 4 Accent 2"/>
    <w:basedOn w:val="TableNormal"/>
    <w:uiPriority w:val="49"/>
    <w:locked/>
    <w:rsid w:val="00FE198B"/>
    <w:pPr>
      <w:spacing w:after="0" w:line="240" w:lineRule="auto"/>
    </w:p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color w:val="FFFFFF" w:themeColor="background1"/>
      </w:rPr>
      <w:tblPr/>
      <w:tcPr>
        <w:tcBorders>
          <w:top w:val="single" w:sz="4" w:space="0" w:color="B2D83A" w:themeColor="accent2"/>
          <w:left w:val="single" w:sz="4" w:space="0" w:color="B2D83A" w:themeColor="accent2"/>
          <w:bottom w:val="single" w:sz="4" w:space="0" w:color="B2D83A" w:themeColor="accent2"/>
          <w:right w:val="single" w:sz="4" w:space="0" w:color="B2D83A" w:themeColor="accent2"/>
          <w:insideH w:val="nil"/>
          <w:insideV w:val="nil"/>
        </w:tcBorders>
        <w:shd w:val="clear" w:color="auto" w:fill="B2D83A" w:themeFill="accent2"/>
      </w:tcPr>
    </w:tblStylePr>
    <w:tblStylePr w:type="lastRow">
      <w:rPr>
        <w:b/>
        <w:bCs/>
      </w:rPr>
      <w:tblPr/>
      <w:tcPr>
        <w:tcBorders>
          <w:top w:val="double" w:sz="4" w:space="0" w:color="B2D83A" w:themeColor="accent2"/>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GridTable4-Accent3">
    <w:name w:val="Grid Table 4 Accent 3"/>
    <w:basedOn w:val="TableNormal"/>
    <w:uiPriority w:val="49"/>
    <w:locked/>
    <w:rsid w:val="00FE198B"/>
    <w:pPr>
      <w:spacing w:after="0" w:line="240" w:lineRule="auto"/>
    </w:p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color w:val="FFFFFF" w:themeColor="background1"/>
      </w:rPr>
      <w:tblPr/>
      <w:tcPr>
        <w:tcBorders>
          <w:top w:val="single" w:sz="4" w:space="0" w:color="0066BE" w:themeColor="accent3"/>
          <w:left w:val="single" w:sz="4" w:space="0" w:color="0066BE" w:themeColor="accent3"/>
          <w:bottom w:val="single" w:sz="4" w:space="0" w:color="0066BE" w:themeColor="accent3"/>
          <w:right w:val="single" w:sz="4" w:space="0" w:color="0066BE" w:themeColor="accent3"/>
          <w:insideH w:val="nil"/>
          <w:insideV w:val="nil"/>
        </w:tcBorders>
        <w:shd w:val="clear" w:color="auto" w:fill="0066BE" w:themeFill="accent3"/>
      </w:tcPr>
    </w:tblStylePr>
    <w:tblStylePr w:type="lastRow">
      <w:rPr>
        <w:b/>
        <w:bCs/>
      </w:rPr>
      <w:tblPr/>
      <w:tcPr>
        <w:tcBorders>
          <w:top w:val="double" w:sz="4" w:space="0" w:color="0066BE" w:themeColor="accent3"/>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GridTable4-Accent4">
    <w:name w:val="Grid Table 4 Accent 4"/>
    <w:basedOn w:val="TableNormal"/>
    <w:uiPriority w:val="49"/>
    <w:locked/>
    <w:rsid w:val="00FE198B"/>
    <w:pPr>
      <w:spacing w:after="0" w:line="240" w:lineRule="auto"/>
    </w:p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color w:val="FFFFFF" w:themeColor="background1"/>
      </w:rPr>
      <w:tblPr/>
      <w:tcPr>
        <w:tcBorders>
          <w:top w:val="single" w:sz="4" w:space="0" w:color="EC7023" w:themeColor="accent4"/>
          <w:left w:val="single" w:sz="4" w:space="0" w:color="EC7023" w:themeColor="accent4"/>
          <w:bottom w:val="single" w:sz="4" w:space="0" w:color="EC7023" w:themeColor="accent4"/>
          <w:right w:val="single" w:sz="4" w:space="0" w:color="EC7023" w:themeColor="accent4"/>
          <w:insideH w:val="nil"/>
          <w:insideV w:val="nil"/>
        </w:tcBorders>
        <w:shd w:val="clear" w:color="auto" w:fill="EC7023" w:themeFill="accent4"/>
      </w:tcPr>
    </w:tblStylePr>
    <w:tblStylePr w:type="lastRow">
      <w:rPr>
        <w:b/>
        <w:bCs/>
      </w:rPr>
      <w:tblPr/>
      <w:tcPr>
        <w:tcBorders>
          <w:top w:val="double" w:sz="4" w:space="0" w:color="EC7023" w:themeColor="accent4"/>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GridTable4-Accent5">
    <w:name w:val="Grid Table 4 Accent 5"/>
    <w:basedOn w:val="TableNormal"/>
    <w:uiPriority w:val="49"/>
    <w:locked/>
    <w:rsid w:val="00FE198B"/>
    <w:pPr>
      <w:spacing w:after="0" w:line="240" w:lineRule="auto"/>
    </w:p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color w:val="FFFFFF" w:themeColor="background1"/>
      </w:rPr>
      <w:tblPr/>
      <w:tcPr>
        <w:tcBorders>
          <w:top w:val="single" w:sz="4" w:space="0" w:color="DF2A2A" w:themeColor="accent5"/>
          <w:left w:val="single" w:sz="4" w:space="0" w:color="DF2A2A" w:themeColor="accent5"/>
          <w:bottom w:val="single" w:sz="4" w:space="0" w:color="DF2A2A" w:themeColor="accent5"/>
          <w:right w:val="single" w:sz="4" w:space="0" w:color="DF2A2A" w:themeColor="accent5"/>
          <w:insideH w:val="nil"/>
          <w:insideV w:val="nil"/>
        </w:tcBorders>
        <w:shd w:val="clear" w:color="auto" w:fill="DF2A2A" w:themeFill="accent5"/>
      </w:tcPr>
    </w:tblStylePr>
    <w:tblStylePr w:type="lastRow">
      <w:rPr>
        <w:b/>
        <w:bCs/>
      </w:rPr>
      <w:tblPr/>
      <w:tcPr>
        <w:tcBorders>
          <w:top w:val="double" w:sz="4" w:space="0" w:color="DF2A2A" w:themeColor="accent5"/>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GridTable4-Accent6">
    <w:name w:val="Grid Table 4 Accent 6"/>
    <w:basedOn w:val="TableNormal"/>
    <w:uiPriority w:val="49"/>
    <w:locked/>
    <w:rsid w:val="00FE198B"/>
    <w:pPr>
      <w:spacing w:after="0" w:line="240" w:lineRule="auto"/>
    </w:p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color w:val="FFFFFF" w:themeColor="background1"/>
      </w:rPr>
      <w:tblPr/>
      <w:tcPr>
        <w:tcBorders>
          <w:top w:val="single" w:sz="4" w:space="0" w:color="4D3097" w:themeColor="accent6"/>
          <w:left w:val="single" w:sz="4" w:space="0" w:color="4D3097" w:themeColor="accent6"/>
          <w:bottom w:val="single" w:sz="4" w:space="0" w:color="4D3097" w:themeColor="accent6"/>
          <w:right w:val="single" w:sz="4" w:space="0" w:color="4D3097" w:themeColor="accent6"/>
          <w:insideH w:val="nil"/>
          <w:insideV w:val="nil"/>
        </w:tcBorders>
        <w:shd w:val="clear" w:color="auto" w:fill="4D3097" w:themeFill="accent6"/>
      </w:tcPr>
    </w:tblStylePr>
    <w:tblStylePr w:type="lastRow">
      <w:rPr>
        <w:b/>
        <w:bCs/>
      </w:rPr>
      <w:tblPr/>
      <w:tcPr>
        <w:tcBorders>
          <w:top w:val="double" w:sz="4" w:space="0" w:color="4D3097" w:themeColor="accent6"/>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GridTable5Dark">
    <w:name w:val="Grid Table 5 Dark"/>
    <w:basedOn w:val="TableNormal"/>
    <w:uiPriority w:val="50"/>
    <w:locked/>
    <w:rsid w:val="00FE19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FE19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F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A84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A84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A84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A843" w:themeFill="accent1"/>
      </w:tcPr>
    </w:tblStylePr>
    <w:tblStylePr w:type="band1Vert">
      <w:tblPr/>
      <w:tcPr>
        <w:shd w:val="clear" w:color="auto" w:fill="B2DFB0" w:themeFill="accent1" w:themeFillTint="66"/>
      </w:tcPr>
    </w:tblStylePr>
    <w:tblStylePr w:type="band1Horz">
      <w:tblPr/>
      <w:tcPr>
        <w:shd w:val="clear" w:color="auto" w:fill="B2DFB0" w:themeFill="accent1" w:themeFillTint="66"/>
      </w:tcPr>
    </w:tblStylePr>
  </w:style>
  <w:style w:type="table" w:styleId="GridTable5Dark-Accent2">
    <w:name w:val="Grid Table 5 Dark Accent 2"/>
    <w:basedOn w:val="TableNormal"/>
    <w:uiPriority w:val="50"/>
    <w:locked/>
    <w:rsid w:val="00FE19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7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D83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D83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D83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D83A" w:themeFill="accent2"/>
      </w:tcPr>
    </w:tblStylePr>
    <w:tblStylePr w:type="band1Vert">
      <w:tblPr/>
      <w:tcPr>
        <w:shd w:val="clear" w:color="auto" w:fill="E0EFAF" w:themeFill="accent2" w:themeFillTint="66"/>
      </w:tcPr>
    </w:tblStylePr>
    <w:tblStylePr w:type="band1Horz">
      <w:tblPr/>
      <w:tcPr>
        <w:shd w:val="clear" w:color="auto" w:fill="E0EFAF" w:themeFill="accent2" w:themeFillTint="66"/>
      </w:tcPr>
    </w:tblStylePr>
  </w:style>
  <w:style w:type="table" w:styleId="GridTable5Dark-Accent3">
    <w:name w:val="Grid Table 5 Dark Accent 3"/>
    <w:basedOn w:val="TableNormal"/>
    <w:uiPriority w:val="50"/>
    <w:locked/>
    <w:rsid w:val="00FE19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6B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6B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6B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6BE" w:themeFill="accent3"/>
      </w:tcPr>
    </w:tblStylePr>
    <w:tblStylePr w:type="band1Vert">
      <w:tblPr/>
      <w:tcPr>
        <w:shd w:val="clear" w:color="auto" w:fill="7FC3FF" w:themeFill="accent3" w:themeFillTint="66"/>
      </w:tcPr>
    </w:tblStylePr>
    <w:tblStylePr w:type="band1Horz">
      <w:tblPr/>
      <w:tcPr>
        <w:shd w:val="clear" w:color="auto" w:fill="7FC3FF" w:themeFill="accent3" w:themeFillTint="66"/>
      </w:tcPr>
    </w:tblStylePr>
  </w:style>
  <w:style w:type="table" w:styleId="GridTable5Dark-Accent4">
    <w:name w:val="Grid Table 5 Dark Accent 4"/>
    <w:basedOn w:val="TableNormal"/>
    <w:uiPriority w:val="50"/>
    <w:locked/>
    <w:rsid w:val="00FE19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02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02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02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023" w:themeFill="accent4"/>
      </w:tcPr>
    </w:tblStylePr>
    <w:tblStylePr w:type="band1Vert">
      <w:tblPr/>
      <w:tcPr>
        <w:shd w:val="clear" w:color="auto" w:fill="F7C5A6" w:themeFill="accent4" w:themeFillTint="66"/>
      </w:tcPr>
    </w:tblStylePr>
    <w:tblStylePr w:type="band1Horz">
      <w:tblPr/>
      <w:tcPr>
        <w:shd w:val="clear" w:color="auto" w:fill="F7C5A6" w:themeFill="accent4" w:themeFillTint="66"/>
      </w:tcPr>
    </w:tblStylePr>
  </w:style>
  <w:style w:type="table" w:styleId="GridTable5Dark-Accent5">
    <w:name w:val="Grid Table 5 Dark Accent 5"/>
    <w:basedOn w:val="TableNormal"/>
    <w:uiPriority w:val="50"/>
    <w:locked/>
    <w:rsid w:val="00FE19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4D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F2A2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F2A2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F2A2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F2A2A" w:themeFill="accent5"/>
      </w:tcPr>
    </w:tblStylePr>
    <w:tblStylePr w:type="band1Vert">
      <w:tblPr/>
      <w:tcPr>
        <w:shd w:val="clear" w:color="auto" w:fill="F2A9A9" w:themeFill="accent5" w:themeFillTint="66"/>
      </w:tcPr>
    </w:tblStylePr>
    <w:tblStylePr w:type="band1Horz">
      <w:tblPr/>
      <w:tcPr>
        <w:shd w:val="clear" w:color="auto" w:fill="F2A9A9" w:themeFill="accent5" w:themeFillTint="66"/>
      </w:tcPr>
    </w:tblStylePr>
  </w:style>
  <w:style w:type="table" w:styleId="GridTable5Dark-Accent6">
    <w:name w:val="Grid Table 5 Dark Accent 6"/>
    <w:basedOn w:val="TableNormal"/>
    <w:uiPriority w:val="50"/>
    <w:locked/>
    <w:rsid w:val="00FE19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CF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309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309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309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3097" w:themeFill="accent6"/>
      </w:tcPr>
    </w:tblStylePr>
    <w:tblStylePr w:type="band1Vert">
      <w:tblPr/>
      <w:tcPr>
        <w:shd w:val="clear" w:color="auto" w:fill="B2A0E1" w:themeFill="accent6" w:themeFillTint="66"/>
      </w:tcPr>
    </w:tblStylePr>
    <w:tblStylePr w:type="band1Horz">
      <w:tblPr/>
      <w:tcPr>
        <w:shd w:val="clear" w:color="auto" w:fill="B2A0E1" w:themeFill="accent6" w:themeFillTint="66"/>
      </w:tcPr>
    </w:tblStylePr>
  </w:style>
  <w:style w:type="table" w:styleId="GridTable6Colorful">
    <w:name w:val="Grid Table 6 Colorful"/>
    <w:basedOn w:val="TableNormal"/>
    <w:uiPriority w:val="51"/>
    <w:locked/>
    <w:rsid w:val="00FE198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FE198B"/>
    <w:pPr>
      <w:spacing w:after="0" w:line="240" w:lineRule="auto"/>
    </w:pPr>
    <w:rPr>
      <w:color w:val="357D32" w:themeColor="accent1" w:themeShade="BF"/>
    </w:r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rPr>
      <w:tblPr/>
      <w:tcPr>
        <w:tcBorders>
          <w:bottom w:val="single" w:sz="12" w:space="0" w:color="8BD089" w:themeColor="accent1" w:themeTint="99"/>
        </w:tcBorders>
      </w:tcPr>
    </w:tblStylePr>
    <w:tblStylePr w:type="lastRow">
      <w:rPr>
        <w:b/>
        <w:bCs/>
      </w:rPr>
      <w:tblPr/>
      <w:tcPr>
        <w:tcBorders>
          <w:top w:val="double" w:sz="4" w:space="0" w:color="8BD089" w:themeColor="accent1" w:themeTint="99"/>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GridTable6Colorful-Accent2">
    <w:name w:val="Grid Table 6 Colorful Accent 2"/>
    <w:basedOn w:val="TableNormal"/>
    <w:uiPriority w:val="51"/>
    <w:locked/>
    <w:rsid w:val="00FE198B"/>
    <w:pPr>
      <w:spacing w:after="0" w:line="240" w:lineRule="auto"/>
    </w:pPr>
    <w:rPr>
      <w:color w:val="89AB22" w:themeColor="accent2" w:themeShade="BF"/>
    </w:r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rPr>
      <w:tblPr/>
      <w:tcPr>
        <w:tcBorders>
          <w:bottom w:val="single" w:sz="12" w:space="0" w:color="D0E788" w:themeColor="accent2" w:themeTint="99"/>
        </w:tcBorders>
      </w:tcPr>
    </w:tblStylePr>
    <w:tblStylePr w:type="lastRow">
      <w:rPr>
        <w:b/>
        <w:bCs/>
      </w:rPr>
      <w:tblPr/>
      <w:tcPr>
        <w:tcBorders>
          <w:top w:val="double" w:sz="4" w:space="0" w:color="D0E788" w:themeColor="accent2" w:themeTint="99"/>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GridTable6Colorful-Accent3">
    <w:name w:val="Grid Table 6 Colorful Accent 3"/>
    <w:basedOn w:val="TableNormal"/>
    <w:uiPriority w:val="51"/>
    <w:locked/>
    <w:rsid w:val="00FE198B"/>
    <w:pPr>
      <w:spacing w:after="0" w:line="240" w:lineRule="auto"/>
    </w:pPr>
    <w:rPr>
      <w:color w:val="004B8E" w:themeColor="accent3" w:themeShade="BF"/>
    </w:r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rPr>
      <w:tblPr/>
      <w:tcPr>
        <w:tcBorders>
          <w:bottom w:val="single" w:sz="12" w:space="0" w:color="3FA5FF" w:themeColor="accent3" w:themeTint="99"/>
        </w:tcBorders>
      </w:tcPr>
    </w:tblStylePr>
    <w:tblStylePr w:type="lastRow">
      <w:rPr>
        <w:b/>
        <w:bCs/>
      </w:rPr>
      <w:tblPr/>
      <w:tcPr>
        <w:tcBorders>
          <w:top w:val="double" w:sz="4" w:space="0" w:color="3FA5FF" w:themeColor="accent3" w:themeTint="99"/>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GridTable6Colorful-Accent4">
    <w:name w:val="Grid Table 6 Colorful Accent 4"/>
    <w:basedOn w:val="TableNormal"/>
    <w:uiPriority w:val="51"/>
    <w:locked/>
    <w:rsid w:val="00FE198B"/>
    <w:pPr>
      <w:spacing w:after="0" w:line="240" w:lineRule="auto"/>
    </w:pPr>
    <w:rPr>
      <w:color w:val="BA5010" w:themeColor="accent4" w:themeShade="BF"/>
    </w:r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rPr>
      <w:tblPr/>
      <w:tcPr>
        <w:tcBorders>
          <w:bottom w:val="single" w:sz="12" w:space="0" w:color="F3A87A" w:themeColor="accent4" w:themeTint="99"/>
        </w:tcBorders>
      </w:tcPr>
    </w:tblStylePr>
    <w:tblStylePr w:type="lastRow">
      <w:rPr>
        <w:b/>
        <w:bCs/>
      </w:rPr>
      <w:tblPr/>
      <w:tcPr>
        <w:tcBorders>
          <w:top w:val="double" w:sz="4" w:space="0" w:color="F3A87A" w:themeColor="accent4" w:themeTint="99"/>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GridTable6Colorful-Accent5">
    <w:name w:val="Grid Table 6 Colorful Accent 5"/>
    <w:basedOn w:val="TableNormal"/>
    <w:uiPriority w:val="51"/>
    <w:locked/>
    <w:rsid w:val="00FE198B"/>
    <w:pPr>
      <w:spacing w:after="0" w:line="240" w:lineRule="auto"/>
    </w:pPr>
    <w:rPr>
      <w:color w:val="AC1A1A" w:themeColor="accent5" w:themeShade="BF"/>
    </w:r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rPr>
      <w:tblPr/>
      <w:tcPr>
        <w:tcBorders>
          <w:bottom w:val="single" w:sz="12" w:space="0" w:color="EB7F7F" w:themeColor="accent5" w:themeTint="99"/>
        </w:tcBorders>
      </w:tcPr>
    </w:tblStylePr>
    <w:tblStylePr w:type="lastRow">
      <w:rPr>
        <w:b/>
        <w:bCs/>
      </w:rPr>
      <w:tblPr/>
      <w:tcPr>
        <w:tcBorders>
          <w:top w:val="double" w:sz="4" w:space="0" w:color="EB7F7F" w:themeColor="accent5" w:themeTint="99"/>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GridTable6Colorful-Accent6">
    <w:name w:val="Grid Table 6 Colorful Accent 6"/>
    <w:basedOn w:val="TableNormal"/>
    <w:uiPriority w:val="51"/>
    <w:locked/>
    <w:rsid w:val="00FE198B"/>
    <w:pPr>
      <w:spacing w:after="0" w:line="240" w:lineRule="auto"/>
    </w:pPr>
    <w:rPr>
      <w:color w:val="392471" w:themeColor="accent6" w:themeShade="BF"/>
    </w:r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rPr>
      <w:tblPr/>
      <w:tcPr>
        <w:tcBorders>
          <w:bottom w:val="single" w:sz="12" w:space="0" w:color="8C71D2" w:themeColor="accent6" w:themeTint="99"/>
        </w:tcBorders>
      </w:tcPr>
    </w:tblStylePr>
    <w:tblStylePr w:type="lastRow">
      <w:rPr>
        <w:b/>
        <w:bCs/>
      </w:rPr>
      <w:tblPr/>
      <w:tcPr>
        <w:tcBorders>
          <w:top w:val="double" w:sz="4" w:space="0" w:color="8C71D2" w:themeColor="accent6" w:themeTint="99"/>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GridTable7Colorful">
    <w:name w:val="Grid Table 7 Colorful"/>
    <w:basedOn w:val="TableNormal"/>
    <w:uiPriority w:val="52"/>
    <w:locked/>
    <w:rsid w:val="00FE198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FE198B"/>
    <w:pPr>
      <w:spacing w:after="0" w:line="240" w:lineRule="auto"/>
    </w:pPr>
    <w:rPr>
      <w:color w:val="357D32" w:themeColor="accent1" w:themeShade="BF"/>
    </w:r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FD7" w:themeFill="accent1" w:themeFillTint="33"/>
      </w:tcPr>
    </w:tblStylePr>
    <w:tblStylePr w:type="band1Horz">
      <w:tblPr/>
      <w:tcPr>
        <w:shd w:val="clear" w:color="auto" w:fill="D8EFD7" w:themeFill="accent1" w:themeFillTint="33"/>
      </w:tcPr>
    </w:tblStylePr>
    <w:tblStylePr w:type="neCell">
      <w:tblPr/>
      <w:tcPr>
        <w:tcBorders>
          <w:bottom w:val="single" w:sz="4" w:space="0" w:color="8BD089" w:themeColor="accent1" w:themeTint="99"/>
        </w:tcBorders>
      </w:tcPr>
    </w:tblStylePr>
    <w:tblStylePr w:type="nwCell">
      <w:tblPr/>
      <w:tcPr>
        <w:tcBorders>
          <w:bottom w:val="single" w:sz="4" w:space="0" w:color="8BD089" w:themeColor="accent1" w:themeTint="99"/>
        </w:tcBorders>
      </w:tcPr>
    </w:tblStylePr>
    <w:tblStylePr w:type="seCell">
      <w:tblPr/>
      <w:tcPr>
        <w:tcBorders>
          <w:top w:val="single" w:sz="4" w:space="0" w:color="8BD089" w:themeColor="accent1" w:themeTint="99"/>
        </w:tcBorders>
      </w:tcPr>
    </w:tblStylePr>
    <w:tblStylePr w:type="swCell">
      <w:tblPr/>
      <w:tcPr>
        <w:tcBorders>
          <w:top w:val="single" w:sz="4" w:space="0" w:color="8BD089" w:themeColor="accent1" w:themeTint="99"/>
        </w:tcBorders>
      </w:tcPr>
    </w:tblStylePr>
  </w:style>
  <w:style w:type="table" w:styleId="GridTable7Colorful-Accent2">
    <w:name w:val="Grid Table 7 Colorful Accent 2"/>
    <w:basedOn w:val="TableNormal"/>
    <w:uiPriority w:val="52"/>
    <w:locked/>
    <w:rsid w:val="00FE198B"/>
    <w:pPr>
      <w:spacing w:after="0" w:line="240" w:lineRule="auto"/>
    </w:pPr>
    <w:rPr>
      <w:color w:val="89AB22" w:themeColor="accent2" w:themeShade="BF"/>
    </w:r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7D7" w:themeFill="accent2" w:themeFillTint="33"/>
      </w:tcPr>
    </w:tblStylePr>
    <w:tblStylePr w:type="band1Horz">
      <w:tblPr/>
      <w:tcPr>
        <w:shd w:val="clear" w:color="auto" w:fill="EFF7D7" w:themeFill="accent2" w:themeFillTint="33"/>
      </w:tcPr>
    </w:tblStylePr>
    <w:tblStylePr w:type="neCell">
      <w:tblPr/>
      <w:tcPr>
        <w:tcBorders>
          <w:bottom w:val="single" w:sz="4" w:space="0" w:color="D0E788" w:themeColor="accent2" w:themeTint="99"/>
        </w:tcBorders>
      </w:tcPr>
    </w:tblStylePr>
    <w:tblStylePr w:type="nwCell">
      <w:tblPr/>
      <w:tcPr>
        <w:tcBorders>
          <w:bottom w:val="single" w:sz="4" w:space="0" w:color="D0E788" w:themeColor="accent2" w:themeTint="99"/>
        </w:tcBorders>
      </w:tcPr>
    </w:tblStylePr>
    <w:tblStylePr w:type="seCell">
      <w:tblPr/>
      <w:tcPr>
        <w:tcBorders>
          <w:top w:val="single" w:sz="4" w:space="0" w:color="D0E788" w:themeColor="accent2" w:themeTint="99"/>
        </w:tcBorders>
      </w:tcPr>
    </w:tblStylePr>
    <w:tblStylePr w:type="swCell">
      <w:tblPr/>
      <w:tcPr>
        <w:tcBorders>
          <w:top w:val="single" w:sz="4" w:space="0" w:color="D0E788" w:themeColor="accent2" w:themeTint="99"/>
        </w:tcBorders>
      </w:tcPr>
    </w:tblStylePr>
  </w:style>
  <w:style w:type="table" w:styleId="GridTable7Colorful-Accent3">
    <w:name w:val="Grid Table 7 Colorful Accent 3"/>
    <w:basedOn w:val="TableNormal"/>
    <w:uiPriority w:val="52"/>
    <w:locked/>
    <w:rsid w:val="00FE198B"/>
    <w:pPr>
      <w:spacing w:after="0" w:line="240" w:lineRule="auto"/>
    </w:pPr>
    <w:rPr>
      <w:color w:val="004B8E" w:themeColor="accent3" w:themeShade="BF"/>
    </w:r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1FF" w:themeFill="accent3" w:themeFillTint="33"/>
      </w:tcPr>
    </w:tblStylePr>
    <w:tblStylePr w:type="band1Horz">
      <w:tblPr/>
      <w:tcPr>
        <w:shd w:val="clear" w:color="auto" w:fill="BFE1FF" w:themeFill="accent3" w:themeFillTint="33"/>
      </w:tcPr>
    </w:tblStylePr>
    <w:tblStylePr w:type="neCell">
      <w:tblPr/>
      <w:tcPr>
        <w:tcBorders>
          <w:bottom w:val="single" w:sz="4" w:space="0" w:color="3FA5FF" w:themeColor="accent3" w:themeTint="99"/>
        </w:tcBorders>
      </w:tcPr>
    </w:tblStylePr>
    <w:tblStylePr w:type="nwCell">
      <w:tblPr/>
      <w:tcPr>
        <w:tcBorders>
          <w:bottom w:val="single" w:sz="4" w:space="0" w:color="3FA5FF" w:themeColor="accent3" w:themeTint="99"/>
        </w:tcBorders>
      </w:tcPr>
    </w:tblStylePr>
    <w:tblStylePr w:type="seCell">
      <w:tblPr/>
      <w:tcPr>
        <w:tcBorders>
          <w:top w:val="single" w:sz="4" w:space="0" w:color="3FA5FF" w:themeColor="accent3" w:themeTint="99"/>
        </w:tcBorders>
      </w:tcPr>
    </w:tblStylePr>
    <w:tblStylePr w:type="swCell">
      <w:tblPr/>
      <w:tcPr>
        <w:tcBorders>
          <w:top w:val="single" w:sz="4" w:space="0" w:color="3FA5FF" w:themeColor="accent3" w:themeTint="99"/>
        </w:tcBorders>
      </w:tcPr>
    </w:tblStylePr>
  </w:style>
  <w:style w:type="table" w:styleId="GridTable7Colorful-Accent4">
    <w:name w:val="Grid Table 7 Colorful Accent 4"/>
    <w:basedOn w:val="TableNormal"/>
    <w:uiPriority w:val="52"/>
    <w:locked/>
    <w:rsid w:val="00FE198B"/>
    <w:pPr>
      <w:spacing w:after="0" w:line="240" w:lineRule="auto"/>
    </w:pPr>
    <w:rPr>
      <w:color w:val="BA5010" w:themeColor="accent4" w:themeShade="BF"/>
    </w:r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2" w:themeFill="accent4" w:themeFillTint="33"/>
      </w:tcPr>
    </w:tblStylePr>
    <w:tblStylePr w:type="band1Horz">
      <w:tblPr/>
      <w:tcPr>
        <w:shd w:val="clear" w:color="auto" w:fill="FBE2D2" w:themeFill="accent4" w:themeFillTint="33"/>
      </w:tcPr>
    </w:tblStylePr>
    <w:tblStylePr w:type="neCell">
      <w:tblPr/>
      <w:tcPr>
        <w:tcBorders>
          <w:bottom w:val="single" w:sz="4" w:space="0" w:color="F3A87A" w:themeColor="accent4" w:themeTint="99"/>
        </w:tcBorders>
      </w:tcPr>
    </w:tblStylePr>
    <w:tblStylePr w:type="nwCell">
      <w:tblPr/>
      <w:tcPr>
        <w:tcBorders>
          <w:bottom w:val="single" w:sz="4" w:space="0" w:color="F3A87A" w:themeColor="accent4" w:themeTint="99"/>
        </w:tcBorders>
      </w:tcPr>
    </w:tblStylePr>
    <w:tblStylePr w:type="seCell">
      <w:tblPr/>
      <w:tcPr>
        <w:tcBorders>
          <w:top w:val="single" w:sz="4" w:space="0" w:color="F3A87A" w:themeColor="accent4" w:themeTint="99"/>
        </w:tcBorders>
      </w:tcPr>
    </w:tblStylePr>
    <w:tblStylePr w:type="swCell">
      <w:tblPr/>
      <w:tcPr>
        <w:tcBorders>
          <w:top w:val="single" w:sz="4" w:space="0" w:color="F3A87A" w:themeColor="accent4" w:themeTint="99"/>
        </w:tcBorders>
      </w:tcPr>
    </w:tblStylePr>
  </w:style>
  <w:style w:type="table" w:styleId="GridTable7Colorful-Accent5">
    <w:name w:val="Grid Table 7 Colorful Accent 5"/>
    <w:basedOn w:val="TableNormal"/>
    <w:uiPriority w:val="52"/>
    <w:locked/>
    <w:rsid w:val="00FE198B"/>
    <w:pPr>
      <w:spacing w:after="0" w:line="240" w:lineRule="auto"/>
    </w:pPr>
    <w:rPr>
      <w:color w:val="AC1A1A" w:themeColor="accent5" w:themeShade="BF"/>
    </w:r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4D4" w:themeFill="accent5" w:themeFillTint="33"/>
      </w:tcPr>
    </w:tblStylePr>
    <w:tblStylePr w:type="band1Horz">
      <w:tblPr/>
      <w:tcPr>
        <w:shd w:val="clear" w:color="auto" w:fill="F8D4D4" w:themeFill="accent5" w:themeFillTint="33"/>
      </w:tcPr>
    </w:tblStylePr>
    <w:tblStylePr w:type="neCell">
      <w:tblPr/>
      <w:tcPr>
        <w:tcBorders>
          <w:bottom w:val="single" w:sz="4" w:space="0" w:color="EB7F7F" w:themeColor="accent5" w:themeTint="99"/>
        </w:tcBorders>
      </w:tcPr>
    </w:tblStylePr>
    <w:tblStylePr w:type="nwCell">
      <w:tblPr/>
      <w:tcPr>
        <w:tcBorders>
          <w:bottom w:val="single" w:sz="4" w:space="0" w:color="EB7F7F" w:themeColor="accent5" w:themeTint="99"/>
        </w:tcBorders>
      </w:tcPr>
    </w:tblStylePr>
    <w:tblStylePr w:type="seCell">
      <w:tblPr/>
      <w:tcPr>
        <w:tcBorders>
          <w:top w:val="single" w:sz="4" w:space="0" w:color="EB7F7F" w:themeColor="accent5" w:themeTint="99"/>
        </w:tcBorders>
      </w:tcPr>
    </w:tblStylePr>
    <w:tblStylePr w:type="swCell">
      <w:tblPr/>
      <w:tcPr>
        <w:tcBorders>
          <w:top w:val="single" w:sz="4" w:space="0" w:color="EB7F7F" w:themeColor="accent5" w:themeTint="99"/>
        </w:tcBorders>
      </w:tcPr>
    </w:tblStylePr>
  </w:style>
  <w:style w:type="table" w:styleId="GridTable7Colorful-Accent6">
    <w:name w:val="Grid Table 7 Colorful Accent 6"/>
    <w:basedOn w:val="TableNormal"/>
    <w:uiPriority w:val="52"/>
    <w:locked/>
    <w:rsid w:val="00FE198B"/>
    <w:pPr>
      <w:spacing w:after="0" w:line="240" w:lineRule="auto"/>
    </w:pPr>
    <w:rPr>
      <w:color w:val="392471" w:themeColor="accent6" w:themeShade="BF"/>
    </w:r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CFF0" w:themeFill="accent6" w:themeFillTint="33"/>
      </w:tcPr>
    </w:tblStylePr>
    <w:tblStylePr w:type="band1Horz">
      <w:tblPr/>
      <w:tcPr>
        <w:shd w:val="clear" w:color="auto" w:fill="D8CFF0" w:themeFill="accent6" w:themeFillTint="33"/>
      </w:tcPr>
    </w:tblStylePr>
    <w:tblStylePr w:type="neCell">
      <w:tblPr/>
      <w:tcPr>
        <w:tcBorders>
          <w:bottom w:val="single" w:sz="4" w:space="0" w:color="8C71D2" w:themeColor="accent6" w:themeTint="99"/>
        </w:tcBorders>
      </w:tcPr>
    </w:tblStylePr>
    <w:tblStylePr w:type="nwCell">
      <w:tblPr/>
      <w:tcPr>
        <w:tcBorders>
          <w:bottom w:val="single" w:sz="4" w:space="0" w:color="8C71D2" w:themeColor="accent6" w:themeTint="99"/>
        </w:tcBorders>
      </w:tcPr>
    </w:tblStylePr>
    <w:tblStylePr w:type="seCell">
      <w:tblPr/>
      <w:tcPr>
        <w:tcBorders>
          <w:top w:val="single" w:sz="4" w:space="0" w:color="8C71D2" w:themeColor="accent6" w:themeTint="99"/>
        </w:tcBorders>
      </w:tcPr>
    </w:tblStylePr>
    <w:tblStylePr w:type="swCell">
      <w:tblPr/>
      <w:tcPr>
        <w:tcBorders>
          <w:top w:val="single" w:sz="4" w:space="0" w:color="8C71D2" w:themeColor="accent6" w:themeTint="99"/>
        </w:tcBorders>
      </w:tcPr>
    </w:tblStylePr>
  </w:style>
  <w:style w:type="character" w:customStyle="1" w:styleId="Hashtag1">
    <w:name w:val="Hashtag1"/>
    <w:basedOn w:val="DefaultParagraphFont"/>
    <w:uiPriority w:val="99"/>
    <w:semiHidden/>
    <w:locked/>
    <w:rsid w:val="00FE198B"/>
    <w:rPr>
      <w:color w:val="2B579A"/>
      <w:shd w:val="clear" w:color="auto" w:fill="E1DFDD"/>
    </w:rPr>
  </w:style>
  <w:style w:type="character" w:styleId="HTMLCode">
    <w:name w:val="HTML Code"/>
    <w:basedOn w:val="DefaultParagraphFont"/>
    <w:uiPriority w:val="99"/>
    <w:semiHidden/>
    <w:locked/>
    <w:rsid w:val="00FE198B"/>
    <w:rPr>
      <w:rFonts w:ascii="Consolas" w:hAnsi="Consolas"/>
      <w:sz w:val="20"/>
      <w:szCs w:val="20"/>
    </w:rPr>
  </w:style>
  <w:style w:type="character" w:styleId="HTMLDefinition">
    <w:name w:val="HTML Definition"/>
    <w:basedOn w:val="DefaultParagraphFont"/>
    <w:uiPriority w:val="99"/>
    <w:semiHidden/>
    <w:locked/>
    <w:rsid w:val="00FE198B"/>
    <w:rPr>
      <w:i/>
      <w:iCs/>
    </w:rPr>
  </w:style>
  <w:style w:type="character" w:styleId="HTMLKeyboard">
    <w:name w:val="HTML Keyboard"/>
    <w:basedOn w:val="DefaultParagraphFont"/>
    <w:uiPriority w:val="99"/>
    <w:semiHidden/>
    <w:locked/>
    <w:rsid w:val="00FE198B"/>
    <w:rPr>
      <w:rFonts w:ascii="Consolas" w:hAnsi="Consolas"/>
      <w:sz w:val="20"/>
      <w:szCs w:val="20"/>
    </w:rPr>
  </w:style>
  <w:style w:type="paragraph" w:styleId="HTMLPreformatted">
    <w:name w:val="HTML Preformatted"/>
    <w:basedOn w:val="Normal"/>
    <w:link w:val="HTMLPreformattedChar"/>
    <w:uiPriority w:val="99"/>
    <w:semiHidden/>
    <w:locked/>
    <w:rsid w:val="00FE198B"/>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E198B"/>
    <w:rPr>
      <w:rFonts w:ascii="Consolas" w:hAnsi="Consolas"/>
      <w:sz w:val="20"/>
      <w:szCs w:val="20"/>
    </w:rPr>
  </w:style>
  <w:style w:type="character" w:styleId="HTMLSample">
    <w:name w:val="HTML Sample"/>
    <w:basedOn w:val="DefaultParagraphFont"/>
    <w:uiPriority w:val="99"/>
    <w:semiHidden/>
    <w:locked/>
    <w:rsid w:val="00FE198B"/>
    <w:rPr>
      <w:rFonts w:ascii="Consolas" w:hAnsi="Consolas"/>
      <w:sz w:val="24"/>
      <w:szCs w:val="24"/>
    </w:rPr>
  </w:style>
  <w:style w:type="character" w:styleId="HTMLTypewriter">
    <w:name w:val="HTML Typewriter"/>
    <w:basedOn w:val="DefaultParagraphFont"/>
    <w:uiPriority w:val="99"/>
    <w:semiHidden/>
    <w:locked/>
    <w:rsid w:val="00FE198B"/>
    <w:rPr>
      <w:rFonts w:ascii="Consolas" w:hAnsi="Consolas"/>
      <w:sz w:val="20"/>
      <w:szCs w:val="20"/>
    </w:rPr>
  </w:style>
  <w:style w:type="character" w:styleId="HTMLVariable">
    <w:name w:val="HTML Variable"/>
    <w:basedOn w:val="DefaultParagraphFont"/>
    <w:uiPriority w:val="99"/>
    <w:semiHidden/>
    <w:locked/>
    <w:rsid w:val="00FE198B"/>
    <w:rPr>
      <w:i/>
      <w:iCs/>
    </w:rPr>
  </w:style>
  <w:style w:type="paragraph" w:styleId="Index1">
    <w:name w:val="index 1"/>
    <w:basedOn w:val="Normal"/>
    <w:next w:val="Normal"/>
    <w:autoRedefine/>
    <w:uiPriority w:val="99"/>
    <w:semiHidden/>
    <w:locked/>
    <w:rsid w:val="00FE198B"/>
    <w:pPr>
      <w:spacing w:before="0" w:after="0" w:line="240" w:lineRule="auto"/>
      <w:ind w:left="220" w:hanging="220"/>
    </w:pPr>
  </w:style>
  <w:style w:type="paragraph" w:styleId="Index2">
    <w:name w:val="index 2"/>
    <w:basedOn w:val="Normal"/>
    <w:next w:val="Normal"/>
    <w:autoRedefine/>
    <w:uiPriority w:val="99"/>
    <w:semiHidden/>
    <w:locked/>
    <w:rsid w:val="00FE198B"/>
    <w:pPr>
      <w:spacing w:before="0" w:after="0" w:line="240" w:lineRule="auto"/>
      <w:ind w:left="440" w:hanging="220"/>
    </w:pPr>
  </w:style>
  <w:style w:type="paragraph" w:styleId="Index3">
    <w:name w:val="index 3"/>
    <w:basedOn w:val="Normal"/>
    <w:next w:val="Normal"/>
    <w:autoRedefine/>
    <w:uiPriority w:val="99"/>
    <w:semiHidden/>
    <w:locked/>
    <w:rsid w:val="00FE198B"/>
    <w:pPr>
      <w:spacing w:before="0" w:after="0" w:line="240" w:lineRule="auto"/>
      <w:ind w:left="660" w:hanging="220"/>
    </w:pPr>
  </w:style>
  <w:style w:type="paragraph" w:styleId="Index4">
    <w:name w:val="index 4"/>
    <w:basedOn w:val="Normal"/>
    <w:next w:val="Normal"/>
    <w:autoRedefine/>
    <w:uiPriority w:val="99"/>
    <w:semiHidden/>
    <w:locked/>
    <w:rsid w:val="00FE198B"/>
    <w:pPr>
      <w:spacing w:before="0" w:after="0" w:line="240" w:lineRule="auto"/>
      <w:ind w:left="880" w:hanging="220"/>
    </w:pPr>
  </w:style>
  <w:style w:type="paragraph" w:styleId="Index5">
    <w:name w:val="index 5"/>
    <w:basedOn w:val="Normal"/>
    <w:next w:val="Normal"/>
    <w:autoRedefine/>
    <w:uiPriority w:val="99"/>
    <w:semiHidden/>
    <w:locked/>
    <w:rsid w:val="00FE198B"/>
    <w:pPr>
      <w:spacing w:before="0" w:after="0" w:line="240" w:lineRule="auto"/>
      <w:ind w:left="1100" w:hanging="220"/>
    </w:pPr>
  </w:style>
  <w:style w:type="paragraph" w:styleId="Index6">
    <w:name w:val="index 6"/>
    <w:basedOn w:val="Normal"/>
    <w:next w:val="Normal"/>
    <w:autoRedefine/>
    <w:uiPriority w:val="99"/>
    <w:semiHidden/>
    <w:locked/>
    <w:rsid w:val="00FE198B"/>
    <w:pPr>
      <w:spacing w:before="0" w:after="0" w:line="240" w:lineRule="auto"/>
      <w:ind w:left="1320" w:hanging="220"/>
    </w:pPr>
  </w:style>
  <w:style w:type="paragraph" w:styleId="Index7">
    <w:name w:val="index 7"/>
    <w:basedOn w:val="Normal"/>
    <w:next w:val="Normal"/>
    <w:autoRedefine/>
    <w:uiPriority w:val="99"/>
    <w:semiHidden/>
    <w:locked/>
    <w:rsid w:val="00FE198B"/>
    <w:pPr>
      <w:spacing w:before="0" w:after="0" w:line="240" w:lineRule="auto"/>
      <w:ind w:left="1540" w:hanging="220"/>
    </w:pPr>
  </w:style>
  <w:style w:type="paragraph" w:styleId="Index8">
    <w:name w:val="index 8"/>
    <w:basedOn w:val="Normal"/>
    <w:next w:val="Normal"/>
    <w:autoRedefine/>
    <w:uiPriority w:val="99"/>
    <w:semiHidden/>
    <w:locked/>
    <w:rsid w:val="00FE198B"/>
    <w:pPr>
      <w:spacing w:before="0" w:after="0" w:line="240" w:lineRule="auto"/>
      <w:ind w:left="1760" w:hanging="220"/>
    </w:pPr>
  </w:style>
  <w:style w:type="paragraph" w:styleId="Index9">
    <w:name w:val="index 9"/>
    <w:basedOn w:val="Normal"/>
    <w:next w:val="Normal"/>
    <w:autoRedefine/>
    <w:uiPriority w:val="99"/>
    <w:semiHidden/>
    <w:locked/>
    <w:rsid w:val="00FE198B"/>
    <w:pPr>
      <w:spacing w:before="0" w:after="0" w:line="240" w:lineRule="auto"/>
      <w:ind w:left="1980" w:hanging="220"/>
    </w:pPr>
  </w:style>
  <w:style w:type="paragraph" w:styleId="IndexHeading">
    <w:name w:val="index heading"/>
    <w:basedOn w:val="Normal"/>
    <w:next w:val="Index1"/>
    <w:uiPriority w:val="99"/>
    <w:semiHidden/>
    <w:locked/>
    <w:rsid w:val="00FE198B"/>
    <w:rPr>
      <w:rFonts w:asciiTheme="majorHAnsi" w:eastAsiaTheme="majorEastAsia" w:hAnsiTheme="majorHAnsi" w:cstheme="majorBidi"/>
      <w:b/>
      <w:bCs/>
    </w:rPr>
  </w:style>
  <w:style w:type="character" w:styleId="IntenseEmphasis">
    <w:name w:val="Intense Emphasis"/>
    <w:basedOn w:val="DefaultParagraphFont"/>
    <w:uiPriority w:val="21"/>
    <w:qFormat/>
    <w:locked/>
    <w:rsid w:val="00FE198B"/>
    <w:rPr>
      <w:i/>
      <w:iCs/>
      <w:color w:val="47A843" w:themeColor="accent1"/>
    </w:rPr>
  </w:style>
  <w:style w:type="character" w:styleId="IntenseReference">
    <w:name w:val="Intense Reference"/>
    <w:basedOn w:val="DefaultParagraphFont"/>
    <w:uiPriority w:val="32"/>
    <w:qFormat/>
    <w:locked/>
    <w:rsid w:val="00FE198B"/>
    <w:rPr>
      <w:b/>
      <w:bCs/>
      <w:smallCaps/>
      <w:color w:val="47A843" w:themeColor="accent1"/>
      <w:spacing w:val="5"/>
    </w:rPr>
  </w:style>
  <w:style w:type="table" w:styleId="LightGrid">
    <w:name w:val="Light Grid"/>
    <w:basedOn w:val="TableNormal"/>
    <w:uiPriority w:val="62"/>
    <w:semiHidden/>
    <w:unhideWhenUsed/>
    <w:locked/>
    <w:rsid w:val="00FE198B"/>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locked/>
    <w:rsid w:val="00FE198B"/>
    <w:pPr>
      <w:spacing w:before="0" w:after="0" w:line="240" w:lineRule="auto"/>
    </w:p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insideH w:val="single" w:sz="8" w:space="0" w:color="47A843" w:themeColor="accent1"/>
        <w:insideV w:val="single" w:sz="8" w:space="0" w:color="47A84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A843" w:themeColor="accent1"/>
          <w:left w:val="single" w:sz="8" w:space="0" w:color="47A843" w:themeColor="accent1"/>
          <w:bottom w:val="single" w:sz="18" w:space="0" w:color="47A843" w:themeColor="accent1"/>
          <w:right w:val="single" w:sz="8" w:space="0" w:color="47A843" w:themeColor="accent1"/>
          <w:insideH w:val="nil"/>
          <w:insideV w:val="single" w:sz="8" w:space="0" w:color="47A84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A843" w:themeColor="accent1"/>
          <w:left w:val="single" w:sz="8" w:space="0" w:color="47A843" w:themeColor="accent1"/>
          <w:bottom w:val="single" w:sz="8" w:space="0" w:color="47A843" w:themeColor="accent1"/>
          <w:right w:val="single" w:sz="8" w:space="0" w:color="47A843" w:themeColor="accent1"/>
          <w:insideH w:val="nil"/>
          <w:insideV w:val="single" w:sz="8" w:space="0" w:color="47A84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tcPr>
    </w:tblStylePr>
    <w:tblStylePr w:type="band1Vert">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shd w:val="clear" w:color="auto" w:fill="CFEBCE" w:themeFill="accent1" w:themeFillTint="3F"/>
      </w:tcPr>
    </w:tblStylePr>
    <w:tblStylePr w:type="band1Horz">
      <w:tblPr/>
      <w:tcPr>
        <w:tcBorders>
          <w:top w:val="single" w:sz="8" w:space="0" w:color="47A843" w:themeColor="accent1"/>
          <w:left w:val="single" w:sz="8" w:space="0" w:color="47A843" w:themeColor="accent1"/>
          <w:bottom w:val="single" w:sz="8" w:space="0" w:color="47A843" w:themeColor="accent1"/>
          <w:right w:val="single" w:sz="8" w:space="0" w:color="47A843" w:themeColor="accent1"/>
          <w:insideV w:val="single" w:sz="8" w:space="0" w:color="47A843" w:themeColor="accent1"/>
        </w:tcBorders>
        <w:shd w:val="clear" w:color="auto" w:fill="CFEBCE" w:themeFill="accent1" w:themeFillTint="3F"/>
      </w:tcPr>
    </w:tblStylePr>
    <w:tblStylePr w:type="band2Horz">
      <w:tblPr/>
      <w:tcPr>
        <w:tcBorders>
          <w:top w:val="single" w:sz="8" w:space="0" w:color="47A843" w:themeColor="accent1"/>
          <w:left w:val="single" w:sz="8" w:space="0" w:color="47A843" w:themeColor="accent1"/>
          <w:bottom w:val="single" w:sz="8" w:space="0" w:color="47A843" w:themeColor="accent1"/>
          <w:right w:val="single" w:sz="8" w:space="0" w:color="47A843" w:themeColor="accent1"/>
          <w:insideV w:val="single" w:sz="8" w:space="0" w:color="47A843" w:themeColor="accent1"/>
        </w:tcBorders>
      </w:tcPr>
    </w:tblStylePr>
  </w:style>
  <w:style w:type="table" w:styleId="LightGrid-Accent2">
    <w:name w:val="Light Grid Accent 2"/>
    <w:basedOn w:val="TableNormal"/>
    <w:uiPriority w:val="62"/>
    <w:semiHidden/>
    <w:unhideWhenUsed/>
    <w:locked/>
    <w:rsid w:val="00FE198B"/>
    <w:pPr>
      <w:spacing w:before="0" w:after="0" w:line="240" w:lineRule="auto"/>
    </w:p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insideH w:val="single" w:sz="8" w:space="0" w:color="B2D83A" w:themeColor="accent2"/>
        <w:insideV w:val="single" w:sz="8" w:space="0" w:color="B2D83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D83A" w:themeColor="accent2"/>
          <w:left w:val="single" w:sz="8" w:space="0" w:color="B2D83A" w:themeColor="accent2"/>
          <w:bottom w:val="single" w:sz="18" w:space="0" w:color="B2D83A" w:themeColor="accent2"/>
          <w:right w:val="single" w:sz="8" w:space="0" w:color="B2D83A" w:themeColor="accent2"/>
          <w:insideH w:val="nil"/>
          <w:insideV w:val="single" w:sz="8" w:space="0" w:color="B2D83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D83A" w:themeColor="accent2"/>
          <w:left w:val="single" w:sz="8" w:space="0" w:color="B2D83A" w:themeColor="accent2"/>
          <w:bottom w:val="single" w:sz="8" w:space="0" w:color="B2D83A" w:themeColor="accent2"/>
          <w:right w:val="single" w:sz="8" w:space="0" w:color="B2D83A" w:themeColor="accent2"/>
          <w:insideH w:val="nil"/>
          <w:insideV w:val="single" w:sz="8" w:space="0" w:color="B2D83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tcPr>
    </w:tblStylePr>
    <w:tblStylePr w:type="band1Vert">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shd w:val="clear" w:color="auto" w:fill="EBF5CE" w:themeFill="accent2" w:themeFillTint="3F"/>
      </w:tcPr>
    </w:tblStylePr>
    <w:tblStylePr w:type="band1Horz">
      <w:tblPr/>
      <w:tcPr>
        <w:tcBorders>
          <w:top w:val="single" w:sz="8" w:space="0" w:color="B2D83A" w:themeColor="accent2"/>
          <w:left w:val="single" w:sz="8" w:space="0" w:color="B2D83A" w:themeColor="accent2"/>
          <w:bottom w:val="single" w:sz="8" w:space="0" w:color="B2D83A" w:themeColor="accent2"/>
          <w:right w:val="single" w:sz="8" w:space="0" w:color="B2D83A" w:themeColor="accent2"/>
          <w:insideV w:val="single" w:sz="8" w:space="0" w:color="B2D83A" w:themeColor="accent2"/>
        </w:tcBorders>
        <w:shd w:val="clear" w:color="auto" w:fill="EBF5CE" w:themeFill="accent2" w:themeFillTint="3F"/>
      </w:tcPr>
    </w:tblStylePr>
    <w:tblStylePr w:type="band2Horz">
      <w:tblPr/>
      <w:tcPr>
        <w:tcBorders>
          <w:top w:val="single" w:sz="8" w:space="0" w:color="B2D83A" w:themeColor="accent2"/>
          <w:left w:val="single" w:sz="8" w:space="0" w:color="B2D83A" w:themeColor="accent2"/>
          <w:bottom w:val="single" w:sz="8" w:space="0" w:color="B2D83A" w:themeColor="accent2"/>
          <w:right w:val="single" w:sz="8" w:space="0" w:color="B2D83A" w:themeColor="accent2"/>
          <w:insideV w:val="single" w:sz="8" w:space="0" w:color="B2D83A" w:themeColor="accent2"/>
        </w:tcBorders>
      </w:tcPr>
    </w:tblStylePr>
  </w:style>
  <w:style w:type="table" w:styleId="LightGrid-Accent3">
    <w:name w:val="Light Grid Accent 3"/>
    <w:basedOn w:val="TableNormal"/>
    <w:uiPriority w:val="62"/>
    <w:semiHidden/>
    <w:unhideWhenUsed/>
    <w:locked/>
    <w:rsid w:val="00FE198B"/>
    <w:pPr>
      <w:spacing w:before="0" w:after="0" w:line="240" w:lineRule="auto"/>
    </w:p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insideH w:val="single" w:sz="8" w:space="0" w:color="0066BE" w:themeColor="accent3"/>
        <w:insideV w:val="single" w:sz="8" w:space="0" w:color="0066B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6BE" w:themeColor="accent3"/>
          <w:left w:val="single" w:sz="8" w:space="0" w:color="0066BE" w:themeColor="accent3"/>
          <w:bottom w:val="single" w:sz="18" w:space="0" w:color="0066BE" w:themeColor="accent3"/>
          <w:right w:val="single" w:sz="8" w:space="0" w:color="0066BE" w:themeColor="accent3"/>
          <w:insideH w:val="nil"/>
          <w:insideV w:val="single" w:sz="8" w:space="0" w:color="0066B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6BE" w:themeColor="accent3"/>
          <w:left w:val="single" w:sz="8" w:space="0" w:color="0066BE" w:themeColor="accent3"/>
          <w:bottom w:val="single" w:sz="8" w:space="0" w:color="0066BE" w:themeColor="accent3"/>
          <w:right w:val="single" w:sz="8" w:space="0" w:color="0066BE" w:themeColor="accent3"/>
          <w:insideH w:val="nil"/>
          <w:insideV w:val="single" w:sz="8" w:space="0" w:color="0066B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tcPr>
    </w:tblStylePr>
    <w:tblStylePr w:type="band1Vert">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shd w:val="clear" w:color="auto" w:fill="AFD9FF" w:themeFill="accent3" w:themeFillTint="3F"/>
      </w:tcPr>
    </w:tblStylePr>
    <w:tblStylePr w:type="band1Horz">
      <w:tblPr/>
      <w:tcPr>
        <w:tcBorders>
          <w:top w:val="single" w:sz="8" w:space="0" w:color="0066BE" w:themeColor="accent3"/>
          <w:left w:val="single" w:sz="8" w:space="0" w:color="0066BE" w:themeColor="accent3"/>
          <w:bottom w:val="single" w:sz="8" w:space="0" w:color="0066BE" w:themeColor="accent3"/>
          <w:right w:val="single" w:sz="8" w:space="0" w:color="0066BE" w:themeColor="accent3"/>
          <w:insideV w:val="single" w:sz="8" w:space="0" w:color="0066BE" w:themeColor="accent3"/>
        </w:tcBorders>
        <w:shd w:val="clear" w:color="auto" w:fill="AFD9FF" w:themeFill="accent3" w:themeFillTint="3F"/>
      </w:tcPr>
    </w:tblStylePr>
    <w:tblStylePr w:type="band2Horz">
      <w:tblPr/>
      <w:tcPr>
        <w:tcBorders>
          <w:top w:val="single" w:sz="8" w:space="0" w:color="0066BE" w:themeColor="accent3"/>
          <w:left w:val="single" w:sz="8" w:space="0" w:color="0066BE" w:themeColor="accent3"/>
          <w:bottom w:val="single" w:sz="8" w:space="0" w:color="0066BE" w:themeColor="accent3"/>
          <w:right w:val="single" w:sz="8" w:space="0" w:color="0066BE" w:themeColor="accent3"/>
          <w:insideV w:val="single" w:sz="8" w:space="0" w:color="0066BE" w:themeColor="accent3"/>
        </w:tcBorders>
      </w:tcPr>
    </w:tblStylePr>
  </w:style>
  <w:style w:type="table" w:styleId="LightGrid-Accent4">
    <w:name w:val="Light Grid Accent 4"/>
    <w:basedOn w:val="TableNormal"/>
    <w:uiPriority w:val="62"/>
    <w:semiHidden/>
    <w:unhideWhenUsed/>
    <w:locked/>
    <w:rsid w:val="00FE198B"/>
    <w:pPr>
      <w:spacing w:before="0" w:after="0" w:line="240" w:lineRule="auto"/>
    </w:p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insideH w:val="single" w:sz="8" w:space="0" w:color="EC7023" w:themeColor="accent4"/>
        <w:insideV w:val="single" w:sz="8" w:space="0" w:color="EC702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7023" w:themeColor="accent4"/>
          <w:left w:val="single" w:sz="8" w:space="0" w:color="EC7023" w:themeColor="accent4"/>
          <w:bottom w:val="single" w:sz="18" w:space="0" w:color="EC7023" w:themeColor="accent4"/>
          <w:right w:val="single" w:sz="8" w:space="0" w:color="EC7023" w:themeColor="accent4"/>
          <w:insideH w:val="nil"/>
          <w:insideV w:val="single" w:sz="8" w:space="0" w:color="EC702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7023" w:themeColor="accent4"/>
          <w:left w:val="single" w:sz="8" w:space="0" w:color="EC7023" w:themeColor="accent4"/>
          <w:bottom w:val="single" w:sz="8" w:space="0" w:color="EC7023" w:themeColor="accent4"/>
          <w:right w:val="single" w:sz="8" w:space="0" w:color="EC7023" w:themeColor="accent4"/>
          <w:insideH w:val="nil"/>
          <w:insideV w:val="single" w:sz="8" w:space="0" w:color="EC702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tcPr>
    </w:tblStylePr>
    <w:tblStylePr w:type="band1Vert">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shd w:val="clear" w:color="auto" w:fill="FADBC8" w:themeFill="accent4" w:themeFillTint="3F"/>
      </w:tcPr>
    </w:tblStylePr>
    <w:tblStylePr w:type="band1Horz">
      <w:tblPr/>
      <w:tcPr>
        <w:tcBorders>
          <w:top w:val="single" w:sz="8" w:space="0" w:color="EC7023" w:themeColor="accent4"/>
          <w:left w:val="single" w:sz="8" w:space="0" w:color="EC7023" w:themeColor="accent4"/>
          <w:bottom w:val="single" w:sz="8" w:space="0" w:color="EC7023" w:themeColor="accent4"/>
          <w:right w:val="single" w:sz="8" w:space="0" w:color="EC7023" w:themeColor="accent4"/>
          <w:insideV w:val="single" w:sz="8" w:space="0" w:color="EC7023" w:themeColor="accent4"/>
        </w:tcBorders>
        <w:shd w:val="clear" w:color="auto" w:fill="FADBC8" w:themeFill="accent4" w:themeFillTint="3F"/>
      </w:tcPr>
    </w:tblStylePr>
    <w:tblStylePr w:type="band2Horz">
      <w:tblPr/>
      <w:tcPr>
        <w:tcBorders>
          <w:top w:val="single" w:sz="8" w:space="0" w:color="EC7023" w:themeColor="accent4"/>
          <w:left w:val="single" w:sz="8" w:space="0" w:color="EC7023" w:themeColor="accent4"/>
          <w:bottom w:val="single" w:sz="8" w:space="0" w:color="EC7023" w:themeColor="accent4"/>
          <w:right w:val="single" w:sz="8" w:space="0" w:color="EC7023" w:themeColor="accent4"/>
          <w:insideV w:val="single" w:sz="8" w:space="0" w:color="EC7023" w:themeColor="accent4"/>
        </w:tcBorders>
      </w:tcPr>
    </w:tblStylePr>
  </w:style>
  <w:style w:type="table" w:styleId="LightGrid-Accent5">
    <w:name w:val="Light Grid Accent 5"/>
    <w:basedOn w:val="TableNormal"/>
    <w:uiPriority w:val="62"/>
    <w:semiHidden/>
    <w:unhideWhenUsed/>
    <w:locked/>
    <w:rsid w:val="00FE198B"/>
    <w:pPr>
      <w:spacing w:before="0" w:after="0" w:line="240" w:lineRule="auto"/>
    </w:p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insideH w:val="single" w:sz="8" w:space="0" w:color="DF2A2A" w:themeColor="accent5"/>
        <w:insideV w:val="single" w:sz="8" w:space="0" w:color="DF2A2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F2A2A" w:themeColor="accent5"/>
          <w:left w:val="single" w:sz="8" w:space="0" w:color="DF2A2A" w:themeColor="accent5"/>
          <w:bottom w:val="single" w:sz="18" w:space="0" w:color="DF2A2A" w:themeColor="accent5"/>
          <w:right w:val="single" w:sz="8" w:space="0" w:color="DF2A2A" w:themeColor="accent5"/>
          <w:insideH w:val="nil"/>
          <w:insideV w:val="single" w:sz="8" w:space="0" w:color="DF2A2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F2A2A" w:themeColor="accent5"/>
          <w:left w:val="single" w:sz="8" w:space="0" w:color="DF2A2A" w:themeColor="accent5"/>
          <w:bottom w:val="single" w:sz="8" w:space="0" w:color="DF2A2A" w:themeColor="accent5"/>
          <w:right w:val="single" w:sz="8" w:space="0" w:color="DF2A2A" w:themeColor="accent5"/>
          <w:insideH w:val="nil"/>
          <w:insideV w:val="single" w:sz="8" w:space="0" w:color="DF2A2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tcPr>
    </w:tblStylePr>
    <w:tblStylePr w:type="band1Vert">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shd w:val="clear" w:color="auto" w:fill="F7CACA" w:themeFill="accent5" w:themeFillTint="3F"/>
      </w:tcPr>
    </w:tblStylePr>
    <w:tblStylePr w:type="band1Horz">
      <w:tblPr/>
      <w:tcPr>
        <w:tcBorders>
          <w:top w:val="single" w:sz="8" w:space="0" w:color="DF2A2A" w:themeColor="accent5"/>
          <w:left w:val="single" w:sz="8" w:space="0" w:color="DF2A2A" w:themeColor="accent5"/>
          <w:bottom w:val="single" w:sz="8" w:space="0" w:color="DF2A2A" w:themeColor="accent5"/>
          <w:right w:val="single" w:sz="8" w:space="0" w:color="DF2A2A" w:themeColor="accent5"/>
          <w:insideV w:val="single" w:sz="8" w:space="0" w:color="DF2A2A" w:themeColor="accent5"/>
        </w:tcBorders>
        <w:shd w:val="clear" w:color="auto" w:fill="F7CACA" w:themeFill="accent5" w:themeFillTint="3F"/>
      </w:tcPr>
    </w:tblStylePr>
    <w:tblStylePr w:type="band2Horz">
      <w:tblPr/>
      <w:tcPr>
        <w:tcBorders>
          <w:top w:val="single" w:sz="8" w:space="0" w:color="DF2A2A" w:themeColor="accent5"/>
          <w:left w:val="single" w:sz="8" w:space="0" w:color="DF2A2A" w:themeColor="accent5"/>
          <w:bottom w:val="single" w:sz="8" w:space="0" w:color="DF2A2A" w:themeColor="accent5"/>
          <w:right w:val="single" w:sz="8" w:space="0" w:color="DF2A2A" w:themeColor="accent5"/>
          <w:insideV w:val="single" w:sz="8" w:space="0" w:color="DF2A2A" w:themeColor="accent5"/>
        </w:tcBorders>
      </w:tcPr>
    </w:tblStylePr>
  </w:style>
  <w:style w:type="table" w:styleId="LightGrid-Accent6">
    <w:name w:val="Light Grid Accent 6"/>
    <w:basedOn w:val="TableNormal"/>
    <w:uiPriority w:val="62"/>
    <w:semiHidden/>
    <w:unhideWhenUsed/>
    <w:locked/>
    <w:rsid w:val="00FE198B"/>
    <w:pPr>
      <w:spacing w:before="0" w:after="0" w:line="240" w:lineRule="auto"/>
    </w:p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insideH w:val="single" w:sz="8" w:space="0" w:color="4D3097" w:themeColor="accent6"/>
        <w:insideV w:val="single" w:sz="8" w:space="0" w:color="4D309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3097" w:themeColor="accent6"/>
          <w:left w:val="single" w:sz="8" w:space="0" w:color="4D3097" w:themeColor="accent6"/>
          <w:bottom w:val="single" w:sz="18" w:space="0" w:color="4D3097" w:themeColor="accent6"/>
          <w:right w:val="single" w:sz="8" w:space="0" w:color="4D3097" w:themeColor="accent6"/>
          <w:insideH w:val="nil"/>
          <w:insideV w:val="single" w:sz="8" w:space="0" w:color="4D309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3097" w:themeColor="accent6"/>
          <w:left w:val="single" w:sz="8" w:space="0" w:color="4D3097" w:themeColor="accent6"/>
          <w:bottom w:val="single" w:sz="8" w:space="0" w:color="4D3097" w:themeColor="accent6"/>
          <w:right w:val="single" w:sz="8" w:space="0" w:color="4D3097" w:themeColor="accent6"/>
          <w:insideH w:val="nil"/>
          <w:insideV w:val="single" w:sz="8" w:space="0" w:color="4D309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tcPr>
    </w:tblStylePr>
    <w:tblStylePr w:type="band1Vert">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shd w:val="clear" w:color="auto" w:fill="CFC4EC" w:themeFill="accent6" w:themeFillTint="3F"/>
      </w:tcPr>
    </w:tblStylePr>
    <w:tblStylePr w:type="band1Horz">
      <w:tblPr/>
      <w:tcPr>
        <w:tcBorders>
          <w:top w:val="single" w:sz="8" w:space="0" w:color="4D3097" w:themeColor="accent6"/>
          <w:left w:val="single" w:sz="8" w:space="0" w:color="4D3097" w:themeColor="accent6"/>
          <w:bottom w:val="single" w:sz="8" w:space="0" w:color="4D3097" w:themeColor="accent6"/>
          <w:right w:val="single" w:sz="8" w:space="0" w:color="4D3097" w:themeColor="accent6"/>
          <w:insideV w:val="single" w:sz="8" w:space="0" w:color="4D3097" w:themeColor="accent6"/>
        </w:tcBorders>
        <w:shd w:val="clear" w:color="auto" w:fill="CFC4EC" w:themeFill="accent6" w:themeFillTint="3F"/>
      </w:tcPr>
    </w:tblStylePr>
    <w:tblStylePr w:type="band2Horz">
      <w:tblPr/>
      <w:tcPr>
        <w:tcBorders>
          <w:top w:val="single" w:sz="8" w:space="0" w:color="4D3097" w:themeColor="accent6"/>
          <w:left w:val="single" w:sz="8" w:space="0" w:color="4D3097" w:themeColor="accent6"/>
          <w:bottom w:val="single" w:sz="8" w:space="0" w:color="4D3097" w:themeColor="accent6"/>
          <w:right w:val="single" w:sz="8" w:space="0" w:color="4D3097" w:themeColor="accent6"/>
          <w:insideV w:val="single" w:sz="8" w:space="0" w:color="4D3097" w:themeColor="accent6"/>
        </w:tcBorders>
      </w:tcPr>
    </w:tblStylePr>
  </w:style>
  <w:style w:type="table" w:styleId="LightList">
    <w:name w:val="Light List"/>
    <w:basedOn w:val="TableNormal"/>
    <w:uiPriority w:val="61"/>
    <w:semiHidden/>
    <w:unhideWhenUsed/>
    <w:locked/>
    <w:rsid w:val="00FE198B"/>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locked/>
    <w:rsid w:val="00FE198B"/>
    <w:pPr>
      <w:spacing w:before="0" w:after="0" w:line="240" w:lineRule="auto"/>
    </w:p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tblBorders>
    </w:tblPr>
    <w:tblStylePr w:type="firstRow">
      <w:pPr>
        <w:spacing w:before="0" w:after="0" w:line="240" w:lineRule="auto"/>
      </w:pPr>
      <w:rPr>
        <w:b/>
        <w:bCs/>
        <w:color w:val="FFFFFF" w:themeColor="background1"/>
      </w:rPr>
      <w:tblPr/>
      <w:tcPr>
        <w:shd w:val="clear" w:color="auto" w:fill="47A843" w:themeFill="accent1"/>
      </w:tcPr>
    </w:tblStylePr>
    <w:tblStylePr w:type="lastRow">
      <w:pPr>
        <w:spacing w:before="0" w:after="0" w:line="240" w:lineRule="auto"/>
      </w:pPr>
      <w:rPr>
        <w:b/>
        <w:bCs/>
      </w:rPr>
      <w:tblPr/>
      <w:tcPr>
        <w:tcBorders>
          <w:top w:val="double" w:sz="6" w:space="0" w:color="47A843" w:themeColor="accent1"/>
          <w:left w:val="single" w:sz="8" w:space="0" w:color="47A843" w:themeColor="accent1"/>
          <w:bottom w:val="single" w:sz="8" w:space="0" w:color="47A843" w:themeColor="accent1"/>
          <w:right w:val="single" w:sz="8" w:space="0" w:color="47A843" w:themeColor="accent1"/>
        </w:tcBorders>
      </w:tcPr>
    </w:tblStylePr>
    <w:tblStylePr w:type="firstCol">
      <w:rPr>
        <w:b/>
        <w:bCs/>
      </w:rPr>
    </w:tblStylePr>
    <w:tblStylePr w:type="lastCol">
      <w:rPr>
        <w:b/>
        <w:bCs/>
      </w:rPr>
    </w:tblStylePr>
    <w:tblStylePr w:type="band1Vert">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tcPr>
    </w:tblStylePr>
    <w:tblStylePr w:type="band1Horz">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tcPr>
    </w:tblStylePr>
  </w:style>
  <w:style w:type="table" w:styleId="LightList-Accent2">
    <w:name w:val="Light List Accent 2"/>
    <w:basedOn w:val="TableNormal"/>
    <w:uiPriority w:val="61"/>
    <w:semiHidden/>
    <w:unhideWhenUsed/>
    <w:locked/>
    <w:rsid w:val="00FE198B"/>
    <w:pPr>
      <w:spacing w:before="0" w:after="0" w:line="240" w:lineRule="auto"/>
    </w:p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tblBorders>
    </w:tblPr>
    <w:tblStylePr w:type="firstRow">
      <w:pPr>
        <w:spacing w:before="0" w:after="0" w:line="240" w:lineRule="auto"/>
      </w:pPr>
      <w:rPr>
        <w:b/>
        <w:bCs/>
        <w:color w:val="FFFFFF" w:themeColor="background1"/>
      </w:rPr>
      <w:tblPr/>
      <w:tcPr>
        <w:shd w:val="clear" w:color="auto" w:fill="B2D83A" w:themeFill="accent2"/>
      </w:tcPr>
    </w:tblStylePr>
    <w:tblStylePr w:type="lastRow">
      <w:pPr>
        <w:spacing w:before="0" w:after="0" w:line="240" w:lineRule="auto"/>
      </w:pPr>
      <w:rPr>
        <w:b/>
        <w:bCs/>
      </w:rPr>
      <w:tblPr/>
      <w:tcPr>
        <w:tcBorders>
          <w:top w:val="double" w:sz="6" w:space="0" w:color="B2D83A" w:themeColor="accent2"/>
          <w:left w:val="single" w:sz="8" w:space="0" w:color="B2D83A" w:themeColor="accent2"/>
          <w:bottom w:val="single" w:sz="8" w:space="0" w:color="B2D83A" w:themeColor="accent2"/>
          <w:right w:val="single" w:sz="8" w:space="0" w:color="B2D83A" w:themeColor="accent2"/>
        </w:tcBorders>
      </w:tcPr>
    </w:tblStylePr>
    <w:tblStylePr w:type="firstCol">
      <w:rPr>
        <w:b/>
        <w:bCs/>
      </w:rPr>
    </w:tblStylePr>
    <w:tblStylePr w:type="lastCol">
      <w:rPr>
        <w:b/>
        <w:bCs/>
      </w:rPr>
    </w:tblStylePr>
    <w:tblStylePr w:type="band1Vert">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tcPr>
    </w:tblStylePr>
    <w:tblStylePr w:type="band1Horz">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tcPr>
    </w:tblStylePr>
  </w:style>
  <w:style w:type="table" w:styleId="LightList-Accent3">
    <w:name w:val="Light List Accent 3"/>
    <w:basedOn w:val="TableNormal"/>
    <w:uiPriority w:val="61"/>
    <w:semiHidden/>
    <w:unhideWhenUsed/>
    <w:locked/>
    <w:rsid w:val="00FE198B"/>
    <w:pPr>
      <w:spacing w:before="0" w:after="0" w:line="240" w:lineRule="auto"/>
    </w:p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tblBorders>
    </w:tblPr>
    <w:tblStylePr w:type="firstRow">
      <w:pPr>
        <w:spacing w:before="0" w:after="0" w:line="240" w:lineRule="auto"/>
      </w:pPr>
      <w:rPr>
        <w:b/>
        <w:bCs/>
        <w:color w:val="FFFFFF" w:themeColor="background1"/>
      </w:rPr>
      <w:tblPr/>
      <w:tcPr>
        <w:shd w:val="clear" w:color="auto" w:fill="0066BE" w:themeFill="accent3"/>
      </w:tcPr>
    </w:tblStylePr>
    <w:tblStylePr w:type="lastRow">
      <w:pPr>
        <w:spacing w:before="0" w:after="0" w:line="240" w:lineRule="auto"/>
      </w:pPr>
      <w:rPr>
        <w:b/>
        <w:bCs/>
      </w:rPr>
      <w:tblPr/>
      <w:tcPr>
        <w:tcBorders>
          <w:top w:val="double" w:sz="6" w:space="0" w:color="0066BE" w:themeColor="accent3"/>
          <w:left w:val="single" w:sz="8" w:space="0" w:color="0066BE" w:themeColor="accent3"/>
          <w:bottom w:val="single" w:sz="8" w:space="0" w:color="0066BE" w:themeColor="accent3"/>
          <w:right w:val="single" w:sz="8" w:space="0" w:color="0066BE" w:themeColor="accent3"/>
        </w:tcBorders>
      </w:tcPr>
    </w:tblStylePr>
    <w:tblStylePr w:type="firstCol">
      <w:rPr>
        <w:b/>
        <w:bCs/>
      </w:rPr>
    </w:tblStylePr>
    <w:tblStylePr w:type="lastCol">
      <w:rPr>
        <w:b/>
        <w:bCs/>
      </w:rPr>
    </w:tblStylePr>
    <w:tblStylePr w:type="band1Vert">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tcPr>
    </w:tblStylePr>
    <w:tblStylePr w:type="band1Horz">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tcPr>
    </w:tblStylePr>
  </w:style>
  <w:style w:type="table" w:styleId="LightList-Accent4">
    <w:name w:val="Light List Accent 4"/>
    <w:basedOn w:val="TableNormal"/>
    <w:uiPriority w:val="61"/>
    <w:semiHidden/>
    <w:unhideWhenUsed/>
    <w:locked/>
    <w:rsid w:val="00FE198B"/>
    <w:pPr>
      <w:spacing w:before="0" w:after="0" w:line="240" w:lineRule="auto"/>
    </w:p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tblBorders>
    </w:tblPr>
    <w:tblStylePr w:type="firstRow">
      <w:pPr>
        <w:spacing w:before="0" w:after="0" w:line="240" w:lineRule="auto"/>
      </w:pPr>
      <w:rPr>
        <w:b/>
        <w:bCs/>
        <w:color w:val="FFFFFF" w:themeColor="background1"/>
      </w:rPr>
      <w:tblPr/>
      <w:tcPr>
        <w:shd w:val="clear" w:color="auto" w:fill="EC7023" w:themeFill="accent4"/>
      </w:tcPr>
    </w:tblStylePr>
    <w:tblStylePr w:type="lastRow">
      <w:pPr>
        <w:spacing w:before="0" w:after="0" w:line="240" w:lineRule="auto"/>
      </w:pPr>
      <w:rPr>
        <w:b/>
        <w:bCs/>
      </w:rPr>
      <w:tblPr/>
      <w:tcPr>
        <w:tcBorders>
          <w:top w:val="double" w:sz="6" w:space="0" w:color="EC7023" w:themeColor="accent4"/>
          <w:left w:val="single" w:sz="8" w:space="0" w:color="EC7023" w:themeColor="accent4"/>
          <w:bottom w:val="single" w:sz="8" w:space="0" w:color="EC7023" w:themeColor="accent4"/>
          <w:right w:val="single" w:sz="8" w:space="0" w:color="EC7023" w:themeColor="accent4"/>
        </w:tcBorders>
      </w:tcPr>
    </w:tblStylePr>
    <w:tblStylePr w:type="firstCol">
      <w:rPr>
        <w:b/>
        <w:bCs/>
      </w:rPr>
    </w:tblStylePr>
    <w:tblStylePr w:type="lastCol">
      <w:rPr>
        <w:b/>
        <w:bCs/>
      </w:rPr>
    </w:tblStylePr>
    <w:tblStylePr w:type="band1Vert">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tcPr>
    </w:tblStylePr>
    <w:tblStylePr w:type="band1Horz">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tcPr>
    </w:tblStylePr>
  </w:style>
  <w:style w:type="table" w:styleId="LightList-Accent5">
    <w:name w:val="Light List Accent 5"/>
    <w:basedOn w:val="TableNormal"/>
    <w:uiPriority w:val="61"/>
    <w:semiHidden/>
    <w:unhideWhenUsed/>
    <w:locked/>
    <w:rsid w:val="00FE198B"/>
    <w:pPr>
      <w:spacing w:before="0" w:after="0" w:line="240" w:lineRule="auto"/>
    </w:p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tblBorders>
    </w:tblPr>
    <w:tblStylePr w:type="firstRow">
      <w:pPr>
        <w:spacing w:before="0" w:after="0" w:line="240" w:lineRule="auto"/>
      </w:pPr>
      <w:rPr>
        <w:b/>
        <w:bCs/>
        <w:color w:val="FFFFFF" w:themeColor="background1"/>
      </w:rPr>
      <w:tblPr/>
      <w:tcPr>
        <w:shd w:val="clear" w:color="auto" w:fill="DF2A2A" w:themeFill="accent5"/>
      </w:tcPr>
    </w:tblStylePr>
    <w:tblStylePr w:type="lastRow">
      <w:pPr>
        <w:spacing w:before="0" w:after="0" w:line="240" w:lineRule="auto"/>
      </w:pPr>
      <w:rPr>
        <w:b/>
        <w:bCs/>
      </w:rPr>
      <w:tblPr/>
      <w:tcPr>
        <w:tcBorders>
          <w:top w:val="double" w:sz="6" w:space="0" w:color="DF2A2A" w:themeColor="accent5"/>
          <w:left w:val="single" w:sz="8" w:space="0" w:color="DF2A2A" w:themeColor="accent5"/>
          <w:bottom w:val="single" w:sz="8" w:space="0" w:color="DF2A2A" w:themeColor="accent5"/>
          <w:right w:val="single" w:sz="8" w:space="0" w:color="DF2A2A" w:themeColor="accent5"/>
        </w:tcBorders>
      </w:tcPr>
    </w:tblStylePr>
    <w:tblStylePr w:type="firstCol">
      <w:rPr>
        <w:b/>
        <w:bCs/>
      </w:rPr>
    </w:tblStylePr>
    <w:tblStylePr w:type="lastCol">
      <w:rPr>
        <w:b/>
        <w:bCs/>
      </w:rPr>
    </w:tblStylePr>
    <w:tblStylePr w:type="band1Vert">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tcPr>
    </w:tblStylePr>
    <w:tblStylePr w:type="band1Horz">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tcPr>
    </w:tblStylePr>
  </w:style>
  <w:style w:type="table" w:styleId="LightList-Accent6">
    <w:name w:val="Light List Accent 6"/>
    <w:basedOn w:val="TableNormal"/>
    <w:uiPriority w:val="61"/>
    <w:semiHidden/>
    <w:unhideWhenUsed/>
    <w:locked/>
    <w:rsid w:val="00FE198B"/>
    <w:pPr>
      <w:spacing w:before="0" w:after="0" w:line="240" w:lineRule="auto"/>
    </w:p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tblBorders>
    </w:tblPr>
    <w:tblStylePr w:type="firstRow">
      <w:pPr>
        <w:spacing w:before="0" w:after="0" w:line="240" w:lineRule="auto"/>
      </w:pPr>
      <w:rPr>
        <w:b/>
        <w:bCs/>
        <w:color w:val="FFFFFF" w:themeColor="background1"/>
      </w:rPr>
      <w:tblPr/>
      <w:tcPr>
        <w:shd w:val="clear" w:color="auto" w:fill="4D3097" w:themeFill="accent6"/>
      </w:tcPr>
    </w:tblStylePr>
    <w:tblStylePr w:type="lastRow">
      <w:pPr>
        <w:spacing w:before="0" w:after="0" w:line="240" w:lineRule="auto"/>
      </w:pPr>
      <w:rPr>
        <w:b/>
        <w:bCs/>
      </w:rPr>
      <w:tblPr/>
      <w:tcPr>
        <w:tcBorders>
          <w:top w:val="double" w:sz="6" w:space="0" w:color="4D3097" w:themeColor="accent6"/>
          <w:left w:val="single" w:sz="8" w:space="0" w:color="4D3097" w:themeColor="accent6"/>
          <w:bottom w:val="single" w:sz="8" w:space="0" w:color="4D3097" w:themeColor="accent6"/>
          <w:right w:val="single" w:sz="8" w:space="0" w:color="4D3097" w:themeColor="accent6"/>
        </w:tcBorders>
      </w:tcPr>
    </w:tblStylePr>
    <w:tblStylePr w:type="firstCol">
      <w:rPr>
        <w:b/>
        <w:bCs/>
      </w:rPr>
    </w:tblStylePr>
    <w:tblStylePr w:type="lastCol">
      <w:rPr>
        <w:b/>
        <w:bCs/>
      </w:rPr>
    </w:tblStylePr>
    <w:tblStylePr w:type="band1Vert">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tcPr>
    </w:tblStylePr>
    <w:tblStylePr w:type="band1Horz">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tcPr>
    </w:tblStylePr>
  </w:style>
  <w:style w:type="table" w:styleId="LightShading">
    <w:name w:val="Light Shading"/>
    <w:basedOn w:val="TableNormal"/>
    <w:uiPriority w:val="60"/>
    <w:semiHidden/>
    <w:unhideWhenUsed/>
    <w:locked/>
    <w:rsid w:val="00FE198B"/>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FE198B"/>
    <w:pPr>
      <w:spacing w:before="0" w:after="0" w:line="240" w:lineRule="auto"/>
    </w:pPr>
    <w:rPr>
      <w:color w:val="357D32" w:themeColor="accent1" w:themeShade="BF"/>
    </w:rPr>
    <w:tblPr>
      <w:tblStyleRowBandSize w:val="1"/>
      <w:tblStyleColBandSize w:val="1"/>
      <w:tblBorders>
        <w:top w:val="single" w:sz="8" w:space="0" w:color="47A843" w:themeColor="accent1"/>
        <w:bottom w:val="single" w:sz="8" w:space="0" w:color="47A843" w:themeColor="accent1"/>
      </w:tblBorders>
    </w:tblPr>
    <w:tblStylePr w:type="firstRow">
      <w:pPr>
        <w:spacing w:before="0" w:after="0" w:line="240" w:lineRule="auto"/>
      </w:pPr>
      <w:rPr>
        <w:b/>
        <w:bCs/>
      </w:rPr>
      <w:tblPr/>
      <w:tcPr>
        <w:tcBorders>
          <w:top w:val="single" w:sz="8" w:space="0" w:color="47A843" w:themeColor="accent1"/>
          <w:left w:val="nil"/>
          <w:bottom w:val="single" w:sz="8" w:space="0" w:color="47A843" w:themeColor="accent1"/>
          <w:right w:val="nil"/>
          <w:insideH w:val="nil"/>
          <w:insideV w:val="nil"/>
        </w:tcBorders>
      </w:tcPr>
    </w:tblStylePr>
    <w:tblStylePr w:type="lastRow">
      <w:pPr>
        <w:spacing w:before="0" w:after="0" w:line="240" w:lineRule="auto"/>
      </w:pPr>
      <w:rPr>
        <w:b/>
        <w:bCs/>
      </w:rPr>
      <w:tblPr/>
      <w:tcPr>
        <w:tcBorders>
          <w:top w:val="single" w:sz="8" w:space="0" w:color="47A843" w:themeColor="accent1"/>
          <w:left w:val="nil"/>
          <w:bottom w:val="single" w:sz="8" w:space="0" w:color="47A84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BCE" w:themeFill="accent1" w:themeFillTint="3F"/>
      </w:tcPr>
    </w:tblStylePr>
    <w:tblStylePr w:type="band1Horz">
      <w:tblPr/>
      <w:tcPr>
        <w:tcBorders>
          <w:left w:val="nil"/>
          <w:right w:val="nil"/>
          <w:insideH w:val="nil"/>
          <w:insideV w:val="nil"/>
        </w:tcBorders>
        <w:shd w:val="clear" w:color="auto" w:fill="CFEBCE" w:themeFill="accent1" w:themeFillTint="3F"/>
      </w:tcPr>
    </w:tblStylePr>
  </w:style>
  <w:style w:type="table" w:styleId="LightShading-Accent2">
    <w:name w:val="Light Shading Accent 2"/>
    <w:basedOn w:val="TableNormal"/>
    <w:uiPriority w:val="60"/>
    <w:semiHidden/>
    <w:unhideWhenUsed/>
    <w:locked/>
    <w:rsid w:val="00FE198B"/>
    <w:pPr>
      <w:spacing w:before="0" w:after="0" w:line="240" w:lineRule="auto"/>
    </w:pPr>
    <w:rPr>
      <w:color w:val="89AB22" w:themeColor="accent2" w:themeShade="BF"/>
    </w:rPr>
    <w:tblPr>
      <w:tblStyleRowBandSize w:val="1"/>
      <w:tblStyleColBandSize w:val="1"/>
      <w:tblBorders>
        <w:top w:val="single" w:sz="8" w:space="0" w:color="B2D83A" w:themeColor="accent2"/>
        <w:bottom w:val="single" w:sz="8" w:space="0" w:color="B2D83A" w:themeColor="accent2"/>
      </w:tblBorders>
    </w:tblPr>
    <w:tblStylePr w:type="firstRow">
      <w:pPr>
        <w:spacing w:before="0" w:after="0" w:line="240" w:lineRule="auto"/>
      </w:pPr>
      <w:rPr>
        <w:b/>
        <w:bCs/>
      </w:rPr>
      <w:tblPr/>
      <w:tcPr>
        <w:tcBorders>
          <w:top w:val="single" w:sz="8" w:space="0" w:color="B2D83A" w:themeColor="accent2"/>
          <w:left w:val="nil"/>
          <w:bottom w:val="single" w:sz="8" w:space="0" w:color="B2D83A" w:themeColor="accent2"/>
          <w:right w:val="nil"/>
          <w:insideH w:val="nil"/>
          <w:insideV w:val="nil"/>
        </w:tcBorders>
      </w:tcPr>
    </w:tblStylePr>
    <w:tblStylePr w:type="lastRow">
      <w:pPr>
        <w:spacing w:before="0" w:after="0" w:line="240" w:lineRule="auto"/>
      </w:pPr>
      <w:rPr>
        <w:b/>
        <w:bCs/>
      </w:rPr>
      <w:tblPr/>
      <w:tcPr>
        <w:tcBorders>
          <w:top w:val="single" w:sz="8" w:space="0" w:color="B2D83A" w:themeColor="accent2"/>
          <w:left w:val="nil"/>
          <w:bottom w:val="single" w:sz="8" w:space="0" w:color="B2D83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5CE" w:themeFill="accent2" w:themeFillTint="3F"/>
      </w:tcPr>
    </w:tblStylePr>
    <w:tblStylePr w:type="band1Horz">
      <w:tblPr/>
      <w:tcPr>
        <w:tcBorders>
          <w:left w:val="nil"/>
          <w:right w:val="nil"/>
          <w:insideH w:val="nil"/>
          <w:insideV w:val="nil"/>
        </w:tcBorders>
        <w:shd w:val="clear" w:color="auto" w:fill="EBF5CE" w:themeFill="accent2" w:themeFillTint="3F"/>
      </w:tcPr>
    </w:tblStylePr>
  </w:style>
  <w:style w:type="table" w:styleId="LightShading-Accent3">
    <w:name w:val="Light Shading Accent 3"/>
    <w:basedOn w:val="TableNormal"/>
    <w:uiPriority w:val="60"/>
    <w:semiHidden/>
    <w:unhideWhenUsed/>
    <w:locked/>
    <w:rsid w:val="00FE198B"/>
    <w:pPr>
      <w:spacing w:before="0" w:after="0" w:line="240" w:lineRule="auto"/>
    </w:pPr>
    <w:rPr>
      <w:color w:val="004B8E" w:themeColor="accent3" w:themeShade="BF"/>
    </w:rPr>
    <w:tblPr>
      <w:tblStyleRowBandSize w:val="1"/>
      <w:tblStyleColBandSize w:val="1"/>
      <w:tblBorders>
        <w:top w:val="single" w:sz="8" w:space="0" w:color="0066BE" w:themeColor="accent3"/>
        <w:bottom w:val="single" w:sz="8" w:space="0" w:color="0066BE" w:themeColor="accent3"/>
      </w:tblBorders>
    </w:tblPr>
    <w:tblStylePr w:type="firstRow">
      <w:pPr>
        <w:spacing w:before="0" w:after="0" w:line="240" w:lineRule="auto"/>
      </w:pPr>
      <w:rPr>
        <w:b/>
        <w:bCs/>
      </w:rPr>
      <w:tblPr/>
      <w:tcPr>
        <w:tcBorders>
          <w:top w:val="single" w:sz="8" w:space="0" w:color="0066BE" w:themeColor="accent3"/>
          <w:left w:val="nil"/>
          <w:bottom w:val="single" w:sz="8" w:space="0" w:color="0066BE" w:themeColor="accent3"/>
          <w:right w:val="nil"/>
          <w:insideH w:val="nil"/>
          <w:insideV w:val="nil"/>
        </w:tcBorders>
      </w:tcPr>
    </w:tblStylePr>
    <w:tblStylePr w:type="lastRow">
      <w:pPr>
        <w:spacing w:before="0" w:after="0" w:line="240" w:lineRule="auto"/>
      </w:pPr>
      <w:rPr>
        <w:b/>
        <w:bCs/>
      </w:rPr>
      <w:tblPr/>
      <w:tcPr>
        <w:tcBorders>
          <w:top w:val="single" w:sz="8" w:space="0" w:color="0066BE" w:themeColor="accent3"/>
          <w:left w:val="nil"/>
          <w:bottom w:val="single" w:sz="8" w:space="0" w:color="0066B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9FF" w:themeFill="accent3" w:themeFillTint="3F"/>
      </w:tcPr>
    </w:tblStylePr>
    <w:tblStylePr w:type="band1Horz">
      <w:tblPr/>
      <w:tcPr>
        <w:tcBorders>
          <w:left w:val="nil"/>
          <w:right w:val="nil"/>
          <w:insideH w:val="nil"/>
          <w:insideV w:val="nil"/>
        </w:tcBorders>
        <w:shd w:val="clear" w:color="auto" w:fill="AFD9FF" w:themeFill="accent3" w:themeFillTint="3F"/>
      </w:tcPr>
    </w:tblStylePr>
  </w:style>
  <w:style w:type="table" w:styleId="LightShading-Accent4">
    <w:name w:val="Light Shading Accent 4"/>
    <w:basedOn w:val="TableNormal"/>
    <w:uiPriority w:val="60"/>
    <w:semiHidden/>
    <w:unhideWhenUsed/>
    <w:locked/>
    <w:rsid w:val="00FE198B"/>
    <w:pPr>
      <w:spacing w:before="0" w:after="0" w:line="240" w:lineRule="auto"/>
    </w:pPr>
    <w:rPr>
      <w:color w:val="BA5010" w:themeColor="accent4" w:themeShade="BF"/>
    </w:rPr>
    <w:tblPr>
      <w:tblStyleRowBandSize w:val="1"/>
      <w:tblStyleColBandSize w:val="1"/>
      <w:tblBorders>
        <w:top w:val="single" w:sz="8" w:space="0" w:color="EC7023" w:themeColor="accent4"/>
        <w:bottom w:val="single" w:sz="8" w:space="0" w:color="EC7023" w:themeColor="accent4"/>
      </w:tblBorders>
    </w:tblPr>
    <w:tblStylePr w:type="firstRow">
      <w:pPr>
        <w:spacing w:before="0" w:after="0" w:line="240" w:lineRule="auto"/>
      </w:pPr>
      <w:rPr>
        <w:b/>
        <w:bCs/>
      </w:rPr>
      <w:tblPr/>
      <w:tcPr>
        <w:tcBorders>
          <w:top w:val="single" w:sz="8" w:space="0" w:color="EC7023" w:themeColor="accent4"/>
          <w:left w:val="nil"/>
          <w:bottom w:val="single" w:sz="8" w:space="0" w:color="EC7023" w:themeColor="accent4"/>
          <w:right w:val="nil"/>
          <w:insideH w:val="nil"/>
          <w:insideV w:val="nil"/>
        </w:tcBorders>
      </w:tcPr>
    </w:tblStylePr>
    <w:tblStylePr w:type="lastRow">
      <w:pPr>
        <w:spacing w:before="0" w:after="0" w:line="240" w:lineRule="auto"/>
      </w:pPr>
      <w:rPr>
        <w:b/>
        <w:bCs/>
      </w:rPr>
      <w:tblPr/>
      <w:tcPr>
        <w:tcBorders>
          <w:top w:val="single" w:sz="8" w:space="0" w:color="EC7023" w:themeColor="accent4"/>
          <w:left w:val="nil"/>
          <w:bottom w:val="single" w:sz="8" w:space="0" w:color="EC702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BC8" w:themeFill="accent4" w:themeFillTint="3F"/>
      </w:tcPr>
    </w:tblStylePr>
    <w:tblStylePr w:type="band1Horz">
      <w:tblPr/>
      <w:tcPr>
        <w:tcBorders>
          <w:left w:val="nil"/>
          <w:right w:val="nil"/>
          <w:insideH w:val="nil"/>
          <w:insideV w:val="nil"/>
        </w:tcBorders>
        <w:shd w:val="clear" w:color="auto" w:fill="FADBC8" w:themeFill="accent4" w:themeFillTint="3F"/>
      </w:tcPr>
    </w:tblStylePr>
  </w:style>
  <w:style w:type="table" w:styleId="LightShading-Accent5">
    <w:name w:val="Light Shading Accent 5"/>
    <w:basedOn w:val="TableNormal"/>
    <w:uiPriority w:val="60"/>
    <w:semiHidden/>
    <w:unhideWhenUsed/>
    <w:locked/>
    <w:rsid w:val="00FE198B"/>
    <w:pPr>
      <w:spacing w:before="0" w:after="0" w:line="240" w:lineRule="auto"/>
    </w:pPr>
    <w:rPr>
      <w:color w:val="AC1A1A" w:themeColor="accent5" w:themeShade="BF"/>
    </w:rPr>
    <w:tblPr>
      <w:tblStyleRowBandSize w:val="1"/>
      <w:tblStyleColBandSize w:val="1"/>
      <w:tblBorders>
        <w:top w:val="single" w:sz="8" w:space="0" w:color="DF2A2A" w:themeColor="accent5"/>
        <w:bottom w:val="single" w:sz="8" w:space="0" w:color="DF2A2A" w:themeColor="accent5"/>
      </w:tblBorders>
    </w:tblPr>
    <w:tblStylePr w:type="firstRow">
      <w:pPr>
        <w:spacing w:before="0" w:after="0" w:line="240" w:lineRule="auto"/>
      </w:pPr>
      <w:rPr>
        <w:b/>
        <w:bCs/>
      </w:rPr>
      <w:tblPr/>
      <w:tcPr>
        <w:tcBorders>
          <w:top w:val="single" w:sz="8" w:space="0" w:color="DF2A2A" w:themeColor="accent5"/>
          <w:left w:val="nil"/>
          <w:bottom w:val="single" w:sz="8" w:space="0" w:color="DF2A2A" w:themeColor="accent5"/>
          <w:right w:val="nil"/>
          <w:insideH w:val="nil"/>
          <w:insideV w:val="nil"/>
        </w:tcBorders>
      </w:tcPr>
    </w:tblStylePr>
    <w:tblStylePr w:type="lastRow">
      <w:pPr>
        <w:spacing w:before="0" w:after="0" w:line="240" w:lineRule="auto"/>
      </w:pPr>
      <w:rPr>
        <w:b/>
        <w:bCs/>
      </w:rPr>
      <w:tblPr/>
      <w:tcPr>
        <w:tcBorders>
          <w:top w:val="single" w:sz="8" w:space="0" w:color="DF2A2A" w:themeColor="accent5"/>
          <w:left w:val="nil"/>
          <w:bottom w:val="single" w:sz="8" w:space="0" w:color="DF2A2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ACA" w:themeFill="accent5" w:themeFillTint="3F"/>
      </w:tcPr>
    </w:tblStylePr>
    <w:tblStylePr w:type="band1Horz">
      <w:tblPr/>
      <w:tcPr>
        <w:tcBorders>
          <w:left w:val="nil"/>
          <w:right w:val="nil"/>
          <w:insideH w:val="nil"/>
          <w:insideV w:val="nil"/>
        </w:tcBorders>
        <w:shd w:val="clear" w:color="auto" w:fill="F7CACA" w:themeFill="accent5" w:themeFillTint="3F"/>
      </w:tcPr>
    </w:tblStylePr>
  </w:style>
  <w:style w:type="table" w:styleId="LightShading-Accent6">
    <w:name w:val="Light Shading Accent 6"/>
    <w:basedOn w:val="TableNormal"/>
    <w:uiPriority w:val="60"/>
    <w:semiHidden/>
    <w:unhideWhenUsed/>
    <w:locked/>
    <w:rsid w:val="00FE198B"/>
    <w:pPr>
      <w:spacing w:before="0" w:after="0" w:line="240" w:lineRule="auto"/>
    </w:pPr>
    <w:rPr>
      <w:color w:val="392471" w:themeColor="accent6" w:themeShade="BF"/>
    </w:rPr>
    <w:tblPr>
      <w:tblStyleRowBandSize w:val="1"/>
      <w:tblStyleColBandSize w:val="1"/>
      <w:tblBorders>
        <w:top w:val="single" w:sz="8" w:space="0" w:color="4D3097" w:themeColor="accent6"/>
        <w:bottom w:val="single" w:sz="8" w:space="0" w:color="4D3097" w:themeColor="accent6"/>
      </w:tblBorders>
    </w:tblPr>
    <w:tblStylePr w:type="firstRow">
      <w:pPr>
        <w:spacing w:before="0" w:after="0" w:line="240" w:lineRule="auto"/>
      </w:pPr>
      <w:rPr>
        <w:b/>
        <w:bCs/>
      </w:rPr>
      <w:tblPr/>
      <w:tcPr>
        <w:tcBorders>
          <w:top w:val="single" w:sz="8" w:space="0" w:color="4D3097" w:themeColor="accent6"/>
          <w:left w:val="nil"/>
          <w:bottom w:val="single" w:sz="8" w:space="0" w:color="4D3097" w:themeColor="accent6"/>
          <w:right w:val="nil"/>
          <w:insideH w:val="nil"/>
          <w:insideV w:val="nil"/>
        </w:tcBorders>
      </w:tcPr>
    </w:tblStylePr>
    <w:tblStylePr w:type="lastRow">
      <w:pPr>
        <w:spacing w:before="0" w:after="0" w:line="240" w:lineRule="auto"/>
      </w:pPr>
      <w:rPr>
        <w:b/>
        <w:bCs/>
      </w:rPr>
      <w:tblPr/>
      <w:tcPr>
        <w:tcBorders>
          <w:top w:val="single" w:sz="8" w:space="0" w:color="4D3097" w:themeColor="accent6"/>
          <w:left w:val="nil"/>
          <w:bottom w:val="single" w:sz="8" w:space="0" w:color="4D309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4EC" w:themeFill="accent6" w:themeFillTint="3F"/>
      </w:tcPr>
    </w:tblStylePr>
    <w:tblStylePr w:type="band1Horz">
      <w:tblPr/>
      <w:tcPr>
        <w:tcBorders>
          <w:left w:val="nil"/>
          <w:right w:val="nil"/>
          <w:insideH w:val="nil"/>
          <w:insideV w:val="nil"/>
        </w:tcBorders>
        <w:shd w:val="clear" w:color="auto" w:fill="CFC4EC" w:themeFill="accent6" w:themeFillTint="3F"/>
      </w:tcPr>
    </w:tblStylePr>
  </w:style>
  <w:style w:type="character" w:styleId="LineNumber">
    <w:name w:val="line number"/>
    <w:basedOn w:val="DefaultParagraphFont"/>
    <w:uiPriority w:val="99"/>
    <w:semiHidden/>
    <w:locked/>
    <w:rsid w:val="00FE198B"/>
  </w:style>
  <w:style w:type="paragraph" w:styleId="List">
    <w:name w:val="List"/>
    <w:basedOn w:val="Normal"/>
    <w:uiPriority w:val="99"/>
    <w:semiHidden/>
    <w:rsid w:val="00FE198B"/>
    <w:pPr>
      <w:ind w:left="283" w:hanging="283"/>
      <w:contextualSpacing/>
    </w:pPr>
  </w:style>
  <w:style w:type="paragraph" w:styleId="List2">
    <w:name w:val="List 2"/>
    <w:basedOn w:val="Normal"/>
    <w:uiPriority w:val="99"/>
    <w:semiHidden/>
    <w:rsid w:val="00FE198B"/>
    <w:pPr>
      <w:ind w:left="566" w:hanging="283"/>
      <w:contextualSpacing/>
    </w:pPr>
  </w:style>
  <w:style w:type="paragraph" w:styleId="List3">
    <w:name w:val="List 3"/>
    <w:basedOn w:val="Normal"/>
    <w:uiPriority w:val="99"/>
    <w:semiHidden/>
    <w:rsid w:val="00FE198B"/>
    <w:pPr>
      <w:ind w:left="849" w:hanging="283"/>
      <w:contextualSpacing/>
    </w:pPr>
  </w:style>
  <w:style w:type="paragraph" w:styleId="List4">
    <w:name w:val="List 4"/>
    <w:basedOn w:val="Normal"/>
    <w:uiPriority w:val="99"/>
    <w:semiHidden/>
    <w:rsid w:val="00FE198B"/>
    <w:pPr>
      <w:ind w:left="1132" w:hanging="283"/>
      <w:contextualSpacing/>
    </w:pPr>
  </w:style>
  <w:style w:type="paragraph" w:styleId="List5">
    <w:name w:val="List 5"/>
    <w:basedOn w:val="Normal"/>
    <w:uiPriority w:val="99"/>
    <w:semiHidden/>
    <w:rsid w:val="00FE198B"/>
    <w:pPr>
      <w:ind w:left="1415" w:hanging="283"/>
      <w:contextualSpacing/>
    </w:pPr>
  </w:style>
  <w:style w:type="paragraph" w:styleId="ListContinue3">
    <w:name w:val="List Continue 3"/>
    <w:basedOn w:val="Normal"/>
    <w:uiPriority w:val="17"/>
    <w:semiHidden/>
    <w:rsid w:val="00FE198B"/>
    <w:pPr>
      <w:ind w:left="849"/>
      <w:contextualSpacing/>
    </w:pPr>
  </w:style>
  <w:style w:type="paragraph" w:styleId="ListContinue4">
    <w:name w:val="List Continue 4"/>
    <w:basedOn w:val="Normal"/>
    <w:uiPriority w:val="17"/>
    <w:semiHidden/>
    <w:rsid w:val="00FE198B"/>
    <w:pPr>
      <w:ind w:left="1132"/>
      <w:contextualSpacing/>
    </w:pPr>
  </w:style>
  <w:style w:type="paragraph" w:styleId="ListContinue5">
    <w:name w:val="List Continue 5"/>
    <w:basedOn w:val="Normal"/>
    <w:uiPriority w:val="17"/>
    <w:semiHidden/>
    <w:rsid w:val="00FE198B"/>
    <w:pPr>
      <w:ind w:left="1415"/>
      <w:contextualSpacing/>
    </w:pPr>
  </w:style>
  <w:style w:type="table" w:styleId="ListTable1Light">
    <w:name w:val="List Table 1 Light"/>
    <w:basedOn w:val="TableNormal"/>
    <w:uiPriority w:val="46"/>
    <w:locked/>
    <w:rsid w:val="00FE198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FE198B"/>
    <w:pPr>
      <w:spacing w:after="0" w:line="240" w:lineRule="auto"/>
    </w:pPr>
    <w:tblPr>
      <w:tblStyleRowBandSize w:val="1"/>
      <w:tblStyleColBandSize w:val="1"/>
    </w:tblPr>
    <w:tblStylePr w:type="firstRow">
      <w:rPr>
        <w:b/>
        <w:bCs/>
      </w:rPr>
      <w:tblPr/>
      <w:tcPr>
        <w:tcBorders>
          <w:bottom w:val="single" w:sz="4" w:space="0" w:color="8BD089" w:themeColor="accent1" w:themeTint="99"/>
        </w:tcBorders>
      </w:tcPr>
    </w:tblStylePr>
    <w:tblStylePr w:type="lastRow">
      <w:rPr>
        <w:b/>
        <w:bCs/>
      </w:rPr>
      <w:tblPr/>
      <w:tcPr>
        <w:tcBorders>
          <w:top w:val="single" w:sz="4" w:space="0" w:color="8BD089" w:themeColor="accent1" w:themeTint="99"/>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1Light-Accent2">
    <w:name w:val="List Table 1 Light Accent 2"/>
    <w:basedOn w:val="TableNormal"/>
    <w:uiPriority w:val="46"/>
    <w:locked/>
    <w:rsid w:val="00FE198B"/>
    <w:pPr>
      <w:spacing w:after="0" w:line="240" w:lineRule="auto"/>
    </w:pPr>
    <w:tblPr>
      <w:tblStyleRowBandSize w:val="1"/>
      <w:tblStyleColBandSize w:val="1"/>
    </w:tblPr>
    <w:tblStylePr w:type="firstRow">
      <w:rPr>
        <w:b/>
        <w:bCs/>
      </w:rPr>
      <w:tblPr/>
      <w:tcPr>
        <w:tcBorders>
          <w:bottom w:val="single" w:sz="4" w:space="0" w:color="D0E788" w:themeColor="accent2" w:themeTint="99"/>
        </w:tcBorders>
      </w:tcPr>
    </w:tblStylePr>
    <w:tblStylePr w:type="lastRow">
      <w:rPr>
        <w:b/>
        <w:bCs/>
      </w:rPr>
      <w:tblPr/>
      <w:tcPr>
        <w:tcBorders>
          <w:top w:val="single" w:sz="4" w:space="0" w:color="D0E788" w:themeColor="accent2" w:themeTint="99"/>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1Light-Accent3">
    <w:name w:val="List Table 1 Light Accent 3"/>
    <w:basedOn w:val="TableNormal"/>
    <w:uiPriority w:val="46"/>
    <w:locked/>
    <w:rsid w:val="00FE198B"/>
    <w:pPr>
      <w:spacing w:after="0" w:line="240" w:lineRule="auto"/>
    </w:pPr>
    <w:tblPr>
      <w:tblStyleRowBandSize w:val="1"/>
      <w:tblStyleColBandSize w:val="1"/>
    </w:tblPr>
    <w:tblStylePr w:type="firstRow">
      <w:rPr>
        <w:b/>
        <w:bCs/>
      </w:rPr>
      <w:tblPr/>
      <w:tcPr>
        <w:tcBorders>
          <w:bottom w:val="single" w:sz="4" w:space="0" w:color="3FA5FF" w:themeColor="accent3" w:themeTint="99"/>
        </w:tcBorders>
      </w:tcPr>
    </w:tblStylePr>
    <w:tblStylePr w:type="lastRow">
      <w:rPr>
        <w:b/>
        <w:bCs/>
      </w:rPr>
      <w:tblPr/>
      <w:tcPr>
        <w:tcBorders>
          <w:top w:val="single" w:sz="4" w:space="0" w:color="3FA5FF" w:themeColor="accent3" w:themeTint="99"/>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1Light-Accent4">
    <w:name w:val="List Table 1 Light Accent 4"/>
    <w:basedOn w:val="TableNormal"/>
    <w:uiPriority w:val="46"/>
    <w:locked/>
    <w:rsid w:val="00FE198B"/>
    <w:pPr>
      <w:spacing w:after="0" w:line="240" w:lineRule="auto"/>
    </w:pPr>
    <w:tblPr>
      <w:tblStyleRowBandSize w:val="1"/>
      <w:tblStyleColBandSize w:val="1"/>
    </w:tblPr>
    <w:tblStylePr w:type="firstRow">
      <w:rPr>
        <w:b/>
        <w:bCs/>
      </w:rPr>
      <w:tblPr/>
      <w:tcPr>
        <w:tcBorders>
          <w:bottom w:val="single" w:sz="4" w:space="0" w:color="F3A87A" w:themeColor="accent4" w:themeTint="99"/>
        </w:tcBorders>
      </w:tcPr>
    </w:tblStylePr>
    <w:tblStylePr w:type="lastRow">
      <w:rPr>
        <w:b/>
        <w:bCs/>
      </w:rPr>
      <w:tblPr/>
      <w:tcPr>
        <w:tcBorders>
          <w:top w:val="single" w:sz="4" w:space="0" w:color="F3A87A" w:themeColor="accent4" w:themeTint="99"/>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1Light-Accent5">
    <w:name w:val="List Table 1 Light Accent 5"/>
    <w:basedOn w:val="TableNormal"/>
    <w:uiPriority w:val="46"/>
    <w:locked/>
    <w:rsid w:val="00FE198B"/>
    <w:pPr>
      <w:spacing w:after="0" w:line="240" w:lineRule="auto"/>
    </w:pPr>
    <w:tblPr>
      <w:tblStyleRowBandSize w:val="1"/>
      <w:tblStyleColBandSize w:val="1"/>
    </w:tblPr>
    <w:tblStylePr w:type="firstRow">
      <w:rPr>
        <w:b/>
        <w:bCs/>
      </w:rPr>
      <w:tblPr/>
      <w:tcPr>
        <w:tcBorders>
          <w:bottom w:val="single" w:sz="4" w:space="0" w:color="EB7F7F" w:themeColor="accent5" w:themeTint="99"/>
        </w:tcBorders>
      </w:tcPr>
    </w:tblStylePr>
    <w:tblStylePr w:type="lastRow">
      <w:rPr>
        <w:b/>
        <w:bCs/>
      </w:rPr>
      <w:tblPr/>
      <w:tcPr>
        <w:tcBorders>
          <w:top w:val="single" w:sz="4" w:space="0" w:color="EB7F7F" w:themeColor="accent5" w:themeTint="99"/>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1Light-Accent6">
    <w:name w:val="List Table 1 Light Accent 6"/>
    <w:basedOn w:val="TableNormal"/>
    <w:uiPriority w:val="46"/>
    <w:locked/>
    <w:rsid w:val="00FE198B"/>
    <w:pPr>
      <w:spacing w:after="0" w:line="240" w:lineRule="auto"/>
    </w:pPr>
    <w:tblPr>
      <w:tblStyleRowBandSize w:val="1"/>
      <w:tblStyleColBandSize w:val="1"/>
    </w:tblPr>
    <w:tblStylePr w:type="firstRow">
      <w:rPr>
        <w:b/>
        <w:bCs/>
      </w:rPr>
      <w:tblPr/>
      <w:tcPr>
        <w:tcBorders>
          <w:bottom w:val="single" w:sz="4" w:space="0" w:color="8C71D2" w:themeColor="accent6" w:themeTint="99"/>
        </w:tcBorders>
      </w:tcPr>
    </w:tblStylePr>
    <w:tblStylePr w:type="lastRow">
      <w:rPr>
        <w:b/>
        <w:bCs/>
      </w:rPr>
      <w:tblPr/>
      <w:tcPr>
        <w:tcBorders>
          <w:top w:val="single" w:sz="4" w:space="0" w:color="8C71D2" w:themeColor="accent6" w:themeTint="99"/>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2">
    <w:name w:val="List Table 2"/>
    <w:basedOn w:val="TableNormal"/>
    <w:uiPriority w:val="47"/>
    <w:locked/>
    <w:rsid w:val="00FE198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FE198B"/>
    <w:pPr>
      <w:spacing w:after="0" w:line="240" w:lineRule="auto"/>
    </w:pPr>
    <w:tblPr>
      <w:tblStyleRowBandSize w:val="1"/>
      <w:tblStyleColBandSize w:val="1"/>
      <w:tblBorders>
        <w:top w:val="single" w:sz="4" w:space="0" w:color="8BD089" w:themeColor="accent1" w:themeTint="99"/>
        <w:bottom w:val="single" w:sz="4" w:space="0" w:color="8BD089" w:themeColor="accent1" w:themeTint="99"/>
        <w:insideH w:val="single" w:sz="4" w:space="0" w:color="8BD08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2-Accent2">
    <w:name w:val="List Table 2 Accent 2"/>
    <w:basedOn w:val="TableNormal"/>
    <w:uiPriority w:val="47"/>
    <w:locked/>
    <w:rsid w:val="00FE198B"/>
    <w:pPr>
      <w:spacing w:after="0" w:line="240" w:lineRule="auto"/>
    </w:pPr>
    <w:tblPr>
      <w:tblStyleRowBandSize w:val="1"/>
      <w:tblStyleColBandSize w:val="1"/>
      <w:tblBorders>
        <w:top w:val="single" w:sz="4" w:space="0" w:color="D0E788" w:themeColor="accent2" w:themeTint="99"/>
        <w:bottom w:val="single" w:sz="4" w:space="0" w:color="D0E788" w:themeColor="accent2" w:themeTint="99"/>
        <w:insideH w:val="single" w:sz="4" w:space="0" w:color="D0E78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2-Accent3">
    <w:name w:val="List Table 2 Accent 3"/>
    <w:basedOn w:val="TableNormal"/>
    <w:uiPriority w:val="47"/>
    <w:locked/>
    <w:rsid w:val="00FE198B"/>
    <w:pPr>
      <w:spacing w:after="0" w:line="240" w:lineRule="auto"/>
    </w:pPr>
    <w:tblPr>
      <w:tblStyleRowBandSize w:val="1"/>
      <w:tblStyleColBandSize w:val="1"/>
      <w:tblBorders>
        <w:top w:val="single" w:sz="4" w:space="0" w:color="3FA5FF" w:themeColor="accent3" w:themeTint="99"/>
        <w:bottom w:val="single" w:sz="4" w:space="0" w:color="3FA5FF" w:themeColor="accent3" w:themeTint="99"/>
        <w:insideH w:val="single" w:sz="4" w:space="0" w:color="3FA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2-Accent4">
    <w:name w:val="List Table 2 Accent 4"/>
    <w:basedOn w:val="TableNormal"/>
    <w:uiPriority w:val="47"/>
    <w:locked/>
    <w:rsid w:val="00FE198B"/>
    <w:pPr>
      <w:spacing w:after="0" w:line="240" w:lineRule="auto"/>
    </w:pPr>
    <w:tblPr>
      <w:tblStyleRowBandSize w:val="1"/>
      <w:tblStyleColBandSize w:val="1"/>
      <w:tblBorders>
        <w:top w:val="single" w:sz="4" w:space="0" w:color="F3A87A" w:themeColor="accent4" w:themeTint="99"/>
        <w:bottom w:val="single" w:sz="4" w:space="0" w:color="F3A87A" w:themeColor="accent4" w:themeTint="99"/>
        <w:insideH w:val="single" w:sz="4" w:space="0" w:color="F3A87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2-Accent5">
    <w:name w:val="List Table 2 Accent 5"/>
    <w:basedOn w:val="TableNormal"/>
    <w:uiPriority w:val="47"/>
    <w:locked/>
    <w:rsid w:val="00FE198B"/>
    <w:pPr>
      <w:spacing w:after="0" w:line="240" w:lineRule="auto"/>
    </w:pPr>
    <w:tblPr>
      <w:tblStyleRowBandSize w:val="1"/>
      <w:tblStyleColBandSize w:val="1"/>
      <w:tblBorders>
        <w:top w:val="single" w:sz="4" w:space="0" w:color="EB7F7F" w:themeColor="accent5" w:themeTint="99"/>
        <w:bottom w:val="single" w:sz="4" w:space="0" w:color="EB7F7F" w:themeColor="accent5" w:themeTint="99"/>
        <w:insideH w:val="single" w:sz="4" w:space="0" w:color="EB7F7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2-Accent6">
    <w:name w:val="List Table 2 Accent 6"/>
    <w:basedOn w:val="TableNormal"/>
    <w:uiPriority w:val="47"/>
    <w:locked/>
    <w:rsid w:val="00FE198B"/>
    <w:pPr>
      <w:spacing w:after="0" w:line="240" w:lineRule="auto"/>
    </w:pPr>
    <w:tblPr>
      <w:tblStyleRowBandSize w:val="1"/>
      <w:tblStyleColBandSize w:val="1"/>
      <w:tblBorders>
        <w:top w:val="single" w:sz="4" w:space="0" w:color="8C71D2" w:themeColor="accent6" w:themeTint="99"/>
        <w:bottom w:val="single" w:sz="4" w:space="0" w:color="8C71D2" w:themeColor="accent6" w:themeTint="99"/>
        <w:insideH w:val="single" w:sz="4" w:space="0" w:color="8C71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3">
    <w:name w:val="List Table 3"/>
    <w:basedOn w:val="TableNormal"/>
    <w:uiPriority w:val="48"/>
    <w:locked/>
    <w:rsid w:val="00FE198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FE198B"/>
    <w:pPr>
      <w:spacing w:after="0" w:line="240" w:lineRule="auto"/>
    </w:pPr>
    <w:tblPr>
      <w:tblStyleRowBandSize w:val="1"/>
      <w:tblStyleColBandSize w:val="1"/>
      <w:tblBorders>
        <w:top w:val="single" w:sz="4" w:space="0" w:color="47A843" w:themeColor="accent1"/>
        <w:left w:val="single" w:sz="4" w:space="0" w:color="47A843" w:themeColor="accent1"/>
        <w:bottom w:val="single" w:sz="4" w:space="0" w:color="47A843" w:themeColor="accent1"/>
        <w:right w:val="single" w:sz="4" w:space="0" w:color="47A843" w:themeColor="accent1"/>
      </w:tblBorders>
    </w:tblPr>
    <w:tblStylePr w:type="firstRow">
      <w:rPr>
        <w:b/>
        <w:bCs/>
        <w:color w:val="FFFFFF" w:themeColor="background1"/>
      </w:rPr>
      <w:tblPr/>
      <w:tcPr>
        <w:shd w:val="clear" w:color="auto" w:fill="47A843" w:themeFill="accent1"/>
      </w:tcPr>
    </w:tblStylePr>
    <w:tblStylePr w:type="lastRow">
      <w:rPr>
        <w:b/>
        <w:bCs/>
      </w:rPr>
      <w:tblPr/>
      <w:tcPr>
        <w:tcBorders>
          <w:top w:val="double" w:sz="4" w:space="0" w:color="47A84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A843" w:themeColor="accent1"/>
          <w:right w:val="single" w:sz="4" w:space="0" w:color="47A843" w:themeColor="accent1"/>
        </w:tcBorders>
      </w:tcPr>
    </w:tblStylePr>
    <w:tblStylePr w:type="band1Horz">
      <w:tblPr/>
      <w:tcPr>
        <w:tcBorders>
          <w:top w:val="single" w:sz="4" w:space="0" w:color="47A843" w:themeColor="accent1"/>
          <w:bottom w:val="single" w:sz="4" w:space="0" w:color="47A84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A843" w:themeColor="accent1"/>
          <w:left w:val="nil"/>
        </w:tcBorders>
      </w:tcPr>
    </w:tblStylePr>
    <w:tblStylePr w:type="swCell">
      <w:tblPr/>
      <w:tcPr>
        <w:tcBorders>
          <w:top w:val="double" w:sz="4" w:space="0" w:color="47A843" w:themeColor="accent1"/>
          <w:right w:val="nil"/>
        </w:tcBorders>
      </w:tcPr>
    </w:tblStylePr>
  </w:style>
  <w:style w:type="table" w:styleId="ListTable3-Accent2">
    <w:name w:val="List Table 3 Accent 2"/>
    <w:basedOn w:val="TableNormal"/>
    <w:uiPriority w:val="48"/>
    <w:locked/>
    <w:rsid w:val="00FE198B"/>
    <w:pPr>
      <w:spacing w:after="0" w:line="240" w:lineRule="auto"/>
    </w:pPr>
    <w:tblPr>
      <w:tblStyleRowBandSize w:val="1"/>
      <w:tblStyleColBandSize w:val="1"/>
      <w:tblBorders>
        <w:top w:val="single" w:sz="4" w:space="0" w:color="B2D83A" w:themeColor="accent2"/>
        <w:left w:val="single" w:sz="4" w:space="0" w:color="B2D83A" w:themeColor="accent2"/>
        <w:bottom w:val="single" w:sz="4" w:space="0" w:color="B2D83A" w:themeColor="accent2"/>
        <w:right w:val="single" w:sz="4" w:space="0" w:color="B2D83A" w:themeColor="accent2"/>
      </w:tblBorders>
    </w:tblPr>
    <w:tblStylePr w:type="firstRow">
      <w:rPr>
        <w:b/>
        <w:bCs/>
        <w:color w:val="FFFFFF" w:themeColor="background1"/>
      </w:rPr>
      <w:tblPr/>
      <w:tcPr>
        <w:shd w:val="clear" w:color="auto" w:fill="B2D83A" w:themeFill="accent2"/>
      </w:tcPr>
    </w:tblStylePr>
    <w:tblStylePr w:type="lastRow">
      <w:rPr>
        <w:b/>
        <w:bCs/>
      </w:rPr>
      <w:tblPr/>
      <w:tcPr>
        <w:tcBorders>
          <w:top w:val="double" w:sz="4" w:space="0" w:color="B2D83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D83A" w:themeColor="accent2"/>
          <w:right w:val="single" w:sz="4" w:space="0" w:color="B2D83A" w:themeColor="accent2"/>
        </w:tcBorders>
      </w:tcPr>
    </w:tblStylePr>
    <w:tblStylePr w:type="band1Horz">
      <w:tblPr/>
      <w:tcPr>
        <w:tcBorders>
          <w:top w:val="single" w:sz="4" w:space="0" w:color="B2D83A" w:themeColor="accent2"/>
          <w:bottom w:val="single" w:sz="4" w:space="0" w:color="B2D83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D83A" w:themeColor="accent2"/>
          <w:left w:val="nil"/>
        </w:tcBorders>
      </w:tcPr>
    </w:tblStylePr>
    <w:tblStylePr w:type="swCell">
      <w:tblPr/>
      <w:tcPr>
        <w:tcBorders>
          <w:top w:val="double" w:sz="4" w:space="0" w:color="B2D83A" w:themeColor="accent2"/>
          <w:right w:val="nil"/>
        </w:tcBorders>
      </w:tcPr>
    </w:tblStylePr>
  </w:style>
  <w:style w:type="table" w:styleId="ListTable3-Accent3">
    <w:name w:val="List Table 3 Accent 3"/>
    <w:basedOn w:val="TableNormal"/>
    <w:uiPriority w:val="48"/>
    <w:locked/>
    <w:rsid w:val="00FE198B"/>
    <w:pPr>
      <w:spacing w:after="0" w:line="240" w:lineRule="auto"/>
    </w:pPr>
    <w:tblPr>
      <w:tblStyleRowBandSize w:val="1"/>
      <w:tblStyleColBandSize w:val="1"/>
      <w:tblBorders>
        <w:top w:val="single" w:sz="4" w:space="0" w:color="0066BE" w:themeColor="accent3"/>
        <w:left w:val="single" w:sz="4" w:space="0" w:color="0066BE" w:themeColor="accent3"/>
        <w:bottom w:val="single" w:sz="4" w:space="0" w:color="0066BE" w:themeColor="accent3"/>
        <w:right w:val="single" w:sz="4" w:space="0" w:color="0066BE" w:themeColor="accent3"/>
      </w:tblBorders>
    </w:tblPr>
    <w:tblStylePr w:type="firstRow">
      <w:rPr>
        <w:b/>
        <w:bCs/>
        <w:color w:val="FFFFFF" w:themeColor="background1"/>
      </w:rPr>
      <w:tblPr/>
      <w:tcPr>
        <w:shd w:val="clear" w:color="auto" w:fill="0066BE" w:themeFill="accent3"/>
      </w:tcPr>
    </w:tblStylePr>
    <w:tblStylePr w:type="lastRow">
      <w:rPr>
        <w:b/>
        <w:bCs/>
      </w:rPr>
      <w:tblPr/>
      <w:tcPr>
        <w:tcBorders>
          <w:top w:val="double" w:sz="4" w:space="0" w:color="0066B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6BE" w:themeColor="accent3"/>
          <w:right w:val="single" w:sz="4" w:space="0" w:color="0066BE" w:themeColor="accent3"/>
        </w:tcBorders>
      </w:tcPr>
    </w:tblStylePr>
    <w:tblStylePr w:type="band1Horz">
      <w:tblPr/>
      <w:tcPr>
        <w:tcBorders>
          <w:top w:val="single" w:sz="4" w:space="0" w:color="0066BE" w:themeColor="accent3"/>
          <w:bottom w:val="single" w:sz="4" w:space="0" w:color="0066B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6BE" w:themeColor="accent3"/>
          <w:left w:val="nil"/>
        </w:tcBorders>
      </w:tcPr>
    </w:tblStylePr>
    <w:tblStylePr w:type="swCell">
      <w:tblPr/>
      <w:tcPr>
        <w:tcBorders>
          <w:top w:val="double" w:sz="4" w:space="0" w:color="0066BE" w:themeColor="accent3"/>
          <w:right w:val="nil"/>
        </w:tcBorders>
      </w:tcPr>
    </w:tblStylePr>
  </w:style>
  <w:style w:type="table" w:styleId="ListTable3-Accent4">
    <w:name w:val="List Table 3 Accent 4"/>
    <w:basedOn w:val="TableNormal"/>
    <w:uiPriority w:val="48"/>
    <w:locked/>
    <w:rsid w:val="00FE198B"/>
    <w:pPr>
      <w:spacing w:after="0" w:line="240" w:lineRule="auto"/>
    </w:pPr>
    <w:tblPr>
      <w:tblStyleRowBandSize w:val="1"/>
      <w:tblStyleColBandSize w:val="1"/>
      <w:tblBorders>
        <w:top w:val="single" w:sz="4" w:space="0" w:color="EC7023" w:themeColor="accent4"/>
        <w:left w:val="single" w:sz="4" w:space="0" w:color="EC7023" w:themeColor="accent4"/>
        <w:bottom w:val="single" w:sz="4" w:space="0" w:color="EC7023" w:themeColor="accent4"/>
        <w:right w:val="single" w:sz="4" w:space="0" w:color="EC7023" w:themeColor="accent4"/>
      </w:tblBorders>
    </w:tblPr>
    <w:tblStylePr w:type="firstRow">
      <w:rPr>
        <w:b/>
        <w:bCs/>
        <w:color w:val="FFFFFF" w:themeColor="background1"/>
      </w:rPr>
      <w:tblPr/>
      <w:tcPr>
        <w:shd w:val="clear" w:color="auto" w:fill="EC7023" w:themeFill="accent4"/>
      </w:tcPr>
    </w:tblStylePr>
    <w:tblStylePr w:type="lastRow">
      <w:rPr>
        <w:b/>
        <w:bCs/>
      </w:rPr>
      <w:tblPr/>
      <w:tcPr>
        <w:tcBorders>
          <w:top w:val="double" w:sz="4" w:space="0" w:color="EC702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023" w:themeColor="accent4"/>
          <w:right w:val="single" w:sz="4" w:space="0" w:color="EC7023" w:themeColor="accent4"/>
        </w:tcBorders>
      </w:tcPr>
    </w:tblStylePr>
    <w:tblStylePr w:type="band1Horz">
      <w:tblPr/>
      <w:tcPr>
        <w:tcBorders>
          <w:top w:val="single" w:sz="4" w:space="0" w:color="EC7023" w:themeColor="accent4"/>
          <w:bottom w:val="single" w:sz="4" w:space="0" w:color="EC702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023" w:themeColor="accent4"/>
          <w:left w:val="nil"/>
        </w:tcBorders>
      </w:tcPr>
    </w:tblStylePr>
    <w:tblStylePr w:type="swCell">
      <w:tblPr/>
      <w:tcPr>
        <w:tcBorders>
          <w:top w:val="double" w:sz="4" w:space="0" w:color="EC7023" w:themeColor="accent4"/>
          <w:right w:val="nil"/>
        </w:tcBorders>
      </w:tcPr>
    </w:tblStylePr>
  </w:style>
  <w:style w:type="table" w:styleId="ListTable3-Accent5">
    <w:name w:val="List Table 3 Accent 5"/>
    <w:basedOn w:val="TableNormal"/>
    <w:uiPriority w:val="48"/>
    <w:locked/>
    <w:rsid w:val="00FE198B"/>
    <w:pPr>
      <w:spacing w:after="0" w:line="240" w:lineRule="auto"/>
    </w:pPr>
    <w:tblPr>
      <w:tblStyleRowBandSize w:val="1"/>
      <w:tblStyleColBandSize w:val="1"/>
      <w:tblBorders>
        <w:top w:val="single" w:sz="4" w:space="0" w:color="DF2A2A" w:themeColor="accent5"/>
        <w:left w:val="single" w:sz="4" w:space="0" w:color="DF2A2A" w:themeColor="accent5"/>
        <w:bottom w:val="single" w:sz="4" w:space="0" w:color="DF2A2A" w:themeColor="accent5"/>
        <w:right w:val="single" w:sz="4" w:space="0" w:color="DF2A2A" w:themeColor="accent5"/>
      </w:tblBorders>
    </w:tblPr>
    <w:tblStylePr w:type="firstRow">
      <w:rPr>
        <w:b/>
        <w:bCs/>
        <w:color w:val="FFFFFF" w:themeColor="background1"/>
      </w:rPr>
      <w:tblPr/>
      <w:tcPr>
        <w:shd w:val="clear" w:color="auto" w:fill="DF2A2A" w:themeFill="accent5"/>
      </w:tcPr>
    </w:tblStylePr>
    <w:tblStylePr w:type="lastRow">
      <w:rPr>
        <w:b/>
        <w:bCs/>
      </w:rPr>
      <w:tblPr/>
      <w:tcPr>
        <w:tcBorders>
          <w:top w:val="double" w:sz="4" w:space="0" w:color="DF2A2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F2A2A" w:themeColor="accent5"/>
          <w:right w:val="single" w:sz="4" w:space="0" w:color="DF2A2A" w:themeColor="accent5"/>
        </w:tcBorders>
      </w:tcPr>
    </w:tblStylePr>
    <w:tblStylePr w:type="band1Horz">
      <w:tblPr/>
      <w:tcPr>
        <w:tcBorders>
          <w:top w:val="single" w:sz="4" w:space="0" w:color="DF2A2A" w:themeColor="accent5"/>
          <w:bottom w:val="single" w:sz="4" w:space="0" w:color="DF2A2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F2A2A" w:themeColor="accent5"/>
          <w:left w:val="nil"/>
        </w:tcBorders>
      </w:tcPr>
    </w:tblStylePr>
    <w:tblStylePr w:type="swCell">
      <w:tblPr/>
      <w:tcPr>
        <w:tcBorders>
          <w:top w:val="double" w:sz="4" w:space="0" w:color="DF2A2A" w:themeColor="accent5"/>
          <w:right w:val="nil"/>
        </w:tcBorders>
      </w:tcPr>
    </w:tblStylePr>
  </w:style>
  <w:style w:type="table" w:styleId="ListTable3-Accent6">
    <w:name w:val="List Table 3 Accent 6"/>
    <w:basedOn w:val="TableNormal"/>
    <w:uiPriority w:val="48"/>
    <w:locked/>
    <w:rsid w:val="00FE198B"/>
    <w:pPr>
      <w:spacing w:after="0" w:line="240" w:lineRule="auto"/>
    </w:pPr>
    <w:tblPr>
      <w:tblStyleRowBandSize w:val="1"/>
      <w:tblStyleColBandSize w:val="1"/>
      <w:tblBorders>
        <w:top w:val="single" w:sz="4" w:space="0" w:color="4D3097" w:themeColor="accent6"/>
        <w:left w:val="single" w:sz="4" w:space="0" w:color="4D3097" w:themeColor="accent6"/>
        <w:bottom w:val="single" w:sz="4" w:space="0" w:color="4D3097" w:themeColor="accent6"/>
        <w:right w:val="single" w:sz="4" w:space="0" w:color="4D3097" w:themeColor="accent6"/>
      </w:tblBorders>
    </w:tblPr>
    <w:tblStylePr w:type="firstRow">
      <w:rPr>
        <w:b/>
        <w:bCs/>
        <w:color w:val="FFFFFF" w:themeColor="background1"/>
      </w:rPr>
      <w:tblPr/>
      <w:tcPr>
        <w:shd w:val="clear" w:color="auto" w:fill="4D3097" w:themeFill="accent6"/>
      </w:tcPr>
    </w:tblStylePr>
    <w:tblStylePr w:type="lastRow">
      <w:rPr>
        <w:b/>
        <w:bCs/>
      </w:rPr>
      <w:tblPr/>
      <w:tcPr>
        <w:tcBorders>
          <w:top w:val="double" w:sz="4" w:space="0" w:color="4D30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3097" w:themeColor="accent6"/>
          <w:right w:val="single" w:sz="4" w:space="0" w:color="4D3097" w:themeColor="accent6"/>
        </w:tcBorders>
      </w:tcPr>
    </w:tblStylePr>
    <w:tblStylePr w:type="band1Horz">
      <w:tblPr/>
      <w:tcPr>
        <w:tcBorders>
          <w:top w:val="single" w:sz="4" w:space="0" w:color="4D3097" w:themeColor="accent6"/>
          <w:bottom w:val="single" w:sz="4" w:space="0" w:color="4D30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3097" w:themeColor="accent6"/>
          <w:left w:val="nil"/>
        </w:tcBorders>
      </w:tcPr>
    </w:tblStylePr>
    <w:tblStylePr w:type="swCell">
      <w:tblPr/>
      <w:tcPr>
        <w:tcBorders>
          <w:top w:val="double" w:sz="4" w:space="0" w:color="4D3097" w:themeColor="accent6"/>
          <w:right w:val="nil"/>
        </w:tcBorders>
      </w:tcPr>
    </w:tblStylePr>
  </w:style>
  <w:style w:type="table" w:styleId="ListTable4">
    <w:name w:val="List Table 4"/>
    <w:basedOn w:val="TableNormal"/>
    <w:uiPriority w:val="49"/>
    <w:locked/>
    <w:rsid w:val="00FE198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FE198B"/>
    <w:pPr>
      <w:spacing w:after="0" w:line="240" w:lineRule="auto"/>
    </w:p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tblBorders>
    </w:tblPr>
    <w:tblStylePr w:type="firstRow">
      <w:rPr>
        <w:b/>
        <w:bCs/>
        <w:color w:val="FFFFFF" w:themeColor="background1"/>
      </w:rPr>
      <w:tblPr/>
      <w:tcPr>
        <w:tcBorders>
          <w:top w:val="single" w:sz="4" w:space="0" w:color="47A843" w:themeColor="accent1"/>
          <w:left w:val="single" w:sz="4" w:space="0" w:color="47A843" w:themeColor="accent1"/>
          <w:bottom w:val="single" w:sz="4" w:space="0" w:color="47A843" w:themeColor="accent1"/>
          <w:right w:val="single" w:sz="4" w:space="0" w:color="47A843" w:themeColor="accent1"/>
          <w:insideH w:val="nil"/>
        </w:tcBorders>
        <w:shd w:val="clear" w:color="auto" w:fill="47A843" w:themeFill="accent1"/>
      </w:tcPr>
    </w:tblStylePr>
    <w:tblStylePr w:type="lastRow">
      <w:rPr>
        <w:b/>
        <w:bCs/>
      </w:rPr>
      <w:tblPr/>
      <w:tcPr>
        <w:tcBorders>
          <w:top w:val="double" w:sz="4" w:space="0" w:color="8BD089" w:themeColor="accent1" w:themeTint="99"/>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4-Accent2">
    <w:name w:val="List Table 4 Accent 2"/>
    <w:basedOn w:val="TableNormal"/>
    <w:uiPriority w:val="49"/>
    <w:locked/>
    <w:rsid w:val="00FE198B"/>
    <w:pPr>
      <w:spacing w:after="0" w:line="240" w:lineRule="auto"/>
    </w:p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tblBorders>
    </w:tblPr>
    <w:tblStylePr w:type="firstRow">
      <w:rPr>
        <w:b/>
        <w:bCs/>
        <w:color w:val="FFFFFF" w:themeColor="background1"/>
      </w:rPr>
      <w:tblPr/>
      <w:tcPr>
        <w:tcBorders>
          <w:top w:val="single" w:sz="4" w:space="0" w:color="B2D83A" w:themeColor="accent2"/>
          <w:left w:val="single" w:sz="4" w:space="0" w:color="B2D83A" w:themeColor="accent2"/>
          <w:bottom w:val="single" w:sz="4" w:space="0" w:color="B2D83A" w:themeColor="accent2"/>
          <w:right w:val="single" w:sz="4" w:space="0" w:color="B2D83A" w:themeColor="accent2"/>
          <w:insideH w:val="nil"/>
        </w:tcBorders>
        <w:shd w:val="clear" w:color="auto" w:fill="B2D83A" w:themeFill="accent2"/>
      </w:tcPr>
    </w:tblStylePr>
    <w:tblStylePr w:type="lastRow">
      <w:rPr>
        <w:b/>
        <w:bCs/>
      </w:rPr>
      <w:tblPr/>
      <w:tcPr>
        <w:tcBorders>
          <w:top w:val="double" w:sz="4" w:space="0" w:color="D0E788" w:themeColor="accent2" w:themeTint="99"/>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4-Accent3">
    <w:name w:val="List Table 4 Accent 3"/>
    <w:basedOn w:val="TableNormal"/>
    <w:uiPriority w:val="49"/>
    <w:locked/>
    <w:rsid w:val="00FE198B"/>
    <w:pPr>
      <w:spacing w:after="0" w:line="240" w:lineRule="auto"/>
    </w:p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tblBorders>
    </w:tblPr>
    <w:tblStylePr w:type="firstRow">
      <w:rPr>
        <w:b/>
        <w:bCs/>
        <w:color w:val="FFFFFF" w:themeColor="background1"/>
      </w:rPr>
      <w:tblPr/>
      <w:tcPr>
        <w:tcBorders>
          <w:top w:val="single" w:sz="4" w:space="0" w:color="0066BE" w:themeColor="accent3"/>
          <w:left w:val="single" w:sz="4" w:space="0" w:color="0066BE" w:themeColor="accent3"/>
          <w:bottom w:val="single" w:sz="4" w:space="0" w:color="0066BE" w:themeColor="accent3"/>
          <w:right w:val="single" w:sz="4" w:space="0" w:color="0066BE" w:themeColor="accent3"/>
          <w:insideH w:val="nil"/>
        </w:tcBorders>
        <w:shd w:val="clear" w:color="auto" w:fill="0066BE" w:themeFill="accent3"/>
      </w:tcPr>
    </w:tblStylePr>
    <w:tblStylePr w:type="lastRow">
      <w:rPr>
        <w:b/>
        <w:bCs/>
      </w:rPr>
      <w:tblPr/>
      <w:tcPr>
        <w:tcBorders>
          <w:top w:val="double" w:sz="4" w:space="0" w:color="3FA5FF" w:themeColor="accent3" w:themeTint="99"/>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4-Accent4">
    <w:name w:val="List Table 4 Accent 4"/>
    <w:basedOn w:val="TableNormal"/>
    <w:uiPriority w:val="49"/>
    <w:locked/>
    <w:rsid w:val="00FE198B"/>
    <w:pPr>
      <w:spacing w:after="0" w:line="240" w:lineRule="auto"/>
    </w:p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tblBorders>
    </w:tblPr>
    <w:tblStylePr w:type="firstRow">
      <w:rPr>
        <w:b/>
        <w:bCs/>
        <w:color w:val="FFFFFF" w:themeColor="background1"/>
      </w:rPr>
      <w:tblPr/>
      <w:tcPr>
        <w:tcBorders>
          <w:top w:val="single" w:sz="4" w:space="0" w:color="EC7023" w:themeColor="accent4"/>
          <w:left w:val="single" w:sz="4" w:space="0" w:color="EC7023" w:themeColor="accent4"/>
          <w:bottom w:val="single" w:sz="4" w:space="0" w:color="EC7023" w:themeColor="accent4"/>
          <w:right w:val="single" w:sz="4" w:space="0" w:color="EC7023" w:themeColor="accent4"/>
          <w:insideH w:val="nil"/>
        </w:tcBorders>
        <w:shd w:val="clear" w:color="auto" w:fill="EC7023" w:themeFill="accent4"/>
      </w:tcPr>
    </w:tblStylePr>
    <w:tblStylePr w:type="lastRow">
      <w:rPr>
        <w:b/>
        <w:bCs/>
      </w:rPr>
      <w:tblPr/>
      <w:tcPr>
        <w:tcBorders>
          <w:top w:val="double" w:sz="4" w:space="0" w:color="F3A87A" w:themeColor="accent4" w:themeTint="99"/>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4-Accent5">
    <w:name w:val="List Table 4 Accent 5"/>
    <w:basedOn w:val="TableNormal"/>
    <w:uiPriority w:val="49"/>
    <w:locked/>
    <w:rsid w:val="00FE198B"/>
    <w:pPr>
      <w:spacing w:after="0" w:line="240" w:lineRule="auto"/>
    </w:p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tblBorders>
    </w:tblPr>
    <w:tblStylePr w:type="firstRow">
      <w:rPr>
        <w:b/>
        <w:bCs/>
        <w:color w:val="FFFFFF" w:themeColor="background1"/>
      </w:rPr>
      <w:tblPr/>
      <w:tcPr>
        <w:tcBorders>
          <w:top w:val="single" w:sz="4" w:space="0" w:color="DF2A2A" w:themeColor="accent5"/>
          <w:left w:val="single" w:sz="4" w:space="0" w:color="DF2A2A" w:themeColor="accent5"/>
          <w:bottom w:val="single" w:sz="4" w:space="0" w:color="DF2A2A" w:themeColor="accent5"/>
          <w:right w:val="single" w:sz="4" w:space="0" w:color="DF2A2A" w:themeColor="accent5"/>
          <w:insideH w:val="nil"/>
        </w:tcBorders>
        <w:shd w:val="clear" w:color="auto" w:fill="DF2A2A" w:themeFill="accent5"/>
      </w:tcPr>
    </w:tblStylePr>
    <w:tblStylePr w:type="lastRow">
      <w:rPr>
        <w:b/>
        <w:bCs/>
      </w:rPr>
      <w:tblPr/>
      <w:tcPr>
        <w:tcBorders>
          <w:top w:val="double" w:sz="4" w:space="0" w:color="EB7F7F" w:themeColor="accent5" w:themeTint="99"/>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4-Accent6">
    <w:name w:val="List Table 4 Accent 6"/>
    <w:basedOn w:val="TableNormal"/>
    <w:uiPriority w:val="49"/>
    <w:locked/>
    <w:rsid w:val="00FE198B"/>
    <w:pPr>
      <w:spacing w:after="0" w:line="240" w:lineRule="auto"/>
    </w:p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tblBorders>
    </w:tblPr>
    <w:tblStylePr w:type="firstRow">
      <w:rPr>
        <w:b/>
        <w:bCs/>
        <w:color w:val="FFFFFF" w:themeColor="background1"/>
      </w:rPr>
      <w:tblPr/>
      <w:tcPr>
        <w:tcBorders>
          <w:top w:val="single" w:sz="4" w:space="0" w:color="4D3097" w:themeColor="accent6"/>
          <w:left w:val="single" w:sz="4" w:space="0" w:color="4D3097" w:themeColor="accent6"/>
          <w:bottom w:val="single" w:sz="4" w:space="0" w:color="4D3097" w:themeColor="accent6"/>
          <w:right w:val="single" w:sz="4" w:space="0" w:color="4D3097" w:themeColor="accent6"/>
          <w:insideH w:val="nil"/>
        </w:tcBorders>
        <w:shd w:val="clear" w:color="auto" w:fill="4D3097" w:themeFill="accent6"/>
      </w:tcPr>
    </w:tblStylePr>
    <w:tblStylePr w:type="lastRow">
      <w:rPr>
        <w:b/>
        <w:bCs/>
      </w:rPr>
      <w:tblPr/>
      <w:tcPr>
        <w:tcBorders>
          <w:top w:val="double" w:sz="4" w:space="0" w:color="8C71D2" w:themeColor="accent6" w:themeTint="99"/>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5Dark">
    <w:name w:val="List Table 5 Dark"/>
    <w:basedOn w:val="TableNormal"/>
    <w:uiPriority w:val="50"/>
    <w:locked/>
    <w:rsid w:val="00FE198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FE198B"/>
    <w:pPr>
      <w:spacing w:after="0" w:line="240" w:lineRule="auto"/>
    </w:pPr>
    <w:rPr>
      <w:color w:val="FFFFFF" w:themeColor="background1"/>
    </w:rPr>
    <w:tblPr>
      <w:tblStyleRowBandSize w:val="1"/>
      <w:tblStyleColBandSize w:val="1"/>
      <w:tblBorders>
        <w:top w:val="single" w:sz="24" w:space="0" w:color="47A843" w:themeColor="accent1"/>
        <w:left w:val="single" w:sz="24" w:space="0" w:color="47A843" w:themeColor="accent1"/>
        <w:bottom w:val="single" w:sz="24" w:space="0" w:color="47A843" w:themeColor="accent1"/>
        <w:right w:val="single" w:sz="24" w:space="0" w:color="47A843" w:themeColor="accent1"/>
      </w:tblBorders>
    </w:tblPr>
    <w:tcPr>
      <w:shd w:val="clear" w:color="auto" w:fill="47A84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FE198B"/>
    <w:pPr>
      <w:spacing w:after="0" w:line="240" w:lineRule="auto"/>
    </w:pPr>
    <w:rPr>
      <w:color w:val="FFFFFF" w:themeColor="background1"/>
    </w:rPr>
    <w:tblPr>
      <w:tblStyleRowBandSize w:val="1"/>
      <w:tblStyleColBandSize w:val="1"/>
      <w:tblBorders>
        <w:top w:val="single" w:sz="24" w:space="0" w:color="B2D83A" w:themeColor="accent2"/>
        <w:left w:val="single" w:sz="24" w:space="0" w:color="B2D83A" w:themeColor="accent2"/>
        <w:bottom w:val="single" w:sz="24" w:space="0" w:color="B2D83A" w:themeColor="accent2"/>
        <w:right w:val="single" w:sz="24" w:space="0" w:color="B2D83A" w:themeColor="accent2"/>
      </w:tblBorders>
    </w:tblPr>
    <w:tcPr>
      <w:shd w:val="clear" w:color="auto" w:fill="B2D83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FE198B"/>
    <w:pPr>
      <w:spacing w:after="0" w:line="240" w:lineRule="auto"/>
    </w:pPr>
    <w:rPr>
      <w:color w:val="FFFFFF" w:themeColor="background1"/>
    </w:rPr>
    <w:tblPr>
      <w:tblStyleRowBandSize w:val="1"/>
      <w:tblStyleColBandSize w:val="1"/>
      <w:tblBorders>
        <w:top w:val="single" w:sz="24" w:space="0" w:color="0066BE" w:themeColor="accent3"/>
        <w:left w:val="single" w:sz="24" w:space="0" w:color="0066BE" w:themeColor="accent3"/>
        <w:bottom w:val="single" w:sz="24" w:space="0" w:color="0066BE" w:themeColor="accent3"/>
        <w:right w:val="single" w:sz="24" w:space="0" w:color="0066BE" w:themeColor="accent3"/>
      </w:tblBorders>
    </w:tblPr>
    <w:tcPr>
      <w:shd w:val="clear" w:color="auto" w:fill="0066B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FE198B"/>
    <w:pPr>
      <w:spacing w:after="0" w:line="240" w:lineRule="auto"/>
    </w:pPr>
    <w:rPr>
      <w:color w:val="FFFFFF" w:themeColor="background1"/>
    </w:rPr>
    <w:tblPr>
      <w:tblStyleRowBandSize w:val="1"/>
      <w:tblStyleColBandSize w:val="1"/>
      <w:tblBorders>
        <w:top w:val="single" w:sz="24" w:space="0" w:color="EC7023" w:themeColor="accent4"/>
        <w:left w:val="single" w:sz="24" w:space="0" w:color="EC7023" w:themeColor="accent4"/>
        <w:bottom w:val="single" w:sz="24" w:space="0" w:color="EC7023" w:themeColor="accent4"/>
        <w:right w:val="single" w:sz="24" w:space="0" w:color="EC7023" w:themeColor="accent4"/>
      </w:tblBorders>
    </w:tblPr>
    <w:tcPr>
      <w:shd w:val="clear" w:color="auto" w:fill="EC702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FE198B"/>
    <w:pPr>
      <w:spacing w:after="0" w:line="240" w:lineRule="auto"/>
    </w:pPr>
    <w:rPr>
      <w:color w:val="FFFFFF" w:themeColor="background1"/>
    </w:rPr>
    <w:tblPr>
      <w:tblStyleRowBandSize w:val="1"/>
      <w:tblStyleColBandSize w:val="1"/>
      <w:tblBorders>
        <w:top w:val="single" w:sz="24" w:space="0" w:color="DF2A2A" w:themeColor="accent5"/>
        <w:left w:val="single" w:sz="24" w:space="0" w:color="DF2A2A" w:themeColor="accent5"/>
        <w:bottom w:val="single" w:sz="24" w:space="0" w:color="DF2A2A" w:themeColor="accent5"/>
        <w:right w:val="single" w:sz="24" w:space="0" w:color="DF2A2A" w:themeColor="accent5"/>
      </w:tblBorders>
    </w:tblPr>
    <w:tcPr>
      <w:shd w:val="clear" w:color="auto" w:fill="DF2A2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FE198B"/>
    <w:pPr>
      <w:spacing w:after="0" w:line="240" w:lineRule="auto"/>
    </w:pPr>
    <w:rPr>
      <w:color w:val="FFFFFF" w:themeColor="background1"/>
    </w:rPr>
    <w:tblPr>
      <w:tblStyleRowBandSize w:val="1"/>
      <w:tblStyleColBandSize w:val="1"/>
      <w:tblBorders>
        <w:top w:val="single" w:sz="24" w:space="0" w:color="4D3097" w:themeColor="accent6"/>
        <w:left w:val="single" w:sz="24" w:space="0" w:color="4D3097" w:themeColor="accent6"/>
        <w:bottom w:val="single" w:sz="24" w:space="0" w:color="4D3097" w:themeColor="accent6"/>
        <w:right w:val="single" w:sz="24" w:space="0" w:color="4D3097" w:themeColor="accent6"/>
      </w:tblBorders>
    </w:tblPr>
    <w:tcPr>
      <w:shd w:val="clear" w:color="auto" w:fill="4D309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FE198B"/>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FE198B"/>
    <w:pPr>
      <w:spacing w:after="0" w:line="240" w:lineRule="auto"/>
    </w:pPr>
    <w:rPr>
      <w:color w:val="357D32" w:themeColor="accent1" w:themeShade="BF"/>
    </w:rPr>
    <w:tblPr>
      <w:tblStyleRowBandSize w:val="1"/>
      <w:tblStyleColBandSize w:val="1"/>
      <w:tblBorders>
        <w:top w:val="single" w:sz="4" w:space="0" w:color="47A843" w:themeColor="accent1"/>
        <w:bottom w:val="single" w:sz="4" w:space="0" w:color="47A843" w:themeColor="accent1"/>
      </w:tblBorders>
    </w:tblPr>
    <w:tblStylePr w:type="firstRow">
      <w:rPr>
        <w:b/>
        <w:bCs/>
      </w:rPr>
      <w:tblPr/>
      <w:tcPr>
        <w:tcBorders>
          <w:bottom w:val="single" w:sz="4" w:space="0" w:color="47A843" w:themeColor="accent1"/>
        </w:tcBorders>
      </w:tcPr>
    </w:tblStylePr>
    <w:tblStylePr w:type="lastRow">
      <w:rPr>
        <w:b/>
        <w:bCs/>
      </w:rPr>
      <w:tblPr/>
      <w:tcPr>
        <w:tcBorders>
          <w:top w:val="double" w:sz="4" w:space="0" w:color="47A843" w:themeColor="accent1"/>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6Colorful-Accent2">
    <w:name w:val="List Table 6 Colorful Accent 2"/>
    <w:basedOn w:val="TableNormal"/>
    <w:uiPriority w:val="51"/>
    <w:locked/>
    <w:rsid w:val="00FE198B"/>
    <w:pPr>
      <w:spacing w:after="0" w:line="240" w:lineRule="auto"/>
    </w:pPr>
    <w:rPr>
      <w:color w:val="89AB22" w:themeColor="accent2" w:themeShade="BF"/>
    </w:rPr>
    <w:tblPr>
      <w:tblStyleRowBandSize w:val="1"/>
      <w:tblStyleColBandSize w:val="1"/>
      <w:tblBorders>
        <w:top w:val="single" w:sz="4" w:space="0" w:color="B2D83A" w:themeColor="accent2"/>
        <w:bottom w:val="single" w:sz="4" w:space="0" w:color="B2D83A" w:themeColor="accent2"/>
      </w:tblBorders>
    </w:tblPr>
    <w:tblStylePr w:type="firstRow">
      <w:rPr>
        <w:b/>
        <w:bCs/>
      </w:rPr>
      <w:tblPr/>
      <w:tcPr>
        <w:tcBorders>
          <w:bottom w:val="single" w:sz="4" w:space="0" w:color="B2D83A" w:themeColor="accent2"/>
        </w:tcBorders>
      </w:tcPr>
    </w:tblStylePr>
    <w:tblStylePr w:type="lastRow">
      <w:rPr>
        <w:b/>
        <w:bCs/>
      </w:rPr>
      <w:tblPr/>
      <w:tcPr>
        <w:tcBorders>
          <w:top w:val="double" w:sz="4" w:space="0" w:color="B2D83A" w:themeColor="accent2"/>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6Colorful-Accent3">
    <w:name w:val="List Table 6 Colorful Accent 3"/>
    <w:basedOn w:val="TableNormal"/>
    <w:uiPriority w:val="51"/>
    <w:locked/>
    <w:rsid w:val="00FE198B"/>
    <w:pPr>
      <w:spacing w:after="0" w:line="240" w:lineRule="auto"/>
    </w:pPr>
    <w:rPr>
      <w:color w:val="004B8E" w:themeColor="accent3" w:themeShade="BF"/>
    </w:rPr>
    <w:tblPr>
      <w:tblStyleRowBandSize w:val="1"/>
      <w:tblStyleColBandSize w:val="1"/>
      <w:tblBorders>
        <w:top w:val="single" w:sz="4" w:space="0" w:color="0066BE" w:themeColor="accent3"/>
        <w:bottom w:val="single" w:sz="4" w:space="0" w:color="0066BE" w:themeColor="accent3"/>
      </w:tblBorders>
    </w:tblPr>
    <w:tblStylePr w:type="firstRow">
      <w:rPr>
        <w:b/>
        <w:bCs/>
      </w:rPr>
      <w:tblPr/>
      <w:tcPr>
        <w:tcBorders>
          <w:bottom w:val="single" w:sz="4" w:space="0" w:color="0066BE" w:themeColor="accent3"/>
        </w:tcBorders>
      </w:tcPr>
    </w:tblStylePr>
    <w:tblStylePr w:type="lastRow">
      <w:rPr>
        <w:b/>
        <w:bCs/>
      </w:rPr>
      <w:tblPr/>
      <w:tcPr>
        <w:tcBorders>
          <w:top w:val="double" w:sz="4" w:space="0" w:color="0066BE" w:themeColor="accent3"/>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6Colorful-Accent4">
    <w:name w:val="List Table 6 Colorful Accent 4"/>
    <w:basedOn w:val="TableNormal"/>
    <w:uiPriority w:val="51"/>
    <w:locked/>
    <w:rsid w:val="00FE198B"/>
    <w:pPr>
      <w:spacing w:after="0" w:line="240" w:lineRule="auto"/>
    </w:pPr>
    <w:rPr>
      <w:color w:val="BA5010" w:themeColor="accent4" w:themeShade="BF"/>
    </w:rPr>
    <w:tblPr>
      <w:tblStyleRowBandSize w:val="1"/>
      <w:tblStyleColBandSize w:val="1"/>
      <w:tblBorders>
        <w:top w:val="single" w:sz="4" w:space="0" w:color="EC7023" w:themeColor="accent4"/>
        <w:bottom w:val="single" w:sz="4" w:space="0" w:color="EC7023" w:themeColor="accent4"/>
      </w:tblBorders>
    </w:tblPr>
    <w:tblStylePr w:type="firstRow">
      <w:rPr>
        <w:b/>
        <w:bCs/>
      </w:rPr>
      <w:tblPr/>
      <w:tcPr>
        <w:tcBorders>
          <w:bottom w:val="single" w:sz="4" w:space="0" w:color="EC7023" w:themeColor="accent4"/>
        </w:tcBorders>
      </w:tcPr>
    </w:tblStylePr>
    <w:tblStylePr w:type="lastRow">
      <w:rPr>
        <w:b/>
        <w:bCs/>
      </w:rPr>
      <w:tblPr/>
      <w:tcPr>
        <w:tcBorders>
          <w:top w:val="double" w:sz="4" w:space="0" w:color="EC7023" w:themeColor="accent4"/>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6Colorful-Accent5">
    <w:name w:val="List Table 6 Colorful Accent 5"/>
    <w:basedOn w:val="TableNormal"/>
    <w:uiPriority w:val="51"/>
    <w:locked/>
    <w:rsid w:val="00FE198B"/>
    <w:pPr>
      <w:spacing w:after="0" w:line="240" w:lineRule="auto"/>
    </w:pPr>
    <w:rPr>
      <w:color w:val="AC1A1A" w:themeColor="accent5" w:themeShade="BF"/>
    </w:rPr>
    <w:tblPr>
      <w:tblStyleRowBandSize w:val="1"/>
      <w:tblStyleColBandSize w:val="1"/>
      <w:tblBorders>
        <w:top w:val="single" w:sz="4" w:space="0" w:color="DF2A2A" w:themeColor="accent5"/>
        <w:bottom w:val="single" w:sz="4" w:space="0" w:color="DF2A2A" w:themeColor="accent5"/>
      </w:tblBorders>
    </w:tblPr>
    <w:tblStylePr w:type="firstRow">
      <w:rPr>
        <w:b/>
        <w:bCs/>
      </w:rPr>
      <w:tblPr/>
      <w:tcPr>
        <w:tcBorders>
          <w:bottom w:val="single" w:sz="4" w:space="0" w:color="DF2A2A" w:themeColor="accent5"/>
        </w:tcBorders>
      </w:tcPr>
    </w:tblStylePr>
    <w:tblStylePr w:type="lastRow">
      <w:rPr>
        <w:b/>
        <w:bCs/>
      </w:rPr>
      <w:tblPr/>
      <w:tcPr>
        <w:tcBorders>
          <w:top w:val="double" w:sz="4" w:space="0" w:color="DF2A2A" w:themeColor="accent5"/>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6Colorful-Accent6">
    <w:name w:val="List Table 6 Colorful Accent 6"/>
    <w:basedOn w:val="TableNormal"/>
    <w:uiPriority w:val="51"/>
    <w:locked/>
    <w:rsid w:val="00FE198B"/>
    <w:pPr>
      <w:spacing w:after="0" w:line="240" w:lineRule="auto"/>
    </w:pPr>
    <w:rPr>
      <w:color w:val="392471" w:themeColor="accent6" w:themeShade="BF"/>
    </w:rPr>
    <w:tblPr>
      <w:tblStyleRowBandSize w:val="1"/>
      <w:tblStyleColBandSize w:val="1"/>
      <w:tblBorders>
        <w:top w:val="single" w:sz="4" w:space="0" w:color="4D3097" w:themeColor="accent6"/>
        <w:bottom w:val="single" w:sz="4" w:space="0" w:color="4D3097" w:themeColor="accent6"/>
      </w:tblBorders>
    </w:tblPr>
    <w:tblStylePr w:type="firstRow">
      <w:rPr>
        <w:b/>
        <w:bCs/>
      </w:rPr>
      <w:tblPr/>
      <w:tcPr>
        <w:tcBorders>
          <w:bottom w:val="single" w:sz="4" w:space="0" w:color="4D3097" w:themeColor="accent6"/>
        </w:tcBorders>
      </w:tcPr>
    </w:tblStylePr>
    <w:tblStylePr w:type="lastRow">
      <w:rPr>
        <w:b/>
        <w:bCs/>
      </w:rPr>
      <w:tblPr/>
      <w:tcPr>
        <w:tcBorders>
          <w:top w:val="double" w:sz="4" w:space="0" w:color="4D3097" w:themeColor="accent6"/>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7Colorful">
    <w:name w:val="List Table 7 Colorful"/>
    <w:basedOn w:val="TableNormal"/>
    <w:uiPriority w:val="52"/>
    <w:locked/>
    <w:rsid w:val="00FE198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FE198B"/>
    <w:pPr>
      <w:spacing w:after="0" w:line="240" w:lineRule="auto"/>
    </w:pPr>
    <w:rPr>
      <w:color w:val="357D3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A84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A84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A84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A843" w:themeColor="accent1"/>
        </w:tcBorders>
        <w:shd w:val="clear" w:color="auto" w:fill="FFFFFF" w:themeFill="background1"/>
      </w:tcPr>
    </w:tblStylePr>
    <w:tblStylePr w:type="band1Vert">
      <w:tblPr/>
      <w:tcPr>
        <w:shd w:val="clear" w:color="auto" w:fill="D8EFD7" w:themeFill="accent1" w:themeFillTint="33"/>
      </w:tcPr>
    </w:tblStylePr>
    <w:tblStylePr w:type="band1Horz">
      <w:tblPr/>
      <w:tcPr>
        <w:shd w:val="clear" w:color="auto" w:fill="D8EF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FE198B"/>
    <w:pPr>
      <w:spacing w:after="0" w:line="240" w:lineRule="auto"/>
    </w:pPr>
    <w:rPr>
      <w:color w:val="89AB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D83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D83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D83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D83A" w:themeColor="accent2"/>
        </w:tcBorders>
        <w:shd w:val="clear" w:color="auto" w:fill="FFFFFF" w:themeFill="background1"/>
      </w:tcPr>
    </w:tblStylePr>
    <w:tblStylePr w:type="band1Vert">
      <w:tblPr/>
      <w:tcPr>
        <w:shd w:val="clear" w:color="auto" w:fill="EFF7D7" w:themeFill="accent2" w:themeFillTint="33"/>
      </w:tcPr>
    </w:tblStylePr>
    <w:tblStylePr w:type="band1Horz">
      <w:tblPr/>
      <w:tcPr>
        <w:shd w:val="clear" w:color="auto" w:fill="EFF7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FE198B"/>
    <w:pPr>
      <w:spacing w:after="0" w:line="240" w:lineRule="auto"/>
    </w:pPr>
    <w:rPr>
      <w:color w:val="004B8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6B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6B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6B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6BE" w:themeColor="accent3"/>
        </w:tcBorders>
        <w:shd w:val="clear" w:color="auto" w:fill="FFFFFF" w:themeFill="background1"/>
      </w:tcPr>
    </w:tblStylePr>
    <w:tblStylePr w:type="band1Vert">
      <w:tblPr/>
      <w:tcPr>
        <w:shd w:val="clear" w:color="auto" w:fill="BFE1FF" w:themeFill="accent3" w:themeFillTint="33"/>
      </w:tcPr>
    </w:tblStylePr>
    <w:tblStylePr w:type="band1Horz">
      <w:tblPr/>
      <w:tcPr>
        <w:shd w:val="clear" w:color="auto" w:fill="BFE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FE198B"/>
    <w:pPr>
      <w:spacing w:after="0" w:line="240" w:lineRule="auto"/>
    </w:pPr>
    <w:rPr>
      <w:color w:val="BA501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702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702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702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7023" w:themeColor="accent4"/>
        </w:tcBorders>
        <w:shd w:val="clear" w:color="auto" w:fill="FFFFFF" w:themeFill="background1"/>
      </w:tcPr>
    </w:tblStylePr>
    <w:tblStylePr w:type="band1Vert">
      <w:tblPr/>
      <w:tcPr>
        <w:shd w:val="clear" w:color="auto" w:fill="FBE2D2" w:themeFill="accent4" w:themeFillTint="33"/>
      </w:tcPr>
    </w:tblStylePr>
    <w:tblStylePr w:type="band1Horz">
      <w:tblPr/>
      <w:tcPr>
        <w:shd w:val="clear" w:color="auto" w:fill="FBE2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FE198B"/>
    <w:pPr>
      <w:spacing w:after="0" w:line="240" w:lineRule="auto"/>
    </w:pPr>
    <w:rPr>
      <w:color w:val="AC1A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F2A2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F2A2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F2A2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F2A2A" w:themeColor="accent5"/>
        </w:tcBorders>
        <w:shd w:val="clear" w:color="auto" w:fill="FFFFFF" w:themeFill="background1"/>
      </w:tcPr>
    </w:tblStylePr>
    <w:tblStylePr w:type="band1Vert">
      <w:tblPr/>
      <w:tcPr>
        <w:shd w:val="clear" w:color="auto" w:fill="F8D4D4" w:themeFill="accent5" w:themeFillTint="33"/>
      </w:tcPr>
    </w:tblStylePr>
    <w:tblStylePr w:type="band1Horz">
      <w:tblPr/>
      <w:tcPr>
        <w:shd w:val="clear" w:color="auto" w:fill="F8D4D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FE198B"/>
    <w:pPr>
      <w:spacing w:after="0" w:line="240" w:lineRule="auto"/>
    </w:pPr>
    <w:rPr>
      <w:color w:val="39247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309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309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309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3097" w:themeColor="accent6"/>
        </w:tcBorders>
        <w:shd w:val="clear" w:color="auto" w:fill="FFFFFF" w:themeFill="background1"/>
      </w:tcPr>
    </w:tblStylePr>
    <w:tblStylePr w:type="band1Vert">
      <w:tblPr/>
      <w:tcPr>
        <w:shd w:val="clear" w:color="auto" w:fill="D8CFF0" w:themeFill="accent6" w:themeFillTint="33"/>
      </w:tcPr>
    </w:tblStylePr>
    <w:tblStylePr w:type="band1Horz">
      <w:tblPr/>
      <w:tcPr>
        <w:shd w:val="clear" w:color="auto" w:fill="D8CF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locked/>
    <w:rsid w:val="00FE198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E198B"/>
    <w:rPr>
      <w:rFonts w:ascii="Consolas" w:hAnsi="Consolas"/>
      <w:sz w:val="20"/>
      <w:szCs w:val="20"/>
    </w:rPr>
  </w:style>
  <w:style w:type="table" w:styleId="MediumGrid1">
    <w:name w:val="Medium Grid 1"/>
    <w:basedOn w:val="TableNormal"/>
    <w:uiPriority w:val="67"/>
    <w:semiHidden/>
    <w:unhideWhenUsed/>
    <w:locked/>
    <w:rsid w:val="00FE198B"/>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locked/>
    <w:rsid w:val="00FE198B"/>
    <w:pPr>
      <w:spacing w:before="0" w:after="0" w:line="240" w:lineRule="auto"/>
    </w:pPr>
    <w:tblPr>
      <w:tblStyleRowBandSize w:val="1"/>
      <w:tblStyleColBandSize w:val="1"/>
      <w:tblBorders>
        <w:top w:val="single" w:sz="8"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single" w:sz="8" w:space="0" w:color="6FC46B" w:themeColor="accent1" w:themeTint="BF"/>
        <w:insideV w:val="single" w:sz="8" w:space="0" w:color="6FC46B" w:themeColor="accent1" w:themeTint="BF"/>
      </w:tblBorders>
    </w:tblPr>
    <w:tcPr>
      <w:shd w:val="clear" w:color="auto" w:fill="CFEBCE" w:themeFill="accent1" w:themeFillTint="3F"/>
    </w:tcPr>
    <w:tblStylePr w:type="firstRow">
      <w:rPr>
        <w:b/>
        <w:bCs/>
      </w:rPr>
    </w:tblStylePr>
    <w:tblStylePr w:type="lastRow">
      <w:rPr>
        <w:b/>
        <w:bCs/>
      </w:rPr>
      <w:tblPr/>
      <w:tcPr>
        <w:tcBorders>
          <w:top w:val="single" w:sz="18" w:space="0" w:color="6FC46B" w:themeColor="accent1" w:themeTint="BF"/>
        </w:tcBorders>
      </w:tcPr>
    </w:tblStylePr>
    <w:tblStylePr w:type="firstCol">
      <w:rPr>
        <w:b/>
        <w:bCs/>
      </w:rPr>
    </w:tblStylePr>
    <w:tblStylePr w:type="lastCol">
      <w:rPr>
        <w:b/>
        <w:bCs/>
      </w:rPr>
    </w:tblStylePr>
    <w:tblStylePr w:type="band1Vert">
      <w:tblPr/>
      <w:tcPr>
        <w:shd w:val="clear" w:color="auto" w:fill="9FD89D" w:themeFill="accent1" w:themeFillTint="7F"/>
      </w:tcPr>
    </w:tblStylePr>
    <w:tblStylePr w:type="band1Horz">
      <w:tblPr/>
      <w:tcPr>
        <w:shd w:val="clear" w:color="auto" w:fill="9FD89D" w:themeFill="accent1" w:themeFillTint="7F"/>
      </w:tcPr>
    </w:tblStylePr>
  </w:style>
  <w:style w:type="table" w:styleId="MediumGrid1-Accent2">
    <w:name w:val="Medium Grid 1 Accent 2"/>
    <w:basedOn w:val="TableNormal"/>
    <w:uiPriority w:val="67"/>
    <w:semiHidden/>
    <w:unhideWhenUsed/>
    <w:locked/>
    <w:rsid w:val="00FE198B"/>
    <w:pPr>
      <w:spacing w:before="0" w:after="0" w:line="240" w:lineRule="auto"/>
    </w:pPr>
    <w:tblPr>
      <w:tblStyleRowBandSize w:val="1"/>
      <w:tblStyleColBandSize w:val="1"/>
      <w:tblBorders>
        <w:top w:val="single" w:sz="8"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single" w:sz="8" w:space="0" w:color="C4E16B" w:themeColor="accent2" w:themeTint="BF"/>
        <w:insideV w:val="single" w:sz="8" w:space="0" w:color="C4E16B" w:themeColor="accent2" w:themeTint="BF"/>
      </w:tblBorders>
    </w:tblPr>
    <w:tcPr>
      <w:shd w:val="clear" w:color="auto" w:fill="EBF5CE" w:themeFill="accent2" w:themeFillTint="3F"/>
    </w:tcPr>
    <w:tblStylePr w:type="firstRow">
      <w:rPr>
        <w:b/>
        <w:bCs/>
      </w:rPr>
    </w:tblStylePr>
    <w:tblStylePr w:type="lastRow">
      <w:rPr>
        <w:b/>
        <w:bCs/>
      </w:rPr>
      <w:tblPr/>
      <w:tcPr>
        <w:tcBorders>
          <w:top w:val="single" w:sz="18" w:space="0" w:color="C4E16B" w:themeColor="accent2" w:themeTint="BF"/>
        </w:tcBorders>
      </w:tcPr>
    </w:tblStylePr>
    <w:tblStylePr w:type="firstCol">
      <w:rPr>
        <w:b/>
        <w:bCs/>
      </w:rPr>
    </w:tblStylePr>
    <w:tblStylePr w:type="lastCol">
      <w:rPr>
        <w:b/>
        <w:bCs/>
      </w:rPr>
    </w:tblStylePr>
    <w:tblStylePr w:type="band1Vert">
      <w:tblPr/>
      <w:tcPr>
        <w:shd w:val="clear" w:color="auto" w:fill="D8EB9C" w:themeFill="accent2" w:themeFillTint="7F"/>
      </w:tcPr>
    </w:tblStylePr>
    <w:tblStylePr w:type="band1Horz">
      <w:tblPr/>
      <w:tcPr>
        <w:shd w:val="clear" w:color="auto" w:fill="D8EB9C" w:themeFill="accent2" w:themeFillTint="7F"/>
      </w:tcPr>
    </w:tblStylePr>
  </w:style>
  <w:style w:type="table" w:styleId="MediumGrid1-Accent3">
    <w:name w:val="Medium Grid 1 Accent 3"/>
    <w:basedOn w:val="TableNormal"/>
    <w:uiPriority w:val="67"/>
    <w:semiHidden/>
    <w:unhideWhenUsed/>
    <w:locked/>
    <w:rsid w:val="00FE198B"/>
    <w:pPr>
      <w:spacing w:before="0" w:after="0" w:line="240" w:lineRule="auto"/>
    </w:pPr>
    <w:tblPr>
      <w:tblStyleRowBandSize w:val="1"/>
      <w:tblStyleColBandSize w:val="1"/>
      <w:tblBorders>
        <w:top w:val="single" w:sz="8"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single" w:sz="8" w:space="0" w:color="0F8FFF" w:themeColor="accent3" w:themeTint="BF"/>
        <w:insideV w:val="single" w:sz="8" w:space="0" w:color="0F8FFF" w:themeColor="accent3" w:themeTint="BF"/>
      </w:tblBorders>
    </w:tblPr>
    <w:tcPr>
      <w:shd w:val="clear" w:color="auto" w:fill="AFD9FF" w:themeFill="accent3" w:themeFillTint="3F"/>
    </w:tcPr>
    <w:tblStylePr w:type="firstRow">
      <w:rPr>
        <w:b/>
        <w:bCs/>
      </w:rPr>
    </w:tblStylePr>
    <w:tblStylePr w:type="lastRow">
      <w:rPr>
        <w:b/>
        <w:bCs/>
      </w:rPr>
      <w:tblPr/>
      <w:tcPr>
        <w:tcBorders>
          <w:top w:val="single" w:sz="18" w:space="0" w:color="0F8FFF" w:themeColor="accent3" w:themeTint="BF"/>
        </w:tcBorders>
      </w:tcPr>
    </w:tblStylePr>
    <w:tblStylePr w:type="firstCol">
      <w:rPr>
        <w:b/>
        <w:bCs/>
      </w:rPr>
    </w:tblStylePr>
    <w:tblStylePr w:type="lastCol">
      <w:rPr>
        <w:b/>
        <w:bCs/>
      </w:rPr>
    </w:tblStylePr>
    <w:tblStylePr w:type="band1Vert">
      <w:tblPr/>
      <w:tcPr>
        <w:shd w:val="clear" w:color="auto" w:fill="5FB4FF" w:themeFill="accent3" w:themeFillTint="7F"/>
      </w:tcPr>
    </w:tblStylePr>
    <w:tblStylePr w:type="band1Horz">
      <w:tblPr/>
      <w:tcPr>
        <w:shd w:val="clear" w:color="auto" w:fill="5FB4FF" w:themeFill="accent3" w:themeFillTint="7F"/>
      </w:tcPr>
    </w:tblStylePr>
  </w:style>
  <w:style w:type="table" w:styleId="MediumGrid1-Accent4">
    <w:name w:val="Medium Grid 1 Accent 4"/>
    <w:basedOn w:val="TableNormal"/>
    <w:uiPriority w:val="67"/>
    <w:semiHidden/>
    <w:unhideWhenUsed/>
    <w:locked/>
    <w:rsid w:val="00FE198B"/>
    <w:pPr>
      <w:spacing w:before="0" w:after="0" w:line="240" w:lineRule="auto"/>
    </w:pPr>
    <w:tblPr>
      <w:tblStyleRowBandSize w:val="1"/>
      <w:tblStyleColBandSize w:val="1"/>
      <w:tblBorders>
        <w:top w:val="single" w:sz="8"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single" w:sz="8" w:space="0" w:color="F09359" w:themeColor="accent4" w:themeTint="BF"/>
        <w:insideV w:val="single" w:sz="8" w:space="0" w:color="F09359" w:themeColor="accent4" w:themeTint="BF"/>
      </w:tblBorders>
    </w:tblPr>
    <w:tcPr>
      <w:shd w:val="clear" w:color="auto" w:fill="FADBC8" w:themeFill="accent4" w:themeFillTint="3F"/>
    </w:tcPr>
    <w:tblStylePr w:type="firstRow">
      <w:rPr>
        <w:b/>
        <w:bCs/>
      </w:rPr>
    </w:tblStylePr>
    <w:tblStylePr w:type="lastRow">
      <w:rPr>
        <w:b/>
        <w:bCs/>
      </w:rPr>
      <w:tblPr/>
      <w:tcPr>
        <w:tcBorders>
          <w:top w:val="single" w:sz="18" w:space="0" w:color="F09359" w:themeColor="accent4" w:themeTint="BF"/>
        </w:tcBorders>
      </w:tcPr>
    </w:tblStylePr>
    <w:tblStylePr w:type="firstCol">
      <w:rPr>
        <w:b/>
        <w:bCs/>
      </w:rPr>
    </w:tblStylePr>
    <w:tblStylePr w:type="lastCol">
      <w:rPr>
        <w:b/>
        <w:bCs/>
      </w:rPr>
    </w:tblStylePr>
    <w:tblStylePr w:type="band1Vert">
      <w:tblPr/>
      <w:tcPr>
        <w:shd w:val="clear" w:color="auto" w:fill="F5B791" w:themeFill="accent4" w:themeFillTint="7F"/>
      </w:tcPr>
    </w:tblStylePr>
    <w:tblStylePr w:type="band1Horz">
      <w:tblPr/>
      <w:tcPr>
        <w:shd w:val="clear" w:color="auto" w:fill="F5B791" w:themeFill="accent4" w:themeFillTint="7F"/>
      </w:tcPr>
    </w:tblStylePr>
  </w:style>
  <w:style w:type="table" w:styleId="MediumGrid1-Accent5">
    <w:name w:val="Medium Grid 1 Accent 5"/>
    <w:basedOn w:val="TableNormal"/>
    <w:uiPriority w:val="67"/>
    <w:semiHidden/>
    <w:unhideWhenUsed/>
    <w:locked/>
    <w:rsid w:val="00FE198B"/>
    <w:pPr>
      <w:spacing w:before="0" w:after="0" w:line="240" w:lineRule="auto"/>
    </w:pPr>
    <w:tblPr>
      <w:tblStyleRowBandSize w:val="1"/>
      <w:tblStyleColBandSize w:val="1"/>
      <w:tblBorders>
        <w:top w:val="single" w:sz="8"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single" w:sz="8" w:space="0" w:color="E75F5F" w:themeColor="accent5" w:themeTint="BF"/>
        <w:insideV w:val="single" w:sz="8" w:space="0" w:color="E75F5F" w:themeColor="accent5" w:themeTint="BF"/>
      </w:tblBorders>
    </w:tblPr>
    <w:tcPr>
      <w:shd w:val="clear" w:color="auto" w:fill="F7CACA" w:themeFill="accent5" w:themeFillTint="3F"/>
    </w:tcPr>
    <w:tblStylePr w:type="firstRow">
      <w:rPr>
        <w:b/>
        <w:bCs/>
      </w:rPr>
    </w:tblStylePr>
    <w:tblStylePr w:type="lastRow">
      <w:rPr>
        <w:b/>
        <w:bCs/>
      </w:rPr>
      <w:tblPr/>
      <w:tcPr>
        <w:tcBorders>
          <w:top w:val="single" w:sz="18" w:space="0" w:color="E75F5F" w:themeColor="accent5" w:themeTint="BF"/>
        </w:tcBorders>
      </w:tcPr>
    </w:tblStylePr>
    <w:tblStylePr w:type="firstCol">
      <w:rPr>
        <w:b/>
        <w:bCs/>
      </w:rPr>
    </w:tblStylePr>
    <w:tblStylePr w:type="lastCol">
      <w:rPr>
        <w:b/>
        <w:bCs/>
      </w:rPr>
    </w:tblStylePr>
    <w:tblStylePr w:type="band1Vert">
      <w:tblPr/>
      <w:tcPr>
        <w:shd w:val="clear" w:color="auto" w:fill="EF9494" w:themeFill="accent5" w:themeFillTint="7F"/>
      </w:tcPr>
    </w:tblStylePr>
    <w:tblStylePr w:type="band1Horz">
      <w:tblPr/>
      <w:tcPr>
        <w:shd w:val="clear" w:color="auto" w:fill="EF9494" w:themeFill="accent5" w:themeFillTint="7F"/>
      </w:tcPr>
    </w:tblStylePr>
  </w:style>
  <w:style w:type="table" w:styleId="MediumGrid1-Accent6">
    <w:name w:val="Medium Grid 1 Accent 6"/>
    <w:basedOn w:val="TableNormal"/>
    <w:uiPriority w:val="67"/>
    <w:semiHidden/>
    <w:unhideWhenUsed/>
    <w:locked/>
    <w:rsid w:val="00FE198B"/>
    <w:pPr>
      <w:spacing w:before="0" w:after="0" w:line="240" w:lineRule="auto"/>
    </w:pPr>
    <w:tblPr>
      <w:tblStyleRowBandSize w:val="1"/>
      <w:tblStyleColBandSize w:val="1"/>
      <w:tblBorders>
        <w:top w:val="single" w:sz="8"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single" w:sz="8" w:space="0" w:color="6F4EC6" w:themeColor="accent6" w:themeTint="BF"/>
        <w:insideV w:val="single" w:sz="8" w:space="0" w:color="6F4EC6" w:themeColor="accent6" w:themeTint="BF"/>
      </w:tblBorders>
    </w:tblPr>
    <w:tcPr>
      <w:shd w:val="clear" w:color="auto" w:fill="CFC4EC" w:themeFill="accent6" w:themeFillTint="3F"/>
    </w:tcPr>
    <w:tblStylePr w:type="firstRow">
      <w:rPr>
        <w:b/>
        <w:bCs/>
      </w:rPr>
    </w:tblStylePr>
    <w:tblStylePr w:type="lastRow">
      <w:rPr>
        <w:b/>
        <w:bCs/>
      </w:rPr>
      <w:tblPr/>
      <w:tcPr>
        <w:tcBorders>
          <w:top w:val="single" w:sz="18" w:space="0" w:color="6F4EC6" w:themeColor="accent6" w:themeTint="BF"/>
        </w:tcBorders>
      </w:tcPr>
    </w:tblStylePr>
    <w:tblStylePr w:type="firstCol">
      <w:rPr>
        <w:b/>
        <w:bCs/>
      </w:rPr>
    </w:tblStylePr>
    <w:tblStylePr w:type="lastCol">
      <w:rPr>
        <w:b/>
        <w:bCs/>
      </w:rPr>
    </w:tblStylePr>
    <w:tblStylePr w:type="band1Vert">
      <w:tblPr/>
      <w:tcPr>
        <w:shd w:val="clear" w:color="auto" w:fill="9F89D9" w:themeFill="accent6" w:themeFillTint="7F"/>
      </w:tcPr>
    </w:tblStylePr>
    <w:tblStylePr w:type="band1Horz">
      <w:tblPr/>
      <w:tcPr>
        <w:shd w:val="clear" w:color="auto" w:fill="9F89D9" w:themeFill="accent6" w:themeFillTint="7F"/>
      </w:tcPr>
    </w:tblStylePr>
  </w:style>
  <w:style w:type="table" w:styleId="MediumGrid2">
    <w:name w:val="Medium Grid 2"/>
    <w:basedOn w:val="TableNormal"/>
    <w:uiPriority w:val="68"/>
    <w:semiHidden/>
    <w:unhideWhenUsed/>
    <w:locked/>
    <w:rsid w:val="00FE198B"/>
    <w:pPr>
      <w:spacing w:before="0"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FE198B"/>
    <w:pPr>
      <w:spacing w:before="0" w:after="0" w:line="240" w:lineRule="auto"/>
    </w:pPr>
    <w:rPr>
      <w:rFonts w:asciiTheme="majorHAnsi" w:eastAsiaTheme="majorEastAsia" w:hAnsiTheme="majorHAnsi" w:cstheme="majorBidi"/>
    </w:r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insideH w:val="single" w:sz="8" w:space="0" w:color="47A843" w:themeColor="accent1"/>
        <w:insideV w:val="single" w:sz="8" w:space="0" w:color="47A843" w:themeColor="accent1"/>
      </w:tblBorders>
    </w:tblPr>
    <w:tcPr>
      <w:shd w:val="clear" w:color="auto" w:fill="CFEBCE" w:themeFill="accent1" w:themeFillTint="3F"/>
    </w:tcPr>
    <w:tblStylePr w:type="firstRow">
      <w:rPr>
        <w:b/>
        <w:bCs/>
        <w:color w:val="000000" w:themeColor="text1"/>
      </w:rPr>
      <w:tblPr/>
      <w:tcPr>
        <w:shd w:val="clear" w:color="auto" w:fill="ECF7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FD7" w:themeFill="accent1" w:themeFillTint="33"/>
      </w:tcPr>
    </w:tblStylePr>
    <w:tblStylePr w:type="band1Vert">
      <w:tblPr/>
      <w:tcPr>
        <w:shd w:val="clear" w:color="auto" w:fill="9FD89D" w:themeFill="accent1" w:themeFillTint="7F"/>
      </w:tcPr>
    </w:tblStylePr>
    <w:tblStylePr w:type="band1Horz">
      <w:tblPr/>
      <w:tcPr>
        <w:tcBorders>
          <w:insideH w:val="single" w:sz="6" w:space="0" w:color="47A843" w:themeColor="accent1"/>
          <w:insideV w:val="single" w:sz="6" w:space="0" w:color="47A843" w:themeColor="accent1"/>
        </w:tcBorders>
        <w:shd w:val="clear" w:color="auto" w:fill="9FD89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FE198B"/>
    <w:pPr>
      <w:spacing w:before="0" w:after="0" w:line="240" w:lineRule="auto"/>
    </w:pPr>
    <w:rPr>
      <w:rFonts w:asciiTheme="majorHAnsi" w:eastAsiaTheme="majorEastAsia" w:hAnsiTheme="majorHAnsi" w:cstheme="majorBidi"/>
    </w:r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insideH w:val="single" w:sz="8" w:space="0" w:color="B2D83A" w:themeColor="accent2"/>
        <w:insideV w:val="single" w:sz="8" w:space="0" w:color="B2D83A" w:themeColor="accent2"/>
      </w:tblBorders>
    </w:tblPr>
    <w:tcPr>
      <w:shd w:val="clear" w:color="auto" w:fill="EBF5CE" w:themeFill="accent2" w:themeFillTint="3F"/>
    </w:tcPr>
    <w:tblStylePr w:type="firstRow">
      <w:rPr>
        <w:b/>
        <w:bCs/>
        <w:color w:val="000000" w:themeColor="text1"/>
      </w:rPr>
      <w:tblPr/>
      <w:tcPr>
        <w:shd w:val="clear" w:color="auto" w:fill="F7FB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7D7" w:themeFill="accent2" w:themeFillTint="33"/>
      </w:tcPr>
    </w:tblStylePr>
    <w:tblStylePr w:type="band1Vert">
      <w:tblPr/>
      <w:tcPr>
        <w:shd w:val="clear" w:color="auto" w:fill="D8EB9C" w:themeFill="accent2" w:themeFillTint="7F"/>
      </w:tcPr>
    </w:tblStylePr>
    <w:tblStylePr w:type="band1Horz">
      <w:tblPr/>
      <w:tcPr>
        <w:tcBorders>
          <w:insideH w:val="single" w:sz="6" w:space="0" w:color="B2D83A" w:themeColor="accent2"/>
          <w:insideV w:val="single" w:sz="6" w:space="0" w:color="B2D83A" w:themeColor="accent2"/>
        </w:tcBorders>
        <w:shd w:val="clear" w:color="auto" w:fill="D8EB9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FE198B"/>
    <w:pPr>
      <w:spacing w:before="0" w:after="0" w:line="240" w:lineRule="auto"/>
    </w:pPr>
    <w:rPr>
      <w:rFonts w:asciiTheme="majorHAnsi" w:eastAsiaTheme="majorEastAsia" w:hAnsiTheme="majorHAnsi" w:cstheme="majorBidi"/>
    </w:r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insideH w:val="single" w:sz="8" w:space="0" w:color="0066BE" w:themeColor="accent3"/>
        <w:insideV w:val="single" w:sz="8" w:space="0" w:color="0066BE" w:themeColor="accent3"/>
      </w:tblBorders>
    </w:tblPr>
    <w:tcPr>
      <w:shd w:val="clear" w:color="auto" w:fill="AFD9FF" w:themeFill="accent3" w:themeFillTint="3F"/>
    </w:tcPr>
    <w:tblStylePr w:type="firstRow">
      <w:rPr>
        <w:b/>
        <w:bCs/>
        <w:color w:val="000000" w:themeColor="text1"/>
      </w:rPr>
      <w:tblPr/>
      <w:tcPr>
        <w:shd w:val="clear" w:color="auto" w:fill="DFF0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FE1FF" w:themeFill="accent3" w:themeFillTint="33"/>
      </w:tcPr>
    </w:tblStylePr>
    <w:tblStylePr w:type="band1Vert">
      <w:tblPr/>
      <w:tcPr>
        <w:shd w:val="clear" w:color="auto" w:fill="5FB4FF" w:themeFill="accent3" w:themeFillTint="7F"/>
      </w:tcPr>
    </w:tblStylePr>
    <w:tblStylePr w:type="band1Horz">
      <w:tblPr/>
      <w:tcPr>
        <w:tcBorders>
          <w:insideH w:val="single" w:sz="6" w:space="0" w:color="0066BE" w:themeColor="accent3"/>
          <w:insideV w:val="single" w:sz="6" w:space="0" w:color="0066BE" w:themeColor="accent3"/>
        </w:tcBorders>
        <w:shd w:val="clear" w:color="auto" w:fill="5FB4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FE198B"/>
    <w:pPr>
      <w:spacing w:before="0" w:after="0" w:line="240" w:lineRule="auto"/>
    </w:pPr>
    <w:rPr>
      <w:rFonts w:asciiTheme="majorHAnsi" w:eastAsiaTheme="majorEastAsia" w:hAnsiTheme="majorHAnsi" w:cstheme="majorBidi"/>
    </w:r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insideH w:val="single" w:sz="8" w:space="0" w:color="EC7023" w:themeColor="accent4"/>
        <w:insideV w:val="single" w:sz="8" w:space="0" w:color="EC7023" w:themeColor="accent4"/>
      </w:tblBorders>
    </w:tblPr>
    <w:tcPr>
      <w:shd w:val="clear" w:color="auto" w:fill="FADBC8" w:themeFill="accent4" w:themeFillTint="3F"/>
    </w:tcPr>
    <w:tblStylePr w:type="firstRow">
      <w:rPr>
        <w:b/>
        <w:bCs/>
        <w:color w:val="000000" w:themeColor="text1"/>
      </w:rPr>
      <w:tblPr/>
      <w:tcPr>
        <w:shd w:val="clear" w:color="auto" w:fill="FDF0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2D2" w:themeFill="accent4" w:themeFillTint="33"/>
      </w:tcPr>
    </w:tblStylePr>
    <w:tblStylePr w:type="band1Vert">
      <w:tblPr/>
      <w:tcPr>
        <w:shd w:val="clear" w:color="auto" w:fill="F5B791" w:themeFill="accent4" w:themeFillTint="7F"/>
      </w:tcPr>
    </w:tblStylePr>
    <w:tblStylePr w:type="band1Horz">
      <w:tblPr/>
      <w:tcPr>
        <w:tcBorders>
          <w:insideH w:val="single" w:sz="6" w:space="0" w:color="EC7023" w:themeColor="accent4"/>
          <w:insideV w:val="single" w:sz="6" w:space="0" w:color="EC7023" w:themeColor="accent4"/>
        </w:tcBorders>
        <w:shd w:val="clear" w:color="auto" w:fill="F5B79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FE198B"/>
    <w:pPr>
      <w:spacing w:before="0" w:after="0" w:line="240" w:lineRule="auto"/>
    </w:pPr>
    <w:rPr>
      <w:rFonts w:asciiTheme="majorHAnsi" w:eastAsiaTheme="majorEastAsia" w:hAnsiTheme="majorHAnsi" w:cstheme="majorBidi"/>
    </w:r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insideH w:val="single" w:sz="8" w:space="0" w:color="DF2A2A" w:themeColor="accent5"/>
        <w:insideV w:val="single" w:sz="8" w:space="0" w:color="DF2A2A" w:themeColor="accent5"/>
      </w:tblBorders>
    </w:tblPr>
    <w:tcPr>
      <w:shd w:val="clear" w:color="auto" w:fill="F7CACA" w:themeFill="accent5" w:themeFillTint="3F"/>
    </w:tcPr>
    <w:tblStylePr w:type="firstRow">
      <w:rPr>
        <w:b/>
        <w:bCs/>
        <w:color w:val="000000" w:themeColor="text1"/>
      </w:rPr>
      <w:tblPr/>
      <w:tcPr>
        <w:shd w:val="clear" w:color="auto" w:fill="FBE9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4D4" w:themeFill="accent5" w:themeFillTint="33"/>
      </w:tcPr>
    </w:tblStylePr>
    <w:tblStylePr w:type="band1Vert">
      <w:tblPr/>
      <w:tcPr>
        <w:shd w:val="clear" w:color="auto" w:fill="EF9494" w:themeFill="accent5" w:themeFillTint="7F"/>
      </w:tcPr>
    </w:tblStylePr>
    <w:tblStylePr w:type="band1Horz">
      <w:tblPr/>
      <w:tcPr>
        <w:tcBorders>
          <w:insideH w:val="single" w:sz="6" w:space="0" w:color="DF2A2A" w:themeColor="accent5"/>
          <w:insideV w:val="single" w:sz="6" w:space="0" w:color="DF2A2A" w:themeColor="accent5"/>
        </w:tcBorders>
        <w:shd w:val="clear" w:color="auto" w:fill="EF949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FE198B"/>
    <w:pPr>
      <w:spacing w:before="0" w:after="0" w:line="240" w:lineRule="auto"/>
    </w:pPr>
    <w:rPr>
      <w:rFonts w:asciiTheme="majorHAnsi" w:eastAsiaTheme="majorEastAsia" w:hAnsiTheme="majorHAnsi" w:cstheme="majorBidi"/>
    </w:r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insideH w:val="single" w:sz="8" w:space="0" w:color="4D3097" w:themeColor="accent6"/>
        <w:insideV w:val="single" w:sz="8" w:space="0" w:color="4D3097" w:themeColor="accent6"/>
      </w:tblBorders>
    </w:tblPr>
    <w:tcPr>
      <w:shd w:val="clear" w:color="auto" w:fill="CFC4EC" w:themeFill="accent6" w:themeFillTint="3F"/>
    </w:tcPr>
    <w:tblStylePr w:type="firstRow">
      <w:rPr>
        <w:b/>
        <w:bCs/>
        <w:color w:val="000000" w:themeColor="text1"/>
      </w:rPr>
      <w:tblPr/>
      <w:tcPr>
        <w:shd w:val="clear" w:color="auto" w:fill="ECE7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CFF0" w:themeFill="accent6" w:themeFillTint="33"/>
      </w:tcPr>
    </w:tblStylePr>
    <w:tblStylePr w:type="band1Vert">
      <w:tblPr/>
      <w:tcPr>
        <w:shd w:val="clear" w:color="auto" w:fill="9F89D9" w:themeFill="accent6" w:themeFillTint="7F"/>
      </w:tcPr>
    </w:tblStylePr>
    <w:tblStylePr w:type="band1Horz">
      <w:tblPr/>
      <w:tcPr>
        <w:tcBorders>
          <w:insideH w:val="single" w:sz="6" w:space="0" w:color="4D3097" w:themeColor="accent6"/>
          <w:insideV w:val="single" w:sz="6" w:space="0" w:color="4D3097" w:themeColor="accent6"/>
        </w:tcBorders>
        <w:shd w:val="clear" w:color="auto" w:fill="9F89D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FE198B"/>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locked/>
    <w:rsid w:val="00FE198B"/>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B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A84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A84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A84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A84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D89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D89D" w:themeFill="accent1" w:themeFillTint="7F"/>
      </w:tcPr>
    </w:tblStylePr>
  </w:style>
  <w:style w:type="table" w:styleId="MediumGrid3-Accent2">
    <w:name w:val="Medium Grid 3 Accent 2"/>
    <w:basedOn w:val="TableNormal"/>
    <w:uiPriority w:val="69"/>
    <w:semiHidden/>
    <w:unhideWhenUsed/>
    <w:locked/>
    <w:rsid w:val="00FE198B"/>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5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D83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D83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D83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D83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EB9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EB9C" w:themeFill="accent2" w:themeFillTint="7F"/>
      </w:tcPr>
    </w:tblStylePr>
  </w:style>
  <w:style w:type="table" w:styleId="MediumGrid3-Accent3">
    <w:name w:val="Medium Grid 3 Accent 3"/>
    <w:basedOn w:val="TableNormal"/>
    <w:uiPriority w:val="69"/>
    <w:semiHidden/>
    <w:unhideWhenUsed/>
    <w:locked/>
    <w:rsid w:val="00FE198B"/>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D9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6B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6B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6B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6B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B4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B4FF" w:themeFill="accent3" w:themeFillTint="7F"/>
      </w:tcPr>
    </w:tblStylePr>
  </w:style>
  <w:style w:type="table" w:styleId="MediumGrid3-Accent4">
    <w:name w:val="Medium Grid 3 Accent 4"/>
    <w:basedOn w:val="TableNormal"/>
    <w:uiPriority w:val="69"/>
    <w:semiHidden/>
    <w:unhideWhenUsed/>
    <w:locked/>
    <w:rsid w:val="00FE198B"/>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02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02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02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02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79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791" w:themeFill="accent4" w:themeFillTint="7F"/>
      </w:tcPr>
    </w:tblStylePr>
  </w:style>
  <w:style w:type="table" w:styleId="MediumGrid3-Accent5">
    <w:name w:val="Medium Grid 3 Accent 5"/>
    <w:basedOn w:val="TableNormal"/>
    <w:uiPriority w:val="69"/>
    <w:semiHidden/>
    <w:unhideWhenUsed/>
    <w:locked/>
    <w:rsid w:val="00FE198B"/>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AC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F2A2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F2A2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F2A2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F2A2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49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494" w:themeFill="accent5" w:themeFillTint="7F"/>
      </w:tcPr>
    </w:tblStylePr>
  </w:style>
  <w:style w:type="table" w:styleId="MediumGrid3-Accent6">
    <w:name w:val="Medium Grid 3 Accent 6"/>
    <w:basedOn w:val="TableNormal"/>
    <w:uiPriority w:val="69"/>
    <w:semiHidden/>
    <w:unhideWhenUsed/>
    <w:locked/>
    <w:rsid w:val="00FE198B"/>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4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309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309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309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309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89D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89D9" w:themeFill="accent6" w:themeFillTint="7F"/>
      </w:tcPr>
    </w:tblStylePr>
  </w:style>
  <w:style w:type="table" w:styleId="MediumList1">
    <w:name w:val="Medium List 1"/>
    <w:basedOn w:val="TableNormal"/>
    <w:uiPriority w:val="65"/>
    <w:semiHidden/>
    <w:unhideWhenUsed/>
    <w:locked/>
    <w:rsid w:val="00FE198B"/>
    <w:pPr>
      <w:spacing w:before="0"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FBFB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locked/>
    <w:rsid w:val="00FE198B"/>
    <w:pPr>
      <w:spacing w:before="0" w:after="0" w:line="240" w:lineRule="auto"/>
    </w:pPr>
    <w:tblPr>
      <w:tblStyleRowBandSize w:val="1"/>
      <w:tblStyleColBandSize w:val="1"/>
      <w:tblBorders>
        <w:top w:val="single" w:sz="8" w:space="0" w:color="47A843" w:themeColor="accent1"/>
        <w:bottom w:val="single" w:sz="8" w:space="0" w:color="47A843" w:themeColor="accent1"/>
      </w:tblBorders>
    </w:tblPr>
    <w:tblStylePr w:type="firstRow">
      <w:rPr>
        <w:rFonts w:asciiTheme="majorHAnsi" w:eastAsiaTheme="majorEastAsia" w:hAnsiTheme="majorHAnsi" w:cstheme="majorBidi"/>
      </w:rPr>
      <w:tblPr/>
      <w:tcPr>
        <w:tcBorders>
          <w:top w:val="nil"/>
          <w:bottom w:val="single" w:sz="8" w:space="0" w:color="47A843" w:themeColor="accent1"/>
        </w:tcBorders>
      </w:tcPr>
    </w:tblStylePr>
    <w:tblStylePr w:type="lastRow">
      <w:rPr>
        <w:b/>
        <w:bCs/>
        <w:color w:val="BFBFBF" w:themeColor="text2"/>
      </w:rPr>
      <w:tblPr/>
      <w:tcPr>
        <w:tcBorders>
          <w:top w:val="single" w:sz="8" w:space="0" w:color="47A843" w:themeColor="accent1"/>
          <w:bottom w:val="single" w:sz="8" w:space="0" w:color="47A843" w:themeColor="accent1"/>
        </w:tcBorders>
      </w:tcPr>
    </w:tblStylePr>
    <w:tblStylePr w:type="firstCol">
      <w:rPr>
        <w:b/>
        <w:bCs/>
      </w:rPr>
    </w:tblStylePr>
    <w:tblStylePr w:type="lastCol">
      <w:rPr>
        <w:b/>
        <w:bCs/>
      </w:rPr>
      <w:tblPr/>
      <w:tcPr>
        <w:tcBorders>
          <w:top w:val="single" w:sz="8" w:space="0" w:color="47A843" w:themeColor="accent1"/>
          <w:bottom w:val="single" w:sz="8" w:space="0" w:color="47A843" w:themeColor="accent1"/>
        </w:tcBorders>
      </w:tcPr>
    </w:tblStylePr>
    <w:tblStylePr w:type="band1Vert">
      <w:tblPr/>
      <w:tcPr>
        <w:shd w:val="clear" w:color="auto" w:fill="CFEBCE" w:themeFill="accent1" w:themeFillTint="3F"/>
      </w:tcPr>
    </w:tblStylePr>
    <w:tblStylePr w:type="band1Horz">
      <w:tblPr/>
      <w:tcPr>
        <w:shd w:val="clear" w:color="auto" w:fill="CFEBCE" w:themeFill="accent1" w:themeFillTint="3F"/>
      </w:tcPr>
    </w:tblStylePr>
  </w:style>
  <w:style w:type="table" w:styleId="MediumList1-Accent2">
    <w:name w:val="Medium List 1 Accent 2"/>
    <w:basedOn w:val="TableNormal"/>
    <w:uiPriority w:val="65"/>
    <w:semiHidden/>
    <w:unhideWhenUsed/>
    <w:locked/>
    <w:rsid w:val="00FE198B"/>
    <w:pPr>
      <w:spacing w:before="0" w:after="0" w:line="240" w:lineRule="auto"/>
    </w:pPr>
    <w:tblPr>
      <w:tblStyleRowBandSize w:val="1"/>
      <w:tblStyleColBandSize w:val="1"/>
      <w:tblBorders>
        <w:top w:val="single" w:sz="8" w:space="0" w:color="B2D83A" w:themeColor="accent2"/>
        <w:bottom w:val="single" w:sz="8" w:space="0" w:color="B2D83A" w:themeColor="accent2"/>
      </w:tblBorders>
    </w:tblPr>
    <w:tblStylePr w:type="firstRow">
      <w:rPr>
        <w:rFonts w:asciiTheme="majorHAnsi" w:eastAsiaTheme="majorEastAsia" w:hAnsiTheme="majorHAnsi" w:cstheme="majorBidi"/>
      </w:rPr>
      <w:tblPr/>
      <w:tcPr>
        <w:tcBorders>
          <w:top w:val="nil"/>
          <w:bottom w:val="single" w:sz="8" w:space="0" w:color="B2D83A" w:themeColor="accent2"/>
        </w:tcBorders>
      </w:tcPr>
    </w:tblStylePr>
    <w:tblStylePr w:type="lastRow">
      <w:rPr>
        <w:b/>
        <w:bCs/>
        <w:color w:val="BFBFBF" w:themeColor="text2"/>
      </w:rPr>
      <w:tblPr/>
      <w:tcPr>
        <w:tcBorders>
          <w:top w:val="single" w:sz="8" w:space="0" w:color="B2D83A" w:themeColor="accent2"/>
          <w:bottom w:val="single" w:sz="8" w:space="0" w:color="B2D83A" w:themeColor="accent2"/>
        </w:tcBorders>
      </w:tcPr>
    </w:tblStylePr>
    <w:tblStylePr w:type="firstCol">
      <w:rPr>
        <w:b/>
        <w:bCs/>
      </w:rPr>
    </w:tblStylePr>
    <w:tblStylePr w:type="lastCol">
      <w:rPr>
        <w:b/>
        <w:bCs/>
      </w:rPr>
      <w:tblPr/>
      <w:tcPr>
        <w:tcBorders>
          <w:top w:val="single" w:sz="8" w:space="0" w:color="B2D83A" w:themeColor="accent2"/>
          <w:bottom w:val="single" w:sz="8" w:space="0" w:color="B2D83A" w:themeColor="accent2"/>
        </w:tcBorders>
      </w:tcPr>
    </w:tblStylePr>
    <w:tblStylePr w:type="band1Vert">
      <w:tblPr/>
      <w:tcPr>
        <w:shd w:val="clear" w:color="auto" w:fill="EBF5CE" w:themeFill="accent2" w:themeFillTint="3F"/>
      </w:tcPr>
    </w:tblStylePr>
    <w:tblStylePr w:type="band1Horz">
      <w:tblPr/>
      <w:tcPr>
        <w:shd w:val="clear" w:color="auto" w:fill="EBF5CE" w:themeFill="accent2" w:themeFillTint="3F"/>
      </w:tcPr>
    </w:tblStylePr>
  </w:style>
  <w:style w:type="table" w:styleId="MediumList1-Accent3">
    <w:name w:val="Medium List 1 Accent 3"/>
    <w:basedOn w:val="TableNormal"/>
    <w:uiPriority w:val="65"/>
    <w:semiHidden/>
    <w:unhideWhenUsed/>
    <w:locked/>
    <w:rsid w:val="00FE198B"/>
    <w:pPr>
      <w:spacing w:before="0" w:after="0" w:line="240" w:lineRule="auto"/>
    </w:pPr>
    <w:tblPr>
      <w:tblStyleRowBandSize w:val="1"/>
      <w:tblStyleColBandSize w:val="1"/>
      <w:tblBorders>
        <w:top w:val="single" w:sz="8" w:space="0" w:color="0066BE" w:themeColor="accent3"/>
        <w:bottom w:val="single" w:sz="8" w:space="0" w:color="0066BE" w:themeColor="accent3"/>
      </w:tblBorders>
    </w:tblPr>
    <w:tblStylePr w:type="firstRow">
      <w:rPr>
        <w:rFonts w:asciiTheme="majorHAnsi" w:eastAsiaTheme="majorEastAsia" w:hAnsiTheme="majorHAnsi" w:cstheme="majorBidi"/>
      </w:rPr>
      <w:tblPr/>
      <w:tcPr>
        <w:tcBorders>
          <w:top w:val="nil"/>
          <w:bottom w:val="single" w:sz="8" w:space="0" w:color="0066BE" w:themeColor="accent3"/>
        </w:tcBorders>
      </w:tcPr>
    </w:tblStylePr>
    <w:tblStylePr w:type="lastRow">
      <w:rPr>
        <w:b/>
        <w:bCs/>
        <w:color w:val="BFBFBF" w:themeColor="text2"/>
      </w:rPr>
      <w:tblPr/>
      <w:tcPr>
        <w:tcBorders>
          <w:top w:val="single" w:sz="8" w:space="0" w:color="0066BE" w:themeColor="accent3"/>
          <w:bottom w:val="single" w:sz="8" w:space="0" w:color="0066BE" w:themeColor="accent3"/>
        </w:tcBorders>
      </w:tcPr>
    </w:tblStylePr>
    <w:tblStylePr w:type="firstCol">
      <w:rPr>
        <w:b/>
        <w:bCs/>
      </w:rPr>
    </w:tblStylePr>
    <w:tblStylePr w:type="lastCol">
      <w:rPr>
        <w:b/>
        <w:bCs/>
      </w:rPr>
      <w:tblPr/>
      <w:tcPr>
        <w:tcBorders>
          <w:top w:val="single" w:sz="8" w:space="0" w:color="0066BE" w:themeColor="accent3"/>
          <w:bottom w:val="single" w:sz="8" w:space="0" w:color="0066BE" w:themeColor="accent3"/>
        </w:tcBorders>
      </w:tcPr>
    </w:tblStylePr>
    <w:tblStylePr w:type="band1Vert">
      <w:tblPr/>
      <w:tcPr>
        <w:shd w:val="clear" w:color="auto" w:fill="AFD9FF" w:themeFill="accent3" w:themeFillTint="3F"/>
      </w:tcPr>
    </w:tblStylePr>
    <w:tblStylePr w:type="band1Horz">
      <w:tblPr/>
      <w:tcPr>
        <w:shd w:val="clear" w:color="auto" w:fill="AFD9FF" w:themeFill="accent3" w:themeFillTint="3F"/>
      </w:tcPr>
    </w:tblStylePr>
  </w:style>
  <w:style w:type="table" w:styleId="MediumList1-Accent4">
    <w:name w:val="Medium List 1 Accent 4"/>
    <w:basedOn w:val="TableNormal"/>
    <w:uiPriority w:val="65"/>
    <w:semiHidden/>
    <w:unhideWhenUsed/>
    <w:locked/>
    <w:rsid w:val="00FE198B"/>
    <w:pPr>
      <w:spacing w:before="0" w:after="0" w:line="240" w:lineRule="auto"/>
    </w:pPr>
    <w:tblPr>
      <w:tblStyleRowBandSize w:val="1"/>
      <w:tblStyleColBandSize w:val="1"/>
      <w:tblBorders>
        <w:top w:val="single" w:sz="8" w:space="0" w:color="EC7023" w:themeColor="accent4"/>
        <w:bottom w:val="single" w:sz="8" w:space="0" w:color="EC7023" w:themeColor="accent4"/>
      </w:tblBorders>
    </w:tblPr>
    <w:tblStylePr w:type="firstRow">
      <w:rPr>
        <w:rFonts w:asciiTheme="majorHAnsi" w:eastAsiaTheme="majorEastAsia" w:hAnsiTheme="majorHAnsi" w:cstheme="majorBidi"/>
      </w:rPr>
      <w:tblPr/>
      <w:tcPr>
        <w:tcBorders>
          <w:top w:val="nil"/>
          <w:bottom w:val="single" w:sz="8" w:space="0" w:color="EC7023" w:themeColor="accent4"/>
        </w:tcBorders>
      </w:tcPr>
    </w:tblStylePr>
    <w:tblStylePr w:type="lastRow">
      <w:rPr>
        <w:b/>
        <w:bCs/>
        <w:color w:val="BFBFBF" w:themeColor="text2"/>
      </w:rPr>
      <w:tblPr/>
      <w:tcPr>
        <w:tcBorders>
          <w:top w:val="single" w:sz="8" w:space="0" w:color="EC7023" w:themeColor="accent4"/>
          <w:bottom w:val="single" w:sz="8" w:space="0" w:color="EC7023" w:themeColor="accent4"/>
        </w:tcBorders>
      </w:tcPr>
    </w:tblStylePr>
    <w:tblStylePr w:type="firstCol">
      <w:rPr>
        <w:b/>
        <w:bCs/>
      </w:rPr>
    </w:tblStylePr>
    <w:tblStylePr w:type="lastCol">
      <w:rPr>
        <w:b/>
        <w:bCs/>
      </w:rPr>
      <w:tblPr/>
      <w:tcPr>
        <w:tcBorders>
          <w:top w:val="single" w:sz="8" w:space="0" w:color="EC7023" w:themeColor="accent4"/>
          <w:bottom w:val="single" w:sz="8" w:space="0" w:color="EC7023" w:themeColor="accent4"/>
        </w:tcBorders>
      </w:tcPr>
    </w:tblStylePr>
    <w:tblStylePr w:type="band1Vert">
      <w:tblPr/>
      <w:tcPr>
        <w:shd w:val="clear" w:color="auto" w:fill="FADBC8" w:themeFill="accent4" w:themeFillTint="3F"/>
      </w:tcPr>
    </w:tblStylePr>
    <w:tblStylePr w:type="band1Horz">
      <w:tblPr/>
      <w:tcPr>
        <w:shd w:val="clear" w:color="auto" w:fill="FADBC8" w:themeFill="accent4" w:themeFillTint="3F"/>
      </w:tcPr>
    </w:tblStylePr>
  </w:style>
  <w:style w:type="table" w:styleId="MediumList1-Accent5">
    <w:name w:val="Medium List 1 Accent 5"/>
    <w:basedOn w:val="TableNormal"/>
    <w:uiPriority w:val="65"/>
    <w:semiHidden/>
    <w:unhideWhenUsed/>
    <w:locked/>
    <w:rsid w:val="00FE198B"/>
    <w:pPr>
      <w:spacing w:before="0" w:after="0" w:line="240" w:lineRule="auto"/>
    </w:pPr>
    <w:tblPr>
      <w:tblStyleRowBandSize w:val="1"/>
      <w:tblStyleColBandSize w:val="1"/>
      <w:tblBorders>
        <w:top w:val="single" w:sz="8" w:space="0" w:color="DF2A2A" w:themeColor="accent5"/>
        <w:bottom w:val="single" w:sz="8" w:space="0" w:color="DF2A2A" w:themeColor="accent5"/>
      </w:tblBorders>
    </w:tblPr>
    <w:tblStylePr w:type="firstRow">
      <w:rPr>
        <w:rFonts w:asciiTheme="majorHAnsi" w:eastAsiaTheme="majorEastAsia" w:hAnsiTheme="majorHAnsi" w:cstheme="majorBidi"/>
      </w:rPr>
      <w:tblPr/>
      <w:tcPr>
        <w:tcBorders>
          <w:top w:val="nil"/>
          <w:bottom w:val="single" w:sz="8" w:space="0" w:color="DF2A2A" w:themeColor="accent5"/>
        </w:tcBorders>
      </w:tcPr>
    </w:tblStylePr>
    <w:tblStylePr w:type="lastRow">
      <w:rPr>
        <w:b/>
        <w:bCs/>
        <w:color w:val="BFBFBF" w:themeColor="text2"/>
      </w:rPr>
      <w:tblPr/>
      <w:tcPr>
        <w:tcBorders>
          <w:top w:val="single" w:sz="8" w:space="0" w:color="DF2A2A" w:themeColor="accent5"/>
          <w:bottom w:val="single" w:sz="8" w:space="0" w:color="DF2A2A" w:themeColor="accent5"/>
        </w:tcBorders>
      </w:tcPr>
    </w:tblStylePr>
    <w:tblStylePr w:type="firstCol">
      <w:rPr>
        <w:b/>
        <w:bCs/>
      </w:rPr>
    </w:tblStylePr>
    <w:tblStylePr w:type="lastCol">
      <w:rPr>
        <w:b/>
        <w:bCs/>
      </w:rPr>
      <w:tblPr/>
      <w:tcPr>
        <w:tcBorders>
          <w:top w:val="single" w:sz="8" w:space="0" w:color="DF2A2A" w:themeColor="accent5"/>
          <w:bottom w:val="single" w:sz="8" w:space="0" w:color="DF2A2A" w:themeColor="accent5"/>
        </w:tcBorders>
      </w:tcPr>
    </w:tblStylePr>
    <w:tblStylePr w:type="band1Vert">
      <w:tblPr/>
      <w:tcPr>
        <w:shd w:val="clear" w:color="auto" w:fill="F7CACA" w:themeFill="accent5" w:themeFillTint="3F"/>
      </w:tcPr>
    </w:tblStylePr>
    <w:tblStylePr w:type="band1Horz">
      <w:tblPr/>
      <w:tcPr>
        <w:shd w:val="clear" w:color="auto" w:fill="F7CACA" w:themeFill="accent5" w:themeFillTint="3F"/>
      </w:tcPr>
    </w:tblStylePr>
  </w:style>
  <w:style w:type="table" w:styleId="MediumList1-Accent6">
    <w:name w:val="Medium List 1 Accent 6"/>
    <w:basedOn w:val="TableNormal"/>
    <w:uiPriority w:val="65"/>
    <w:semiHidden/>
    <w:unhideWhenUsed/>
    <w:locked/>
    <w:rsid w:val="00FE198B"/>
    <w:pPr>
      <w:spacing w:before="0" w:after="0" w:line="240" w:lineRule="auto"/>
    </w:pPr>
    <w:tblPr>
      <w:tblStyleRowBandSize w:val="1"/>
      <w:tblStyleColBandSize w:val="1"/>
      <w:tblBorders>
        <w:top w:val="single" w:sz="8" w:space="0" w:color="4D3097" w:themeColor="accent6"/>
        <w:bottom w:val="single" w:sz="8" w:space="0" w:color="4D3097" w:themeColor="accent6"/>
      </w:tblBorders>
    </w:tblPr>
    <w:tblStylePr w:type="firstRow">
      <w:rPr>
        <w:rFonts w:asciiTheme="majorHAnsi" w:eastAsiaTheme="majorEastAsia" w:hAnsiTheme="majorHAnsi" w:cstheme="majorBidi"/>
      </w:rPr>
      <w:tblPr/>
      <w:tcPr>
        <w:tcBorders>
          <w:top w:val="nil"/>
          <w:bottom w:val="single" w:sz="8" w:space="0" w:color="4D3097" w:themeColor="accent6"/>
        </w:tcBorders>
      </w:tcPr>
    </w:tblStylePr>
    <w:tblStylePr w:type="lastRow">
      <w:rPr>
        <w:b/>
        <w:bCs/>
        <w:color w:val="BFBFBF" w:themeColor="text2"/>
      </w:rPr>
      <w:tblPr/>
      <w:tcPr>
        <w:tcBorders>
          <w:top w:val="single" w:sz="8" w:space="0" w:color="4D3097" w:themeColor="accent6"/>
          <w:bottom w:val="single" w:sz="8" w:space="0" w:color="4D3097" w:themeColor="accent6"/>
        </w:tcBorders>
      </w:tcPr>
    </w:tblStylePr>
    <w:tblStylePr w:type="firstCol">
      <w:rPr>
        <w:b/>
        <w:bCs/>
      </w:rPr>
    </w:tblStylePr>
    <w:tblStylePr w:type="lastCol">
      <w:rPr>
        <w:b/>
        <w:bCs/>
      </w:rPr>
      <w:tblPr/>
      <w:tcPr>
        <w:tcBorders>
          <w:top w:val="single" w:sz="8" w:space="0" w:color="4D3097" w:themeColor="accent6"/>
          <w:bottom w:val="single" w:sz="8" w:space="0" w:color="4D3097" w:themeColor="accent6"/>
        </w:tcBorders>
      </w:tcPr>
    </w:tblStylePr>
    <w:tblStylePr w:type="band1Vert">
      <w:tblPr/>
      <w:tcPr>
        <w:shd w:val="clear" w:color="auto" w:fill="CFC4EC" w:themeFill="accent6" w:themeFillTint="3F"/>
      </w:tcPr>
    </w:tblStylePr>
    <w:tblStylePr w:type="band1Horz">
      <w:tblPr/>
      <w:tcPr>
        <w:shd w:val="clear" w:color="auto" w:fill="CFC4EC" w:themeFill="accent6" w:themeFillTint="3F"/>
      </w:tcPr>
    </w:tblStylePr>
  </w:style>
  <w:style w:type="table" w:styleId="MediumList2">
    <w:name w:val="Medium List 2"/>
    <w:basedOn w:val="TableNormal"/>
    <w:uiPriority w:val="66"/>
    <w:semiHidden/>
    <w:unhideWhenUsed/>
    <w:locked/>
    <w:rsid w:val="00FE198B"/>
    <w:pPr>
      <w:spacing w:before="0"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FE198B"/>
    <w:pPr>
      <w:spacing w:before="0" w:after="0" w:line="240" w:lineRule="auto"/>
    </w:pPr>
    <w:rPr>
      <w:rFonts w:asciiTheme="majorHAnsi" w:eastAsiaTheme="majorEastAsia" w:hAnsiTheme="majorHAnsi" w:cstheme="majorBidi"/>
    </w:r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tblBorders>
    </w:tblPr>
    <w:tblStylePr w:type="firstRow">
      <w:rPr>
        <w:sz w:val="24"/>
        <w:szCs w:val="24"/>
      </w:rPr>
      <w:tblPr/>
      <w:tcPr>
        <w:tcBorders>
          <w:top w:val="nil"/>
          <w:left w:val="nil"/>
          <w:bottom w:val="single" w:sz="24" w:space="0" w:color="47A843" w:themeColor="accent1"/>
          <w:right w:val="nil"/>
          <w:insideH w:val="nil"/>
          <w:insideV w:val="nil"/>
        </w:tcBorders>
        <w:shd w:val="clear" w:color="auto" w:fill="FFFFFF" w:themeFill="background1"/>
      </w:tcPr>
    </w:tblStylePr>
    <w:tblStylePr w:type="lastRow">
      <w:tblPr/>
      <w:tcPr>
        <w:tcBorders>
          <w:top w:val="single" w:sz="8" w:space="0" w:color="47A84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A843" w:themeColor="accent1"/>
          <w:insideH w:val="nil"/>
          <w:insideV w:val="nil"/>
        </w:tcBorders>
        <w:shd w:val="clear" w:color="auto" w:fill="FFFFFF" w:themeFill="background1"/>
      </w:tcPr>
    </w:tblStylePr>
    <w:tblStylePr w:type="lastCol">
      <w:tblPr/>
      <w:tcPr>
        <w:tcBorders>
          <w:top w:val="nil"/>
          <w:left w:val="single" w:sz="8" w:space="0" w:color="47A84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BCE" w:themeFill="accent1" w:themeFillTint="3F"/>
      </w:tcPr>
    </w:tblStylePr>
    <w:tblStylePr w:type="band1Horz">
      <w:tblPr/>
      <w:tcPr>
        <w:tcBorders>
          <w:top w:val="nil"/>
          <w:bottom w:val="nil"/>
          <w:insideH w:val="nil"/>
          <w:insideV w:val="nil"/>
        </w:tcBorders>
        <w:shd w:val="clear" w:color="auto" w:fill="CFEB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FE198B"/>
    <w:pPr>
      <w:spacing w:before="0" w:after="0" w:line="240" w:lineRule="auto"/>
    </w:pPr>
    <w:rPr>
      <w:rFonts w:asciiTheme="majorHAnsi" w:eastAsiaTheme="majorEastAsia" w:hAnsiTheme="majorHAnsi" w:cstheme="majorBidi"/>
    </w:r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tblBorders>
    </w:tblPr>
    <w:tblStylePr w:type="firstRow">
      <w:rPr>
        <w:sz w:val="24"/>
        <w:szCs w:val="24"/>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tblPr/>
      <w:tcPr>
        <w:tcBorders>
          <w:top w:val="single" w:sz="8" w:space="0" w:color="B2D83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D83A" w:themeColor="accent2"/>
          <w:insideH w:val="nil"/>
          <w:insideV w:val="nil"/>
        </w:tcBorders>
        <w:shd w:val="clear" w:color="auto" w:fill="FFFFFF" w:themeFill="background1"/>
      </w:tcPr>
    </w:tblStylePr>
    <w:tblStylePr w:type="lastCol">
      <w:tblPr/>
      <w:tcPr>
        <w:tcBorders>
          <w:top w:val="nil"/>
          <w:left w:val="single" w:sz="8" w:space="0" w:color="B2D83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5CE" w:themeFill="accent2" w:themeFillTint="3F"/>
      </w:tcPr>
    </w:tblStylePr>
    <w:tblStylePr w:type="band1Horz">
      <w:tblPr/>
      <w:tcPr>
        <w:tcBorders>
          <w:top w:val="nil"/>
          <w:bottom w:val="nil"/>
          <w:insideH w:val="nil"/>
          <w:insideV w:val="nil"/>
        </w:tcBorders>
        <w:shd w:val="clear" w:color="auto" w:fill="EBF5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FE198B"/>
    <w:pPr>
      <w:spacing w:before="0" w:after="0" w:line="240" w:lineRule="auto"/>
    </w:pPr>
    <w:rPr>
      <w:rFonts w:asciiTheme="majorHAnsi" w:eastAsiaTheme="majorEastAsia" w:hAnsiTheme="majorHAnsi" w:cstheme="majorBidi"/>
    </w:r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tblBorders>
    </w:tblPr>
    <w:tblStylePr w:type="firstRow">
      <w:rPr>
        <w:sz w:val="24"/>
        <w:szCs w:val="24"/>
      </w:rPr>
      <w:tblPr/>
      <w:tcPr>
        <w:tcBorders>
          <w:top w:val="nil"/>
          <w:left w:val="nil"/>
          <w:bottom w:val="single" w:sz="24" w:space="0" w:color="0066BE" w:themeColor="accent3"/>
          <w:right w:val="nil"/>
          <w:insideH w:val="nil"/>
          <w:insideV w:val="nil"/>
        </w:tcBorders>
        <w:shd w:val="clear" w:color="auto" w:fill="FFFFFF" w:themeFill="background1"/>
      </w:tcPr>
    </w:tblStylePr>
    <w:tblStylePr w:type="lastRow">
      <w:tblPr/>
      <w:tcPr>
        <w:tcBorders>
          <w:top w:val="single" w:sz="8" w:space="0" w:color="0066B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6BE" w:themeColor="accent3"/>
          <w:insideH w:val="nil"/>
          <w:insideV w:val="nil"/>
        </w:tcBorders>
        <w:shd w:val="clear" w:color="auto" w:fill="FFFFFF" w:themeFill="background1"/>
      </w:tcPr>
    </w:tblStylePr>
    <w:tblStylePr w:type="lastCol">
      <w:tblPr/>
      <w:tcPr>
        <w:tcBorders>
          <w:top w:val="nil"/>
          <w:left w:val="single" w:sz="8" w:space="0" w:color="0066B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D9FF" w:themeFill="accent3" w:themeFillTint="3F"/>
      </w:tcPr>
    </w:tblStylePr>
    <w:tblStylePr w:type="band1Horz">
      <w:tblPr/>
      <w:tcPr>
        <w:tcBorders>
          <w:top w:val="nil"/>
          <w:bottom w:val="nil"/>
          <w:insideH w:val="nil"/>
          <w:insideV w:val="nil"/>
        </w:tcBorders>
        <w:shd w:val="clear" w:color="auto" w:fill="AFD9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FE198B"/>
    <w:pPr>
      <w:spacing w:before="0" w:after="0" w:line="240" w:lineRule="auto"/>
    </w:pPr>
    <w:rPr>
      <w:rFonts w:asciiTheme="majorHAnsi" w:eastAsiaTheme="majorEastAsia" w:hAnsiTheme="majorHAnsi" w:cstheme="majorBidi"/>
    </w:r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tblBorders>
    </w:tblPr>
    <w:tblStylePr w:type="firstRow">
      <w:rPr>
        <w:sz w:val="24"/>
        <w:szCs w:val="24"/>
      </w:rPr>
      <w:tblPr/>
      <w:tcPr>
        <w:tcBorders>
          <w:top w:val="nil"/>
          <w:left w:val="nil"/>
          <w:bottom w:val="single" w:sz="24" w:space="0" w:color="EC7023" w:themeColor="accent4"/>
          <w:right w:val="nil"/>
          <w:insideH w:val="nil"/>
          <w:insideV w:val="nil"/>
        </w:tcBorders>
        <w:shd w:val="clear" w:color="auto" w:fill="FFFFFF" w:themeFill="background1"/>
      </w:tcPr>
    </w:tblStylePr>
    <w:tblStylePr w:type="lastRow">
      <w:tblPr/>
      <w:tcPr>
        <w:tcBorders>
          <w:top w:val="single" w:sz="8" w:space="0" w:color="EC702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7023" w:themeColor="accent4"/>
          <w:insideH w:val="nil"/>
          <w:insideV w:val="nil"/>
        </w:tcBorders>
        <w:shd w:val="clear" w:color="auto" w:fill="FFFFFF" w:themeFill="background1"/>
      </w:tcPr>
    </w:tblStylePr>
    <w:tblStylePr w:type="lastCol">
      <w:tblPr/>
      <w:tcPr>
        <w:tcBorders>
          <w:top w:val="nil"/>
          <w:left w:val="single" w:sz="8" w:space="0" w:color="EC702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BC8" w:themeFill="accent4" w:themeFillTint="3F"/>
      </w:tcPr>
    </w:tblStylePr>
    <w:tblStylePr w:type="band1Horz">
      <w:tblPr/>
      <w:tcPr>
        <w:tcBorders>
          <w:top w:val="nil"/>
          <w:bottom w:val="nil"/>
          <w:insideH w:val="nil"/>
          <w:insideV w:val="nil"/>
        </w:tcBorders>
        <w:shd w:val="clear" w:color="auto" w:fill="FADBC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FE198B"/>
    <w:pPr>
      <w:spacing w:before="0" w:after="0" w:line="240" w:lineRule="auto"/>
    </w:pPr>
    <w:rPr>
      <w:rFonts w:asciiTheme="majorHAnsi" w:eastAsiaTheme="majorEastAsia" w:hAnsiTheme="majorHAnsi" w:cstheme="majorBidi"/>
    </w:r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tblBorders>
    </w:tblPr>
    <w:tblStylePr w:type="firstRow">
      <w:rPr>
        <w:sz w:val="24"/>
        <w:szCs w:val="24"/>
      </w:rPr>
      <w:tblPr/>
      <w:tcPr>
        <w:tcBorders>
          <w:top w:val="nil"/>
          <w:left w:val="nil"/>
          <w:bottom w:val="single" w:sz="24" w:space="0" w:color="DF2A2A" w:themeColor="accent5"/>
          <w:right w:val="nil"/>
          <w:insideH w:val="nil"/>
          <w:insideV w:val="nil"/>
        </w:tcBorders>
        <w:shd w:val="clear" w:color="auto" w:fill="FFFFFF" w:themeFill="background1"/>
      </w:tcPr>
    </w:tblStylePr>
    <w:tblStylePr w:type="lastRow">
      <w:tblPr/>
      <w:tcPr>
        <w:tcBorders>
          <w:top w:val="single" w:sz="8" w:space="0" w:color="DF2A2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F2A2A" w:themeColor="accent5"/>
          <w:insideH w:val="nil"/>
          <w:insideV w:val="nil"/>
        </w:tcBorders>
        <w:shd w:val="clear" w:color="auto" w:fill="FFFFFF" w:themeFill="background1"/>
      </w:tcPr>
    </w:tblStylePr>
    <w:tblStylePr w:type="lastCol">
      <w:tblPr/>
      <w:tcPr>
        <w:tcBorders>
          <w:top w:val="nil"/>
          <w:left w:val="single" w:sz="8" w:space="0" w:color="DF2A2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ACA" w:themeFill="accent5" w:themeFillTint="3F"/>
      </w:tcPr>
    </w:tblStylePr>
    <w:tblStylePr w:type="band1Horz">
      <w:tblPr/>
      <w:tcPr>
        <w:tcBorders>
          <w:top w:val="nil"/>
          <w:bottom w:val="nil"/>
          <w:insideH w:val="nil"/>
          <w:insideV w:val="nil"/>
        </w:tcBorders>
        <w:shd w:val="clear" w:color="auto" w:fill="F7CAC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FE198B"/>
    <w:pPr>
      <w:spacing w:before="0" w:after="0" w:line="240" w:lineRule="auto"/>
    </w:pPr>
    <w:rPr>
      <w:rFonts w:asciiTheme="majorHAnsi" w:eastAsiaTheme="majorEastAsia" w:hAnsiTheme="majorHAnsi" w:cstheme="majorBidi"/>
    </w:r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tblBorders>
    </w:tblPr>
    <w:tblStylePr w:type="firstRow">
      <w:rPr>
        <w:sz w:val="24"/>
        <w:szCs w:val="24"/>
      </w:rPr>
      <w:tblPr/>
      <w:tcPr>
        <w:tcBorders>
          <w:top w:val="nil"/>
          <w:left w:val="nil"/>
          <w:bottom w:val="single" w:sz="24" w:space="0" w:color="4D3097" w:themeColor="accent6"/>
          <w:right w:val="nil"/>
          <w:insideH w:val="nil"/>
          <w:insideV w:val="nil"/>
        </w:tcBorders>
        <w:shd w:val="clear" w:color="auto" w:fill="FFFFFF" w:themeFill="background1"/>
      </w:tcPr>
    </w:tblStylePr>
    <w:tblStylePr w:type="lastRow">
      <w:tblPr/>
      <w:tcPr>
        <w:tcBorders>
          <w:top w:val="single" w:sz="8" w:space="0" w:color="4D309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3097" w:themeColor="accent6"/>
          <w:insideH w:val="nil"/>
          <w:insideV w:val="nil"/>
        </w:tcBorders>
        <w:shd w:val="clear" w:color="auto" w:fill="FFFFFF" w:themeFill="background1"/>
      </w:tcPr>
    </w:tblStylePr>
    <w:tblStylePr w:type="lastCol">
      <w:tblPr/>
      <w:tcPr>
        <w:tcBorders>
          <w:top w:val="nil"/>
          <w:left w:val="single" w:sz="8" w:space="0" w:color="4D309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4EC" w:themeFill="accent6" w:themeFillTint="3F"/>
      </w:tcPr>
    </w:tblStylePr>
    <w:tblStylePr w:type="band1Horz">
      <w:tblPr/>
      <w:tcPr>
        <w:tcBorders>
          <w:top w:val="nil"/>
          <w:bottom w:val="nil"/>
          <w:insideH w:val="nil"/>
          <w:insideV w:val="nil"/>
        </w:tcBorders>
        <w:shd w:val="clear" w:color="auto" w:fill="CFC4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FE198B"/>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FE198B"/>
    <w:pPr>
      <w:spacing w:before="0" w:after="0" w:line="240" w:lineRule="auto"/>
    </w:pPr>
    <w:tblPr>
      <w:tblStyleRowBandSize w:val="1"/>
      <w:tblStyleColBandSize w:val="1"/>
      <w:tblBorders>
        <w:top w:val="single" w:sz="8"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single" w:sz="8" w:space="0" w:color="6FC46B" w:themeColor="accent1" w:themeTint="BF"/>
      </w:tblBorders>
    </w:tblPr>
    <w:tblStylePr w:type="firstRow">
      <w:pPr>
        <w:spacing w:before="0" w:after="0" w:line="240" w:lineRule="auto"/>
      </w:pPr>
      <w:rPr>
        <w:b/>
        <w:bCs/>
        <w:color w:val="FFFFFF" w:themeColor="background1"/>
      </w:rPr>
      <w:tblPr/>
      <w:tcPr>
        <w:tcBorders>
          <w:top w:val="single" w:sz="8"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nil"/>
          <w:insideV w:val="nil"/>
        </w:tcBorders>
        <w:shd w:val="clear" w:color="auto" w:fill="47A843" w:themeFill="accent1"/>
      </w:tcPr>
    </w:tblStylePr>
    <w:tblStylePr w:type="lastRow">
      <w:pPr>
        <w:spacing w:before="0" w:after="0" w:line="240" w:lineRule="auto"/>
      </w:pPr>
      <w:rPr>
        <w:b/>
        <w:bCs/>
      </w:rPr>
      <w:tblPr/>
      <w:tcPr>
        <w:tcBorders>
          <w:top w:val="double" w:sz="6"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EBCE" w:themeFill="accent1" w:themeFillTint="3F"/>
      </w:tcPr>
    </w:tblStylePr>
    <w:tblStylePr w:type="band1Horz">
      <w:tblPr/>
      <w:tcPr>
        <w:tcBorders>
          <w:insideH w:val="nil"/>
          <w:insideV w:val="nil"/>
        </w:tcBorders>
        <w:shd w:val="clear" w:color="auto" w:fill="CFEBC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FE198B"/>
    <w:pPr>
      <w:spacing w:before="0" w:after="0" w:line="240" w:lineRule="auto"/>
    </w:pPr>
    <w:tblPr>
      <w:tblStyleRowBandSize w:val="1"/>
      <w:tblStyleColBandSize w:val="1"/>
      <w:tblBorders>
        <w:top w:val="single" w:sz="8"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single" w:sz="8" w:space="0" w:color="C4E16B" w:themeColor="accent2" w:themeTint="BF"/>
      </w:tblBorders>
    </w:tblPr>
    <w:tblStylePr w:type="firstRow">
      <w:pPr>
        <w:spacing w:before="0" w:after="0" w:line="240" w:lineRule="auto"/>
      </w:pPr>
      <w:rPr>
        <w:b/>
        <w:bCs/>
        <w:color w:val="FFFFFF" w:themeColor="background1"/>
      </w:rPr>
      <w:tblPr/>
      <w:tcPr>
        <w:tcBorders>
          <w:top w:val="single" w:sz="8"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nil"/>
          <w:insideV w:val="nil"/>
        </w:tcBorders>
        <w:shd w:val="clear" w:color="auto" w:fill="B2D83A" w:themeFill="accent2"/>
      </w:tcPr>
    </w:tblStylePr>
    <w:tblStylePr w:type="lastRow">
      <w:pPr>
        <w:spacing w:before="0" w:after="0" w:line="240" w:lineRule="auto"/>
      </w:pPr>
      <w:rPr>
        <w:b/>
        <w:bCs/>
      </w:rPr>
      <w:tblPr/>
      <w:tcPr>
        <w:tcBorders>
          <w:top w:val="double" w:sz="6"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F5CE" w:themeFill="accent2" w:themeFillTint="3F"/>
      </w:tcPr>
    </w:tblStylePr>
    <w:tblStylePr w:type="band1Horz">
      <w:tblPr/>
      <w:tcPr>
        <w:tcBorders>
          <w:insideH w:val="nil"/>
          <w:insideV w:val="nil"/>
        </w:tcBorders>
        <w:shd w:val="clear" w:color="auto" w:fill="EBF5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FE198B"/>
    <w:pPr>
      <w:spacing w:before="0" w:after="0" w:line="240" w:lineRule="auto"/>
    </w:pPr>
    <w:tblPr>
      <w:tblStyleRowBandSize w:val="1"/>
      <w:tblStyleColBandSize w:val="1"/>
      <w:tblBorders>
        <w:top w:val="single" w:sz="8"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single" w:sz="8" w:space="0" w:color="0F8FFF" w:themeColor="accent3" w:themeTint="BF"/>
      </w:tblBorders>
    </w:tblPr>
    <w:tblStylePr w:type="firstRow">
      <w:pPr>
        <w:spacing w:before="0" w:after="0" w:line="240" w:lineRule="auto"/>
      </w:pPr>
      <w:rPr>
        <w:b/>
        <w:bCs/>
        <w:color w:val="FFFFFF" w:themeColor="background1"/>
      </w:rPr>
      <w:tblPr/>
      <w:tcPr>
        <w:tcBorders>
          <w:top w:val="single" w:sz="8"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nil"/>
          <w:insideV w:val="nil"/>
        </w:tcBorders>
        <w:shd w:val="clear" w:color="auto" w:fill="0066BE" w:themeFill="accent3"/>
      </w:tcPr>
    </w:tblStylePr>
    <w:tblStylePr w:type="lastRow">
      <w:pPr>
        <w:spacing w:before="0" w:after="0" w:line="240" w:lineRule="auto"/>
      </w:pPr>
      <w:rPr>
        <w:b/>
        <w:bCs/>
      </w:rPr>
      <w:tblPr/>
      <w:tcPr>
        <w:tcBorders>
          <w:top w:val="double" w:sz="6"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AFD9FF" w:themeFill="accent3" w:themeFillTint="3F"/>
      </w:tcPr>
    </w:tblStylePr>
    <w:tblStylePr w:type="band1Horz">
      <w:tblPr/>
      <w:tcPr>
        <w:tcBorders>
          <w:insideH w:val="nil"/>
          <w:insideV w:val="nil"/>
        </w:tcBorders>
        <w:shd w:val="clear" w:color="auto" w:fill="AFD9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FE198B"/>
    <w:pPr>
      <w:spacing w:before="0" w:after="0" w:line="240" w:lineRule="auto"/>
    </w:pPr>
    <w:tblPr>
      <w:tblStyleRowBandSize w:val="1"/>
      <w:tblStyleColBandSize w:val="1"/>
      <w:tblBorders>
        <w:top w:val="single" w:sz="8"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single" w:sz="8" w:space="0" w:color="F09359" w:themeColor="accent4" w:themeTint="BF"/>
      </w:tblBorders>
    </w:tblPr>
    <w:tblStylePr w:type="firstRow">
      <w:pPr>
        <w:spacing w:before="0" w:after="0" w:line="240" w:lineRule="auto"/>
      </w:pPr>
      <w:rPr>
        <w:b/>
        <w:bCs/>
        <w:color w:val="FFFFFF" w:themeColor="background1"/>
      </w:rPr>
      <w:tblPr/>
      <w:tcPr>
        <w:tcBorders>
          <w:top w:val="single" w:sz="8"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nil"/>
          <w:insideV w:val="nil"/>
        </w:tcBorders>
        <w:shd w:val="clear" w:color="auto" w:fill="EC7023" w:themeFill="accent4"/>
      </w:tcPr>
    </w:tblStylePr>
    <w:tblStylePr w:type="lastRow">
      <w:pPr>
        <w:spacing w:before="0" w:after="0" w:line="240" w:lineRule="auto"/>
      </w:pPr>
      <w:rPr>
        <w:b/>
        <w:bCs/>
      </w:rPr>
      <w:tblPr/>
      <w:tcPr>
        <w:tcBorders>
          <w:top w:val="double" w:sz="6"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BC8" w:themeFill="accent4" w:themeFillTint="3F"/>
      </w:tcPr>
    </w:tblStylePr>
    <w:tblStylePr w:type="band1Horz">
      <w:tblPr/>
      <w:tcPr>
        <w:tcBorders>
          <w:insideH w:val="nil"/>
          <w:insideV w:val="nil"/>
        </w:tcBorders>
        <w:shd w:val="clear" w:color="auto" w:fill="FADBC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FE198B"/>
    <w:pPr>
      <w:spacing w:before="0" w:after="0" w:line="240" w:lineRule="auto"/>
    </w:pPr>
    <w:tblPr>
      <w:tblStyleRowBandSize w:val="1"/>
      <w:tblStyleColBandSize w:val="1"/>
      <w:tblBorders>
        <w:top w:val="single" w:sz="8"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single" w:sz="8" w:space="0" w:color="E75F5F" w:themeColor="accent5" w:themeTint="BF"/>
      </w:tblBorders>
    </w:tblPr>
    <w:tblStylePr w:type="firstRow">
      <w:pPr>
        <w:spacing w:before="0" w:after="0" w:line="240" w:lineRule="auto"/>
      </w:pPr>
      <w:rPr>
        <w:b/>
        <w:bCs/>
        <w:color w:val="FFFFFF" w:themeColor="background1"/>
      </w:rPr>
      <w:tblPr/>
      <w:tcPr>
        <w:tcBorders>
          <w:top w:val="single" w:sz="8"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nil"/>
          <w:insideV w:val="nil"/>
        </w:tcBorders>
        <w:shd w:val="clear" w:color="auto" w:fill="DF2A2A" w:themeFill="accent5"/>
      </w:tcPr>
    </w:tblStylePr>
    <w:tblStylePr w:type="lastRow">
      <w:pPr>
        <w:spacing w:before="0" w:after="0" w:line="240" w:lineRule="auto"/>
      </w:pPr>
      <w:rPr>
        <w:b/>
        <w:bCs/>
      </w:rPr>
      <w:tblPr/>
      <w:tcPr>
        <w:tcBorders>
          <w:top w:val="double" w:sz="6"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CACA" w:themeFill="accent5" w:themeFillTint="3F"/>
      </w:tcPr>
    </w:tblStylePr>
    <w:tblStylePr w:type="band1Horz">
      <w:tblPr/>
      <w:tcPr>
        <w:tcBorders>
          <w:insideH w:val="nil"/>
          <w:insideV w:val="nil"/>
        </w:tcBorders>
        <w:shd w:val="clear" w:color="auto" w:fill="F7CAC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FE198B"/>
    <w:pPr>
      <w:spacing w:before="0" w:after="0" w:line="240" w:lineRule="auto"/>
    </w:pPr>
    <w:tblPr>
      <w:tblStyleRowBandSize w:val="1"/>
      <w:tblStyleColBandSize w:val="1"/>
      <w:tblBorders>
        <w:top w:val="single" w:sz="8"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single" w:sz="8" w:space="0" w:color="6F4EC6" w:themeColor="accent6" w:themeTint="BF"/>
      </w:tblBorders>
    </w:tblPr>
    <w:tblStylePr w:type="firstRow">
      <w:pPr>
        <w:spacing w:before="0" w:after="0" w:line="240" w:lineRule="auto"/>
      </w:pPr>
      <w:rPr>
        <w:b/>
        <w:bCs/>
        <w:color w:val="FFFFFF" w:themeColor="background1"/>
      </w:rPr>
      <w:tblPr/>
      <w:tcPr>
        <w:tcBorders>
          <w:top w:val="single" w:sz="8"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nil"/>
          <w:insideV w:val="nil"/>
        </w:tcBorders>
        <w:shd w:val="clear" w:color="auto" w:fill="4D3097" w:themeFill="accent6"/>
      </w:tcPr>
    </w:tblStylePr>
    <w:tblStylePr w:type="lastRow">
      <w:pPr>
        <w:spacing w:before="0" w:after="0" w:line="240" w:lineRule="auto"/>
      </w:pPr>
      <w:rPr>
        <w:b/>
        <w:bCs/>
      </w:rPr>
      <w:tblPr/>
      <w:tcPr>
        <w:tcBorders>
          <w:top w:val="double" w:sz="6"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C4EC" w:themeFill="accent6" w:themeFillTint="3F"/>
      </w:tcPr>
    </w:tblStylePr>
    <w:tblStylePr w:type="band1Horz">
      <w:tblPr/>
      <w:tcPr>
        <w:tcBorders>
          <w:insideH w:val="nil"/>
          <w:insideV w:val="nil"/>
        </w:tcBorders>
        <w:shd w:val="clear" w:color="auto" w:fill="CFC4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FE198B"/>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locked/>
    <w:rsid w:val="00FE198B"/>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A84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A843" w:themeFill="accent1"/>
      </w:tcPr>
    </w:tblStylePr>
    <w:tblStylePr w:type="lastCol">
      <w:rPr>
        <w:b/>
        <w:bCs/>
        <w:color w:val="FFFFFF" w:themeColor="background1"/>
      </w:rPr>
      <w:tblPr/>
      <w:tcPr>
        <w:tcBorders>
          <w:left w:val="nil"/>
          <w:right w:val="nil"/>
          <w:insideH w:val="nil"/>
          <w:insideV w:val="nil"/>
        </w:tcBorders>
        <w:shd w:val="clear" w:color="auto" w:fill="47A84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locked/>
    <w:rsid w:val="00FE198B"/>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D83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D83A" w:themeFill="accent2"/>
      </w:tcPr>
    </w:tblStylePr>
    <w:tblStylePr w:type="lastCol">
      <w:rPr>
        <w:b/>
        <w:bCs/>
        <w:color w:val="FFFFFF" w:themeColor="background1"/>
      </w:rPr>
      <w:tblPr/>
      <w:tcPr>
        <w:tcBorders>
          <w:left w:val="nil"/>
          <w:right w:val="nil"/>
          <w:insideH w:val="nil"/>
          <w:insideV w:val="nil"/>
        </w:tcBorders>
        <w:shd w:val="clear" w:color="auto" w:fill="B2D83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locked/>
    <w:rsid w:val="00FE198B"/>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6B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6BE" w:themeFill="accent3"/>
      </w:tcPr>
    </w:tblStylePr>
    <w:tblStylePr w:type="lastCol">
      <w:rPr>
        <w:b/>
        <w:bCs/>
        <w:color w:val="FFFFFF" w:themeColor="background1"/>
      </w:rPr>
      <w:tblPr/>
      <w:tcPr>
        <w:tcBorders>
          <w:left w:val="nil"/>
          <w:right w:val="nil"/>
          <w:insideH w:val="nil"/>
          <w:insideV w:val="nil"/>
        </w:tcBorders>
        <w:shd w:val="clear" w:color="auto" w:fill="0066B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locked/>
    <w:rsid w:val="00FE198B"/>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702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C7023" w:themeFill="accent4"/>
      </w:tcPr>
    </w:tblStylePr>
    <w:tblStylePr w:type="lastCol">
      <w:rPr>
        <w:b/>
        <w:bCs/>
        <w:color w:val="FFFFFF" w:themeColor="background1"/>
      </w:rPr>
      <w:tblPr/>
      <w:tcPr>
        <w:tcBorders>
          <w:left w:val="nil"/>
          <w:right w:val="nil"/>
          <w:insideH w:val="nil"/>
          <w:insideV w:val="nil"/>
        </w:tcBorders>
        <w:shd w:val="clear" w:color="auto" w:fill="EC702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locked/>
    <w:rsid w:val="00FE198B"/>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F2A2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F2A2A" w:themeFill="accent5"/>
      </w:tcPr>
    </w:tblStylePr>
    <w:tblStylePr w:type="lastCol">
      <w:rPr>
        <w:b/>
        <w:bCs/>
        <w:color w:val="FFFFFF" w:themeColor="background1"/>
      </w:rPr>
      <w:tblPr/>
      <w:tcPr>
        <w:tcBorders>
          <w:left w:val="nil"/>
          <w:right w:val="nil"/>
          <w:insideH w:val="nil"/>
          <w:insideV w:val="nil"/>
        </w:tcBorders>
        <w:shd w:val="clear" w:color="auto" w:fill="DF2A2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locked/>
    <w:rsid w:val="00FE198B"/>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309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3097" w:themeFill="accent6"/>
      </w:tcPr>
    </w:tblStylePr>
    <w:tblStylePr w:type="lastCol">
      <w:rPr>
        <w:b/>
        <w:bCs/>
        <w:color w:val="FFFFFF" w:themeColor="background1"/>
      </w:rPr>
      <w:tblPr/>
      <w:tcPr>
        <w:tcBorders>
          <w:left w:val="nil"/>
          <w:right w:val="nil"/>
          <w:insideH w:val="nil"/>
          <w:insideV w:val="nil"/>
        </w:tcBorders>
        <w:shd w:val="clear" w:color="auto" w:fill="4D309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1">
    <w:name w:val="Mention1"/>
    <w:basedOn w:val="DefaultParagraphFont"/>
    <w:uiPriority w:val="99"/>
    <w:semiHidden/>
    <w:locked/>
    <w:rsid w:val="00FE198B"/>
    <w:rPr>
      <w:color w:val="2B579A"/>
      <w:shd w:val="clear" w:color="auto" w:fill="E1DFDD"/>
    </w:rPr>
  </w:style>
  <w:style w:type="paragraph" w:styleId="MessageHeader">
    <w:name w:val="Message Header"/>
    <w:basedOn w:val="Normal"/>
    <w:link w:val="MessageHeaderChar"/>
    <w:uiPriority w:val="99"/>
    <w:semiHidden/>
    <w:locked/>
    <w:rsid w:val="00FE198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E198B"/>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locked/>
    <w:rsid w:val="00FE198B"/>
    <w:rPr>
      <w:rFonts w:ascii="Times New Roman" w:hAnsi="Times New Roman" w:cs="Times New Roman"/>
      <w:sz w:val="24"/>
      <w:szCs w:val="24"/>
    </w:rPr>
  </w:style>
  <w:style w:type="paragraph" w:styleId="NormalIndent">
    <w:name w:val="Normal Indent"/>
    <w:basedOn w:val="Normal"/>
    <w:uiPriority w:val="99"/>
    <w:semiHidden/>
    <w:locked/>
    <w:rsid w:val="00FE198B"/>
    <w:pPr>
      <w:ind w:left="720"/>
    </w:pPr>
  </w:style>
  <w:style w:type="table" w:styleId="PlainTable1">
    <w:name w:val="Plain Table 1"/>
    <w:basedOn w:val="TableNormal"/>
    <w:uiPriority w:val="41"/>
    <w:locked/>
    <w:rsid w:val="00FE198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FE198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FE198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FE198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FE198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locked/>
    <w:rsid w:val="00FE198B"/>
    <w:pPr>
      <w:spacing w:before="0" w:after="0" w:line="240" w:lineRule="auto"/>
    </w:pPr>
    <w:rPr>
      <w:rFonts w:ascii="Consolas" w:hAnsi="Consolas"/>
    </w:rPr>
  </w:style>
  <w:style w:type="character" w:customStyle="1" w:styleId="PlainTextChar">
    <w:name w:val="Plain Text Char"/>
    <w:basedOn w:val="DefaultParagraphFont"/>
    <w:link w:val="PlainText"/>
    <w:uiPriority w:val="99"/>
    <w:semiHidden/>
    <w:rsid w:val="00FE198B"/>
    <w:rPr>
      <w:rFonts w:ascii="Consolas" w:hAnsi="Consolas"/>
    </w:rPr>
  </w:style>
  <w:style w:type="character" w:customStyle="1" w:styleId="SmartLink1">
    <w:name w:val="SmartLink1"/>
    <w:basedOn w:val="DefaultParagraphFont"/>
    <w:uiPriority w:val="99"/>
    <w:semiHidden/>
    <w:locked/>
    <w:rsid w:val="00FE198B"/>
    <w:rPr>
      <w:color w:val="0000FF"/>
      <w:u w:val="single"/>
      <w:shd w:val="clear" w:color="auto" w:fill="F3F2F1"/>
    </w:rPr>
  </w:style>
  <w:style w:type="character" w:styleId="SubtleEmphasis">
    <w:name w:val="Subtle Emphasis"/>
    <w:basedOn w:val="DefaultParagraphFont"/>
    <w:uiPriority w:val="19"/>
    <w:qFormat/>
    <w:locked/>
    <w:rsid w:val="00FE198B"/>
    <w:rPr>
      <w:i/>
      <w:iCs/>
      <w:color w:val="404040" w:themeColor="text1" w:themeTint="BF"/>
    </w:rPr>
  </w:style>
  <w:style w:type="character" w:styleId="SubtleReference">
    <w:name w:val="Subtle Reference"/>
    <w:basedOn w:val="DefaultParagraphFont"/>
    <w:uiPriority w:val="31"/>
    <w:qFormat/>
    <w:locked/>
    <w:rsid w:val="00FE198B"/>
    <w:rPr>
      <w:smallCaps/>
      <w:color w:val="5A5A5A" w:themeColor="text1" w:themeTint="A5"/>
    </w:rPr>
  </w:style>
  <w:style w:type="table" w:styleId="Table3Deffects1">
    <w:name w:val="Table 3D effects 1"/>
    <w:basedOn w:val="TableNormal"/>
    <w:uiPriority w:val="99"/>
    <w:semiHidden/>
    <w:unhideWhenUsed/>
    <w:locked/>
    <w:rsid w:val="00FE198B"/>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E198B"/>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E198B"/>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E198B"/>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E198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E198B"/>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E198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E198B"/>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E198B"/>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E198B"/>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E198B"/>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E198B"/>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E198B"/>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E198B"/>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E198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E198B"/>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E198B"/>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E198B"/>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E198B"/>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E198B"/>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E198B"/>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E198B"/>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E198B"/>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E198B"/>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locked/>
    <w:rsid w:val="00FE19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locked/>
    <w:rsid w:val="00FE198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E198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E198B"/>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E198B"/>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E198B"/>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E198B"/>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E198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E198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E198B"/>
    <w:pPr>
      <w:spacing w:after="0"/>
      <w:ind w:left="220" w:hanging="220"/>
    </w:pPr>
  </w:style>
  <w:style w:type="paragraph" w:styleId="TableofFigures">
    <w:name w:val="table of figures"/>
    <w:basedOn w:val="Normal"/>
    <w:next w:val="Normal"/>
    <w:uiPriority w:val="99"/>
    <w:rsid w:val="00FE198B"/>
    <w:pPr>
      <w:spacing w:after="0"/>
    </w:pPr>
  </w:style>
  <w:style w:type="table" w:styleId="TableProfessional">
    <w:name w:val="Table Professional"/>
    <w:basedOn w:val="TableNormal"/>
    <w:uiPriority w:val="99"/>
    <w:semiHidden/>
    <w:unhideWhenUsed/>
    <w:locked/>
    <w:rsid w:val="00FE198B"/>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E198B"/>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E198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E198B"/>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E198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E198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E1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2">
    <w:name w:val="Table Web 2"/>
    <w:basedOn w:val="TableNormal"/>
    <w:uiPriority w:val="99"/>
    <w:semiHidden/>
    <w:unhideWhenUsed/>
    <w:locked/>
    <w:rsid w:val="00FE198B"/>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E198B"/>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FE198B"/>
    <w:rPr>
      <w:rFonts w:asciiTheme="majorHAnsi" w:eastAsiaTheme="majorEastAsia" w:hAnsiTheme="majorHAnsi" w:cstheme="majorBidi"/>
      <w:b/>
      <w:bCs/>
      <w:sz w:val="24"/>
      <w:szCs w:val="24"/>
    </w:rPr>
  </w:style>
  <w:style w:type="paragraph" w:styleId="TOC3">
    <w:name w:val="toc 3"/>
    <w:basedOn w:val="Normal"/>
    <w:next w:val="Normal"/>
    <w:autoRedefine/>
    <w:uiPriority w:val="39"/>
    <w:rsid w:val="00FE198B"/>
    <w:pPr>
      <w:tabs>
        <w:tab w:val="right" w:leader="dot" w:pos="9979"/>
      </w:tabs>
      <w:spacing w:before="60" w:after="60"/>
      <w:ind w:left="442"/>
    </w:pPr>
  </w:style>
  <w:style w:type="paragraph" w:styleId="TOC4">
    <w:name w:val="toc 4"/>
    <w:basedOn w:val="Normal"/>
    <w:next w:val="Normal"/>
    <w:autoRedefine/>
    <w:uiPriority w:val="39"/>
    <w:semiHidden/>
    <w:rsid w:val="00FE198B"/>
    <w:pPr>
      <w:spacing w:after="100"/>
      <w:ind w:left="660"/>
    </w:pPr>
  </w:style>
  <w:style w:type="paragraph" w:styleId="TOC5">
    <w:name w:val="toc 5"/>
    <w:basedOn w:val="Normal"/>
    <w:next w:val="Normal"/>
    <w:autoRedefine/>
    <w:uiPriority w:val="39"/>
    <w:semiHidden/>
    <w:rsid w:val="00FE198B"/>
    <w:pPr>
      <w:spacing w:after="100"/>
      <w:ind w:left="880"/>
    </w:pPr>
  </w:style>
  <w:style w:type="paragraph" w:styleId="TOC6">
    <w:name w:val="toc 6"/>
    <w:basedOn w:val="Normal"/>
    <w:next w:val="Normal"/>
    <w:autoRedefine/>
    <w:uiPriority w:val="39"/>
    <w:semiHidden/>
    <w:rsid w:val="00FE198B"/>
    <w:pPr>
      <w:spacing w:after="100"/>
      <w:ind w:left="1100"/>
    </w:pPr>
  </w:style>
  <w:style w:type="paragraph" w:styleId="TOC7">
    <w:name w:val="toc 7"/>
    <w:basedOn w:val="Normal"/>
    <w:next w:val="Normal"/>
    <w:autoRedefine/>
    <w:uiPriority w:val="39"/>
    <w:semiHidden/>
    <w:rsid w:val="00FE198B"/>
    <w:pPr>
      <w:spacing w:after="100"/>
      <w:ind w:left="1320"/>
    </w:pPr>
  </w:style>
  <w:style w:type="paragraph" w:styleId="TOC8">
    <w:name w:val="toc 8"/>
    <w:basedOn w:val="Normal"/>
    <w:next w:val="Normal"/>
    <w:autoRedefine/>
    <w:uiPriority w:val="39"/>
    <w:semiHidden/>
    <w:rsid w:val="00FE198B"/>
    <w:pPr>
      <w:spacing w:after="100"/>
      <w:ind w:left="1540"/>
    </w:pPr>
  </w:style>
  <w:style w:type="paragraph" w:styleId="TOC9">
    <w:name w:val="toc 9"/>
    <w:basedOn w:val="Normal"/>
    <w:next w:val="Normal"/>
    <w:autoRedefine/>
    <w:uiPriority w:val="39"/>
    <w:semiHidden/>
    <w:rsid w:val="00FE198B"/>
    <w:pPr>
      <w:spacing w:after="100"/>
      <w:ind w:left="1760"/>
    </w:pPr>
  </w:style>
  <w:style w:type="character" w:customStyle="1" w:styleId="UnresolvedMention1">
    <w:name w:val="Unresolved Mention1"/>
    <w:basedOn w:val="DefaultParagraphFont"/>
    <w:uiPriority w:val="99"/>
    <w:semiHidden/>
    <w:locked/>
    <w:rsid w:val="00FE198B"/>
    <w:rPr>
      <w:color w:val="605E5C"/>
      <w:shd w:val="clear" w:color="auto" w:fill="E1DFDD"/>
    </w:rPr>
  </w:style>
  <w:style w:type="paragraph" w:customStyle="1" w:styleId="Heading1NoNumbers">
    <w:name w:val="Heading 1 No Numbers"/>
    <w:basedOn w:val="Heading1"/>
    <w:next w:val="Normal"/>
    <w:uiPriority w:val="4"/>
    <w:qFormat/>
    <w:rsid w:val="00FE198B"/>
    <w:pPr>
      <w:numPr>
        <w:numId w:val="0"/>
      </w:numPr>
    </w:pPr>
  </w:style>
  <w:style w:type="paragraph" w:customStyle="1" w:styleId="Heading2NoNumbers">
    <w:name w:val="Heading 2 No Numbers"/>
    <w:basedOn w:val="Heading2"/>
    <w:uiPriority w:val="4"/>
    <w:qFormat/>
    <w:rsid w:val="00FE198B"/>
    <w:pPr>
      <w:numPr>
        <w:ilvl w:val="0"/>
        <w:numId w:val="0"/>
      </w:numPr>
    </w:pPr>
  </w:style>
  <w:style w:type="paragraph" w:customStyle="1" w:styleId="Heading3NoNumbers">
    <w:name w:val="Heading 3 No Numbers"/>
    <w:basedOn w:val="Heading3"/>
    <w:uiPriority w:val="4"/>
    <w:qFormat/>
    <w:rsid w:val="00FE198B"/>
    <w:pPr>
      <w:numPr>
        <w:ilvl w:val="0"/>
        <w:numId w:val="0"/>
      </w:numPr>
    </w:pPr>
  </w:style>
  <w:style w:type="paragraph" w:customStyle="1" w:styleId="Heading4NoNumbers">
    <w:name w:val="Heading 4 No Numbers"/>
    <w:basedOn w:val="Heading4"/>
    <w:uiPriority w:val="4"/>
    <w:qFormat/>
    <w:rsid w:val="00FE198B"/>
    <w:pPr>
      <w:numPr>
        <w:ilvl w:val="0"/>
        <w:numId w:val="0"/>
      </w:numPr>
    </w:pPr>
  </w:style>
  <w:style w:type="paragraph" w:customStyle="1" w:styleId="CalloutHeadingRight">
    <w:name w:val="Call out Heading Right"/>
    <w:basedOn w:val="Normal"/>
    <w:uiPriority w:val="9"/>
    <w:qFormat/>
    <w:rsid w:val="00FE198B"/>
    <w:pPr>
      <w:framePr w:w="4990" w:hSpace="284" w:vSpace="284" w:wrap="around" w:vAnchor="text" w:hAnchor="margin" w:xAlign="right" w:y="1"/>
      <w:pBdr>
        <w:top w:val="single" w:sz="48" w:space="22" w:color="BFBFBF" w:themeColor="text2"/>
        <w:left w:val="single" w:sz="48" w:space="20" w:color="BFBFBF" w:themeColor="text2"/>
        <w:bottom w:val="single" w:sz="48" w:space="22" w:color="BFBFBF" w:themeColor="text2"/>
        <w:right w:val="single" w:sz="48" w:space="22" w:color="BFBFBF" w:themeColor="text2"/>
      </w:pBdr>
      <w:shd w:val="clear" w:color="auto" w:fill="BFBFBF" w:themeFill="text2"/>
      <w:spacing w:before="0" w:after="360"/>
      <w:ind w:left="533" w:right="595"/>
    </w:pPr>
    <w:rPr>
      <w:color w:val="FFFFFF" w:themeColor="background1"/>
      <w:sz w:val="44"/>
    </w:rPr>
  </w:style>
  <w:style w:type="paragraph" w:customStyle="1" w:styleId="CallOutBodyRight">
    <w:name w:val="Call Out Body Right"/>
    <w:basedOn w:val="CalloutHeadingRight"/>
    <w:uiPriority w:val="9"/>
    <w:qFormat/>
    <w:rsid w:val="00FE198B"/>
    <w:pPr>
      <w:framePr w:wrap="around"/>
      <w:spacing w:before="360"/>
    </w:pPr>
    <w:rPr>
      <w:i/>
      <w:sz w:val="24"/>
    </w:rPr>
  </w:style>
  <w:style w:type="paragraph" w:customStyle="1" w:styleId="CallOutHeadingLeft">
    <w:name w:val="Call Out Heading Left"/>
    <w:basedOn w:val="CalloutHeadingRight"/>
    <w:uiPriority w:val="9"/>
    <w:qFormat/>
    <w:rsid w:val="00FE198B"/>
    <w:pPr>
      <w:framePr w:wrap="around" w:xAlign="left" w:y="1288"/>
      <w:ind w:left="539" w:right="604"/>
    </w:pPr>
  </w:style>
  <w:style w:type="paragraph" w:customStyle="1" w:styleId="CallOutBodyLeft">
    <w:name w:val="Call Out Body Left"/>
    <w:basedOn w:val="CallOutHeadingLeft"/>
    <w:uiPriority w:val="9"/>
    <w:qFormat/>
    <w:rsid w:val="00FE198B"/>
    <w:pPr>
      <w:framePr w:wrap="around"/>
    </w:pPr>
    <w:rPr>
      <w:i/>
      <w:sz w:val="24"/>
    </w:rPr>
  </w:style>
  <w:style w:type="table" w:customStyle="1" w:styleId="TablewithBandedRows">
    <w:name w:val="Table with Banded Rows"/>
    <w:basedOn w:val="TableNormal"/>
    <w:uiPriority w:val="99"/>
    <w:rsid w:val="00FE198B"/>
    <w:pPr>
      <w:spacing w:before="60" w:after="60" w:line="240" w:lineRule="auto"/>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color w:val="000000" w:themeColor="text1"/>
      </w:rPr>
      <w:tblPr/>
      <w:tcPr>
        <w:shd w:val="clear" w:color="auto" w:fill="B2DFB0" w:themeFill="accent1" w:themeFillTint="66"/>
      </w:tcPr>
    </w:tblStylePr>
    <w:tblStylePr w:type="firstCol">
      <w:pPr>
        <w:jc w:val="left"/>
      </w:pPr>
      <w:rPr>
        <w:b w:val="0"/>
      </w:rPr>
    </w:tblStylePr>
    <w:tblStylePr w:type="band2Horz">
      <w:tblPr/>
      <w:tcPr>
        <w:shd w:val="clear" w:color="auto" w:fill="D8EFD7" w:themeFill="accent1" w:themeFillTint="33"/>
      </w:tcPr>
    </w:tblStylePr>
  </w:style>
  <w:style w:type="paragraph" w:customStyle="1" w:styleId="TableChartHeading">
    <w:name w:val="Table/Chart Heading"/>
    <w:basedOn w:val="Normal"/>
    <w:uiPriority w:val="11"/>
    <w:qFormat/>
    <w:rsid w:val="00FE198B"/>
    <w:pPr>
      <w:spacing w:before="480" w:after="120"/>
    </w:pPr>
    <w:rPr>
      <w:sz w:val="26"/>
    </w:rPr>
  </w:style>
  <w:style w:type="paragraph" w:customStyle="1" w:styleId="AlphaList">
    <w:name w:val="Alpha List"/>
    <w:basedOn w:val="Normal"/>
    <w:uiPriority w:val="8"/>
    <w:qFormat/>
    <w:rsid w:val="00FE198B"/>
    <w:pPr>
      <w:numPr>
        <w:numId w:val="6"/>
      </w:numPr>
      <w:spacing w:after="120"/>
      <w:ind w:left="357" w:hanging="357"/>
    </w:pPr>
  </w:style>
  <w:style w:type="paragraph" w:customStyle="1" w:styleId="AlphaList2">
    <w:name w:val="Alpha List 2"/>
    <w:basedOn w:val="AlphaList"/>
    <w:uiPriority w:val="8"/>
    <w:qFormat/>
    <w:rsid w:val="00FE198B"/>
    <w:pPr>
      <w:numPr>
        <w:ilvl w:val="1"/>
      </w:numPr>
      <w:tabs>
        <w:tab w:val="num" w:pos="360"/>
      </w:tabs>
      <w:ind w:left="360"/>
    </w:pPr>
  </w:style>
  <w:style w:type="paragraph" w:customStyle="1" w:styleId="AlphaList3">
    <w:name w:val="Alpha List 3"/>
    <w:basedOn w:val="AlphaList2"/>
    <w:uiPriority w:val="8"/>
    <w:qFormat/>
    <w:rsid w:val="00FE198B"/>
    <w:pPr>
      <w:numPr>
        <w:ilvl w:val="2"/>
      </w:numPr>
      <w:tabs>
        <w:tab w:val="num" w:pos="360"/>
      </w:tabs>
      <w:ind w:left="360"/>
    </w:pPr>
  </w:style>
  <w:style w:type="paragraph" w:customStyle="1" w:styleId="TableBullet1">
    <w:name w:val="Table Bullet 1"/>
    <w:basedOn w:val="ListBullet"/>
    <w:uiPriority w:val="7"/>
    <w:qFormat/>
    <w:rsid w:val="00FE198B"/>
    <w:pPr>
      <w:numPr>
        <w:ilvl w:val="5"/>
        <w:numId w:val="13"/>
      </w:numPr>
      <w:spacing w:before="60" w:after="60"/>
      <w:contextualSpacing w:val="0"/>
    </w:pPr>
  </w:style>
  <w:style w:type="numbering" w:customStyle="1" w:styleId="AlphaLists">
    <w:name w:val="Alpha Lists"/>
    <w:basedOn w:val="NoList"/>
    <w:uiPriority w:val="99"/>
    <w:rsid w:val="00FE198B"/>
    <w:pPr>
      <w:numPr>
        <w:numId w:val="6"/>
      </w:numPr>
    </w:pPr>
  </w:style>
  <w:style w:type="paragraph" w:customStyle="1" w:styleId="TableBullet2">
    <w:name w:val="Table Bullet 2"/>
    <w:basedOn w:val="TableBullet1"/>
    <w:uiPriority w:val="7"/>
    <w:qFormat/>
    <w:rsid w:val="00FE198B"/>
    <w:pPr>
      <w:numPr>
        <w:ilvl w:val="6"/>
      </w:numPr>
      <w:tabs>
        <w:tab w:val="clear" w:pos="567"/>
      </w:tabs>
      <w:ind w:left="0" w:firstLine="0"/>
    </w:pPr>
  </w:style>
  <w:style w:type="paragraph" w:customStyle="1" w:styleId="ImageCallOutRight">
    <w:name w:val="Image Call Out Right"/>
    <w:basedOn w:val="CalloutHeadingRight"/>
    <w:uiPriority w:val="9"/>
    <w:qFormat/>
    <w:rsid w:val="00FE198B"/>
    <w:pPr>
      <w:framePr w:wrap="around"/>
      <w:pBdr>
        <w:top w:val="none" w:sz="0" w:space="0" w:color="auto"/>
        <w:left w:val="none" w:sz="0" w:space="0" w:color="auto"/>
        <w:bottom w:val="none" w:sz="0" w:space="0" w:color="auto"/>
        <w:right w:val="none" w:sz="0" w:space="0" w:color="auto"/>
      </w:pBdr>
      <w:shd w:val="clear" w:color="auto" w:fill="auto"/>
      <w:spacing w:after="240"/>
      <w:ind w:left="0" w:right="0"/>
    </w:pPr>
    <w:rPr>
      <w:sz w:val="20"/>
      <w:lang w:eastAsia="en-AU"/>
    </w:rPr>
  </w:style>
  <w:style w:type="paragraph" w:customStyle="1" w:styleId="ImageCallOutLeft">
    <w:name w:val="Image Call Out Left"/>
    <w:basedOn w:val="CallOutHeadingLeft"/>
    <w:uiPriority w:val="9"/>
    <w:qFormat/>
    <w:rsid w:val="00FE198B"/>
    <w:pPr>
      <w:framePr w:wrap="around"/>
      <w:pBdr>
        <w:top w:val="none" w:sz="0" w:space="0" w:color="auto"/>
        <w:left w:val="none" w:sz="0" w:space="0" w:color="auto"/>
        <w:bottom w:val="none" w:sz="0" w:space="0" w:color="auto"/>
        <w:right w:val="none" w:sz="0" w:space="0" w:color="auto"/>
      </w:pBdr>
      <w:shd w:val="clear" w:color="auto" w:fill="auto"/>
      <w:spacing w:after="240"/>
      <w:ind w:left="0" w:right="0"/>
    </w:pPr>
    <w:rPr>
      <w:sz w:val="20"/>
    </w:rPr>
  </w:style>
  <w:style w:type="paragraph" w:customStyle="1" w:styleId="TableBullet3">
    <w:name w:val="Table Bullet 3"/>
    <w:basedOn w:val="ListBullet"/>
    <w:uiPriority w:val="7"/>
    <w:qFormat/>
    <w:rsid w:val="00FE198B"/>
    <w:pPr>
      <w:numPr>
        <w:ilvl w:val="7"/>
        <w:numId w:val="13"/>
      </w:numPr>
      <w:spacing w:before="60" w:after="60"/>
      <w:contextualSpacing w:val="0"/>
    </w:pPr>
  </w:style>
  <w:style w:type="paragraph" w:customStyle="1" w:styleId="Address">
    <w:name w:val="Address"/>
    <w:basedOn w:val="Normal"/>
    <w:uiPriority w:val="34"/>
    <w:semiHidden/>
    <w:rsid w:val="00FE198B"/>
    <w:pPr>
      <w:spacing w:before="0" w:after="600"/>
      <w:contextualSpacing/>
    </w:pPr>
  </w:style>
  <w:style w:type="paragraph" w:customStyle="1" w:styleId="Dear">
    <w:name w:val="Dear"/>
    <w:basedOn w:val="Normal"/>
    <w:uiPriority w:val="34"/>
    <w:semiHidden/>
    <w:rsid w:val="00FE198B"/>
    <w:pPr>
      <w:spacing w:before="240"/>
    </w:pPr>
  </w:style>
  <w:style w:type="paragraph" w:customStyle="1" w:styleId="Subject">
    <w:name w:val="Subject"/>
    <w:basedOn w:val="Dear"/>
    <w:uiPriority w:val="34"/>
    <w:semiHidden/>
    <w:rsid w:val="00FE198B"/>
    <w:pPr>
      <w:spacing w:after="120"/>
    </w:pPr>
    <w:rPr>
      <w:b/>
    </w:rPr>
  </w:style>
  <w:style w:type="paragraph" w:customStyle="1" w:styleId="BoldHeading">
    <w:name w:val="Bold Heading"/>
    <w:basedOn w:val="Normal"/>
    <w:uiPriority w:val="99"/>
    <w:rsid w:val="00FE198B"/>
    <w:rPr>
      <w:b/>
    </w:rPr>
  </w:style>
  <w:style w:type="paragraph" w:customStyle="1" w:styleId="LetterheadAddress">
    <w:name w:val="Letterhead Address"/>
    <w:basedOn w:val="Normal"/>
    <w:uiPriority w:val="34"/>
    <w:semiHidden/>
    <w:rsid w:val="00FE198B"/>
    <w:pPr>
      <w:framePr w:wrap="around" w:vAnchor="page" w:hAnchor="text" w:y="795"/>
    </w:pPr>
    <w:rPr>
      <w:sz w:val="17"/>
    </w:rPr>
  </w:style>
  <w:style w:type="paragraph" w:customStyle="1" w:styleId="SecurityClassification">
    <w:name w:val="Security Classification"/>
    <w:basedOn w:val="Normal"/>
    <w:uiPriority w:val="99"/>
    <w:semiHidden/>
    <w:qFormat/>
    <w:rsid w:val="00FE198B"/>
    <w:pPr>
      <w:framePr w:w="2268" w:h="851" w:wrap="around" w:vAnchor="page" w:hAnchor="page" w:xAlign="center" w:y="568"/>
      <w:jc w:val="center"/>
    </w:pPr>
    <w:rPr>
      <w:b/>
      <w:caps/>
    </w:rPr>
  </w:style>
  <w:style w:type="paragraph" w:customStyle="1" w:styleId="SecurityClassificationFooter">
    <w:name w:val="Security Classification Footer"/>
    <w:basedOn w:val="Normal"/>
    <w:uiPriority w:val="99"/>
    <w:semiHidden/>
    <w:qFormat/>
    <w:rsid w:val="00FE198B"/>
    <w:pPr>
      <w:framePr w:w="4536" w:wrap="around" w:hAnchor="page" w:xAlign="center" w:y="13382"/>
      <w:jc w:val="center"/>
    </w:pPr>
    <w:rPr>
      <w:b/>
      <w:caps/>
    </w:rPr>
  </w:style>
  <w:style w:type="table" w:customStyle="1" w:styleId="TablewithFirstColumn">
    <w:name w:val="Table with First Column"/>
    <w:basedOn w:val="TableGrid"/>
    <w:uiPriority w:val="99"/>
    <w:rsid w:val="00FE198B"/>
    <w:tblPr/>
    <w:tblStylePr w:type="firstRow">
      <w:rPr>
        <w:b/>
        <w:color w:val="000000" w:themeColor="text1"/>
      </w:rPr>
      <w:tblPr/>
      <w:tcPr>
        <w:shd w:val="clear" w:color="auto" w:fill="B2DFB0" w:themeFill="accent1" w:themeFillTint="66"/>
      </w:tcPr>
    </w:tblStylePr>
    <w:tblStylePr w:type="firstCol">
      <w:rPr>
        <w:b/>
      </w:rPr>
      <w:tblPr/>
      <w:tcPr>
        <w:shd w:val="clear" w:color="auto" w:fill="D8EFD7" w:themeFill="accent1" w:themeFillTint="33"/>
      </w:tcPr>
    </w:tblStylePr>
  </w:style>
  <w:style w:type="table" w:customStyle="1" w:styleId="9ptTableGrid">
    <w:name w:val="9pt Table Grid"/>
    <w:basedOn w:val="TableGrid"/>
    <w:uiPriority w:val="99"/>
    <w:rsid w:val="00FE198B"/>
    <w:rPr>
      <w:sz w:val="18"/>
    </w:rPr>
    <w:tblPr/>
    <w:tblStylePr w:type="firstRow">
      <w:rPr>
        <w:b/>
        <w:color w:val="FFFFFF" w:themeColor="background1"/>
      </w:rPr>
      <w:tblPr/>
      <w:tcPr>
        <w:shd w:val="clear" w:color="auto" w:fill="47A843" w:themeFill="accent1"/>
      </w:tcPr>
    </w:tblStylePr>
  </w:style>
  <w:style w:type="table" w:customStyle="1" w:styleId="9ptTablewithBandedRows">
    <w:name w:val="9pt Table with Banded Rows"/>
    <w:basedOn w:val="TablewithBandedRows"/>
    <w:uiPriority w:val="99"/>
    <w:rsid w:val="00FE198B"/>
    <w:rPr>
      <w:sz w:val="18"/>
    </w:rPr>
    <w:tblPr/>
    <w:tblStylePr w:type="firstRow">
      <w:rPr>
        <w:b/>
        <w:color w:val="000000" w:themeColor="text1"/>
      </w:rPr>
      <w:tblPr/>
      <w:tcPr>
        <w:shd w:val="clear" w:color="auto" w:fill="B2DFB0" w:themeFill="accent1" w:themeFillTint="66"/>
      </w:tcPr>
    </w:tblStylePr>
    <w:tblStylePr w:type="firstCol">
      <w:pPr>
        <w:jc w:val="left"/>
      </w:pPr>
      <w:rPr>
        <w:b w:val="0"/>
      </w:rPr>
    </w:tblStylePr>
    <w:tblStylePr w:type="band2Horz">
      <w:tblPr/>
      <w:tcPr>
        <w:shd w:val="clear" w:color="auto" w:fill="D8EFD7" w:themeFill="accent1" w:themeFillTint="33"/>
      </w:tcPr>
    </w:tblStylePr>
  </w:style>
  <w:style w:type="table" w:customStyle="1" w:styleId="9ptTablewithFirstColumn">
    <w:name w:val="9pt Table with First Column"/>
    <w:basedOn w:val="TablewithFirstColumn"/>
    <w:uiPriority w:val="99"/>
    <w:rsid w:val="00FE198B"/>
    <w:rPr>
      <w:sz w:val="18"/>
    </w:rPr>
    <w:tblPr/>
    <w:tblStylePr w:type="firstRow">
      <w:rPr>
        <w:b/>
        <w:color w:val="000000" w:themeColor="text1"/>
      </w:rPr>
      <w:tblPr/>
      <w:tcPr>
        <w:shd w:val="clear" w:color="auto" w:fill="B2DFB0" w:themeFill="accent1" w:themeFillTint="66"/>
      </w:tcPr>
    </w:tblStylePr>
    <w:tblStylePr w:type="firstCol">
      <w:rPr>
        <w:b/>
      </w:rPr>
      <w:tblPr/>
      <w:tcPr>
        <w:shd w:val="clear" w:color="auto" w:fill="D8EFD7" w:themeFill="accent1" w:themeFillTint="33"/>
      </w:tcPr>
    </w:tblStylePr>
  </w:style>
  <w:style w:type="character" w:customStyle="1" w:styleId="normaltextrun">
    <w:name w:val="normaltextrun"/>
    <w:basedOn w:val="DefaultParagraphFont"/>
    <w:rsid w:val="00F27EE0"/>
  </w:style>
  <w:style w:type="character" w:customStyle="1" w:styleId="eop">
    <w:name w:val="eop"/>
    <w:basedOn w:val="DefaultParagraphFont"/>
    <w:rsid w:val="00F27EE0"/>
  </w:style>
  <w:style w:type="paragraph" w:customStyle="1" w:styleId="paragraph">
    <w:name w:val="paragraph"/>
    <w:basedOn w:val="Normal"/>
    <w:rsid w:val="00AF1F1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AERbodytext">
    <w:name w:val="AER body text"/>
    <w:basedOn w:val="Normal"/>
    <w:rsid w:val="00155400"/>
    <w:pPr>
      <w:numPr>
        <w:numId w:val="10"/>
      </w:numPr>
      <w:spacing w:before="0" w:line="288" w:lineRule="auto"/>
      <w:jc w:val="both"/>
    </w:pPr>
    <w:rPr>
      <w:rFonts w:ascii="Times New Roman" w:hAnsi="Times New Roman" w:cs="Times New Roman"/>
      <w:color w:val="auto"/>
      <w:sz w:val="20"/>
      <w:szCs w:val="20"/>
    </w:rPr>
  </w:style>
  <w:style w:type="paragraph" w:customStyle="1" w:styleId="AERnumberedlistfirststyle">
    <w:name w:val="AER numbered list (first style)"/>
    <w:basedOn w:val="Normal"/>
    <w:rsid w:val="00155400"/>
    <w:pPr>
      <w:numPr>
        <w:ilvl w:val="1"/>
        <w:numId w:val="10"/>
      </w:numPr>
      <w:spacing w:before="0" w:after="200" w:line="288" w:lineRule="auto"/>
      <w:jc w:val="both"/>
    </w:pPr>
    <w:rPr>
      <w:rFonts w:ascii="Times New Roman" w:hAnsi="Times New Roman" w:cs="Times New Roman"/>
      <w:color w:val="auto"/>
      <w:sz w:val="20"/>
      <w:szCs w:val="20"/>
    </w:rPr>
  </w:style>
  <w:style w:type="paragraph" w:customStyle="1" w:styleId="AERnumberedlistsecondstyle">
    <w:name w:val="AER numbered list (second style)"/>
    <w:basedOn w:val="Normal"/>
    <w:rsid w:val="00155400"/>
    <w:pPr>
      <w:numPr>
        <w:ilvl w:val="2"/>
        <w:numId w:val="10"/>
      </w:numPr>
      <w:spacing w:before="0" w:after="200" w:line="288" w:lineRule="auto"/>
      <w:jc w:val="both"/>
    </w:pPr>
    <w:rPr>
      <w:rFonts w:ascii="Times New Roman" w:hAnsi="Times New Roman" w:cs="Times New Roman"/>
      <w:color w:val="auto"/>
      <w:sz w:val="20"/>
      <w:szCs w:val="20"/>
    </w:rPr>
  </w:style>
  <w:style w:type="paragraph" w:customStyle="1" w:styleId="AERnumberedlistthirdstyle">
    <w:name w:val="AER numbered list (third style)"/>
    <w:basedOn w:val="Normal"/>
    <w:rsid w:val="00155400"/>
    <w:pPr>
      <w:numPr>
        <w:ilvl w:val="3"/>
        <w:numId w:val="10"/>
      </w:numPr>
      <w:spacing w:before="0" w:after="200" w:line="288" w:lineRule="auto"/>
      <w:jc w:val="both"/>
    </w:pPr>
    <w:rPr>
      <w:rFonts w:ascii="Times New Roman" w:hAnsi="Times New Roman" w:cs="Times New Roman"/>
      <w:color w:val="auto"/>
      <w:sz w:val="20"/>
      <w:szCs w:val="20"/>
    </w:rPr>
  </w:style>
  <w:style w:type="paragraph" w:customStyle="1" w:styleId="AERnumberedlist2first">
    <w:name w:val="AER numbered list 2 first"/>
    <w:basedOn w:val="Normal"/>
    <w:rsid w:val="00155400"/>
    <w:pPr>
      <w:numPr>
        <w:ilvl w:val="4"/>
        <w:numId w:val="10"/>
      </w:numPr>
      <w:spacing w:before="0" w:line="288" w:lineRule="auto"/>
      <w:jc w:val="both"/>
    </w:pPr>
    <w:rPr>
      <w:rFonts w:ascii="Times New Roman" w:hAnsi="Times New Roman" w:cs="Times New Roman"/>
      <w:color w:val="auto"/>
      <w:sz w:val="20"/>
      <w:szCs w:val="20"/>
    </w:rPr>
  </w:style>
  <w:style w:type="paragraph" w:customStyle="1" w:styleId="AERnumberedlist2second">
    <w:name w:val="AER numbered list 2 second"/>
    <w:basedOn w:val="Normal"/>
    <w:rsid w:val="00155400"/>
    <w:pPr>
      <w:numPr>
        <w:ilvl w:val="5"/>
        <w:numId w:val="10"/>
      </w:numPr>
      <w:spacing w:before="0" w:line="288" w:lineRule="auto"/>
      <w:jc w:val="both"/>
    </w:pPr>
    <w:rPr>
      <w:rFonts w:ascii="Times New Roman" w:hAnsi="Times New Roman" w:cs="Times New Roman"/>
      <w:color w:val="auto"/>
      <w:sz w:val="20"/>
      <w:szCs w:val="20"/>
    </w:rPr>
  </w:style>
  <w:style w:type="paragraph" w:customStyle="1" w:styleId="AERnumberedlist2third">
    <w:name w:val="AER numbered list 2 third"/>
    <w:basedOn w:val="Normal"/>
    <w:rsid w:val="00155400"/>
    <w:pPr>
      <w:numPr>
        <w:ilvl w:val="6"/>
        <w:numId w:val="10"/>
      </w:numPr>
      <w:spacing w:before="0" w:line="288" w:lineRule="auto"/>
      <w:jc w:val="both"/>
    </w:pPr>
    <w:rPr>
      <w:rFonts w:ascii="Times New Roman" w:hAnsi="Times New Roman" w:cs="Times New Roman"/>
      <w:color w:val="auto"/>
      <w:sz w:val="20"/>
      <w:szCs w:val="20"/>
    </w:rPr>
  </w:style>
  <w:style w:type="numbering" w:customStyle="1" w:styleId="AERnumberedlist">
    <w:name w:val="AER numbered list"/>
    <w:uiPriority w:val="99"/>
    <w:rsid w:val="00155400"/>
    <w:pPr>
      <w:numPr>
        <w:numId w:val="10"/>
      </w:numPr>
    </w:pPr>
  </w:style>
  <w:style w:type="paragraph" w:styleId="Revision">
    <w:name w:val="Revision"/>
    <w:hidden/>
    <w:uiPriority w:val="99"/>
    <w:semiHidden/>
    <w:rsid w:val="001D4301"/>
    <w:pPr>
      <w:spacing w:before="0" w:after="0" w:line="240" w:lineRule="auto"/>
    </w:pPr>
  </w:style>
  <w:style w:type="paragraph" w:customStyle="1" w:styleId="CellText">
    <w:name w:val="Cell Text"/>
    <w:basedOn w:val="Normal"/>
    <w:rsid w:val="007D34F1"/>
    <w:pPr>
      <w:spacing w:before="0" w:after="120" w:line="240" w:lineRule="auto"/>
    </w:pPr>
    <w:rPr>
      <w:rFonts w:ascii="Arial" w:eastAsia="Arial" w:hAnsi="Arial" w:cs="Arial"/>
      <w:color w:val="auto"/>
      <w:sz w:val="18"/>
      <w:szCs w:val="20"/>
      <w:lang w:eastAsia="en-AU"/>
    </w:rPr>
  </w:style>
  <w:style w:type="paragraph" w:customStyle="1" w:styleId="ListBulletTable">
    <w:name w:val="List Bullet Table"/>
    <w:basedOn w:val="Normal"/>
    <w:rsid w:val="003170AD"/>
    <w:pPr>
      <w:numPr>
        <w:numId w:val="11"/>
      </w:numPr>
      <w:tabs>
        <w:tab w:val="clear" w:pos="284"/>
        <w:tab w:val="num" w:pos="0"/>
      </w:tabs>
      <w:spacing w:before="0" w:after="120" w:line="240" w:lineRule="auto"/>
      <w:ind w:left="0" w:firstLine="0"/>
    </w:pPr>
    <w:rPr>
      <w:rFonts w:ascii="Arial" w:eastAsia="Arial" w:hAnsi="Arial" w:cs="Arial"/>
      <w:color w:val="auto"/>
      <w:sz w:val="18"/>
      <w:szCs w:val="18"/>
      <w:lang w:eastAsia="en-AU"/>
    </w:rPr>
  </w:style>
  <w:style w:type="character" w:styleId="Mention">
    <w:name w:val="Mention"/>
    <w:basedOn w:val="DefaultParagraphFont"/>
    <w:uiPriority w:val="99"/>
    <w:unhideWhenUsed/>
    <w:rsid w:val="00A7537A"/>
    <w:rPr>
      <w:color w:val="2B579A"/>
      <w:shd w:val="clear" w:color="auto" w:fill="E1DFDD"/>
    </w:rPr>
  </w:style>
  <w:style w:type="character" w:customStyle="1" w:styleId="findhit">
    <w:name w:val="findhit"/>
    <w:basedOn w:val="DefaultParagraphFont"/>
    <w:rsid w:val="00236C6D"/>
  </w:style>
  <w:style w:type="character" w:styleId="UnresolvedMention">
    <w:name w:val="Unresolved Mention"/>
    <w:basedOn w:val="DefaultParagraphFont"/>
    <w:uiPriority w:val="99"/>
    <w:semiHidden/>
    <w:unhideWhenUsed/>
    <w:rsid w:val="00322D12"/>
    <w:rPr>
      <w:color w:val="605E5C"/>
      <w:shd w:val="clear" w:color="auto" w:fill="E1DFDD"/>
    </w:rPr>
  </w:style>
  <w:style w:type="numbering" w:customStyle="1" w:styleId="1111111">
    <w:name w:val="1 / 1.1 / 1.1.11"/>
    <w:basedOn w:val="NoList"/>
    <w:next w:val="111111"/>
    <w:uiPriority w:val="99"/>
    <w:semiHidden/>
    <w:unhideWhenUsed/>
    <w:rsid w:val="00BF5F1E"/>
  </w:style>
  <w:style w:type="numbering" w:customStyle="1" w:styleId="1ai1">
    <w:name w:val="1 / a / i1"/>
    <w:basedOn w:val="NoList"/>
    <w:next w:val="1ai"/>
    <w:uiPriority w:val="99"/>
    <w:semiHidden/>
    <w:unhideWhenUsed/>
    <w:rsid w:val="00BF5F1E"/>
  </w:style>
  <w:style w:type="table" w:customStyle="1" w:styleId="TablewithOptions1">
    <w:name w:val="Table with Options1"/>
    <w:basedOn w:val="TableGrid"/>
    <w:uiPriority w:val="99"/>
    <w:rsid w:val="00BF5F1E"/>
    <w:tblPr>
      <w:tblStyleRowBandSize w:val="1"/>
    </w:tblPr>
    <w:tblStylePr w:type="firstRow">
      <w:rPr>
        <w:b/>
        <w:color w:val="FFFFFF" w:themeColor="background1"/>
      </w:rPr>
      <w:tblPr/>
      <w:trPr>
        <w:tblHeader/>
      </w:trPr>
      <w:tcPr>
        <w:shd w:val="clear" w:color="auto" w:fill="47A843" w:themeFill="accent1"/>
      </w:tcPr>
    </w:tblStylePr>
    <w:tblStylePr w:type="lastRow">
      <w:rPr>
        <w:b/>
      </w:rPr>
    </w:tblStylePr>
    <w:tblStylePr w:type="firstCol">
      <w:rPr>
        <w:b/>
      </w:rPr>
    </w:tblStylePr>
    <w:tblStylePr w:type="lastCol">
      <w:pPr>
        <w:jc w:val="right"/>
      </w:pPr>
    </w:tblStylePr>
    <w:tblStylePr w:type="band2Horz">
      <w:tblPr/>
      <w:tcPr>
        <w:shd w:val="clear" w:color="auto" w:fill="D8EFD7" w:themeFill="accent1" w:themeFillTint="33"/>
      </w:tcPr>
    </w:tblStylePr>
  </w:style>
  <w:style w:type="table" w:customStyle="1" w:styleId="TablewithFirstColumn1">
    <w:name w:val="Table with First Column1"/>
    <w:basedOn w:val="TableGrid"/>
    <w:uiPriority w:val="99"/>
    <w:rsid w:val="00BF5F1E"/>
    <w:tblPr/>
    <w:tblStylePr w:type="firstRow">
      <w:rPr>
        <w:b/>
        <w:color w:val="000000" w:themeColor="text1"/>
      </w:rPr>
      <w:tblPr/>
      <w:tcPr>
        <w:shd w:val="clear" w:color="auto" w:fill="B2DFB0" w:themeFill="accent1" w:themeFillTint="66"/>
      </w:tcPr>
    </w:tblStylePr>
    <w:tblStylePr w:type="firstCol">
      <w:rPr>
        <w:b/>
      </w:rPr>
      <w:tblPr/>
      <w:tcPr>
        <w:shd w:val="clear" w:color="auto" w:fill="D8EFD7" w:themeFill="accent1" w:themeFillTint="33"/>
      </w:tcPr>
    </w:tblStylePr>
  </w:style>
  <w:style w:type="table" w:customStyle="1" w:styleId="9ptTableGrid1">
    <w:name w:val="9pt Table Grid1"/>
    <w:basedOn w:val="TableGrid"/>
    <w:uiPriority w:val="99"/>
    <w:rsid w:val="00BF5F1E"/>
    <w:rPr>
      <w:sz w:val="18"/>
    </w:rPr>
    <w:tblPr/>
    <w:tblStylePr w:type="firstRow">
      <w:rPr>
        <w:b/>
        <w:color w:val="FFFFFF" w:themeColor="background1"/>
      </w:rPr>
      <w:tblPr/>
      <w:tcPr>
        <w:shd w:val="clear" w:color="auto" w:fill="47A843" w:themeFill="accent1"/>
      </w:tcPr>
    </w:tblStylePr>
  </w:style>
  <w:style w:type="table" w:customStyle="1" w:styleId="9ptTablewithBandedRows1">
    <w:name w:val="9pt Table with Banded Rows1"/>
    <w:basedOn w:val="TablewithBandedRows"/>
    <w:uiPriority w:val="99"/>
    <w:rsid w:val="00BF5F1E"/>
    <w:rPr>
      <w:sz w:val="18"/>
    </w:rPr>
    <w:tblPr/>
    <w:tblStylePr w:type="firstRow">
      <w:rPr>
        <w:b/>
        <w:color w:val="000000" w:themeColor="text1"/>
      </w:rPr>
      <w:tblPr/>
      <w:tcPr>
        <w:shd w:val="clear" w:color="auto" w:fill="B2DFB0" w:themeFill="accent1" w:themeFillTint="66"/>
      </w:tcPr>
    </w:tblStylePr>
    <w:tblStylePr w:type="firstCol">
      <w:pPr>
        <w:jc w:val="left"/>
      </w:pPr>
      <w:rPr>
        <w:b w:val="0"/>
      </w:rPr>
    </w:tblStylePr>
    <w:tblStylePr w:type="band2Horz">
      <w:tblPr/>
      <w:tcPr>
        <w:shd w:val="clear" w:color="auto" w:fill="D8EFD7" w:themeFill="accent1" w:themeFillTint="33"/>
      </w:tcPr>
    </w:tblStylePr>
  </w:style>
  <w:style w:type="table" w:customStyle="1" w:styleId="9ptTablewithFirstColumn1">
    <w:name w:val="9pt Table with First Column1"/>
    <w:basedOn w:val="TablewithFirstColumn"/>
    <w:uiPriority w:val="99"/>
    <w:rsid w:val="00BF5F1E"/>
    <w:rPr>
      <w:sz w:val="18"/>
    </w:rPr>
    <w:tblPr/>
    <w:tblStylePr w:type="firstRow">
      <w:rPr>
        <w:b/>
        <w:color w:val="000000" w:themeColor="text1"/>
      </w:rPr>
      <w:tblPr/>
      <w:tcPr>
        <w:shd w:val="clear" w:color="auto" w:fill="B2DFB0" w:themeFill="accent1" w:themeFillTint="66"/>
      </w:tcPr>
    </w:tblStylePr>
    <w:tblStylePr w:type="firstCol">
      <w:rPr>
        <w:b/>
      </w:rPr>
      <w:tblPr/>
      <w:tcPr>
        <w:shd w:val="clear" w:color="auto" w:fill="D8EFD7" w:themeFill="accent1" w:themeFillTint="33"/>
      </w:tcPr>
    </w:tblStylePr>
  </w:style>
  <w:style w:type="paragraph" w:customStyle="1" w:styleId="Default">
    <w:name w:val="Default"/>
    <w:rsid w:val="004F002D"/>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51249">
      <w:bodyDiv w:val="1"/>
      <w:marLeft w:val="0"/>
      <w:marRight w:val="0"/>
      <w:marTop w:val="0"/>
      <w:marBottom w:val="0"/>
      <w:divBdr>
        <w:top w:val="none" w:sz="0" w:space="0" w:color="auto"/>
        <w:left w:val="none" w:sz="0" w:space="0" w:color="auto"/>
        <w:bottom w:val="none" w:sz="0" w:space="0" w:color="auto"/>
        <w:right w:val="none" w:sz="0" w:space="0" w:color="auto"/>
      </w:divBdr>
    </w:div>
    <w:div w:id="93676163">
      <w:bodyDiv w:val="1"/>
      <w:marLeft w:val="0"/>
      <w:marRight w:val="0"/>
      <w:marTop w:val="0"/>
      <w:marBottom w:val="0"/>
      <w:divBdr>
        <w:top w:val="none" w:sz="0" w:space="0" w:color="auto"/>
        <w:left w:val="none" w:sz="0" w:space="0" w:color="auto"/>
        <w:bottom w:val="none" w:sz="0" w:space="0" w:color="auto"/>
        <w:right w:val="none" w:sz="0" w:space="0" w:color="auto"/>
      </w:divBdr>
      <w:divsChild>
        <w:div w:id="440417586">
          <w:marLeft w:val="0"/>
          <w:marRight w:val="0"/>
          <w:marTop w:val="0"/>
          <w:marBottom w:val="0"/>
          <w:divBdr>
            <w:top w:val="none" w:sz="0" w:space="0" w:color="auto"/>
            <w:left w:val="none" w:sz="0" w:space="0" w:color="auto"/>
            <w:bottom w:val="none" w:sz="0" w:space="0" w:color="auto"/>
            <w:right w:val="none" w:sz="0" w:space="0" w:color="auto"/>
          </w:divBdr>
          <w:divsChild>
            <w:div w:id="255094696">
              <w:marLeft w:val="0"/>
              <w:marRight w:val="0"/>
              <w:marTop w:val="0"/>
              <w:marBottom w:val="0"/>
              <w:divBdr>
                <w:top w:val="none" w:sz="0" w:space="0" w:color="auto"/>
                <w:left w:val="none" w:sz="0" w:space="0" w:color="auto"/>
                <w:bottom w:val="none" w:sz="0" w:space="0" w:color="auto"/>
                <w:right w:val="none" w:sz="0" w:space="0" w:color="auto"/>
              </w:divBdr>
            </w:div>
            <w:div w:id="745147495">
              <w:marLeft w:val="0"/>
              <w:marRight w:val="0"/>
              <w:marTop w:val="0"/>
              <w:marBottom w:val="0"/>
              <w:divBdr>
                <w:top w:val="none" w:sz="0" w:space="0" w:color="auto"/>
                <w:left w:val="none" w:sz="0" w:space="0" w:color="auto"/>
                <w:bottom w:val="none" w:sz="0" w:space="0" w:color="auto"/>
                <w:right w:val="none" w:sz="0" w:space="0" w:color="auto"/>
              </w:divBdr>
            </w:div>
            <w:div w:id="142318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90622">
      <w:bodyDiv w:val="1"/>
      <w:marLeft w:val="0"/>
      <w:marRight w:val="0"/>
      <w:marTop w:val="0"/>
      <w:marBottom w:val="0"/>
      <w:divBdr>
        <w:top w:val="none" w:sz="0" w:space="0" w:color="auto"/>
        <w:left w:val="none" w:sz="0" w:space="0" w:color="auto"/>
        <w:bottom w:val="none" w:sz="0" w:space="0" w:color="auto"/>
        <w:right w:val="none" w:sz="0" w:space="0" w:color="auto"/>
      </w:divBdr>
    </w:div>
    <w:div w:id="249581974">
      <w:bodyDiv w:val="1"/>
      <w:marLeft w:val="0"/>
      <w:marRight w:val="0"/>
      <w:marTop w:val="0"/>
      <w:marBottom w:val="0"/>
      <w:divBdr>
        <w:top w:val="none" w:sz="0" w:space="0" w:color="auto"/>
        <w:left w:val="none" w:sz="0" w:space="0" w:color="auto"/>
        <w:bottom w:val="none" w:sz="0" w:space="0" w:color="auto"/>
        <w:right w:val="none" w:sz="0" w:space="0" w:color="auto"/>
      </w:divBdr>
    </w:div>
    <w:div w:id="313030067">
      <w:bodyDiv w:val="1"/>
      <w:marLeft w:val="0"/>
      <w:marRight w:val="0"/>
      <w:marTop w:val="0"/>
      <w:marBottom w:val="0"/>
      <w:divBdr>
        <w:top w:val="none" w:sz="0" w:space="0" w:color="auto"/>
        <w:left w:val="none" w:sz="0" w:space="0" w:color="auto"/>
        <w:bottom w:val="none" w:sz="0" w:space="0" w:color="auto"/>
        <w:right w:val="none" w:sz="0" w:space="0" w:color="auto"/>
      </w:divBdr>
    </w:div>
    <w:div w:id="374232169">
      <w:bodyDiv w:val="1"/>
      <w:marLeft w:val="0"/>
      <w:marRight w:val="0"/>
      <w:marTop w:val="0"/>
      <w:marBottom w:val="0"/>
      <w:divBdr>
        <w:top w:val="none" w:sz="0" w:space="0" w:color="auto"/>
        <w:left w:val="none" w:sz="0" w:space="0" w:color="auto"/>
        <w:bottom w:val="none" w:sz="0" w:space="0" w:color="auto"/>
        <w:right w:val="none" w:sz="0" w:space="0" w:color="auto"/>
      </w:divBdr>
    </w:div>
    <w:div w:id="420445807">
      <w:bodyDiv w:val="1"/>
      <w:marLeft w:val="0"/>
      <w:marRight w:val="0"/>
      <w:marTop w:val="0"/>
      <w:marBottom w:val="0"/>
      <w:divBdr>
        <w:top w:val="none" w:sz="0" w:space="0" w:color="auto"/>
        <w:left w:val="none" w:sz="0" w:space="0" w:color="auto"/>
        <w:bottom w:val="none" w:sz="0" w:space="0" w:color="auto"/>
        <w:right w:val="none" w:sz="0" w:space="0" w:color="auto"/>
      </w:divBdr>
    </w:div>
    <w:div w:id="475225793">
      <w:bodyDiv w:val="1"/>
      <w:marLeft w:val="0"/>
      <w:marRight w:val="0"/>
      <w:marTop w:val="0"/>
      <w:marBottom w:val="0"/>
      <w:divBdr>
        <w:top w:val="none" w:sz="0" w:space="0" w:color="auto"/>
        <w:left w:val="none" w:sz="0" w:space="0" w:color="auto"/>
        <w:bottom w:val="none" w:sz="0" w:space="0" w:color="auto"/>
        <w:right w:val="none" w:sz="0" w:space="0" w:color="auto"/>
      </w:divBdr>
    </w:div>
    <w:div w:id="495418765">
      <w:bodyDiv w:val="1"/>
      <w:marLeft w:val="0"/>
      <w:marRight w:val="0"/>
      <w:marTop w:val="0"/>
      <w:marBottom w:val="0"/>
      <w:divBdr>
        <w:top w:val="none" w:sz="0" w:space="0" w:color="auto"/>
        <w:left w:val="none" w:sz="0" w:space="0" w:color="auto"/>
        <w:bottom w:val="none" w:sz="0" w:space="0" w:color="auto"/>
        <w:right w:val="none" w:sz="0" w:space="0" w:color="auto"/>
      </w:divBdr>
    </w:div>
    <w:div w:id="591858913">
      <w:bodyDiv w:val="1"/>
      <w:marLeft w:val="0"/>
      <w:marRight w:val="0"/>
      <w:marTop w:val="0"/>
      <w:marBottom w:val="0"/>
      <w:divBdr>
        <w:top w:val="none" w:sz="0" w:space="0" w:color="auto"/>
        <w:left w:val="none" w:sz="0" w:space="0" w:color="auto"/>
        <w:bottom w:val="none" w:sz="0" w:space="0" w:color="auto"/>
        <w:right w:val="none" w:sz="0" w:space="0" w:color="auto"/>
      </w:divBdr>
    </w:div>
    <w:div w:id="670453436">
      <w:bodyDiv w:val="1"/>
      <w:marLeft w:val="0"/>
      <w:marRight w:val="0"/>
      <w:marTop w:val="0"/>
      <w:marBottom w:val="0"/>
      <w:divBdr>
        <w:top w:val="none" w:sz="0" w:space="0" w:color="auto"/>
        <w:left w:val="none" w:sz="0" w:space="0" w:color="auto"/>
        <w:bottom w:val="none" w:sz="0" w:space="0" w:color="auto"/>
        <w:right w:val="none" w:sz="0" w:space="0" w:color="auto"/>
      </w:divBdr>
    </w:div>
    <w:div w:id="689529779">
      <w:bodyDiv w:val="1"/>
      <w:marLeft w:val="0"/>
      <w:marRight w:val="0"/>
      <w:marTop w:val="0"/>
      <w:marBottom w:val="0"/>
      <w:divBdr>
        <w:top w:val="none" w:sz="0" w:space="0" w:color="auto"/>
        <w:left w:val="none" w:sz="0" w:space="0" w:color="auto"/>
        <w:bottom w:val="none" w:sz="0" w:space="0" w:color="auto"/>
        <w:right w:val="none" w:sz="0" w:space="0" w:color="auto"/>
      </w:divBdr>
    </w:div>
    <w:div w:id="734594703">
      <w:bodyDiv w:val="1"/>
      <w:marLeft w:val="0"/>
      <w:marRight w:val="0"/>
      <w:marTop w:val="0"/>
      <w:marBottom w:val="0"/>
      <w:divBdr>
        <w:top w:val="none" w:sz="0" w:space="0" w:color="auto"/>
        <w:left w:val="none" w:sz="0" w:space="0" w:color="auto"/>
        <w:bottom w:val="none" w:sz="0" w:space="0" w:color="auto"/>
        <w:right w:val="none" w:sz="0" w:space="0" w:color="auto"/>
      </w:divBdr>
    </w:div>
    <w:div w:id="772940843">
      <w:bodyDiv w:val="1"/>
      <w:marLeft w:val="0"/>
      <w:marRight w:val="0"/>
      <w:marTop w:val="0"/>
      <w:marBottom w:val="0"/>
      <w:divBdr>
        <w:top w:val="none" w:sz="0" w:space="0" w:color="auto"/>
        <w:left w:val="none" w:sz="0" w:space="0" w:color="auto"/>
        <w:bottom w:val="none" w:sz="0" w:space="0" w:color="auto"/>
        <w:right w:val="none" w:sz="0" w:space="0" w:color="auto"/>
      </w:divBdr>
    </w:div>
    <w:div w:id="800423524">
      <w:bodyDiv w:val="1"/>
      <w:marLeft w:val="0"/>
      <w:marRight w:val="0"/>
      <w:marTop w:val="0"/>
      <w:marBottom w:val="0"/>
      <w:divBdr>
        <w:top w:val="none" w:sz="0" w:space="0" w:color="auto"/>
        <w:left w:val="none" w:sz="0" w:space="0" w:color="auto"/>
        <w:bottom w:val="none" w:sz="0" w:space="0" w:color="auto"/>
        <w:right w:val="none" w:sz="0" w:space="0" w:color="auto"/>
      </w:divBdr>
    </w:div>
    <w:div w:id="801582228">
      <w:bodyDiv w:val="1"/>
      <w:marLeft w:val="0"/>
      <w:marRight w:val="0"/>
      <w:marTop w:val="0"/>
      <w:marBottom w:val="0"/>
      <w:divBdr>
        <w:top w:val="none" w:sz="0" w:space="0" w:color="auto"/>
        <w:left w:val="none" w:sz="0" w:space="0" w:color="auto"/>
        <w:bottom w:val="none" w:sz="0" w:space="0" w:color="auto"/>
        <w:right w:val="none" w:sz="0" w:space="0" w:color="auto"/>
      </w:divBdr>
    </w:div>
    <w:div w:id="981619404">
      <w:bodyDiv w:val="1"/>
      <w:marLeft w:val="0"/>
      <w:marRight w:val="0"/>
      <w:marTop w:val="0"/>
      <w:marBottom w:val="0"/>
      <w:divBdr>
        <w:top w:val="none" w:sz="0" w:space="0" w:color="auto"/>
        <w:left w:val="none" w:sz="0" w:space="0" w:color="auto"/>
        <w:bottom w:val="none" w:sz="0" w:space="0" w:color="auto"/>
        <w:right w:val="none" w:sz="0" w:space="0" w:color="auto"/>
      </w:divBdr>
      <w:divsChild>
        <w:div w:id="124399663">
          <w:marLeft w:val="0"/>
          <w:marRight w:val="0"/>
          <w:marTop w:val="0"/>
          <w:marBottom w:val="0"/>
          <w:divBdr>
            <w:top w:val="none" w:sz="0" w:space="0" w:color="auto"/>
            <w:left w:val="none" w:sz="0" w:space="0" w:color="auto"/>
            <w:bottom w:val="none" w:sz="0" w:space="0" w:color="auto"/>
            <w:right w:val="none" w:sz="0" w:space="0" w:color="auto"/>
          </w:divBdr>
          <w:divsChild>
            <w:div w:id="1547335869">
              <w:marLeft w:val="0"/>
              <w:marRight w:val="0"/>
              <w:marTop w:val="0"/>
              <w:marBottom w:val="0"/>
              <w:divBdr>
                <w:top w:val="none" w:sz="0" w:space="0" w:color="auto"/>
                <w:left w:val="none" w:sz="0" w:space="0" w:color="auto"/>
                <w:bottom w:val="none" w:sz="0" w:space="0" w:color="auto"/>
                <w:right w:val="none" w:sz="0" w:space="0" w:color="auto"/>
              </w:divBdr>
            </w:div>
          </w:divsChild>
        </w:div>
        <w:div w:id="537469194">
          <w:marLeft w:val="0"/>
          <w:marRight w:val="0"/>
          <w:marTop w:val="0"/>
          <w:marBottom w:val="0"/>
          <w:divBdr>
            <w:top w:val="none" w:sz="0" w:space="0" w:color="auto"/>
            <w:left w:val="none" w:sz="0" w:space="0" w:color="auto"/>
            <w:bottom w:val="none" w:sz="0" w:space="0" w:color="auto"/>
            <w:right w:val="none" w:sz="0" w:space="0" w:color="auto"/>
          </w:divBdr>
          <w:divsChild>
            <w:div w:id="65438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6275">
      <w:bodyDiv w:val="1"/>
      <w:marLeft w:val="0"/>
      <w:marRight w:val="0"/>
      <w:marTop w:val="0"/>
      <w:marBottom w:val="0"/>
      <w:divBdr>
        <w:top w:val="none" w:sz="0" w:space="0" w:color="auto"/>
        <w:left w:val="none" w:sz="0" w:space="0" w:color="auto"/>
        <w:bottom w:val="none" w:sz="0" w:space="0" w:color="auto"/>
        <w:right w:val="none" w:sz="0" w:space="0" w:color="auto"/>
      </w:divBdr>
    </w:div>
    <w:div w:id="1042486607">
      <w:bodyDiv w:val="1"/>
      <w:marLeft w:val="0"/>
      <w:marRight w:val="0"/>
      <w:marTop w:val="0"/>
      <w:marBottom w:val="0"/>
      <w:divBdr>
        <w:top w:val="none" w:sz="0" w:space="0" w:color="auto"/>
        <w:left w:val="none" w:sz="0" w:space="0" w:color="auto"/>
        <w:bottom w:val="none" w:sz="0" w:space="0" w:color="auto"/>
        <w:right w:val="none" w:sz="0" w:space="0" w:color="auto"/>
      </w:divBdr>
    </w:div>
    <w:div w:id="1154103618">
      <w:bodyDiv w:val="1"/>
      <w:marLeft w:val="0"/>
      <w:marRight w:val="0"/>
      <w:marTop w:val="0"/>
      <w:marBottom w:val="0"/>
      <w:divBdr>
        <w:top w:val="none" w:sz="0" w:space="0" w:color="auto"/>
        <w:left w:val="none" w:sz="0" w:space="0" w:color="auto"/>
        <w:bottom w:val="none" w:sz="0" w:space="0" w:color="auto"/>
        <w:right w:val="none" w:sz="0" w:space="0" w:color="auto"/>
      </w:divBdr>
    </w:div>
    <w:div w:id="1164122606">
      <w:bodyDiv w:val="1"/>
      <w:marLeft w:val="0"/>
      <w:marRight w:val="0"/>
      <w:marTop w:val="0"/>
      <w:marBottom w:val="0"/>
      <w:divBdr>
        <w:top w:val="none" w:sz="0" w:space="0" w:color="auto"/>
        <w:left w:val="none" w:sz="0" w:space="0" w:color="auto"/>
        <w:bottom w:val="none" w:sz="0" w:space="0" w:color="auto"/>
        <w:right w:val="none" w:sz="0" w:space="0" w:color="auto"/>
      </w:divBdr>
    </w:div>
    <w:div w:id="1166626723">
      <w:bodyDiv w:val="1"/>
      <w:marLeft w:val="0"/>
      <w:marRight w:val="0"/>
      <w:marTop w:val="0"/>
      <w:marBottom w:val="0"/>
      <w:divBdr>
        <w:top w:val="none" w:sz="0" w:space="0" w:color="auto"/>
        <w:left w:val="none" w:sz="0" w:space="0" w:color="auto"/>
        <w:bottom w:val="none" w:sz="0" w:space="0" w:color="auto"/>
        <w:right w:val="none" w:sz="0" w:space="0" w:color="auto"/>
      </w:divBdr>
    </w:div>
    <w:div w:id="1173881846">
      <w:bodyDiv w:val="1"/>
      <w:marLeft w:val="0"/>
      <w:marRight w:val="0"/>
      <w:marTop w:val="0"/>
      <w:marBottom w:val="0"/>
      <w:divBdr>
        <w:top w:val="none" w:sz="0" w:space="0" w:color="auto"/>
        <w:left w:val="none" w:sz="0" w:space="0" w:color="auto"/>
        <w:bottom w:val="none" w:sz="0" w:space="0" w:color="auto"/>
        <w:right w:val="none" w:sz="0" w:space="0" w:color="auto"/>
      </w:divBdr>
    </w:div>
    <w:div w:id="1223176050">
      <w:bodyDiv w:val="1"/>
      <w:marLeft w:val="0"/>
      <w:marRight w:val="0"/>
      <w:marTop w:val="0"/>
      <w:marBottom w:val="0"/>
      <w:divBdr>
        <w:top w:val="none" w:sz="0" w:space="0" w:color="auto"/>
        <w:left w:val="none" w:sz="0" w:space="0" w:color="auto"/>
        <w:bottom w:val="none" w:sz="0" w:space="0" w:color="auto"/>
        <w:right w:val="none" w:sz="0" w:space="0" w:color="auto"/>
      </w:divBdr>
    </w:div>
    <w:div w:id="1461729516">
      <w:bodyDiv w:val="1"/>
      <w:marLeft w:val="0"/>
      <w:marRight w:val="0"/>
      <w:marTop w:val="0"/>
      <w:marBottom w:val="0"/>
      <w:divBdr>
        <w:top w:val="none" w:sz="0" w:space="0" w:color="auto"/>
        <w:left w:val="none" w:sz="0" w:space="0" w:color="auto"/>
        <w:bottom w:val="none" w:sz="0" w:space="0" w:color="auto"/>
        <w:right w:val="none" w:sz="0" w:space="0" w:color="auto"/>
      </w:divBdr>
    </w:div>
    <w:div w:id="1512181672">
      <w:bodyDiv w:val="1"/>
      <w:marLeft w:val="0"/>
      <w:marRight w:val="0"/>
      <w:marTop w:val="0"/>
      <w:marBottom w:val="0"/>
      <w:divBdr>
        <w:top w:val="none" w:sz="0" w:space="0" w:color="auto"/>
        <w:left w:val="none" w:sz="0" w:space="0" w:color="auto"/>
        <w:bottom w:val="none" w:sz="0" w:space="0" w:color="auto"/>
        <w:right w:val="none" w:sz="0" w:space="0" w:color="auto"/>
      </w:divBdr>
    </w:div>
    <w:div w:id="1540317930">
      <w:bodyDiv w:val="1"/>
      <w:marLeft w:val="0"/>
      <w:marRight w:val="0"/>
      <w:marTop w:val="0"/>
      <w:marBottom w:val="0"/>
      <w:divBdr>
        <w:top w:val="none" w:sz="0" w:space="0" w:color="auto"/>
        <w:left w:val="none" w:sz="0" w:space="0" w:color="auto"/>
        <w:bottom w:val="none" w:sz="0" w:space="0" w:color="auto"/>
        <w:right w:val="none" w:sz="0" w:space="0" w:color="auto"/>
      </w:divBdr>
    </w:div>
    <w:div w:id="1547176080">
      <w:bodyDiv w:val="1"/>
      <w:marLeft w:val="0"/>
      <w:marRight w:val="0"/>
      <w:marTop w:val="0"/>
      <w:marBottom w:val="0"/>
      <w:divBdr>
        <w:top w:val="none" w:sz="0" w:space="0" w:color="auto"/>
        <w:left w:val="none" w:sz="0" w:space="0" w:color="auto"/>
        <w:bottom w:val="none" w:sz="0" w:space="0" w:color="auto"/>
        <w:right w:val="none" w:sz="0" w:space="0" w:color="auto"/>
      </w:divBdr>
    </w:div>
    <w:div w:id="1547185157">
      <w:bodyDiv w:val="1"/>
      <w:marLeft w:val="0"/>
      <w:marRight w:val="0"/>
      <w:marTop w:val="0"/>
      <w:marBottom w:val="0"/>
      <w:divBdr>
        <w:top w:val="none" w:sz="0" w:space="0" w:color="auto"/>
        <w:left w:val="none" w:sz="0" w:space="0" w:color="auto"/>
        <w:bottom w:val="none" w:sz="0" w:space="0" w:color="auto"/>
        <w:right w:val="none" w:sz="0" w:space="0" w:color="auto"/>
      </w:divBdr>
    </w:div>
    <w:div w:id="1565682341">
      <w:bodyDiv w:val="1"/>
      <w:marLeft w:val="0"/>
      <w:marRight w:val="0"/>
      <w:marTop w:val="0"/>
      <w:marBottom w:val="0"/>
      <w:divBdr>
        <w:top w:val="none" w:sz="0" w:space="0" w:color="auto"/>
        <w:left w:val="none" w:sz="0" w:space="0" w:color="auto"/>
        <w:bottom w:val="none" w:sz="0" w:space="0" w:color="auto"/>
        <w:right w:val="none" w:sz="0" w:space="0" w:color="auto"/>
      </w:divBdr>
      <w:divsChild>
        <w:div w:id="80374001">
          <w:marLeft w:val="0"/>
          <w:marRight w:val="0"/>
          <w:marTop w:val="0"/>
          <w:marBottom w:val="0"/>
          <w:divBdr>
            <w:top w:val="none" w:sz="0" w:space="0" w:color="auto"/>
            <w:left w:val="none" w:sz="0" w:space="0" w:color="auto"/>
            <w:bottom w:val="none" w:sz="0" w:space="0" w:color="auto"/>
            <w:right w:val="none" w:sz="0" w:space="0" w:color="auto"/>
          </w:divBdr>
          <w:divsChild>
            <w:div w:id="102147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9403">
      <w:bodyDiv w:val="1"/>
      <w:marLeft w:val="0"/>
      <w:marRight w:val="0"/>
      <w:marTop w:val="0"/>
      <w:marBottom w:val="0"/>
      <w:divBdr>
        <w:top w:val="none" w:sz="0" w:space="0" w:color="auto"/>
        <w:left w:val="none" w:sz="0" w:space="0" w:color="auto"/>
        <w:bottom w:val="none" w:sz="0" w:space="0" w:color="auto"/>
        <w:right w:val="none" w:sz="0" w:space="0" w:color="auto"/>
      </w:divBdr>
    </w:div>
    <w:div w:id="1603101252">
      <w:bodyDiv w:val="1"/>
      <w:marLeft w:val="0"/>
      <w:marRight w:val="0"/>
      <w:marTop w:val="0"/>
      <w:marBottom w:val="0"/>
      <w:divBdr>
        <w:top w:val="none" w:sz="0" w:space="0" w:color="auto"/>
        <w:left w:val="none" w:sz="0" w:space="0" w:color="auto"/>
        <w:bottom w:val="none" w:sz="0" w:space="0" w:color="auto"/>
        <w:right w:val="none" w:sz="0" w:space="0" w:color="auto"/>
      </w:divBdr>
    </w:div>
    <w:div w:id="1650014335">
      <w:bodyDiv w:val="1"/>
      <w:marLeft w:val="0"/>
      <w:marRight w:val="0"/>
      <w:marTop w:val="0"/>
      <w:marBottom w:val="0"/>
      <w:divBdr>
        <w:top w:val="none" w:sz="0" w:space="0" w:color="auto"/>
        <w:left w:val="none" w:sz="0" w:space="0" w:color="auto"/>
        <w:bottom w:val="none" w:sz="0" w:space="0" w:color="auto"/>
        <w:right w:val="none" w:sz="0" w:space="0" w:color="auto"/>
      </w:divBdr>
    </w:div>
    <w:div w:id="1652833443">
      <w:bodyDiv w:val="1"/>
      <w:marLeft w:val="0"/>
      <w:marRight w:val="0"/>
      <w:marTop w:val="0"/>
      <w:marBottom w:val="0"/>
      <w:divBdr>
        <w:top w:val="none" w:sz="0" w:space="0" w:color="auto"/>
        <w:left w:val="none" w:sz="0" w:space="0" w:color="auto"/>
        <w:bottom w:val="none" w:sz="0" w:space="0" w:color="auto"/>
        <w:right w:val="none" w:sz="0" w:space="0" w:color="auto"/>
      </w:divBdr>
    </w:div>
    <w:div w:id="1704936351">
      <w:bodyDiv w:val="1"/>
      <w:marLeft w:val="0"/>
      <w:marRight w:val="0"/>
      <w:marTop w:val="0"/>
      <w:marBottom w:val="0"/>
      <w:divBdr>
        <w:top w:val="none" w:sz="0" w:space="0" w:color="auto"/>
        <w:left w:val="none" w:sz="0" w:space="0" w:color="auto"/>
        <w:bottom w:val="none" w:sz="0" w:space="0" w:color="auto"/>
        <w:right w:val="none" w:sz="0" w:space="0" w:color="auto"/>
      </w:divBdr>
    </w:div>
    <w:div w:id="1705595420">
      <w:bodyDiv w:val="1"/>
      <w:marLeft w:val="0"/>
      <w:marRight w:val="0"/>
      <w:marTop w:val="0"/>
      <w:marBottom w:val="0"/>
      <w:divBdr>
        <w:top w:val="none" w:sz="0" w:space="0" w:color="auto"/>
        <w:left w:val="none" w:sz="0" w:space="0" w:color="auto"/>
        <w:bottom w:val="none" w:sz="0" w:space="0" w:color="auto"/>
        <w:right w:val="none" w:sz="0" w:space="0" w:color="auto"/>
      </w:divBdr>
    </w:div>
    <w:div w:id="1720666625">
      <w:bodyDiv w:val="1"/>
      <w:marLeft w:val="0"/>
      <w:marRight w:val="0"/>
      <w:marTop w:val="0"/>
      <w:marBottom w:val="0"/>
      <w:divBdr>
        <w:top w:val="none" w:sz="0" w:space="0" w:color="auto"/>
        <w:left w:val="none" w:sz="0" w:space="0" w:color="auto"/>
        <w:bottom w:val="none" w:sz="0" w:space="0" w:color="auto"/>
        <w:right w:val="none" w:sz="0" w:space="0" w:color="auto"/>
      </w:divBdr>
    </w:div>
    <w:div w:id="1792623852">
      <w:bodyDiv w:val="1"/>
      <w:marLeft w:val="0"/>
      <w:marRight w:val="0"/>
      <w:marTop w:val="0"/>
      <w:marBottom w:val="0"/>
      <w:divBdr>
        <w:top w:val="none" w:sz="0" w:space="0" w:color="auto"/>
        <w:left w:val="none" w:sz="0" w:space="0" w:color="auto"/>
        <w:bottom w:val="none" w:sz="0" w:space="0" w:color="auto"/>
        <w:right w:val="none" w:sz="0" w:space="0" w:color="auto"/>
      </w:divBdr>
    </w:div>
    <w:div w:id="1829831031">
      <w:bodyDiv w:val="1"/>
      <w:marLeft w:val="0"/>
      <w:marRight w:val="0"/>
      <w:marTop w:val="0"/>
      <w:marBottom w:val="0"/>
      <w:divBdr>
        <w:top w:val="none" w:sz="0" w:space="0" w:color="auto"/>
        <w:left w:val="none" w:sz="0" w:space="0" w:color="auto"/>
        <w:bottom w:val="none" w:sz="0" w:space="0" w:color="auto"/>
        <w:right w:val="none" w:sz="0" w:space="0" w:color="auto"/>
      </w:divBdr>
    </w:div>
    <w:div w:id="1848401049">
      <w:bodyDiv w:val="1"/>
      <w:marLeft w:val="0"/>
      <w:marRight w:val="0"/>
      <w:marTop w:val="0"/>
      <w:marBottom w:val="0"/>
      <w:divBdr>
        <w:top w:val="none" w:sz="0" w:space="0" w:color="auto"/>
        <w:left w:val="none" w:sz="0" w:space="0" w:color="auto"/>
        <w:bottom w:val="none" w:sz="0" w:space="0" w:color="auto"/>
        <w:right w:val="none" w:sz="0" w:space="0" w:color="auto"/>
      </w:divBdr>
      <w:divsChild>
        <w:div w:id="1833570391">
          <w:marLeft w:val="0"/>
          <w:marRight w:val="0"/>
          <w:marTop w:val="0"/>
          <w:marBottom w:val="0"/>
          <w:divBdr>
            <w:top w:val="none" w:sz="0" w:space="0" w:color="auto"/>
            <w:left w:val="none" w:sz="0" w:space="0" w:color="auto"/>
            <w:bottom w:val="none" w:sz="0" w:space="0" w:color="auto"/>
            <w:right w:val="none" w:sz="0" w:space="0" w:color="auto"/>
          </w:divBdr>
          <w:divsChild>
            <w:div w:id="26392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865274">
      <w:bodyDiv w:val="1"/>
      <w:marLeft w:val="0"/>
      <w:marRight w:val="0"/>
      <w:marTop w:val="0"/>
      <w:marBottom w:val="0"/>
      <w:divBdr>
        <w:top w:val="none" w:sz="0" w:space="0" w:color="auto"/>
        <w:left w:val="none" w:sz="0" w:space="0" w:color="auto"/>
        <w:bottom w:val="none" w:sz="0" w:space="0" w:color="auto"/>
        <w:right w:val="none" w:sz="0" w:space="0" w:color="auto"/>
      </w:divBdr>
    </w:div>
    <w:div w:id="2002194902">
      <w:bodyDiv w:val="1"/>
      <w:marLeft w:val="0"/>
      <w:marRight w:val="0"/>
      <w:marTop w:val="0"/>
      <w:marBottom w:val="0"/>
      <w:divBdr>
        <w:top w:val="none" w:sz="0" w:space="0" w:color="auto"/>
        <w:left w:val="none" w:sz="0" w:space="0" w:color="auto"/>
        <w:bottom w:val="none" w:sz="0" w:space="0" w:color="auto"/>
        <w:right w:val="none" w:sz="0" w:space="0" w:color="auto"/>
      </w:divBdr>
    </w:div>
    <w:div w:id="212645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F50BB79D3254A9C861361ED82F0FEE9"/>
        <w:category>
          <w:name w:val="General"/>
          <w:gallery w:val="placeholder"/>
        </w:category>
        <w:types>
          <w:type w:val="bbPlcHdr"/>
        </w:types>
        <w:behaviors>
          <w:behavior w:val="content"/>
        </w:behaviors>
        <w:guid w:val="{518F8C0A-142F-4AA0-B964-4ED703F8E39B}"/>
      </w:docPartPr>
      <w:docPartBody>
        <w:p w:rsidR="00FA6D2C" w:rsidRDefault="00653589">
          <w:pPr>
            <w:pStyle w:val="BF50BB79D3254A9C861361ED82F0FEE9"/>
          </w:pPr>
          <w:r w:rsidRPr="00900136">
            <w:t>[Subtitle]</w:t>
          </w:r>
        </w:p>
      </w:docPartBody>
    </w:docPart>
    <w:docPart>
      <w:docPartPr>
        <w:name w:val="814ECFABC0784436B32010B0C5FD7021"/>
        <w:category>
          <w:name w:val="General"/>
          <w:gallery w:val="placeholder"/>
        </w:category>
        <w:types>
          <w:type w:val="bbPlcHdr"/>
        </w:types>
        <w:behaviors>
          <w:behavior w:val="content"/>
        </w:behaviors>
        <w:guid w:val="{C57FD265-95BC-4716-A116-4603D8CE49C4}"/>
      </w:docPartPr>
      <w:docPartBody>
        <w:p w:rsidR="00D877D1" w:rsidRDefault="00653589">
          <w:pPr>
            <w:pStyle w:val="814ECFABC0784436B32010B0C5FD7021"/>
          </w:pPr>
          <w:r w:rsidRPr="001F67F4">
            <w:t>[Document Title]</w:t>
          </w:r>
        </w:p>
      </w:docPartBody>
    </w:docPart>
    <w:docPart>
      <w:docPartPr>
        <w:name w:val="50500D11913A44E7A7E01527C555783F"/>
        <w:category>
          <w:name w:val="General"/>
          <w:gallery w:val="placeholder"/>
        </w:category>
        <w:types>
          <w:type w:val="bbPlcHdr"/>
        </w:types>
        <w:behaviors>
          <w:behavior w:val="content"/>
        </w:behaviors>
        <w:guid w:val="{7992A4EC-82AD-42ED-8CA3-F5D0ED7F60C0}"/>
      </w:docPartPr>
      <w:docPartBody>
        <w:p w:rsidR="00D877D1" w:rsidRDefault="00653589">
          <w:pPr>
            <w:pStyle w:val="50500D11913A44E7A7E01527C555783F"/>
          </w:pPr>
          <w:r w:rsidRPr="001F67F4">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589"/>
    <w:rsid w:val="00027158"/>
    <w:rsid w:val="00052463"/>
    <w:rsid w:val="0005554D"/>
    <w:rsid w:val="00070684"/>
    <w:rsid w:val="00077603"/>
    <w:rsid w:val="00086811"/>
    <w:rsid w:val="000A38F9"/>
    <w:rsid w:val="000B16BB"/>
    <w:rsid w:val="000C18D9"/>
    <w:rsid w:val="00107664"/>
    <w:rsid w:val="00133E14"/>
    <w:rsid w:val="00135091"/>
    <w:rsid w:val="001534D3"/>
    <w:rsid w:val="001539AB"/>
    <w:rsid w:val="001745F4"/>
    <w:rsid w:val="001B0C6B"/>
    <w:rsid w:val="001B3338"/>
    <w:rsid w:val="001B6130"/>
    <w:rsid w:val="001E0F07"/>
    <w:rsid w:val="001E12B9"/>
    <w:rsid w:val="001E658F"/>
    <w:rsid w:val="002236F5"/>
    <w:rsid w:val="00235F8D"/>
    <w:rsid w:val="00245F78"/>
    <w:rsid w:val="00247C47"/>
    <w:rsid w:val="00254B2F"/>
    <w:rsid w:val="00266357"/>
    <w:rsid w:val="002E08B6"/>
    <w:rsid w:val="00306248"/>
    <w:rsid w:val="00313F43"/>
    <w:rsid w:val="0032067B"/>
    <w:rsid w:val="003266A8"/>
    <w:rsid w:val="003433BA"/>
    <w:rsid w:val="00391EB2"/>
    <w:rsid w:val="00392505"/>
    <w:rsid w:val="0041272A"/>
    <w:rsid w:val="00432D71"/>
    <w:rsid w:val="00436FFA"/>
    <w:rsid w:val="00440535"/>
    <w:rsid w:val="00455287"/>
    <w:rsid w:val="00473857"/>
    <w:rsid w:val="00473B0D"/>
    <w:rsid w:val="00474ED1"/>
    <w:rsid w:val="00482297"/>
    <w:rsid w:val="00487D17"/>
    <w:rsid w:val="0049732A"/>
    <w:rsid w:val="004D071F"/>
    <w:rsid w:val="004E07AD"/>
    <w:rsid w:val="004E5AEA"/>
    <w:rsid w:val="0052362A"/>
    <w:rsid w:val="00566349"/>
    <w:rsid w:val="00571FC3"/>
    <w:rsid w:val="00574880"/>
    <w:rsid w:val="00576518"/>
    <w:rsid w:val="005A3D6E"/>
    <w:rsid w:val="005B2BDB"/>
    <w:rsid w:val="005B3F98"/>
    <w:rsid w:val="005D47F5"/>
    <w:rsid w:val="00612CBD"/>
    <w:rsid w:val="006264F2"/>
    <w:rsid w:val="00653589"/>
    <w:rsid w:val="00666D08"/>
    <w:rsid w:val="00670557"/>
    <w:rsid w:val="00677FC7"/>
    <w:rsid w:val="00686184"/>
    <w:rsid w:val="00687900"/>
    <w:rsid w:val="006C31D6"/>
    <w:rsid w:val="00746E89"/>
    <w:rsid w:val="007A19DE"/>
    <w:rsid w:val="007A3336"/>
    <w:rsid w:val="007A7572"/>
    <w:rsid w:val="007B0082"/>
    <w:rsid w:val="007C14AC"/>
    <w:rsid w:val="007C6B07"/>
    <w:rsid w:val="007E64B7"/>
    <w:rsid w:val="007F0473"/>
    <w:rsid w:val="00800E68"/>
    <w:rsid w:val="00801A46"/>
    <w:rsid w:val="00837227"/>
    <w:rsid w:val="00843D8C"/>
    <w:rsid w:val="00866124"/>
    <w:rsid w:val="0089563B"/>
    <w:rsid w:val="008D32FC"/>
    <w:rsid w:val="00914418"/>
    <w:rsid w:val="009145F7"/>
    <w:rsid w:val="00923662"/>
    <w:rsid w:val="0094040D"/>
    <w:rsid w:val="00943E95"/>
    <w:rsid w:val="00950118"/>
    <w:rsid w:val="0096626D"/>
    <w:rsid w:val="00984933"/>
    <w:rsid w:val="009A18D2"/>
    <w:rsid w:val="009B11CE"/>
    <w:rsid w:val="009D04C8"/>
    <w:rsid w:val="009D30B5"/>
    <w:rsid w:val="009D569B"/>
    <w:rsid w:val="009E1C0D"/>
    <w:rsid w:val="00A008A6"/>
    <w:rsid w:val="00A32F42"/>
    <w:rsid w:val="00A82163"/>
    <w:rsid w:val="00A877B9"/>
    <w:rsid w:val="00A877CC"/>
    <w:rsid w:val="00A925B5"/>
    <w:rsid w:val="00A93398"/>
    <w:rsid w:val="00A96678"/>
    <w:rsid w:val="00AC7406"/>
    <w:rsid w:val="00AD53F0"/>
    <w:rsid w:val="00B32602"/>
    <w:rsid w:val="00B355FF"/>
    <w:rsid w:val="00B42531"/>
    <w:rsid w:val="00B7018A"/>
    <w:rsid w:val="00B8060F"/>
    <w:rsid w:val="00B957A6"/>
    <w:rsid w:val="00BA288C"/>
    <w:rsid w:val="00BB4305"/>
    <w:rsid w:val="00BE5F43"/>
    <w:rsid w:val="00BF5FA2"/>
    <w:rsid w:val="00BF6054"/>
    <w:rsid w:val="00C124CA"/>
    <w:rsid w:val="00C15165"/>
    <w:rsid w:val="00C16283"/>
    <w:rsid w:val="00C26A68"/>
    <w:rsid w:val="00C3085E"/>
    <w:rsid w:val="00C35E58"/>
    <w:rsid w:val="00C46DCF"/>
    <w:rsid w:val="00C507E9"/>
    <w:rsid w:val="00C51487"/>
    <w:rsid w:val="00C72950"/>
    <w:rsid w:val="00C8049D"/>
    <w:rsid w:val="00C864B5"/>
    <w:rsid w:val="00C91A03"/>
    <w:rsid w:val="00C92E14"/>
    <w:rsid w:val="00CB1F97"/>
    <w:rsid w:val="00CC4969"/>
    <w:rsid w:val="00CC6F51"/>
    <w:rsid w:val="00CD64FA"/>
    <w:rsid w:val="00CD6BBA"/>
    <w:rsid w:val="00CE5C39"/>
    <w:rsid w:val="00D17BF9"/>
    <w:rsid w:val="00D21DFB"/>
    <w:rsid w:val="00D71BBD"/>
    <w:rsid w:val="00D80506"/>
    <w:rsid w:val="00D877D1"/>
    <w:rsid w:val="00DC18FB"/>
    <w:rsid w:val="00DC513E"/>
    <w:rsid w:val="00DC5FA1"/>
    <w:rsid w:val="00DD5B25"/>
    <w:rsid w:val="00DD607E"/>
    <w:rsid w:val="00DE01D1"/>
    <w:rsid w:val="00E11367"/>
    <w:rsid w:val="00E1296F"/>
    <w:rsid w:val="00E130DF"/>
    <w:rsid w:val="00E1411E"/>
    <w:rsid w:val="00E15D53"/>
    <w:rsid w:val="00E21118"/>
    <w:rsid w:val="00E2709B"/>
    <w:rsid w:val="00E30E1B"/>
    <w:rsid w:val="00E60386"/>
    <w:rsid w:val="00E648FD"/>
    <w:rsid w:val="00E83958"/>
    <w:rsid w:val="00EE52B6"/>
    <w:rsid w:val="00F06EB8"/>
    <w:rsid w:val="00F45B18"/>
    <w:rsid w:val="00F61190"/>
    <w:rsid w:val="00F831E0"/>
    <w:rsid w:val="00FA6D2C"/>
    <w:rsid w:val="00FB2B50"/>
    <w:rsid w:val="00FE56F2"/>
    <w:rsid w:val="00FF340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F50BB79D3254A9C861361ED82F0FEE9">
    <w:name w:val="BF50BB79D3254A9C861361ED82F0FEE9"/>
  </w:style>
  <w:style w:type="paragraph" w:customStyle="1" w:styleId="814ECFABC0784436B32010B0C5FD7021">
    <w:name w:val="814ECFABC0784436B32010B0C5FD7021"/>
    <w:pPr>
      <w:spacing w:line="278" w:lineRule="auto"/>
    </w:pPr>
    <w:rPr>
      <w:kern w:val="2"/>
      <w:sz w:val="24"/>
      <w:szCs w:val="24"/>
      <w14:ligatures w14:val="standardContextual"/>
    </w:rPr>
  </w:style>
  <w:style w:type="paragraph" w:customStyle="1" w:styleId="50500D11913A44E7A7E01527C555783F">
    <w:name w:val="50500D11913A44E7A7E01527C555783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Tansgrid">
      <a:dk1>
        <a:sysClr val="windowText" lastClr="000000"/>
      </a:dk1>
      <a:lt1>
        <a:sysClr val="window" lastClr="FFFFFF"/>
      </a:lt1>
      <a:dk2>
        <a:srgbClr val="BFBFBF"/>
      </a:dk2>
      <a:lt2>
        <a:srgbClr val="0066BE"/>
      </a:lt2>
      <a:accent1>
        <a:srgbClr val="47A843"/>
      </a:accent1>
      <a:accent2>
        <a:srgbClr val="B2D83A"/>
      </a:accent2>
      <a:accent3>
        <a:srgbClr val="0066BE"/>
      </a:accent3>
      <a:accent4>
        <a:srgbClr val="EC7023"/>
      </a:accent4>
      <a:accent5>
        <a:srgbClr val="DF2A2A"/>
      </a:accent5>
      <a:accent6>
        <a:srgbClr val="4D3097"/>
      </a:accent6>
      <a:hlink>
        <a:srgbClr val="0066BE"/>
      </a:hlink>
      <a:folHlink>
        <a:srgbClr val="4D309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Internal Use</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56616616C767A4185C4362395BD7D20" ma:contentTypeVersion="25" ma:contentTypeDescription="Create a new document." ma:contentTypeScope="" ma:versionID="9f49c892db4fb8d4f1742bc68007f737">
  <xsd:schema xmlns:xsd="http://www.w3.org/2001/XMLSchema" xmlns:xs="http://www.w3.org/2001/XMLSchema" xmlns:p="http://schemas.microsoft.com/office/2006/metadata/properties" xmlns:ns1="http://schemas.microsoft.com/sharepoint/v3" xmlns:ns2="51803fd8-2797-45f4-976b-9b9751077307" xmlns:ns3="9fec8c67-e477-4ca6-b494-d120115183a6" targetNamespace="http://schemas.microsoft.com/office/2006/metadata/properties" ma:root="true" ma:fieldsID="0eb5dc23a2cd2de3f10e621a08ada06d" ns1:_="" ns2:_="" ns3:_="">
    <xsd:import namespace="http://schemas.microsoft.com/sharepoint/v3"/>
    <xsd:import namespace="51803fd8-2797-45f4-976b-9b9751077307"/>
    <xsd:import namespace="9fec8c67-e477-4ca6-b494-d120115183a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DocumentID" minOccurs="0"/>
                <xsd:element ref="ns2:VersionStatus" minOccurs="0"/>
                <xsd:element ref="ns2:Packaged"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803fd8-2797-45f4-976b-9b97510773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4158398-96c9-4633-9a72-0655c0871b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DocumentID" ma:index="24" nillable="true" ma:displayName="Document ID" ma:description="Unique document identifier" ma:format="Dropdown" ma:internalName="DocumentID">
      <xsd:simpleType>
        <xsd:restriction base="dms:Text">
          <xsd:maxLength value="255"/>
        </xsd:restriction>
      </xsd:simpleType>
    </xsd:element>
    <xsd:element name="VersionStatus" ma:index="25" nillable="true" ma:displayName="Version Status" ma:default="Unsure" ma:format="Dropdown" ma:internalName="VersionStatus">
      <xsd:simpleType>
        <xsd:restriction base="dms:Choice">
          <xsd:enumeration value="Final"/>
          <xsd:enumeration value="Draft"/>
          <xsd:enumeration value="Unsure"/>
          <xsd:enumeration value="For Information"/>
        </xsd:restriction>
      </xsd:simpleType>
    </xsd:element>
    <xsd:element name="Packaged" ma:index="26" nillable="true" ma:displayName="Packaged" ma:default="Not Packaged" ma:description="Officially packaged for external consumption/submission." ma:format="Dropdown" ma:internalName="Packaged">
      <xsd:simpleType>
        <xsd:restriction base="dms:Choice">
          <xsd:enumeration value="Re-opener"/>
          <xsd:enumeration value="Ex-Post Review"/>
          <xsd:enumeration value="Not Packaged"/>
        </xsd:restriction>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ec8c67-e477-4ca6-b494-d120115183a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3743b75-5daf-4055-8883-2dd51d2eef94}" ma:internalName="TaxCatchAll" ma:showField="CatchAllData" ma:web="9fec8c67-e477-4ca6-b494-d120115183a6">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stXMLNode xmlns="Transgrid_V1">
  <SecurityClassifications/>
  <Foote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wp14"&gt;&lt;w:body&gt;&lt;w:sdt&gt;&lt;w:sdtPr&gt;&lt;w:id w:val="1779824237"/&gt;&lt;w:placeholder&gt;&lt;w:docPart w:val="7C08A98A97C14D51809A7C52B166DC93"/&gt;&lt;/w:placeholder&gt;&lt;w:showingPlcHdr/&gt;&lt;w:docPartList&gt;&lt;w:docPartGallery w:val="Custom 5"/&gt;&lt;w:docPartCategory w:val="General"/&gt;&lt;/w:docPartList&gt;&lt;/w:sdtPr&gt;&lt;w:sdtContent&gt;&lt;w:p w14:paraId="765DB97E" w14:textId="77777777" w:rsidR="00215545" w:rsidRDefault="00215545" w:rsidP="00452611"&gt;&lt;w:pPr&gt;&lt;w:pStyle w:val="SecurityClassificationFooter"/&gt;&lt;w:framePr w:wrap="around"/&gt;&lt;/w:pPr&gt;&lt;w:r w:rsidRPr="00215545"&gt;&lt;w:t&gt;Choose a security classification&lt;/w:t&gt;&lt;/w:r&gt;&lt;/w:p&gt;&lt;/w:sdtContent&gt;&lt;/w:sdt&gt;&lt;w:p w:rsidR="00000000" w:rsidRDefault="00000000"/&gt;&lt;w:sectPr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wp14"&gt;&lt;w:docParts&gt;&lt;w:docPart&gt;&lt;w:docPartPr&gt;&lt;w:name w:val="7C08A98A97C14D51809A7C52B166DC93"/&gt;&lt;w:category&gt;&lt;w:name w:val="General"/&gt;&lt;w:gallery w:val="placeholder"/&gt;&lt;/w:category&gt;&lt;w:types&gt;&lt;w:type w:val="bbPlcHdr"/&gt;&lt;/w:types&gt;&lt;w:behaviors&gt;&lt;w:behavior w:val="content"/&gt;&lt;/w:behaviors&gt;&lt;w:guid w:val="{9242ACB8-79A4-403E-9D52-03AFCF32F027}"/&gt;&lt;/w:docPartPr&gt;&lt;w:docPartBody&gt;&lt;w:p w:rsidR="00000000" w:rsidRDefault="00665975"&gt;&lt;w:pPr&gt;&lt;w:pStyle w:val="7C08A98A97C14D51809A7C52B166DC93"/&gt;&lt;/w:pPr&gt;&lt;w:r w:rsidRPr="00D93B1C"&gt;&lt;w:t xml:space="preserve"&gt;Choose a &lt;/w:t&gt;&lt;/w:r&gt;&lt;w:r&gt;&lt;w:t&gt;security classification&lt;/w:t&gt;&lt;/w:r&gt;&lt;/w:p&gt;&lt;/w:docPartBody&gt;&lt;/w:docPart&gt;&lt;/w:docParts&gt;&lt;/w:glossaryDocument&gt;&lt;/pkg:xmlData&gt;&lt;/pkg:part&gt;&lt;pkg:part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w:cstheme="minorBidi"/&gt;&lt;w:color w:val="000000" w:themeColor="text1"/&gt;&lt;w:sz w:val="21"/&gt;&lt;w:szCs w:val="21"/&gt;&lt;w:lang w:val="en-AU" w:eastAsia="en-US" w:bidi="ar-SA"/&gt;&lt;/w:rPr&gt;&lt;/w:rPrDefault&gt;&lt;w:pPrDefault&gt;&lt;w:pPr&gt;&lt;w:spacing w:before="120" w:after="120" w:line="276" w:lineRule="auto"/&gt;&lt;/w:pPr&gt;&lt;/w:pPrDefault&gt;&lt;/w:docDefaults&gt;&lt;w:style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w:customStyle="1" w:styleId="SecurityClassificationFooter"&gt;&lt;w:name w:val="Security Classification Footer"/&gt;&lt;w:basedOn w:val="Normal"/&gt;&lt;w:uiPriority w:val="99"/&gt;&lt;w:qFormat/&gt;&lt;w:pPr&gt;&lt;w:framePr w:w="4536" w:wrap="around" w:hAnchor="page" w:xAlign="center" w:y="13382"/&gt;&lt;w:jc w:val="center"/&gt;&lt;/w:pPr&gt;&lt;w:rPr&gt;&lt;w:b/&gt;&lt;w:caps/&gt;&lt;/w:rPr&gt;&lt;/w:style&gt;&lt;/w:styles&gt;&lt;/pkg:xmlData&gt;&lt;/pkg:part&gt;&lt;pkg:part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w:customStyle="1" w:styleId="7C08A98A97C14D51809A7C52B166DC93"&gt;&lt;w:name w:val="7C08A98A97C14D51809A7C52B166DC93"/&gt;&lt;/w:style&gt;&lt;/w:styles&gt;&lt;/pkg:xmlData&gt;&lt;/pkg:part&gt;&lt;pkg:part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w16sdtdh"/&gt;&lt;/pkg:xmlData&gt;&lt;/pkg:part&gt;&lt;/pkg:package&gt;
</Footer>
</TestXMLNod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stXMLNode xmlns="Transgrid">
  <SecurityClassifications>&lt;?xml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wp14"&gt;&lt;w:body&gt;&lt;w:p w14:paraId="1B143F8F" w14:textId="77777777" w:rsidR="00DD477A" w:rsidRPr="007644E3" w:rsidRDefault="00DD477A" w:rsidP="00452611"&gt;&lt;w:pPr&gt;&lt;w:pStyle w:val="SecurityClassification"/&gt;&lt;w:framePr w:wrap="around"/&gt;&lt;/w:pPr&gt;&lt;w:sdt&gt;&lt;w:sdtPr&gt;&lt;w:id w:val="1512266054"/&gt;&lt;w:placeholder&gt;&lt;w:docPart w:val="8550C3217AC040EDA5B8BBA85CB42764"/&gt;&lt;/w:placeholder&gt;&lt;w:showingPlcHdr/&gt;&lt;w:docPartList&gt;&lt;w:docPartGallery w:val="Custom 5"/&gt;&lt;w:docPartCategory w:val="General"/&gt;&lt;/w:docPartList&gt;&lt;/w:sdtPr&gt;&lt;w:sdtContent&gt;&lt;w:r w:rsidRPr="007644E3"&gt;&lt;w:t xml:space="preserve"&gt;Choose a &lt;/w:t&gt;&lt;/w:r&gt;&lt;w:r w:rsidR="00AC50FD"&gt;&lt;w:t&gt;security classification&lt;/w:t&gt;&lt;/w:r&gt;&lt;w:r w:rsidRPr="007644E3"&gt;&lt;w:t&gt;.&lt;/w:t&gt;&lt;/w:r&gt;&lt;/w:sdtContent&gt;&lt;/w:sdt&gt;&lt;/w:p&gt;&lt;w:p w:rsidR="00000000" w:rsidRDefault="0064237F"/&gt;&lt;w:sectPr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Id="rId3" Type="http://schemas.openxmlformats.org/officeDocument/2006/relationships/glossaryDocument" Target="glossary/document.xml"/&gt;&lt;Relationship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wp14"&gt;&lt;w:docParts&gt;&lt;w:docPart&gt;&lt;w:docPartPr&gt;&lt;w:name w:val="8550C3217AC040EDA5B8BBA85CB42764"/&gt;&lt;w:category&gt;&lt;w:name w:val="General"/&gt;&lt;w:gallery w:val="placeholder"/&gt;&lt;/w:category&gt;&lt;w:types&gt;&lt;w:type w:val="bbPlcHdr"/&gt;&lt;/w:types&gt;&lt;w:behaviors&gt;&lt;w:behavior w:val="content"/&gt;&lt;/w:behaviors&gt;&lt;w:guid w:val="{85B4A3F6-D021-4FC1-B03B-146C62A20A81}"/&gt;&lt;/w:docPartPr&gt;&lt;w:docPartBody&gt;&lt;w:p w:rsidR="00000000" w:rsidRDefault="00470C35"&gt;&lt;w:pPr&gt;&lt;w:pStyle w:val="8550C3217AC040EDA5B8BBA85CB42764"/&gt;&lt;/w:pPr&gt;&lt;w:r w:rsidRPr="00404200"&gt;&lt;w:rPr&gt;&lt;w:rStyle w:val="PlaceholderText"/&gt;&lt;/w:rPr&gt;&lt;w:t&gt;Choose a building block.&lt;/w:t&gt;&lt;/w:r&gt;&lt;/w:p&gt;&lt;/w:docPartBody&gt;&lt;/w:docPart&gt;&lt;/w:docParts&gt;&lt;/w:glossaryDocument&gt;&lt;/pkg:xmlData&gt;&lt;/pkg:part&gt;&lt;pkg:part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wp14"&gt;&lt;w:abstractNum w:abstractNumId="0" w15:restartNumberingAfterBreak="0"&gt;&lt;w:nsid w:val="FFFFFF7C"/&gt;&lt;w:multiLevelType w:val="singleLevel"/&gt;&lt;w:tmpl w:val="F53CAA0C"/&gt;&lt;w:lvl w:ilvl="0"&gt;&lt;w:start w:val="1"/&gt;&lt;w:numFmt w:val="decimal"/&gt;&lt;w:lvlText w:val="%1."/&gt;&lt;w:lvlJc w:val="left"/&gt;&lt;w:pPr&gt;&lt;w:tabs&gt;&lt;w:tab w:val="num" w:pos="1492"/&gt;&lt;/w:tabs&gt;&lt;w:ind w:left="1492" w:hanging="360"/&gt;&lt;/w:pPr&gt;&lt;/w:lvl&gt;&lt;/w:abstractNum&gt;&lt;w:abstractNum w:abstractNumId="1" w15:restartNumberingAfterBreak="0"&gt;&lt;w:nsid w:val="FFFFFF7D"/&gt;&lt;w:multiLevelType w:val="singleLevel"/&gt;&lt;w:tmpl w:val="2446EA58"/&gt;&lt;w:lvl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w:val="3A02AF0E"/&gt;&lt;w:lvl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w:val="FD345C4A"/&gt;&lt;w:lvl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w:val="10B08DF0"/&gt;&lt;w:lvl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w:val="620853A4"/&gt;&lt;w:lvl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w:val="13DAD480"/&gt;&lt;w:lvl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w:val="F0A0CBA6"/&gt;&lt;w:lvl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w:val="733AFE5E"/&gt;&lt;w:lvl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w:val="C1A8F73A"/&gt;&lt;w:lvl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w:val="077A7984"/&gt;&lt;w:multiLevelType w:val="multilevel"/&gt;&lt;w:tmpl w:val="AC34B2E4"/&gt;&lt;w:lvl w:ilvl="0"&gt;&lt;w:start w:val="1"/&gt;&lt;w:numFmt w:val="bullet"/&gt;&lt;w:lvlText w:val=""/&gt;&lt;w:lvlJc w:val="left"/&gt;&lt;w:pPr&gt;&lt;w:ind w:left="360" w:hanging="360"/&gt;&lt;/w:pPr&gt;&lt;w:rPr&gt;&lt;w:rFonts w:ascii="Symbol" w:hAnsi="Symbol" w:hint="default"/&gt;&lt;w:color w:val="auto"/&gt;&lt;/w:rPr&gt;&lt;/w:lvl&gt;&lt;w:lvl w:ilvl="1"&gt;&lt;w:start w:val="1"/&gt;&lt;w:numFmt w:val="bullet"/&gt;&lt;w:lvlText w:val="–"/&gt;&lt;w:lvlJc w:val="left"/&gt;&lt;w:pPr&gt;&lt;w:ind w:left="567" w:hanging="283"/&gt;&lt;/w:pPr&gt;&lt;w:rPr&gt;&lt;w:rFonts w:ascii="Arial Narrow" w:hAnsi="Arial Narrow" w:hint="default"/&gt;&lt;w:color w:val="47A843" w:themeColor="accent1"/&gt;&lt;/w:rPr&gt;&lt;/w:lvl&gt;&lt;w:lvl w:ilvl="2"&gt;&lt;w:start w:val="1"/&gt;&lt;w:numFmt w:val="bullet"/&gt;&lt;w:lvlText w:val="o"/&gt;&lt;w:lvlJc w:val="left"/&gt;&lt;w:pPr&gt;&lt;w:ind w:left="851" w:hanging="284"/&gt;&lt;/w:pPr&gt;&lt;w:rPr&gt;&lt;w:rFonts w:ascii="Courier New" w:hAnsi="Courier New" w:hint="default"/&gt;&lt;w:color w:val="47A843" w:themeColor="accent1"/&gt;&lt;/w:rPr&gt;&lt;/w:lvl&gt;&lt;w:lvl w:ilvl="3"&gt;&lt;w:start w:val="1"/&gt;&lt;w:numFmt w:val="bullet"/&gt;&lt;w:lvlText w:val="•"/&gt;&lt;w:lvlJc w:val="left"/&gt;&lt;w:pPr&gt;&lt;w:ind w:left="1134" w:hanging="283"/&gt;&lt;/w:pPr&gt;&lt;w:rPr&gt;&lt;w:rFonts w:ascii="Arial" w:hAnsi="Arial" w:hint="default"/&gt;&lt;w:color w:val="47A843" w:themeColor="accent1"/&gt;&lt;/w:rPr&gt;&lt;/w:lvl&gt;&lt;w:lvl w:ilvl="4"&gt;&lt;w:start w:val="1"/&gt;&lt;w:numFmt w:val="bullet"/&gt;&lt;w:lvlText w:val="–"/&gt;&lt;w:lvlJc w:val="left"/&gt;&lt;w:pPr&gt;&lt;w:ind w:left="1418" w:hanging="284"/&gt;&lt;/w:pPr&gt;&lt;w:rPr&gt;&lt;w:rFonts w:ascii="Arial Narrow" w:hAnsi="Arial Narrow" w:hint="default"/&gt;&lt;w:color w:val="47A843" w:themeColor="accent1"/&gt;&lt;/w:rPr&gt;&lt;/w:lvl&gt;&lt;w:lvl w:ilvl="5"&gt;&lt;w:start w:val="1"/&gt;&lt;w:numFmt w:val="lowerRoman"/&gt;&lt;w:lvlText w:val="(%6)"/&gt;&lt;w:lvlJc w:val="left"/&gt;&lt;w:pPr&gt;&lt;w:ind w:left="2505" w:hanging="363"/&gt;&lt;/w:pPr&gt;&lt;w:rPr&gt;&lt;w:rFonts w:hint="default"/&gt;&lt;/w:rPr&gt;&lt;/w:lvl&gt;&lt;w:lvl w:ilvl="6"&gt;&lt;w:start w:val="1"/&gt;&lt;w:numFmt w:val="decimal"/&gt;&lt;w:lvlText w:val="%7."/&gt;&lt;w:lvlJc w:val="left"/&gt;&lt;w:pPr&gt;&lt;w:ind w:left="2862" w:hanging="363"/&gt;&lt;/w:pPr&gt;&lt;w:rPr&gt;&lt;w:rFonts w:hint="default"/&gt;&lt;/w:rPr&gt;&lt;/w:lvl&gt;&lt;w:lvl w:ilvl="7"&gt;&lt;w:start w:val="1"/&gt;&lt;w:numFmt w:val="lowerLetter"/&gt;&lt;w:lvlText w:val="%8."/&gt;&lt;w:lvlJc w:val="left"/&gt;&lt;w:pPr&gt;&lt;w:ind w:left="3219" w:hanging="363"/&gt;&lt;/w:pPr&gt;&lt;w:rPr&gt;&lt;w:rFonts w:hint="default"/&gt;&lt;/w:rPr&gt;&lt;/w:lvl&gt;&lt;w:lvl w:ilvl="8"&gt;&lt;w:start w:val="1"/&gt;&lt;w:numFmt w:val="lowerRoman"/&gt;&lt;w:lvlText w:val="%9."/&gt;&lt;w:lvlJc w:val="left"/&gt;&lt;w:pPr&gt;&lt;w:ind w:left="3576" w:hanging="363"/&gt;&lt;/w:pPr&gt;&lt;w:rPr&gt;&lt;w:rFonts w:hint="default"/&gt;&lt;/w:rPr&gt;&lt;/w:lvl&gt;&lt;/w:abstractNum&gt;&lt;w:abstractNum w:abstractNumId="11" w15:restartNumberingAfterBreak="0"&gt;&lt;w:nsid w:val="09EF5357"/&gt;&lt;w:multiLevelType w:val="hybridMultilevel"/&gt;&lt;w:tmpl w:val="BF20B962"/&gt;&lt;w:lvl w:ilvl="0" w:tplc="EC003CF4"&gt;&lt;w:start w:val="1"/&gt;&lt;w:numFmt w:val="bullet"/&gt;&lt;w:lvlText w:val="–"/&gt;&lt;w:lvlJc w:val="left"/&gt;&lt;w:pPr&gt;&lt;w:ind w:left="658" w:hanging="360"/&gt;&lt;/w:pPr&gt;&lt;w:rPr&gt;&lt;w:rFonts w:ascii="Arial" w:hAnsi="Arial" w:hint="default"/&gt;&lt;w:color w:val="auto"/&gt;&lt;/w:rPr&gt;&lt;/w:lvl&gt;&lt;w:lvl w:ilvl="1" w:tplc="0C090003" w:tentative="1"&gt;&lt;w:start w:val="1"/&gt;&lt;w:numFmt w:val="bullet"/&gt;&lt;w:lvlText w:val="o"/&gt;&lt;w:lvlJc w:val="left"/&gt;&lt;w:pPr&gt;&lt;w:ind w:left="1610" w:hanging="360"/&gt;&lt;/w:pPr&gt;&lt;w:rPr&gt;&lt;w:rFonts w:ascii="Courier New" w:hAnsi="Courier New" w:cs="Courier New" w:hint="default"/&gt;&lt;/w:rPr&gt;&lt;/w:lvl&gt;&lt;w:lvl w:ilvl="2" w:tplc="0C090005" w:tentative="1"&gt;&lt;w:start w:val="1"/&gt;&lt;w:numFmt w:val="bullet"/&gt;&lt;w:lvlText w:val=""/&gt;&lt;w:lvlJc w:val="left"/&gt;&lt;w:pPr&gt;&lt;w:ind w:left="2330" w:hanging="360"/&gt;&lt;/w:pPr&gt;&lt;w:rPr&gt;&lt;w:rFonts w:ascii="Wingdings" w:hAnsi="Wingdings" w:hint="default"/&gt;&lt;/w:rPr&gt;&lt;/w:lvl&gt;&lt;w:lvl w:ilvl="3" w:tplc="0C090001" w:tentative="1"&gt;&lt;w:start w:val="1"/&gt;&lt;w:numFmt w:val="bullet"/&gt;&lt;w:lvlText w:val=""/&gt;&lt;w:lvlJc w:val="left"/&gt;&lt;w:pPr&gt;&lt;w:ind w:left="3050" w:hanging="360"/&gt;&lt;/w:pPr&gt;&lt;w:rPr&gt;&lt;w:rFonts w:ascii="Symbol" w:hAnsi="Symbol" w:hint="default"/&gt;&lt;/w:rPr&gt;&lt;/w:lvl&gt;&lt;w:lvl w:ilvl="4" w:tplc="0C090003" w:tentative="1"&gt;&lt;w:start w:val="1"/&gt;&lt;w:numFmt w:val="bullet"/&gt;&lt;w:lvlText w:val="o"/&gt;&lt;w:lvlJc w:val="left"/&gt;&lt;w:pPr&gt;&lt;w:ind w:left="3770" w:hanging="360"/&gt;&lt;/w:pPr&gt;&lt;w:rPr&gt;&lt;w:rFonts w:ascii="Courier New" w:hAnsi="Courier New" w:cs="Courier New" w:hint="default"/&gt;&lt;/w:rPr&gt;&lt;/w:lvl&gt;&lt;w:lvl w:ilvl="5" w:tplc="0C090005" w:tentative="1"&gt;&lt;w:start w:val="1"/&gt;&lt;w:numFmt w:val="bullet"/&gt;&lt;w:lvlText w:val=""/&gt;&lt;w:lvlJc w:val="left"/&gt;&lt;w:pPr&gt;&lt;w:ind w:left="4490" w:hanging="360"/&gt;&lt;/w:pPr&gt;&lt;w:rPr&gt;&lt;w:rFonts w:ascii="Wingdings" w:hAnsi="Wingdings" w:hint="default"/&gt;&lt;/w:rPr&gt;&lt;/w:lvl&gt;&lt;w:lvl w:ilvl="6" w:tplc="0C090001" w:tentative="1"&gt;&lt;w:start w:val="1"/&gt;&lt;w:numFmt w:val="bullet"/&gt;&lt;w:lvlText w:val=""/&gt;&lt;w:lvlJc w:val="left"/&gt;&lt;w:pPr&gt;&lt;w:ind w:left="5210" w:hanging="360"/&gt;&lt;/w:pPr&gt;&lt;w:rPr&gt;&lt;w:rFonts w:ascii="Symbol" w:hAnsi="Symbol" w:hint="default"/&gt;&lt;/w:rPr&gt;&lt;/w:lvl&gt;&lt;w:lvl w:ilvl="7" w:tplc="0C090003" w:tentative="1"&gt;&lt;w:start w:val="1"/&gt;&lt;w:numFmt w:val="bullet"/&gt;&lt;w:lvlText w:val="o"/&gt;&lt;w:lvlJc w:val="left"/&gt;&lt;w:pPr&gt;&lt;w:ind w:left="5930" w:hanging="360"/&gt;&lt;/w:pPr&gt;&lt;w:rPr&gt;&lt;w:rFonts w:ascii="Courier New" w:hAnsi="Courier New" w:cs="Courier New" w:hint="default"/&gt;&lt;/w:rPr&gt;&lt;/w:lvl&gt;&lt;w:lvl w:ilvl="8" w:tplc="0C090005" w:tentative="1"&gt;&lt;w:start w:val="1"/&gt;&lt;w:numFmt w:val="bullet"/&gt;&lt;w:lvlText w:val=""/&gt;&lt;w:lvlJc w:val="left"/&gt;&lt;w:pPr&gt;&lt;w:ind w:left="6650" w:hanging="360"/&gt;&lt;/w:pPr&gt;&lt;w:rPr&gt;&lt;w:rFonts w:ascii="Wingdings" w:hAnsi="Wingdings" w:hint="default"/&gt;&lt;/w:rPr&gt;&lt;/w:lvl&gt;&lt;/w:abstractNum&gt;&lt;w:abstractNum w:abstractNumId="12" w15:restartNumberingAfterBreak="0"&gt;&lt;w:nsid w:val="0BE03FAE"/&gt;&lt;w:multiLevelType w:val="multilevel"/&gt;&lt;w:tmpl w:val="F85EE3A6"/&gt;&lt;w:styleLink w:val="111111"/&gt;&lt;w:lvl w:ilvl="0"&gt;&lt;w:start w:val="1"/&gt;&lt;w:numFmt w:val="decimal"/&gt;&lt;w:pStyle w:val="Heading1"/&gt;&lt;w:suff w:val="space"/&gt;&lt;w:lvlText w:val="%1."/&gt;&lt;w:lvlJc w:val="left"/&gt;&lt;w:pPr&gt;&lt;w:ind w:left="0" w:firstLine="0"/&gt;&lt;/w:pPr&gt;&lt;w:rPr&gt;&lt;w:rFonts w:hint="default"/&gt;&lt;/w:rPr&gt;&lt;/w:lvl&gt;&lt;w:lvl w:ilvl="1"&gt;&lt;w:start w:val="1"/&gt;&lt;w:numFmt w:val="decimal"/&gt;&lt;w:pStyle w:val="Heading2"/&gt;&lt;w:suff w:val="space"/&gt;&lt;w:lvlText w:val="%1.%2."/&gt;&lt;w:lvlJc w:val="left"/&gt;&lt;w:pPr&gt;&lt;w:ind w:left="0" w:firstLine="0"/&gt;&lt;/w:pPr&gt;&lt;w:rPr&gt;&lt;w:rFonts w:hint="default"/&gt;&lt;/w:rPr&gt;&lt;/w:lvl&gt;&lt;w:lvl w:ilvl="2"&gt;&lt;w:start w:val="1"/&gt;&lt;w:numFmt w:val="decimal"/&gt;&lt;w:pStyle w:val="Heading3"/&gt;&lt;w:suff w:val="space"/&gt;&lt;w:lvlText w:val="%1.%2.%3."/&gt;&lt;w:lvlJc w:val="left"/&gt;&lt;w:pPr&gt;&lt;w:ind w:left="0" w:firstLine="0"/&gt;&lt;/w:pPr&gt;&lt;w:rPr&gt;&lt;w:rFonts w:hint="default"/&gt;&lt;/w:rPr&gt;&lt;/w:lvl&gt;&lt;w:lvl w:ilvl="3"&gt;&lt;w:start w:val="1"/&gt;&lt;w:numFmt w:val="decimal"/&gt;&lt;w:pStyle w:val="Heading4"/&gt;&lt;w:suff w:val="space"/&gt;&lt;w:lvlText w:val="%1.%2.%3.%4."/&gt;&lt;w:lvlJc w:val="left"/&gt;&lt;w:pPr&gt;&lt;w:ind w:left="0" w:firstLine="0"/&gt;&lt;/w:pPr&gt;&lt;w:rPr&gt;&lt;w:rFonts w:hint="default"/&gt;&lt;/w:rPr&gt;&lt;/w:lvl&gt;&lt;w:lvl w:ilvl="4"&gt;&lt;w:start w:val="1"/&gt;&lt;w:numFmt w:val="decimal"/&gt;&lt;w:pStyle w:val="Heading5"/&gt;&lt;w:suff w:val="space"/&gt;&lt;w:lvlText w:val="%1.%2.%3.%4.%5."/&gt;&lt;w:lvlJc w:val="left"/&gt;&lt;w:pPr&gt;&lt;w:ind w:left="0" w:firstLine="0"/&gt;&lt;/w:pPr&gt;&lt;w:rPr&gt;&lt;w:rFonts w:hint="default"/&gt;&lt;/w:rPr&gt;&lt;/w:lvl&gt;&lt;w:lvl w:ilvl="5"&gt;&lt;w:start w:val="1"/&gt;&lt;w:numFmt w:val="decimal"/&gt;&lt;w:pStyle w:val="Heading6"/&gt;&lt;w:suff w:val="space"/&gt;&lt;w:lvlText w:val="%1.%2.%3.%4.%5.%6."/&gt;&lt;w:lvlJc w:val="left"/&gt;&lt;w:pPr&gt;&lt;w:ind w:left="0" w:firstLine="0"/&gt;&lt;/w:pPr&gt;&lt;w:rPr&gt;&lt;w:rFonts w:hint="default"/&gt;&lt;/w:rPr&gt;&lt;/w:lvl&gt;&lt;w:lvl w:ilvl="6"&gt;&lt;w:start w:val="1"/&gt;&lt;w:numFmt w:val="decimal"/&gt;&lt;w:pStyle w:val="Heading7"/&gt;&lt;w:suff w:val="space"/&gt;&lt;w:lvlText w:val="%1.%2.%3.%4.%5.%6.%7."/&gt;&lt;w:lvlJc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w:abstractNumId="13" w15:restartNumberingAfterBreak="0"&gt;&lt;w:nsid w:val="0C956729"/&gt;&lt;w:multiLevelType w:val="hybridMultilevel"/&gt;&lt;w:tmpl w:val="F57A0046"/&gt;&lt;w:lvl w:ilvl="0" w:tplc="005049CE"&gt;&lt;w:start w:val="1"/&gt;&lt;w:numFmt w:val="bullet"/&gt;&lt;w:lvlText w:val=""/&gt;&lt;w:lvlJc w:val="left"/&gt;&lt;w:pPr&gt;&lt;w:ind w:left="360" w:hanging="360"/&gt;&lt;/w:pPr&gt;&lt;w:rPr&gt;&lt;w:rFonts w:ascii="Symbol" w:hAnsi="Symbol" w:hint="default"/&gt;&lt;w:color w:val="auto"/&gt;&lt;/w:rPr&gt;&lt;/w:lvl&gt;&lt;w:lvl w:ilvl="1" w:tplc="0C090003" w:tentative="1"&gt;&lt;w:start w:val="1"/&gt;&lt;w:numFmt w:val="bullet"/&gt;&lt;w:lvlText w:val="o"/&gt;&lt;w:lvlJc w:val="left"/&gt;&lt;w:pPr&gt;&lt;w:ind w:left="1080" w:hanging="360"/&gt;&lt;/w:pPr&gt;&lt;w:rPr&gt;&lt;w:rFonts w:ascii="Courier New" w:hAnsi="Courier New" w:cs="Courier New" w:hint="default"/&gt;&lt;/w:rPr&gt;&lt;/w:lvl&gt;&lt;w:lvl w:ilvl="2" w:tplc="0C090005" w:tentative="1"&gt;&lt;w:start w:val="1"/&gt;&lt;w:numFmt w:val="bullet"/&gt;&lt;w:lvlText w:val=""/&gt;&lt;w:lvlJc w:val="left"/&gt;&lt;w:pPr&gt;&lt;w:ind w:left="1800" w:hanging="360"/&gt;&lt;/w:pPr&gt;&lt;w:rPr&gt;&lt;w:rFonts w:ascii="Wingdings" w:hAnsi="Wingdings" w:hint="default"/&gt;&lt;/w:rPr&gt;&lt;/w:lvl&gt;&lt;w:lvl w:ilvl="3" w:tplc="0C090001" w:tentative="1"&gt;&lt;w:start w:val="1"/&gt;&lt;w:numFmt w:val="bullet"/&gt;&lt;w:lvlText w:val=""/&gt;&lt;w:lvlJc w:val="left"/&gt;&lt;w:pPr&gt;&lt;w:ind w:left="2520" w:hanging="360"/&gt;&lt;/w:pPr&gt;&lt;w:rPr&gt;&lt;w:rFonts w:ascii="Symbol" w:hAnsi="Symbol" w:hint="default"/&gt;&lt;/w:rPr&gt;&lt;/w:lvl&gt;&lt;w:lvl w:ilvl="4" w:tplc="0C090003" w:tentative="1"&gt;&lt;w:start w:val="1"/&gt;&lt;w:numFmt w:val="bullet"/&gt;&lt;w:lvlText w:val="o"/&gt;&lt;w:lvlJc w:val="left"/&gt;&lt;w:pPr&gt;&lt;w:ind w:left="3240" w:hanging="360"/&gt;&lt;/w:pPr&gt;&lt;w:rPr&gt;&lt;w:rFonts w:ascii="Courier New" w:hAnsi="Courier New" w:cs="Courier New" w:hint="default"/&gt;&lt;/w:rPr&gt;&lt;/w:lvl&gt;&lt;w:lvl w:ilvl="5" w:tplc="0C090005" w:tentative="1"&gt;&lt;w:start w:val="1"/&gt;&lt;w:numFmt w:val="bullet"/&gt;&lt;w:lvlText w:val=""/&gt;&lt;w:lvlJc w:val="left"/&gt;&lt;w:pPr&gt;&lt;w:ind w:left="3960" w:hanging="360"/&gt;&lt;/w:pPr&gt;&lt;w:rPr&gt;&lt;w:rFonts w:ascii="Wingdings" w:hAnsi="Wingdings" w:hint="default"/&gt;&lt;/w:rPr&gt;&lt;/w:lvl&gt;&lt;w:lvl w:ilvl="6" w:tplc="0C090001" w:tentative="1"&gt;&lt;w:start w:val="1"/&gt;&lt;w:numFmt w:val="bullet"/&gt;&lt;w:lvlText w:val=""/&gt;&lt;w:lvlJc w:val="left"/&gt;&lt;w:pPr&gt;&lt;w:ind w:left="4680" w:hanging="360"/&gt;&lt;/w:pPr&gt;&lt;w:rPr&gt;&lt;w:rFonts w:ascii="Symbol" w:hAnsi="Symbol" w:hint="default"/&gt;&lt;/w:rPr&gt;&lt;/w:lvl&gt;&lt;w:lvl w:ilvl="7" w:tplc="0C090003" w:tentative="1"&gt;&lt;w:start w:val="1"/&gt;&lt;w:numFmt w:val="bullet"/&gt;&lt;w:lvlText w:val="o"/&gt;&lt;w:lvlJc w:val="left"/&gt;&lt;w:pPr&gt;&lt;w:ind w:left="5400" w:hanging="360"/&gt;&lt;/w:pPr&gt;&lt;w:rPr&gt;&lt;w:rFonts w:ascii="Courier New" w:hAnsi="Courier New" w:cs="Courier New" w:hint="default"/&gt;&lt;/w:rPr&gt;&lt;/w:lvl&gt;&lt;w:lvl w:ilvl="8" w:tplc="0C090005" w:tentative="1"&gt;&lt;w:start w:val="1"/&gt;&lt;w:numFmt w:val="bullet"/&gt;&lt;w:lvlText w:val=""/&gt;&lt;w:lvlJc w:val="left"/&gt;&lt;w:pPr&gt;&lt;w:ind w:left="6120" w:hanging="360"/&gt;&lt;/w:pPr&gt;&lt;w:rPr&gt;&lt;w:rFonts w:ascii="Wingdings" w:hAnsi="Wingdings" w:hint="default"/&gt;&lt;/w:rPr&gt;&lt;/w:lvl&gt;&lt;/w:abstractNum&gt;&lt;w:abstractNum w:abstractNumId="14" w15:restartNumberingAfterBreak="0"&gt;&lt;w:nsid w:val="17F8486B"/&gt;&lt;w:multiLevelType w:val="multilevel"/&gt;&lt;w:tmpl w:val="557CE42A"/&gt;&lt;w:styleLink w:val="AlphaLists"/&gt;&lt;w:lvl w:ilvl="0"&gt;&lt;w:start w:val="1"/&gt;&lt;w:numFmt w:val="lowerLetter"/&gt;&lt;w:pStyle w:val="AlphaList"/&gt;&lt;w:lvlText w:val="(%1)"/&gt;&lt;w:lvlJc w:val="left"/&gt;&lt;w:pPr&gt;&lt;w:ind w:left="360" w:hanging="360"/&gt;&lt;/w:pPr&gt;&lt;w:rPr&gt;&lt;w:rFonts w:hint="default"/&gt;&lt;/w:rPr&gt;&lt;/w:lvl&gt;&lt;w:lvl w:ilvl="1"&gt;&lt;w:start w:val="1"/&gt;&lt;w:numFmt w:val="lowerRoman"/&gt;&lt;w:pStyle w:val="AlphaList2"/&gt;&lt;w:lvlText w:val="(%2)"/&gt;&lt;w:lvlJc w:val="left"/&gt;&lt;w:pPr&gt;&lt;w:ind w:left="720" w:hanging="360"/&gt;&lt;/w:pPr&gt;&lt;w:rPr&gt;&lt;w:rFonts w:hint="default"/&gt;&lt;/w:rPr&gt;&lt;/w:lvl&gt;&lt;w:lvl w:ilvl="2"&gt;&lt;w:start w:val="1"/&gt;&lt;w:numFmt w:val="upperLetter"/&gt;&lt;w:pStyle w:val="AlphaList3"/&gt;&lt;w:lvlText w:val="(%3)"/&gt;&lt;w:lvlJc w:val="left"/&gt;&lt;w:pPr&gt;&lt;w:ind w:left="1080" w:hanging="360"/&gt;&lt;/w:pPr&gt;&lt;w:rPr&gt;&lt;w:rFonts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w:val="19440A1E"/&gt;&lt;w:multiLevelType w:val="multilevel"/&gt;&lt;w:tmpl w:val="2B9A0558"/&gt;&lt;w:styleLink w:val="AppendixList"/&gt;&lt;w:lvl w:ilvl="0"&gt;&lt;w:start w:val="1"/&gt;&lt;w:numFmt w:val="upperLetter"/&gt;&lt;w:pStyle w:val="Heading8"/&gt;&lt;w:suff w:val="space"/&gt;&lt;w:lvlText w:val="Appendix %1"/&gt;&lt;w:lvlJc w:val="left"/&gt;&lt;w:pPr&gt;&lt;w:ind w:left="0" w:firstLine="0"/&gt;&lt;/w:pPr&gt;&lt;w:rPr&gt;&lt;w:rFonts w:hint="default"/&gt;&lt;/w:rPr&gt;&lt;/w:lvl&gt;&lt;w:lvl w:ilvl="1"&gt;&lt;w:start w:val="1"/&gt;&lt;w:numFmt w:val="decimal"/&gt;&lt;w:pStyle w:val="Heading9"/&gt;&lt;w:suff w:val="space"/&gt;&lt;w:lvlText w:val="%1.%2"/&gt;&lt;w:lvlJc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w:abstractNumId="16" w15:restartNumberingAfterBreak="0"&gt;&lt;w:nsid w:val="2558568B"/&gt;&lt;w:multiLevelType w:val="multilevel"/&gt;&lt;w:tmpl w:val="BB0C53AC"/&gt;&lt;w:styleLink w:val="1ai"/&gt;&lt;w:lvl w:ilvl="0"&gt;&lt;w:start w:val="1"/&gt;&lt;w:numFmt w:val="decimal"/&gt;&lt;w:pStyle w:val="ListNumber"/&gt;&lt;w:lvlText w:val="%1."/&gt;&lt;w:lvlJc w:val="left"/&gt;&lt;w:pPr&gt;&lt;w:ind w:left="360" w:hanging="360"/&gt;&lt;/w:pPr&gt;&lt;w:rPr&gt;&lt;w:rFonts w:hint="default"/&gt;&lt;/w:rPr&gt;&lt;/w:lvl&gt;&lt;w:lvl w:ilvl="1"&gt;&lt;w:start w:val="1"/&gt;&lt;w:numFmt w:val="lowerLetter"/&gt;&lt;w:pStyle w:val="ListNumber2"/&gt;&lt;w:lvlText w:val="%2."/&gt;&lt;w:lvlJc w:val="left"/&gt;&lt;w:pPr&gt;&lt;w:ind w:left="720" w:hanging="360"/&gt;&lt;/w:pPr&gt;&lt;w:rPr&gt;&lt;w:rFonts w:hint="default"/&gt;&lt;/w:rPr&gt;&lt;/w:lvl&gt;&lt;w:lvl w:ilvl="2"&gt;&lt;w:start w:val="1"/&gt;&lt;w:numFmt w:val="lowerRoman"/&gt;&lt;w:pStyle w:val="ListNumber3"/&gt;&lt;w:lvlText w:val="%3."/&gt;&lt;w:lvlJc w:val="left"/&gt;&lt;w:pPr&gt;&lt;w:ind w:left="1080" w:hanging="360"/&gt;&lt;/w:pPr&gt;&lt;w:rPr&gt;&lt;w:rFonts w:hint="default"/&gt;&lt;/w:rPr&gt;&lt;/w:lvl&gt;&lt;w:lvl w:ilvl="3"&gt;&lt;w:start w:val="1"/&gt;&lt;w:numFmt w:val="upperLetter"/&gt;&lt;w:pStyle w:val="ListNumber4"/&gt;&lt;w:lvlText w:val="%4."/&gt;&lt;w:lvlJc w:val="left"/&gt;&lt;w:pPr&gt;&lt;w:ind w:left="1440" w:hanging="360"/&gt;&lt;/w:pPr&gt;&lt;w:rPr&gt;&lt;w:rFonts w:hint="default"/&gt;&lt;/w:rPr&gt;&lt;/w:lvl&gt;&lt;w:lvl w:ilvl="4"&gt;&lt;w:start w:val="1"/&gt;&lt;w:numFmt w:val="upperRoman"/&gt;&lt;w:pStyle w:val="ListNumber5"/&gt;&lt;w:lvlText w:val="(%5)"/&gt;&lt;w:lvlJc w:val="left"/&gt;&lt;w:pPr&gt;&lt;w:ind w:left="1800" w:hanging="360"/&gt;&lt;/w:pPr&gt;&lt;w:rPr&gt;&lt;w:rFonts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w:abstractNumId="17" w15:restartNumberingAfterBreak="0"&gt;&lt;w:nsid w:val="353451E3"/&gt;&lt;w:multiLevelType w:val="multilevel"/&gt;&lt;w:tmpl w:val="5A3629FA"/&gt;&lt;w:lvl w:ilvl="0"&gt;&lt;w:start w:val="1"/&gt;&lt;w:numFmt w:val="none"/&gt;&lt;w:suff w:val="nothing"/&gt;&lt;w:lvlText w:val="%1"/&gt;&lt;w:lvlJc w:val="left"/&gt;&lt;w:pPr&gt;&lt;w:ind w:left="0" w:firstLine="0"/&gt;&lt;/w:pPr&gt;&lt;w:rPr&gt;&lt;w:rFonts w:hint="default"/&gt;&lt;/w:rPr&gt;&lt;/w:lvl&gt;&lt;w:lvl w:ilvl="1"&gt;&lt;w:start w:val="1"/&gt;&lt;w:numFmt w:val="decimal"/&gt;&lt;w:lvlText w:val="%2."/&gt;&lt;w:lvlJc w:val="left"/&gt;&lt;w:pPr&gt;&lt;w:ind w:left="357" w:hanging="357"/&gt;&lt;/w:pPr&gt;&lt;w:rPr&gt;&lt;w:rFonts w:hint="default"/&gt;&lt;/w:rPr&gt;&lt;/w:lvl&gt;&lt;w:lvl w:ilvl="2"&gt;&lt;w:start w:val="1"/&gt;&lt;w:numFmt w:val="lowerLetter"/&gt;&lt;w:lvlText w:val="%3."/&gt;&lt;w:lvlJc w:val="left"/&gt;&lt;w:pPr&gt;&lt;w:ind w:left="720" w:hanging="363"/&gt;&lt;/w:pPr&gt;&lt;w:rPr&gt;&lt;w:rFonts w:hint="default"/&gt;&lt;/w:rPr&gt;&lt;/w:lvl&gt;&lt;w:lvl w:ilvl="3"&gt;&lt;w:start w:val="1"/&gt;&lt;w:numFmt w:val="lowerRoman"/&gt;&lt;w:lvlText w:val="%4."/&gt;&lt;w:lvlJc w:val="left"/&gt;&lt;w:pPr&gt;&lt;w:ind w:left="1077" w:hanging="357"/&gt;&lt;/w:pPr&gt;&lt;w:rPr&gt;&lt;w:rFonts w:hint="default"/&gt;&lt;/w:rPr&gt;&lt;/w:lvl&gt;&lt;w:lvl w:ilvl="4"&gt;&lt;w:start w:val="1"/&gt;&lt;w:numFmt w:val="upperLetter"/&gt;&lt;w:lvlText w:val="%5."/&gt;&lt;w:lvlJc w:val="left"/&gt;&lt;w:pPr&gt;&lt;w:ind w:left="1440" w:hanging="363"/&gt;&lt;/w:pPr&gt;&lt;w:rPr&gt;&lt;w:rFonts w:hint="default"/&gt;&lt;/w:rPr&gt;&lt;/w:lvl&gt;&lt;w:lvl w:ilvl="5"&gt;&lt;w:start w:val="1"/&gt;&lt;w:numFmt w:val="upperRoman"/&gt;&lt;w:lvlText w:val="%6."/&gt;&lt;w:lvlJc w:val="left"/&gt;&lt;w:pPr&gt;&lt;w:ind w:left="1797" w:hanging="357"/&gt;&lt;/w:pPr&gt;&lt;w:rPr&gt;&lt;w:rFonts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w:abstractNumId="18" w15:restartNumberingAfterBreak="0"&gt;&lt;w:nsid w:val="38084BC9"/&gt;&lt;w:multiLevelType w:val="multilevel"/&gt;&lt;w:tmpl w:val="ADA2A320"/&gt;&lt;w:lvl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w:val="lowerRoman"/&gt;&lt;w:lvlText w:val="%3."/&gt;&lt;w:lvlJc w:val="left"/&gt;&lt;w:pPr&gt;&lt;w:ind w:left="851" w:hanging="284"/&gt;&lt;/w:pPr&gt;&lt;w:rPr&gt;&lt;w:rFonts w:hint="default"/&gt;&lt;/w:rPr&gt;&lt;/w:lvl&gt;&lt;w:lvl w:ilvl="3"&gt;&lt;w:start w:val="1"/&gt;&lt;w:numFmt w:val="upperLetter"/&gt;&lt;w:lvlText w:val="%4."/&gt;&lt;w:lvlJc w:val="left"/&gt;&lt;w:pPr&gt;&lt;w:ind w:left="1134" w:hanging="283"/&gt;&lt;/w:pPr&gt;&lt;w:rPr&gt;&lt;w:rFonts w:hint="default"/&gt;&lt;/w:rPr&gt;&lt;/w:lvl&gt;&lt;w:lvl w:ilvl="4"&gt;&lt;w:start w:val="1"/&gt;&lt;w:numFmt w:val="upperRoman"/&gt;&lt;w:lvlText w:val="%5."/&gt;&lt;w:lvlJc w:val="left"/&gt;&lt;w:pPr&gt;&lt;w:ind w:left="1418" w:hanging="284"/&gt;&lt;/w:pPr&gt;&lt;w:rPr&gt;&lt;w:rFonts w:hint="default"/&gt;&lt;/w:rPr&gt;&lt;/w:lvl&gt;&lt;w:lvl w:ilvl="5"&gt;&lt;w:start w:val="1"/&gt;&lt;w:numFmt w:val="lowerRoman"/&gt;&lt;w:lvlText w:val="%6."/&gt;&lt;w:lvlJc w:val="right"/&gt;&lt;w:pPr&gt;&lt;w:ind w:left="4320" w:hanging="180"/&gt;&lt;/w:pPr&gt;&lt;w:rPr&gt;&lt;w:rFonts w:hint="default"/&gt;&lt;/w:rPr&gt;&lt;/w:lvl&gt;&lt;w:lvl w:ilvl="6"&gt;&lt;w:start w:val="1"/&gt;&lt;w:numFmt w:val="decimal"/&gt;&lt;w:lvlText w:val="%7."/&gt;&lt;w:lvlJc w:val="left"/&gt;&lt;w:pPr&gt;&lt;w:ind w:left="5040" w:hanging="360"/&gt;&lt;/w:pPr&gt;&lt;w:rPr&gt;&lt;w:rFonts w:hint="default"/&gt;&lt;/w:rPr&gt;&lt;/w:lvl&gt;&lt;w:lvl w:ilvl="7"&gt;&lt;w:start w:val="1"/&gt;&lt;w:numFmt w:val="lowerLetter"/&gt;&lt;w:lvlText w:val="%8."/&gt;&lt;w:lvlJc w:val="left"/&gt;&lt;w:pPr&gt;&lt;w:ind w:left="5760" w:hanging="360"/&gt;&lt;/w:pPr&gt;&lt;w:rPr&gt;&lt;w:rFonts w:hint="default"/&gt;&lt;/w:rPr&gt;&lt;/w:lvl&gt;&lt;w:lvl w:ilvl="8"&gt;&lt;w:start w:val="1"/&gt;&lt;w:numFmt w:val="lowerRoman"/&gt;&lt;w:lvlText w:val="%9."/&gt;&lt;w:lvlJc w:val="right"/&gt;&lt;w:pPr&gt;&lt;w:ind w:left="6480" w:hanging="180"/&gt;&lt;/w:pPr&gt;&lt;w:rPr&gt;&lt;w:rFonts w:hint="default"/&gt;&lt;/w:rPr&gt;&lt;/w:lvl&gt;&lt;/w:abstractNum&gt;&lt;w:abstractNum w:abstractNumId="19" w15:restartNumberingAfterBreak="0"&gt;&lt;w:nsid w:val="3CA41282"/&gt;&lt;w:multiLevelType w:val="multilevel"/&gt;&lt;w:tmpl w:val="07FE127E"/&gt;&lt;w:styleLink w:val="BulletList"/&gt;&lt;w:lvl w:ilvl="0"&gt;&lt;w:start w:val="1"/&gt;&lt;w:numFmt w:val="bullet"/&gt;&lt;w:pStyle w:val="ListBullet"/&gt;&lt;w:lvlText w:val=""/&gt;&lt;w:lvlJc w:val="left"/&gt;&lt;w:pPr&gt;&lt;w:tabs&gt;&lt;w:tab w:val="num" w:pos="360"/&gt;&lt;/w:tabs&gt;&lt;w:ind w:left="360" w:hanging="360"/&gt;&lt;/w:pPr&gt;&lt;w:rPr&gt;&lt;w:rFonts w:ascii="Symbol" w:hAnsi="Symbol" w:hint="default"/&gt;&lt;/w:rPr&gt;&lt;/w:lvl&gt;&lt;w:lvl w:ilvl="1"&gt;&lt;w:start w:val="1"/&gt;&lt;w:numFmt w:val="bullet"/&gt;&lt;w:pStyle w:val="ListBullet2"/&gt;&lt;w:lvlText w:val="-"/&gt;&lt;w:lvlJc w:val="left"/&gt;&lt;w:pPr&gt;&lt;w:ind w:left="720" w:hanging="363"/&gt;&lt;/w:pPr&gt;&lt;w:rPr&gt;&lt;w:rFonts w:ascii="Arial" w:hAnsi="Arial" w:hint="default"/&gt;&lt;/w:rPr&gt;&lt;/w:lvl&gt;&lt;w:lvl w:ilvl="2"&gt;&lt;w:start w:val="1"/&gt;&lt;w:numFmt w:val="bullet"/&gt;&lt;w:pStyle w:val="ListBullet3"/&gt;&lt;w:lvlText w:val="&amp;gt;"/&gt;&lt;w:lvlJc w:val="left"/&gt;&lt;w:pPr&gt;&lt;w:tabs&gt;&lt;w:tab w:val="num" w:pos="720"/&gt;&lt;/w:tabs&gt;&lt;w:ind w:left="1077" w:hanging="357"/&gt;&lt;/w:pPr&gt;&lt;w:rPr&gt;&lt;w:rFonts w:ascii="Arial" w:hAnsi="Arial" w:hint="default"/&gt;&lt;/w:rPr&gt;&lt;/w:lvl&gt;&lt;w:lvl w:ilvl="3"&gt;&lt;w:start w:val="1"/&gt;&lt;w:numFmt w:val="bullet"/&gt;&lt;w:pStyle w:val="ListBullet4"/&gt;&lt;w:lvlText w:val="○"/&gt;&lt;w:lvlJc w:val="left"/&gt;&lt;w:pPr&gt;&lt;w:tabs&gt;&lt;w:tab w:val="num" w:pos="1440"/&gt;&lt;/w:tabs&gt;&lt;w:ind w:left="1440" w:hanging="363"/&gt;&lt;/w:pPr&gt;&lt;w:rPr&gt;&lt;w:rFonts w:ascii="Arial" w:hAnsi="Arial" w:hint="default"/&gt;&lt;/w:rPr&gt;&lt;/w:lvl&gt;&lt;w:lvl w:ilvl="4"&gt;&lt;w:start w:val="1"/&gt;&lt;w:numFmt w:val="bullet"/&gt;&lt;w:pStyle w:val="ListBullet5"/&gt;&lt;w:lvlText w:val="-"/&gt;&lt;w:lvlJc w:val="left"/&gt;&lt;w:pPr&gt;&lt;w:tabs&gt;&lt;w:tab w:val="num" w:pos="1797"/&gt;&lt;/w:tabs&gt;&lt;w:ind w:left="1797" w:hanging="357"/&gt;&lt;/w:pPr&gt;&lt;w:rPr&gt;&lt;w:rFonts w:ascii="Arial" w:hAnsi="Arial" w:hint="default"/&gt;&lt;/w:rPr&gt;&lt;/w:lvl&gt;&lt;w:lvl w:ilvl="5"&gt;&lt;w:start w:val="1"/&gt;&lt;w:numFmt w:val="bullet"/&gt;&lt;w:pStyle w:val="TableBullet1"/&gt;&lt;w:lvlText w:val=""/&gt;&lt;w:lvlJc w:val="left"/&gt;&lt;w:pPr&gt;&lt;w:tabs&gt;&lt;w:tab w:val="num" w:pos="284"/&gt;&lt;/w:tabs&gt;&lt;w:ind w:left="284" w:hanging="284"/&gt;&lt;/w:pPr&gt;&lt;w:rPr&gt;&lt;w:rFonts w:ascii="Symbol" w:hAnsi="Symbol" w:hint="default"/&gt;&lt;/w:rPr&gt;&lt;/w:lvl&gt;&lt;w:lvl w:ilvl="6"&gt;&lt;w:start w:val="1"/&gt;&lt;w:numFmt w:val="bullet"/&gt;&lt;w:pStyle w:val="TableBullet2"/&gt;&lt;w:lvlText w:val="-"/&gt;&lt;w:lvlJc w:val="left"/&gt;&lt;w:pPr&gt;&lt;w:tabs&gt;&lt;w:tab w:val="num" w:pos="567"/&gt;&lt;/w:tabs&gt;&lt;w:ind w:left="567" w:hanging="283"/&gt;&lt;/w:pPr&gt;&lt;w:rPr&gt;&lt;w:rFonts w:ascii="Arial" w:hAnsi="Arial" w:hint="default"/&gt;&lt;/w:rPr&gt;&lt;/w:lvl&gt;&lt;w:lvl w:ilvl="7"&gt;&lt;w:start w:val="1"/&gt;&lt;w:numFmt w:val="bullet"/&gt;&lt;w:pStyle w:val="TableBullet3"/&gt;&lt;w:lvlText w:val="&amp;gt;"/&gt;&lt;w:lvlJc w:val="left"/&gt;&lt;w:pPr&gt;&lt;w:tabs&gt;&lt;w:tab w:val="num" w:pos="851"/&gt;&lt;/w:tabs&gt;&lt;w:ind w:left="851" w:hanging="284"/&gt;&lt;/w:pPr&gt;&lt;w:rPr&gt;&lt;w:rFonts w:ascii="Arial" w:hAnsi="Arial" w:hint="default"/&gt;&lt;/w:rPr&gt;&lt;/w:lvl&gt;&lt;w:lvl w:ilvl="8"&gt;&lt;w:start w:val="1"/&gt;&lt;w:numFmt w:val="none"/&gt;&lt;w:suff w:val="nothing"/&gt;&lt;w:lvlText w:val=""/&gt;&lt;w:lvlJc w:val="left"/&gt;&lt;w:pPr&gt;&lt;w:ind w:left="0" w:firstLine="0"/&gt;&lt;/w:pPr&gt;&lt;w:rPr&gt;&lt;w:rFonts w:hint="default"/&gt;&lt;/w:rPr&gt;&lt;/w:lvl&gt;&lt;/w:abstractNum&gt;&lt;w:abstractNum w:abstractNumId="20" w15:restartNumberingAfterBreak="0"&gt;&lt;w:nsid w:val="4A60790A"/&gt;&lt;w:multiLevelType w:val="hybridMultilevel"/&gt;&lt;w:tmpl w:val="519EAB02"/&gt;&lt;w:lvl w:ilvl="0" w:tplc="EB800AC4"&gt;&lt;w:start w:val="1"/&gt;&lt;w:numFmt w:val="bullet"/&gt;&lt;w:lvlText w:val="&amp;gt;"/&gt;&lt;w:lvlJc w:val="left"/&gt;&lt;w:pPr&gt;&lt;w:ind w:left="1074" w:hanging="360"/&gt;&lt;/w:pPr&gt;&lt;w:rPr&gt;&lt;w:rFonts w:ascii="Arial" w:hAnsi="Arial" w:hint="default"/&gt;&lt;w:color w:val="auto"/&gt;&lt;/w:rPr&gt;&lt;/w:lvl&gt;&lt;w:lvl w:ilvl="1" w:tplc="0C090003" w:tentative="1"&gt;&lt;w:start w:val="1"/&gt;&lt;w:numFmt w:val="bullet"/&gt;&lt;w:lvlText w:val="o"/&gt;&lt;w:lvlJc w:val="left"/&gt;&lt;w:pPr&gt;&lt;w:ind w:left="2007" w:hanging="360"/&gt;&lt;/w:pPr&gt;&lt;w:rPr&gt;&lt;w:rFonts w:ascii="Courier New" w:hAnsi="Courier New" w:cs="Courier New" w:hint="default"/&gt;&lt;/w:rPr&gt;&lt;/w:lvl&gt;&lt;w:lvl w:ilvl="2" w:tplc="0C090005" w:tentative="1"&gt;&lt;w:start w:val="1"/&gt;&lt;w:numFmt w:val="bullet"/&gt;&lt;w:lvlText w:val=""/&gt;&lt;w:lvlJc w:val="left"/&gt;&lt;w:pPr&gt;&lt;w:ind w:left="2727" w:hanging="360"/&gt;&lt;/w:pPr&gt;&lt;w:rPr&gt;&lt;w:rFonts w:ascii="Wingdings" w:hAnsi="Wingdings" w:hint="default"/&gt;&lt;/w:rPr&gt;&lt;/w:lvl&gt;&lt;w:lvl w:ilvl="3" w:tplc="0C090001" w:tentative="1"&gt;&lt;w:start w:val="1"/&gt;&lt;w:numFmt w:val="bullet"/&gt;&lt;w:lvlText w:val=""/&gt;&lt;w:lvlJc w:val="left"/&gt;&lt;w:pPr&gt;&lt;w:ind w:left="3447" w:hanging="360"/&gt;&lt;/w:pPr&gt;&lt;w:rPr&gt;&lt;w:rFonts w:ascii="Symbol" w:hAnsi="Symbol" w:hint="default"/&gt;&lt;/w:rPr&gt;&lt;/w:lvl&gt;&lt;w:lvl w:ilvl="4" w:tplc="0C090003" w:tentative="1"&gt;&lt;w:start w:val="1"/&gt;&lt;w:numFmt w:val="bullet"/&gt;&lt;w:lvlText w:val="o"/&gt;&lt;w:lvlJc w:val="left"/&gt;&lt;w:pPr&gt;&lt;w:ind w:left="4167" w:hanging="360"/&gt;&lt;/w:pPr&gt;&lt;w:rPr&gt;&lt;w:rFonts w:ascii="Courier New" w:hAnsi="Courier New" w:cs="Courier New" w:hint="default"/&gt;&lt;/w:rPr&gt;&lt;/w:lvl&gt;&lt;w:lvl w:ilvl="5" w:tplc="0C090005" w:tentative="1"&gt;&lt;w:start w:val="1"/&gt;&lt;w:numFmt w:val="bullet"/&gt;&lt;w:lvlText w:val=""/&gt;&lt;w:lvlJc w:val="left"/&gt;&lt;w:pPr&gt;&lt;w:ind w:left="4887" w:hanging="360"/&gt;&lt;/w:pPr&gt;&lt;w:rPr&gt;&lt;w:rFonts w:ascii="Wingdings" w:hAnsi="Wingdings" w:hint="default"/&gt;&lt;/w:rPr&gt;&lt;/w:lvl&gt;&lt;w:lvl w:ilvl="6" w:tplc="0C090001" w:tentative="1"&gt;&lt;w:start w:val="1"/&gt;&lt;w:numFmt w:val="bullet"/&gt;&lt;w:lvlText w:val=""/&gt;&lt;w:lvlJc w:val="left"/&gt;&lt;w:pPr&gt;&lt;w:ind w:left="5607" w:hanging="360"/&gt;&lt;/w:pPr&gt;&lt;w:rPr&gt;&lt;w:rFonts w:ascii="Symbol" w:hAnsi="Symbol" w:hint="default"/&gt;&lt;/w:rPr&gt;&lt;/w:lvl&gt;&lt;w:lvl w:ilvl="7" w:tplc="0C090003" w:tentative="1"&gt;&lt;w:start w:val="1"/&gt;&lt;w:numFmt w:val="bullet"/&gt;&lt;w:lvlText w:val="o"/&gt;&lt;w:lvlJc w:val="left"/&gt;&lt;w:pPr&gt;&lt;w:ind w:left="6327" w:hanging="360"/&gt;&lt;/w:pPr&gt;&lt;w:rPr&gt;&lt;w:rFonts w:ascii="Courier New" w:hAnsi="Courier New" w:cs="Courier New" w:hint="default"/&gt;&lt;/w:rPr&gt;&lt;/w:lvl&gt;&lt;w:lvl w:ilvl="8" w:tplc="0C090005" w:tentative="1"&gt;&lt;w:start w:val="1"/&gt;&lt;w:numFmt w:val="bullet"/&gt;&lt;w:lvlText w:val=""/&gt;&lt;w:lvlJc w:val="left"/&gt;&lt;w:pPr&gt;&lt;w:ind w:left="7047" w:hanging="360"/&gt;&lt;/w:pPr&gt;&lt;w:rPr&gt;&lt;w:rFonts w:ascii="Wingdings" w:hAnsi="Wingdings" w:hint="default"/&gt;&lt;/w:rPr&gt;&lt;/w:lvl&gt;&lt;/w:abstractNum&gt;&lt;w:abstractNum w:abstractNumId="21" w15:restartNumberingAfterBreak="0"&gt;&lt;w:nsid w:val="4C0521B0"/&gt;&lt;w:multiLevelType w:val="multilevel"/&gt;&lt;w:tmpl w:val="ADA2A320"/&gt;&lt;w:lvl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w:val="lowerRoman"/&gt;&lt;w:lvlText w:val="%3."/&gt;&lt;w:lvlJc w:val="left"/&gt;&lt;w:pPr&gt;&lt;w:ind w:left="851" w:hanging="284"/&gt;&lt;/w:pPr&gt;&lt;w:rPr&gt;&lt;w:rFonts w:hint="default"/&gt;&lt;/w:rPr&gt;&lt;/w:lvl&gt;&lt;w:lvl w:ilvl="3"&gt;&lt;w:start w:val="1"/&gt;&lt;w:numFmt w:val="upperLetter"/&gt;&lt;w:lvlText w:val="%4."/&gt;&lt;w:lvlJc w:val="left"/&gt;&lt;w:pPr&gt;&lt;w:ind w:left="1134" w:hanging="283"/&gt;&lt;/w:pPr&gt;&lt;w:rPr&gt;&lt;w:rFonts w:hint="default"/&gt;&lt;/w:rPr&gt;&lt;/w:lvl&gt;&lt;w:lvl w:ilvl="4"&gt;&lt;w:start w:val="1"/&gt;&lt;w:numFmt w:val="upperRoman"/&gt;&lt;w:lvlText w:val="%5."/&gt;&lt;w:lvlJc w:val="left"/&gt;&lt;w:pPr&gt;&lt;w:ind w:left="1418" w:hanging="284"/&gt;&lt;/w:pPr&gt;&lt;w:rPr&gt;&lt;w:rFonts w:hint="default"/&gt;&lt;/w:rPr&gt;&lt;/w:lvl&gt;&lt;w:lvl w:ilvl="5"&gt;&lt;w:start w:val="1"/&gt;&lt;w:numFmt w:val="lowerRoman"/&gt;&lt;w:lvlText w:val="%6."/&gt;&lt;w:lvlJc w:val="right"/&gt;&lt;w:pPr&gt;&lt;w:ind w:left="4320" w:hanging="180"/&gt;&lt;/w:pPr&gt;&lt;w:rPr&gt;&lt;w:rFonts w:hint="default"/&gt;&lt;/w:rPr&gt;&lt;/w:lvl&gt;&lt;w:lvl w:ilvl="6"&gt;&lt;w:start w:val="1"/&gt;&lt;w:numFmt w:val="decimal"/&gt;&lt;w:lvlText w:val="%7."/&gt;&lt;w:lvlJc w:val="left"/&gt;&lt;w:pPr&gt;&lt;w:ind w:left="5040" w:hanging="360"/&gt;&lt;/w:pPr&gt;&lt;w:rPr&gt;&lt;w:rFonts w:hint="default"/&gt;&lt;/w:rPr&gt;&lt;/w:lvl&gt;&lt;w:lvl w:ilvl="7"&gt;&lt;w:start w:val="1"/&gt;&lt;w:numFmt w:val="lowerLetter"/&gt;&lt;w:lvlText w:val="%8."/&gt;&lt;w:lvlJc w:val="left"/&gt;&lt;w:pPr&gt;&lt;w:ind w:left="5760" w:hanging="360"/&gt;&lt;/w:pPr&gt;&lt;w:rPr&gt;&lt;w:rFonts w:hint="default"/&gt;&lt;/w:rPr&gt;&lt;/w:lvl&gt;&lt;w:lvl w:ilvl="8"&gt;&lt;w:start w:val="1"/&gt;&lt;w:numFmt w:val="lowerRoman"/&gt;&lt;w:lvlText w:val="%9."/&gt;&lt;w:lvlJc w:val="right"/&gt;&lt;w:pPr&gt;&lt;w:ind w:left="6480" w:hanging="180"/&gt;&lt;/w:pPr&gt;&lt;w:rPr&gt;&lt;w:rFonts w:hint="default"/&gt;&lt;/w:rPr&gt;&lt;/w:lvl&gt;&lt;/w:abstractNum&gt;&lt;w:abstractNum w:abstractNumId="22" w15:restartNumberingAfterBreak="0"&gt;&lt;w:nsid w:val="53291E84"/&gt;&lt;w:multiLevelType w:val="multilevel"/&gt;&lt;w:tmpl w:val="156893D4"/&gt;&lt;w:lvl w:ilvl="0"&gt;&lt;w:start w:val="1"/&gt;&lt;w:numFmt w:val="bullet"/&gt;&lt;w:lvlText w:val="•"/&gt;&lt;w:lvlJc w:val="left"/&gt;&lt;w:pPr&gt;&lt;w:ind w:left="170" w:hanging="170"/&gt;&lt;/w:pPr&gt;&lt;w:rPr&gt;&lt;w:rFonts w:ascii="Arial" w:hAnsi="Arial" w:hint="default"/&gt;&lt;w:color w:val="47A843" w:themeColor="accent1"/&gt;&lt;/w:rPr&gt;&lt;/w:lvl&gt;&lt;w:lvl w:ilvl="1"&gt;&lt;w:start w:val="1"/&gt;&lt;w:numFmt w:val="bullet"/&gt;&lt;w:lvlText w:val="–"/&gt;&lt;w:lvlJc w:val="left"/&gt;&lt;w:pPr&gt;&lt;w:ind w:left="340" w:hanging="170"/&gt;&lt;/w:pPr&gt;&lt;w:rPr&gt;&lt;w:rFonts w:ascii="Arial Narrow" w:hAnsi="Arial Narrow" w:hint="default"/&gt;&lt;w:color w:val="47A843" w:themeColor="accent1"/&gt;&lt;/w:rPr&gt;&lt;/w:lvl&gt;&lt;w:lvl w:ilvl="2"&gt;&lt;w:start w:val="1"/&gt;&lt;w:numFmt w:val="bullet"/&gt;&lt;w:lvlText w:val=""/&gt;&lt;w:lvlJc w:val="left"/&gt;&lt;w:pPr&gt;&lt;w:ind w:left="510" w:hanging="170"/&gt;&lt;/w:pPr&gt;&lt;w:rPr&gt;&lt;w:rFonts w:ascii="Wingdings" w:hAnsi="Wingdings" w:hint="default"/&gt;&lt;w:color w:val="47A843" w:themeColor="accent1"/&gt;&lt;/w:rPr&gt;&lt;/w:lvl&gt;&lt;w:lvl w:ilvl="3"&gt;&lt;w:start w:val="1"/&gt;&lt;w:numFmt w:val="bullet"/&gt;&lt;w:lvlText w:val=""/&gt;&lt;w:lvlJc w:val="left"/&gt;&lt;w:pPr&gt;&lt;w:ind w:left="2880" w:hanging="360"/&gt;&lt;/w:pPr&gt;&lt;w:rPr&gt;&lt;w:rFonts w:ascii="Symbol" w:hAnsi="Symbol" w:hint="default"/&gt;&lt;/w:rPr&gt;&lt;/w:lvl&gt;&lt;w:lvl w:ilvl="4"&gt;&lt;w:start w:val="1"/&gt;&lt;w:numFmt w:val="bullet"/&gt;&lt;w:lvlText w:val="o"/&gt;&lt;w:lvlJc w:val="left"/&gt;&lt;w:pPr&gt;&lt;w:ind w:left="3600" w:hanging="360"/&gt;&lt;/w:pPr&gt;&lt;w:rPr&gt;&lt;w:rFonts w:ascii="Courier New" w:hAnsi="Courier New" w:cs="Courier New" w:hint="default"/&gt;&lt;/w:rPr&gt;&lt;/w:lvl&gt;&lt;w:lvl w:ilvl="5"&gt;&lt;w:start w:val="1"/&gt;&lt;w:numFmt w:val="bullet"/&gt;&lt;w:lvlText w:val=""/&gt;&lt;w:lvlJc w:val="left"/&gt;&lt;w:pPr&gt;&lt;w:ind w:left="4320" w:hanging="360"/&gt;&lt;/w:pPr&gt;&lt;w:rPr&gt;&lt;w:rFonts w:ascii="Wingdings" w:hAnsi="Wingdings" w:hint="default"/&gt;&lt;/w:rPr&gt;&lt;/w:lvl&gt;&lt;w:lvl w:ilvl="6"&gt;&lt;w:start w:val="1"/&gt;&lt;w:numFmt w:val="bullet"/&gt;&lt;w:lvlText w:val=""/&gt;&lt;w:lvlJc w:val="left"/&gt;&lt;w:pPr&gt;&lt;w:ind w:left="5040" w:hanging="360"/&gt;&lt;/w:pPr&gt;&lt;w:rPr&gt;&lt;w:rFonts w:ascii="Symbol" w:hAnsi="Symbol" w:hint="default"/&gt;&lt;/w:rPr&gt;&lt;/w:lvl&gt;&lt;w:lvl w:ilvl="7"&gt;&lt;w:start w:val="1"/&gt;&lt;w:numFmt w:val="bullet"/&gt;&lt;w:lvlText w:val="o"/&gt;&lt;w:lvlJc w:val="left"/&gt;&lt;w:pPr&gt;&lt;w:ind w:left="5760" w:hanging="360"/&gt;&lt;/w:pPr&gt;&lt;w:rPr&gt;&lt;w:rFonts w:ascii="Courier New" w:hAnsi="Courier New" w:cs="Courier New" w:hint="default"/&gt;&lt;/w:rPr&gt;&lt;/w:lvl&gt;&lt;w:lvl w:ilvl="8"&gt;&lt;w:start w:val="1"/&gt;&lt;w:numFmt w:val="bullet"/&gt;&lt;w:lvlText w:val=""/&gt;&lt;w:lvlJc w:val="left"/&gt;&lt;w:pPr&gt;&lt;w:ind w:left="6480" w:hanging="360"/&gt;&lt;/w:pPr&gt;&lt;w:rPr&gt;&lt;w:rFonts w:ascii="Wingdings" w:hAnsi="Wingdings" w:hint="default"/&gt;&lt;/w:rPr&gt;&lt;/w:lvl&gt;&lt;/w:abstractNum&gt;&lt;w:abstractNum w:abstractNumId="23" w15:restartNumberingAfterBreak="0"&gt;&lt;w:nsid w:val="54EC21CA"/&gt;&lt;w:multiLevelType w:val="hybridMultilevel"/&gt;&lt;w:tmpl w:val="6F36EE14"/&gt;&lt;w:lvl w:ilvl="0" w:tplc="C9F2D942"&gt;&lt;w:start w:val="1"/&gt;&lt;w:numFmt w:val="bullet"/&gt;&lt;w:lvlText w:val="&amp;gt;"/&gt;&lt;w:lvlJc w:val="left"/&gt;&lt;w:pPr&gt;&lt;w:ind w:left="896" w:hanging="360"/&gt;&lt;/w:pPr&gt;&lt;w:rPr&gt;&lt;w:rFonts w:ascii="Arial" w:hAnsi="Arial" w:hint="default"/&gt;&lt;w:color w:val="auto"/&gt;&lt;/w:rPr&gt;&lt;/w:lvl&gt;&lt;w:lvl w:ilvl="1" w:tplc="0C090003" w:tentative="1"&gt;&lt;w:start w:val="1"/&gt;&lt;w:numFmt w:val="bullet"/&gt;&lt;w:lvlText w:val="o"/&gt;&lt;w:lvlJc w:val="left"/&gt;&lt;w:pPr&gt;&lt;w:ind w:left="2880" w:hanging="360"/&gt;&lt;/w:pPr&gt;&lt;w:rPr&gt;&lt;w:rFonts w:ascii="Courier New" w:hAnsi="Courier New" w:cs="Courier New" w:hint="default"/&gt;&lt;/w:rPr&gt;&lt;/w:lvl&gt;&lt;w:lvl w:ilvl="2" w:tplc="0C090005" w:tentative="1"&gt;&lt;w:start w:val="1"/&gt;&lt;w:numFmt w:val="bullet"/&gt;&lt;w:lvlText w:val=""/&gt;&lt;w:lvlJc w:val="left"/&gt;&lt;w:pPr&gt;&lt;w:ind w:left="3600" w:hanging="360"/&gt;&lt;/w:pPr&gt;&lt;w:rPr&gt;&lt;w:rFonts w:ascii="Wingdings" w:hAnsi="Wingdings" w:hint="default"/&gt;&lt;/w:rPr&gt;&lt;/w:lvl&gt;&lt;w:lvl w:ilvl="3" w:tplc="0C090001" w:tentative="1"&gt;&lt;w:start w:val="1"/&gt;&lt;w:numFmt w:val="bullet"/&gt;&lt;w:lvlText w:val=""/&gt;&lt;w:lvlJc w:val="left"/&gt;&lt;w:pPr&gt;&lt;w:ind w:left="4320" w:hanging="360"/&gt;&lt;/w:pPr&gt;&lt;w:rPr&gt;&lt;w:rFonts w:ascii="Symbol" w:hAnsi="Symbol" w:hint="default"/&gt;&lt;/w:rPr&gt;&lt;/w:lvl&gt;&lt;w:lvl w:ilvl="4" w:tplc="0C090003" w:tentative="1"&gt;&lt;w:start w:val="1"/&gt;&lt;w:numFmt w:val="bullet"/&gt;&lt;w:lvlText w:val="o"/&gt;&lt;w:lvlJc w:val="left"/&gt;&lt;w:pPr&gt;&lt;w:ind w:left="5040" w:hanging="360"/&gt;&lt;/w:pPr&gt;&lt;w:rPr&gt;&lt;w:rFonts w:ascii="Courier New" w:hAnsi="Courier New" w:cs="Courier New" w:hint="default"/&gt;&lt;/w:rPr&gt;&lt;/w:lvl&gt;&lt;w:lvl w:ilvl="5" w:tplc="0C090005" w:tentative="1"&gt;&lt;w:start w:val="1"/&gt;&lt;w:numFmt w:val="bullet"/&gt;&lt;w:lvlText w:val=""/&gt;&lt;w:lvlJc w:val="left"/&gt;&lt;w:pPr&gt;&lt;w:ind w:left="5760" w:hanging="360"/&gt;&lt;/w:pPr&gt;&lt;w:rPr&gt;&lt;w:rFonts w:ascii="Wingdings" w:hAnsi="Wingdings" w:hint="default"/&gt;&lt;/w:rPr&gt;&lt;/w:lvl&gt;&lt;w:lvl w:ilvl="6" w:tplc="0C090001" w:tentative="1"&gt;&lt;w:start w:val="1"/&gt;&lt;w:numFmt w:val="bullet"/&gt;&lt;w:lvlText w:val=""/&gt;&lt;w:lvlJc w:val="left"/&gt;&lt;w:pPr&gt;&lt;w:ind w:left="6480" w:hanging="360"/&gt;&lt;/w:pPr&gt;&lt;w:rPr&gt;&lt;w:rFonts w:ascii="Symbol" w:hAnsi="Symbol" w:hint="default"/&gt;&lt;/w:rPr&gt;&lt;/w:lvl&gt;&lt;w:lvl w:ilvl="7" w:tplc="0C090003" w:tentative="1"&gt;&lt;w:start w:val="1"/&gt;&lt;w:numFmt w:val="bullet"/&gt;&lt;w:lvlText w:val="o"/&gt;&lt;w:lvlJc w:val="left"/&gt;&lt;w:pPr&gt;&lt;w:ind w:left="7200" w:hanging="360"/&gt;&lt;/w:pPr&gt;&lt;w:rPr&gt;&lt;w:rFonts w:ascii="Courier New" w:hAnsi="Courier New" w:cs="Courier New" w:hint="default"/&gt;&lt;/w:rPr&gt;&lt;/w:lvl&gt;&lt;w:lvl w:ilvl="8" w:tplc="0C090005" w:tentative="1"&gt;&lt;w:start w:val="1"/&gt;&lt;w:numFmt w:val="bullet"/&gt;&lt;w:lvlText w:val=""/&gt;&lt;w:lvlJc w:val="left"/&gt;&lt;w:pPr&gt;&lt;w:ind w:left="7920" w:hanging="360"/&gt;&lt;/w:pPr&gt;&lt;w:rPr&gt;&lt;w:rFonts w:ascii="Wingdings" w:hAnsi="Wingdings" w:hint="default"/&gt;&lt;/w:rPr&gt;&lt;/w:lvl&gt;&lt;/w:abstractNum&gt;&lt;w:abstractNum w:abstractNumId="24" w15:restartNumberingAfterBreak="0"&gt;&lt;w:nsid w:val="5C35239D"/&gt;&lt;w:multiLevelType w:val="multilevel"/&gt;&lt;w:tmpl w:val="0C090023"/&gt;&lt;w:styleLink w:val="ArticleSection"/&gt;&lt;w:lvl w:ilvl="0"&gt;&lt;w:start w:val="1"/&gt;&lt;w:numFmt w:val="upperRoman"/&gt;&lt;w:lvlText w:val="Article %1."/&gt;&lt;w:lvlJc w:val="left"/&gt;&lt;w:pPr&gt;&lt;w:ind w:left="0" w:firstLine="0"/&gt;&lt;/w:pPr&gt;&lt;/w:lvl&gt;&lt;w:lvl w:ilvl="1"&gt;&lt;w:start w:val="1"/&gt;&lt;w:numFmt w:val="decimalZero"/&gt;&lt;w:isLgl/&gt;&lt;w:lvlText w:val="Section %1.%2"/&gt;&lt;w:lvlJc w:val="left"/&gt;&lt;w:pPr&gt;&lt;w:ind w:left="0" w:firstLine="0"/&gt;&lt;/w:pPr&gt;&lt;/w:lvl&gt;&lt;w:lvl w:ilvl="2"&gt;&lt;w:start w:val="1"/&gt;&lt;w:numFmt w:val="lowerLetter"/&gt;&lt;w:lvlText w:val="(%3)"/&gt;&lt;w:lvlJc w:val="left"/&gt;&lt;w:pPr&gt;&lt;w:ind w:left="720" w:hanging="432"/&gt;&lt;/w:pPr&gt;&lt;/w:lvl&gt;&lt;w:lvl w:ilvl="3"&gt;&lt;w:start w:val="1"/&gt;&lt;w:numFmt w:val="lowerRoman"/&gt;&lt;w:lvlText w:val="(%4)"/&gt;&lt;w:lvlJc w:val="right"/&gt;&lt;w:pPr&gt;&lt;w:ind w:left="864" w:hanging="144"/&gt;&lt;/w:pPr&gt;&lt;/w:lvl&gt;&lt;w:lvl w:ilvl="4"&gt;&lt;w:start w:val="1"/&gt;&lt;w:numFmt w:val="decimal"/&gt;&lt;w:lvlText w:val="%5)"/&gt;&lt;w:lvlJc w:val="left"/&gt;&lt;w:pPr&gt;&lt;w:ind w:left="1008" w:hanging="432"/&gt;&lt;/w:pPr&gt;&lt;/w:lvl&gt;&lt;w:lvl w:ilvl="5"&gt;&lt;w:start w:val="1"/&gt;&lt;w:numFmt w:val="lowerLetter"/&gt;&lt;w:lvlText w:val="%6)"/&gt;&lt;w:lvlJc w:val="left"/&gt;&lt;w:pPr&gt;&lt;w:ind w:left="1152" w:hanging="432"/&gt;&lt;/w:pPr&gt;&lt;/w:lvl&gt;&lt;w:lvl w:ilvl="6"&gt;&lt;w:start w:val="1"/&gt;&lt;w:numFmt w:val="lowerRoman"/&gt;&lt;w:lvlText w:val="%7)"/&gt;&lt;w:lvlJc w:val="right"/&gt;&lt;w:pPr&gt;&lt;w:ind w:left="1296" w:hanging="288"/&gt;&lt;/w:pPr&gt;&lt;/w:lvl&gt;&lt;w:lvl w:ilvl="7"&gt;&lt;w:start w:val="1"/&gt;&lt;w:numFmt w:val="lowerLetter"/&gt;&lt;w:lvlText w:val="%8."/&gt;&lt;w:lvlJc w:val="left"/&gt;&lt;w:pPr&gt;&lt;w:ind w:left="1440" w:hanging="432"/&gt;&lt;/w:pPr&gt;&lt;/w:lvl&gt;&lt;w:lvl w:ilvl="8"&gt;&lt;w:start w:val="1"/&gt;&lt;w:numFmt w:val="lowerRoman"/&gt;&lt;w:lvlText w:val="%9."/&gt;&lt;w:lvlJc w:val="right"/&gt;&lt;w:pPr&gt;&lt;w:ind w:left="1584" w:hanging="144"/&gt;&lt;/w:pPr&gt;&lt;/w:lvl&gt;&lt;/w:abstractNum&gt;&lt;w:abstractNum w:abstractNumId="25" w15:restartNumberingAfterBreak="0"&gt;&lt;w:nsid w:val="6AAB6C8F"/&gt;&lt;w:multiLevelType w:val="hybridMultilevel"/&gt;&lt;w:tmpl w:val="7FBCD448"/&gt;&lt;w:lvl w:ilvl="0" w:tplc="138E7ED0"&gt;&lt;w:start w:val="1"/&gt;&lt;w:numFmt w:val="bullet"/&gt;&lt;w:lvlText w:val="–"/&gt;&lt;w:lvlJc w:val="left"/&gt;&lt;w:pPr&gt;&lt;w:ind w:left="717" w:hanging="360"/&gt;&lt;/w:pPr&gt;&lt;w:rPr&gt;&lt;w:rFonts w:ascii="Arial" w:hAnsi="Arial" w:hint="default"/&gt;&lt;w:color w:val="auto"/&gt;&lt;/w:rPr&gt;&lt;/w:lvl&gt;&lt;w:lvl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w:abstractNumId="26" w15:restartNumberingAfterBreak="0"&gt;&lt;w:nsid w:val="74B74FEA"/&gt;&lt;w:multiLevelType w:val="multilevel"/&gt;&lt;w:tmpl w:val="09ECEB08"/&gt;&lt;w:lvl w:ilvl="0"&gt;&lt;w:start w:val="1"/&gt;&lt;w:numFmt w:val="decimal"/&gt;&lt;w:suff w:val="space"/&gt;&lt;w:lvlText w:val="%1."/&gt;&lt;w:lvlJc w:val="left"/&gt;&lt;w:pPr&gt;&lt;w:ind w:left="0" w:firstLine="0"/&gt;&lt;/w:pPr&gt;&lt;w:rPr&gt;&lt;w:rFonts w:hint="default"/&gt;&lt;/w:rPr&gt;&lt;/w:lvl&gt;&lt;w:lvl w:ilvl="1"&gt;&lt;w:start w:val="1"/&gt;&lt;w:numFmt w:val="decimal"/&gt;&lt;w:suff w:val="space"/&gt;&lt;w:lvlText w:val="%1.%2"/&gt;&lt;w:lvlJc w:val="left"/&gt;&lt;w:pPr&gt;&lt;w:ind w:left="0" w:firstLine="0"/&gt;&lt;/w:pPr&gt;&lt;w:rPr&gt;&lt;w:rFonts w:hint="default"/&gt;&lt;/w:rPr&gt;&lt;/w:lvl&gt;&lt;w:lvl w:ilvl="2"&gt;&lt;w:start w:val="1"/&gt;&lt;w:numFmt w:val="decimal"/&gt;&lt;w:suff w:val="space"/&gt;&lt;w:lvlText w:val="%1.%2.%3"/&gt;&lt;w:lvlJc w:val="left"/&gt;&lt;w:pPr&gt;&lt;w:ind w:left="0" w:firstLine="0"/&gt;&lt;/w:pPr&gt;&lt;w:rPr&gt;&lt;w:rFonts w:hint="default"/&gt;&lt;/w:rPr&gt;&lt;/w:lvl&gt;&lt;w:lvl w:ilvl="3"&gt;&lt;w:start w:val="1"/&gt;&lt;w:numFmt w:val="decimal"/&gt;&lt;w:suff w:val="space"/&gt;&lt;w:lvlText w:val="%1.%2.%3.%4"/&gt;&lt;w:lvlJc w:val="left"/&gt;&lt;w:pPr&gt;&lt;w:ind w:left="0" w:firstLine="0"/&gt;&lt;/w:pPr&gt;&lt;w:rPr&gt;&lt;w:rFonts w:hint="default"/&gt;&lt;/w:rPr&gt;&lt;/w:lvl&gt;&lt;w:lvl w:ilvl="4"&gt;&lt;w:start w:val="1"/&gt;&lt;w:numFmt w:val="decimal"/&gt;&lt;w:suff w:val="space"/&gt;&lt;w:lvlText w:val="%1.%2.%3.%4.%5"/&gt;&lt;w:lvlJc w:val="left"/&gt;&lt;w:pPr&gt;&lt;w:ind w:left="0" w:firstLine="0"/&gt;&lt;/w:pPr&gt;&lt;w:rPr&gt;&lt;w:rFonts w:hint="default"/&gt;&lt;/w:rPr&gt;&lt;/w:lvl&gt;&lt;w:lvl w:ilvl="5"&gt;&lt;w:start w:val="1"/&gt;&lt;w:numFmt w:val="decimal"/&gt;&lt;w:suff w:val="space"/&gt;&lt;w:lvlText w:val="%1.%2.%3.%4.%5.%6"/&gt;&lt;w:lvlJc w:val="left"/&gt;&lt;w:pPr&gt;&lt;w:ind w:left="0" w:firstLine="0"/&gt;&lt;/w:pPr&gt;&lt;w:rPr&gt;&lt;w:rFonts w:hint="default"/&gt;&lt;/w:rPr&gt;&lt;/w:lvl&gt;&lt;w:lvl w:ilvl="6"&gt;&lt;w:start w:val="1"/&gt;&lt;w:numFmt w:val="decimal"/&gt;&lt;w:suff w:val="space"/&gt;&lt;w:lvlText w:val="%1.%2.%3.%4.%5.%6.%7"/&gt;&lt;w:lvlJc w:val="left"/&gt;&lt;w:pPr&gt;&lt;w:ind w:left="0" w:firstLine="0"/&gt;&lt;/w:pPr&gt;&lt;w:rPr&gt;&lt;w:rFonts w:hint="default"/&gt;&lt;/w:rPr&gt;&lt;/w:lvl&gt;&lt;w:lvl w:ilvl="7"&gt;&lt;w:start w:val="1"/&gt;&lt;w:numFmt w:val="decimal"/&gt;&lt;w:suff w:val="space"/&gt;&lt;w:lvlText w:val="%1.%2.%3.%4.%5.%6.%7.%8"/&gt;&lt;w:lvlJc w:val="left"/&gt;&lt;w:pPr&gt;&lt;w:ind w:left="0" w:firstLine="0"/&gt;&lt;/w:pPr&gt;&lt;w:rPr&gt;&lt;w:rFonts w:hint="default"/&gt;&lt;/w:rPr&gt;&lt;/w:lvl&gt;&lt;w:lvl w:ilvl="8"&gt;&lt;w:start w:val="1"/&gt;&lt;w:numFmt w:val="decimal"/&gt;&lt;w:suff w:val="space"/&gt;&lt;w:lvlText w:val="%1.%2.%3.%4.%5.%6.%7.%8.%9"/&gt;&lt;w:lvlJc w:val="left"/&gt;&lt;w:pPr&gt;&lt;w:ind w:left="0" w:firstLine="0"/&gt;&lt;/w:pPr&gt;&lt;w:rPr&gt;&lt;w:rFonts w:hint="default"/&gt;&lt;/w:rPr&gt;&lt;/w:lvl&gt;&lt;/w:abstractNum&gt;&lt;w:abstractNum w:abstractNumId="27" w15:restartNumberingAfterBreak="0"&gt;&lt;w:nsid w:val="788F56AE"/&gt;&lt;w:multiLevelType w:val="hybridMultilevel"/&gt;&lt;w:tmpl w:val="1B46CE02"/&gt;&lt;w:lvl w:ilvl="0" w:tplc="5E02114C"&gt;&lt;w:start w:val="1"/&gt;&lt;w:numFmt w:val="bullet"/&gt;&lt;w:lvlText w:val=""/&gt;&lt;w:lvlJc w:val="left"/&gt;&lt;w:pPr&gt;&lt;w:ind w:left="1794" w:hanging="360"/&gt;&lt;/w:pPr&gt;&lt;w:rPr&gt;&lt;w:rFonts w:ascii="Symbol" w:hAnsi="Symbol" w:hint="default"/&gt;&lt;w:color w:val="auto"/&gt;&lt;/w:rPr&gt;&lt;/w:lvl&gt;&lt;w:lvl w:ilvl="1" w:tplc="0C090003"&gt;&lt;w:start w:val="1"/&gt;&lt;w:numFmt w:val="bullet"/&gt;&lt;w:lvlText w:val="o"/&gt;&lt;w:lvlJc w:val="left"/&gt;&lt;w:pPr&gt;&lt;w:ind w:left="2514" w:hanging="360"/&gt;&lt;/w:pPr&gt;&lt;w:rPr&gt;&lt;w:rFonts w:ascii="Courier New" w:hAnsi="Courier New" w:cs="Courier New" w:hint="default"/&gt;&lt;/w:rPr&gt;&lt;/w:lvl&gt;&lt;w:lvl w:ilvl="2" w:tplc="0C090005"&gt;&lt;w:start w:val="1"/&gt;&lt;w:numFmt w:val="bullet"/&gt;&lt;w:lvlText w:val=""/&gt;&lt;w:lvlJc w:val="left"/&gt;&lt;w:pPr&gt;&lt;w:ind w:left="3234" w:hanging="360"/&gt;&lt;/w:pPr&gt;&lt;w:rPr&gt;&lt;w:rFonts w:ascii="Wingdings" w:hAnsi="Wingdings" w:hint="default"/&gt;&lt;/w:rPr&gt;&lt;/w:lvl&gt;&lt;w:lvl w:ilvl="3" w:tplc="0C090001"&gt;&lt;w:start w:val="1"/&gt;&lt;w:numFmt w:val="bullet"/&gt;&lt;w:lvlText w:val=""/&gt;&lt;w:lvlJc w:val="left"/&gt;&lt;w:pPr&gt;&lt;w:ind w:left="3954" w:hanging="360"/&gt;&lt;/w:pPr&gt;&lt;w:rPr&gt;&lt;w:rFonts w:ascii="Symbol" w:hAnsi="Symbol" w:hint="default"/&gt;&lt;/w:rPr&gt;&lt;/w:lvl&gt;&lt;w:lvl w:ilvl="4" w:tplc="0C090003" w:tentative="1"&gt;&lt;w:start w:val="1"/&gt;&lt;w:numFmt w:val="bullet"/&gt;&lt;w:lvlText w:val="o"/&gt;&lt;w:lvlJc w:val="left"/&gt;&lt;w:pPr&gt;&lt;w:ind w:left="4674" w:hanging="360"/&gt;&lt;/w:pPr&gt;&lt;w:rPr&gt;&lt;w:rFonts w:ascii="Courier New" w:hAnsi="Courier New" w:cs="Courier New" w:hint="default"/&gt;&lt;/w:rPr&gt;&lt;/w:lvl&gt;&lt;w:lvl w:ilvl="5" w:tplc="0C090005" w:tentative="1"&gt;&lt;w:start w:val="1"/&gt;&lt;w:numFmt w:val="bullet"/&gt;&lt;w:lvlText w:val=""/&gt;&lt;w:lvlJc w:val="left"/&gt;&lt;w:pPr&gt;&lt;w:ind w:left="5394" w:hanging="360"/&gt;&lt;/w:pPr&gt;&lt;w:rPr&gt;&lt;w:rFonts w:ascii="Wingdings" w:hAnsi="Wingdings" w:hint="default"/&gt;&lt;/w:rPr&gt;&lt;/w:lvl&gt;&lt;w:lvl w:ilvl="6" w:tplc="0C090001" w:tentative="1"&gt;&lt;w:start w:val="1"/&gt;&lt;w:numFmt w:val="bullet"/&gt;&lt;w:lvlText w:val=""/&gt;&lt;w:lvlJc w:val="left"/&gt;&lt;w:pPr&gt;&lt;w:ind w:left="6114" w:hanging="360"/&gt;&lt;/w:pPr&gt;&lt;w:rPr&gt;&lt;w:rFonts w:ascii="Symbol" w:hAnsi="Symbol" w:hint="default"/&gt;&lt;/w:rPr&gt;&lt;/w:lvl&gt;&lt;w:lvl w:ilvl="7" w:tplc="0C090003" w:tentative="1"&gt;&lt;w:start w:val="1"/&gt;&lt;w:numFmt w:val="bullet"/&gt;&lt;w:lvlText w:val="o"/&gt;&lt;w:lvlJc w:val="left"/&gt;&lt;w:pPr&gt;&lt;w:ind w:left="6834" w:hanging="360"/&gt;&lt;/w:pPr&gt;&lt;w:rPr&gt;&lt;w:rFonts w:ascii="Courier New" w:hAnsi="Courier New" w:cs="Courier New" w:hint="default"/&gt;&lt;/w:rPr&gt;&lt;/w:lvl&gt;&lt;w:lvl w:ilvl="8" w:tplc="0C090005" w:tentative="1"&gt;&lt;w:start w:val="1"/&gt;&lt;w:numFmt w:val="bullet"/&gt;&lt;w:lvlText w:val=""/&gt;&lt;w:lvlJc w:val="left"/&gt;&lt;w:pPr&gt;&lt;w:ind w:left="7554" w:hanging="360"/&gt;&lt;/w:pPr&gt;&lt;w:rPr&gt;&lt;w:rFonts w:ascii="Wingdings" w:hAnsi="Wingdings" w:hint="default"/&gt;&lt;/w:rPr&gt;&lt;/w:lvl&gt;&lt;/w:abstractNum&gt;&lt;w:abstractNum w:abstractNumId="28" w15:restartNumberingAfterBreak="0"&gt;&lt;w:nsid w:val="7B140AA3"/&gt;&lt;w:multiLevelType w:val="hybridMultilevel"/&gt;&lt;w:tmpl w:val="F17A550A"/&gt;&lt;w:lvl w:ilvl="0" w:tplc="6044A9E2"&gt;&lt;w:start w:val="1"/&gt;&lt;w:numFmt w:val="bullet"/&gt;&lt;w:lvlText w:val="o"/&gt;&lt;w:lvlJc w:val="left"/&gt;&lt;w:pPr&gt;&lt;w:ind w:left="1434" w:hanging="360"/&gt;&lt;/w:pPr&gt;&lt;w:rPr&gt;&lt;w:rFonts w:ascii="Courier New" w:hAnsi="Courier New" w:cs="Courier New" w:hint="default"/&gt;&lt;w:color w:val="auto"/&gt;&lt;/w:rPr&gt;&lt;/w:lvl&gt;&lt;w:lvl w:ilvl="1" w:tplc="0C090003" w:tentative="1"&gt;&lt;w:start w:val="1"/&gt;&lt;w:numFmt w:val="bullet"/&gt;&lt;w:lvlText w:val="o"/&gt;&lt;w:lvlJc w:val="left"/&gt;&lt;w:pPr&gt;&lt;w:ind w:left="2154" w:hanging="360"/&gt;&lt;/w:pPr&gt;&lt;w:rPr&gt;&lt;w:rFonts w:ascii="Courier New" w:hAnsi="Courier New" w:cs="Courier New" w:hint="default"/&gt;&lt;/w:rPr&gt;&lt;/w:lvl&gt;&lt;w:lvl w:ilvl="2" w:tplc="0C090005" w:tentative="1"&gt;&lt;w:start w:val="1"/&gt;&lt;w:numFmt w:val="bullet"/&gt;&lt;w:lvlText w:val=""/&gt;&lt;w:lvlJc w:val="left"/&gt;&lt;w:pPr&gt;&lt;w:ind w:left="2874" w:hanging="360"/&gt;&lt;/w:pPr&gt;&lt;w:rPr&gt;&lt;w:rFonts w:ascii="Wingdings" w:hAnsi="Wingdings" w:hint="default"/&gt;&lt;/w:rPr&gt;&lt;/w:lvl&gt;&lt;w:lvl w:ilvl="3" w:tplc="0C090001" w:tentative="1"&gt;&lt;w:start w:val="1"/&gt;&lt;w:numFmt w:val="bullet"/&gt;&lt;w:lvlText w:val=""/&gt;&lt;w:lvlJc w:val="left"/&gt;&lt;w:pPr&gt;&lt;w:ind w:left="3594" w:hanging="360"/&gt;&lt;/w:pPr&gt;&lt;w:rPr&gt;&lt;w:rFonts w:ascii="Symbol" w:hAnsi="Symbol" w:hint="default"/&gt;&lt;/w:rPr&gt;&lt;/w:lvl&gt;&lt;w:lvl w:ilvl="4" w:tplc="0C090003" w:tentative="1"&gt;&lt;w:start w:val="1"/&gt;&lt;w:numFmt w:val="bullet"/&gt;&lt;w:lvlText w:val="o"/&gt;&lt;w:lvlJc w:val="left"/&gt;&lt;w:pPr&gt;&lt;w:ind w:left="4314" w:hanging="360"/&gt;&lt;/w:pPr&gt;&lt;w:rPr&gt;&lt;w:rFonts w:ascii="Courier New" w:hAnsi="Courier New" w:cs="Courier New" w:hint="default"/&gt;&lt;/w:rPr&gt;&lt;/w:lvl&gt;&lt;w:lvl w:ilvl="5" w:tplc="0C090005" w:tentative="1"&gt;&lt;w:start w:val="1"/&gt;&lt;w:numFmt w:val="bullet"/&gt;&lt;w:lvlText w:val=""/&gt;&lt;w:lvlJc w:val="left"/&gt;&lt;w:pPr&gt;&lt;w:ind w:left="5034" w:hanging="360"/&gt;&lt;/w:pPr&gt;&lt;w:rPr&gt;&lt;w:rFonts w:ascii="Wingdings" w:hAnsi="Wingdings" w:hint="default"/&gt;&lt;/w:rPr&gt;&lt;/w:lvl&gt;&lt;w:lvl w:ilvl="6" w:tplc="0C090001" w:tentative="1"&gt;&lt;w:start w:val="1"/&gt;&lt;w:numFmt w:val="bullet"/&gt;&lt;w:lvlText w:val=""/&gt;&lt;w:lvlJc w:val="left"/&gt;&lt;w:pPr&gt;&lt;w:ind w:left="5754" w:hanging="360"/&gt;&lt;/w:pPr&gt;&lt;w:rPr&gt;&lt;w:rFonts w:ascii="Symbol" w:hAnsi="Symbol" w:hint="default"/&gt;&lt;/w:rPr&gt;&lt;/w:lvl&gt;&lt;w:lvl w:ilvl="7" w:tplc="0C090003" w:tentative="1"&gt;&lt;w:start w:val="1"/&gt;&lt;w:numFmt w:val="bullet"/&gt;&lt;w:lvlText w:val="o"/&gt;&lt;w:lvlJc w:val="left"/&gt;&lt;w:pPr&gt;&lt;w:ind w:left="6474" w:hanging="360"/&gt;&lt;/w:pPr&gt;&lt;w:rPr&gt;&lt;w:rFonts w:ascii="Courier New" w:hAnsi="Courier New" w:cs="Courier New" w:hint="default"/&gt;&lt;/w:rPr&gt;&lt;/w:lvl&gt;&lt;w:lvl w:ilvl="8" w:tplc="0C090005" w:tentative="1"&gt;&lt;w:start w:val="1"/&gt;&lt;w:numFmt w:val="bullet"/&gt;&lt;w:lvlText w:val=""/&gt;&lt;w:lvlJc w:val="left"/&gt;&lt;w:pPr&gt;&lt;w:ind w:left="7194" w:hanging="360"/&gt;&lt;/w:pPr&gt;&lt;w:rPr&gt;&lt;w:rFonts w:ascii="Wingdings" w:hAnsi="Wingdings" w:hint="default"/&gt;&lt;/w:rPr&gt;&lt;/w:lvl&gt;&lt;/w:abstractNum&gt;&lt;w:num w:numId="1"&gt;&lt;w:abstractNumId w:val="9"/&gt;&lt;/w:num&gt;&lt;w:num w:numId="2"&gt;&lt;w:abstractNumId w:val="7"/&gt;&lt;/w:num&gt;&lt;w:num w:numId="3"&gt;&lt;w:abstractNumId w:val="6"/&gt;&lt;/w:num&gt;&lt;w:num w:numId="4"&gt;&lt;w:abstractNumId w:val="5"/&gt;&lt;/w:num&gt;&lt;w:num w:numId="5"&gt;&lt;w:abstractNumId w:val="4"/&gt;&lt;/w:num&gt;&lt;w:num w:numId="6"&gt;&lt;w:abstractNumId w:val="8"/&gt;&lt;/w:num&gt;&lt;w:num w:numId="7"&gt;&lt;w:abstractNumId w:val="3"/&gt;&lt;/w:num&gt;&lt;w:num w:numId="8"&gt;&lt;w:abstractNumId w:val="2"/&gt;&lt;/w:num&gt;&lt;w:num w:numId="9"&gt;&lt;w:abstractNumId w:val="1"/&gt;&lt;/w:num&gt;&lt;w:num w:numId="10"&gt;&lt;w:abstractNumId w:val="0"/&gt;&lt;/w:num&gt;&lt;w:num w:numId="11"&gt;&lt;w:abstractNumId w:val="19"/&gt;&lt;/w:num&gt;&lt;w:num w:numId="12"&gt;&lt;w:abstractNumId w:val="19"/&gt;&lt;w:lvlOverride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w:val="12"/&gt;&lt;/w:num&gt;&lt;w:num w:numId="14"&gt;&lt;w:abstractNumId w:val="16"/&gt;&lt;/w:num&gt;&lt;w:num w:numId="15"&gt;&lt;w:abstractNumId w:val="17"/&gt;&lt;/w:num&gt;&lt;w:num w:numId="16"&gt;&lt;w:abstractNumId w:val="15"/&gt;&lt;/w:num&gt;&lt;w:num w:numId="17"&gt;&lt;w:abstractNumId w:val="16"/&gt;&lt;w:lvlOverride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w:val="16"/&gt;&lt;w:lvlOverride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w:val="16"/&gt;&lt;w:lvlOverride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w:numId="20"&gt;&lt;w:abstractNumId w:val="16"/&gt;&lt;w:lvlOverride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w:numId="21"&gt;&lt;w:abstractNumId w:val="21"/&gt;&lt;/w:num&gt;&lt;w:num w:numId="22"&gt;&lt;w:abstractNumId w:val="18"/&gt;&lt;/w:num&gt;&lt;w:num w:numId="23"&gt;&lt;w:abstractNumId w:val="22"/&gt;&lt;/w:num&gt;&lt;w:num w:numId="24"&gt;&lt;w:abstractNumId w:val="10"/&gt;&lt;/w:num&gt;&lt;w:num w:numId="25"&gt;&lt;w:abstractNumId w:val="25"/&gt;&lt;/w:num&gt;&lt;w:num w:numId="26"&gt;&lt;w:abstractNumId w:val="20"/&gt;&lt;/w:num&gt;&lt;w:num w:numId="27"&gt;&lt;w:abstractNumId w:val="22"/&gt;&lt;w:lvlOverride w:ilvl="0"&gt;&lt;w:lvl w:ilvl="0"&gt;&lt;w:start w:val="1"/&gt;&lt;w:numFmt w:val="bullet"/&gt;&lt;w:lvlText w:val=""/&gt;&lt;w:lvlJc w:val="left"/&gt;&lt;w:pPr&gt;&lt;w:ind w:left="360" w:hanging="360"/&gt;&lt;/w:pPr&gt;&lt;w:rPr&gt;&lt;w:rFonts w:ascii="Symbol" w:hAnsi="Symbol" w:hint="default"/&gt;&lt;w:color w:val="47A843" w:themeColor="accent1"/&gt;&lt;/w:rPr&gt;&lt;/w:lvl&gt;&lt;/w:lvlOverride&gt;&lt;w:lvlOverride w:ilvl="1"&gt;&lt;w:lvl w:ilvl="1" w:tentative="1"&gt;&lt;w:start w:val="1"/&gt;&lt;w:numFmt w:val="bullet"/&gt;&lt;w:lvlText w:val="o"/&gt;&lt;w:lvlJc w:val="left"/&gt;&lt;w:pPr&gt;&lt;w:ind w:left="1080" w:hanging="360"/&gt;&lt;/w:pPr&gt;&lt;w:rPr&gt;&lt;w:rFonts w:ascii="Courier New" w:hAnsi="Courier New" w:cs="Courier New" w:hint="default"/&gt;&lt;/w:rPr&gt;&lt;/w:lvl&gt;&lt;/w:lvlOverride&gt;&lt;w:lvlOverride w:ilvl="2"&gt;&lt;w:lvl w:ilvl="2" w:tentative="1"&gt;&lt;w:start w:val="1"/&gt;&lt;w:numFmt w:val="bullet"/&gt;&lt;w:lvlText w:val=""/&gt;&lt;w:lvlJc w:val="left"/&gt;&lt;w:pPr&gt;&lt;w:ind w:left="1800" w:hanging="360"/&gt;&lt;/w:pPr&gt;&lt;w:rPr&gt;&lt;w:rFonts w:ascii="Wingdings" w:hAnsi="Wingdings" w:hint="default"/&gt;&lt;/w:rPr&gt;&lt;/w:lvl&gt;&lt;/w:lvlOverride&gt;&lt;w:lvlOverride w:ilvl="3"&gt;&lt;w:lvl w:ilvl="3" w:tentative="1"&gt;&lt;w:start w:val="1"/&gt;&lt;w:numFmt w:val="bullet"/&gt;&lt;w:lvlText w:val=""/&gt;&lt;w:lvlJc w:val="left"/&gt;&lt;w:pPr&gt;&lt;w:ind w:left="2520" w:hanging="360"/&gt;&lt;/w:pPr&gt;&lt;w:rPr&gt;&lt;w:rFonts w:ascii="Symbol" w:hAnsi="Symbol" w:hint="default"/&gt;&lt;/w:rPr&gt;&lt;/w:lvl&gt;&lt;/w:lvlOverride&gt;&lt;w:lvlOverride w:ilvl="4"&gt;&lt;w:lvl w:ilvl="4" w:tentative="1"&gt;&lt;w:start w:val="1"/&gt;&lt;w:numFmt w:val="bullet"/&gt;&lt;w:lvlText w:val="o"/&gt;&lt;w:lvlJc w:val="left"/&gt;&lt;w:pPr&gt;&lt;w:ind w:left="3240" w:hanging="360"/&gt;&lt;/w:pPr&gt;&lt;w:rPr&gt;&lt;w:rFonts w:ascii="Courier New" w:hAnsi="Courier New" w:cs="Courier New" w:hint="default"/&gt;&lt;/w:rPr&gt;&lt;/w:lvl&gt;&lt;/w:lvlOverride&gt;&lt;w:lvlOverride w:ilvl="5"&gt;&lt;w:lvl w:ilvl="5" w:tentative="1"&gt;&lt;w:start w:val="1"/&gt;&lt;w:numFmt w:val="bullet"/&gt;&lt;w:lvlText w:val=""/&gt;&lt;w:lvlJc w:val="left"/&gt;&lt;w:pPr&gt;&lt;w:ind w:left="3960" w:hanging="360"/&gt;&lt;/w:pPr&gt;&lt;w:rPr&gt;&lt;w:rFonts w:ascii="Wingdings" w:hAnsi="Wingdings" w:hint="default"/&gt;&lt;/w:rPr&gt;&lt;/w:lvl&gt;&lt;/w:lvlOverride&gt;&lt;w:lvlOverride w:ilvl="6"&gt;&lt;w:lvl w:ilvl="6" w:tentative="1"&gt;&lt;w:start w:val="1"/&gt;&lt;w:numFmt w:val="bullet"/&gt;&lt;w:lvlText w:val=""/&gt;&lt;w:lvlJc w:val="left"/&gt;&lt;w:pPr&gt;&lt;w:ind w:left="4680" w:hanging="360"/&gt;&lt;/w:pPr&gt;&lt;w:rPr&gt;&lt;w:rFonts w:ascii="Symbol" w:hAnsi="Symbol" w:hint="default"/&gt;&lt;/w:rPr&gt;&lt;/w:lvl&gt;&lt;/w:lvlOverride&gt;&lt;w:lvlOverride w:ilvl="7"&gt;&lt;w:lvl w:ilvl="7" w:tentative="1"&gt;&lt;w:start w:val="1"/&gt;&lt;w:numFmt w:val="bullet"/&gt;&lt;w:lvlText w:val="o"/&gt;&lt;w:lvlJc w:val="left"/&gt;&lt;w:pPr&gt;&lt;w:ind w:left="5400" w:hanging="360"/&gt;&lt;/w:pPr&gt;&lt;w:rPr&gt;&lt;w:rFonts w:ascii="Courier New" w:hAnsi="Courier New" w:cs="Courier New" w:hint="default"/&gt;&lt;/w:rPr&gt;&lt;/w:lvl&gt;&lt;/w:lvlOverride&gt;&lt;w:lvlOverride w:ilvl="8"&gt;&lt;w:lvl w:ilvl="8" w:tentative="1"&gt;&lt;w:start w:val="1"/&gt;&lt;w:numFmt w:val="bullet"/&gt;&lt;w:lvlText w:val=""/&gt;&lt;w:lvlJc w:val="left"/&gt;&lt;w:pPr&gt;&lt;w:ind w:left="6120" w:hanging="360"/&gt;&lt;/w:pPr&gt;&lt;w:rPr&gt;&lt;w:rFonts w:ascii="Wingdings" w:hAnsi="Wingdings" w:hint="default"/&gt;&lt;/w:rPr&gt;&lt;/w:lvl&gt;&lt;/w:lvlOverride&gt;&lt;/w:num&gt;&lt;w:num w:numId="28"&gt;&lt;w:abstractNumId w:val="11"/&gt;&lt;/w:num&gt;&lt;w:num w:numId="29"&gt;&lt;w:abstractNumId w:val="23"/&gt;&lt;/w:num&gt;&lt;w:num w:numId="30"&gt;&lt;w:abstractNumId w:val="26"/&gt;&lt;/w:num&gt;&lt;w:num w:numId="31"&gt;&lt;w:abstractNumId w:val="28"/&gt;&lt;/w:num&gt;&lt;w:num w:numId="32"&gt;&lt;w:abstractNumId w:val="27"/&gt;&lt;/w:num&gt;&lt;w:num w:numId="33"&gt;&lt;w:abstractNumId w:val="13"/&gt;&lt;/w:num&gt;&lt;w:num w:numId="34"&gt;&lt;w:abstractNumId w:val="24"/&gt;&lt;/w:num&gt;&lt;w:num w:numId="35"&gt;&lt;w:abstractNumId w:val="14"/&gt;&lt;/w:num&gt;&lt;/w:numbering&gt;&lt;/pkg:xmlData&gt;&lt;/pkg:part&gt;&lt;pkg:part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w:cstheme="minorBidi"/&gt;&lt;w:color w:val="000000" w:themeColor="text1"/&gt;&lt;w:sz w:val="21"/&gt;&lt;w:szCs w:val="21"/&gt;&lt;w:lang w:val="en-AU" w:eastAsia="en-US" w:bidi="ar-SA"/&gt;&lt;/w:rPr&gt;&lt;/w:rPrDefault&gt;&lt;w:pPrDefault&gt;&lt;w:pPr&gt;&lt;w:spacing w:before="120" w:after="120" w:line="276" w:lineRule="auto"/&gt;&lt;/w:pPr&gt;&lt;/w:pPrDefault&gt;&lt;/w:docDefaults&gt;&lt;w:style w:type="paragraph" w:default="1" w:styleId="Normal"&gt;&lt;w:name w:val="Normal"/&gt;&lt;w:qFormat/&gt;&lt;w:rsid w:val="003C6217"/&gt;&lt;/w:style&gt;&lt;w:style w:type="paragraph" w:styleId="Heading1"&gt;&lt;w:name w:val="heading 1"/&gt;&lt;w:basedOn w:val="Normal"/&gt;&lt;w:next w:val="Normal"/&gt;&lt;w:link w:val="Heading1Char"/&gt;&lt;w:uiPriority w:val="2"/&gt;&lt;w:qFormat/&gt;&lt;w:rsid w:val="004B70BA"/&gt;&lt;w:pPr&gt;&lt;w:keepNext/&gt;&lt;w:keepLines/&gt;&lt;w:numPr&gt;&lt;w:numId w:val="13"/&gt;&lt;/w:numPr&gt;&lt;w:pBdr&gt;&lt;w:bottom w:val="single" w:sz="4" w:space="6" w:color="auto"/&gt;&lt;/w:pBdr&gt;&lt;w:spacing w:before="360" w:line="240" w:lineRule="auto"/&gt;&lt;w:outlineLvl w:val="0"/&gt;&lt;/w:pPr&gt;&lt;w:rPr&gt;&lt;w:rFonts w:asciiTheme="majorHAnsi" w:eastAsiaTheme="majorEastAsia" w:hAnsiTheme="majorHAnsi" w:cstheme="majorBidi"/&gt;&lt;w:sz w:val="30"/&gt;&lt;w:szCs w:val="32"/&gt;&lt;/w:rPr&gt;&lt;/w:style&gt;&lt;w:style w:type="paragraph" w:styleId="Heading2"&gt;&lt;w:name w:val="heading 2"/&gt;&lt;w:basedOn w:val="Normal"/&gt;&lt;w:next w:val="Normal"/&gt;&lt;w:link w:val="Heading2Char"/&gt;&lt;w:uiPriority w:val="2"/&gt;&lt;w:qFormat/&gt;&lt;w:rsid w:val="001F67F4"/&gt;&lt;w:pPr&gt;&lt;w:keepNext/&gt;&lt;w:keepLines/&gt;&lt;w:numPr&gt;&lt;w:ilvl w:val="1"/&gt;&lt;w:numId w:val="13"/&gt;&lt;/w:numPr&gt;&lt;w:spacing w:before="240" w:after="180" w:line="240" w:lineRule="auto"/&gt;&lt;w:outlineLvl w:val="1"/&gt;&lt;/w:pPr&gt;&lt;w:rPr&gt;&lt;w:rFonts w:asciiTheme="majorHAnsi" w:eastAsiaTheme="majorEastAsia" w:hAnsiTheme="majorHAnsi" w:cstheme="majorBidi"/&gt;&lt;w:b/&gt;&lt;w:sz w:val="24"/&gt;&lt;w:szCs w:val="26"/&gt;&lt;/w:rPr&gt;&lt;/w:style&gt;&lt;w:style w:type="paragraph" w:styleId="Heading3"&gt;&lt;w:name w:val="heading 3"/&gt;&lt;w:basedOn w:val="Normal"/&gt;&lt;w:next w:val="Normal"/&gt;&lt;w:link w:val="Heading3Char"/&gt;&lt;w:uiPriority w:val="2"/&gt;&lt;w:qFormat/&gt;&lt;w:rsid w:val="001F67F4"/&gt;&lt;w:pPr&gt;&lt;w:keepNext/&gt;&lt;w:keepLines/&gt;&lt;w:numPr&gt;&lt;w:ilvl w:val="2"/&gt;&lt;w:numId w:val="13"/&gt;&lt;/w:numPr&gt;&lt;w:spacing w:before="240" w:after="60" w:line="240" w:lineRule="auto"/&gt;&lt;w:outlineLvl w:val="2"/&gt;&lt;/w:pPr&gt;&lt;w:rPr&gt;&lt;w:rFonts w:asciiTheme="majorHAnsi" w:eastAsiaTheme="majorEastAsia" w:hAnsiTheme="majorHAnsi" w:cstheme="majorBidi"/&gt;&lt;w:b/&gt;&lt;w:sz w:val="22"/&gt;&lt;w:szCs w:val="24"/&gt;&lt;/w:rPr&gt;&lt;/w:style&gt;&lt;w:style w:type="paragraph" w:styleId="Heading4"&gt;&lt;w:name w:val="heading 4"/&gt;&lt;w:basedOn w:val="Normal"/&gt;&lt;w:next w:val="Normal"/&gt;&lt;w:link w:val="Heading4Char"/&gt;&lt;w:uiPriority w:val="2"/&gt;&lt;w:qFormat/&gt;&lt;w:rsid w:val="00D30A58"/&gt;&lt;w:pPr&gt;&lt;w:keepNext/&gt;&lt;w:keepLines/&gt;&lt;w:numPr&gt;&lt;w:ilvl w:val="3"/&gt;&lt;w:numId w:val="13"/&gt;&lt;/w:numPr&gt;&lt;w:spacing w:before="240" w:after="60" w:line="240" w:lineRule="auto"/&gt;&lt;w:outlineLvl w:val="3"/&gt;&lt;/w:pPr&gt;&lt;w:rPr&gt;&lt;w:rFonts w:asciiTheme="majorHAnsi" w:eastAsiaTheme="majorEastAsia" w:hAnsiTheme="majorHAnsi" w:cstheme="majorBidi"/&gt;&lt;w:b/&gt;&lt;w:iCs/&gt;&lt;/w:rPr&gt;&lt;/w:style&gt;&lt;w:style w:type="paragraph" w:styleId="Heading5"&gt;&lt;w:name w:val="heading 5"/&gt;&lt;w:basedOn w:val="Normal"/&gt;&lt;w:next w:val="Normal"/&gt;&lt;w:link w:val="Heading5Char"/&gt;&lt;w:uiPriority w:val="2"/&gt;&lt;w:semiHidden/&gt;&lt;w:qFormat/&gt;&lt;w:rsid w:val="005C306E"/&gt;&lt;w:pPr&gt;&lt;w:keepNext/&gt;&lt;w:keepLines/&gt;&lt;w:numPr&gt;&lt;w:ilvl w:val="4"/&gt;&lt;w:numId w:val="13"/&gt;&lt;/w:numPr&gt;&lt;w:spacing w:before="240" w:after="60" w:line="240" w:lineRule="auto"/&gt;&lt;w:outlineLvl w:val="4"/&gt;&lt;/w:pPr&gt;&lt;w:rPr&gt;&lt;w:rFonts w:asciiTheme="majorHAnsi" w:eastAsiaTheme="majorEastAsia" w:hAnsiTheme="majorHAnsi" w:cstheme="majorBidi"/&gt;&lt;w:color w:val="47A843" w:themeColor="accent1"/&gt;&lt;/w:rPr&gt;&lt;/w:style&gt;&lt;w:style w:type="paragraph" w:styleId="Heading6"&gt;&lt;w:name w:val="heading 6"/&gt;&lt;w:basedOn w:val="Normal"/&gt;&lt;w:next w:val="Normal"/&gt;&lt;w:link w:val="Heading6Char"/&gt;&lt;w:uiPriority w:val="9"/&gt;&lt;w:semiHidden/&gt;&lt;w:qFormat/&gt;&lt;w:rsid w:val="005C306E"/&gt;&lt;w:pPr&gt;&lt;w:keepNext/&gt;&lt;w:keepLines/&gt;&lt;w:numPr&gt;&lt;w:ilvl w:val="5"/&gt;&lt;w:numId w:val="13"/&gt;&lt;/w:numPr&gt;&lt;w:spacing w:before="240" w:after="60" w:line="240" w:lineRule="auto"/&gt;&lt;w:outlineLvl w:val="5"/&gt;&lt;/w:pPr&gt;&lt;w:rPr&gt;&lt;w:rFonts w:asciiTheme="majorHAnsi" w:eastAsiaTheme="majorEastAsia" w:hAnsiTheme="majorHAnsi" w:cstheme="majorBidi"/&gt;&lt;w:color w:val="47A843" w:themeColor="accent1"/&gt;&lt;/w:rPr&gt;&lt;/w:style&gt;&lt;w:style w:type="paragraph" w:styleId="Heading7"&gt;&lt;w:name w:val="heading 7"/&gt;&lt;w:basedOn w:val="Normal"/&gt;&lt;w:next w:val="Normal"/&gt;&lt;w:link w:val="Heading7Char"/&gt;&lt;w:uiPriority w:val="6"/&gt;&lt;w:semiHidden/&gt;&lt;w:qFormat/&gt;&lt;w:rsid w:val="005C306E"/&gt;&lt;w:pPr&gt;&lt;w:keepNext/&gt;&lt;w:keepLines/&gt;&lt;w:numPr&gt;&lt;w:ilvl w:val="6"/&gt;&lt;w:numId w:val="13"/&gt;&lt;/w:numPr&gt;&lt;w:spacing w:before="240" w:after="60" w:line="240" w:lineRule="auto"/&gt;&lt;w:outlineLvl w:val="6"/&gt;&lt;/w:pPr&gt;&lt;w:rPr&gt;&lt;w:rFonts w:asciiTheme="majorHAnsi" w:eastAsiaTheme="majorEastAsia" w:hAnsiTheme="majorHAnsi" w:cstheme="majorBidi"/&gt;&lt;w:i/&gt;&lt;w:iCs/&gt;&lt;w:color w:val="47A843" w:themeColor="accent1"/&gt;&lt;/w:rPr&gt;&lt;/w:style&gt;&lt;w:style w:type="paragraph" w:styleId="Heading8"&gt;&lt;w:name w:val="heading 8"/&gt;&lt;w:basedOn w:val="Normal"/&gt;&lt;w:next w:val="Normal"/&gt;&lt;w:link w:val="Heading8Char"/&gt;&lt;w:uiPriority w:val="6"/&gt;&lt;w:qFormat/&gt;&lt;w:rsid w:val="0029347C"/&gt;&lt;w:pPr&gt;&lt;w:keepNext/&gt;&lt;w:keepLines/&gt;&lt;w:pageBreakBefore/&gt;&lt;w:numPr&gt;&lt;w:numId w:val="16"/&gt;&lt;/w:numPr&gt;&lt;w:pBdr&gt;&lt;w:bottom w:val="single" w:sz="2" w:space="6" w:color="auto"/&gt;&lt;/w:pBdr&gt;&lt;w:spacing w:before="360" w:line="240" w:lineRule="auto"/&gt;&lt;w:outlineLvl w:val="7"/&gt;&lt;/w:pPr&gt;&lt;w:rPr&gt;&lt;w:rFonts w:asciiTheme="majorHAnsi" w:eastAsiaTheme="majorEastAsia" w:hAnsiTheme="majorHAnsi" w:cstheme="majorBidi"/&gt;&lt;w:sz w:val="30"/&gt;&lt;/w:rPr&gt;&lt;/w:style&gt;&lt;w:style w:type="paragraph" w:styleId="Heading9"&gt;&lt;w:name w:val="heading 9"/&gt;&lt;w:basedOn w:val="Normal"/&gt;&lt;w:next w:val="Normal"/&gt;&lt;w:link w:val="Heading9Char"/&gt;&lt;w:uiPriority w:val="6"/&gt;&lt;w:qFormat/&gt;&lt;w:rsid w:val="0031324F"/&gt;&lt;w:pPr&gt;&lt;w:keepNext/&gt;&lt;w:keepLines/&gt;&lt;w:numPr&gt;&lt;w:ilvl w:val="1"/&gt;&lt;w:numId w:val="16"/&gt;&lt;/w:numPr&gt;&lt;w:spacing w:before="240" w:line="240" w:lineRule="auto"/&gt;&lt;w:outlineLvl w:val="8"/&gt;&lt;/w:pPr&gt;&lt;w:rPr&gt;&lt;w:rFonts w:asciiTheme="majorHAnsi" w:eastAsiaTheme="majorEastAsia" w:hAnsiTheme="majorHAnsi" w:cstheme="majorBidi"/&gt;&lt;w:b/&gt;&lt;w:iCs/&gt;&lt;w:sz w:val="24"/&gt;&lt;/w:rPr&gt;&lt;/w:style&gt;&lt;w:style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w:styleId="NoSpacing"&gt;&lt;w:name w:val="No Spacing"/&gt;&lt;w:uiPriority w:val="1"/&gt;&lt;w:qFormat/&gt;&lt;w:rsid w:val="00C506E0"/&gt;&lt;w:pPr&gt;&lt;w:spacing w:before="0" w:after="0"/&gt;&lt;/w:pPr&gt;&lt;/w:style&gt;&lt;w:style w:type="character" w:customStyle="1" w:styleId="Heading1Char"&gt;&lt;w:name w:val="Heading 1 Char"/&gt;&lt;w:basedOn w:val="DefaultParagraphFont"/&gt;&lt;w:link w:val="Heading1"/&gt;&lt;w:uiPriority w:val="2"/&gt;&lt;w:rsid w:val="009212C4"/&gt;&lt;w:rPr&gt;&lt;w:rFonts w:asciiTheme="majorHAnsi" w:eastAsiaTheme="majorEastAsia" w:hAnsiTheme="majorHAnsi" w:cstheme="majorBidi"/&gt;&lt;w:sz w:val="30"/&gt;&lt;w:szCs w:val="32"/&gt;&lt;/w:rPr&gt;&lt;/w:style&gt;&lt;w:style w:type="character" w:customStyle="1" w:styleId="Heading2Char"&gt;&lt;w:name w:val="Heading 2 Char"/&gt;&lt;w:basedOn w:val="DefaultParagraphFont"/&gt;&lt;w:link w:val="Heading2"/&gt;&lt;w:uiPriority w:val="2"/&gt;&lt;w:rsid w:val="009212C4"/&gt;&lt;w:rPr&gt;&lt;w:rFonts w:asciiTheme="majorHAnsi" w:eastAsiaTheme="majorEastAsia" w:hAnsiTheme="majorHAnsi" w:cstheme="majorBidi"/&gt;&lt;w:b/&gt;&lt;w:sz w:val="24"/&gt;&lt;w:szCs w:val="26"/&gt;&lt;/w:rPr&gt;&lt;/w:style&gt;&lt;w:style w:type="character" w:customStyle="1" w:styleId="Heading3Char"&gt;&lt;w:name w:val="Heading 3 Char"/&gt;&lt;w:basedOn w:val="DefaultParagraphFont"/&gt;&lt;w:link w:val="Heading3"/&gt;&lt;w:uiPriority w:val="2"/&gt;&lt;w:rsid w:val="009212C4"/&gt;&lt;w:rPr&gt;&lt;w:rFonts w:asciiTheme="majorHAnsi" w:eastAsiaTheme="majorEastAsia" w:hAnsiTheme="majorHAnsi" w:cstheme="majorBidi"/&gt;&lt;w:b/&gt;&lt;w:sz w:val="22"/&gt;&lt;w:szCs w:val="24"/&gt;&lt;/w:rPr&gt;&lt;/w:style&gt;&lt;w:style w:type="character" w:customStyle="1" w:styleId="Heading4Char"&gt;&lt;w:name w:val="Heading 4 Char"/&gt;&lt;w:basedOn w:val="DefaultParagraphFont"/&gt;&lt;w:link w:val="Heading4"/&gt;&lt;w:uiPriority w:val="2"/&gt;&lt;w:rsid w:val="009212C4"/&gt;&lt;w:rPr&gt;&lt;w:rFonts w:asciiTheme="majorHAnsi" w:eastAsiaTheme="majorEastAsia" w:hAnsiTheme="majorHAnsi" w:cstheme="majorBidi"/&gt;&lt;w:b/&gt;&lt;w:iCs/&gt;&lt;/w:rPr&gt;&lt;/w:style&gt;&lt;w:style w:type="character" w:customStyle="1" w:styleId="Heading5Char"&gt;&lt;w:name w:val="Heading 5 Char"/&gt;&lt;w:basedOn w:val="DefaultParagraphFont"/&gt;&lt;w:link w:val="Heading5"/&gt;&lt;w:uiPriority w:val="9"/&gt;&lt;w:semiHidden/&gt;&lt;w:rsid w:val="005C306E"/&gt;&lt;w:rPr&gt;&lt;w:rFonts w:asciiTheme="majorHAnsi" w:eastAsiaTheme="majorEastAsia" w:hAnsiTheme="majorHAnsi" w:cstheme="majorBidi"/&gt;&lt;w:color w:val="47A843" w:themeColor="accent1"/&gt;&lt;/w:rPr&gt;&lt;/w:style&gt;&lt;w:style w:type="character" w:customStyle="1" w:styleId="Heading6Char"&gt;&lt;w:name w:val="Heading 6 Char"/&gt;&lt;w:basedOn w:val="DefaultParagraphFont"/&gt;&lt;w:link w:val="Heading6"/&gt;&lt;w:uiPriority w:val="9"/&gt;&lt;w:semiHidden/&gt;&lt;w:rsid w:val="005C306E"/&gt;&lt;w:rPr&gt;&lt;w:rFonts w:asciiTheme="majorHAnsi" w:eastAsiaTheme="majorEastAsia" w:hAnsiTheme="majorHAnsi" w:cstheme="majorBidi"/&gt;&lt;w:color w:val="47A843" w:themeColor="accent1"/&gt;&lt;/w:rPr&gt;&lt;/w:style&gt;&lt;w:style w:type="character" w:customStyle="1" w:styleId="Heading7Char"&gt;&lt;w:name w:val="Heading 7 Char"/&gt;&lt;w:basedOn w:val="DefaultParagraphFont"/&gt;&lt;w:link w:val="Heading7"/&gt;&lt;w:uiPriority w:val="9"/&gt;&lt;w:semiHidden/&gt;&lt;w:rsid w:val="005C306E"/&gt;&lt;w:rPr&gt;&lt;w:rFonts w:asciiTheme="majorHAnsi" w:eastAsiaTheme="majorEastAsia" w:hAnsiTheme="majorHAnsi" w:cstheme="majorBidi"/&gt;&lt;w:i/&gt;&lt;w:iCs/&gt;&lt;w:color w:val="47A843" w:themeColor="accent1"/&gt;&lt;/w:rPr&gt;&lt;/w:style&gt;&lt;w:style w:type="character" w:customStyle="1" w:styleId="Heading8Char"&gt;&lt;w:name w:val="Heading 8 Char"/&gt;&lt;w:basedOn w:val="DefaultParagraphFont"/&gt;&lt;w:link w:val="Heading8"/&gt;&lt;w:uiPriority w:val="6"/&gt;&lt;w:rsid w:val="0029347C"/&gt;&lt;w:rPr&gt;&lt;w:rFonts w:asciiTheme="majorHAnsi" w:eastAsiaTheme="majorEastAsia" w:hAnsiTheme="majorHAnsi" w:cstheme="majorBidi"/&gt;&lt;w:sz w:val="30"/&gt;&lt;/w:rPr&gt;&lt;/w:style&gt;&lt;w:style w:type="character" w:customStyle="1" w:styleId="Heading9Char"&gt;&lt;w:name w:val="Heading 9 Char"/&gt;&lt;w:basedOn w:val="DefaultParagraphFont"/&gt;&lt;w:link w:val="Heading9"/&gt;&lt;w:uiPriority w:val="6"/&gt;&lt;w:rsid w:val="0031324F"/&gt;&lt;w:rPr&gt;&lt;w:rFonts w:asciiTheme="majorHAnsi" w:eastAsiaTheme="majorEastAsia" w:hAnsiTheme="majorHAnsi" w:cstheme="majorBidi"/&gt;&lt;w:b/&gt;&lt;w:iCs/&gt;&lt;w:sz w:val="24"/&gt;&lt;w:szCs w:val="21"/&gt;&lt;/w:rPr&gt;&lt;/w:style&gt;&lt;w:style w:type="paragraph" w:styleId="ListBullet"&gt;&lt;w:name w:val="List Bullet"/&gt;&lt;w:basedOn w:val="Normal"/&gt;&lt;w:uiPriority w:val="3"/&gt;&lt;w:qFormat/&gt;&lt;w:rsid w:val="00AF7EAA"/&gt;&lt;w:pPr&gt;&lt;w:numPr&gt;&lt;w:numId w:val="11"/&gt;&lt;/w:numPr&gt;&lt;w:contextualSpacing/&gt;&lt;/w:pPr&gt;&lt;/w:style&gt;&lt;w:style w:type="numbering" w:customStyle="1" w:styleId="BulletList"&gt;&lt;w:name w:val="Bullet List"/&gt;&lt;w:uiPriority w:val="99"/&gt;&lt;w:rsid w:val="00AF7EAA"/&gt;&lt;w:pPr&gt;&lt;w:numPr&gt;&lt;w:numId w:val="11"/&gt;&lt;/w:numPr&gt;&lt;/w:pPr&gt;&lt;/w:style&gt;&lt;w:style w:type="paragraph" w:styleId="ListParagraph"&gt;&lt;w:name w:val="List Paragraph"/&gt;&lt;w:basedOn w:val="Normal"/&gt;&lt;w:uiPriority w:val="4"/&gt;&lt;w:qFormat/&gt;&lt;w:rsid w:val="002D7DF6"/&gt;&lt;w:pPr&gt;&lt;w:ind w:left="357"/&gt;&lt;w:contextualSpacing/&gt;&lt;/w:pPr&gt;&lt;/w:style&gt;&lt;w:style w:type="paragraph" w:styleId="ListBullet2"&gt;&lt;w:name w:val="List Bullet 2"/&gt;&lt;w:basedOn w:val="Normal"/&gt;&lt;w:uiPriority w:val="3"/&gt;&lt;w:qFormat/&gt;&lt;w:rsid w:val="00AF7EAA"/&gt;&lt;w:pPr&gt;&lt;w:numPr&gt;&lt;w:ilvl w:val="1"/&gt;&lt;w:numId w:val="11"/&gt;&lt;/w:numPr&gt;&lt;w:contextualSpacing/&gt;&lt;/w:pPr&gt;&lt;/w:style&gt;&lt;w:style w:type="paragraph" w:styleId="ListBullet3"&gt;&lt;w:name w:val="List Bullet 3"/&gt;&lt;w:basedOn w:val="Normal"/&gt;&lt;w:uiPriority w:val="3"/&gt;&lt;w:qFormat/&gt;&lt;w:rsid w:val="00AF7EAA"/&gt;&lt;w:pPr&gt;&lt;w:numPr&gt;&lt;w:ilvl w:val="2"/&gt;&lt;w:numId w:val="11"/&gt;&lt;/w:numPr&gt;&lt;w:contextualSpacing/&gt;&lt;/w:pPr&gt;&lt;/w:style&gt;&lt;w:style w:type="paragraph" w:styleId="ListBullet4"&gt;&lt;w:name w:val="List Bullet 4"/&gt;&lt;w:basedOn w:val="Normal"/&gt;&lt;w:uiPriority w:val="3"/&gt;&lt;w:rsid w:val="00AF7EAA"/&gt;&lt;w:pPr&gt;&lt;w:numPr&gt;&lt;w:ilvl w:val="3"/&gt;&lt;w:numId w:val="11"/&gt;&lt;/w:numPr&gt;&lt;w:contextualSpacing/&gt;&lt;/w:pPr&gt;&lt;/w:style&gt;&lt;w:style w:type="paragraph" w:styleId="FootnoteText"&gt;&lt;w:name w:val="footnote text"/&gt;&lt;w:basedOn w:val="Normal"/&gt;&lt;w:link w:val="FootnoteTextChar"/&gt;&lt;w:uiPriority w:val="99"/&gt;&lt;w:rsid w:val="005C306E"/&gt;&lt;w:pPr&gt;&lt;w:tabs&gt;&lt;w:tab w:val="left" w:pos="227"/&gt;&lt;/w:tabs&gt;&lt;w:spacing w:before="0" w:after="0" w:line="240" w:lineRule="auto"/&gt;&lt;w:ind w:left="227" w:hanging="227"/&gt;&lt;/w:pPr&gt;&lt;w:rPr&gt;&lt;w:sz w:val="18"/&gt;&lt;w:szCs w:val="20"/&gt;&lt;/w:rPr&gt;&lt;/w:style&gt;&lt;w:style w:type="paragraph" w:styleId="ListBullet5"&gt;&lt;w:name w:val="List Bullet 5"/&gt;&lt;w:basedOn w:val="Normal"/&gt;&lt;w:uiPriority w:val="3"/&gt;&lt;w:rsid w:val="00AF7EAA"/&gt;&lt;w:pPr&gt;&lt;w:numPr&gt;&lt;w:ilvl w:val="4"/&gt;&lt;w:numId w:val="11"/&gt;&lt;/w:numPr&gt;&lt;w:contextualSpacing/&gt;&lt;/w:pPr&gt;&lt;/w:style&gt;&lt;w:style w:type="numbering" w:styleId="111111"&gt;&lt;w:name w:val="Outline List 2"/&gt;&lt;w:basedOn w:val="NoList"/&gt;&lt;w:uiPriority w:val="99"/&gt;&lt;w:semiHidden/&gt;&lt;w:unhideWhenUsed/&gt;&lt;w:rsid w:val="00BF4202"/&gt;&lt;w:pPr&gt;&lt;w:numPr&gt;&lt;w:numId w:val="13"/&gt;&lt;/w:numPr&gt;&lt;/w:pPr&gt;&lt;/w:style&gt;&lt;w:style w:type="numbering" w:styleId="1ai"&gt;&lt;w:name w:val="Outline List 1"/&gt;&lt;w:basedOn w:val="NoList"/&gt;&lt;w:uiPriority w:val="99"/&gt;&lt;w:semiHidden/&gt;&lt;w:unhideWhenUsed/&gt;&lt;w:rsid w:val="00BF4202"/&gt;&lt;w:pPr&gt;&lt;w:numPr&gt;&lt;w:numId w:val="14"/&gt;&lt;/w:numPr&gt;&lt;/w:pPr&gt;&lt;/w:style&gt;&lt;w:style w:type="paragraph" w:styleId="ListNumber"&gt;&lt;w:name w:val="List Number"/&gt;&lt;w:basedOn w:val="Normal"/&gt;&lt;w:uiPriority w:val="3"/&gt;&lt;w:rsid w:val="00BF4202"/&gt;&lt;w:pPr&gt;&lt;w:numPr&gt;&lt;w:numId w:val="14"/&gt;&lt;/w:numPr&gt;&lt;w:contextualSpacing/&gt;&lt;/w:pPr&gt;&lt;/w:style&gt;&lt;w:style w:type="paragraph" w:styleId="ListNumber2"&gt;&lt;w:name w:val="List Number 2"/&gt;&lt;w:basedOn w:val="Normal"/&gt;&lt;w:uiPriority w:val="3"/&gt;&lt;w:rsid w:val="00BF4202"/&gt;&lt;w:pPr&gt;&lt;w:numPr&gt;&lt;w:ilvl w:val="1"/&gt;&lt;w:numId w:val="14"/&gt;&lt;/w:numPr&gt;&lt;w:contextualSpacing/&gt;&lt;/w:pPr&gt;&lt;/w:style&gt;&lt;w:style w:type="paragraph" w:styleId="ListNumber3"&gt;&lt;w:name w:val="List Number 3"/&gt;&lt;w:basedOn w:val="Normal"/&gt;&lt;w:uiPriority w:val="3"/&gt;&lt;w:rsid w:val="00BF4202"/&gt;&lt;w:pPr&gt;&lt;w:numPr&gt;&lt;w:ilvl w:val="2"/&gt;&lt;w:numId w:val="14"/&gt;&lt;/w:numPr&gt;&lt;w:contextualSpacing/&gt;&lt;/w:pPr&gt;&lt;/w:style&gt;&lt;w:style w:type="paragraph" w:styleId="ListNumber4"&gt;&lt;w:name w:val="List Number 4"/&gt;&lt;w:basedOn w:val="Normal"/&gt;&lt;w:uiPriority w:val="3"/&gt;&lt;w:rsid w:val="00BF4202"/&gt;&lt;w:pPr&gt;&lt;w:numPr&gt;&lt;w:ilvl w:val="3"/&gt;&lt;w:numId w:val="14"/&gt;&lt;/w:numPr&gt;&lt;w:contextualSpacing/&gt;&lt;/w:pPr&gt;&lt;/w:style&gt;&lt;w:style w:type="paragraph" w:styleId="ListNumber5"&gt;&lt;w:name w:val="List Number 5"/&gt;&lt;w:basedOn w:val="Normal"/&gt;&lt;w:uiPriority w:val="3"/&gt;&lt;w:rsid w:val="00BF4202"/&gt;&lt;w:pPr&gt;&lt;w:numPr&gt;&lt;w:ilvl w:val="4"/&gt;&lt;w:numId w:val="14"/&gt;&lt;/w:numPr&gt;&lt;w:contextualSpacing/&gt;&lt;/w:pPr&gt;&lt;/w:style&gt;&lt;w:style w:type="character" w:customStyle="1" w:styleId="FootnoteTextChar"&gt;&lt;w:name w:val="Footnote Text Char"/&gt;&lt;w:basedOn w:val="DefaultParagraphFont"/&gt;&lt;w:link w:val="FootnoteText"/&gt;&lt;w:uiPriority w:val="44"/&gt;&lt;w:rsid w:val="005C306E"/&gt;&lt;w:rPr&gt;&lt;w:sz w:val="18"/&gt;&lt;w:szCs w:val="20"/&gt;&lt;/w:rPr&gt;&lt;/w:style&gt;&lt;w:style w:type="character" w:styleId="FootnoteReference"&gt;&lt;w:name w:val="footnote reference"/&gt;&lt;w:basedOn w:val="DefaultParagraphFont"/&gt;&lt;w:uiPriority w:val="99"/&gt;&lt;w:rsid w:val="005C306E"/&gt;&lt;w:rPr&gt;&lt;w:vertAlign w:val="superscript"/&gt;&lt;/w:rPr&gt;&lt;/w:style&gt;&lt;w:style w:type="paragraph" w:styleId="Caption"&gt;&lt;w:name w:val="caption"/&gt;&lt;w:basedOn w:val="Normal"/&gt;&lt;w:next w:val="Normal"/&gt;&lt;w:uiPriority w:val="20"/&gt;&lt;w:qFormat/&gt;&lt;w:rsid w:val="00FC6185"/&gt;&lt;w:pPr&gt;&lt;w:spacing w:line="240" w:lineRule="auto"/&gt;&lt;/w:pPr&gt;&lt;w:rPr&gt;&lt;w:iCs/&gt;&lt;w:color w:val="595959" w:themeColor="text1" w:themeTint="A6"/&gt;&lt;w:sz w:val="16"/&gt;&lt;w:szCs w:val="18"/&gt;&lt;/w:rPr&gt;&lt;/w:style&gt;&lt;w:style w:type="paragraph" w:styleId="NoteHeading"&gt;&lt;w:name w:val="Note Heading"/&gt;&lt;w:basedOn w:val="Normal"/&gt;&lt;w:next w:val="Normal"/&gt;&lt;w:link w:val="NoteHeadingChar"/&gt;&lt;w:uiPriority w:val="20"/&gt;&lt;w:semiHidden/&gt;&lt;w:rsid w:val="002D7DF6"/&gt;&lt;w:pPr&gt;&lt;w:spacing w:before="60" w:after="240" w:line="240" w:lineRule="auto"/&gt;&lt;/w:pPr&gt;&lt;w:rPr&gt;&lt;w:sz w:val="18"/&gt;&lt;/w:rPr&gt;&lt;/w:style&gt;&lt;w:style w:type="character" w:customStyle="1" w:styleId="NoteHeadingChar"&gt;&lt;w:name w:val="Note Heading Char"/&gt;&lt;w:basedOn w:val="DefaultParagraphFont"/&gt;&lt;w:link w:val="NoteHeading"/&gt;&lt;w:uiPriority w:val="20"/&gt;&lt;w:semiHidden/&gt;&lt;w:rsid w:val="00F30097"/&gt;&lt;w:rPr&gt;&lt;w:sz w:val="18"/&gt;&lt;/w:rPr&gt;&lt;/w:style&gt;&lt;w:style w:type="paragraph" w:styleId="IntenseQuote"&gt;&lt;w:name w:val="Intense Quote"/&gt;&lt;w:basedOn w:val="Normal"/&gt;&lt;w:next w:val="Normal"/&gt;&lt;w:link w:val="IntenseQuoteChar"/&gt;&lt;w:uiPriority w:val="30"/&gt;&lt;w:semiHidden/&gt;&lt;w:qFormat/&gt;&lt;w:locked/&gt;&lt;w:rsid w:val="005C306E"/&gt;&lt;w:pPr&gt;&lt;w:spacing w:before="240" w:after="240"/&gt;&lt;/w:pPr&gt;&lt;w:rPr&gt;&lt;w:b/&gt;&lt;w:iCs/&gt;&lt;w:color w:val="47A843" w:themeColor="accent1"/&gt;&lt;w:sz w:val="26"/&gt;&lt;/w:rPr&gt;&lt;/w:style&gt;&lt;w:style w:type="character" w:customStyle="1" w:styleId="IntenseQuoteChar"&gt;&lt;w:name w:val="Intense Quote Char"/&gt;&lt;w:basedOn w:val="DefaultParagraphFont"/&gt;&lt;w:link w:val="IntenseQuote"/&gt;&lt;w:uiPriority w:val="30"/&gt;&lt;w:semiHidden/&gt;&lt;w:rsid w:val="005761C3"/&gt;&lt;w:rPr&gt;&lt;w:b/&gt;&lt;w:iCs/&gt;&lt;w:color w:val="47A843" w:themeColor="accent1"/&gt;&lt;w:sz w:val="26"/&gt;&lt;/w:rPr&gt;&lt;/w:style&gt;&lt;w:style w:type="paragraph" w:styleId="Salutation"&gt;&lt;w:name w:val="Salutation"/&gt;&lt;w:basedOn w:val="Normal"/&gt;&lt;w:next w:val="Normal"/&gt;&lt;w:link w:val="SalutationChar"/&gt;&lt;w:uiPriority w:val="34"/&gt;&lt;w:rsid w:val="005C306E"/&gt;&lt;w:pPr&gt;&lt;w:spacing w:before="0" w:after="0"/&gt;&lt;/w:pPr&gt;&lt;w:rPr&gt;&lt;w:b/&gt;&lt;/w:rPr&gt;&lt;/w:style&gt;&lt;w:style w:type="character" w:customStyle="1" w:styleId="SalutationChar"&gt;&lt;w:name w:val="Salutation Char"/&gt;&lt;w:basedOn w:val="DefaultParagraphFont"/&gt;&lt;w:link w:val="Salutation"/&gt;&lt;w:uiPriority w:val="34"/&gt;&lt;w:rsid w:val="005C306E"/&gt;&lt;w:rPr&gt;&lt;w:b/&gt;&lt;/w:rPr&gt;&lt;/w:style&gt;&lt;w:style w:type="paragraph" w:styleId="Signature"&gt;&lt;w:name w:val="Signature"/&gt;&lt;w:basedOn w:val="Normal"/&gt;&lt;w:link w:val="SignatureChar"/&gt;&lt;w:uiPriority w:val="34"/&gt;&lt;w:rsid w:val="00990E11"/&gt;&lt;w:pPr&gt;&lt;w:spacing w:before="1080" w:after="0" w:line="240" w:lineRule="auto"/&gt;&lt;w:contextualSpacing/&gt;&lt;/w:pPr&gt;&lt;/w:style&gt;&lt;w:style w:type="character" w:customStyle="1" w:styleId="SignatureChar"&gt;&lt;w:name w:val="Signature Char"/&gt;&lt;w:basedOn w:val="DefaultParagraphFont"/&gt;&lt;w:link w:val="Signature"/&gt;&lt;w:uiPriority w:val="34"/&gt;&lt;w:rsid w:val="00990E11"/&gt;&lt;/w:style&gt;&lt;w:style w:type="paragraph" w:styleId="Date"&gt;&lt;w:name w:val="Date"/&gt;&lt;w:basedOn w:val="Normal"/&gt;&lt;w:next w:val="Normal"/&gt;&lt;w:link w:val="DateChar"/&gt;&lt;w:uiPriority w:val="34"/&gt;&lt;w:rsid w:val="00595A34"/&gt;&lt;w:pPr&gt;&lt;w:spacing w:before="0" w:after="360"/&gt;&lt;/w:pPr&gt;&lt;/w:style&gt;&lt;w:style w:type="character" w:customStyle="1" w:styleId="DateChar"&gt;&lt;w:name w:val="Date Char"/&gt;&lt;w:basedOn w:val="DefaultParagraphFont"/&gt;&lt;w:link w:val="Date"/&gt;&lt;w:uiPriority w:val="34"/&gt;&lt;w:rsid w:val="00595A34"/&gt;&lt;/w:style&gt;&lt;w:style w:type="paragraph" w:styleId="EnvelopeAddress"&gt;&lt;w:name w:val="envelope address"/&gt;&lt;w:basedOn w:val="Normal"/&gt;&lt;w:uiPriority w:val="34"/&gt;&lt;w:rsid w:val="005C306E"/&gt;&lt;w:pPr&gt;&lt;w:spacing w:before="600" w:after="600" w:line="240" w:lineRule="auto"/&gt;&lt;w:contextualSpacing/&gt;&lt;/w:pPr&gt;&lt;w:rPr&gt;&lt;w:rFonts w:eastAsiaTheme="majorEastAsia" w:cstheme="majorBidi"/&gt;&lt;w:szCs w:val="24"/&gt;&lt;/w:rPr&gt;&lt;/w:style&gt;&lt;w:style w:type="paragraph" w:styleId="Title"&gt;&lt;w:name w:val="Title"/&gt;&lt;w:basedOn w:val="Normal"/&gt;&lt;w:next w:val="Normal"/&gt;&lt;w:link w:val="TitleChar"/&gt;&lt;w:uiPriority w:val="38"/&gt;&lt;w:rsid w:val="001F67F4"/&gt;&lt;w:pPr&gt;&lt;w:spacing w:before="1680" w:after="180" w:line="240" w:lineRule="auto"/&gt;&lt;w:contextualSpacing/&gt;&lt;/w:pPr&gt;&lt;w:rPr&gt;&lt;w:rFonts w:asciiTheme="majorHAnsi" w:eastAsiaTheme="majorEastAsia" w:hAnsiTheme="majorHAnsi" w:cstheme="majorBidi"/&gt;&lt;w:b/&gt;&lt;w:color w:val="auto"/&gt;&lt;w:kern w:val="28"/&gt;&lt;w:sz w:val="40"/&gt;&lt;w:szCs w:val="56"/&gt;&lt;/w:rPr&gt;&lt;/w:style&gt;&lt;w:style w:type="character" w:customStyle="1" w:styleId="TitleChar"&gt;&lt;w:name w:val="Title Char"/&gt;&lt;w:basedOn w:val="DefaultParagraphFont"/&gt;&lt;w:link w:val="Title"/&gt;&lt;w:uiPriority w:val="38"/&gt;&lt;w:rsid w:val="001F67F4"/&gt;&lt;w:rPr&gt;&lt;w:rFonts w:asciiTheme="majorHAnsi" w:eastAsiaTheme="majorEastAsia" w:hAnsiTheme="majorHAnsi" w:cstheme="majorBidi"/&gt;&lt;w:b/&gt;&lt;w:color w:val="auto"/&gt;&lt;w:kern w:val="28"/&gt;&lt;w:sz w:val="40"/&gt;&lt;w:szCs w:val="56"/&gt;&lt;/w:rPr&gt;&lt;/w:style&gt;&lt;w:style w:type="paragraph" w:styleId="Subtitle"&gt;&lt;w:name w:val="Subtitle"/&gt;&lt;w:basedOn w:val="Title"/&gt;&lt;w:next w:val="Normal"/&gt;&lt;w:link w:val="SubtitleChar"/&gt;&lt;w:uiPriority w:val="38"/&gt;&lt;w:rsid w:val="00136220"/&gt;&lt;w:pPr&gt;&lt;w:numPr&gt;&lt;w:ilvl w:val="1"/&gt;&lt;/w:numPr&gt;&lt;w:spacing w:before="120" w:after="120"/&gt;&lt;/w:pPr&gt;&lt;w:rPr&gt;&lt;w:rFonts w:asciiTheme="minorHAnsi" w:eastAsiaTheme="minorEastAsia" w:hAnsiTheme="minorHAnsi"/&gt;&lt;w:b w:val="0"/&gt;&lt;w:color w:val="000000" w:themeColor="text1"/&gt;&lt;w:kern w:val="0"/&gt;&lt;w:sz w:val="24"/&gt;&lt;w:szCs w:val="22"/&gt;&lt;/w:rPr&gt;&lt;/w:style&gt;&lt;w:style w:type="character" w:customStyle="1" w:styleId="SubtitleChar"&gt;&lt;w:name w:val="Subtitle Char"/&gt;&lt;w:basedOn w:val="DefaultParagraphFont"/&gt;&lt;w:link w:val="Subtitle"/&gt;&lt;w:uiPriority w:val="38"/&gt;&lt;w:rsid w:val="00136220"/&gt;&lt;w:rPr&gt;&lt;w:rFonts w:eastAsiaTheme="minorEastAsia" w:cstheme="majorBidi"/&gt;&lt;w:sz w:val="24"/&gt;&lt;w:szCs w:val="22"/&gt;&lt;/w:rPr&gt;&lt;/w:style&gt;&lt;w:style w:type="table" w:styleId="TableGrid"&gt;&lt;w:name w:val="Table Grid"/&gt;&lt;w:basedOn w:val="TableNormal"/&gt;&lt;w:uiPriority w:val="59"/&gt;&lt;w:rsid w:val="00E30372"/&gt;&lt;w:pPr&gt;&lt;w:spacing w:before="60" w:after="60" w:line="240" w:lineRule="auto"/&gt;&lt;/w:pPr&gt;&lt;w:rPr&gt;&lt;w:sz w:val="20"/&gt;&lt;w:szCs w:val="20"/&gt;&lt;/w:rPr&gt;&lt;w:tblPr&gt;&lt;w:tblBorders&gt;&lt;w:top w:val="single" w:sz="2" w:space="0" w:color="BFBFBF" w:themeColor="background1" w:themeShade="BF"/&gt;&lt;w:left w:val="single" w:sz="2" w:space="0" w:color="BFBFBF" w:themeColor="background1" w:themeShade="BF"/&gt;&lt;w:bottom w:val="single" w:sz="2" w:space="0" w:color="BFBFBF" w:themeColor="background1" w:themeShade="BF"/&gt;&lt;w:right w:val="single" w:sz="2" w:space="0" w:color="BFBFBF" w:themeColor="background1" w:themeShade="BF"/&gt;&lt;w:insideH w:val="single" w:sz="2" w:space="0" w:color="BFBFBF" w:themeColor="background1" w:themeShade="BF"/&gt;&lt;w:insideV w:val="single" w:sz="2" w:space="0" w:color="BFBFBF" w:themeColor="background1" w:themeShade="BF"/&gt;&lt;/w:tblBorders&gt;&lt;/w:tblPr&gt;&lt;w:tblStylePr w:type="firstRow"&gt;&lt;w:rPr&gt;&lt;w:b/&gt;&lt;w:color w:val="FFFFFF" w:themeColor="background1"/&gt;&lt;/w:rPr&gt;&lt;w:tblPr/&gt;&lt;w:trPr&gt;&lt;w:tblHeader/&gt;&lt;/w:trPr&gt;&lt;w:tcPr&gt;&lt;w:shd w:val="clear" w:color="auto" w:fill="47A843" w:themeFill="accent1"/&gt;&lt;/w:tcPr&gt;&lt;/w:tblStylePr&gt;&lt;/w:style&gt;&lt;w:style w:type="character" w:styleId="PlaceholderText"&gt;&lt;w:name w:val="Placeholder Text"/&gt;&lt;w:basedOn w:val="DefaultParagraphFont"/&gt;&lt;w:uiPriority w:val="99"/&gt;&lt;w:rsid w:val="002D7DF6"/&gt;&lt;w:rPr&gt;&lt;w:noProof w:val="0"/&gt;&lt;w:color w:val="FF0000"/&gt;&lt;w:sz w:val="18"/&gt;&lt;w:lang w:val="en-AU"/&gt;&lt;/w:rPr&gt;&lt;/w:style&gt;&lt;w:style w:type="table" w:customStyle="1" w:styleId="TableHidden"&gt;&lt;w:name w:val="Table Hidden"/&gt;&lt;w:basedOn w:val="TableNormal"/&gt;&lt;w:uiPriority w:val="99"/&gt;&lt;w:rsid w:val="002D7DF6"/&gt;&lt;w:tblPr&gt;&lt;w:tblCellMar&gt;&lt;w:left w:w="0" w:type="dxa"/&gt;&lt;w:right w:w="0" w:type="dxa"/&gt;&lt;/w:tblCellMar&gt;&lt;/w:tblPr&gt;&lt;/w:style&gt;&lt;w:style w:type="numbering" w:customStyle="1" w:styleId="AppendixList"&gt;&lt;w:name w:val="Appendix List"/&gt;&lt;w:uiPriority w:val="99"/&gt;&lt;w:rsid w:val="006C6FBA"/&gt;&lt;w:pPr&gt;&lt;w:numPr&gt;&lt;w:numId w:val="16"/&gt;&lt;/w:numPr&gt;&lt;/w:pPr&gt;&lt;/w:style&gt;&lt;w:style w:type="paragraph" w:styleId="Quote"&gt;&lt;w:name w:val="Quote"/&gt;&lt;w:basedOn w:val="Normal"/&gt;&lt;w:next w:val="Normal"/&gt;&lt;w:link w:val="QuoteChar"/&gt;&lt;w:uiPriority w:val="29"/&gt;&lt;w:qFormat/&gt;&lt;w:rsid w:val="001F67F4"/&gt;&lt;w:pPr&gt;&lt;w:spacing w:before="360" w:after="360"/&gt;&lt;w:ind w:left="567" w:right="567"/&gt;&lt;/w:pPr&gt;&lt;w:rPr&gt;&lt;w:iCs/&gt;&lt;w:color w:val="7F7F7F" w:themeColor="text1" w:themeTint="80"/&gt;&lt;w:sz w:val="36"/&gt;&lt;/w:rPr&gt;&lt;/w:style&gt;&lt;w:style w:type="character" w:customStyle="1" w:styleId="QuoteChar"&gt;&lt;w:name w:val="Quote Char"/&gt;&lt;w:basedOn w:val="DefaultParagraphFont"/&gt;&lt;w:link w:val="Quote"/&gt;&lt;w:uiPriority w:val="29"/&gt;&lt;w:rsid w:val="001F67F4"/&gt;&lt;w:rPr&gt;&lt;w:iCs/&gt;&lt;w:color w:val="7F7F7F" w:themeColor="text1" w:themeTint="80"/&gt;&lt;w:sz w:val="36"/&gt;&lt;/w:rPr&gt;&lt;/w:style&gt;&lt;w:style w:type="table" w:customStyle="1" w:styleId="TablewithOptions"&gt;&lt;w:name w:val="Table with Options"/&gt;&lt;w:basedOn w:val="TableGrid"/&gt;&lt;w:uiPriority w:val="99"/&gt;&lt;w:rsid w:val="00B87C98"/&gt;&lt;w:tblPr&gt;&lt;w:tblStyleRowBandSize w:val="1"/&gt;&lt;/w:tblPr&gt;&lt;w:tblStylePr w:type="firstRow"&gt;&lt;w:rPr&gt;&lt;w:b/&gt;&lt;w:color w:val="FFFFFF" w:themeColor="background1"/&gt;&lt;/w:rPr&gt;&lt;w:tblPr/&gt;&lt;w:trPr&gt;&lt;w:tblHeader/&gt;&lt;/w:trPr&gt;&lt;w:tcPr&gt;&lt;w:shd w:val="clear" w:color="auto" w:fill="47A843" w:themeFill="accent1"/&gt;&lt;/w:tcPr&gt;&lt;/w:tblStylePr&gt;&lt;w:tblStylePr w:type="lastRow"&gt;&lt;w:rPr&gt;&lt;w:b/&gt;&lt;/w:rPr&gt;&lt;/w:tblStylePr&gt;&lt;w:tblStylePr w:type="firstCol"&gt;&lt;w:rPr&gt;&lt;w:b/&gt;&lt;/w:rPr&gt;&lt;/w:tblStylePr&gt;&lt;w:tblStylePr w:type="lastCol"&gt;&lt;w:pPr&gt;&lt;w:jc w:val="right"/&gt;&lt;/w:pPr&gt;&lt;/w:tblStylePr&gt;&lt;w:tblStylePr w:type="band2Horz"&gt;&lt;w:tblPr/&gt;&lt;w:tcPr&gt;&lt;w:shd w:val="clear" w:color="auto" w:fill="D8EFD7" w:themeFill="accent1" w:themeFillTint="33"/&gt;&lt;/w:tcPr&gt;&lt;/w:tblStylePr&gt;&lt;/w:style&gt;&lt;w:style w:type="paragraph" w:styleId="TOCHeading"&gt;&lt;w:name w:val="TOC Heading"/&gt;&lt;w:basedOn w:val="Heading1"/&gt;&lt;w:next w:val="Normal"/&gt;&lt;w:uiPriority w:val="39"/&gt;&lt;w:rsid w:val="00AF7EAA"/&gt;&lt;w:pPr&gt;&lt;w:numPr&gt;&lt;w:numId w:val="0"/&gt;&lt;/w:numPr&gt;&lt;w:pBdr&gt;&lt;w:bottom w:val="none" w:sz="0" w:space="0" w:color="auto"/&gt;&lt;/w:pBdr&gt;&lt;w:spacing w:after="600" w:line="288" w:lineRule="auto"/&gt;&lt;w:outlineLvl w:val="9"/&gt;&lt;/w:pPr&gt;&lt;w:rPr&gt;&lt;w:sz w:val="36"/&gt;&lt;/w:rPr&gt;&lt;/w:style&gt;&lt;w:style w:type="paragraph" w:styleId="TOC1"&gt;&lt;w:name w:val="toc 1"/&gt;&lt;w:basedOn w:val="Normal"/&gt;&lt;w:next w:val="Normal"/&gt;&lt;w:autoRedefine/&gt;&lt;w:uiPriority w:val="39"/&gt;&lt;w:rsid w:val="000E5BD7"/&gt;&lt;w:pPr&gt;&lt;w:tabs&gt;&lt;w:tab w:val="right" w:leader="dot" w:pos="9979"/&gt;&lt;/w:tabs&gt;&lt;w:spacing w:before="300" w:after="60"/&gt;&lt;w:contextualSpacing/&gt;&lt;/w:pPr&gt;&lt;w:rPr&gt;&lt;w:b/&gt;&lt;/w:rPr&gt;&lt;/w:style&gt;&lt;w:style w:type="paragraph" w:styleId="TOC2"&gt;&lt;w:name w:val="toc 2"/&gt;&lt;w:basedOn w:val="Normal"/&gt;&lt;w:next w:val="Normal"/&gt;&lt;w:autoRedefine/&gt;&lt;w:uiPriority w:val="39"/&gt;&lt;w:rsid w:val="000E5BD7"/&gt;&lt;w:pPr&gt;&lt;w:tabs&gt;&lt;w:tab w:val="right" w:leader="dot" w:pos="9979"/&gt;&lt;/w:tabs&gt;&lt;w:spacing w:before="60" w:after="60"/&gt;&lt;w:ind w:left="221"/&gt;&lt;/w:pPr&gt;&lt;/w:style&gt;&lt;w:style w:type="character" w:styleId="Hyperlink"&gt;&lt;w:name w:val="Hyperlink"/&gt;&lt;w:basedOn w:val="DefaultParagraphFont"/&gt;&lt;w:uiPriority w:val="99"/&gt;&lt;w:semiHidden/&gt;&lt;w:unhideWhenUsed/&gt;&lt;w:rsid w:val="005209F0"/&gt;&lt;w:rPr&gt;&lt;w:color w:val="0066BE" w:themeColor="hyperlink"/&gt;&lt;w:u w:val="single"/&gt;&lt;/w:rPr&gt;&lt;/w:style&gt;&lt;w:style w:type="paragraph" w:styleId="Header"&gt;&lt;w:name w:val="header"/&gt;&lt;w:basedOn w:val="Normal"/&gt;&lt;w:link w:val="HeaderChar"/&gt;&lt;w:uiPriority w:val="44"/&gt;&lt;w:rsid w:val="00C212D9"/&gt;&lt;w:pPr&gt;&lt;w:tabs&gt;&lt;w:tab w:val="center" w:pos="4513"/&gt;&lt;w:tab w:val="right" w:pos="9026"/&gt;&lt;/w:tabs&gt;&lt;w:spacing w:before="0" w:after="0" w:line="240" w:lineRule="auto"/&gt;&lt;/w:pPr&gt;&lt;/w:style&gt;&lt;w:style w:type="character" w:customStyle="1" w:styleId="HeaderChar"&gt;&lt;w:name w:val="Header Char"/&gt;&lt;w:basedOn w:val="DefaultParagraphFont"/&gt;&lt;w:link w:val="Header"/&gt;&lt;w:uiPriority w:val="44"/&gt;&lt;w:rsid w:val="00C212D9"/&gt;&lt;/w:style&gt;&lt;w:style w:type="paragraph" w:styleId="Footer"&gt;&lt;w:name w:val="footer"/&gt;&lt;w:basedOn w:val="Normal"/&gt;&lt;w:link w:val="FooterChar"/&gt;&lt;w:uiPriority w:val="99"/&gt;&lt;w:rsid w:val="000E5BD7"/&gt;&lt;w:pPr&gt;&lt;w:tabs&gt;&lt;w:tab w:val="right" w:leader="underscore" w:pos="9979"/&gt;&lt;/w:tabs&gt;&lt;w:spacing w:before="0" w:after="0" w:line="240" w:lineRule="auto"/&gt;&lt;/w:pPr&gt;&lt;w:rPr&gt;&lt;w:sz w:val="16"/&gt;&lt;/w:rPr&gt;&lt;/w:style&gt;&lt;w:style w:type="character" w:customStyle="1" w:styleId="FooterChar"&gt;&lt;w:name w:val="Footer Char"/&gt;&lt;w:basedOn w:val="DefaultParagraphFont"/&gt;&lt;w:link w:val="Footer"/&gt;&lt;w:uiPriority w:val="99"/&gt;&lt;w:rsid w:val="000E5BD7"/&gt;&lt;w:rPr&gt;&lt;w:sz w:val="16"/&gt;&lt;/w:rPr&gt;&lt;/w:style&gt;&lt;w:style w:type="paragraph" w:styleId="BodyText"&gt;&lt;w:name w:val="Body Text"/&gt;&lt;w:basedOn w:val="Normal"/&gt;&lt;w:link w:val="BodyTextChar"/&gt;&lt;w:semiHidden/&gt;&lt;w:unhideWhenUsed/&gt;&lt;w:qFormat/&gt;&lt;w:locked/&gt;&lt;w:rsid w:val="00C212D9"/&gt;&lt;w:rPr&gt;&lt;w:rFonts w:ascii="Arial" w:hAnsi="Arial"/&gt;&lt;w:color w:val="262626" w:themeColor="text1" w:themeTint="D9"/&gt;&lt;/w:rPr&gt;&lt;/w:style&gt;&lt;w:style w:type="character" w:customStyle="1" w:styleId="BodyTextChar"&gt;&lt;w:name w:val="Body Text Char"/&gt;&lt;w:basedOn w:val="DefaultParagraphFont"/&gt;&lt;w:link w:val="BodyText"/&gt;&lt;w:rsid w:val="00C212D9"/&gt;&lt;w:rPr&gt;&lt;w:rFonts w:ascii="Arial" w:hAnsi="Arial"/&gt;&lt;w:color w:val="262626" w:themeColor="text1" w:themeTint="D9"/&gt;&lt;w:sz w:val="21"/&gt;&lt;/w:rPr&gt;&lt;/w:style&gt;&lt;w:style w:type="numbering" w:styleId="ArticleSection"&gt;&lt;w:name w:val="Outline List 3"/&gt;&lt;w:basedOn w:val="NoList"/&gt;&lt;w:uiPriority w:val="99"/&gt;&lt;w:semiHidden/&gt;&lt;w:unhideWhenUsed/&gt;&lt;w:locked/&gt;&lt;w:rsid w:val="00D30A58"/&gt;&lt;w:pPr&gt;&lt;w:numPr&gt;&lt;w:numId w:val="34"/&gt;&lt;/w:numPr&gt;&lt;/w:pPr&gt;&lt;/w:style&gt;&lt;w:style w:type="paragraph" w:styleId="Closing"&gt;&lt;w:name w:val="Closing"/&gt;&lt;w:basedOn w:val="Normal"/&gt;&lt;w:link w:val="ClosingChar"/&gt;&lt;w:uiPriority w:val="99"/&gt;&lt;w:semiHidden/&gt;&lt;w:locked/&gt;&lt;w:rsid w:val="00D30A58"/&gt;&lt;w:pPr&gt;&lt;w:spacing w:before="0" w:after="0" w:line="240" w:lineRule="auto"/&gt;&lt;w:ind w:left="4252"/&gt;&lt;/w:pPr&gt;&lt;/w:style&gt;&lt;w:style w:type="paragraph" w:styleId="BalloonText"&gt;&lt;w:name w:val="Balloon Text"/&gt;&lt;w:basedOn w:val="Normal"/&gt;&lt;w:link w:val="BalloonTextChar"/&gt;&lt;w:uiPriority w:val="99"/&gt;&lt;w:semiHidden/&gt;&lt;w:locked/&gt;&lt;w:rsid w:val="00D30A58"/&gt;&lt;w:pPr&gt;&lt;w:spacing w:before="0"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w:val="00D30A58"/&gt;&lt;w:rPr&gt;&lt;w:rFonts w:ascii="Segoe UI" w:hAnsi="Segoe UI" w:cs="Segoe UI"/&gt;&lt;w:sz w:val="18"/&gt;&lt;w:szCs w:val="18"/&gt;&lt;/w:rPr&gt;&lt;/w:style&gt;&lt;w:style w:type="character" w:styleId="PageNumber"&gt;&lt;w:name w:val="page number"/&gt;&lt;w:basedOn w:val="DefaultParagraphFont"/&gt;&lt;w:uiPriority w:val="99"/&gt;&lt;w:semiHidden/&gt;&lt;w:locked/&gt;&lt;w:rsid w:val="00D30A58"/&gt;&lt;/w:style&gt;&lt;w:style w:type="paragraph" w:styleId="Bibliography"&gt;&lt;w:name w:val="Bibliography"/&gt;&lt;w:basedOn w:val="Normal"/&gt;&lt;w:next w:val="Normal"/&gt;&lt;w:uiPriority w:val="37"/&gt;&lt;w:semiHidden/&gt;&lt;w:locked/&gt;&lt;w:rsid w:val="00D30A58"/&gt;&lt;/w:style&gt;&lt;w:style w:type="paragraph" w:styleId="BlockText"&gt;&lt;w:name w:val="Block Text"/&gt;&lt;w:basedOn w:val="Normal"/&gt;&lt;w:uiPriority w:val="99"/&gt;&lt;w:semiHidden/&gt;&lt;w:locked/&gt;&lt;w:rsid w:val="00D30A58"/&gt;&lt;w:pPr&gt;&lt;w:pBdr&gt;&lt;w:top w:val="single" w:sz="2" w:space="10" w:color="47A843" w:themeColor="accent1"/&gt;&lt;w:left w:val="single" w:sz="2" w:space="10" w:color="47A843" w:themeColor="accent1"/&gt;&lt;w:bottom w:val="single" w:sz="2" w:space="10" w:color="47A843" w:themeColor="accent1"/&gt;&lt;w:right w:val="single" w:sz="2" w:space="10" w:color="47A843" w:themeColor="accent1"/&gt;&lt;/w:pBdr&gt;&lt;w:ind w:left="1152" w:right="1152"/&gt;&lt;/w:pPr&gt;&lt;w:rPr&gt;&lt;w:rFonts w:eastAsiaTheme="minorEastAsia"/&gt;&lt;w:i/&gt;&lt;w:iCs/&gt;&lt;w:color w:val="47A843" w:themeColor="accent1"/&gt;&lt;/w:rPr&gt;&lt;/w:style&gt;&lt;w:style w:type="paragraph" w:styleId="BodyText2"&gt;&lt;w:name w:val="Body Text 2"/&gt;&lt;w:basedOn w:val="Normal"/&gt;&lt;w:link w:val="BodyText2Char"/&gt;&lt;w:uiPriority w:val="99"/&gt;&lt;w:semiHidden/&gt;&lt;w:locked/&gt;&lt;w:rsid w:val="00D30A58"/&gt;&lt;w:pPr&gt;&lt;w:spacing w:line="480" w:lineRule="auto"/&gt;&lt;/w:pPr&gt;&lt;/w:style&gt;&lt;w:style w:type="character" w:customStyle="1" w:styleId="BodyText2Char"&gt;&lt;w:name w:val="Body Text 2 Char"/&gt;&lt;w:basedOn w:val="DefaultParagraphFont"/&gt;&lt;w:link w:val="BodyText2"/&gt;&lt;w:uiPriority w:val="99"/&gt;&lt;w:semiHidden/&gt;&lt;w:rsid w:val="00D30A58"/&gt;&lt;/w:style&gt;&lt;w:style w:type="table" w:styleId="TableClassic1"&gt;&lt;w:name w:val="Table Classic 1"/&gt;&lt;w:basedOn w:val="TableNormal"/&gt;&lt;w:uiPriority w:val="99"/&gt;&lt;w:semiHidden/&gt;&lt;w:unhideWhenUsed/&gt;&lt;w:locked/&gt;&lt;w:rsid w:val="00D30A58"/&gt;&lt;w:rPr&gt;&lt;w:color w:val="auto"/&gt;&lt;/w:rPr&gt;&lt;w:tblPr&gt;&lt;w:tblBorders&gt;&lt;w:top w:val="single" w:sz="12" w:space="0" w:color="000000"/&gt;&lt;w:bottom w:val="single" w:sz="12" w:space="0" w:color="000000"/&gt;&lt;/w:tblBorders&gt;&lt;/w:tblPr&gt;&lt;w:tcPr&gt;&lt;w:shd w:val="clear" w:color="auto" w:fill="auto"/&gt;&lt;/w:tcPr&gt;&lt;w:tblStylePr w:type="firstRow"&gt;&lt;w:rPr&gt;&lt;w:i/&gt;&lt;w:iCs/&gt;&lt;/w:rPr&gt;&lt;w:tblPr/&gt;&lt;w:tcPr&gt;&lt;w:tcBorders&gt;&lt;w:bottom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w:type="firstCol"&gt;&lt;w:tblPr/&gt;&lt;w:tcPr&gt;&lt;w:tcBorders&gt;&lt;w:right w:val="single" w:sz="6" w:space="0" w:color="000000"/&gt;&lt;w:tl2br w:val="none" w:sz="0" w:space="0" w:color="auto"/&gt;&lt;w:tr2bl w:val="none" w:sz="0" w:space="0" w:color="auto"/&gt;&lt;/w:tcBorders&gt;&lt;/w:tcPr&gt;&lt;/w:tblStylePr&gt;&lt;w:tblStylePr w:type="neCell"&gt;&lt;w:rPr&gt;&lt;w:b/&gt;&lt;w:bCs/&gt;&lt;w:i w:val="0"/&gt;&lt;w:iCs w:val="0"/&gt;&lt;/w:rPr&gt;&lt;w:tblPr/&gt;&lt;w:tcPr&gt;&lt;w:tcBorders&gt;&lt;w:tl2br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w:styleId="TableWeb1"&gt;&lt;w:name w:val="Table Web 1"/&gt;&lt;w:basedOn w:val="TableNormal"/&gt;&lt;w:uiPriority w:val="99"/&gt;&lt;w:semiHidden/&gt;&lt;w:unhideWhenUsed/&gt;&lt;w:locked/&gt;&lt;w:rsid w:val="00D30A58"/&gt;&lt;w:rPr&gt;&lt;w:color w:val="auto"/&gt;&lt;/w:rPr&gt;&lt;w:tblPr&gt;&lt;w:tblCellSpacing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w:type="character" w:styleId="SmartHyperlink"&gt;&lt;w:name w:val="Smart Hyperlink"/&gt;&lt;w:basedOn w:val="DefaultParagraphFont"/&gt;&lt;w:uiPriority w:val="99"/&gt;&lt;w:semiHidden/&gt;&lt;w:locked/&gt;&lt;w:rsid w:val="00D30A58"/&gt;&lt;w:rPr&gt;&lt;w:u w:val="dotted"/&gt;&lt;/w:rPr&gt;&lt;/w:style&gt;&lt;w:style w:type="character" w:styleId="HTMLAcronym"&gt;&lt;w:name w:val="HTML Acronym"/&gt;&lt;w:basedOn w:val="DefaultParagraphFont"/&gt;&lt;w:uiPriority w:val="99"/&gt;&lt;w:semiHidden/&gt;&lt;w:locked/&gt;&lt;w:rsid w:val="00D30A58"/&gt;&lt;/w:style&gt;&lt;w:style w:type="paragraph" w:styleId="HTMLAddress"&gt;&lt;w:name w:val="HTML Address"/&gt;&lt;w:basedOn w:val="Normal"/&gt;&lt;w:link w:val="HTMLAddressChar"/&gt;&lt;w:uiPriority w:val="99"/&gt;&lt;w:semiHidden/&gt;&lt;w:locked/&gt;&lt;w:rsid w:val="00D30A58"/&gt;&lt;w:pPr&gt;&lt;w:spacing w:before="0" w:after="0" w:line="240" w:lineRule="auto"/&gt;&lt;/w:pPr&gt;&lt;w:rPr&gt;&lt;w:i/&gt;&lt;w:iCs/&gt;&lt;/w:rPr&gt;&lt;/w:style&gt;&lt;w:style w:type="character" w:customStyle="1" w:styleId="HTMLAddressChar"&gt;&lt;w:name w:val="HTML Address Char"/&gt;&lt;w:basedOn w:val="DefaultParagraphFont"/&gt;&lt;w:link w:val="HTMLAddress"/&gt;&lt;w:uiPriority w:val="99"/&gt;&lt;w:semiHidden/&gt;&lt;w:rsid w:val="00D30A58"/&gt;&lt;w:rPr&gt;&lt;w:i/&gt;&lt;w:iCs/&gt;&lt;/w:rPr&gt;&lt;/w:style&gt;&lt;w:style w:type="character" w:styleId="HTMLCite"&gt;&lt;w:name w:val="HTML Cite"/&gt;&lt;w:basedOn w:val="DefaultParagraphFont"/&gt;&lt;w:uiPriority w:val="99"/&gt;&lt;w:semiHidden/&gt;&lt;w:locked/&gt;&lt;w:rsid w:val="00D30A58"/&gt;&lt;w:rPr&gt;&lt;w:i/&gt;&lt;w:iCs/&gt;&lt;/w:rPr&gt;&lt;/w:style&gt;&lt;w:style w:type="character" w:styleId="Strong"&gt;&lt;w:name w:val="Strong"/&gt;&lt;w:basedOn w:val="DefaultParagraphFont"/&gt;&lt;w:uiPriority w:val="22"/&gt;&lt;w:rsid w:val="00D30A58"/&gt;&lt;w:rPr&gt;&lt;w:b/&gt;&lt;w:bCs/&gt;&lt;/w:rPr&gt;&lt;/w:style&gt;&lt;w:style w:type="paragraph" w:styleId="ListContinue"&gt;&lt;w:name w:val="List Continue"/&gt;&lt;w:basedOn w:val="Normal"/&gt;&lt;w:uiPriority w:val="17"/&gt;&lt;w:semiHidden/&gt;&lt;w:rsid w:val="00D30A58"/&gt;&lt;w:pPr&gt;&lt;w:ind w:left="283"/&gt;&lt;w:contextualSpacing/&gt;&lt;/w:pPr&gt;&lt;/w:style&gt;&lt;w:style w:type="paragraph" w:styleId="ListContinue2"&gt;&lt;w:name w:val="List Continue 2"/&gt;&lt;w:basedOn w:val="Normal"/&gt;&lt;w:uiPriority w:val="17"/&gt;&lt;w:semiHidden/&gt;&lt;w:rsid w:val="00D30A58"/&gt;&lt;w:pPr&gt;&lt;w:ind w:left="566"/&gt;&lt;w:contextualSpacing/&gt;&lt;/w:pPr&gt;&lt;/w:style&gt;&lt;w:style w:type="character" w:customStyle="1" w:styleId="ClosingChar"&gt;&lt;w:name w:val="Closing Char"/&gt;&lt;w:basedOn w:val="DefaultParagraphFont"/&gt;&lt;w:link w:val="Closing"/&gt;&lt;w:uiPriority w:val="99"/&gt;&lt;w:semiHidden/&gt;&lt;w:rsid w:val="00D30A58"/&gt;&lt;/w:style&gt;&lt;w:style w:type="paragraph" w:styleId="BodyText3"&gt;&lt;w:name w:val="Body Text 3"/&gt;&lt;w:basedOn w:val="Normal"/&gt;&lt;w:link w:val="BodyText3Char"/&gt;&lt;w:uiPriority w:val="99"/&gt;&lt;w:semiHidden/&gt;&lt;w:locked/&gt;&lt;w:rsid w:val="00D30A58"/&gt;&lt;w:rPr&gt;&lt;w:sz w:val="16"/&gt;&lt;w:szCs w:val="16"/&gt;&lt;/w:rPr&gt;&lt;/w:style&gt;&lt;w:style w:type="character" w:customStyle="1" w:styleId="BodyText3Char"&gt;&lt;w:name w:val="Body Text 3 Char"/&gt;&lt;w:basedOn w:val="DefaultParagraphFont"/&gt;&lt;w:link w:val="BodyText3"/&gt;&lt;w:uiPriority w:val="99"/&gt;&lt;w:semiHidden/&gt;&lt;w:rsid w:val="00D30A58"/&gt;&lt;w:rPr&gt;&lt;w:sz w:val="16"/&gt;&lt;w:szCs w:val="16"/&gt;&lt;/w:rPr&gt;&lt;/w:style&gt;&lt;w:style w:type="paragraph" w:styleId="BodyTextFirstIndent"&gt;&lt;w:name w:val="Body Text First Indent"/&gt;&lt;w:basedOn w:val="BodyText"/&gt;&lt;w:link w:val="BodyTextFirstIndentChar"/&gt;&lt;w:uiPriority w:val="99"/&gt;&lt;w:semiHidden/&gt;&lt;w:locked/&gt;&lt;w:rsid w:val="00D30A58"/&gt;&lt;w:pPr&gt;&lt;w:ind w:firstLine="360"/&gt;&lt;/w:pPr&gt;&lt;w:rPr&gt;&lt;w:rFonts w:asciiTheme="minorHAnsi" w:hAnsiTheme="minorHAnsi"/&gt;&lt;w:color w:val="000000" w:themeColor="text1"/&gt;&lt;w:sz w:val="22"/&gt;&lt;/w:rPr&gt;&lt;/w:style&gt;&lt;w:style w:type="character" w:customStyle="1" w:styleId="BodyTextFirstIndentChar"&gt;&lt;w:name w:val="Body Text First Indent Char"/&gt;&lt;w:basedOn w:val="BodyTextChar"/&gt;&lt;w:link w:val="BodyTextFirstIndent"/&gt;&lt;w:uiPriority w:val="99"/&gt;&lt;w:semiHidden/&gt;&lt;w:rsid w:val="00D30A58"/&gt;&lt;w:rPr&gt;&lt;w:rFonts w:ascii="Arial" w:hAnsi="Arial"/&gt;&lt;w:color w:val="262626" w:themeColor="text1" w:themeTint="D9"/&gt;&lt;w:sz w:val="21"/&gt;&lt;/w:rPr&gt;&lt;/w:style&gt;&lt;w:style w:type="paragraph" w:styleId="BodyTextIndent"&gt;&lt;w:name w:val="Body Text Indent"/&gt;&lt;w:basedOn w:val="Normal"/&gt;&lt;w:link w:val="BodyTextIndentChar"/&gt;&lt;w:uiPriority w:val="99"/&gt;&lt;w:semiHidden/&gt;&lt;w:locked/&gt;&lt;w:rsid w:val="00D30A58"/&gt;&lt;w:pPr&gt;&lt;w:ind w:left="283"/&gt;&lt;/w:pPr&gt;&lt;/w:style&gt;&lt;w:style w:type="character" w:customStyle="1" w:styleId="BodyTextIndentChar"&gt;&lt;w:name w:val="Body Text Indent Char"/&gt;&lt;w:basedOn w:val="DefaultParagraphFont"/&gt;&lt;w:link w:val="BodyTextIndent"/&gt;&lt;w:uiPriority w:val="99"/&gt;&lt;w:semiHidden/&gt;&lt;w:rsid w:val="00D30A58"/&gt;&lt;/w:style&gt;&lt;w:style w:type="paragraph" w:styleId="BodyTextFirstIndent2"&gt;&lt;w:name w:val="Body Text First Indent 2"/&gt;&lt;w:basedOn w:val="BodyTextIndent"/&gt;&lt;w:link w:val="BodyTextFirstIndent2Char"/&gt;&lt;w:uiPriority w:val="99"/&gt;&lt;w:semiHidden/&gt;&lt;w:locked/&gt;&lt;w:rsid w:val="00D30A58"/&gt;&lt;w:pPr&gt;&lt;w:ind w:left="360" w:firstLine="360"/&gt;&lt;/w:pPr&gt;&lt;/w:style&gt;&lt;w:style w:type="character" w:customStyle="1" w:styleId="BodyTextFirstIndent2Char"&gt;&lt;w:name w:val="Body Text First Indent 2 Char"/&gt;&lt;w:basedOn w:val="BodyTextIndentChar"/&gt;&lt;w:link w:val="BodyTextFirstIndent2"/&gt;&lt;w:uiPriority w:val="99"/&gt;&lt;w:semiHidden/&gt;&lt;w:rsid w:val="00D30A58"/&gt;&lt;/w:style&gt;&lt;w:style w:type="paragraph" w:styleId="BodyTextIndent2"&gt;&lt;w:name w:val="Body Text Indent 2"/&gt;&lt;w:basedOn w:val="Normal"/&gt;&lt;w:link w:val="BodyTextIndent2Char"/&gt;&lt;w:uiPriority w:val="99"/&gt;&lt;w:semiHidden/&gt;&lt;w:locked/&gt;&lt;w:rsid w:val="00D30A58"/&gt;&lt;w:pPr&gt;&lt;w:spacing w:line="480" w:lineRule="auto"/&gt;&lt;w:ind w:left="283"/&gt;&lt;/w:pPr&gt;&lt;/w:style&gt;&lt;w:style w:type="character" w:customStyle="1" w:styleId="BodyTextIndent2Char"&gt;&lt;w:name w:val="Body Text Indent 2 Char"/&gt;&lt;w:basedOn w:val="DefaultParagraphFont"/&gt;&lt;w:link w:val="BodyTextIndent2"/&gt;&lt;w:uiPriority w:val="99"/&gt;&lt;w:semiHidden/&gt;&lt;w:rsid w:val="00D30A58"/&gt;&lt;/w:style&gt;&lt;w:style w:type="paragraph" w:styleId="BodyTextIndent3"&gt;&lt;w:name w:val="Body Text Indent 3"/&gt;&lt;w:basedOn w:val="Normal"/&gt;&lt;w:link w:val="BodyTextIndent3Char"/&gt;&lt;w:uiPriority w:val="99"/&gt;&lt;w:semiHidden/&gt;&lt;w:locked/&gt;&lt;w:rsid w:val="00D30A58"/&gt;&lt;w:pPr&gt;&lt;w:ind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w:val="99"/&gt;&lt;w:semiHidden/&gt;&lt;w:rsid w:val="00D30A58"/&gt;&lt;w:rPr&gt;&lt;w:sz w:val="16"/&gt;&lt;w:szCs w:val="16"/&gt;&lt;/w:rPr&gt;&lt;/w:style&gt;&lt;w:style w:type="character" w:styleId="BookTitle"&gt;&lt;w:name w:val="Book Title"/&gt;&lt;w:basedOn w:val="DefaultParagraphFont"/&gt;&lt;w:uiPriority w:val="33"/&gt;&lt;w:semiHidden/&gt;&lt;w:qFormat/&gt;&lt;w:locked/&gt;&lt;w:rsid w:val="00D30A58"/&gt;&lt;w:rPr&gt;&lt;w:b/&gt;&lt;w:bCs/&gt;&lt;w:i/&gt;&lt;w:iCs/&gt;&lt;w:spacing w:val="5"/&gt;&lt;/w:rPr&gt;&lt;/w:style&gt;&lt;w:style w:type="table" w:styleId="ColorfulGrid"&gt;&lt;w:name w:val="Colorful Grid"/&gt;&lt;w:basedOn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w:fill="CCCCCC" w:themeFill="text1" w:themeFillTint="33"/&gt;&lt;/w:tcPr&gt;&lt;w:tblStylePr w:type="firstRow"&gt;&lt;w:rPr&gt;&lt;w:b/&gt;&lt;w:bCs/&gt;&lt;/w:rPr&gt;&lt;w:tblPr/&gt;&lt;w:tcPr&gt;&lt;w:shd w:val="clear" w:color="auto" w:fill="999999" w:themeFill="text1" w:themeFillTint="66"/&gt;&lt;/w:tcPr&gt;&lt;/w:tblStylePr&gt;&lt;w:tblStylePr w:type="lastRow"&gt;&lt;w:rPr&gt;&lt;w:b/&gt;&lt;w:bCs/&gt;&lt;w:color w:val="000000" w:themeColor="text1"/&gt;&lt;/w:rPr&gt;&lt;w:tblPr/&gt;&lt;w:tcPr&gt;&lt;w:shd w:val="clear" w:color="auto" w:fill="999999" w:themeFill="text1" w:themeFillTint="66"/&gt;&lt;/w:tcPr&gt;&lt;/w:tblStylePr&gt;&lt;w:tblStylePr w:type="firstCol"&gt;&lt;w:rPr&gt;&lt;w:color w:val="FFFFFF" w:themeColor="background1"/&gt;&lt;/w:rPr&gt;&lt;w:tblPr/&gt;&lt;w:tcPr&gt;&lt;w:shd w:val="clear" w:color="auto" w:fill="000000" w:themeFill="text1" w:themeFillShade="BF"/&gt;&lt;/w:tcPr&gt;&lt;/w:tblStylePr&gt;&lt;w:tblStylePr w:type="lastCol"&gt;&lt;w:rPr&gt;&lt;w:color w:val="FFFFFF" w:themeColor="background1"/&gt;&lt;/w:rPr&gt;&lt;w:tblPr/&gt;&lt;w:tcPr&gt;&lt;w:shd w:val="clear" w:color="auto" w:fill="000000" w:themeFill="text1" w:themeFillShade="BF"/&gt;&lt;/w:tcPr&gt;&lt;/w:tblStylePr&gt;&lt;w:tblStylePr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w:styleId="ColorfulGrid-Accent1"&gt;&lt;w:name w:val="Colorful Grid Accent 1"/&gt;&lt;w:basedOn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w:fill="D8EFD7" w:themeFill="accent1" w:themeFillTint="33"/&gt;&lt;/w:tcPr&gt;&lt;w:tblStylePr w:type="firstRow"&gt;&lt;w:rPr&gt;&lt;w:b/&gt;&lt;w:bCs/&gt;&lt;/w:rPr&gt;&lt;w:tblPr/&gt;&lt;w:tcPr&gt;&lt;w:shd w:val="clear" w:color="auto" w:fill="B2DFB0" w:themeFill="accent1" w:themeFillTint="66"/&gt;&lt;/w:tcPr&gt;&lt;/w:tblStylePr&gt;&lt;w:tblStylePr w:type="lastRow"&gt;&lt;w:rPr&gt;&lt;w:b/&gt;&lt;w:bCs/&gt;&lt;w:color w:val="000000" w:themeColor="text1"/&gt;&lt;/w:rPr&gt;&lt;w:tblPr/&gt;&lt;w:tcPr&gt;&lt;w:shd w:val="clear" w:color="auto" w:fill="B2DFB0" w:themeFill="accent1" w:themeFillTint="66"/&gt;&lt;/w:tcPr&gt;&lt;/w:tblStylePr&gt;&lt;w:tblStylePr w:type="firstCol"&gt;&lt;w:rPr&gt;&lt;w:color w:val="FFFFFF" w:themeColor="background1"/&gt;&lt;/w:rPr&gt;&lt;w:tblPr/&gt;&lt;w:tcPr&gt;&lt;w:shd w:val="clear" w:color="auto" w:fill="357D32" w:themeFill="accent1" w:themeFillShade="BF"/&gt;&lt;/w:tcPr&gt;&lt;/w:tblStylePr&gt;&lt;w:tblStylePr w:type="lastCol"&gt;&lt;w:rPr&gt;&lt;w:color w:val="FFFFFF" w:themeColor="background1"/&gt;&lt;/w:rPr&gt;&lt;w:tblPr/&gt;&lt;w:tcPr&gt;&lt;w:shd w:val="clear" w:color="auto" w:fill="357D32" w:themeFill="accent1" w:themeFillShade="BF"/&gt;&lt;/w:tcPr&gt;&lt;/w:tblStylePr&gt;&lt;w:tblStylePr w:type="band1Vert"&gt;&lt;w:tblPr/&gt;&lt;w:tcPr&gt;&lt;w:shd w:val="clear" w:color="auto" w:fill="9FD89D" w:themeFill="accent1" w:themeFillTint="7F"/&gt;&lt;/w:tcPr&gt;&lt;/w:tblStylePr&gt;&lt;w:tblStylePr w:type="band1Horz"&gt;&lt;w:tblPr/&gt;&lt;w:tcPr&gt;&lt;w:shd w:val="clear" w:color="auto" w:fill="9FD89D" w:themeFill="accent1" w:themeFillTint="7F"/&gt;&lt;/w:tcPr&gt;&lt;/w:tblStylePr&gt;&lt;/w:style&gt;&lt;w:style w:type="table" w:styleId="ColorfulGrid-Accent2"&gt;&lt;w:name w:val="Colorful Grid Accent 2"/&gt;&lt;w:basedOn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w:fill="EFF7D7" w:themeFill="accent2" w:themeFillTint="33"/&gt;&lt;/w:tcPr&gt;&lt;w:tblStylePr w:type="firstRow"&gt;&lt;w:rPr&gt;&lt;w:b/&gt;&lt;w:bCs/&gt;&lt;/w:rPr&gt;&lt;w:tblPr/&gt;&lt;w:tcPr&gt;&lt;w:shd w:val="clear" w:color="auto" w:fill="E0EFAF" w:themeFill="accent2" w:themeFillTint="66"/&gt;&lt;/w:tcPr&gt;&lt;/w:tblStylePr&gt;&lt;w:tblStylePr w:type="lastRow"&gt;&lt;w:rPr&gt;&lt;w:b/&gt;&lt;w:bCs/&gt;&lt;w:color w:val="000000" w:themeColor="text1"/&gt;&lt;/w:rPr&gt;&lt;w:tblPr/&gt;&lt;w:tcPr&gt;&lt;w:shd w:val="clear" w:color="auto" w:fill="E0EFAF" w:themeFill="accent2" w:themeFillTint="66"/&gt;&lt;/w:tcPr&gt;&lt;/w:tblStylePr&gt;&lt;w:tblStylePr w:type="firstCol"&gt;&lt;w:rPr&gt;&lt;w:color w:val="FFFFFF" w:themeColor="background1"/&gt;&lt;/w:rPr&gt;&lt;w:tblPr/&gt;&lt;w:tcPr&gt;&lt;w:shd w:val="clear" w:color="auto" w:fill="89AB22" w:themeFill="accent2" w:themeFillShade="BF"/&gt;&lt;/w:tcPr&gt;&lt;/w:tblStylePr&gt;&lt;w:tblStylePr w:type="lastCol"&gt;&lt;w:rPr&gt;&lt;w:color w:val="FFFFFF" w:themeColor="background1"/&gt;&lt;/w:rPr&gt;&lt;w:tblPr/&gt;&lt;w:tcPr&gt;&lt;w:shd w:val="clear" w:color="auto" w:fill="89AB22" w:themeFill="accent2" w:themeFillShade="BF"/&gt;&lt;/w:tcPr&gt;&lt;/w:tblStylePr&gt;&lt;w:tblStylePr w:type="band1Vert"&gt;&lt;w:tblPr/&gt;&lt;w:tcPr&gt;&lt;w:shd w:val="clear" w:color="auto" w:fill="D8EB9C" w:themeFill="accent2" w:themeFillTint="7F"/&gt;&lt;/w:tcPr&gt;&lt;/w:tblStylePr&gt;&lt;w:tblStylePr w:type="band1Horz"&gt;&lt;w:tblPr/&gt;&lt;w:tcPr&gt;&lt;w:shd w:val="clear" w:color="auto" w:fill="D8EB9C" w:themeFill="accent2" w:themeFillTint="7F"/&gt;&lt;/w:tcPr&gt;&lt;/w:tblStylePr&gt;&lt;/w:style&gt;&lt;w:style w:type="table" w:styleId="ColorfulGrid-Accent3"&gt;&lt;w:name w:val="Colorful Grid Accent 3"/&gt;&lt;w:basedOn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w:fill="BFE1FF" w:themeFill="accent3" w:themeFillTint="33"/&gt;&lt;/w:tcPr&gt;&lt;w:tblStylePr w:type="firstRow"&gt;&lt;w:rPr&gt;&lt;w:b/&gt;&lt;w:bCs/&gt;&lt;/w:rPr&gt;&lt;w:tblPr/&gt;&lt;w:tcPr&gt;&lt;w:shd w:val="clear" w:color="auto" w:fill="7FC3FF" w:themeFill="accent3" w:themeFillTint="66"/&gt;&lt;/w:tcPr&gt;&lt;/w:tblStylePr&gt;&lt;w:tblStylePr w:type="lastRow"&gt;&lt;w:rPr&gt;&lt;w:b/&gt;&lt;w:bCs/&gt;&lt;w:color w:val="000000" w:themeColor="text1"/&gt;&lt;/w:rPr&gt;&lt;w:tblPr/&gt;&lt;w:tcPr&gt;&lt;w:shd w:val="clear" w:color="auto" w:fill="7FC3FF" w:themeFill="accent3" w:themeFillTint="66"/&gt;&lt;/w:tcPr&gt;&lt;/w:tblStylePr&gt;&lt;w:tblStylePr w:type="firstCol"&gt;&lt;w:rPr&gt;&lt;w:color w:val="FFFFFF" w:themeColor="background1"/&gt;&lt;/w:rPr&gt;&lt;w:tblPr/&gt;&lt;w:tcPr&gt;&lt;w:shd w:val="clear" w:color="auto" w:fill="004B8E" w:themeFill="accent3" w:themeFillShade="BF"/&gt;&lt;/w:tcPr&gt;&lt;/w:tblStylePr&gt;&lt;w:tblStylePr w:type="lastCol"&gt;&lt;w:rPr&gt;&lt;w:color w:val="FFFFFF" w:themeColor="background1"/&gt;&lt;/w:rPr&gt;&lt;w:tblPr/&gt;&lt;w:tcPr&gt;&lt;w:shd w:val="clear" w:color="auto" w:fill="004B8E" w:themeFill="accent3" w:themeFillShade="BF"/&gt;&lt;/w:tcPr&gt;&lt;/w:tblStylePr&gt;&lt;w:tblStylePr w:type="band1Vert"&gt;&lt;w:tblPr/&gt;&lt;w:tcPr&gt;&lt;w:shd w:val="clear" w:color="auto" w:fill="5FB4FF" w:themeFill="accent3" w:themeFillTint="7F"/&gt;&lt;/w:tcPr&gt;&lt;/w:tblStylePr&gt;&lt;w:tblStylePr w:type="band1Horz"&gt;&lt;w:tblPr/&gt;&lt;w:tcPr&gt;&lt;w:shd w:val="clear" w:color="auto" w:fill="5FB4FF" w:themeFill="accent3" w:themeFillTint="7F"/&gt;&lt;/w:tcPr&gt;&lt;/w:tblStylePr&gt;&lt;/w:style&gt;&lt;w:style w:type="table" w:styleId="ColorfulGrid-Accent4"&gt;&lt;w:name w:val="Colorful Grid Accent 4"/&gt;&lt;w:basedOn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w:fill="FBE2D2" w:themeFill="accent4" w:themeFillTint="33"/&gt;&lt;/w:tcPr&gt;&lt;w:tblStylePr w:type="firstRow"&gt;&lt;w:rPr&gt;&lt;w:b/&gt;&lt;w:bCs/&gt;&lt;/w:rPr&gt;&lt;w:tblPr/&gt;&lt;w:tcPr&gt;&lt;w:shd w:val="clear" w:color="auto" w:fill="F7C5A6" w:themeFill="accent4" w:themeFillTint="66"/&gt;&lt;/w:tcPr&gt;&lt;/w:tblStylePr&gt;&lt;w:tblStylePr w:type="lastRow"&gt;&lt;w:rPr&gt;&lt;w:b/&gt;&lt;w:bCs/&gt;&lt;w:color w:val="000000" w:themeColor="text1"/&gt;&lt;/w:rPr&gt;&lt;w:tblPr/&gt;&lt;w:tcPr&gt;&lt;w:shd w:val="clear" w:color="auto" w:fill="F7C5A6" w:themeFill="accent4" w:themeFillTint="66"/&gt;&lt;/w:tcPr&gt;&lt;/w:tblStylePr&gt;&lt;w:tblStylePr w:type="firstCol"&gt;&lt;w:rPr&gt;&lt;w:color w:val="FFFFFF" w:themeColor="background1"/&gt;&lt;/w:rPr&gt;&lt;w:tblPr/&gt;&lt;w:tcPr&gt;&lt;w:shd w:val="clear" w:color="auto" w:fill="BA5010" w:themeFill="accent4" w:themeFillShade="BF"/&gt;&lt;/w:tcPr&gt;&lt;/w:tblStylePr&gt;&lt;w:tblStylePr w:type="lastCol"&gt;&lt;w:rPr&gt;&lt;w:color w:val="FFFFFF" w:themeColor="background1"/&gt;&lt;/w:rPr&gt;&lt;w:tblPr/&gt;&lt;w:tcPr&gt;&lt;w:shd w:val="clear" w:color="auto" w:fill="BA5010" w:themeFill="accent4" w:themeFillShade="BF"/&gt;&lt;/w:tcPr&gt;&lt;/w:tblStylePr&gt;&lt;w:tblStylePr w:type="band1Vert"&gt;&lt;w:tblPr/&gt;&lt;w:tcPr&gt;&lt;w:shd w:val="clear" w:color="auto" w:fill="F5B791" w:themeFill="accent4" w:themeFillTint="7F"/&gt;&lt;/w:tcPr&gt;&lt;/w:tblStylePr&gt;&lt;w:tblStylePr w:type="band1Horz"&gt;&lt;w:tblPr/&gt;&lt;w:tcPr&gt;&lt;w:shd w:val="clear" w:color="auto" w:fill="F5B791" w:themeFill="accent4" w:themeFillTint="7F"/&gt;&lt;/w:tcPr&gt;&lt;/w:tblStylePr&gt;&lt;/w:style&gt;&lt;w:style w:type="table" w:styleId="ColorfulGrid-Accent5"&gt;&lt;w:name w:val="Colorful Grid Accent 5"/&gt;&lt;w:basedOn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w:fill="F8D4D4" w:themeFill="accent5" w:themeFillTint="33"/&gt;&lt;/w:tcPr&gt;&lt;w:tblStylePr w:type="firstRow"&gt;&lt;w:rPr&gt;&lt;w:b/&gt;&lt;w:bCs/&gt;&lt;/w:rPr&gt;&lt;w:tblPr/&gt;&lt;w:tcPr&gt;&lt;w:shd w:val="clear" w:color="auto" w:fill="F2A9A9" w:themeFill="accent5" w:themeFillTint="66"/&gt;&lt;/w:tcPr&gt;&lt;/w:tblStylePr&gt;&lt;w:tblStylePr w:type="lastRow"&gt;&lt;w:rPr&gt;&lt;w:b/&gt;&lt;w:bCs/&gt;&lt;w:color w:val="000000" w:themeColor="text1"/&gt;&lt;/w:rPr&gt;&lt;w:tblPr/&gt;&lt;w:tcPr&gt;&lt;w:shd w:val="clear" w:color="auto" w:fill="F2A9A9" w:themeFill="accent5" w:themeFillTint="66"/&gt;&lt;/w:tcPr&gt;&lt;/w:tblStylePr&gt;&lt;w:tblStylePr w:type="firstCol"&gt;&lt;w:rPr&gt;&lt;w:color w:val="FFFFFF" w:themeColor="background1"/&gt;&lt;/w:rPr&gt;&lt;w:tblPr/&gt;&lt;w:tcPr&gt;&lt;w:shd w:val="clear" w:color="auto" w:fill="AC1A1A" w:themeFill="accent5" w:themeFillShade="BF"/&gt;&lt;/w:tcPr&gt;&lt;/w:tblStylePr&gt;&lt;w:tblStylePr w:type="lastCol"&gt;&lt;w:rPr&gt;&lt;w:color w:val="FFFFFF" w:themeColor="background1"/&gt;&lt;/w:rPr&gt;&lt;w:tblPr/&gt;&lt;w:tcPr&gt;&lt;w:shd w:val="clear" w:color="auto" w:fill="AC1A1A" w:themeFill="accent5" w:themeFillShade="BF"/&gt;&lt;/w:tcPr&gt;&lt;/w:tblStylePr&gt;&lt;w:tblStylePr w:type="band1Vert"&gt;&lt;w:tblPr/&gt;&lt;w:tcPr&gt;&lt;w:shd w:val="clear" w:color="auto" w:fill="EF9494" w:themeFill="accent5" w:themeFillTint="7F"/&gt;&lt;/w:tcPr&gt;&lt;/w:tblStylePr&gt;&lt;w:tblStylePr w:type="band1Horz"&gt;&lt;w:tblPr/&gt;&lt;w:tcPr&gt;&lt;w:shd w:val="clear" w:color="auto" w:fill="EF9494" w:themeFill="accent5" w:themeFillTint="7F"/&gt;&lt;/w:tcPr&gt;&lt;/w:tblStylePr&gt;&lt;/w:style&gt;&lt;w:style w:type="table" w:styleId="ColorfulGrid-Accent6"&gt;&lt;w:name w:val="Colorful Grid Accent 6"/&gt;&lt;w:basedOn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w:fill="D8CFF0" w:themeFill="accent6" w:themeFillTint="33"/&gt;&lt;/w:tcPr&gt;&lt;w:tblStylePr w:type="firstRow"&gt;&lt;w:rPr&gt;&lt;w:b/&gt;&lt;w:bCs/&gt;&lt;/w:rPr&gt;&lt;w:tblPr/&gt;&lt;w:tcPr&gt;&lt;w:shd w:val="clear" w:color="auto" w:fill="B2A0E1" w:themeFill="accent6" w:themeFillTint="66"/&gt;&lt;/w:tcPr&gt;&lt;/w:tblStylePr&gt;&lt;w:tblStylePr w:type="lastRow"&gt;&lt;w:rPr&gt;&lt;w:b/&gt;&lt;w:bCs/&gt;&lt;w:color w:val="000000" w:themeColor="text1"/&gt;&lt;/w:rPr&gt;&lt;w:tblPr/&gt;&lt;w:tcPr&gt;&lt;w:shd w:val="clear" w:color="auto" w:fill="B2A0E1" w:themeFill="accent6" w:themeFillTint="66"/&gt;&lt;/w:tcPr&gt;&lt;/w:tblStylePr&gt;&lt;w:tblStylePr w:type="firstCol"&gt;&lt;w:rPr&gt;&lt;w:color w:val="FFFFFF" w:themeColor="background1"/&gt;&lt;/w:rPr&gt;&lt;w:tblPr/&gt;&lt;w:tcPr&gt;&lt;w:shd w:val="clear" w:color="auto" w:fill="392471" w:themeFill="accent6" w:themeFillShade="BF"/&gt;&lt;/w:tcPr&gt;&lt;/w:tblStylePr&gt;&lt;w:tblStylePr w:type="lastCol"&gt;&lt;w:rPr&gt;&lt;w:color w:val="FFFFFF" w:themeColor="background1"/&gt;&lt;/w:rPr&gt;&lt;w:tblPr/&gt;&lt;w:tcPr&gt;&lt;w:shd w:val="clear" w:color="auto" w:fill="392471" w:themeFill="accent6" w:themeFillShade="BF"/&gt;&lt;/w:tcPr&gt;&lt;/w:tblStylePr&gt;&lt;w:tblStylePr w:type="band1Vert"&gt;&lt;w:tblPr/&gt;&lt;w:tcPr&gt;&lt;w:shd w:val="clear" w:color="auto" w:fill="9F89D9" w:themeFill="accent6" w:themeFillTint="7F"/&gt;&lt;/w:tcPr&gt;&lt;/w:tblStylePr&gt;&lt;w:tblStylePr w:type="band1Horz"&gt;&lt;w:tblPr/&gt;&lt;w:tcPr&gt;&lt;w:shd w:val="clear" w:color="auto" w:fill="9F89D9" w:themeFill="accent6" w:themeFillTint="7F"/&gt;&lt;/w:tcPr&gt;&lt;/w:tblStylePr&gt;&lt;/w:style&gt;&lt;w:style w:type="table" w:styleId="ColorfulList"&gt;&lt;w:name w:val="Colorful List"/&gt;&lt;w:basedOn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w:fill="E6E6E6" w:themeFill="text1"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w:fill="93B624" w:themeFill="accent2" w:themeFillShade="CC"/&gt;&lt;/w:tcPr&gt;&lt;/w:tblStylePr&gt;&lt;w:tblStylePr w:type="lastRow"&gt;&lt;w:rPr&gt;&lt;w:b/&gt;&lt;w:bCs/&gt;&lt;w:color w:val="93B624"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w:fill="C0C0C0" w:themeFill="text1" w:themeFillTint="3F"/&gt;&lt;/w:tcPr&gt;&lt;/w:tblStylePr&gt;&lt;w:tblStylePr w:type="band1Horz"&gt;&lt;w:tblPr/&gt;&lt;w:tcPr&gt;&lt;w:shd w:val="clear" w:color="auto" w:fill="CCCCCC" w:themeFill="text1" w:themeFillTint="33"/&gt;&lt;/w:tcPr&gt;&lt;/w:tblStylePr&gt;&lt;/w:style&gt;&lt;w:style w:type="table" w:styleId="ColorfulList-Accent1"&gt;&lt;w:name w:val="Colorful List Accent 1"/&gt;&lt;w:basedOn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w:fill="ECF7EB" w:themeFill="accent1"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w:fill="93B624" w:themeFill="accent2" w:themeFillShade="CC"/&gt;&lt;/w:tcPr&gt;&lt;/w:tblStylePr&gt;&lt;w:tblStylePr w:type="lastRow"&gt;&lt;w:rPr&gt;&lt;w:b/&gt;&lt;w:bCs/&gt;&lt;w:color w:val="93B624"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w:fill="CFEBCE" w:themeFill="accent1" w:themeFillTint="3F"/&gt;&lt;/w:tcPr&gt;&lt;/w:tblStylePr&gt;&lt;w:tblStylePr w:type="band1Horz"&gt;&lt;w:tblPr/&gt;&lt;w:tcPr&gt;&lt;w:shd w:val="clear" w:color="auto" w:fill="D8EFD7" w:themeFill="accent1" w:themeFillTint="33"/&gt;&lt;/w:tcPr&gt;&lt;/w:tblStylePr&gt;&lt;/w:style&gt;&lt;w:style w:type="table" w:styleId="ColorfulList-Accent2"&gt;&lt;w:name w:val="Colorful List Accent 2"/&gt;&lt;w:basedOn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w:fill="F7FBEB" w:themeFill="accent2"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w:fill="93B624" w:themeFill="accent2" w:themeFillShade="CC"/&gt;&lt;/w:tcPr&gt;&lt;/w:tblStylePr&gt;&lt;w:tblStylePr w:type="lastRow"&gt;&lt;w:rPr&gt;&lt;w:b/&gt;&lt;w:bCs/&gt;&lt;w:color w:val="93B624"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w:fill="EBF5CE" w:themeFill="accent2" w:themeFillTint="3F"/&gt;&lt;/w:tcPr&gt;&lt;/w:tblStylePr&gt;&lt;w:tblStylePr w:type="band1Horz"&gt;&lt;w:tblPr/&gt;&lt;w:tcPr&gt;&lt;w:shd w:val="clear" w:color="auto" w:fill="EFF7D7" w:themeFill="accent2" w:themeFillTint="33"/&gt;&lt;/w:tcPr&gt;&lt;/w:tblStylePr&gt;&lt;/w:style&gt;&lt;w:style w:type="table" w:styleId="ColorfulList-Accent3"&gt;&lt;w:name w:val="Colorful List Accent 3"/&gt;&lt;w:basedOn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w:fill="DFF0FF" w:themeFill="accent3"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w:fill="C75611" w:themeFill="accent4" w:themeFillShade="CC"/&gt;&lt;/w:tcPr&gt;&lt;/w:tblStylePr&gt;&lt;w:tblStylePr w:type="lastRow"&gt;&lt;w:rPr&gt;&lt;w:b/&gt;&lt;w:bCs/&gt;&lt;w:color w:val="C75611" w:themeColor="accent4"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w:fill="AFD9FF" w:themeFill="accent3" w:themeFillTint="3F"/&gt;&lt;/w:tcPr&gt;&lt;/w:tblStylePr&gt;&lt;w:tblStylePr w:type="band1Horz"&gt;&lt;w:tblPr/&gt;&lt;w:tcPr&gt;&lt;w:shd w:val="clear" w:color="auto" w:fill="BFE1FF" w:themeFill="accent3" w:themeFillTint="33"/&gt;&lt;/w:tcPr&gt;&lt;/w:tblStylePr&gt;&lt;/w:style&gt;&lt;w:style w:type="table" w:styleId="ColorfulList-Accent4"&gt;&lt;w:name w:val="Colorful List Accent 4"/&gt;&lt;w:basedOn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w:fill="FDF0E9" w:themeFill="accent4"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w:fill="005198" w:themeFill="accent3" w:themeFillShade="CC"/&gt;&lt;/w:tcPr&gt;&lt;/w:tblStylePr&gt;&lt;w:tblStylePr w:type="lastRow"&gt;&lt;w:rPr&gt;&lt;w:b/&gt;&lt;w:bCs/&gt;&lt;w:color w:val="005198" w:themeColor="accent3"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w:fill="FADBC8" w:themeFill="accent4" w:themeFillTint="3F"/&gt;&lt;/w:tcPr&gt;&lt;/w:tblStylePr&gt;&lt;w:tblStylePr w:type="band1Horz"&gt;&lt;w:tblPr/&gt;&lt;w:tcPr&gt;&lt;w:shd w:val="clear" w:color="auto" w:fill="FBE2D2" w:themeFill="accent4" w:themeFillTint="33"/&gt;&lt;/w:tcPr&gt;&lt;/w:tblStylePr&gt;&lt;/w:style&gt;&lt;w:style w:type="table" w:styleId="ColorfulList-Accent5"&gt;&lt;w:name w:val="Colorful List Accent 5"/&gt;&lt;w:basedOn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w:fill="FBE9E9" w:themeFill="accent5"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w:fill="3D2678" w:themeFill="accent6" w:themeFillShade="CC"/&gt;&lt;/w:tcPr&gt;&lt;/w:tblStylePr&gt;&lt;w:tblStylePr w:type="lastRow"&gt;&lt;w:rPr&gt;&lt;w:b/&gt;&lt;w:bCs/&gt;&lt;w:color w:val="3D2678" w:themeColor="accent6"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w:fill="F7CACA" w:themeFill="accent5" w:themeFillTint="3F"/&gt;&lt;/w:tcPr&gt;&lt;/w:tblStylePr&gt;&lt;w:tblStylePr w:type="band1Horz"&gt;&lt;w:tblPr/&gt;&lt;w:tcPr&gt;&lt;w:shd w:val="clear" w:color="auto" w:fill="F8D4D4" w:themeFill="accent5" w:themeFillTint="33"/&gt;&lt;/w:tcPr&gt;&lt;/w:tblStylePr&gt;&lt;/w:style&gt;&lt;w:style w:type="table" w:styleId="ColorfulList-Accent6"&gt;&lt;w:name w:val="Colorful List Accent 6"/&gt;&lt;w:basedOn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w:fill="ECE7F7" w:themeFill="accent6"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w:fill="B81B1B" w:themeFill="accent5" w:themeFillShade="CC"/&gt;&lt;/w:tcPr&gt;&lt;/w:tblStylePr&gt;&lt;w:tblStylePr w:type="lastRow"&gt;&lt;w:rPr&gt;&lt;w:b/&gt;&lt;w:bCs/&gt;&lt;w:color w:val="B81B1B" w:themeColor="accent5"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w:fill="CFC4EC" w:themeFill="accent6" w:themeFillTint="3F"/&gt;&lt;/w:tcPr&gt;&lt;/w:tblStylePr&gt;&lt;w:tblStylePr w:type="band1Horz"&gt;&lt;w:tblPr/&gt;&lt;w:tcPr&gt;&lt;w:shd w:val="clear" w:color="auto" w:fill="D8CFF0" w:themeFill="accent6" w:themeFillTint="33"/&gt;&lt;/w:tcPr&gt;&lt;/w:tblStylePr&gt;&lt;/w:style&gt;&lt;w:style w:type="table" w:styleId="ColorfulShading"&gt;&lt;w:name w:val="Colorful Shading"/&gt;&lt;w:basedOn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w:color="B2D83A" w:themeColor="accent2"/&gt;&lt;w:left w:val="single" w:sz="4" w:space="0" w:color="000000" w:themeColor="text1"/&gt;&lt;w:bottom w:val="single" w:sz="4" w:space="0" w:color="000000" w:themeColor="text1"/&gt;&lt;w:right w:val="single" w:sz="4" w:space="0" w:color="000000" w:themeColor="text1"/&gt;&lt;w:insideH w:val="single" w:sz="4" w:space="0" w:color="FFFFFF" w:themeColor="background1"/&gt;&lt;w:insideV w:val="single" w:sz="4" w:space="0" w:color="FFFFFF" w:themeColor="background1"/&gt;&lt;/w:tblBorders&gt;&lt;/w:tblPr&gt;&lt;w:tcPr&gt;&lt;w:shd w:val="clear" w:color="auto" w:fill="E6E6E6" w:themeFill="text1" w:themeFillTint="19"/&gt;&lt;/w:tcPr&gt;&lt;w:tblStylePr w:type="firstRow"&gt;&lt;w:rPr&gt;&lt;w:b/&gt;&lt;w:bCs/&gt;&lt;/w:rPr&gt;&lt;w:tblPr/&gt;&lt;w:tcPr&gt;&lt;w:tcBorders&gt;&lt;w:top w:val="nil"/&gt;&lt;w:left w:val="nil"/&gt;&lt;w:bottom w:val="single" w:sz="24" w:space="0" w:color="B2D83A"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w:fill="000000" w:themeFill="text1" w:themeFillShade="99"/&gt;&lt;/w:tcPr&gt;&lt;/w:tblStylePr&gt;&lt;w:tblStylePr w:type="firstCol"&gt;&lt;w:rPr&gt;&lt;w:color w:val="FFFFFF" w:themeColor="background1"/&gt;&lt;/w:rPr&gt;&lt;w:tblPr/&gt;&lt;w:tcPr&gt;&lt;w:tcBorders&gt;&lt;w:top w:val="nil"/&gt;&lt;w:left w:val="nil"/&gt;&lt;w:bottom w:val="nil"/&gt;&lt;w:right w:val="nil"/&gt;&lt;w:insideH w:val="single" w:sz="4" w:space="0" w:color="000000" w:themeColor="text1" w:themeShade="99"/&gt;&lt;w:insideV w:val="nil"/&gt;&lt;/w:tcBorders&gt;&lt;w:shd w:val="clear" w:color="auto" w:fill="000000" w:themeFill="text1"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w:type="band1Vert"&gt;&lt;w:tblPr/&gt;&lt;w:tcPr&gt;&lt;w:shd w:val="clear" w:color="auto" w:fill="999999" w:themeFill="text1" w:themeFillTint="66"/&gt;&lt;/w:tcPr&gt;&lt;/w:tblStylePr&gt;&lt;w:tblStylePr w:type="band1Horz"&gt;&lt;w:tblPr/&gt;&lt;w:tcPr&gt;&lt;w:shd w:val="clear" w:color="auto" w:fill="808080" w:themeFill="text1"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w:styleId="ColorfulShading-Accent1"&gt;&lt;w:name w:val="Colorful Shading Accent 1"/&gt;&lt;w:basedOn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w:color="B2D83A" w:themeColor="accent2"/&gt;&lt;w:left w:val="single" w:sz="4" w:space="0" w:color="47A843" w:themeColor="accent1"/&gt;&lt;w:bottom w:val="single" w:sz="4" w:space="0" w:color="47A843" w:themeColor="accent1"/&gt;&lt;w:right w:val="single" w:sz="4" w:space="0" w:color="47A843" w:themeColor="accent1"/&gt;&lt;w:insideH w:val="single" w:sz="4" w:space="0" w:color="FFFFFF" w:themeColor="background1"/&gt;&lt;w:insideV w:val="single" w:sz="4" w:space="0" w:color="FFFFFF" w:themeColor="background1"/&gt;&lt;/w:tblBorders&gt;&lt;/w:tblPr&gt;&lt;w:tcPr&gt;&lt;w:shd w:val="clear" w:color="auto" w:fill="ECF7EB" w:themeFill="accent1" w:themeFillTint="19"/&gt;&lt;/w:tcPr&gt;&lt;w:tblStylePr w:type="firstRow"&gt;&lt;w:rPr&gt;&lt;w:b/&gt;&lt;w:bCs/&gt;&lt;/w:rPr&gt;&lt;w:tblPr/&gt;&lt;w:tcPr&gt;&lt;w:tcBorders&gt;&lt;w:top w:val="nil"/&gt;&lt;w:left w:val="nil"/&gt;&lt;w:bottom w:val="single" w:sz="24" w:space="0" w:color="B2D83A"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w:fill="2A6428" w:themeFill="accent1" w:themeFillShade="99"/&gt;&lt;/w:tcPr&gt;&lt;/w:tblStylePr&gt;&lt;w:tblStylePr w:type="firstCol"&gt;&lt;w:rPr&gt;&lt;w:color w:val="FFFFFF" w:themeColor="background1"/&gt;&lt;/w:rPr&gt;&lt;w:tblPr/&gt;&lt;w:tcPr&gt;&lt;w:tcBorders&gt;&lt;w:top w:val="nil"/&gt;&lt;w:left w:val="nil"/&gt;&lt;w:bottom w:val="nil"/&gt;&lt;w:right w:val="nil"/&gt;&lt;w:insideH w:val="single" w:sz="4" w:space="0" w:color="2A6428" w:themeColor="accent1" w:themeShade="99"/&gt;&lt;w:insideV w:val="nil"/&gt;&lt;/w:tcBorders&gt;&lt;w:shd w:val="clear" w:color="auto" w:fill="2A6428" w:themeFill="accent1"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w:fill="2A6428" w:themeFill="accent1" w:themeFillShade="99"/&gt;&lt;/w:tcPr&gt;&lt;/w:tblStylePr&gt;&lt;w:tblStylePr w:type="band1Vert"&gt;&lt;w:tblPr/&gt;&lt;w:tcPr&gt;&lt;w:shd w:val="clear" w:color="auto" w:fill="B2DFB0" w:themeFill="accent1" w:themeFillTint="66"/&gt;&lt;/w:tcPr&gt;&lt;/w:tblStylePr&gt;&lt;w:tblStylePr w:type="band1Horz"&gt;&lt;w:tblPr/&gt;&lt;w:tcPr&gt;&lt;w:shd w:val="clear" w:color="auto" w:fill="9FD89D" w:themeFill="accent1"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w:styleId="ColorfulShading-Accent2"&gt;&lt;w:name w:val="Colorful Shading Accent 2"/&gt;&lt;w:basedOn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w:color="B2D83A" w:themeColor="accent2"/&gt;&lt;w:left w:val="single" w:sz="4" w:space="0" w:color="B2D83A" w:themeColor="accent2"/&gt;&lt;w:bottom w:val="single" w:sz="4" w:space="0" w:color="B2D83A" w:themeColor="accent2"/&gt;&lt;w:right w:val="single" w:sz="4" w:space="0" w:color="B2D83A" w:themeColor="accent2"/&gt;&lt;w:insideH w:val="single" w:sz="4" w:space="0" w:color="FFFFFF" w:themeColor="background1"/&gt;&lt;w:insideV w:val="single" w:sz="4" w:space="0" w:color="FFFFFF" w:themeColor="background1"/&gt;&lt;/w:tblBorders&gt;&lt;/w:tblPr&gt;&lt;w:tcPr&gt;&lt;w:shd w:val="clear" w:color="auto" w:fill="F7FBEB" w:themeFill="accent2" w:themeFillTint="19"/&gt;&lt;/w:tcPr&gt;&lt;w:tblStylePr w:type="firstRow"&gt;&lt;w:rPr&gt;&lt;w:b/&gt;&lt;w:bCs/&gt;&lt;/w:rPr&gt;&lt;w:tblPr/&gt;&lt;w:tcPr&gt;&lt;w:tcBorders&gt;&lt;w:top w:val="nil"/&gt;&lt;w:left w:val="nil"/&gt;&lt;w:bottom w:val="single" w:sz="24" w:space="0" w:color="B2D83A"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w:fill="6E891B" w:themeFill="accent2" w:themeFillShade="99"/&gt;&lt;/w:tcPr&gt;&lt;/w:tblStylePr&gt;&lt;w:tblStylePr w:type="firstCol"&gt;&lt;w:rPr&gt;&lt;w:color w:val="FFFFFF" w:themeColor="background1"/&gt;&lt;/w:rPr&gt;&lt;w:tblPr/&gt;&lt;w:tcPr&gt;&lt;w:tcBorders&gt;&lt;w:top w:val="nil"/&gt;&lt;w:left w:val="nil"/&gt;&lt;w:bottom w:val="nil"/&gt;&lt;w:right w:val="nil"/&gt;&lt;w:insideH w:val="single" w:sz="4" w:space="0" w:color="6E891B" w:themeColor="accent2" w:themeShade="99"/&gt;&lt;w:insideV w:val="nil"/&gt;&lt;/w:tcBorders&gt;&lt;w:shd w:val="clear" w:color="auto" w:fill="6E891B" w:themeFill="accent2"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w:fill="6E891B" w:themeFill="accent2" w:themeFillShade="99"/&gt;&lt;/w:tcPr&gt;&lt;/w:tblStylePr&gt;&lt;w:tblStylePr w:type="band1Vert"&gt;&lt;w:tblPr/&gt;&lt;w:tcPr&gt;&lt;w:shd w:val="clear" w:color="auto" w:fill="E0EFAF" w:themeFill="accent2" w:themeFillTint="66"/&gt;&lt;/w:tcPr&gt;&lt;/w:tblStylePr&gt;&lt;w:tblStylePr w:type="band1Horz"&gt;&lt;w:tblPr/&gt;&lt;w:tcPr&gt;&lt;w:shd w:val="clear" w:color="auto" w:fill="D8EB9C" w:themeFill="accent2"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w:styleId="ColorfulShading-Accent3"&gt;&lt;w:name w:val="Colorful Shading Accent 3"/&gt;&lt;w:basedOn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w:color="EC7023" w:themeColor="accent4"/&gt;&lt;w:left w:val="single" w:sz="4" w:space="0" w:color="0066BE" w:themeColor="accent3"/&gt;&lt;w:bottom w:val="single" w:sz="4" w:space="0" w:color="0066BE" w:themeColor="accent3"/&gt;&lt;w:right w:val="single" w:sz="4" w:space="0" w:color="0066BE" w:themeColor="accent3"/&gt;&lt;w:insideH w:val="single" w:sz="4" w:space="0" w:color="FFFFFF" w:themeColor="background1"/&gt;&lt;w:insideV w:val="single" w:sz="4" w:space="0" w:color="FFFFFF" w:themeColor="background1"/&gt;&lt;/w:tblBorders&gt;&lt;/w:tblPr&gt;&lt;w:tcPr&gt;&lt;w:shd w:val="clear" w:color="auto" w:fill="DFF0FF" w:themeFill="accent3" w:themeFillTint="19"/&gt;&lt;/w:tcPr&gt;&lt;w:tblStylePr w:type="firstRow"&gt;&lt;w:rPr&gt;&lt;w:b/&gt;&lt;w:bCs/&gt;&lt;/w:rPr&gt;&lt;w:tblPr/&gt;&lt;w:tcPr&gt;&lt;w:tcBorders&gt;&lt;w:top w:val="nil"/&gt;&lt;w:left w:val="nil"/&gt;&lt;w:bottom w:val="single" w:sz="24" w:space="0" w:color="EC7023" w:themeColor="accent4"/&gt;&lt;w:right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w:fill="003C72" w:themeFill="accent3" w:themeFillShade="99"/&gt;&lt;/w:tcPr&gt;&lt;/w:tblStylePr&gt;&lt;w:tblStylePr w:type="firstCol"&gt;&lt;w:rPr&gt;&lt;w:color w:val="FFFFFF" w:themeColor="background1"/&gt;&lt;/w:rPr&gt;&lt;w:tblPr/&gt;&lt;w:tcPr&gt;&lt;w:tcBorders&gt;&lt;w:top w:val="nil"/&gt;&lt;w:left w:val="nil"/&gt;&lt;w:bottom w:val="nil"/&gt;&lt;w:right w:val="nil"/&gt;&lt;w:insideH w:val="single" w:sz="4" w:space="0" w:color="003C72" w:themeColor="accent3" w:themeShade="99"/&gt;&lt;w:insideV w:val="nil"/&gt;&lt;/w:tcBorders&gt;&lt;w:shd w:val="clear" w:color="auto" w:fill="003C72" w:themeFill="accent3"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w:fill="003C72" w:themeFill="accent3" w:themeFillShade="99"/&gt;&lt;/w:tcPr&gt;&lt;/w:tblStylePr&gt;&lt;w:tblStylePr w:type="band1Vert"&gt;&lt;w:tblPr/&gt;&lt;w:tcPr&gt;&lt;w:shd w:val="clear" w:color="auto" w:fill="7FC3FF" w:themeFill="accent3" w:themeFillTint="66"/&gt;&lt;/w:tcPr&gt;&lt;/w:tblStylePr&gt;&lt;w:tblStylePr w:type="band1Horz"&gt;&lt;w:tblPr/&gt;&lt;w:tcPr&gt;&lt;w:shd w:val="clear" w:color="auto" w:fill="5FB4FF" w:themeFill="accent3" w:themeFillTint="7F"/&gt;&lt;/w:tcPr&gt;&lt;/w:tblStylePr&gt;&lt;/w:style&gt;&lt;w:style w:type="table" w:styleId="ColorfulShading-Accent4"&gt;&lt;w:name w:val="Colorful Shading Accent 4"/&gt;&lt;w:basedOn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w:color="0066BE" w:themeColor="accent3"/&gt;&lt;w:left w:val="single" w:sz="4" w:space="0" w:color="EC7023" w:themeColor="accent4"/&gt;&lt;w:bottom w:val="single" w:sz="4" w:space="0" w:color="EC7023" w:themeColor="accent4"/&gt;&lt;w:right w:val="single" w:sz="4" w:space="0" w:color="EC7023" w:themeColor="accent4"/&gt;&lt;w:insideH w:val="single" w:sz="4" w:space="0" w:color="FFFFFF" w:themeColor="background1"/&gt;&lt;w:insideV w:val="single" w:sz="4" w:space="0" w:color="FFFFFF" w:themeColor="background1"/&gt;&lt;/w:tblBorders&gt;&lt;/w:tblPr&gt;&lt;w:tcPr&gt;&lt;w:shd w:val="clear" w:color="auto" w:fill="FDF0E9" w:themeFill="accent4" w:themeFillTint="19"/&gt;&lt;/w:tcPr&gt;&lt;w:tblStylePr w:type="firstRow"&gt;&lt;w:rPr&gt;&lt;w:b/&gt;&lt;w:bCs/&gt;&lt;/w:rPr&gt;&lt;w:tblPr/&gt;&lt;w:tcPr&gt;&lt;w:tcBorders&gt;&lt;w:top w:val="nil"/&gt;&lt;w:left w:val="nil"/&gt;&lt;w:bottom w:val="single" w:sz="24" w:space="0" w:color="0066BE" w:themeColor="accent3"/&gt;&lt;w:right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w:fill="95400D" w:themeFill="accent4" w:themeFillShade="99"/&gt;&lt;/w:tcPr&gt;&lt;/w:tblStylePr&gt;&lt;w:tblStylePr w:type="firstCol"&gt;&lt;w:rPr&gt;&lt;w:color w:val="FFFFFF" w:themeColor="background1"/&gt;&lt;/w:rPr&gt;&lt;w:tblPr/&gt;&lt;w:tcPr&gt;&lt;w:tcBorders&gt;&lt;w:top w:val="nil"/&gt;&lt;w:left w:val="nil"/&gt;&lt;w:bottom w:val="nil"/&gt;&lt;w:right w:val="nil"/&gt;&lt;w:insideH w:val="single" w:sz="4" w:space="0" w:color="95400D" w:themeColor="accent4" w:themeShade="99"/&gt;&lt;w:insideV w:val="nil"/&gt;&lt;/w:tcBorders&gt;&lt;w:shd w:val="clear" w:color="auto" w:fill="95400D" w:themeFill="accent4"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w:fill="95400D" w:themeFill="accent4" w:themeFillShade="99"/&gt;&lt;/w:tcPr&gt;&lt;/w:tblStylePr&gt;&lt;w:tblStylePr w:type="band1Vert"&gt;&lt;w:tblPr/&gt;&lt;w:tcPr&gt;&lt;w:shd w:val="clear" w:color="auto" w:fill="F7C5A6" w:themeFill="accent4" w:themeFillTint="66"/&gt;&lt;/w:tcPr&gt;&lt;/w:tblStylePr&gt;&lt;w:tblStylePr w:type="band1Horz"&gt;&lt;w:tblPr/&gt;&lt;w:tcPr&gt;&lt;w:shd w:val="clear" w:color="auto" w:fill="F5B791" w:themeFill="accent4"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w:styleId="ColorfulShading-Accent5"&gt;&lt;w:name w:val="Colorful Shading Accent 5"/&gt;&lt;w:basedOn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w:color="4D3097" w:themeColor="accent6"/&gt;&lt;w:left w:val="single" w:sz="4" w:space="0" w:color="DF2A2A" w:themeColor="accent5"/&gt;&lt;w:bottom w:val="single" w:sz="4" w:space="0" w:color="DF2A2A" w:themeColor="accent5"/&gt;&lt;w:right w:val="single" w:sz="4" w:space="0" w:color="DF2A2A" w:themeColor="accent5"/&gt;&lt;w:insideH w:val="single" w:sz="4" w:space="0" w:color="FFFFFF" w:themeColor="background1"/&gt;&lt;w:insideV w:val="single" w:sz="4" w:space="0" w:color="FFFFFF" w:themeColor="background1"/&gt;&lt;/w:tblBorders&gt;&lt;/w:tblPr&gt;&lt;w:tcPr&gt;&lt;w:shd w:val="clear" w:color="auto" w:fill="FBE9E9" w:themeFill="accent5" w:themeFillTint="19"/&gt;&lt;/w:tcPr&gt;&lt;w:tblStylePr w:type="firstRow"&gt;&lt;w:rPr&gt;&lt;w:b/&gt;&lt;w:bCs/&gt;&lt;/w:rPr&gt;&lt;w:tblPr/&gt;&lt;w:tcPr&gt;&lt;w:tcBorders&gt;&lt;w:top w:val="nil"/&gt;&lt;w:left w:val="nil"/&gt;&lt;w:bottom w:val="single" w:sz="24" w:space="0" w:color="4D3097" w:themeColor="accent6"/&gt;&lt;w:right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w:fill="8A1414" w:themeFill="accent5" w:themeFillShade="99"/&gt;&lt;/w:tcPr&gt;&lt;/w:tblStylePr&gt;&lt;w:tblStylePr w:type="firstCol"&gt;&lt;w:rPr&gt;&lt;w:color w:val="FFFFFF" w:themeColor="background1"/&gt;&lt;/w:rPr&gt;&lt;w:tblPr/&gt;&lt;w:tcPr&gt;&lt;w:tcBorders&gt;&lt;w:top w:val="nil"/&gt;&lt;w:left w:val="nil"/&gt;&lt;w:bottom w:val="nil"/&gt;&lt;w:right w:val="nil"/&gt;&lt;w:insideH w:val="single" w:sz="4" w:space="0" w:color="8A1414" w:themeColor="accent5" w:themeShade="99"/&gt;&lt;w:insideV w:val="nil"/&gt;&lt;/w:tcBorders&gt;&lt;w:shd w:val="clear" w:color="auto" w:fill="8A1414" w:themeFill="accent5"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w:fill="8A1414" w:themeFill="accent5" w:themeFillShade="99"/&gt;&lt;/w:tcPr&gt;&lt;/w:tblStylePr&gt;&lt;w:tblStylePr w:type="band1Vert"&gt;&lt;w:tblPr/&gt;&lt;w:tcPr&gt;&lt;w:shd w:val="clear" w:color="auto" w:fill="F2A9A9" w:themeFill="accent5" w:themeFillTint="66"/&gt;&lt;/w:tcPr&gt;&lt;/w:tblStylePr&gt;&lt;w:tblStylePr w:type="band1Horz"&gt;&lt;w:tblPr/&gt;&lt;w:tcPr&gt;&lt;w:shd w:val="clear" w:color="auto" w:fill="EF9494" w:themeFill="accent5"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w:styleId="ColorfulShading-Accent6"&gt;&lt;w:name w:val="Colorful Shading Accent 6"/&gt;&lt;w:basedOn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w:color="DF2A2A" w:themeColor="accent5"/&gt;&lt;w:left w:val="single" w:sz="4" w:space="0" w:color="4D3097" w:themeColor="accent6"/&gt;&lt;w:bottom w:val="single" w:sz="4" w:space="0" w:color="4D3097" w:themeColor="accent6"/&gt;&lt;w:right w:val="single" w:sz="4" w:space="0" w:color="4D3097" w:themeColor="accent6"/&gt;&lt;w:insideH w:val="single" w:sz="4" w:space="0" w:color="FFFFFF" w:themeColor="background1"/&gt;&lt;w:insideV w:val="single" w:sz="4" w:space="0" w:color="FFFFFF" w:themeColor="background1"/&gt;&lt;/w:tblBorders&gt;&lt;/w:tblPr&gt;&lt;w:tcPr&gt;&lt;w:shd w:val="clear" w:color="auto" w:fill="ECE7F7" w:themeFill="accent6" w:themeFillTint="19"/&gt;&lt;/w:tcPr&gt;&lt;w:tblStylePr w:type="firstRow"&gt;&lt;w:rPr&gt;&lt;w:b/&gt;&lt;w:bCs/&gt;&lt;/w:rPr&gt;&lt;w:tblPr/&gt;&lt;w:tcPr&gt;&lt;w:tcBorders&gt;&lt;w:top w:val="nil"/&gt;&lt;w:left w:val="nil"/&gt;&lt;w:bottom w:val="single" w:sz="24" w:space="0" w:color="DF2A2A" w:themeColor="accent5"/&gt;&lt;w:right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w:fill="2E1C5A" w:themeFill="accent6" w:themeFillShade="99"/&gt;&lt;/w:tcPr&gt;&lt;/w:tblStylePr&gt;&lt;w:tblStylePr w:type="firstCol"&gt;&lt;w:rPr&gt;&lt;w:color w:val="FFFFFF" w:themeColor="background1"/&gt;&lt;/w:rPr&gt;&lt;w:tblPr/&gt;&lt;w:tcPr&gt;&lt;w:tcBorders&gt;&lt;w:top w:val="nil"/&gt;&lt;w:left w:val="nil"/&gt;&lt;w:bottom w:val="nil"/&gt;&lt;w:right w:val="nil"/&gt;&lt;w:insideH w:val="single" w:sz="4" w:space="0" w:color="2E1C5A" w:themeColor="accent6" w:themeShade="99"/&gt;&lt;w:insideV w:val="nil"/&gt;&lt;/w:tcBorders&gt;&lt;w:shd w:val="clear" w:color="auto" w:fill="2E1C5A" w:themeFill="accent6"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w:fill="2E1C5A" w:themeFill="accent6" w:themeFillShade="99"/&gt;&lt;/w:tcPr&gt;&lt;/w:tblStylePr&gt;&lt;w:tblStylePr w:type="band1Vert"&gt;&lt;w:tblPr/&gt;&lt;w:tcPr&gt;&lt;w:shd w:val="clear" w:color="auto" w:fill="B2A0E1" w:themeFill="accent6" w:themeFillTint="66"/&gt;&lt;/w:tcPr&gt;&lt;/w:tblStylePr&gt;&lt;w:tblStylePr w:type="band1Horz"&gt;&lt;w:tblPr/&gt;&lt;w:tcPr&gt;&lt;w:shd w:val="clear" w:color="auto" w:fill="9F89D9" w:themeFill="accent6" w:themeFillTint="7F"/&gt;&lt;/w:tcPr&gt;&lt;/w:tblStylePr&gt;&lt;w:tblStylePr w:type="neCell"&gt;&lt;w:rPr&gt;&lt;w:color w:val="000000" w:themeColor="text1"/&gt;&lt;/w:rPr&gt;&lt;/w:tblStylePr&gt;&lt;w:tblStylePr w:type="nwCell"&gt;&lt;w:rPr&gt;&lt;w:color w:val="000000" w:themeColor="text1"/&gt;&lt;/w:rPr&gt;&lt;/w:tblStylePr&gt;&lt;/w:style&gt;&lt;w:style w:type="character" w:styleId="CommentReference"&gt;&lt;w:name w:val="annotation reference"/&gt;&lt;w:basedOn w:val="DefaultParagraphFont"/&gt;&lt;w:uiPriority w:val="99"/&gt;&lt;w:semiHidden/&gt;&lt;w:locked/&gt;&lt;w:rsid w:val="00D30A58"/&gt;&lt;w:rPr&gt;&lt;w:sz w:val="16"/&gt;&lt;w:szCs w:val="16"/&gt;&lt;/w:rPr&gt;&lt;/w:style&gt;&lt;w:style w:type="paragraph" w:styleId="CommentText"&gt;&lt;w:name w:val="annotation text"/&gt;&lt;w:basedOn w:val="Normal"/&gt;&lt;w:link w:val="CommentTextChar"/&gt;&lt;w:uiPriority w:val="99"/&gt;&lt;w:semiHidden/&gt;&lt;w:locked/&gt;&lt;w:rsid w:val="00D30A58"/&gt;&lt;w:pPr&gt;&lt;w:spacing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w:val="00D30A58"/&gt;&lt;w:rPr&gt;&lt;w:sz w:val="20"/&gt;&lt;w:szCs w:val="20"/&gt;&lt;/w:rPr&gt;&lt;/w:style&gt;&lt;w:style w:type="paragraph" w:styleId="CommentSubject"&gt;&lt;w:name w:val="annotation subject"/&gt;&lt;w:basedOn w:val="CommentText"/&gt;&lt;w:next w:val="CommentText"/&gt;&lt;w:link w:val="CommentSubjectChar"/&gt;&lt;w:uiPriority w:val="99"/&gt;&lt;w:semiHidden/&gt;&lt;w:locked/&gt;&lt;w:rsid w:val="00D30A58"/&gt;&lt;w:rPr&gt;&lt;w:b/&gt;&lt;w:bCs/&gt;&lt;/w:rPr&gt;&lt;/w:style&gt;&lt;w:style w:type="character" w:customStyle="1" w:styleId="CommentSubjectChar"&gt;&lt;w:name w:val="Comment Subject Char"/&gt;&lt;w:basedOn w:val="CommentTextChar"/&gt;&lt;w:link w:val="CommentSubject"/&gt;&lt;w:uiPriority w:val="99"/&gt;&lt;w:semiHidden/&gt;&lt;w:rsid w:val="00D30A58"/&gt;&lt;w:rPr&gt;&lt;w:b/&gt;&lt;w:bCs/&gt;&lt;w:sz w:val="20"/&gt;&lt;w:szCs w:val="20"/&gt;&lt;/w:rPr&gt;&lt;/w:style&gt;&lt;w:style w:type="table" w:styleId="DarkList"&gt;&lt;w:name w:val="Dark List"/&gt;&lt;w:basedOn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w:fill="000000" w:themeFill="text1"/&gt;&lt;/w:tcPr&gt;&lt;w:tblStylePr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w:fill="000000" w:themeFill="text1"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w:fill="000000" w:themeFill="text1"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w:fill="000000" w:themeFill="text1" w:themeFillShade="BF"/&gt;&lt;/w:tcPr&gt;&lt;/w:tblStylePr&gt;&lt;w:tblStylePr w:type="band1Vert"&gt;&lt;w:tblPr/&gt;&lt;w:tcPr&gt;&lt;w:tcBorders&gt;&lt;w:top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w:type="band1Horz"&gt;&lt;w:tblPr/&gt;&lt;w:tcPr&gt;&lt;w:tcBorders&gt;&lt;w:top w:val="nil"/&gt;&lt;w:left w:val="nil"/&gt;&lt;w:bottom w:val="nil"/&gt;&lt;w:right w:val="nil"/&gt;&lt;w:insideH w:val="nil"/&gt;&lt;w:insideV w:val="nil"/&gt;&lt;/w:tcBorders&gt;&lt;w:shd w:val="clear" w:color="auto" w:fill="000000" w:themeFill="text1" w:themeFillShade="BF"/&gt;&lt;/w:tcPr&gt;&lt;/w:tblStylePr&gt;&lt;/w:style&gt;&lt;w:style w:type="table" w:styleId="DarkList-Accent1"&gt;&lt;w:name w:val="Dark List Accent 1"/&gt;&lt;w:basedOn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w:fill="47A843" w:themeFill="accent1"/&gt;&lt;/w:tcPr&gt;&lt;w:tblStylePr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w:fill="235321" w:themeFill="accent1"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w:fill="357D32" w:themeFill="accent1"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w:fill="357D32" w:themeFill="accent1" w:themeFillShade="BF"/&gt;&lt;/w:tcPr&gt;&lt;/w:tblStylePr&gt;&lt;w:tblStylePr w:type="band1Vert"&gt;&lt;w:tblPr/&gt;&lt;w:tcPr&gt;&lt;w:tcBorders&gt;&lt;w:top w:val="nil"/&gt;&lt;w:left w:val="nil"/&gt;&lt;w:bottom w:val="nil"/&gt;&lt;w:right w:val="nil"/&gt;&lt;w:insideH w:val="nil"/&gt;&lt;w:insideV w:val="nil"/&gt;&lt;/w:tcBorders&gt;&lt;w:shd w:val="clear" w:color="auto" w:fill="357D32" w:themeFill="accent1" w:themeFillShade="BF"/&gt;&lt;/w:tcPr&gt;&lt;/w:tblStylePr&gt;&lt;w:tblStylePr w:type="band1Horz"&gt;&lt;w:tblPr/&gt;&lt;w:tcPr&gt;&lt;w:tcBorders&gt;&lt;w:top w:val="nil"/&gt;&lt;w:left w:val="nil"/&gt;&lt;w:bottom w:val="nil"/&gt;&lt;w:right w:val="nil"/&gt;&lt;w:insideH w:val="nil"/&gt;&lt;w:insideV w:val="nil"/&gt;&lt;/w:tcBorders&gt;&lt;w:shd w:val="clear" w:color="auto" w:fill="357D32" w:themeFill="accent1" w:themeFillShade="BF"/&gt;&lt;/w:tcPr&gt;&lt;/w:tblStylePr&gt;&lt;/w:style&gt;&lt;w:style w:type="table" w:styleId="DarkList-Accent2"&gt;&lt;w:name w:val="Dark List Accent 2"/&gt;&lt;w:basedOn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w:fill="B2D83A" w:themeFill="accent2"/&gt;&lt;/w:tcPr&gt;&lt;w:tblStylePr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w:fill="5B7116" w:themeFill="accent2"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w:fill="89AB22" w:themeFill="accent2"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w:fill="89AB22" w:themeFill="accent2" w:themeFillShade="BF"/&gt;&lt;/w:tcPr&gt;&lt;/w:tblStylePr&gt;&lt;w:tblStylePr w:type="band1Vert"&gt;&lt;w:tblPr/&gt;&lt;w:tcPr&gt;&lt;w:tcBorders&gt;&lt;w:top w:val="nil"/&gt;&lt;w:left w:val="nil"/&gt;&lt;w:bottom w:val="nil"/&gt;&lt;w:right w:val="nil"/&gt;&lt;w:insideH w:val="nil"/&gt;&lt;w:insideV w:val="nil"/&gt;&lt;/w:tcBorders&gt;&lt;w:shd w:val="clear" w:color="auto" w:fill="89AB22" w:themeFill="accent2" w:themeFillShade="BF"/&gt;&lt;/w:tcPr&gt;&lt;/w:tblStylePr&gt;&lt;w:tblStylePr w:type="band1Horz"&gt;&lt;w:tblPr/&gt;&lt;w:tcPr&gt;&lt;w:tcBorders&gt;&lt;w:top w:val="nil"/&gt;&lt;w:left w:val="nil"/&gt;&lt;w:bottom w:val="nil"/&gt;&lt;w:right w:val="nil"/&gt;&lt;w:insideH w:val="nil"/&gt;&lt;w:insideV w:val="nil"/&gt;&lt;/w:tcBorders&gt;&lt;w:shd w:val="clear" w:color="auto" w:fill="89AB22" w:themeFill="accent2" w:themeFillShade="BF"/&gt;&lt;/w:tcPr&gt;&lt;/w:tblStylePr&gt;&lt;/w:style&gt;&lt;w:style w:type="table" w:styleId="DarkList-Accent3"&gt;&lt;w:name w:val="Dark List Accent 3"/&gt;&lt;w:basedOn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w:fill="0066BE" w:themeFill="accent3"/&gt;&lt;/w:tcPr&gt;&lt;w:tblStylePr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w:fill="00325E" w:themeFill="accent3"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w:fill="004B8E" w:themeFill="accent3"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w:fill="004B8E" w:themeFill="accent3" w:themeFillShade="BF"/&gt;&lt;/w:tcPr&gt;&lt;/w:tblStylePr&gt;&lt;w:tblStylePr w:type="band1Vert"&gt;&lt;w:tblPr/&gt;&lt;w:tcPr&gt;&lt;w:tcBorders&gt;&lt;w:top w:val="nil"/&gt;&lt;w:left w:val="nil"/&gt;&lt;w:bottom w:val="nil"/&gt;&lt;w:right w:val="nil"/&gt;&lt;w:insideH w:val="nil"/&gt;&lt;w:insideV w:val="nil"/&gt;&lt;/w:tcBorders&gt;&lt;w:shd w:val="clear" w:color="auto" w:fill="004B8E" w:themeFill="accent3" w:themeFillShade="BF"/&gt;&lt;/w:tcPr&gt;&lt;/w:tblStylePr&gt;&lt;w:tblStylePr w:type="band1Horz"&gt;&lt;w:tblPr/&gt;&lt;w:tcPr&gt;&lt;w:tcBorders&gt;&lt;w:top w:val="nil"/&gt;&lt;w:left w:val="nil"/&gt;&lt;w:bottom w:val="nil"/&gt;&lt;w:right w:val="nil"/&gt;&lt;w:insideH w:val="nil"/&gt;&lt;w:insideV w:val="nil"/&gt;&lt;/w:tcBorders&gt;&lt;w:shd w:val="clear" w:color="auto" w:fill="004B8E" w:themeFill="accent3" w:themeFillShade="BF"/&gt;&lt;/w:tcPr&gt;&lt;/w:tblStylePr&gt;&lt;/w:style&gt;&lt;w:style w:type="table" w:styleId="DarkList-Accent4"&gt;&lt;w:name w:val="Dark List Accent 4"/&gt;&lt;w:basedOn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w:fill="EC7023" w:themeFill="accent4"/&gt;&lt;/w:tcPr&gt;&lt;w:tblStylePr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w:fill="7B350A" w:themeFill="accent4"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w:fill="BA5010" w:themeFill="accent4"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w:fill="BA5010" w:themeFill="accent4" w:themeFillShade="BF"/&gt;&lt;/w:tcPr&gt;&lt;/w:tblStylePr&gt;&lt;w:tblStylePr w:type="band1Vert"&gt;&lt;w:tblPr/&gt;&lt;w:tcPr&gt;&lt;w:tcBorders&gt;&lt;w:top w:val="nil"/&gt;&lt;w:left w:val="nil"/&gt;&lt;w:bottom w:val="nil"/&gt;&lt;w:right w:val="nil"/&gt;&lt;w:insideH w:val="nil"/&gt;&lt;w:insideV w:val="nil"/&gt;&lt;/w:tcBorders&gt;&lt;w:shd w:val="clear" w:color="auto" w:fill="BA5010" w:themeFill="accent4" w:themeFillShade="BF"/&gt;&lt;/w:tcPr&gt;&lt;/w:tblStylePr&gt;&lt;w:tblStylePr w:type="band1Horz"&gt;&lt;w:tblPr/&gt;&lt;w:tcPr&gt;&lt;w:tcBorders&gt;&lt;w:top w:val="nil"/&gt;&lt;w:left w:val="nil"/&gt;&lt;w:bottom w:val="nil"/&gt;&lt;w:right w:val="nil"/&gt;&lt;w:insideH w:val="nil"/&gt;&lt;w:insideV w:val="nil"/&gt;&lt;/w:tcBorders&gt;&lt;w:shd w:val="clear" w:color="auto" w:fill="BA5010" w:themeFill="accent4" w:themeFillShade="BF"/&gt;&lt;/w:tcPr&gt;&lt;/w:tblStylePr&gt;&lt;/w:style&gt;&lt;w:style w:type="table" w:styleId="DarkList-Accent5"&gt;&lt;w:name w:val="Dark List Accent 5"/&gt;&lt;w:basedOn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w:fill="DF2A2A" w:themeFill="accent5"/&gt;&lt;/w:tcPr&gt;&lt;w:tblStylePr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w:fill="721111" w:themeFill="accent5"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w:fill="AC1A1A" w:themeFill="accent5"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w:fill="AC1A1A" w:themeFill="accent5" w:themeFillShade="BF"/&gt;&lt;/w:tcPr&gt;&lt;/w:tblStylePr&gt;&lt;w:tblStylePr w:type="band1Vert"&gt;&lt;w:tblPr/&gt;&lt;w:tcPr&gt;&lt;w:tcBorders&gt;&lt;w:top w:val="nil"/&gt;&lt;w:left w:val="nil"/&gt;&lt;w:bottom w:val="nil"/&gt;&lt;w:right w:val="nil"/&gt;&lt;w:insideH w:val="nil"/&gt;&lt;w:insideV w:val="nil"/&gt;&lt;/w:tcBorders&gt;&lt;w:shd w:val="clear" w:color="auto" w:fill="AC1A1A" w:themeFill="accent5" w:themeFillShade="BF"/&gt;&lt;/w:tcPr&gt;&lt;/w:tblStylePr&gt;&lt;w:tblStylePr w:type="band1Horz"&gt;&lt;w:tblPr/&gt;&lt;w:tcPr&gt;&lt;w:tcBorders&gt;&lt;w:top w:val="nil"/&gt;&lt;w:left w:val="nil"/&gt;&lt;w:bottom w:val="nil"/&gt;&lt;w:right w:val="nil"/&gt;&lt;w:insideH w:val="nil"/&gt;&lt;w:insideV w:val="nil"/&gt;&lt;/w:tcBorders&gt;&lt;w:shd w:val="clear" w:color="auto" w:fill="AC1A1A" w:themeFill="accent5" w:themeFillShade="BF"/&gt;&lt;/w:tcPr&gt;&lt;/w:tblStylePr&gt;&lt;/w:style&gt;&lt;w:style w:type="table" w:styleId="DarkList-Accent6"&gt;&lt;w:name w:val="Dark List Accent 6"/&gt;&lt;w:basedOn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w:fill="4D3097" w:themeFill="accent6"/&gt;&lt;/w:tcPr&gt;&lt;w:tblStylePr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w:fill="26184B" w:themeFill="accent6"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w:fill="392471" w:themeFill="accent6"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w:fill="392471" w:themeFill="accent6" w:themeFillShade="BF"/&gt;&lt;/w:tcPr&gt;&lt;/w:tblStylePr&gt;&lt;w:tblStylePr w:type="band1Vert"&gt;&lt;w:tblPr/&gt;&lt;w:tcPr&gt;&lt;w:tcBorders&gt;&lt;w:top w:val="nil"/&gt;&lt;w:left w:val="nil"/&gt;&lt;w:bottom w:val="nil"/&gt;&lt;w:right w:val="nil"/&gt;&lt;w:insideH w:val="nil"/&gt;&lt;w:insideV w:val="nil"/&gt;&lt;/w:tcBorders&gt;&lt;w:shd w:val="clear" w:color="auto" w:fill="392471" w:themeFill="accent6" w:themeFillShade="BF"/&gt;&lt;/w:tcPr&gt;&lt;/w:tblStylePr&gt;&lt;w:tblStylePr w:type="band1Horz"&gt;&lt;w:tblPr/&gt;&lt;w:tcPr&gt;&lt;w:tcBorders&gt;&lt;w:top w:val="nil"/&gt;&lt;w:left w:val="nil"/&gt;&lt;w:bottom w:val="nil"/&gt;&lt;w:right w:val="nil"/&gt;&lt;w:insideH w:val="nil"/&gt;&lt;w:insideV w:val="nil"/&gt;&lt;/w:tcBorders&gt;&lt;w:shd w:val="clear" w:color="auto" w:fill="392471" w:themeFill="accent6" w:themeFillShade="BF"/&gt;&lt;/w:tcPr&gt;&lt;/w:tblStylePr&gt;&lt;/w:style&gt;&lt;w:style w:type="paragraph" w:styleId="DocumentMap"&gt;&lt;w:name w:val="Document Map"/&gt;&lt;w:basedOn w:val="Normal"/&gt;&lt;w:link w:val="DocumentMapChar"/&gt;&lt;w:uiPriority w:val="99"/&gt;&lt;w:semiHidden/&gt;&lt;w:locked/&gt;&lt;w:rsid w:val="00D30A58"/&gt;&lt;w:pPr&gt;&lt;w:spacing w:before="0" w:after="0" w:line="240" w:lineRule="auto"/&gt;&lt;/w:pPr&gt;&lt;w:rPr&gt;&lt;w:rFonts w:ascii="Segoe UI" w:hAnsi="Segoe UI" w:cs="Segoe UI"/&gt;&lt;w:sz w:val="16"/&gt;&lt;w:szCs w:val="16"/&gt;&lt;/w:rPr&gt;&lt;/w:style&gt;&lt;w:style w:type="character" w:customStyle="1" w:styleId="DocumentMapChar"&gt;&lt;w:name w:val="Document Map Char"/&gt;&lt;w:basedOn w:val="DefaultParagraphFont"/&gt;&lt;w:link w:val="DocumentMap"/&gt;&lt;w:uiPriority w:val="99"/&gt;&lt;w:semiHidden/&gt;&lt;w:rsid w:val="00D30A58"/&gt;&lt;w:rPr&gt;&lt;w:rFonts w:ascii="Segoe UI" w:hAnsi="Segoe UI" w:cs="Segoe UI"/&gt;&lt;w:sz w:val="16"/&gt;&lt;w:szCs w:val="16"/&gt;&lt;/w:rPr&gt;&lt;/w:style&gt;&lt;w:style w:type="paragraph" w:styleId="E-mailSignature"&gt;&lt;w:name w:val="E-mail Signature"/&gt;&lt;w:basedOn w:val="Normal"/&gt;&lt;w:link w:val="E-mailSignatureChar"/&gt;&lt;w:uiPriority w:val="99"/&gt;&lt;w:semiHidden/&gt;&lt;w:locked/&gt;&lt;w:rsid w:val="00D30A58"/&gt;&lt;w:pPr&gt;&lt;w:spacing w:before="0" w:after="0" w:line="240" w:lineRule="auto"/&gt;&lt;/w:pPr&gt;&lt;/w:style&gt;&lt;w:style w:type="character" w:customStyle="1" w:styleId="E-mailSignatureChar"&gt;&lt;w:name w:val="E-mail Signature Char"/&gt;&lt;w:basedOn w:val="DefaultParagraphFont"/&gt;&lt;w:link w:val="E-mailSignature"/&gt;&lt;w:uiPriority w:val="99"/&gt;&lt;w:semiHidden/&gt;&lt;w:rsid w:val="00D30A58"/&gt;&lt;/w:style&gt;&lt;w:style w:type="character" w:styleId="Emphasis"&gt;&lt;w:name w:val="Emphasis"/&gt;&lt;w:basedOn w:val="DefaultParagraphFont"/&gt;&lt;w:uiPriority w:val="20"/&gt;&lt;w:semiHidden/&gt;&lt;w:qFormat/&gt;&lt;w:locked/&gt;&lt;w:rsid w:val="00D30A58"/&gt;&lt;w:rPr&gt;&lt;w:i/&gt;&lt;w:iCs/&gt;&lt;/w:rPr&gt;&lt;/w:style&gt;&lt;w:style w:type="character" w:styleId="EndnoteReference"&gt;&lt;w:name w:val="endnote reference"/&gt;&lt;w:basedOn w:val="DefaultParagraphFont"/&gt;&lt;w:uiPriority w:val="99"/&gt;&lt;w:semiHidden/&gt;&lt;w:locked/&gt;&lt;w:rsid w:val="00D30A58"/&gt;&lt;w:rPr&gt;&lt;w:vertAlign w:val="superscript"/&gt;&lt;/w:rPr&gt;&lt;/w:style&gt;&lt;w:style w:type="paragraph" w:styleId="EndnoteText"&gt;&lt;w:name w:val="endnote text"/&gt;&lt;w:basedOn w:val="Normal"/&gt;&lt;w:link w:val="EndnoteTextChar"/&gt;&lt;w:uiPriority w:val="99"/&gt;&lt;w:semiHidden/&gt;&lt;w:locked/&gt;&lt;w:rsid w:val="00D30A58"/&gt;&lt;w:pPr&gt;&lt;w:spacing w:before="0" w:after="0" w:line="240" w:lineRule="auto"/&gt;&lt;/w:pPr&gt;&lt;w:rPr&gt;&lt;w:sz w:val="20"/&gt;&lt;w:szCs w:val="20"/&gt;&lt;/w:rPr&gt;&lt;/w:style&gt;&lt;w:style w:type="character" w:customStyle="1" w:styleId="EndnoteTextChar"&gt;&lt;w:name w:val="Endnote Text Char"/&gt;&lt;w:basedOn w:val="DefaultParagraphFont"/&gt;&lt;w:link w:val="EndnoteText"/&gt;&lt;w:uiPriority w:val="99"/&gt;&lt;w:semiHidden/&gt;&lt;w:rsid w:val="00D30A58"/&gt;&lt;w:rPr&gt;&lt;w:sz w:val="20"/&gt;&lt;w:szCs w:val="20"/&gt;&lt;/w:rPr&gt;&lt;/w:style&gt;&lt;w:style w:type="paragraph" w:styleId="EnvelopeReturn"&gt;&lt;w:name w:val="envelope return"/&gt;&lt;w:basedOn w:val="Normal"/&gt;&lt;w:uiPriority w:val="99"/&gt;&lt;w:semiHidden/&gt;&lt;w:rsid w:val="00D30A58"/&gt;&lt;w:pPr&gt;&lt;w:spacing w:before="0" w:after="0" w:line="240" w:lineRule="auto"/&gt;&lt;/w:pPr&gt;&lt;w:rPr&gt;&lt;w:rFonts w:asciiTheme="majorHAnsi" w:eastAsiaTheme="majorEastAsia" w:hAnsiTheme="majorHAnsi" w:cstheme="majorBidi"/&gt;&lt;w:sz w:val="20"/&gt;&lt;w:szCs w:val="20"/&gt;&lt;/w:rPr&gt;&lt;/w:style&gt;&lt;w:style w:type="character" w:styleId="FollowedHyperlink"&gt;&lt;w:name w:val="FollowedHyperlink"/&gt;&lt;w:basedOn w:val="DefaultParagraphFont"/&gt;&lt;w:uiPriority w:val="44"/&gt;&lt;w:rsid w:val="00D30A58"/&gt;&lt;w:rPr&gt;&lt;w:color w:val="4D3097" w:themeColor="followedHyperlink"/&gt;&lt;w:u w:val="single"/&gt;&lt;/w:rPr&gt;&lt;/w:style&gt;&lt;w:style w:type="table" w:styleId="GridTable1Light"&gt;&lt;w:name w:val="Grid Table 1 Light"/&gt;&lt;w:basedOn w:val="TableNormal"/&gt;&lt;w:uiPriority w:val="46"/&gt;&lt;w:locked/&gt;&lt;w:rsid w:val="00D30A58"/&gt;&lt;w:pPr&gt;&lt;w:spacing w:after="0" w:line="240" w:lineRule="auto"/&gt;&lt;/w:pPr&gt;&lt;w:tblPr&gt;&lt;w:tblStyleRowBandSize w:val="1"/&gt;&lt;w:tblStyleColBandSize w:val="1"/&gt;&lt;w:tblBorders&gt;&lt;w:top w:val="single" w:sz="4" w:space="0" w:color="999999" w:themeColor="text1" w:themeTint="66"/&gt;&lt;w:left w:val="single" w:sz="4" w:space="0" w:color="999999" w:themeColor="text1" w:themeTint="66"/&gt;&lt;w:bottom w:val="single" w:sz="4" w:space="0" w:color="999999" w:themeColor="text1" w:themeTint="66"/&gt;&lt;w:right w:val="single" w:sz="4" w:space="0" w:color="999999" w:themeColor="text1" w:themeTint="66"/&gt;&lt;w:insideH w:val="single" w:sz="4" w:space="0" w:color="999999" w:themeColor="text1" w:themeTint="66"/&gt;&lt;w:insideV w:val="single" w:sz="4" w:space="0" w:color="999999" w:themeColor="text1" w:themeTint="66"/&gt;&lt;/w:tblBorders&gt;&lt;/w:tblPr&gt;&lt;w:tblStylePr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w:sz="2" w:space="0" w:color="666666" w:themeColor="text1" w:themeTint="99"/&gt;&lt;/w:tcBorders&gt;&lt;/w:tcPr&gt;&lt;/w:tblStylePr&gt;&lt;w:tblStylePr w:type="firstCol"&gt;&lt;w:rPr&gt;&lt;w:b/&gt;&lt;w:bCs/&gt;&lt;/w:rPr&gt;&lt;/w:tblStylePr&gt;&lt;w:tblStylePr w:type="lastCol"&gt;&lt;w:rPr&gt;&lt;w:b/&gt;&lt;w:bCs/&gt;&lt;/w:rPr&gt;&lt;/w:tblStylePr&gt;&lt;/w:style&gt;&lt;w:style w:type="table" w:styleId="GridTable1Light-Accent1"&gt;&lt;w:name w:val="Grid Table 1 Light Accent 1"/&gt;&lt;w:basedOn w:val="TableNormal"/&gt;&lt;w:uiPriority w:val="46"/&gt;&lt;w:locked/&gt;&lt;w:rsid w:val="00D30A58"/&gt;&lt;w:pPr&gt;&lt;w:spacing w:after="0" w:line="240" w:lineRule="auto"/&gt;&lt;/w:pPr&gt;&lt;w:tblPr&gt;&lt;w:tblStyleRowBandSize w:val="1"/&gt;&lt;w:tblStyleColBandSize w:val="1"/&gt;&lt;w:tblBorders&gt;&lt;w:top w:val="single" w:sz="4" w:space="0" w:color="B2DFB0" w:themeColor="accent1" w:themeTint="66"/&gt;&lt;w:left w:val="single" w:sz="4" w:space="0" w:color="B2DFB0" w:themeColor="accent1" w:themeTint="66"/&gt;&lt;w:bottom w:val="single" w:sz="4" w:space="0" w:color="B2DFB0" w:themeColor="accent1" w:themeTint="66"/&gt;&lt;w:right w:val="single" w:sz="4" w:space="0" w:color="B2DFB0" w:themeColor="accent1" w:themeTint="66"/&gt;&lt;w:insideH w:val="single" w:sz="4" w:space="0" w:color="B2DFB0" w:themeColor="accent1" w:themeTint="66"/&gt;&lt;w:insideV w:val="single" w:sz="4" w:space="0" w:color="B2DFB0" w:themeColor="accent1" w:themeTint="66"/&gt;&lt;/w:tblBorders&gt;&lt;/w:tblPr&gt;&lt;w:tblStylePr w:type="firstRow"&gt;&lt;w:rPr&gt;&lt;w:b/&gt;&lt;w:bCs/&gt;&lt;/w:rPr&gt;&lt;w:tblPr/&gt;&lt;w:tcPr&gt;&lt;w:tcBorders&gt;&lt;w:bottom w:val="single" w:sz="12" w:space="0" w:color="8BD089" w:themeColor="accent1" w:themeTint="99"/&gt;&lt;/w:tcBorders&gt;&lt;/w:tcPr&gt;&lt;/w:tblStylePr&gt;&lt;w:tblStylePr w:type="lastRow"&gt;&lt;w:rPr&gt;&lt;w:b/&gt;&lt;w:bCs/&gt;&lt;/w:rPr&gt;&lt;w:tblPr/&gt;&lt;w:tcPr&gt;&lt;w:tcBorders&gt;&lt;w:top w:val="double" w:sz="2" w:space="0" w:color="8BD089" w:themeColor="accent1" w:themeTint="99"/&gt;&lt;/w:tcBorders&gt;&lt;/w:tcPr&gt;&lt;/w:tblStylePr&gt;&lt;w:tblStylePr w:type="firstCol"&gt;&lt;w:rPr&gt;&lt;w:b/&gt;&lt;w:bCs/&gt;&lt;/w:rPr&gt;&lt;/w:tblStylePr&gt;&lt;w:tblStylePr w:type="lastCol"&gt;&lt;w:rPr&gt;&lt;w:b/&gt;&lt;w:bCs/&gt;&lt;/w:rPr&gt;&lt;/w:tblStylePr&gt;&lt;/w:style&gt;&lt;w:style w:type="table" w:styleId="GridTable1Light-Accent2"&gt;&lt;w:name w:val="Grid Table 1 Light Accent 2"/&gt;&lt;w:basedOn w:val="TableNormal"/&gt;&lt;w:uiPriority w:val="46"/&gt;&lt;w:locked/&gt;&lt;w:rsid w:val="00D30A58"/&gt;&lt;w:pPr&gt;&lt;w:spacing w:after="0" w:line="240" w:lineRule="auto"/&gt;&lt;/w:pPr&gt;&lt;w:tblPr&gt;&lt;w:tblStyleRowBandSize w:val="1"/&gt;&lt;w:tblStyleColBandSize w:val="1"/&gt;&lt;w:tblBorders&gt;&lt;w:top w:val="single" w:sz="4" w:space="0" w:color="E0EFAF" w:themeColor="accent2" w:themeTint="66"/&gt;&lt;w:left w:val="single" w:sz="4" w:space="0" w:color="E0EFAF" w:themeColor="accent2" w:themeTint="66"/&gt;&lt;w:bottom w:val="single" w:sz="4" w:space="0" w:color="E0EFAF" w:themeColor="accent2" w:themeTint="66"/&gt;&lt;w:right w:val="single" w:sz="4" w:space="0" w:color="E0EFAF" w:themeColor="accent2" w:themeTint="66"/&gt;&lt;w:insideH w:val="single" w:sz="4" w:space="0" w:color="E0EFAF" w:themeColor="accent2" w:themeTint="66"/&gt;&lt;w:insideV w:val="single" w:sz="4" w:space="0" w:color="E0EFAF" w:themeColor="accent2" w:themeTint="66"/&gt;&lt;/w:tblBorders&gt;&lt;/w:tblPr&gt;&lt;w:tblStylePr w:type="firstRow"&gt;&lt;w:rPr&gt;&lt;w:b/&gt;&lt;w:bCs/&gt;&lt;/w:rPr&gt;&lt;w:tblPr/&gt;&lt;w:tcPr&gt;&lt;w:tcBorders&gt;&lt;w:bottom w:val="single" w:sz="12" w:space="0" w:color="D0E788" w:themeColor="accent2" w:themeTint="99"/&gt;&lt;/w:tcBorders&gt;&lt;/w:tcPr&gt;&lt;/w:tblStylePr&gt;&lt;w:tblStylePr w:type="lastRow"&gt;&lt;w:rPr&gt;&lt;w:b/&gt;&lt;w:bCs/&gt;&lt;/w:rPr&gt;&lt;w:tblPr/&gt;&lt;w:tcPr&gt;&lt;w:tcBorders&gt;&lt;w:top w:val="double" w:sz="2" w:space="0" w:color="D0E788" w:themeColor="accent2" w:themeTint="99"/&gt;&lt;/w:tcBorders&gt;&lt;/w:tcPr&gt;&lt;/w:tblStylePr&gt;&lt;w:tblStylePr w:type="firstCol"&gt;&lt;w:rPr&gt;&lt;w:b/&gt;&lt;w:bCs/&gt;&lt;/w:rPr&gt;&lt;/w:tblStylePr&gt;&lt;w:tblStylePr w:type="lastCol"&gt;&lt;w:rPr&gt;&lt;w:b/&gt;&lt;w:bCs/&gt;&lt;/w:rPr&gt;&lt;/w:tblStylePr&gt;&lt;/w:style&gt;&lt;w:style w:type="table" w:styleId="GridTable1Light-Accent3"&gt;&lt;w:name w:val="Grid Table 1 Light Accent 3"/&gt;&lt;w:basedOn w:val="TableNormal"/&gt;&lt;w:uiPriority w:val="46"/&gt;&lt;w:locked/&gt;&lt;w:rsid w:val="00D30A58"/&gt;&lt;w:pPr&gt;&lt;w:spacing w:after="0" w:line="240" w:lineRule="auto"/&gt;&lt;/w:pPr&gt;&lt;w:tblPr&gt;&lt;w:tblStyleRowBandSize w:val="1"/&gt;&lt;w:tblStyleColBandSize w:val="1"/&gt;&lt;w:tblBorders&gt;&lt;w:top w:val="single" w:sz="4" w:space="0" w:color="7FC3FF" w:themeColor="accent3" w:themeTint="66"/&gt;&lt;w:left w:val="single" w:sz="4" w:space="0" w:color="7FC3FF" w:themeColor="accent3" w:themeTint="66"/&gt;&lt;w:bottom w:val="single" w:sz="4" w:space="0" w:color="7FC3FF" w:themeColor="accent3" w:themeTint="66"/&gt;&lt;w:right w:val="single" w:sz="4" w:space="0" w:color="7FC3FF" w:themeColor="accent3" w:themeTint="66"/&gt;&lt;w:insideH w:val="single" w:sz="4" w:space="0" w:color="7FC3FF" w:themeColor="accent3" w:themeTint="66"/&gt;&lt;w:insideV w:val="single" w:sz="4" w:space="0" w:color="7FC3FF" w:themeColor="accent3" w:themeTint="66"/&gt;&lt;/w:tblBorders&gt;&lt;/w:tblPr&gt;&lt;w:tblStylePr w:type="firstRow"&gt;&lt;w:rPr&gt;&lt;w:b/&gt;&lt;w:bCs/&gt;&lt;/w:rPr&gt;&lt;w:tblPr/&gt;&lt;w:tcPr&gt;&lt;w:tcBorders&gt;&lt;w:bottom w:val="single" w:sz="12" w:space="0" w:color="3FA5FF" w:themeColor="accent3" w:themeTint="99"/&gt;&lt;/w:tcBorders&gt;&lt;/w:tcPr&gt;&lt;/w:tblStylePr&gt;&lt;w:tblStylePr w:type="lastRow"&gt;&lt;w:rPr&gt;&lt;w:b/&gt;&lt;w:bCs/&gt;&lt;/w:rPr&gt;&lt;w:tblPr/&gt;&lt;w:tcPr&gt;&lt;w:tcBorders&gt;&lt;w:top w:val="double" w:sz="2" w:space="0" w:color="3FA5FF" w:themeColor="accent3" w:themeTint="99"/&gt;&lt;/w:tcBorders&gt;&lt;/w:tcPr&gt;&lt;/w:tblStylePr&gt;&lt;w:tblStylePr w:type="firstCol"&gt;&lt;w:rPr&gt;&lt;w:b/&gt;&lt;w:bCs/&gt;&lt;/w:rPr&gt;&lt;/w:tblStylePr&gt;&lt;w:tblStylePr w:type="lastCol"&gt;&lt;w:rPr&gt;&lt;w:b/&gt;&lt;w:bCs/&gt;&lt;/w:rPr&gt;&lt;/w:tblStylePr&gt;&lt;/w:style&gt;&lt;w:style w:type="table" w:styleId="GridTable1Light-Accent4"&gt;&lt;w:name w:val="Grid Table 1 Light Accent 4"/&gt;&lt;w:basedOn w:val="TableNormal"/&gt;&lt;w:uiPriority w:val="46"/&gt;&lt;w:locked/&gt;&lt;w:rsid w:val="00D30A58"/&gt;&lt;w:pPr&gt;&lt;w:spacing w:after="0" w:line="240" w:lineRule="auto"/&gt;&lt;/w:pPr&gt;&lt;w:tblPr&gt;&lt;w:tblStyleRowBandSize w:val="1"/&gt;&lt;w:tblStyleColBandSize w:val="1"/&gt;&lt;w:tblBorders&gt;&lt;w:top w:val="single" w:sz="4" w:space="0" w:color="F7C5A6" w:themeColor="accent4" w:themeTint="66"/&gt;&lt;w:left w:val="single" w:sz="4" w:space="0" w:color="F7C5A6" w:themeColor="accent4" w:themeTint="66"/&gt;&lt;w:bottom w:val="single" w:sz="4" w:space="0" w:color="F7C5A6" w:themeColor="accent4" w:themeTint="66"/&gt;&lt;w:right w:val="single" w:sz="4" w:space="0" w:color="F7C5A6" w:themeColor="accent4" w:themeTint="66"/&gt;&lt;w:insideH w:val="single" w:sz="4" w:space="0" w:color="F7C5A6" w:themeColor="accent4" w:themeTint="66"/&gt;&lt;w:insideV w:val="single" w:sz="4" w:space="0" w:color="F7C5A6" w:themeColor="accent4" w:themeTint="66"/&gt;&lt;/w:tblBorders&gt;&lt;/w:tblPr&gt;&lt;w:tblStylePr w:type="firstRow"&gt;&lt;w:rPr&gt;&lt;w:b/&gt;&lt;w:bCs/&gt;&lt;/w:rPr&gt;&lt;w:tblPr/&gt;&lt;w:tcPr&gt;&lt;w:tcBorders&gt;&lt;w:bottom w:val="single" w:sz="12" w:space="0" w:color="F3A87A" w:themeColor="accent4" w:themeTint="99"/&gt;&lt;/w:tcBorders&gt;&lt;/w:tcPr&gt;&lt;/w:tblStylePr&gt;&lt;w:tblStylePr w:type="lastRow"&gt;&lt;w:rPr&gt;&lt;w:b/&gt;&lt;w:bCs/&gt;&lt;/w:rPr&gt;&lt;w:tblPr/&gt;&lt;w:tcPr&gt;&lt;w:tcBorders&gt;&lt;w:top w:val="double" w:sz="2" w:space="0" w:color="F3A87A" w:themeColor="accent4" w:themeTint="99"/&gt;&lt;/w:tcBorders&gt;&lt;/w:tcPr&gt;&lt;/w:tblStylePr&gt;&lt;w:tblStylePr w:type="firstCol"&gt;&lt;w:rPr&gt;&lt;w:b/&gt;&lt;w:bCs/&gt;&lt;/w:rPr&gt;&lt;/w:tblStylePr&gt;&lt;w:tblStylePr w:type="lastCol"&gt;&lt;w:rPr&gt;&lt;w:b/&gt;&lt;w:bCs/&gt;&lt;/w:rPr&gt;&lt;/w:tblStylePr&gt;&lt;/w:style&gt;&lt;w:style w:type="table" w:styleId="GridTable1Light-Accent5"&gt;&lt;w:name w:val="Grid Table 1 Light Accent 5"/&gt;&lt;w:basedOn w:val="TableNormal"/&gt;&lt;w:uiPriority w:val="46"/&gt;&lt;w:locked/&gt;&lt;w:rsid w:val="00D30A58"/&gt;&lt;w:pPr&gt;&lt;w:spacing w:after="0" w:line="240" w:lineRule="auto"/&gt;&lt;/w:pPr&gt;&lt;w:tblPr&gt;&lt;w:tblStyleRowBandSize w:val="1"/&gt;&lt;w:tblStyleColBandSize w:val="1"/&gt;&lt;w:tblBorders&gt;&lt;w:top w:val="single" w:sz="4" w:space="0" w:color="F2A9A9" w:themeColor="accent5" w:themeTint="66"/&gt;&lt;w:left w:val="single" w:sz="4" w:space="0" w:color="F2A9A9" w:themeColor="accent5" w:themeTint="66"/&gt;&lt;w:bottom w:val="single" w:sz="4" w:space="0" w:color="F2A9A9" w:themeColor="accent5" w:themeTint="66"/&gt;&lt;w:right w:val="single" w:sz="4" w:space="0" w:color="F2A9A9" w:themeColor="accent5" w:themeTint="66"/&gt;&lt;w:insideH w:val="single" w:sz="4" w:space="0" w:color="F2A9A9" w:themeColor="accent5" w:themeTint="66"/&gt;&lt;w:insideV w:val="single" w:sz="4" w:space="0" w:color="F2A9A9" w:themeColor="accent5" w:themeTint="66"/&gt;&lt;/w:tblBorders&gt;&lt;/w:tblPr&gt;&lt;w:tblStylePr w:type="firstRow"&gt;&lt;w:rPr&gt;&lt;w:b/&gt;&lt;w:bCs/&gt;&lt;/w:rPr&gt;&lt;w:tblPr/&gt;&lt;w:tcPr&gt;&lt;w:tcBorders&gt;&lt;w:bottom w:val="single" w:sz="12" w:space="0" w:color="EB7F7F" w:themeColor="accent5" w:themeTint="99"/&gt;&lt;/w:tcBorders&gt;&lt;/w:tcPr&gt;&lt;/w:tblStylePr&gt;&lt;w:tblStylePr w:type="lastRow"&gt;&lt;w:rPr&gt;&lt;w:b/&gt;&lt;w:bCs/&gt;&lt;/w:rPr&gt;&lt;w:tblPr/&gt;&lt;w:tcPr&gt;&lt;w:tcBorders&gt;&lt;w:top w:val="double" w:sz="2" w:space="0" w:color="EB7F7F" w:themeColor="accent5" w:themeTint="99"/&gt;&lt;/w:tcBorders&gt;&lt;/w:tcPr&gt;&lt;/w:tblStylePr&gt;&lt;w:tblStylePr w:type="firstCol"&gt;&lt;w:rPr&gt;&lt;w:b/&gt;&lt;w:bCs/&gt;&lt;/w:rPr&gt;&lt;/w:tblStylePr&gt;&lt;w:tblStylePr w:type="lastCol"&gt;&lt;w:rPr&gt;&lt;w:b/&gt;&lt;w:bCs/&gt;&lt;/w:rPr&gt;&lt;/w:tblStylePr&gt;&lt;/w:style&gt;&lt;w:style w:type="table" w:styleId="GridTable1Light-Accent6"&gt;&lt;w:name w:val="Grid Table 1 Light Accent 6"/&gt;&lt;w:basedOn w:val="TableNormal"/&gt;&lt;w:uiPriority w:val="46"/&gt;&lt;w:locked/&gt;&lt;w:rsid w:val="00D30A58"/&gt;&lt;w:pPr&gt;&lt;w:spacing w:after="0" w:line="240" w:lineRule="auto"/&gt;&lt;/w:pPr&gt;&lt;w:tblPr&gt;&lt;w:tblStyleRowBandSize w:val="1"/&gt;&lt;w:tblStyleColBandSize w:val="1"/&gt;&lt;w:tblBorders&gt;&lt;w:top w:val="single" w:sz="4" w:space="0" w:color="B2A0E1" w:themeColor="accent6" w:themeTint="66"/&gt;&lt;w:left w:val="single" w:sz="4" w:space="0" w:color="B2A0E1" w:themeColor="accent6" w:themeTint="66"/&gt;&lt;w:bottom w:val="single" w:sz="4" w:space="0" w:color="B2A0E1" w:themeColor="accent6" w:themeTint="66"/&gt;&lt;w:right w:val="single" w:sz="4" w:space="0" w:color="B2A0E1" w:themeColor="accent6" w:themeTint="66"/&gt;&lt;w:insideH w:val="single" w:sz="4" w:space="0" w:color="B2A0E1" w:themeColor="accent6" w:themeTint="66"/&gt;&lt;w:insideV w:val="single" w:sz="4" w:space="0" w:color="B2A0E1" w:themeColor="accent6" w:themeTint="66"/&gt;&lt;/w:tblBorders&gt;&lt;/w:tblPr&gt;&lt;w:tblStylePr w:type="firstRow"&gt;&lt;w:rPr&gt;&lt;w:b/&gt;&lt;w:bCs/&gt;&lt;/w:rPr&gt;&lt;w:tblPr/&gt;&lt;w:tcPr&gt;&lt;w:tcBorders&gt;&lt;w:bottom w:val="single" w:sz="12" w:space="0" w:color="8C71D2" w:themeColor="accent6" w:themeTint="99"/&gt;&lt;/w:tcBorders&gt;&lt;/w:tcPr&gt;&lt;/w:tblStylePr&gt;&lt;w:tblStylePr w:type="lastRow"&gt;&lt;w:rPr&gt;&lt;w:b/&gt;&lt;w:bCs/&gt;&lt;/w:rPr&gt;&lt;w:tblPr/&gt;&lt;w:tcPr&gt;&lt;w:tcBorders&gt;&lt;w:top w:val="double" w:sz="2" w:space="0" w:color="8C71D2" w:themeColor="accent6" w:themeTint="99"/&gt;&lt;/w:tcBorders&gt;&lt;/w:tcPr&gt;&lt;/w:tblStylePr&gt;&lt;w:tblStylePr w:type="firstCol"&gt;&lt;w:rPr&gt;&lt;w:b/&gt;&lt;w:bCs/&gt;&lt;/w:rPr&gt;&lt;/w:tblStylePr&gt;&lt;w:tblStylePr w:type="lastCol"&gt;&lt;w:rPr&gt;&lt;w:b/&gt;&lt;w:bCs/&gt;&lt;/w:rPr&gt;&lt;/w:tblStylePr&gt;&lt;/w:style&gt;&lt;w:style w:type="table" w:styleId="GridTable2"&gt;&lt;w:name w:val="Grid Table 2"/&gt;&lt;w:basedOn w:val="TableNormal"/&gt;&lt;w:uiPriority w:val="47"/&gt;&lt;w:locked/&gt;&lt;w:rsid w:val="00D30A58"/&gt;&lt;w:pPr&gt;&lt;w:spacing w:after="0" w:line="240" w:lineRule="auto"/&gt;&lt;/w:pPr&gt;&lt;w:tblPr&gt;&lt;w:tblStyleRowBandSize w:val="1"/&gt;&lt;w:tblStyleColBandSize w:val="1"/&gt;&lt;w:tblBorders&gt;&lt;w:top w:val="single" w:sz="2" w:space="0" w:color="666666" w:themeColor="text1" w:themeTint="99"/&gt;&lt;w:bottom w:val="single" w:sz="2" w:space="0" w:color="666666" w:themeColor="text1" w:themeTint="99"/&gt;&lt;w:insideH w:val="single" w:sz="2" w:space="0" w:color="666666" w:themeColor="text1" w:themeTint="99"/&gt;&lt;w:insideV w:val="single" w:sz="2" w:space="0" w:color="666666" w:themeColor="text1" w:themeTint="99"/&gt;&lt;/w:tblBorders&gt;&lt;/w:tblPr&gt;&lt;w:tblStylePr w:type="firstRow"&gt;&lt;w:rPr&gt;&lt;w:b/&gt;&lt;w:bCs/&gt;&lt;/w:rPr&gt;&lt;w:tblPr/&gt;&lt;w:tcPr&gt;&lt;w:tcBorders&gt;&lt;w:top w:val="nil"/&gt;&lt;w:bottom w:val="single" w:sz="12" w:space="0" w:color="666666" w:themeColor="text1"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w:color="666666" w:themeColor="text1"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w:styleId="GridTable2-Accent1"&gt;&lt;w:name w:val="Grid Table 2 Accent 1"/&gt;&lt;w:basedOn w:val="TableNormal"/&gt;&lt;w:uiPriority w:val="47"/&gt;&lt;w:locked/&gt;&lt;w:rsid w:val="00D30A58"/&gt;&lt;w:pPr&gt;&lt;w:spacing w:after="0" w:line="240" w:lineRule="auto"/&gt;&lt;/w:pPr&gt;&lt;w:tblPr&gt;&lt;w:tblStyleRowBandSize w:val="1"/&gt;&lt;w:tblStyleColBandSize w:val="1"/&gt;&lt;w:tblBorders&gt;&lt;w:top w:val="single" w:sz="2" w:space="0" w:color="8BD089" w:themeColor="accent1" w:themeTint="99"/&gt;&lt;w:bottom w:val="single" w:sz="2" w:space="0" w:color="8BD089" w:themeColor="accent1" w:themeTint="99"/&gt;&lt;w:insideH w:val="single" w:sz="2" w:space="0" w:color="8BD089" w:themeColor="accent1" w:themeTint="99"/&gt;&lt;w:insideV w:val="single" w:sz="2" w:space="0" w:color="8BD089" w:themeColor="accent1" w:themeTint="99"/&gt;&lt;/w:tblBorders&gt;&lt;/w:tblPr&gt;&lt;w:tblStylePr w:type="firstRow"&gt;&lt;w:rPr&gt;&lt;w:b/&gt;&lt;w:bCs/&gt;&lt;/w:rPr&gt;&lt;w:tblPr/&gt;&lt;w:tcPr&gt;&lt;w:tcBorders&gt;&lt;w:top w:val="nil"/&gt;&lt;w:bottom w:val="single" w:sz="12" w:space="0" w:color="8BD089" w:themeColor="accent1"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w:color="8BD089" w:themeColor="accent1"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w:styleId="GridTable2-Accent2"&gt;&lt;w:name w:val="Grid Table 2 Accent 2"/&gt;&lt;w:basedOn w:val="TableNormal"/&gt;&lt;w:uiPriority w:val="47"/&gt;&lt;w:locked/&gt;&lt;w:rsid w:val="00D30A58"/&gt;&lt;w:pPr&gt;&lt;w:spacing w:after="0" w:line="240" w:lineRule="auto"/&gt;&lt;/w:pPr&gt;&lt;w:tblPr&gt;&lt;w:tblStyleRowBandSize w:val="1"/&gt;&lt;w:tblStyleColBandSize w:val="1"/&gt;&lt;w:tblBorders&gt;&lt;w:top w:val="single" w:sz="2" w:space="0" w:color="D0E788" w:themeColor="accent2" w:themeTint="99"/&gt;&lt;w:bottom w:val="single" w:sz="2" w:space="0" w:color="D0E788" w:themeColor="accent2" w:themeTint="99"/&gt;&lt;w:insideH w:val="single" w:sz="2" w:space="0" w:color="D0E788" w:themeColor="accent2" w:themeTint="99"/&gt;&lt;w:insideV w:val="single" w:sz="2" w:space="0" w:color="D0E788" w:themeColor="accent2" w:themeTint="99"/&gt;&lt;/w:tblBorders&gt;&lt;/w:tblPr&gt;&lt;w:tblStylePr w:type="firstRow"&gt;&lt;w:rPr&gt;&lt;w:b/&gt;&lt;w:bCs/&gt;&lt;/w:rPr&gt;&lt;w:tblPr/&gt;&lt;w:tcPr&gt;&lt;w:tcBorders&gt;&lt;w:top w:val="nil"/&gt;&lt;w:bottom w:val="single" w:sz="12" w:space="0" w:color="D0E788" w:themeColor="accent2"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w:color="D0E788" w:themeColor="accent2"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w:styleId="GridTable2-Accent3"&gt;&lt;w:name w:val="Grid Table 2 Accent 3"/&gt;&lt;w:basedOn w:val="TableNormal"/&gt;&lt;w:uiPriority w:val="47"/&gt;&lt;w:locked/&gt;&lt;w:rsid w:val="00D30A58"/&gt;&lt;w:pPr&gt;&lt;w:spacing w:after="0" w:line="240" w:lineRule="auto"/&gt;&lt;/w:pPr&gt;&lt;w:tblPr&gt;&lt;w:tblStyleRowBandSize w:val="1"/&gt;&lt;w:tblStyleColBandSize w:val="1"/&gt;&lt;w:tblBorders&gt;&lt;w:top w:val="single" w:sz="2" w:space="0" w:color="3FA5FF" w:themeColor="accent3" w:themeTint="99"/&gt;&lt;w:bottom w:val="single" w:sz="2" w:space="0" w:color="3FA5FF" w:themeColor="accent3" w:themeTint="99"/&gt;&lt;w:insideH w:val="single" w:sz="2" w:space="0" w:color="3FA5FF" w:themeColor="accent3" w:themeTint="99"/&gt;&lt;w:insideV w:val="single" w:sz="2" w:space="0" w:color="3FA5FF" w:themeColor="accent3" w:themeTint="99"/&gt;&lt;/w:tblBorders&gt;&lt;/w:tblPr&gt;&lt;w:tblStylePr w:type="firstRow"&gt;&lt;w:rPr&gt;&lt;w:b/&gt;&lt;w:bCs/&gt;&lt;/w:rPr&gt;&lt;w:tblPr/&gt;&lt;w:tcPr&gt;&lt;w:tcBorders&gt;&lt;w:top w:val="nil"/&gt;&lt;w:bottom w:val="single" w:sz="12" w:space="0" w:color="3FA5FF" w:themeColor="accent3"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w:color="3FA5FF" w:themeColor="accent3"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w:styleId="GridTable2-Accent4"&gt;&lt;w:name w:val="Grid Table 2 Accent 4"/&gt;&lt;w:basedOn w:val="TableNormal"/&gt;&lt;w:uiPriority w:val="47"/&gt;&lt;w:locked/&gt;&lt;w:rsid w:val="00D30A58"/&gt;&lt;w:pPr&gt;&lt;w:spacing w:after="0" w:line="240" w:lineRule="auto"/&gt;&lt;/w:pPr&gt;&lt;w:tblPr&gt;&lt;w:tblStyleRowBandSize w:val="1"/&gt;&lt;w:tblStyleColBandSize w:val="1"/&gt;&lt;w:tblBorders&gt;&lt;w:top w:val="single" w:sz="2" w:space="0" w:color="F3A87A" w:themeColor="accent4" w:themeTint="99"/&gt;&lt;w:bottom w:val="single" w:sz="2" w:space="0" w:color="F3A87A" w:themeColor="accent4" w:themeTint="99"/&gt;&lt;w:insideH w:val="single" w:sz="2" w:space="0" w:color="F3A87A" w:themeColor="accent4" w:themeTint="99"/&gt;&lt;w:insideV w:val="single" w:sz="2" w:space="0" w:color="F3A87A" w:themeColor="accent4" w:themeTint="99"/&gt;&lt;/w:tblBorders&gt;&lt;/w:tblPr&gt;&lt;w:tblStylePr w:type="firstRow"&gt;&lt;w:rPr&gt;&lt;w:b/&gt;&lt;w:bCs/&gt;&lt;/w:rPr&gt;&lt;w:tblPr/&gt;&lt;w:tcPr&gt;&lt;w:tcBorders&gt;&lt;w:top w:val="nil"/&gt;&lt;w:bottom w:val="single" w:sz="12" w:space="0" w:color="F3A87A" w:themeColor="accent4"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w:color="F3A87A" w:themeColor="accent4"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w:styleId="GridTable2-Accent5"&gt;&lt;w:name w:val="Grid Table 2 Accent 5"/&gt;&lt;w:basedOn w:val="TableNormal"/&gt;&lt;w:uiPriority w:val="47"/&gt;&lt;w:locked/&gt;&lt;w:rsid w:val="00D30A58"/&gt;&lt;w:pPr&gt;&lt;w:spacing w:after="0" w:line="240" w:lineRule="auto"/&gt;&lt;/w:pPr&gt;&lt;w:tblPr&gt;&lt;w:tblStyleRowBandSize w:val="1"/&gt;&lt;w:tblStyleColBandSize w:val="1"/&gt;&lt;w:tblBorders&gt;&lt;w:top w:val="single" w:sz="2" w:space="0" w:color="EB7F7F" w:themeColor="accent5" w:themeTint="99"/&gt;&lt;w:bottom w:val="single" w:sz="2" w:space="0" w:color="EB7F7F" w:themeColor="accent5" w:themeTint="99"/&gt;&lt;w:insideH w:val="single" w:sz="2" w:space="0" w:color="EB7F7F" w:themeColor="accent5" w:themeTint="99"/&gt;&lt;w:insideV w:val="single" w:sz="2" w:space="0" w:color="EB7F7F" w:themeColor="accent5" w:themeTint="99"/&gt;&lt;/w:tblBorders&gt;&lt;/w:tblPr&gt;&lt;w:tblStylePr w:type="firstRow"&gt;&lt;w:rPr&gt;&lt;w:b/&gt;&lt;w:bCs/&gt;&lt;/w:rPr&gt;&lt;w:tblPr/&gt;&lt;w:tcPr&gt;&lt;w:tcBorders&gt;&lt;w:top w:val="nil"/&gt;&lt;w:bottom w:val="single" w:sz="12" w:space="0" w:color="EB7F7F" w:themeColor="accent5"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w:color="EB7F7F" w:themeColor="accent5"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w:styleId="GridTable2-Accent6"&gt;&lt;w:name w:val="Grid Table 2 Accent 6"/&gt;&lt;w:basedOn w:val="TableNormal"/&gt;&lt;w:uiPriority w:val="47"/&gt;&lt;w:locked/&gt;&lt;w:rsid w:val="00D30A58"/&gt;&lt;w:pPr&gt;&lt;w:spacing w:after="0" w:line="240" w:lineRule="auto"/&gt;&lt;/w:pPr&gt;&lt;w:tblPr&gt;&lt;w:tblStyleRowBandSize w:val="1"/&gt;&lt;w:tblStyleColBandSize w:val="1"/&gt;&lt;w:tblBorders&gt;&lt;w:top w:val="single" w:sz="2" w:space="0" w:color="8C71D2" w:themeColor="accent6" w:themeTint="99"/&gt;&lt;w:bottom w:val="single" w:sz="2" w:space="0" w:color="8C71D2" w:themeColor="accent6" w:themeTint="99"/&gt;&lt;w:insideH w:val="single" w:sz="2" w:space="0" w:color="8C71D2" w:themeColor="accent6" w:themeTint="99"/&gt;&lt;w:insideV w:val="single" w:sz="2" w:space="0" w:color="8C71D2" w:themeColor="accent6" w:themeTint="99"/&gt;&lt;/w:tblBorders&gt;&lt;/w:tblPr&gt;&lt;w:tblStylePr w:type="firstRow"&gt;&lt;w:rPr&gt;&lt;w:b/&gt;&lt;w:bCs/&gt;&lt;/w:rPr&gt;&lt;w:tblPr/&gt;&lt;w:tcPr&gt;&lt;w:tcBorders&gt;&lt;w:top w:val="nil"/&gt;&lt;w:bottom w:val="single" w:sz="12" w:space="0" w:color="8C71D2" w:themeColor="accent6"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w:color="8C71D2" w:themeColor="accent6"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w:styleId="GridTable3"&gt;&lt;w:name w:val="Grid Table 3"/&gt;&lt;w:basedOn w:val="TableNormal"/&gt;&lt;w:uiPriority w:val="48"/&gt;&lt;w:locked/&gt;&lt;w:rsid w:val="00D30A58"/&gt;&lt;w:pPr&gt;&lt;w:spacing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w:styleId="GridTable3-Accent1"&gt;&lt;w:name w:val="Grid Table 3 Accent 1"/&gt;&lt;w:basedOn w:val="TableNormal"/&gt;&lt;w:uiPriority w:val="48"/&gt;&lt;w:locked/&gt;&lt;w:rsid w:val="00D30A58"/&gt;&lt;w:pPr&gt;&lt;w:spacing w:after="0" w:line="240" w:lineRule="auto"/&gt;&lt;/w:pPr&gt;&lt;w:tblPr&gt;&lt;w:tblStyleRowBandSize w:val="1"/&gt;&lt;w:tblStyleColBandSize w:val="1"/&gt;&lt;w:tblBorders&gt;&lt;w:top w:val="single" w:sz="4" w:space="0" w:color="8BD089" w:themeColor="accent1" w:themeTint="99"/&gt;&lt;w:left w:val="single" w:sz="4" w:space="0" w:color="8BD089" w:themeColor="accent1" w:themeTint="99"/&gt;&lt;w:bottom w:val="single" w:sz="4" w:space="0" w:color="8BD089" w:themeColor="accent1" w:themeTint="99"/&gt;&lt;w:right w:val="single" w:sz="4" w:space="0" w:color="8BD089" w:themeColor="accent1" w:themeTint="99"/&gt;&lt;w:insideH w:val="single" w:sz="4" w:space="0" w:color="8BD089" w:themeColor="accent1" w:themeTint="99"/&gt;&lt;w:insideV w:val="single" w:sz="4" w:space="0" w:color="8BD089"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w:themeFillTint="33"/&gt;&lt;/w:tcPr&gt;&lt;/w:tblStylePr&gt;&lt;w:tblStylePr w:type="neCell"&gt;&lt;w:tblPr/&gt;&lt;w:tcPr&gt;&lt;w:tcBorders&gt;&lt;w:bottom w:val="single" w:sz="4" w:space="0" w:color="8BD089" w:themeColor="accent1" w:themeTint="99"/&gt;&lt;/w:tcBorders&gt;&lt;/w:tcPr&gt;&lt;/w:tblStylePr&gt;&lt;w:tblStylePr w:type="nwCell"&gt;&lt;w:tblPr/&gt;&lt;w:tcPr&gt;&lt;w:tcBorders&gt;&lt;w:bottom w:val="single" w:sz="4" w:space="0" w:color="8BD089" w:themeColor="accent1" w:themeTint="99"/&gt;&lt;/w:tcBorders&gt;&lt;/w:tcPr&gt;&lt;/w:tblStylePr&gt;&lt;w:tblStylePr w:type="seCell"&gt;&lt;w:tblPr/&gt;&lt;w:tcPr&gt;&lt;w:tcBorders&gt;&lt;w:top w:val="single" w:sz="4" w:space="0" w:color="8BD089" w:themeColor="accent1" w:themeTint="99"/&gt;&lt;/w:tcBorders&gt;&lt;/w:tcPr&gt;&lt;/w:tblStylePr&gt;&lt;w:tblStylePr w:type="swCell"&gt;&lt;w:tblPr/&gt;&lt;w:tcPr&gt;&lt;w:tcBorders&gt;&lt;w:top w:val="single" w:sz="4" w:space="0" w:color="8BD089" w:themeColor="accent1" w:themeTint="99"/&gt;&lt;/w:tcBorders&gt;&lt;/w:tcPr&gt;&lt;/w:tblStylePr&gt;&lt;/w:style&gt;&lt;w:style w:type="table" w:styleId="GridTable3-Accent2"&gt;&lt;w:name w:val="Grid Table 3 Accent 2"/&gt;&lt;w:basedOn w:val="TableNormal"/&gt;&lt;w:uiPriority w:val="48"/&gt;&lt;w:locked/&gt;&lt;w:rsid w:val="00D30A58"/&gt;&lt;w:pPr&gt;&lt;w:spacing w:after="0" w:line="240" w:lineRule="auto"/&gt;&lt;/w:pPr&gt;&lt;w:tblPr&gt;&lt;w:tblStyleRowBandSize w:val="1"/&gt;&lt;w:tblStyleColBandSize w:val="1"/&gt;&lt;w:tblBorders&gt;&lt;w:top w:val="single" w:sz="4" w:space="0" w:color="D0E788" w:themeColor="accent2" w:themeTint="99"/&gt;&lt;w:left w:val="single" w:sz="4" w:space="0" w:color="D0E788" w:themeColor="accent2" w:themeTint="99"/&gt;&lt;w:bottom w:val="single" w:sz="4" w:space="0" w:color="D0E788" w:themeColor="accent2" w:themeTint="99"/&gt;&lt;w:right w:val="single" w:sz="4" w:space="0" w:color="D0E788" w:themeColor="accent2" w:themeTint="99"/&gt;&lt;w:insideH w:val="single" w:sz="4" w:space="0" w:color="D0E788" w:themeColor="accent2" w:themeTint="99"/&gt;&lt;w:insideV w:val="single" w:sz="4" w:space="0" w:color="D0E788"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w:themeFillTint="33"/&gt;&lt;/w:tcPr&gt;&lt;/w:tblStylePr&gt;&lt;w:tblStylePr w:type="neCell"&gt;&lt;w:tblPr/&gt;&lt;w:tcPr&gt;&lt;w:tcBorders&gt;&lt;w:bottom w:val="single" w:sz="4" w:space="0" w:color="D0E788" w:themeColor="accent2" w:themeTint="99"/&gt;&lt;/w:tcBorders&gt;&lt;/w:tcPr&gt;&lt;/w:tblStylePr&gt;&lt;w:tblStylePr w:type="nwCell"&gt;&lt;w:tblPr/&gt;&lt;w:tcPr&gt;&lt;w:tcBorders&gt;&lt;w:bottom w:val="single" w:sz="4" w:space="0" w:color="D0E788" w:themeColor="accent2" w:themeTint="99"/&gt;&lt;/w:tcBorders&gt;&lt;/w:tcPr&gt;&lt;/w:tblStylePr&gt;&lt;w:tblStylePr w:type="seCell"&gt;&lt;w:tblPr/&gt;&lt;w:tcPr&gt;&lt;w:tcBorders&gt;&lt;w:top w:val="single" w:sz="4" w:space="0" w:color="D0E788" w:themeColor="accent2" w:themeTint="99"/&gt;&lt;/w:tcBorders&gt;&lt;/w:tcPr&gt;&lt;/w:tblStylePr&gt;&lt;w:tblStylePr w:type="swCell"&gt;&lt;w:tblPr/&gt;&lt;w:tcPr&gt;&lt;w:tcBorders&gt;&lt;w:top w:val="single" w:sz="4" w:space="0" w:color="D0E788" w:themeColor="accent2" w:themeTint="99"/&gt;&lt;/w:tcBorders&gt;&lt;/w:tcPr&gt;&lt;/w:tblStylePr&gt;&lt;/w:style&gt;&lt;w:style w:type="table" w:styleId="GridTable3-Accent3"&gt;&lt;w:name w:val="Grid Table 3 Accent 3"/&gt;&lt;w:basedOn w:val="TableNormal"/&gt;&lt;w:uiPriority w:val="48"/&gt;&lt;w:locked/&gt;&lt;w:rsid w:val="00D30A58"/&gt;&lt;w:pPr&gt;&lt;w:spacing w:after="0" w:line="240" w:lineRule="auto"/&gt;&lt;/w:pPr&gt;&lt;w:tblPr&gt;&lt;w:tblStyleRowBandSize w:val="1"/&gt;&lt;w:tblStyleColBandSize w:val="1"/&gt;&lt;w:tblBorders&gt;&lt;w:top w:val="single" w:sz="4" w:space="0" w:color="3FA5FF" w:themeColor="accent3" w:themeTint="99"/&gt;&lt;w:left w:val="single" w:sz="4" w:space="0" w:color="3FA5FF" w:themeColor="accent3" w:themeTint="99"/&gt;&lt;w:bottom w:val="single" w:sz="4" w:space="0" w:color="3FA5FF" w:themeColor="accent3" w:themeTint="99"/&gt;&lt;w:right w:val="single" w:sz="4" w:space="0" w:color="3FA5FF" w:themeColor="accent3" w:themeTint="99"/&gt;&lt;w:insideH w:val="single" w:sz="4" w:space="0" w:color="3FA5FF" w:themeColor="accent3" w:themeTint="99"/&gt;&lt;w:insideV w:val="single" w:sz="4" w:space="0" w:color="3FA5FF"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w:themeFillTint="33"/&gt;&lt;/w:tcPr&gt;&lt;/w:tblStylePr&gt;&lt;w:tblStylePr w:type="neCell"&gt;&lt;w:tblPr/&gt;&lt;w:tcPr&gt;&lt;w:tcBorders&gt;&lt;w:bottom w:val="single" w:sz="4" w:space="0" w:color="3FA5FF" w:themeColor="accent3" w:themeTint="99"/&gt;&lt;/w:tcBorders&gt;&lt;/w:tcPr&gt;&lt;/w:tblStylePr&gt;&lt;w:tblStylePr w:type="nwCell"&gt;&lt;w:tblPr/&gt;&lt;w:tcPr&gt;&lt;w:tcBorders&gt;&lt;w:bottom w:val="single" w:sz="4" w:space="0" w:color="3FA5FF" w:themeColor="accent3" w:themeTint="99"/&gt;&lt;/w:tcBorders&gt;&lt;/w:tcPr&gt;&lt;/w:tblStylePr&gt;&lt;w:tblStylePr w:type="seCell"&gt;&lt;w:tblPr/&gt;&lt;w:tcPr&gt;&lt;w:tcBorders&gt;&lt;w:top w:val="single" w:sz="4" w:space="0" w:color="3FA5FF" w:themeColor="accent3" w:themeTint="99"/&gt;&lt;/w:tcBorders&gt;&lt;/w:tcPr&gt;&lt;/w:tblStylePr&gt;&lt;w:tblStylePr w:type="swCell"&gt;&lt;w:tblPr/&gt;&lt;w:tcPr&gt;&lt;w:tcBorders&gt;&lt;w:top w:val="single" w:sz="4" w:space="0" w:color="3FA5FF" w:themeColor="accent3" w:themeTint="99"/&gt;&lt;/w:tcBorders&gt;&lt;/w:tcPr&gt;&lt;/w:tblStylePr&gt;&lt;/w:style&gt;&lt;w:style w:type="table" w:styleId="GridTable3-Accent4"&gt;&lt;w:name w:val="Grid Table 3 Accent 4"/&gt;&lt;w:basedOn w:val="TableNormal"/&gt;&lt;w:uiPriority w:val="48"/&gt;&lt;w:locked/&gt;&lt;w:rsid w:val="00D30A58"/&gt;&lt;w:pPr&gt;&lt;w:spacing w:after="0" w:line="240" w:lineRule="auto"/&gt;&lt;/w:pPr&gt;&lt;w:tblPr&gt;&lt;w:tblStyleRowBandSize w:val="1"/&gt;&lt;w:tblStyleColBandSize w:val="1"/&gt;&lt;w:tblBorders&gt;&lt;w:top w:val="single" w:sz="4" w:space="0" w:color="F3A87A" w:themeColor="accent4" w:themeTint="99"/&gt;&lt;w:left w:val="single" w:sz="4" w:space="0" w:color="F3A87A" w:themeColor="accent4" w:themeTint="99"/&gt;&lt;w:bottom w:val="single" w:sz="4" w:space="0" w:color="F3A87A" w:themeColor="accent4" w:themeTint="99"/&gt;&lt;w:right w:val="single" w:sz="4" w:space="0" w:color="F3A87A" w:themeColor="accent4" w:themeTint="99"/&gt;&lt;w:insideH w:val="single" w:sz="4" w:space="0" w:color="F3A87A" w:themeColor="accent4" w:themeTint="99"/&gt;&lt;w:insideV w:val="single" w:sz="4" w:space="0" w:color="F3A87A"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w:themeFillTint="33"/&gt;&lt;/w:tcPr&gt;&lt;/w:tblStylePr&gt;&lt;w:tblStylePr w:type="neCell"&gt;&lt;w:tblPr/&gt;&lt;w:tcPr&gt;&lt;w:tcBorders&gt;&lt;w:bottom w:val="single" w:sz="4" w:space="0" w:color="F3A87A" w:themeColor="accent4" w:themeTint="99"/&gt;&lt;/w:tcBorders&gt;&lt;/w:tcPr&gt;&lt;/w:tblStylePr&gt;&lt;w:tblStylePr w:type="nwCell"&gt;&lt;w:tblPr/&gt;&lt;w:tcPr&gt;&lt;w:tcBorders&gt;&lt;w:bottom w:val="single" w:sz="4" w:space="0" w:color="F3A87A" w:themeColor="accent4" w:themeTint="99"/&gt;&lt;/w:tcBorders&gt;&lt;/w:tcPr&gt;&lt;/w:tblStylePr&gt;&lt;w:tblStylePr w:type="seCell"&gt;&lt;w:tblPr/&gt;&lt;w:tcPr&gt;&lt;w:tcBorders&gt;&lt;w:top w:val="single" w:sz="4" w:space="0" w:color="F3A87A" w:themeColor="accent4" w:themeTint="99"/&gt;&lt;/w:tcBorders&gt;&lt;/w:tcPr&gt;&lt;/w:tblStylePr&gt;&lt;w:tblStylePr w:type="swCell"&gt;&lt;w:tblPr/&gt;&lt;w:tcPr&gt;&lt;w:tcBorders&gt;&lt;w:top w:val="single" w:sz="4" w:space="0" w:color="F3A87A" w:themeColor="accent4" w:themeTint="99"/&gt;&lt;/w:tcBorders&gt;&lt;/w:tcPr&gt;&lt;/w:tblStylePr&gt;&lt;/w:style&gt;&lt;w:style w:type="table" w:styleId="GridTable3-Accent5"&gt;&lt;w:name w:val="Grid Table 3 Accent 5"/&gt;&lt;w:basedOn w:val="TableNormal"/&gt;&lt;w:uiPriority w:val="48"/&gt;&lt;w:locked/&gt;&lt;w:rsid w:val="00D30A58"/&gt;&lt;w:pPr&gt;&lt;w:spacing w:after="0" w:line="240" w:lineRule="auto"/&gt;&lt;/w:pPr&gt;&lt;w:tblPr&gt;&lt;w:tblStyleRowBandSize w:val="1"/&gt;&lt;w:tblStyleColBandSize w:val="1"/&gt;&lt;w:tblBorders&gt;&lt;w:top w:val="single" w:sz="4" w:space="0" w:color="EB7F7F" w:themeColor="accent5" w:themeTint="99"/&gt;&lt;w:left w:val="single" w:sz="4" w:space="0" w:color="EB7F7F" w:themeColor="accent5" w:themeTint="99"/&gt;&lt;w:bottom w:val="single" w:sz="4" w:space="0" w:color="EB7F7F" w:themeColor="accent5" w:themeTint="99"/&gt;&lt;w:right w:val="single" w:sz="4" w:space="0" w:color="EB7F7F" w:themeColor="accent5" w:themeTint="99"/&gt;&lt;w:insideH w:val="single" w:sz="4" w:space="0" w:color="EB7F7F" w:themeColor="accent5" w:themeTint="99"/&gt;&lt;w:insideV w:val="single" w:sz="4" w:space="0" w:color="EB7F7F"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w:themeFillTint="33"/&gt;&lt;/w:tcPr&gt;&lt;/w:tblStylePr&gt;&lt;w:tblStylePr w:type="neCell"&gt;&lt;w:tblPr/&gt;&lt;w:tcPr&gt;&lt;w:tcBorders&gt;&lt;w:bottom w:val="single" w:sz="4" w:space="0" w:color="EB7F7F" w:themeColor="accent5" w:themeTint="99"/&gt;&lt;/w:tcBorders&gt;&lt;/w:tcPr&gt;&lt;/w:tblStylePr&gt;&lt;w:tblStylePr w:type="nwCell"&gt;&lt;w:tblPr/&gt;&lt;w:tcPr&gt;&lt;w:tcBorders&gt;&lt;w:bottom w:val="single" w:sz="4" w:space="0" w:color="EB7F7F" w:themeColor="accent5" w:themeTint="99"/&gt;&lt;/w:tcBorders&gt;&lt;/w:tcPr&gt;&lt;/w:tblStylePr&gt;&lt;w:tblStylePr w:type="seCell"&gt;&lt;w:tblPr/&gt;&lt;w:tcPr&gt;&lt;w:tcBorders&gt;&lt;w:top w:val="single" w:sz="4" w:space="0" w:color="EB7F7F" w:themeColor="accent5" w:themeTint="99"/&gt;&lt;/w:tcBorders&gt;&lt;/w:tcPr&gt;&lt;/w:tblStylePr&gt;&lt;w:tblStylePr w:type="swCell"&gt;&lt;w:tblPr/&gt;&lt;w:tcPr&gt;&lt;w:tcBorders&gt;&lt;w:top w:val="single" w:sz="4" w:space="0" w:color="EB7F7F" w:themeColor="accent5" w:themeTint="99"/&gt;&lt;/w:tcBorders&gt;&lt;/w:tcPr&gt;&lt;/w:tblStylePr&gt;&lt;/w:style&gt;&lt;w:style w:type="table" w:styleId="GridTable3-Accent6"&gt;&lt;w:name w:val="Grid Table 3 Accent 6"/&gt;&lt;w:basedOn w:val="TableNormal"/&gt;&lt;w:uiPriority w:val="48"/&gt;&lt;w:locked/&gt;&lt;w:rsid w:val="00D30A58"/&gt;&lt;w:pPr&gt;&lt;w:spacing w:after="0" w:line="240" w:lineRule="auto"/&gt;&lt;/w:pPr&gt;&lt;w:tblPr&gt;&lt;w:tblStyleRowBandSize w:val="1"/&gt;&lt;w:tblStyleColBandSize w:val="1"/&gt;&lt;w:tblBorders&gt;&lt;w:top w:val="single" w:sz="4" w:space="0" w:color="8C71D2" w:themeColor="accent6" w:themeTint="99"/&gt;&lt;w:left w:val="single" w:sz="4" w:space="0" w:color="8C71D2" w:themeColor="accent6" w:themeTint="99"/&gt;&lt;w:bottom w:val="single" w:sz="4" w:space="0" w:color="8C71D2" w:themeColor="accent6" w:themeTint="99"/&gt;&lt;w:right w:val="single" w:sz="4" w:space="0" w:color="8C71D2" w:themeColor="accent6" w:themeTint="99"/&gt;&lt;w:insideH w:val="single" w:sz="4" w:space="0" w:color="8C71D2" w:themeColor="accent6" w:themeTint="99"/&gt;&lt;w:insideV w:val="single" w:sz="4" w:space="0" w:color="8C71D2"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w:themeFillTint="33"/&gt;&lt;/w:tcPr&gt;&lt;/w:tblStylePr&gt;&lt;w:tblStylePr w:type="neCell"&gt;&lt;w:tblPr/&gt;&lt;w:tcPr&gt;&lt;w:tcBorders&gt;&lt;w:bottom w:val="single" w:sz="4" w:space="0" w:color="8C71D2" w:themeColor="accent6" w:themeTint="99"/&gt;&lt;/w:tcBorders&gt;&lt;/w:tcPr&gt;&lt;/w:tblStylePr&gt;&lt;w:tblStylePr w:type="nwCell"&gt;&lt;w:tblPr/&gt;&lt;w:tcPr&gt;&lt;w:tcBorders&gt;&lt;w:bottom w:val="single" w:sz="4" w:space="0" w:color="8C71D2" w:themeColor="accent6" w:themeTint="99"/&gt;&lt;/w:tcBorders&gt;&lt;/w:tcPr&gt;&lt;/w:tblStylePr&gt;&lt;w:tblStylePr w:type="seCell"&gt;&lt;w:tblPr/&gt;&lt;w:tcPr&gt;&lt;w:tcBorders&gt;&lt;w:top w:val="single" w:sz="4" w:space="0" w:color="8C71D2" w:themeColor="accent6" w:themeTint="99"/&gt;&lt;/w:tcBorders&gt;&lt;/w:tcPr&gt;&lt;/w:tblStylePr&gt;&lt;w:tblStylePr w:type="swCell"&gt;&lt;w:tblPr/&gt;&lt;w:tcPr&gt;&lt;w:tcBorders&gt;&lt;w:top w:val="single" w:sz="4" w:space="0" w:color="8C71D2" w:themeColor="accent6" w:themeTint="99"/&gt;&lt;/w:tcBorders&gt;&lt;/w:tcPr&gt;&lt;/w:tblStylePr&gt;&lt;/w:style&gt;&lt;w:style w:type="table" w:styleId="GridTable4"&gt;&lt;w:name w:val="Grid Table 4"/&gt;&lt;w:basedOn w:val="TableNormal"/&gt;&lt;w:uiPriority w:val="49"/&gt;&lt;w:locked/&gt;&lt;w:rsid w:val="00D30A58"/&gt;&lt;w:pPr&gt;&lt;w:spacing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w:val="nil"/&gt;&lt;w:insideV w:val="nil"/&gt;&lt;/w:tcBorders&gt;&lt;w:shd w:val="clear" w:color="auto" w:fill="000000" w:themeFill="text1"/&gt;&lt;/w:tcPr&gt;&lt;/w:tblStylePr&gt;&lt;w:tblStylePr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w:styleId="GridTable4-Accent1"&gt;&lt;w:name w:val="Grid Table 4 Accent 1"/&gt;&lt;w:basedOn w:val="TableNormal"/&gt;&lt;w:uiPriority w:val="49"/&gt;&lt;w:locked/&gt;&lt;w:rsid w:val="00D30A58"/&gt;&lt;w:pPr&gt;&lt;w:spacing w:after="0" w:line="240" w:lineRule="auto"/&gt;&lt;/w:pPr&gt;&lt;w:tblPr&gt;&lt;w:tblStyleRowBandSize w:val="1"/&gt;&lt;w:tblStyleColBandSize w:val="1"/&gt;&lt;w:tblBorders&gt;&lt;w:top w:val="single" w:sz="4" w:space="0" w:color="8BD089" w:themeColor="accent1" w:themeTint="99"/&gt;&lt;w:left w:val="single" w:sz="4" w:space="0" w:color="8BD089" w:themeColor="accent1" w:themeTint="99"/&gt;&lt;w:bottom w:val="single" w:sz="4" w:space="0" w:color="8BD089" w:themeColor="accent1" w:themeTint="99"/&gt;&lt;w:right w:val="single" w:sz="4" w:space="0" w:color="8BD089" w:themeColor="accent1" w:themeTint="99"/&gt;&lt;w:insideH w:val="single" w:sz="4" w:space="0" w:color="8BD089" w:themeColor="accent1" w:themeTint="99"/&gt;&lt;w:insideV w:val="single" w:sz="4" w:space="0" w:color="8BD089" w:themeColor="accent1" w:themeTint="99"/&gt;&lt;/w:tblBorders&gt;&lt;/w:tblPr&gt;&lt;w:tblStylePr w:type="firstRow"&gt;&lt;w:rPr&gt;&lt;w:b/&gt;&lt;w:bCs/&gt;&lt;w:color w:val="FFFFFF" w:themeColor="background1"/&gt;&lt;/w:rPr&gt;&lt;w:tblPr/&gt;&lt;w:tcPr&gt;&lt;w:tcBorders&gt;&lt;w:top w:val="single" w:sz="4" w:space="0" w:color="47A843" w:themeColor="accent1"/&gt;&lt;w:left w:val="single" w:sz="4" w:space="0" w:color="47A843" w:themeColor="accent1"/&gt;&lt;w:bottom w:val="single" w:sz="4" w:space="0" w:color="47A843" w:themeColor="accent1"/&gt;&lt;w:right w:val="single" w:sz="4" w:space="0" w:color="47A843" w:themeColor="accent1"/&gt;&lt;w:insideH w:val="nil"/&gt;&lt;w:insideV w:val="nil"/&gt;&lt;/w:tcBorders&gt;&lt;w:shd w:val="clear" w:color="auto" w:fill="47A843" w:themeFill="accent1"/&gt;&lt;/w:tcPr&gt;&lt;/w:tblStylePr&gt;&lt;w:tblStylePr w:type="lastRow"&gt;&lt;w:rPr&gt;&lt;w:b/&gt;&lt;w:bCs/&gt;&lt;/w:rPr&gt;&lt;w:tblPr/&gt;&lt;w:tcPr&gt;&lt;w:tcBorders&gt;&lt;w:top w:val="double" w:sz="4" w:space="0" w:color="47A843"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w:styleId="GridTable4-Accent2"&gt;&lt;w:name w:val="Grid Table 4 Accent 2"/&gt;&lt;w:basedOn w:val="TableNormal"/&gt;&lt;w:uiPriority w:val="49"/&gt;&lt;w:locked/&gt;&lt;w:rsid w:val="00D30A58"/&gt;&lt;w:pPr&gt;&lt;w:spacing w:after="0" w:line="240" w:lineRule="auto"/&gt;&lt;/w:pPr&gt;&lt;w:tblPr&gt;&lt;w:tblStyleRowBandSize w:val="1"/&gt;&lt;w:tblStyleColBandSize w:val="1"/&gt;&lt;w:tblBorders&gt;&lt;w:top w:val="single" w:sz="4" w:space="0" w:color="D0E788" w:themeColor="accent2" w:themeTint="99"/&gt;&lt;w:left w:val="single" w:sz="4" w:space="0" w:color="D0E788" w:themeColor="accent2" w:themeTint="99"/&gt;&lt;w:bottom w:val="single" w:sz="4" w:space="0" w:color="D0E788" w:themeColor="accent2" w:themeTint="99"/&gt;&lt;w:right w:val="single" w:sz="4" w:space="0" w:color="D0E788" w:themeColor="accent2" w:themeTint="99"/&gt;&lt;w:insideH w:val="single" w:sz="4" w:space="0" w:color="D0E788" w:themeColor="accent2" w:themeTint="99"/&gt;&lt;w:insideV w:val="single" w:sz="4" w:space="0" w:color="D0E788" w:themeColor="accent2" w:themeTint="99"/&gt;&lt;/w:tblBorders&gt;&lt;/w:tblPr&gt;&lt;w:tblStylePr w:type="firstRow"&gt;&lt;w:rPr&gt;&lt;w:b/&gt;&lt;w:bCs/&gt;&lt;w:color w:val="FFFFFF" w:themeColor="background1"/&gt;&lt;/w:rPr&gt;&lt;w:tblPr/&gt;&lt;w:tcPr&gt;&lt;w:tcBorders&gt;&lt;w:top w:val="single" w:sz="4" w:space="0" w:color="B2D83A" w:themeColor="accent2"/&gt;&lt;w:left w:val="single" w:sz="4" w:space="0" w:color="B2D83A" w:themeColor="accent2"/&gt;&lt;w:bottom w:val="single" w:sz="4" w:space="0" w:color="B2D83A" w:themeColor="accent2"/&gt;&lt;w:right w:val="single" w:sz="4" w:space="0" w:color="B2D83A" w:themeColor="accent2"/&gt;&lt;w:insideH w:val="nil"/&gt;&lt;w:insideV w:val="nil"/&gt;&lt;/w:tcBorders&gt;&lt;w:shd w:val="clear" w:color="auto" w:fill="B2D83A" w:themeFill="accent2"/&gt;&lt;/w:tcPr&gt;&lt;/w:tblStylePr&gt;&lt;w:tblStylePr w:type="lastRow"&gt;&lt;w:rPr&gt;&lt;w:b/&gt;&lt;w:bCs/&gt;&lt;/w:rPr&gt;&lt;w:tblPr/&gt;&lt;w:tcPr&gt;&lt;w:tcBorders&gt;&lt;w:top w:val="double" w:sz="4" w:space="0" w:color="B2D83A"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w:styleId="GridTable4-Accent3"&gt;&lt;w:name w:val="Grid Table 4 Accent 3"/&gt;&lt;w:basedOn w:val="TableNormal"/&gt;&lt;w:uiPriority w:val="49"/&gt;&lt;w:locked/&gt;&lt;w:rsid w:val="00D30A58"/&gt;&lt;w:pPr&gt;&lt;w:spacing w:after="0" w:line="240" w:lineRule="auto"/&gt;&lt;/w:pPr&gt;&lt;w:tblPr&gt;&lt;w:tblStyleRowBandSize w:val="1"/&gt;&lt;w:tblStyleColBandSize w:val="1"/&gt;&lt;w:tblBorders&gt;&lt;w:top w:val="single" w:sz="4" w:space="0" w:color="3FA5FF" w:themeColor="accent3" w:themeTint="99"/&gt;&lt;w:left w:val="single" w:sz="4" w:space="0" w:color="3FA5FF" w:themeColor="accent3" w:themeTint="99"/&gt;&lt;w:bottom w:val="single" w:sz="4" w:space="0" w:color="3FA5FF" w:themeColor="accent3" w:themeTint="99"/&gt;&lt;w:right w:val="single" w:sz="4" w:space="0" w:color="3FA5FF" w:themeColor="accent3" w:themeTint="99"/&gt;&lt;w:insideH w:val="single" w:sz="4" w:space="0" w:color="3FA5FF" w:themeColor="accent3" w:themeTint="99"/&gt;&lt;w:insideV w:val="single" w:sz="4" w:space="0" w:color="3FA5FF" w:themeColor="accent3" w:themeTint="99"/&gt;&lt;/w:tblBorders&gt;&lt;/w:tblPr&gt;&lt;w:tblStylePr w:type="firstRow"&gt;&lt;w:rPr&gt;&lt;w:b/&gt;&lt;w:bCs/&gt;&lt;w:color w:val="FFFFFF" w:themeColor="background1"/&gt;&lt;/w:rPr&gt;&lt;w:tblPr/&gt;&lt;w:tcPr&gt;&lt;w:tcBorders&gt;&lt;w:top w:val="single" w:sz="4" w:space="0" w:color="0066BE" w:themeColor="accent3"/&gt;&lt;w:left w:val="single" w:sz="4" w:space="0" w:color="0066BE" w:themeColor="accent3"/&gt;&lt;w:bottom w:val="single" w:sz="4" w:space="0" w:color="0066BE" w:themeColor="accent3"/&gt;&lt;w:right w:val="single" w:sz="4" w:space="0" w:color="0066BE" w:themeColor="accent3"/&gt;&lt;w:insideH w:val="nil"/&gt;&lt;w:insideV w:val="nil"/&gt;&lt;/w:tcBorders&gt;&lt;w:shd w:val="clear" w:color="auto" w:fill="0066BE" w:themeFill="accent3"/&gt;&lt;/w:tcPr&gt;&lt;/w:tblStylePr&gt;&lt;w:tblStylePr w:type="lastRow"&gt;&lt;w:rPr&gt;&lt;w:b/&gt;&lt;w:bCs/&gt;&lt;/w:rPr&gt;&lt;w:tblPr/&gt;&lt;w:tcPr&gt;&lt;w:tcBorders&gt;&lt;w:top w:val="double" w:sz="4" w:space="0" w:color="0066BE"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w:styleId="GridTable4-Accent4"&gt;&lt;w:name w:val="Grid Table 4 Accent 4"/&gt;&lt;w:basedOn w:val="TableNormal"/&gt;&lt;w:uiPriority w:val="49"/&gt;&lt;w:locked/&gt;&lt;w:rsid w:val="00D30A58"/&gt;&lt;w:pPr&gt;&lt;w:spacing w:after="0" w:line="240" w:lineRule="auto"/&gt;&lt;/w:pPr&gt;&lt;w:tblPr&gt;&lt;w:tblStyleRowBandSize w:val="1"/&gt;&lt;w:tblStyleColBandSize w:val="1"/&gt;&lt;w:tblBorders&gt;&lt;w:top w:val="single" w:sz="4" w:space="0" w:color="F3A87A" w:themeColor="accent4" w:themeTint="99"/&gt;&lt;w:left w:val="single" w:sz="4" w:space="0" w:color="F3A87A" w:themeColor="accent4" w:themeTint="99"/&gt;&lt;w:bottom w:val="single" w:sz="4" w:space="0" w:color="F3A87A" w:themeColor="accent4" w:themeTint="99"/&gt;&lt;w:right w:val="single" w:sz="4" w:space="0" w:color="F3A87A" w:themeColor="accent4" w:themeTint="99"/&gt;&lt;w:insideH w:val="single" w:sz="4" w:space="0" w:color="F3A87A" w:themeColor="accent4" w:themeTint="99"/&gt;&lt;w:insideV w:val="single" w:sz="4" w:space="0" w:color="F3A87A" w:themeColor="accent4" w:themeTint="99"/&gt;&lt;/w:tblBorders&gt;&lt;/w:tblPr&gt;&lt;w:tblStylePr w:type="firstRow"&gt;&lt;w:rPr&gt;&lt;w:b/&gt;&lt;w:bCs/&gt;&lt;w:color w:val="FFFFFF" w:themeColor="background1"/&gt;&lt;/w:rPr&gt;&lt;w:tblPr/&gt;&lt;w:tcPr&gt;&lt;w:tcBorders&gt;&lt;w:top w:val="single" w:sz="4" w:space="0" w:color="EC7023" w:themeColor="accent4"/&gt;&lt;w:left w:val="single" w:sz="4" w:space="0" w:color="EC7023" w:themeColor="accent4"/&gt;&lt;w:bottom w:val="single" w:sz="4" w:space="0" w:color="EC7023" w:themeColor="accent4"/&gt;&lt;w:right w:val="single" w:sz="4" w:space="0" w:color="EC7023" w:themeColor="accent4"/&gt;&lt;w:insideH w:val="nil"/&gt;&lt;w:insideV w:val="nil"/&gt;&lt;/w:tcBorders&gt;&lt;w:shd w:val="clear" w:color="auto" w:fill="EC7023" w:themeFill="accent4"/&gt;&lt;/w:tcPr&gt;&lt;/w:tblStylePr&gt;&lt;w:tblStylePr w:type="lastRow"&gt;&lt;w:rPr&gt;&lt;w:b/&gt;&lt;w:bCs/&gt;&lt;/w:rPr&gt;&lt;w:tblPr/&gt;&lt;w:tcPr&gt;&lt;w:tcBorders&gt;&lt;w:top w:val="double" w:sz="4" w:space="0" w:color="EC7023"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w:styleId="GridTable4-Accent5"&gt;&lt;w:name w:val="Grid Table 4 Accent 5"/&gt;&lt;w:basedOn w:val="TableNormal"/&gt;&lt;w:uiPriority w:val="49"/&gt;&lt;w:locked/&gt;&lt;w:rsid w:val="00D30A58"/&gt;&lt;w:pPr&gt;&lt;w:spacing w:after="0" w:line="240" w:lineRule="auto"/&gt;&lt;/w:pPr&gt;&lt;w:tblPr&gt;&lt;w:tblStyleRowBandSize w:val="1"/&gt;&lt;w:tblStyleColBandSize w:val="1"/&gt;&lt;w:tblBorders&gt;&lt;w:top w:val="single" w:sz="4" w:space="0" w:color="EB7F7F" w:themeColor="accent5" w:themeTint="99"/&gt;&lt;w:left w:val="single" w:sz="4" w:space="0" w:color="EB7F7F" w:themeColor="accent5" w:themeTint="99"/&gt;&lt;w:bottom w:val="single" w:sz="4" w:space="0" w:color="EB7F7F" w:themeColor="accent5" w:themeTint="99"/&gt;&lt;w:right w:val="single" w:sz="4" w:space="0" w:color="EB7F7F" w:themeColor="accent5" w:themeTint="99"/&gt;&lt;w:insideH w:val="single" w:sz="4" w:space="0" w:color="EB7F7F" w:themeColor="accent5" w:themeTint="99"/&gt;&lt;w:insideV w:val="single" w:sz="4" w:space="0" w:color="EB7F7F" w:themeColor="accent5" w:themeTint="99"/&gt;&lt;/w:tblBorders&gt;&lt;/w:tblPr&gt;&lt;w:tblStylePr w:type="firstRow"&gt;&lt;w:rPr&gt;&lt;w:b/&gt;&lt;w:bCs/&gt;&lt;w:color w:val="FFFFFF" w:themeColor="background1"/&gt;&lt;/w:rPr&gt;&lt;w:tblPr/&gt;&lt;w:tcPr&gt;&lt;w:tcBorders&gt;&lt;w:top w:val="single" w:sz="4" w:space="0" w:color="DF2A2A" w:themeColor="accent5"/&gt;&lt;w:left w:val="single" w:sz="4" w:space="0" w:color="DF2A2A" w:themeColor="accent5"/&gt;&lt;w:bottom w:val="single" w:sz="4" w:space="0" w:color="DF2A2A" w:themeColor="accent5"/&gt;&lt;w:right w:val="single" w:sz="4" w:space="0" w:color="DF2A2A" w:themeColor="accent5"/&gt;&lt;w:insideH w:val="nil"/&gt;&lt;w:insideV w:val="nil"/&gt;&lt;/w:tcBorders&gt;&lt;w:shd w:val="clear" w:color="auto" w:fill="DF2A2A" w:themeFill="accent5"/&gt;&lt;/w:tcPr&gt;&lt;/w:tblStylePr&gt;&lt;w:tblStylePr w:type="lastRow"&gt;&lt;w:rPr&gt;&lt;w:b/&gt;&lt;w:bCs/&gt;&lt;/w:rPr&gt;&lt;w:tblPr/&gt;&lt;w:tcPr&gt;&lt;w:tcBorders&gt;&lt;w:top w:val="double" w:sz="4" w:space="0" w:color="DF2A2A"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w:styleId="GridTable4-Accent6"&gt;&lt;w:name w:val="Grid Table 4 Accent 6"/&gt;&lt;w:basedOn w:val="TableNormal"/&gt;&lt;w:uiPriority w:val="49"/&gt;&lt;w:locked/&gt;&lt;w:rsid w:val="00D30A58"/&gt;&lt;w:pPr&gt;&lt;w:spacing w:after="0" w:line="240" w:lineRule="auto"/&gt;&lt;/w:pPr&gt;&lt;w:tblPr&gt;&lt;w:tblStyleRowBandSize w:val="1"/&gt;&lt;w:tblStyleColBandSize w:val="1"/&gt;&lt;w:tblBorders&gt;&lt;w:top w:val="single" w:sz="4" w:space="0" w:color="8C71D2" w:themeColor="accent6" w:themeTint="99"/&gt;&lt;w:left w:val="single" w:sz="4" w:space="0" w:color="8C71D2" w:themeColor="accent6" w:themeTint="99"/&gt;&lt;w:bottom w:val="single" w:sz="4" w:space="0" w:color="8C71D2" w:themeColor="accent6" w:themeTint="99"/&gt;&lt;w:right w:val="single" w:sz="4" w:space="0" w:color="8C71D2" w:themeColor="accent6" w:themeTint="99"/&gt;&lt;w:insideH w:val="single" w:sz="4" w:space="0" w:color="8C71D2" w:themeColor="accent6" w:themeTint="99"/&gt;&lt;w:insideV w:val="single" w:sz="4" w:space="0" w:color="8C71D2" w:themeColor="accent6" w:themeTint="99"/&gt;&lt;/w:tblBorders&gt;&lt;/w:tblPr&gt;&lt;w:tblStylePr w:type="firstRow"&gt;&lt;w:rPr&gt;&lt;w:b/&gt;&lt;w:bCs/&gt;&lt;w:color w:val="FFFFFF" w:themeColor="background1"/&gt;&lt;/w:rPr&gt;&lt;w:tblPr/&gt;&lt;w:tcPr&gt;&lt;w:tcBorders&gt;&lt;w:top w:val="single" w:sz="4" w:space="0" w:color="4D3097" w:themeColor="accent6"/&gt;&lt;w:left w:val="single" w:sz="4" w:space="0" w:color="4D3097" w:themeColor="accent6"/&gt;&lt;w:bottom w:val="single" w:sz="4" w:space="0" w:color="4D3097" w:themeColor="accent6"/&gt;&lt;w:right w:val="single" w:sz="4" w:space="0" w:color="4D3097" w:themeColor="accent6"/&gt;&lt;w:insideH w:val="nil"/&gt;&lt;w:insideV w:val="nil"/&gt;&lt;/w:tcBorders&gt;&lt;w:shd w:val="clear" w:color="auto" w:fill="4D3097" w:themeFill="accent6"/&gt;&lt;/w:tcPr&gt;&lt;/w:tblStylePr&gt;&lt;w:tblStylePr w:type="lastRow"&gt;&lt;w:rPr&gt;&lt;w:b/&gt;&lt;w:bCs/&gt;&lt;/w:rPr&gt;&lt;w:tblPr/&gt;&lt;w:tcPr&gt;&lt;w:tcBorders&gt;&lt;w:top w:val="double" w:sz="4" w:space="0" w:color="4D3097"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w:styleId="GridTable5Dark"&gt;&lt;w:name w:val="Grid Table 5 Dark"/&gt;&lt;w:basedOn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w:fill="CCCCCC" w:themeFill="text1"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w:fill="000000" w:themeFill="text1"/&gt;&lt;/w:tcPr&gt;&lt;/w:tblStylePr&gt;&lt;w:tblStylePr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w:fill="000000" w:themeFill="text1"/&gt;&lt;/w:tcPr&gt;&lt;/w:tblStylePr&gt;&lt;w:tblStylePr w:type="band1Vert"&gt;&lt;w:tblPr/&gt;&lt;w:tcPr&gt;&lt;w:shd w:val="clear" w:color="auto" w:fill="999999" w:themeFill="text1" w:themeFillTint="66"/&gt;&lt;/w:tcPr&gt;&lt;/w:tblStylePr&gt;&lt;w:tblStylePr w:type="band1Horz"&gt;&lt;w:tblPr/&gt;&lt;w:tcPr&gt;&lt;w:shd w:val="clear" w:color="auto" w:fill="999999" w:themeFill="text1" w:themeFillTint="66"/&gt;&lt;/w:tcPr&gt;&lt;/w:tblStylePr&gt;&lt;/w:style&gt;&lt;w:style w:type="table" w:styleId="GridTable5Dark-Accent1"&gt;&lt;w:name w:val="Grid Table 5 Dark Accent 1"/&gt;&lt;w:basedOn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w:fill="D8EFD7" w:themeFill="accent1"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w:fill="47A843" w:themeFill="accent1"/&gt;&lt;/w:tcPr&gt;&lt;/w:tblStylePr&gt;&lt;w:tblStylePr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w:fill="47A843" w:themeFill="accent1"/&gt;&lt;/w:tcPr&gt;&lt;/w:tblStylePr&gt;&lt;w:tblStylePr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w:fill="47A843" w:themeFill="accent1"/&gt;&lt;/w:tcPr&gt;&lt;/w:tblStylePr&gt;&lt;w:tblStylePr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w:fill="47A843" w:themeFill="accent1"/&gt;&lt;/w:tcPr&gt;&lt;/w:tblStylePr&gt;&lt;w:tblStylePr w:type="band1Vert"&gt;&lt;w:tblPr/&gt;&lt;w:tcPr&gt;&lt;w:shd w:val="clear" w:color="auto" w:fill="B2DFB0" w:themeFill="accent1" w:themeFillTint="66"/&gt;&lt;/w:tcPr&gt;&lt;/w:tblStylePr&gt;&lt;w:tblStylePr w:type="band1Horz"&gt;&lt;w:tblPr/&gt;&lt;w:tcPr&gt;&lt;w:shd w:val="clear" w:color="auto" w:fill="B2DFB0" w:themeFill="accent1" w:themeFillTint="66"/&gt;&lt;/w:tcPr&gt;&lt;/w:tblStylePr&gt;&lt;/w:style&gt;&lt;w:style w:type="table" w:styleId="GridTable5Dark-Accent2"&gt;&lt;w:name w:val="Grid Table 5 Dark Accent 2"/&gt;&lt;w:basedOn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w:fill="EFF7D7" w:themeFill="accent2"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w:fill="B2D83A" w:themeFill="accent2"/&gt;&lt;/w:tcPr&gt;&lt;/w:tblStylePr&gt;&lt;w:tblStylePr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w:fill="B2D83A" w:themeFill="accent2"/&gt;&lt;/w:tcPr&gt;&lt;/w:tblStylePr&gt;&lt;w:tblStylePr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w:fill="B2D83A" w:themeFill="accent2"/&gt;&lt;/w:tcPr&gt;&lt;/w:tblStylePr&gt;&lt;w:tblStylePr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w:fill="B2D83A" w:themeFill="accent2"/&gt;&lt;/w:tcPr&gt;&lt;/w:tblStylePr&gt;&lt;w:tblStylePr w:type="band1Vert"&gt;&lt;w:tblPr/&gt;&lt;w:tcPr&gt;&lt;w:shd w:val="clear" w:color="auto" w:fill="E0EFAF" w:themeFill="accent2" w:themeFillTint="66"/&gt;&lt;/w:tcPr&gt;&lt;/w:tblStylePr&gt;&lt;w:tblStylePr w:type="band1Horz"&gt;&lt;w:tblPr/&gt;&lt;w:tcPr&gt;&lt;w:shd w:val="clear" w:color="auto" w:fill="E0EFAF" w:themeFill="accent2" w:themeFillTint="66"/&gt;&lt;/w:tcPr&gt;&lt;/w:tblStylePr&gt;&lt;/w:style&gt;&lt;w:style w:type="table" w:styleId="GridTable5Dark-Accent3"&gt;&lt;w:name w:val="Grid Table 5 Dark Accent 3"/&gt;&lt;w:basedOn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w:fill="BFE1FF" w:themeFill="accent3"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w:fill="0066BE" w:themeFill="accent3"/&gt;&lt;/w:tcPr&gt;&lt;/w:tblStylePr&gt;&lt;w:tblStylePr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w:fill="0066BE" w:themeFill="accent3"/&gt;&lt;/w:tcPr&gt;&lt;/w:tblStylePr&gt;&lt;w:tblStylePr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w:fill="0066BE" w:themeFill="accent3"/&gt;&lt;/w:tcPr&gt;&lt;/w:tblStylePr&gt;&lt;w:tblStylePr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w:fill="0066BE" w:themeFill="accent3"/&gt;&lt;/w:tcPr&gt;&lt;/w:tblStylePr&gt;&lt;w:tblStylePr w:type="band1Vert"&gt;&lt;w:tblPr/&gt;&lt;w:tcPr&gt;&lt;w:shd w:val="clear" w:color="auto" w:fill="7FC3FF" w:themeFill="accent3" w:themeFillTint="66"/&gt;&lt;/w:tcPr&gt;&lt;/w:tblStylePr&gt;&lt;w:tblStylePr w:type="band1Horz"&gt;&lt;w:tblPr/&gt;&lt;w:tcPr&gt;&lt;w:shd w:val="clear" w:color="auto" w:fill="7FC3FF" w:themeFill="accent3" w:themeFillTint="66"/&gt;&lt;/w:tcPr&gt;&lt;/w:tblStylePr&gt;&lt;/w:style&gt;&lt;w:style w:type="table" w:styleId="GridTable5Dark-Accent4"&gt;&lt;w:name w:val="Grid Table 5 Dark Accent 4"/&gt;&lt;w:basedOn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w:fill="FBE2D2" w:themeFill="accent4"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w:fill="EC7023" w:themeFill="accent4"/&gt;&lt;/w:tcPr&gt;&lt;/w:tblStylePr&gt;&lt;w:tblStylePr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w:fill="EC7023" w:themeFill="accent4"/&gt;&lt;/w:tcPr&gt;&lt;/w:tblStylePr&gt;&lt;w:tblStylePr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w:fill="EC7023" w:themeFill="accent4"/&gt;&lt;/w:tcPr&gt;&lt;/w:tblStylePr&gt;&lt;w:tblStylePr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w:fill="EC7023" w:themeFill="accent4"/&gt;&lt;/w:tcPr&gt;&lt;/w:tblStylePr&gt;&lt;w:tblStylePr w:type="band1Vert"&gt;&lt;w:tblPr/&gt;&lt;w:tcPr&gt;&lt;w:shd w:val="clear" w:color="auto" w:fill="F7C5A6" w:themeFill="accent4" w:themeFillTint="66"/&gt;&lt;/w:tcPr&gt;&lt;/w:tblStylePr&gt;&lt;w:tblStylePr w:type="band1Horz"&gt;&lt;w:tblPr/&gt;&lt;w:tcPr&gt;&lt;w:shd w:val="clear" w:color="auto" w:fill="F7C5A6" w:themeFill="accent4" w:themeFillTint="66"/&gt;&lt;/w:tcPr&gt;&lt;/w:tblStylePr&gt;&lt;/w:style&gt;&lt;w:style w:type="table" w:styleId="GridTable5Dark-Accent5"&gt;&lt;w:name w:val="Grid Table 5 Dark Accent 5"/&gt;&lt;w:basedOn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w:fill="F8D4D4" w:themeFill="accent5"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w:fill="DF2A2A" w:themeFill="accent5"/&gt;&lt;/w:tcPr&gt;&lt;/w:tblStylePr&gt;&lt;w:tblStylePr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w:fill="DF2A2A" w:themeFill="accent5"/&gt;&lt;/w:tcPr&gt;&lt;/w:tblStylePr&gt;&lt;w:tblStylePr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w:fill="DF2A2A" w:themeFill="accent5"/&gt;&lt;/w:tcPr&gt;&lt;/w:tblStylePr&gt;&lt;w:tblStylePr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w:fill="DF2A2A" w:themeFill="accent5"/&gt;&lt;/w:tcPr&gt;&lt;/w:tblStylePr&gt;&lt;w:tblStylePr w:type="band1Vert"&gt;&lt;w:tblPr/&gt;&lt;w:tcPr&gt;&lt;w:shd w:val="clear" w:color="auto" w:fill="F2A9A9" w:themeFill="accent5" w:themeFillTint="66"/&gt;&lt;/w:tcPr&gt;&lt;/w:tblStylePr&gt;&lt;w:tblStylePr w:type="band1Horz"&gt;&lt;w:tblPr/&gt;&lt;w:tcPr&gt;&lt;w:shd w:val="clear" w:color="auto" w:fill="F2A9A9" w:themeFill="accent5" w:themeFillTint="66"/&gt;&lt;/w:tcPr&gt;&lt;/w:tblStylePr&gt;&lt;/w:style&gt;&lt;w:style w:type="table" w:styleId="GridTable5Dark-Accent6"&gt;&lt;w:name w:val="Grid Table 5 Dark Accent 6"/&gt;&lt;w:basedOn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w:fill="D8CFF0" w:themeFill="accent6"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w:fill="4D3097" w:themeFill="accent6"/&gt;&lt;/w:tcPr&gt;&lt;/w:tblStylePr&gt;&lt;w:tblStylePr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w:fill="4D3097" w:themeFill="accent6"/&gt;&lt;/w:tcPr&gt;&lt;/w:tblStylePr&gt;&lt;w:tblStylePr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w:fill="4D3097" w:themeFill="accent6"/&gt;&lt;/w:tcPr&gt;&lt;/w:tblStylePr&gt;&lt;w:tblStylePr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w:fill="4D3097" w:themeFill="accent6"/&gt;&lt;/w:tcPr&gt;&lt;/w:tblStylePr&gt;&lt;w:tblStylePr w:type="band1Vert"&gt;&lt;w:tblPr/&gt;&lt;w:tcPr&gt;&lt;w:shd w:val="clear" w:color="auto" w:fill="B2A0E1" w:themeFill="accent6" w:themeFillTint="66"/&gt;&lt;/w:tcPr&gt;&lt;/w:tblStylePr&gt;&lt;w:tblStylePr w:type="band1Horz"&gt;&lt;w:tblPr/&gt;&lt;w:tcPr&gt;&lt;w:shd w:val="clear" w:color="auto" w:fill="B2A0E1" w:themeFill="accent6" w:themeFillTint="66"/&gt;&lt;/w:tcPr&gt;&lt;/w:tblStylePr&gt;&lt;/w:style&gt;&lt;w:style w:type="table" w:styleId="GridTable6Colorful"&gt;&lt;w:name w:val="Grid Table 6 Colorful"/&gt;&lt;w:basedOn w:val="TableNormal"/&gt;&lt;w:uiPriority w:val="51"/&gt;&lt;w:locked/&gt;&lt;w:rsid w:val="00D30A58"/&gt;&lt;w:pPr&gt;&lt;w:spacing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w:styleId="GridTable6Colorful-Accent1"&gt;&lt;w:name w:val="Grid Table 6 Colorful Accent 1"/&gt;&lt;w:basedOn w:val="TableNormal"/&gt;&lt;w:uiPriority w:val="51"/&gt;&lt;w:locked/&gt;&lt;w:rsid w:val="00D30A58"/&gt;&lt;w:pPr&gt;&lt;w:spacing w:after="0" w:line="240" w:lineRule="auto"/&gt;&lt;/w:pPr&gt;&lt;w:rPr&gt;&lt;w:color w:val="357D32" w:themeColor="accent1" w:themeShade="BF"/&gt;&lt;/w:rPr&gt;&lt;w:tblPr&gt;&lt;w:tblStyleRowBandSize w:val="1"/&gt;&lt;w:tblStyleColBandSize w:val="1"/&gt;&lt;w:tblBorders&gt;&lt;w:top w:val="single" w:sz="4" w:space="0" w:color="8BD089" w:themeColor="accent1" w:themeTint="99"/&gt;&lt;w:left w:val="single" w:sz="4" w:space="0" w:color="8BD089" w:themeColor="accent1" w:themeTint="99"/&gt;&lt;w:bottom w:val="single" w:sz="4" w:space="0" w:color="8BD089" w:themeColor="accent1" w:themeTint="99"/&gt;&lt;w:right w:val="single" w:sz="4" w:space="0" w:color="8BD089" w:themeColor="accent1" w:themeTint="99"/&gt;&lt;w:insideH w:val="single" w:sz="4" w:space="0" w:color="8BD089" w:themeColor="accent1" w:themeTint="99"/&gt;&lt;w:insideV w:val="single" w:sz="4" w:space="0" w:color="8BD089" w:themeColor="accent1" w:themeTint="99"/&gt;&lt;/w:tblBorders&gt;&lt;/w:tblPr&gt;&lt;w:tblStylePr w:type="firstRow"&gt;&lt;w:rPr&gt;&lt;w:b/&gt;&lt;w:bCs/&gt;&lt;/w:rPr&gt;&lt;w:tblPr/&gt;&lt;w:tcPr&gt;&lt;w:tcBorders&gt;&lt;w:bottom w:val="single" w:sz="12" w:space="0" w:color="8BD089" w:themeColor="accent1" w:themeTint="99"/&gt;&lt;/w:tcBorders&gt;&lt;/w:tcPr&gt;&lt;/w:tblStylePr&gt;&lt;w:tblStylePr w:type="lastRow"&gt;&lt;w:rPr&gt;&lt;w:b/&gt;&lt;w:bCs/&gt;&lt;/w:rPr&gt;&lt;w:tblPr/&gt;&lt;w:tcPr&gt;&lt;w:tcBorders&gt;&lt;w:top w:val="double" w:sz="4" w:space="0" w:color="8BD089"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w:styleId="GridTable6Colorful-Accent2"&gt;&lt;w:name w:val="Grid Table 6 Colorful Accent 2"/&gt;&lt;w:basedOn w:val="TableNormal"/&gt;&lt;w:uiPriority w:val="51"/&gt;&lt;w:locked/&gt;&lt;w:rsid w:val="00D30A58"/&gt;&lt;w:pPr&gt;&lt;w:spacing w:after="0" w:line="240" w:lineRule="auto"/&gt;&lt;/w:pPr&gt;&lt;w:rPr&gt;&lt;w:color w:val="89AB22" w:themeColor="accent2" w:themeShade="BF"/&gt;&lt;/w:rPr&gt;&lt;w:tblPr&gt;&lt;w:tblStyleRowBandSize w:val="1"/&gt;&lt;w:tblStyleColBandSize w:val="1"/&gt;&lt;w:tblBorders&gt;&lt;w:top w:val="single" w:sz="4" w:space="0" w:color="D0E788" w:themeColor="accent2" w:themeTint="99"/&gt;&lt;w:left w:val="single" w:sz="4" w:space="0" w:color="D0E788" w:themeColor="accent2" w:themeTint="99"/&gt;&lt;w:bottom w:val="single" w:sz="4" w:space="0" w:color="D0E788" w:themeColor="accent2" w:themeTint="99"/&gt;&lt;w:right w:val="single" w:sz="4" w:space="0" w:color="D0E788" w:themeColor="accent2" w:themeTint="99"/&gt;&lt;w:insideH w:val="single" w:sz="4" w:space="0" w:color="D0E788" w:themeColor="accent2" w:themeTint="99"/&gt;&lt;w:insideV w:val="single" w:sz="4" w:space="0" w:color="D0E788" w:themeColor="accent2" w:themeTint="99"/&gt;&lt;/w:tblBorders&gt;&lt;/w:tblPr&gt;&lt;w:tblStylePr w:type="firstRow"&gt;&lt;w:rPr&gt;&lt;w:b/&gt;&lt;w:bCs/&gt;&lt;/w:rPr&gt;&lt;w:tblPr/&gt;&lt;w:tcPr&gt;&lt;w:tcBorders&gt;&lt;w:bottom w:val="single" w:sz="12" w:space="0" w:color="D0E788" w:themeColor="accent2" w:themeTint="99"/&gt;&lt;/w:tcBorders&gt;&lt;/w:tcPr&gt;&lt;/w:tblStylePr&gt;&lt;w:tblStylePr w:type="lastRow"&gt;&lt;w:rPr&gt;&lt;w:b/&gt;&lt;w:bCs/&gt;&lt;/w:rPr&gt;&lt;w:tblPr/&gt;&lt;w:tcPr&gt;&lt;w:tcBorders&gt;&lt;w:top w:val="double" w:sz="4" w:space="0" w:color="D0E788"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w:styleId="GridTable6Colorful-Accent3"&gt;&lt;w:name w:val="Grid Table 6 Colorful Accent 3"/&gt;&lt;w:basedOn w:val="TableNormal"/&gt;&lt;w:uiPriority w:val="51"/&gt;&lt;w:locked/&gt;&lt;w:rsid w:val="00D30A58"/&gt;&lt;w:pPr&gt;&lt;w:spacing w:after="0" w:line="240" w:lineRule="auto"/&gt;&lt;/w:pPr&gt;&lt;w:rPr&gt;&lt;w:color w:val="004B8E" w:themeColor="accent3" w:themeShade="BF"/&gt;&lt;/w:rPr&gt;&lt;w:tblPr&gt;&lt;w:tblStyleRowBandSize w:val="1"/&gt;&lt;w:tblStyleColBandSize w:val="1"/&gt;&lt;w:tblBorders&gt;&lt;w:top w:val="single" w:sz="4" w:space="0" w:color="3FA5FF" w:themeColor="accent3" w:themeTint="99"/&gt;&lt;w:left w:val="single" w:sz="4" w:space="0" w:color="3FA5FF" w:themeColor="accent3" w:themeTint="99"/&gt;&lt;w:bottom w:val="single" w:sz="4" w:space="0" w:color="3FA5FF" w:themeColor="accent3" w:themeTint="99"/&gt;&lt;w:right w:val="single" w:sz="4" w:space="0" w:color="3FA5FF" w:themeColor="accent3" w:themeTint="99"/&gt;&lt;w:insideH w:val="single" w:sz="4" w:space="0" w:color="3FA5FF" w:themeColor="accent3" w:themeTint="99"/&gt;&lt;w:insideV w:val="single" w:sz="4" w:space="0" w:color="3FA5FF" w:themeColor="accent3" w:themeTint="99"/&gt;&lt;/w:tblBorders&gt;&lt;/w:tblPr&gt;&lt;w:tblStylePr w:type="firstRow"&gt;&lt;w:rPr&gt;&lt;w:b/&gt;&lt;w:bCs/&gt;&lt;/w:rPr&gt;&lt;w:tblPr/&gt;&lt;w:tcPr&gt;&lt;w:tcBorders&gt;&lt;w:bottom w:val="single" w:sz="12" w:space="0" w:color="3FA5FF" w:themeColor="accent3" w:themeTint="99"/&gt;&lt;/w:tcBorders&gt;&lt;/w:tcPr&gt;&lt;/w:tblStylePr&gt;&lt;w:tblStylePr w:type="lastRow"&gt;&lt;w:rPr&gt;&lt;w:b/&gt;&lt;w:bCs/&gt;&lt;/w:rPr&gt;&lt;w:tblPr/&gt;&lt;w:tcPr&gt;&lt;w:tcBorders&gt;&lt;w:top w:val="double" w:sz="4" w:space="0" w:color="3FA5FF"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w:styleId="GridTable6Colorful-Accent4"&gt;&lt;w:name w:val="Grid Table 6 Colorful Accent 4"/&gt;&lt;w:basedOn w:val="TableNormal"/&gt;&lt;w:uiPriority w:val="51"/&gt;&lt;w:locked/&gt;&lt;w:rsid w:val="00D30A58"/&gt;&lt;w:pPr&gt;&lt;w:spacing w:after="0" w:line="240" w:lineRule="auto"/&gt;&lt;/w:pPr&gt;&lt;w:rPr&gt;&lt;w:color w:val="BA5010" w:themeColor="accent4" w:themeShade="BF"/&gt;&lt;/w:rPr&gt;&lt;w:tblPr&gt;&lt;w:tblStyleRowBandSize w:val="1"/&gt;&lt;w:tblStyleColBandSize w:val="1"/&gt;&lt;w:tblBorders&gt;&lt;w:top w:val="single" w:sz="4" w:space="0" w:color="F3A87A" w:themeColor="accent4" w:themeTint="99"/&gt;&lt;w:left w:val="single" w:sz="4" w:space="0" w:color="F3A87A" w:themeColor="accent4" w:themeTint="99"/&gt;&lt;w:bottom w:val="single" w:sz="4" w:space="0" w:color="F3A87A" w:themeColor="accent4" w:themeTint="99"/&gt;&lt;w:right w:val="single" w:sz="4" w:space="0" w:color="F3A87A" w:themeColor="accent4" w:themeTint="99"/&gt;&lt;w:insideH w:val="single" w:sz="4" w:space="0" w:color="F3A87A" w:themeColor="accent4" w:themeTint="99"/&gt;&lt;w:insideV w:val="single" w:sz="4" w:space="0" w:color="F3A87A" w:themeColor="accent4" w:themeTint="99"/&gt;&lt;/w:tblBorders&gt;&lt;/w:tblPr&gt;&lt;w:tblStylePr w:type="firstRow"&gt;&lt;w:rPr&gt;&lt;w:b/&gt;&lt;w:bCs/&gt;&lt;/w:rPr&gt;&lt;w:tblPr/&gt;&lt;w:tcPr&gt;&lt;w:tcBorders&gt;&lt;w:bottom w:val="single" w:sz="12" w:space="0" w:color="F3A87A" w:themeColor="accent4" w:themeTint="99"/&gt;&lt;/w:tcBorders&gt;&lt;/w:tcPr&gt;&lt;/w:tblStylePr&gt;&lt;w:tblStylePr w:type="lastRow"&gt;&lt;w:rPr&gt;&lt;w:b/&gt;&lt;w:bCs/&gt;&lt;/w:rPr&gt;&lt;w:tblPr/&gt;&lt;w:tcPr&gt;&lt;w:tcBorders&gt;&lt;w:top w:val="double" w:sz="4" w:space="0" w:color="F3A87A"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w:styleId="GridTable6Colorful-Accent5"&gt;&lt;w:name w:val="Grid Table 6 Colorful Accent 5"/&gt;&lt;w:basedOn w:val="TableNormal"/&gt;&lt;w:uiPriority w:val="51"/&gt;&lt;w:locked/&gt;&lt;w:rsid w:val="00D30A58"/&gt;&lt;w:pPr&gt;&lt;w:spacing w:after="0" w:line="240" w:lineRule="auto"/&gt;&lt;/w:pPr&gt;&lt;w:rPr&gt;&lt;w:color w:val="AC1A1A" w:themeColor="accent5" w:themeShade="BF"/&gt;&lt;/w:rPr&gt;&lt;w:tblPr&gt;&lt;w:tblStyleRowBandSize w:val="1"/&gt;&lt;w:tblStyleColBandSize w:val="1"/&gt;&lt;w:tblBorders&gt;&lt;w:top w:val="single" w:sz="4" w:space="0" w:color="EB7F7F" w:themeColor="accent5" w:themeTint="99"/&gt;&lt;w:left w:val="single" w:sz="4" w:space="0" w:color="EB7F7F" w:themeColor="accent5" w:themeTint="99"/&gt;&lt;w:bottom w:val="single" w:sz="4" w:space="0" w:color="EB7F7F" w:themeColor="accent5" w:themeTint="99"/&gt;&lt;w:right w:val="single" w:sz="4" w:space="0" w:color="EB7F7F" w:themeColor="accent5" w:themeTint="99"/&gt;&lt;w:insideH w:val="single" w:sz="4" w:space="0" w:color="EB7F7F" w:themeColor="accent5" w:themeTint="99"/&gt;&lt;w:insideV w:val="single" w:sz="4" w:space="0" w:color="EB7F7F" w:themeColor="accent5" w:themeTint="99"/&gt;&lt;/w:tblBorders&gt;&lt;/w:tblPr&gt;&lt;w:tblStylePr w:type="firstRow"&gt;&lt;w:rPr&gt;&lt;w:b/&gt;&lt;w:bCs/&gt;&lt;/w:rPr&gt;&lt;w:tblPr/&gt;&lt;w:tcPr&gt;&lt;w:tcBorders&gt;&lt;w:bottom w:val="single" w:sz="12" w:space="0" w:color="EB7F7F" w:themeColor="accent5" w:themeTint="99"/&gt;&lt;/w:tcBorders&gt;&lt;/w:tcPr&gt;&lt;/w:tblStylePr&gt;&lt;w:tblStylePr w:type="lastRow"&gt;&lt;w:rPr&gt;&lt;w:b/&gt;&lt;w:bCs/&gt;&lt;/w:rPr&gt;&lt;w:tblPr/&gt;&lt;w:tcPr&gt;&lt;w:tcBorders&gt;&lt;w:top w:val="double" w:sz="4" w:space="0" w:color="EB7F7F"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w:styleId="GridTable6Colorful-Accent6"&gt;&lt;w:name w:val="Grid Table 6 Colorful Accent 6"/&gt;&lt;w:basedOn w:val="TableNormal"/&gt;&lt;w:uiPriority w:val="51"/&gt;&lt;w:locked/&gt;&lt;w:rsid w:val="00D30A58"/&gt;&lt;w:pPr&gt;&lt;w:spacing w:after="0" w:line="240" w:lineRule="auto"/&gt;&lt;/w:pPr&gt;&lt;w:rPr&gt;&lt;w:color w:val="392471" w:themeColor="accent6" w:themeShade="BF"/&gt;&lt;/w:rPr&gt;&lt;w:tblPr&gt;&lt;w:tblStyleRowBandSize w:val="1"/&gt;&lt;w:tblStyleColBandSize w:val="1"/&gt;&lt;w:tblBorders&gt;&lt;w:top w:val="single" w:sz="4" w:space="0" w:color="8C71D2" w:themeColor="accent6" w:themeTint="99"/&gt;&lt;w:left w:val="single" w:sz="4" w:space="0" w:color="8C71D2" w:themeColor="accent6" w:themeTint="99"/&gt;&lt;w:bottom w:val="single" w:sz="4" w:space="0" w:color="8C71D2" w:themeColor="accent6" w:themeTint="99"/&gt;&lt;w:right w:val="single" w:sz="4" w:space="0" w:color="8C71D2" w:themeColor="accent6" w:themeTint="99"/&gt;&lt;w:insideH w:val="single" w:sz="4" w:space="0" w:color="8C71D2" w:themeColor="accent6" w:themeTint="99"/&gt;&lt;w:insideV w:val="single" w:sz="4" w:space="0" w:color="8C71D2" w:themeColor="accent6" w:themeTint="99"/&gt;&lt;/w:tblBorders&gt;&lt;/w:tblPr&gt;&lt;w:tblStylePr w:type="firstRow"&gt;&lt;w:rPr&gt;&lt;w:b/&gt;&lt;w:bCs/&gt;&lt;/w:rPr&gt;&lt;w:tblPr/&gt;&lt;w:tcPr&gt;&lt;w:tcBorders&gt;&lt;w:bottom w:val="single" w:sz="12" w:space="0" w:color="8C71D2" w:themeColor="accent6" w:themeTint="99"/&gt;&lt;/w:tcBorders&gt;&lt;/w:tcPr&gt;&lt;/w:tblStylePr&gt;&lt;w:tblStylePr w:type="lastRow"&gt;&lt;w:rPr&gt;&lt;w:b/&gt;&lt;w:bCs/&gt;&lt;/w:rPr&gt;&lt;w:tblPr/&gt;&lt;w:tcPr&gt;&lt;w:tcBorders&gt;&lt;w:top w:val="double" w:sz="4" w:space="0" w:color="8C71D2"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w:styleId="GridTable7Colorful"&gt;&lt;w:name w:val="Grid Table 7 Colorful"/&gt;&lt;w:basedOn w:val="TableNormal"/&gt;&lt;w:uiPriority w:val="52"/&gt;&lt;w:locked/&gt;&lt;w:rsid w:val="00D30A58"/&gt;&lt;w:pPr&gt;&lt;w:spacing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w:styleId="GridTable7Colorful-Accent1"&gt;&lt;w:name w:val="Grid Table 7 Colorful Accent 1"/&gt;&lt;w:basedOn w:val="TableNormal"/&gt;&lt;w:uiPriority w:val="52"/&gt;&lt;w:locked/&gt;&lt;w:rsid w:val="00D30A58"/&gt;&lt;w:pPr&gt;&lt;w:spacing w:after="0" w:line="240" w:lineRule="auto"/&gt;&lt;/w:pPr&gt;&lt;w:rPr&gt;&lt;w:color w:val="357D32" w:themeColor="accent1" w:themeShade="BF"/&gt;&lt;/w:rPr&gt;&lt;w:tblPr&gt;&lt;w:tblStyleRowBandSize w:val="1"/&gt;&lt;w:tblStyleColBandSize w:val="1"/&gt;&lt;w:tblBorders&gt;&lt;w:top w:val="single" w:sz="4" w:space="0" w:color="8BD089" w:themeColor="accent1" w:themeTint="99"/&gt;&lt;w:left w:val="single" w:sz="4" w:space="0" w:color="8BD089" w:themeColor="accent1" w:themeTint="99"/&gt;&lt;w:bottom w:val="single" w:sz="4" w:space="0" w:color="8BD089" w:themeColor="accent1" w:themeTint="99"/&gt;&lt;w:right w:val="single" w:sz="4" w:space="0" w:color="8BD089" w:themeColor="accent1" w:themeTint="99"/&gt;&lt;w:insideH w:val="single" w:sz="4" w:space="0" w:color="8BD089" w:themeColor="accent1" w:themeTint="99"/&gt;&lt;w:insideV w:val="single" w:sz="4" w:space="0" w:color="8BD089"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w:themeFillTint="33"/&gt;&lt;/w:tcPr&gt;&lt;/w:tblStylePr&gt;&lt;w:tblStylePr w:type="neCell"&gt;&lt;w:tblPr/&gt;&lt;w:tcPr&gt;&lt;w:tcBorders&gt;&lt;w:bottom w:val="single" w:sz="4" w:space="0" w:color="8BD089" w:themeColor="accent1" w:themeTint="99"/&gt;&lt;/w:tcBorders&gt;&lt;/w:tcPr&gt;&lt;/w:tblStylePr&gt;&lt;w:tblStylePr w:type="nwCell"&gt;&lt;w:tblPr/&gt;&lt;w:tcPr&gt;&lt;w:tcBorders&gt;&lt;w:bottom w:val="single" w:sz="4" w:space="0" w:color="8BD089" w:themeColor="accent1" w:themeTint="99"/&gt;&lt;/w:tcBorders&gt;&lt;/w:tcPr&gt;&lt;/w:tblStylePr&gt;&lt;w:tblStylePr w:type="seCell"&gt;&lt;w:tblPr/&gt;&lt;w:tcPr&gt;&lt;w:tcBorders&gt;&lt;w:top w:val="single" w:sz="4" w:space="0" w:color="8BD089" w:themeColor="accent1" w:themeTint="99"/&gt;&lt;/w:tcBorders&gt;&lt;/w:tcPr&gt;&lt;/w:tblStylePr&gt;&lt;w:tblStylePr w:type="swCell"&gt;&lt;w:tblPr/&gt;&lt;w:tcPr&gt;&lt;w:tcBorders&gt;&lt;w:top w:val="single" w:sz="4" w:space="0" w:color="8BD089" w:themeColor="accent1" w:themeTint="99"/&gt;&lt;/w:tcBorders&gt;&lt;/w:tcPr&gt;&lt;/w:tblStylePr&gt;&lt;/w:style&gt;&lt;w:style w:type="table" w:styleId="GridTable7Colorful-Accent2"&gt;&lt;w:name w:val="Grid Table 7 Colorful Accent 2"/&gt;&lt;w:basedOn w:val="TableNormal"/&gt;&lt;w:uiPriority w:val="52"/&gt;&lt;w:locked/&gt;&lt;w:rsid w:val="00D30A58"/&gt;&lt;w:pPr&gt;&lt;w:spacing w:after="0" w:line="240" w:lineRule="auto"/&gt;&lt;/w:pPr&gt;&lt;w:rPr&gt;&lt;w:color w:val="89AB22" w:themeColor="accent2" w:themeShade="BF"/&gt;&lt;/w:rPr&gt;&lt;w:tblPr&gt;&lt;w:tblStyleRowBandSize w:val="1"/&gt;&lt;w:tblStyleColBandSize w:val="1"/&gt;&lt;w:tblBorders&gt;&lt;w:top w:val="single" w:sz="4" w:space="0" w:color="D0E788" w:themeColor="accent2" w:themeTint="99"/&gt;&lt;w:left w:val="single" w:sz="4" w:space="0" w:color="D0E788" w:themeColor="accent2" w:themeTint="99"/&gt;&lt;w:bottom w:val="single" w:sz="4" w:space="0" w:color="D0E788" w:themeColor="accent2" w:themeTint="99"/&gt;&lt;w:right w:val="single" w:sz="4" w:space="0" w:color="D0E788" w:themeColor="accent2" w:themeTint="99"/&gt;&lt;w:insideH w:val="single" w:sz="4" w:space="0" w:color="D0E788" w:themeColor="accent2" w:themeTint="99"/&gt;&lt;w:insideV w:val="single" w:sz="4" w:space="0" w:color="D0E788"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w:themeFillTint="33"/&gt;&lt;/w:tcPr&gt;&lt;/w:tblStylePr&gt;&lt;w:tblStylePr w:type="neCell"&gt;&lt;w:tblPr/&gt;&lt;w:tcPr&gt;&lt;w:tcBorders&gt;&lt;w:bottom w:val="single" w:sz="4" w:space="0" w:color="D0E788" w:themeColor="accent2" w:themeTint="99"/&gt;&lt;/w:tcBorders&gt;&lt;/w:tcPr&gt;&lt;/w:tblStylePr&gt;&lt;w:tblStylePr w:type="nwCell"&gt;&lt;w:tblPr/&gt;&lt;w:tcPr&gt;&lt;w:tcBorders&gt;&lt;w:bottom w:val="single" w:sz="4" w:space="0" w:color="D0E788" w:themeColor="accent2" w:themeTint="99"/&gt;&lt;/w:tcBorders&gt;&lt;/w:tcPr&gt;&lt;/w:tblStylePr&gt;&lt;w:tblStylePr w:type="seCell"&gt;&lt;w:tblPr/&gt;&lt;w:tcPr&gt;&lt;w:tcBorders&gt;&lt;w:top w:val="single" w:sz="4" w:space="0" w:color="D0E788" w:themeColor="accent2" w:themeTint="99"/&gt;&lt;/w:tcBorders&gt;&lt;/w:tcPr&gt;&lt;/w:tblStylePr&gt;&lt;w:tblStylePr w:type="swCell"&gt;&lt;w:tblPr/&gt;&lt;w:tcPr&gt;&lt;w:tcBorders&gt;&lt;w:top w:val="single" w:sz="4" w:space="0" w:color="D0E788" w:themeColor="accent2" w:themeTint="99"/&gt;&lt;/w:tcBorders&gt;&lt;/w:tcPr&gt;&lt;/w:tblStylePr&gt;&lt;/w:style&gt;&lt;w:style w:type="table" w:styleId="GridTable7Colorful-Accent3"&gt;&lt;w:name w:val="Grid Table 7 Colorful Accent 3"/&gt;&lt;w:basedOn w:val="TableNormal"/&gt;&lt;w:uiPriority w:val="52"/&gt;&lt;w:locked/&gt;&lt;w:rsid w:val="00D30A58"/&gt;&lt;w:pPr&gt;&lt;w:spacing w:after="0" w:line="240" w:lineRule="auto"/&gt;&lt;/w:pPr&gt;&lt;w:rPr&gt;&lt;w:color w:val="004B8E" w:themeColor="accent3" w:themeShade="BF"/&gt;&lt;/w:rPr&gt;&lt;w:tblPr&gt;&lt;w:tblStyleRowBandSize w:val="1"/&gt;&lt;w:tblStyleColBandSize w:val="1"/&gt;&lt;w:tblBorders&gt;&lt;w:top w:val="single" w:sz="4" w:space="0" w:color="3FA5FF" w:themeColor="accent3" w:themeTint="99"/&gt;&lt;w:left w:val="single" w:sz="4" w:space="0" w:color="3FA5FF" w:themeColor="accent3" w:themeTint="99"/&gt;&lt;w:bottom w:val="single" w:sz="4" w:space="0" w:color="3FA5FF" w:themeColor="accent3" w:themeTint="99"/&gt;&lt;w:right w:val="single" w:sz="4" w:space="0" w:color="3FA5FF" w:themeColor="accent3" w:themeTint="99"/&gt;&lt;w:insideH w:val="single" w:sz="4" w:space="0" w:color="3FA5FF" w:themeColor="accent3" w:themeTint="99"/&gt;&lt;w:insideV w:val="single" w:sz="4" w:space="0" w:color="3FA5FF"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w:themeFillTint="33"/&gt;&lt;/w:tcPr&gt;&lt;/w:tblStylePr&gt;&lt;w:tblStylePr w:type="neCell"&gt;&lt;w:tblPr/&gt;&lt;w:tcPr&gt;&lt;w:tcBorders&gt;&lt;w:bottom w:val="single" w:sz="4" w:space="0" w:color="3FA5FF" w:themeColor="accent3" w:themeTint="99"/&gt;&lt;/w:tcBorders&gt;&lt;/w:tcPr&gt;&lt;/w:tblStylePr&gt;&lt;w:tblStylePr w:type="nwCell"&gt;&lt;w:tblPr/&gt;&lt;w:tcPr&gt;&lt;w:tcBorders&gt;&lt;w:bottom w:val="single" w:sz="4" w:space="0" w:color="3FA5FF" w:themeColor="accent3" w:themeTint="99"/&gt;&lt;/w:tcBorders&gt;&lt;/w:tcPr&gt;&lt;/w:tblStylePr&gt;&lt;w:tblStylePr w:type="seCell"&gt;&lt;w:tblPr/&gt;&lt;w:tcPr&gt;&lt;w:tcBorders&gt;&lt;w:top w:val="single" w:sz="4" w:space="0" w:color="3FA5FF" w:themeColor="accent3" w:themeTint="99"/&gt;&lt;/w:tcBorders&gt;&lt;/w:tcPr&gt;&lt;/w:tblStylePr&gt;&lt;w:tblStylePr w:type="swCell"&gt;&lt;w:tblPr/&gt;&lt;w:tcPr&gt;&lt;w:tcBorders&gt;&lt;w:top w:val="single" w:sz="4" w:space="0" w:color="3FA5FF" w:themeColor="accent3" w:themeTint="99"/&gt;&lt;/w:tcBorders&gt;&lt;/w:tcPr&gt;&lt;/w:tblStylePr&gt;&lt;/w:style&gt;&lt;w:style w:type="table" w:styleId="GridTable7Colorful-Accent4"&gt;&lt;w:name w:val="Grid Table 7 Colorful Accent 4"/&gt;&lt;w:basedOn w:val="TableNormal"/&gt;&lt;w:uiPriority w:val="52"/&gt;&lt;w:locked/&gt;&lt;w:rsid w:val="00D30A58"/&gt;&lt;w:pPr&gt;&lt;w:spacing w:after="0" w:line="240" w:lineRule="auto"/&gt;&lt;/w:pPr&gt;&lt;w:rPr&gt;&lt;w:color w:val="BA5010" w:themeColor="accent4" w:themeShade="BF"/&gt;&lt;/w:rPr&gt;&lt;w:tblPr&gt;&lt;w:tblStyleRowBandSize w:val="1"/&gt;&lt;w:tblStyleColBandSize w:val="1"/&gt;&lt;w:tblBorders&gt;&lt;w:top w:val="single" w:sz="4" w:space="0" w:color="F3A87A" w:themeColor="accent4" w:themeTint="99"/&gt;&lt;w:left w:val="single" w:sz="4" w:space="0" w:color="F3A87A" w:themeColor="accent4" w:themeTint="99"/&gt;&lt;w:bottom w:val="single" w:sz="4" w:space="0" w:color="F3A87A" w:themeColor="accent4" w:themeTint="99"/&gt;&lt;w:right w:val="single" w:sz="4" w:space="0" w:color="F3A87A" w:themeColor="accent4" w:themeTint="99"/&gt;&lt;w:insideH w:val="single" w:sz="4" w:space="0" w:color="F3A87A" w:themeColor="accent4" w:themeTint="99"/&gt;&lt;w:insideV w:val="single" w:sz="4" w:space="0" w:color="F3A87A"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w:themeFillTint="33"/&gt;&lt;/w:tcPr&gt;&lt;/w:tblStylePr&gt;&lt;w:tblStylePr w:type="neCell"&gt;&lt;w:tblPr/&gt;&lt;w:tcPr&gt;&lt;w:tcBorders&gt;&lt;w:bottom w:val="single" w:sz="4" w:space="0" w:color="F3A87A" w:themeColor="accent4" w:themeTint="99"/&gt;&lt;/w:tcBorders&gt;&lt;/w:tcPr&gt;&lt;/w:tblStylePr&gt;&lt;w:tblStylePr w:type="nwCell"&gt;&lt;w:tblPr/&gt;&lt;w:tcPr&gt;&lt;w:tcBorders&gt;&lt;w:bottom w:val="single" w:sz="4" w:space="0" w:color="F3A87A" w:themeColor="accent4" w:themeTint="99"/&gt;&lt;/w:tcBorders&gt;&lt;/w:tcPr&gt;&lt;/w:tblStylePr&gt;&lt;w:tblStylePr w:type="seCell"&gt;&lt;w:tblPr/&gt;&lt;w:tcPr&gt;&lt;w:tcBorders&gt;&lt;w:top w:val="single" w:sz="4" w:space="0" w:color="F3A87A" w:themeColor="accent4" w:themeTint="99"/&gt;&lt;/w:tcBorders&gt;&lt;/w:tcPr&gt;&lt;/w:tblStylePr&gt;&lt;w:tblStylePr w:type="swCell"&gt;&lt;w:tblPr/&gt;&lt;w:tcPr&gt;&lt;w:tcBorders&gt;&lt;w:top w:val="single" w:sz="4" w:space="0" w:color="F3A87A" w:themeColor="accent4" w:themeTint="99"/&gt;&lt;/w:tcBorders&gt;&lt;/w:tcPr&gt;&lt;/w:tblStylePr&gt;&lt;/w:style&gt;&lt;w:style w:type="table" w:styleId="GridTable7Colorful-Accent5"&gt;&lt;w:name w:val="Grid Table 7 Colorful Accent 5"/&gt;&lt;w:basedOn w:val="TableNormal"/&gt;&lt;w:uiPriority w:val="52"/&gt;&lt;w:locked/&gt;&lt;w:rsid w:val="00D30A58"/&gt;&lt;w:pPr&gt;&lt;w:spacing w:after="0" w:line="240" w:lineRule="auto"/&gt;&lt;/w:pPr&gt;&lt;w:rPr&gt;&lt;w:color w:val="AC1A1A" w:themeColor="accent5" w:themeShade="BF"/&gt;&lt;/w:rPr&gt;&lt;w:tblPr&gt;&lt;w:tblStyleRowBandSize w:val="1"/&gt;&lt;w:tblStyleColBandSize w:val="1"/&gt;&lt;w:tblBorders&gt;&lt;w:top w:val="single" w:sz="4" w:space="0" w:color="EB7F7F" w:themeColor="accent5" w:themeTint="99"/&gt;&lt;w:left w:val="single" w:sz="4" w:space="0" w:color="EB7F7F" w:themeColor="accent5" w:themeTint="99"/&gt;&lt;w:bottom w:val="single" w:sz="4" w:space="0" w:color="EB7F7F" w:themeColor="accent5" w:themeTint="99"/&gt;&lt;w:right w:val="single" w:sz="4" w:space="0" w:color="EB7F7F" w:themeColor="accent5" w:themeTint="99"/&gt;&lt;w:insideH w:val="single" w:sz="4" w:space="0" w:color="EB7F7F" w:themeColor="accent5" w:themeTint="99"/&gt;&lt;w:insideV w:val="single" w:sz="4" w:space="0" w:color="EB7F7F"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w:themeFillTint="33"/&gt;&lt;/w:tcPr&gt;&lt;/w:tblStylePr&gt;&lt;w:tblStylePr w:type="neCell"&gt;&lt;w:tblPr/&gt;&lt;w:tcPr&gt;&lt;w:tcBorders&gt;&lt;w:bottom w:val="single" w:sz="4" w:space="0" w:color="EB7F7F" w:themeColor="accent5" w:themeTint="99"/&gt;&lt;/w:tcBorders&gt;&lt;/w:tcPr&gt;&lt;/w:tblStylePr&gt;&lt;w:tblStylePr w:type="nwCell"&gt;&lt;w:tblPr/&gt;&lt;w:tcPr&gt;&lt;w:tcBorders&gt;&lt;w:bottom w:val="single" w:sz="4" w:space="0" w:color="EB7F7F" w:themeColor="accent5" w:themeTint="99"/&gt;&lt;/w:tcBorders&gt;&lt;/w:tcPr&gt;&lt;/w:tblStylePr&gt;&lt;w:tblStylePr w:type="seCell"&gt;&lt;w:tblPr/&gt;&lt;w:tcPr&gt;&lt;w:tcBorders&gt;&lt;w:top w:val="single" w:sz="4" w:space="0" w:color="EB7F7F" w:themeColor="accent5" w:themeTint="99"/&gt;&lt;/w:tcBorders&gt;&lt;/w:tcPr&gt;&lt;/w:tblStylePr&gt;&lt;w:tblStylePr w:type="swCell"&gt;&lt;w:tblPr/&gt;&lt;w:tcPr&gt;&lt;w:tcBorders&gt;&lt;w:top w:val="single" w:sz="4" w:space="0" w:color="EB7F7F" w:themeColor="accent5" w:themeTint="99"/&gt;&lt;/w:tcBorders&gt;&lt;/w:tcPr&gt;&lt;/w:tblStylePr&gt;&lt;/w:style&gt;&lt;w:style w:type="table" w:styleId="GridTable7Colorful-Accent6"&gt;&lt;w:name w:val="Grid Table 7 Colorful Accent 6"/&gt;&lt;w:basedOn w:val="TableNormal"/&gt;&lt;w:uiPriority w:val="52"/&gt;&lt;w:locked/&gt;&lt;w:rsid w:val="00D30A58"/&gt;&lt;w:pPr&gt;&lt;w:spacing w:after="0" w:line="240" w:lineRule="auto"/&gt;&lt;/w:pPr&gt;&lt;w:rPr&gt;&lt;w:color w:val="392471" w:themeColor="accent6" w:themeShade="BF"/&gt;&lt;/w:rPr&gt;&lt;w:tblPr&gt;&lt;w:tblStyleRowBandSize w:val="1"/&gt;&lt;w:tblStyleColBandSize w:val="1"/&gt;&lt;w:tblBorders&gt;&lt;w:top w:val="single" w:sz="4" w:space="0" w:color="8C71D2" w:themeColor="accent6" w:themeTint="99"/&gt;&lt;w:left w:val="single" w:sz="4" w:space="0" w:color="8C71D2" w:themeColor="accent6" w:themeTint="99"/&gt;&lt;w:bottom w:val="single" w:sz="4" w:space="0" w:color="8C71D2" w:themeColor="accent6" w:themeTint="99"/&gt;&lt;w:right w:val="single" w:sz="4" w:space="0" w:color="8C71D2" w:themeColor="accent6" w:themeTint="99"/&gt;&lt;w:insideH w:val="single" w:sz="4" w:space="0" w:color="8C71D2" w:themeColor="accent6" w:themeTint="99"/&gt;&lt;w:insideV w:val="single" w:sz="4" w:space="0" w:color="8C71D2"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w:themeFillTint="33"/&gt;&lt;/w:tcPr&gt;&lt;/w:tblStylePr&gt;&lt;w:tblStylePr w:type="neCell"&gt;&lt;w:tblPr/&gt;&lt;w:tcPr&gt;&lt;w:tcBorders&gt;&lt;w:bottom w:val="single" w:sz="4" w:space="0" w:color="8C71D2" w:themeColor="accent6" w:themeTint="99"/&gt;&lt;/w:tcBorders&gt;&lt;/w:tcPr&gt;&lt;/w:tblStylePr&gt;&lt;w:tblStylePr w:type="nwCell"&gt;&lt;w:tblPr/&gt;&lt;w:tcPr&gt;&lt;w:tcBorders&gt;&lt;w:bottom w:val="single" w:sz="4" w:space="0" w:color="8C71D2" w:themeColor="accent6" w:themeTint="99"/&gt;&lt;/w:tcBorders&gt;&lt;/w:tcPr&gt;&lt;/w:tblStylePr&gt;&lt;w:tblStylePr w:type="seCell"&gt;&lt;w:tblPr/&gt;&lt;w:tcPr&gt;&lt;w:tcBorders&gt;&lt;w:top w:val="single" w:sz="4" w:space="0" w:color="8C71D2" w:themeColor="accent6" w:themeTint="99"/&gt;&lt;/w:tcBorders&gt;&lt;/w:tcPr&gt;&lt;/w:tblStylePr&gt;&lt;w:tblStylePr w:type="swCell"&gt;&lt;w:tblPr/&gt;&lt;w:tcPr&gt;&lt;w:tcBorders&gt;&lt;w:top w:val="single" w:sz="4" w:space="0" w:color="8C71D2" w:themeColor="accent6" w:themeTint="99"/&gt;&lt;/w:tcBorders&gt;&lt;/w:tcPr&gt;&lt;/w:tblStylePr&gt;&lt;/w:style&gt;&lt;w:style w:type="character" w:styleId="Hashtag"&gt;&lt;w:name w:val="Hashtag"/&gt;&lt;w:basedOn w:val="DefaultParagraphFont"/&gt;&lt;w:uiPriority w:val="99"/&gt;&lt;w:semiHidden/&gt;&lt;w:locked/&gt;&lt;w:rsid w:val="00D30A58"/&gt;&lt;w:rPr&gt;&lt;w:color w:val="2B579A"/&gt;&lt;w:shd w:val="clear" w:color="auto" w:fill="E1DFDD"/&gt;&lt;/w:rPr&gt;&lt;/w:style&gt;&lt;w:style w:type="character" w:styleId="HTMLCode"&gt;&lt;w:name w:val="HTML Code"/&gt;&lt;w:basedOn w:val="DefaultParagraphFont"/&gt;&lt;w:uiPriority w:val="99"/&gt;&lt;w:semiHidden/&gt;&lt;w:locked/&gt;&lt;w:rsid w:val="00D30A58"/&gt;&lt;w:rPr&gt;&lt;w:rFonts w:ascii="Consolas" w:hAnsi="Consolas"/&gt;&lt;w:sz w:val="20"/&gt;&lt;w:szCs w:val="20"/&gt;&lt;/w:rPr&gt;&lt;/w:style&gt;&lt;w:style w:type="character" w:styleId="HTMLDefinition"&gt;&lt;w:name w:val="HTML Definition"/&gt;&lt;w:basedOn w:val="DefaultParagraphFont"/&gt;&lt;w:uiPriority w:val="99"/&gt;&lt;w:semiHidden/&gt;&lt;w:locked/&gt;&lt;w:rsid w:val="00D30A58"/&gt;&lt;w:rPr&gt;&lt;w:i/&gt;&lt;w:iCs/&gt;&lt;/w:rPr&gt;&lt;/w:style&gt;&lt;w:style w:type="character" w:styleId="HTMLKeyboard"&gt;&lt;w:name w:val="HTML Keyboard"/&gt;&lt;w:basedOn w:val="DefaultParagraphFont"/&gt;&lt;w:uiPriority w:val="99"/&gt;&lt;w:semiHidden/&gt;&lt;w:locked/&gt;&lt;w:rsid w:val="00D30A58"/&gt;&lt;w:rPr&gt;&lt;w:rFonts w:ascii="Consolas" w:hAnsi="Consolas"/&gt;&lt;w:sz w:val="20"/&gt;&lt;w:szCs w:val="20"/&gt;&lt;/w:rPr&gt;&lt;/w:style&gt;&lt;w:style w:type="paragraph" w:styleId="HTMLPreformatted"&gt;&lt;w:name w:val="HTML Preformatted"/&gt;&lt;w:basedOn w:val="Normal"/&gt;&lt;w:link w:val="HTMLPreformattedChar"/&gt;&lt;w:uiPriority w:val="99"/&gt;&lt;w:semiHidden/&gt;&lt;w:locked/&gt;&lt;w:rsid w:val="00D30A58"/&gt;&lt;w:pPr&gt;&lt;w:spacing w:before="0" w:after="0" w:line="240" w:lineRule="auto"/&gt;&lt;/w:pPr&gt;&lt;w:rPr&gt;&lt;w:rFonts w:ascii="Consolas" w:hAnsi="Consolas"/&gt;&lt;w:sz w:val="20"/&gt;&lt;w:szCs w:val="20"/&gt;&lt;/w:rPr&gt;&lt;/w:style&gt;&lt;w:style w:type="character" w:customStyle="1" w:styleId="HTMLPreformattedChar"&gt;&lt;w:name w:val="HTML Preformatted Char"/&gt;&lt;w:basedOn w:val="DefaultParagraphFont"/&gt;&lt;w:link w:val="HTMLPreformatted"/&gt;&lt;w:uiPriority w:val="99"/&gt;&lt;w:semiHidden/&gt;&lt;w:rsid w:val="00D30A58"/&gt;&lt;w:rPr&gt;&lt;w:rFonts w:ascii="Consolas" w:hAnsi="Consolas"/&gt;&lt;w:sz w:val="20"/&gt;&lt;w:szCs w:val="20"/&gt;&lt;/w:rPr&gt;&lt;/w:style&gt;&lt;w:style w:type="character" w:styleId="HTMLSample"&gt;&lt;w:name w:val="HTML Sample"/&gt;&lt;w:basedOn w:val="DefaultParagraphFont"/&gt;&lt;w:uiPriority w:val="99"/&gt;&lt;w:semiHidden/&gt;&lt;w:locked/&gt;&lt;w:rsid w:val="00D30A58"/&gt;&lt;w:rPr&gt;&lt;w:rFonts w:ascii="Consolas" w:hAnsi="Consolas"/&gt;&lt;w:sz w:val="24"/&gt;&lt;w:szCs w:val="24"/&gt;&lt;/w:rPr&gt;&lt;/w:style&gt;&lt;w:style w:type="character" w:styleId="HTMLTypewriter"&gt;&lt;w:name w:val="HTML Typewriter"/&gt;&lt;w:basedOn w:val="DefaultParagraphFont"/&gt;&lt;w:uiPriority w:val="99"/&gt;&lt;w:semiHidden/&gt;&lt;w:locked/&gt;&lt;w:rsid w:val="00D30A58"/&gt;&lt;w:rPr&gt;&lt;w:rFonts w:ascii="Consolas" w:hAnsi="Consolas"/&gt;&lt;w:sz w:val="20"/&gt;&lt;w:szCs w:val="20"/&gt;&lt;/w:rPr&gt;&lt;/w:style&gt;&lt;w:style w:type="character" w:styleId="HTMLVariable"&gt;&lt;w:name w:val="HTML Variable"/&gt;&lt;w:basedOn w:val="DefaultParagraphFont"/&gt;&lt;w:uiPriority w:val="99"/&gt;&lt;w:semiHidden/&gt;&lt;w:locked/&gt;&lt;w:rsid w:val="00D30A58"/&gt;&lt;w:rPr&gt;&lt;w:i/&gt;&lt;w:iCs/&gt;&lt;/w:rPr&gt;&lt;/w:style&gt;&lt;w:style w:type="paragraph" w:styleId="Index1"&gt;&lt;w:name w:val="index 1"/&gt;&lt;w:basedOn w:val="Normal"/&gt;&lt;w:next w:val="Normal"/&gt;&lt;w:autoRedefine/&gt;&lt;w:uiPriority w:val="99"/&gt;&lt;w:semiHidden/&gt;&lt;w:locked/&gt;&lt;w:rsid w:val="00D30A58"/&gt;&lt;w:pPr&gt;&lt;w:spacing w:before="0" w:after="0" w:line="240" w:lineRule="auto"/&gt;&lt;w:ind w:left="220" w:hanging="220"/&gt;&lt;/w:pPr&gt;&lt;/w:style&gt;&lt;w:style w:type="paragraph" w:styleId="Index2"&gt;&lt;w:name w:val="index 2"/&gt;&lt;w:basedOn w:val="Normal"/&gt;&lt;w:next w:val="Normal"/&gt;&lt;w:autoRedefine/&gt;&lt;w:uiPriority w:val="99"/&gt;&lt;w:semiHidden/&gt;&lt;w:locked/&gt;&lt;w:rsid w:val="00D30A58"/&gt;&lt;w:pPr&gt;&lt;w:spacing w:before="0" w:after="0" w:line="240" w:lineRule="auto"/&gt;&lt;w:ind w:left="440" w:hanging="220"/&gt;&lt;/w:pPr&gt;&lt;/w:style&gt;&lt;w:style w:type="paragraph" w:styleId="Index3"&gt;&lt;w:name w:val="index 3"/&gt;&lt;w:basedOn w:val="Normal"/&gt;&lt;w:next w:val="Normal"/&gt;&lt;w:autoRedefine/&gt;&lt;w:uiPriority w:val="99"/&gt;&lt;w:semiHidden/&gt;&lt;w:locked/&gt;&lt;w:rsid w:val="00D30A58"/&gt;&lt;w:pPr&gt;&lt;w:spacing w:before="0" w:after="0" w:line="240" w:lineRule="auto"/&gt;&lt;w:ind w:left="660" w:hanging="220"/&gt;&lt;/w:pPr&gt;&lt;/w:style&gt;&lt;w:style w:type="paragraph" w:styleId="Index4"&gt;&lt;w:name w:val="index 4"/&gt;&lt;w:basedOn w:val="Normal"/&gt;&lt;w:next w:val="Normal"/&gt;&lt;w:autoRedefine/&gt;&lt;w:uiPriority w:val="99"/&gt;&lt;w:semiHidden/&gt;&lt;w:locked/&gt;&lt;w:rsid w:val="00D30A58"/&gt;&lt;w:pPr&gt;&lt;w:spacing w:before="0" w:after="0" w:line="240" w:lineRule="auto"/&gt;&lt;w:ind w:left="880" w:hanging="220"/&gt;&lt;/w:pPr&gt;&lt;/w:style&gt;&lt;w:style w:type="paragraph" w:styleId="Index5"&gt;&lt;w:name w:val="index 5"/&gt;&lt;w:basedOn w:val="Normal"/&gt;&lt;w:next w:val="Normal"/&gt;&lt;w:autoRedefine/&gt;&lt;w:uiPriority w:val="99"/&gt;&lt;w:semiHidden/&gt;&lt;w:locked/&gt;&lt;w:rsid w:val="00D30A58"/&gt;&lt;w:pPr&gt;&lt;w:spacing w:before="0" w:after="0" w:line="240" w:lineRule="auto"/&gt;&lt;w:ind w:left="1100" w:hanging="220"/&gt;&lt;/w:pPr&gt;&lt;/w:style&gt;&lt;w:style w:type="paragraph" w:styleId="Index6"&gt;&lt;w:name w:val="index 6"/&gt;&lt;w:basedOn w:val="Normal"/&gt;&lt;w:next w:val="Normal"/&gt;&lt;w:autoRedefine/&gt;&lt;w:uiPriority w:val="99"/&gt;&lt;w:semiHidden/&gt;&lt;w:locked/&gt;&lt;w:rsid w:val="00D30A58"/&gt;&lt;w:pPr&gt;&lt;w:spacing w:before="0" w:after="0" w:line="240" w:lineRule="auto"/&gt;&lt;w:ind w:left="1320" w:hanging="220"/&gt;&lt;/w:pPr&gt;&lt;/w:style&gt;&lt;w:style w:type="paragraph" w:styleId="Index7"&gt;&lt;w:name w:val="index 7"/&gt;&lt;w:basedOn w:val="Normal"/&gt;&lt;w:next w:val="Normal"/&gt;&lt;w:autoRedefine/&gt;&lt;w:uiPriority w:val="99"/&gt;&lt;w:semiHidden/&gt;&lt;w:locked/&gt;&lt;w:rsid w:val="00D30A58"/&gt;&lt;w:pPr&gt;&lt;w:spacing w:before="0" w:after="0" w:line="240" w:lineRule="auto"/&gt;&lt;w:ind w:left="1540" w:hanging="220"/&gt;&lt;/w:pPr&gt;&lt;/w:style&gt;&lt;w:style w:type="paragraph" w:styleId="Index8"&gt;&lt;w:name w:val="index 8"/&gt;&lt;w:basedOn w:val="Normal"/&gt;&lt;w:next w:val="Normal"/&gt;&lt;w:autoRedefine/&gt;&lt;w:uiPriority w:val="99"/&gt;&lt;w:semiHidden/&gt;&lt;w:locked/&gt;&lt;w:rsid w:val="00D30A58"/&gt;&lt;w:pPr&gt;&lt;w:spacing w:before="0" w:after="0" w:line="240" w:lineRule="auto"/&gt;&lt;w:ind w:left="1760" w:hanging="220"/&gt;&lt;/w:pPr&gt;&lt;/w:style&gt;&lt;w:style w:type="paragraph" w:styleId="Index9"&gt;&lt;w:name w:val="index 9"/&gt;&lt;w:basedOn w:val="Normal"/&gt;&lt;w:next w:val="Normal"/&gt;&lt;w:autoRedefine/&gt;&lt;w:uiPriority w:val="99"/&gt;&lt;w:semiHidden/&gt;&lt;w:locked/&gt;&lt;w:rsid w:val="00D30A58"/&gt;&lt;w:pPr&gt;&lt;w:spacing w:before="0" w:after="0" w:line="240" w:lineRule="auto"/&gt;&lt;w:ind w:left="1980" w:hanging="220"/&gt;&lt;/w:pPr&gt;&lt;/w:style&gt;&lt;w:style w:type="paragraph" w:styleId="IndexHeading"&gt;&lt;w:name w:val="index heading"/&gt;&lt;w:basedOn w:val="Normal"/&gt;&lt;w:next w:val="Index1"/&gt;&lt;w:uiPriority w:val="99"/&gt;&lt;w:semiHidden/&gt;&lt;w:locked/&gt;&lt;w:rsid w:val="00D30A58"/&gt;&lt;w:rPr&gt;&lt;w:rFonts w:asciiTheme="majorHAnsi" w:eastAsiaTheme="majorEastAsia" w:hAnsiTheme="majorHAnsi" w:cstheme="majorBidi"/&gt;&lt;w:b/&gt;&lt;w:bCs/&gt;&lt;/w:rPr&gt;&lt;/w:style&gt;&lt;w:style w:type="character" w:styleId="IntenseEmphasis"&gt;&lt;w:name w:val="Intense Emphasis"/&gt;&lt;w:basedOn w:val="DefaultParagraphFont"/&gt;&lt;w:uiPriority w:val="21"/&gt;&lt;w:semiHidden/&gt;&lt;w:qFormat/&gt;&lt;w:locked/&gt;&lt;w:rsid w:val="00D30A58"/&gt;&lt;w:rPr&gt;&lt;w:i/&gt;&lt;w:iCs/&gt;&lt;w:color w:val="47A843" w:themeColor="accent1"/&gt;&lt;/w:rPr&gt;&lt;/w:style&gt;&lt;w:style w:type="character" w:styleId="IntenseReference"&gt;&lt;w:name w:val="Intense Reference"/&gt;&lt;w:basedOn w:val="DefaultParagraphFont"/&gt;&lt;w:uiPriority w:val="32"/&gt;&lt;w:semiHidden/&gt;&lt;w:qFormat/&gt;&lt;w:locked/&gt;&lt;w:rsid w:val="00D30A58"/&gt;&lt;w:rPr&gt;&lt;w:b/&gt;&lt;w:bCs/&gt;&lt;w:smallCaps/&gt;&lt;w:color w:val="47A843" w:themeColor="accent1"/&gt;&lt;w:spacing w:val="5"/&gt;&lt;/w:rPr&gt;&lt;/w:style&gt;&lt;w:style w:type="table" w:styleId="LightGrid"&gt;&lt;w:name w:val="Light Grid"/&gt;&lt;w:basedOn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w:sz="18" w:space="0" w:color="000000" w:themeColor="text1"/&gt;&lt;w:right w:val="single" w:sz="8" w:space="0" w:color="000000" w:themeColor="text1"/&gt;&lt;w:insideH w:val="nil"/&gt;&lt;w:insideV w:val="single" w:sz="8" w:space="0" w:color="000000" w:themeColor="text1"/&gt;&lt;/w:tcBorders&gt;&lt;/w:tcPr&gt;&lt;/w:tblStylePr&gt;&lt;w:tblStylePr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w:themeColor="text1"/&gt;&lt;w:insideH w:val="nil"/&gt;&lt;w:insideV w:val="single" w:sz="8" w:space="0" w:color="000000" w:themeColor="text1"/&gt;&lt;/w:tcBorders&gt;&lt;/w:tcPr&gt;&lt;/w:tblStylePr&gt;&lt;w:tblStylePr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w:themeColor="text1"/&gt;&lt;/w:tcBorders&gt;&lt;w:shd w:val="clear" w:color="auto" w:fill="C0C0C0" w:themeFill="text1" w:themeFillTint="3F"/&gt;&lt;/w:tcPr&gt;&lt;/w:tblStylePr&gt;&lt;w:tblStylePr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w:themeColor="text1"/&gt;&lt;/w:tcBorders&gt;&lt;w:shd w:val="clear" w:color="auto" w:fill="C0C0C0" w:themeFill="text1" w:themeFillTint="3F"/&gt;&lt;/w:tcPr&gt;&lt;/w:tblStylePr&gt;&lt;w:tblStylePr w:type="band2Horz"&gt;&lt;w:tblPr/&gt;&lt;w:tcPr&gt;&lt;w:tcBorders&gt;&lt;w:top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w:themeColor="text1"/&gt;&lt;/w:tcBorders&gt;&lt;/w:tcPr&gt;&lt;/w:tblStylePr&gt;&lt;/w:style&gt;&lt;w:style w:type="table" w:styleId="LightGrid-Accent1"&gt;&lt;w:name w:val="Light Grid Accent 1"/&gt;&lt;w:basedOn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w:color="47A843" w:themeColor="accent1"/&gt;&lt;w:left w:val="single" w:sz="8" w:space="0" w:color="47A843" w:themeColor="accent1"/&gt;&lt;w:bottom w:val="single" w:sz="8" w:space="0" w:color="47A843" w:themeColor="accent1"/&gt;&lt;w:right w:val="single" w:sz="8" w:space="0" w:color="47A843" w:themeColor="accent1"/&gt;&lt;w:insideH w:val="single" w:sz="8" w:space="0" w:color="47A843" w:themeColor="accent1"/&gt;&lt;w:insideV w:val="single" w:sz="8" w:space="0" w:color="47A843" w:themeColor="accent1"/&gt;&lt;/w:tblBorders&gt;&lt;/w:tblPr&gt;&lt;w:tblStylePr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w:color="47A843" w:themeColor="accent1"/&gt;&lt;w:left w:val="single" w:sz="8" w:space="0" w:color="47A843" w:themeColor="accent1"/&gt;&lt;w:bottom w:val="single" w:sz="18" w:space="0" w:color="47A843" w:themeColor="accent1"/&gt;&lt;w:right w:val="single" w:sz="8" w:space="0" w:color="47A843" w:themeColor="accent1"/&gt;&lt;w:insideH w:val="nil"/&gt;&lt;w:insideV w:val="single" w:sz="8" w:space="0" w:color="47A843" w:themeColor="accent1"/&gt;&lt;/w:tcBorders&gt;&lt;/w:tcPr&gt;&lt;/w:tblStylePr&gt;&lt;w:tblStylePr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w:color="47A843" w:themeColor="accent1"/&gt;&lt;w:left w:val="single" w:sz="8" w:space="0" w:color="47A843" w:themeColor="accent1"/&gt;&lt;w:bottom w:val="single" w:sz="8" w:space="0" w:color="47A843" w:themeColor="accent1"/&gt;&lt;w:right w:val="single" w:sz="8" w:space="0" w:color="47A843" w:themeColor="accent1"/&gt;&lt;w:insideH w:val="nil"/&gt;&lt;w:insideV w:val="single" w:sz="8" w:space="0" w:color="47A843" w:themeColor="accent1"/&gt;&lt;/w:tcBorders&gt;&lt;/w:tcPr&gt;&lt;/w:tblStylePr&gt;&lt;w:tblStylePr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w:themeColor="accent1"/&gt;&lt;/w:tcBorders&gt;&lt;/w:tcPr&gt;&lt;/w:tblStylePr&gt;&lt;w:tblStylePr w:type="band1Vert"&gt;&lt;w:tblPr/&gt;&lt;w:tcPr&gt;&lt;w:tcBorders&gt;&lt;w:top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w:themeColor="accent1"/&gt;&lt;/w:tcBorders&gt;&lt;w:shd w:val="clear" w:color="auto" w:fill="CFEBCE" w:themeFill="accent1" w:themeFillTint="3F"/&gt;&lt;/w:tcPr&gt;&lt;/w:tblStylePr&gt;&lt;w:tblStylePr w:type="band1Horz"&gt;&lt;w:tblPr/&gt;&lt;w:tcPr&gt;&lt;w:tcBorders&gt;&lt;w:top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w:themeColor="accent1"/&gt;&lt;w:insideV w:val="single" w:sz="8" w:space="0" w:color="47A843" w:themeColor="accent1"/&gt;&lt;/w:tcBorders&gt;&lt;w:shd w:val="clear" w:color="auto" w:fill="CFEBCE" w:themeFill="accent1" w:themeFillTint="3F"/&gt;&lt;/w:tcPr&gt;&lt;/w:tblStylePr&gt;&lt;w:tblStylePr w:type="band2Horz"&gt;&lt;w:tblPr/&gt;&lt;w:tcPr&gt;&lt;w:tcBorders&gt;&lt;w:top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w:themeColor="accent1"/&gt;&lt;w:insideV w:val="single" w:sz="8" w:space="0" w:color="47A843" w:themeColor="accent1"/&gt;&lt;/w:tcBorders&gt;&lt;/w:tcPr&gt;&lt;/w:tblStylePr&gt;&lt;/w:style&gt;&lt;w:style w:type="table" w:styleId="LightGrid-Accent2"&gt;&lt;w:name w:val="Light Grid Accent 2"/&gt;&lt;w:basedOn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w:color="B2D83A" w:themeColor="accent2"/&gt;&lt;w:left w:val="single" w:sz="8" w:space="0" w:color="B2D83A" w:themeColor="accent2"/&gt;&lt;w:bottom w:val="single" w:sz="8" w:space="0" w:color="B2D83A" w:themeColor="accent2"/&gt;&lt;w:right w:val="single" w:sz="8" w:space="0" w:color="B2D83A" w:themeColor="accent2"/&gt;&lt;w:insideH w:val="single" w:sz="8" w:space="0" w:color="B2D83A" w:themeColor="accent2"/&gt;&lt;w:insideV w:val="single" w:sz="8" w:space="0" w:color="B2D83A" w:themeColor="accent2"/&gt;&lt;/w:tblBorders&gt;&lt;/w:tblPr&gt;&lt;w:tblStylePr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w:color="B2D83A" w:themeColor="accent2"/&gt;&lt;w:left w:val="single" w:sz="8" w:space="0" w:color="B2D83A" w:themeColor="accent2"/&gt;&lt;w:bottom w:val="single" w:sz="18" w:space="0" w:color="B2D83A" w:themeColor="accent2"/&gt;&lt;w:right w:val="single" w:sz="8" w:space="0" w:color="B2D83A" w:themeColor="accent2"/&gt;&lt;w:insideH w:val="nil"/&gt;&lt;w:insideV w:val="single" w:sz="8" w:space="0" w:color="B2D83A" w:themeColor="accent2"/&gt;&lt;/w:tcBorders&gt;&lt;/w:tcPr&gt;&lt;/w:tblStylePr&gt;&lt;w:tblStylePr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w:color="B2D83A" w:themeColor="accent2"/&gt;&lt;w:left w:val="single" w:sz="8" w:space="0" w:color="B2D83A" w:themeColor="accent2"/&gt;&lt;w:bottom w:val="single" w:sz="8" w:space="0" w:color="B2D83A" w:themeColor="accent2"/&gt;&lt;w:right w:val="single" w:sz="8" w:space="0" w:color="B2D83A" w:themeColor="accent2"/&gt;&lt;w:insideH w:val="nil"/&gt;&lt;w:insideV w:val="single" w:sz="8" w:space="0" w:color="B2D83A" w:themeColor="accent2"/&gt;&lt;/w:tcBorders&gt;&lt;/w:tcPr&gt;&lt;/w:tblStylePr&gt;&lt;w:tblStylePr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w:themeColor="accent2"/&gt;&lt;/w:tcBorders&gt;&lt;/w:tcPr&gt;&lt;/w:tblStylePr&gt;&lt;w:tblStylePr w:type="band1Vert"&gt;&lt;w:tblPr/&gt;&lt;w:tcPr&gt;&lt;w:tcBorders&gt;&lt;w:top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w:themeColor="accent2"/&gt;&lt;/w:tcBorders&gt;&lt;w:shd w:val="clear" w:color="auto" w:fill="EBF5CE" w:themeFill="accent2" w:themeFillTint="3F"/&gt;&lt;/w:tcPr&gt;&lt;/w:tblStylePr&gt;&lt;w:tblStylePr w:type="band1Horz"&gt;&lt;w:tblPr/&gt;&lt;w:tcPr&gt;&lt;w:tcBorders&gt;&lt;w:top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w:themeColor="accent2"/&gt;&lt;w:insideV w:val="single" w:sz="8" w:space="0" w:color="B2D83A" w:themeColor="accent2"/&gt;&lt;/w:tcBorders&gt;&lt;w:shd w:val="clear" w:color="auto" w:fill="EBF5CE" w:themeFill="accent2" w:themeFillTint="3F"/&gt;&lt;/w:tcPr&gt;&lt;/w:tblStylePr&gt;&lt;w:tblStylePr w:type="band2Horz"&gt;&lt;w:tblPr/&gt;&lt;w:tcPr&gt;&lt;w:tcBorders&gt;&lt;w:top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w:themeColor="accent2"/&gt;&lt;w:insideV w:val="single" w:sz="8" w:space="0" w:color="B2D83A" w:themeColor="accent2"/&gt;&lt;/w:tcBorders&gt;&lt;/w:tcPr&gt;&lt;/w:tblStylePr&gt;&lt;/w:style&gt;&lt;w:style w:type="table" w:styleId="LightGrid-Accent3"&gt;&lt;w:name w:val="Light Grid Accent 3"/&gt;&lt;w:basedOn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w:color="0066BE" w:themeColor="accent3"/&gt;&lt;w:left w:val="single" w:sz="8" w:space="0" w:color="0066BE" w:themeColor="accent3"/&gt;&lt;w:bottom w:val="single" w:sz="8" w:space="0" w:color="0066BE" w:themeColor="accent3"/&gt;&lt;w:right w:val="single" w:sz="8" w:space="0" w:color="0066BE" w:themeColor="accent3"/&gt;&lt;w:insideH w:val="single" w:sz="8" w:space="0" w:color="0066BE" w:themeColor="accent3"/&gt;&lt;w:insideV w:val="single" w:sz="8" w:space="0" w:color="0066BE" w:themeColor="accent3"/&gt;&lt;/w:tblBorders&gt;&lt;/w:tblPr&gt;&lt;w:tblStylePr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w:color="0066BE" w:themeColor="accent3"/&gt;&lt;w:left w:val="single" w:sz="8" w:space="0" w:color="0066BE" w:themeColor="accent3"/&gt;&lt;w:bottom w:val="single" w:sz="18" w:space="0" w:color="0066BE" w:themeColor="accent3"/&gt;&lt;w:right w:val="single" w:sz="8" w:space="0" w:color="0066BE" w:themeColor="accent3"/&gt;&lt;w:insideH w:val="nil"/&gt;&lt;w:insideV w:val="single" w:sz="8" w:space="0" w:color="0066BE" w:themeColor="accent3"/&gt;&lt;/w:tcBorders&gt;&lt;/w:tcPr&gt;&lt;/w:tblStylePr&gt;&lt;w:tblStylePr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w:color="0066BE" w:themeColor="accent3"/&gt;&lt;w:left w:val="single" w:sz="8" w:space="0" w:color="0066BE" w:themeColor="accent3"/&gt;&lt;w:bottom w:val="single" w:sz="8" w:space="0" w:color="0066BE" w:themeColor="accent3"/&gt;&lt;w:right w:val="single" w:sz="8" w:space="0" w:color="0066BE" w:themeColor="accent3"/&gt;&lt;w:insideH w:val="nil"/&gt;&lt;w:insideV w:val="single" w:sz="8" w:space="0" w:color="0066BE" w:themeColor="accent3"/&gt;&lt;/w:tcBorders&gt;&lt;/w:tcPr&gt;&lt;/w:tblStylePr&gt;&lt;w:tblStylePr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w:themeColor="accent3"/&gt;&lt;/w:tcBorders&gt;&lt;/w:tcPr&gt;&lt;/w:tblStylePr&gt;&lt;w:tblStylePr w:type="band1Vert"&gt;&lt;w:tblPr/&gt;&lt;w:tcPr&gt;&lt;w:tcBorders&gt;&lt;w:top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w:themeColor="accent3"/&gt;&lt;/w:tcBorders&gt;&lt;w:shd w:val="clear" w:color="auto" w:fill="AFD9FF" w:themeFill="accent3" w:themeFillTint="3F"/&gt;&lt;/w:tcPr&gt;&lt;/w:tblStylePr&gt;&lt;w:tblStylePr w:type="band1Horz"&gt;&lt;w:tblPr/&gt;&lt;w:tcPr&gt;&lt;w:tcBorders&gt;&lt;w:top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w:themeColor="accent3"/&gt;&lt;w:insideV w:val="single" w:sz="8" w:space="0" w:color="0066BE" w:themeColor="accent3"/&gt;&lt;/w:tcBorders&gt;&lt;w:shd w:val="clear" w:color="auto" w:fill="AFD9FF" w:themeFill="accent3" w:themeFillTint="3F"/&gt;&lt;/w:tcPr&gt;&lt;/w:tblStylePr&gt;&lt;w:tblStylePr w:type="band2Horz"&gt;&lt;w:tblPr/&gt;&lt;w:tcPr&gt;&lt;w:tcBorders&gt;&lt;w:top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w:themeColor="accent3"/&gt;&lt;w:insideV w:val="single" w:sz="8" w:space="0" w:color="0066BE" w:themeColor="accent3"/&gt;&lt;/w:tcBorders&gt;&lt;/w:tcPr&gt;&lt;/w:tblStylePr&gt;&lt;/w:style&gt;&lt;w:style w:type="table" w:styleId="LightGrid-Accent4"&gt;&lt;w:name w:val="Light Grid Accent 4"/&gt;&lt;w:basedOn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w:color="EC7023" w:themeColor="accent4"/&gt;&lt;w:left w:val="single" w:sz="8" w:space="0" w:color="EC7023" w:themeColor="accent4"/&gt;&lt;w:bottom w:val="single" w:sz="8" w:space="0" w:color="EC7023" w:themeColor="accent4"/&gt;&lt;w:right w:val="single" w:sz="8" w:space="0" w:color="EC7023" w:themeColor="accent4"/&gt;&lt;w:insideH w:val="single" w:sz="8" w:space="0" w:color="EC7023" w:themeColor="accent4"/&gt;&lt;w:insideV w:val="single" w:sz="8" w:space="0" w:color="EC7023" w:themeColor="accent4"/&gt;&lt;/w:tblBorders&gt;&lt;/w:tblPr&gt;&lt;w:tblStylePr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w:color="EC7023" w:themeColor="accent4"/&gt;&lt;w:left w:val="single" w:sz="8" w:space="0" w:color="EC7023" w:themeColor="accent4"/&gt;&lt;w:bottom w:val="single" w:sz="18" w:space="0" w:color="EC7023" w:themeColor="accent4"/&gt;&lt;w:right w:val="single" w:sz="8" w:space="0" w:color="EC7023" w:themeColor="accent4"/&gt;&lt;w:insideH w:val="nil"/&gt;&lt;w:insideV w:val="single" w:sz="8" w:space="0" w:color="EC7023" w:themeColor="accent4"/&gt;&lt;/w:tcBorders&gt;&lt;/w:tcPr&gt;&lt;/w:tblStylePr&gt;&lt;w:tblStylePr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w:color="EC7023" w:themeColor="accent4"/&gt;&lt;w:left w:val="single" w:sz="8" w:space="0" w:color="EC7023" w:themeColor="accent4"/&gt;&lt;w:bottom w:val="single" w:sz="8" w:space="0" w:color="EC7023" w:themeColor="accent4"/&gt;&lt;w:right w:val="single" w:sz="8" w:space="0" w:color="EC7023" w:themeColor="accent4"/&gt;&lt;w:insideH w:val="nil"/&gt;&lt;w:insideV w:val="single" w:sz="8" w:space="0" w:color="EC7023" w:themeColor="accent4"/&gt;&lt;/w:tcBorders&gt;&lt;/w:tcPr&gt;&lt;/w:tblStylePr&gt;&lt;w:tblStylePr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w:themeColor="accent4"/&gt;&lt;/w:tcBorders&gt;&lt;/w:tcPr&gt;&lt;/w:tblStylePr&gt;&lt;w:tblStylePr w:type="band1Vert"&gt;&lt;w:tblPr/&gt;&lt;w:tcPr&gt;&lt;w:tcBorders&gt;&lt;w:top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w:themeColor="accent4"/&gt;&lt;/w:tcBorders&gt;&lt;w:shd w:val="clear" w:color="auto" w:fill="FADBC8" w:themeFill="accent4" w:themeFillTint="3F"/&gt;&lt;/w:tcPr&gt;&lt;/w:tblStylePr&gt;&lt;w:tblStylePr w:type="band1Horz"&gt;&lt;w:tblPr/&gt;&lt;w:tcPr&gt;&lt;w:tcBorders&gt;&lt;w:top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w:themeColor="accent4"/&gt;&lt;w:insideV w:val="single" w:sz="8" w:space="0" w:color="EC7023" w:themeColor="accent4"/&gt;&lt;/w:tcBorders&gt;&lt;w:shd w:val="clear" w:color="auto" w:fill="FADBC8" w:themeFill="accent4" w:themeFillTint="3F"/&gt;&lt;/w:tcPr&gt;&lt;/w:tblStylePr&gt;&lt;w:tblStylePr w:type="band2Horz"&gt;&lt;w:tblPr/&gt;&lt;w:tcPr&gt;&lt;w:tcBorders&gt;&lt;w:top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w:themeColor="accent4"/&gt;&lt;w:insideV w:val="single" w:sz="8" w:space="0" w:color="EC7023" w:themeColor="accent4"/&gt;&lt;/w:tcBorders&gt;&lt;/w:tcPr&gt;&lt;/w:tblStylePr&gt;&lt;/w:style&gt;&lt;w:style w:type="table" w:styleId="LightGrid-Accent5"&gt;&lt;w:name w:val="Light Grid Accent 5"/&gt;&lt;w:basedOn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w:color="DF2A2A" w:themeColor="accent5"/&gt;&lt;w:left w:val="single" w:sz="8" w:space="0" w:color="DF2A2A" w:themeColor="accent5"/&gt;&lt;w:bottom w:val="single" w:sz="8" w:space="0" w:color="DF2A2A" w:themeColor="accent5"/&gt;&lt;w:right w:val="single" w:sz="8" w:space="0" w:color="DF2A2A" w:themeColor="accent5"/&gt;&lt;w:insideH w:val="single" w:sz="8" w:space="0" w:color="DF2A2A" w:themeColor="accent5"/&gt;&lt;w:insideV w:val="single" w:sz="8" w:space="0" w:color="DF2A2A" w:themeColor="accent5"/&gt;&lt;/w:tblBorders&gt;&lt;/w:tblPr&gt;&lt;w:tblStylePr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w:color="DF2A2A" w:themeColor="accent5"/&gt;&lt;w:left w:val="single" w:sz="8" w:space="0" w:color="DF2A2A" w:themeColor="accent5"/&gt;&lt;w:bottom w:val="single" w:sz="18" w:space="0" w:color="DF2A2A" w:themeColor="accent5"/&gt;&lt;w:right w:val="single" w:sz="8" w:space="0" w:color="DF2A2A" w:themeColor="accent5"/&gt;&lt;w:insideH w:val="nil"/&gt;&lt;w:insideV w:val="single" w:sz="8" w:space="0" w:color="DF2A2A" w:themeColor="accent5"/&gt;&lt;/w:tcBorders&gt;&lt;/w:tcPr&gt;&lt;/w:tblStylePr&gt;&lt;w:tblStylePr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w:color="DF2A2A" w:themeColor="accent5"/&gt;&lt;w:left w:val="single" w:sz="8" w:space="0" w:color="DF2A2A" w:themeColor="accent5"/&gt;&lt;w:bottom w:val="single" w:sz="8" w:space="0" w:color="DF2A2A" w:themeColor="accent5"/&gt;&lt;w:right w:val="single" w:sz="8" w:space="0" w:color="DF2A2A" w:themeColor="accent5"/&gt;&lt;w:insideH w:val="nil"/&gt;&lt;w:insideV w:val="single" w:sz="8" w:space="0" w:color="DF2A2A" w:themeColor="accent5"/&gt;&lt;/w:tcBorders&gt;&lt;/w:tcPr&gt;&lt;/w:tblStylePr&gt;&lt;w:tblStylePr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w:themeColor="accent5"/&gt;&lt;/w:tcBorders&gt;&lt;/w:tcPr&gt;&lt;/w:tblStylePr&gt;&lt;w:tblStylePr w:type="band1Vert"&gt;&lt;w:tblPr/&gt;&lt;w:tcPr&gt;&lt;w:tcBorders&gt;&lt;w:top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w:themeColor="accent5"/&gt;&lt;/w:tcBorders&gt;&lt;w:shd w:val="clear" w:color="auto" w:fill="F7CACA" w:themeFill="accent5" w:themeFillTint="3F"/&gt;&lt;/w:tcPr&gt;&lt;/w:tblStylePr&gt;&lt;w:tblStylePr w:type="band1Horz"&gt;&lt;w:tblPr/&gt;&lt;w:tcPr&gt;&lt;w:tcBorders&gt;&lt;w:top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w:themeColor="accent5"/&gt;&lt;w:insideV w:val="single" w:sz="8" w:space="0" w:color="DF2A2A" w:themeColor="accent5"/&gt;&lt;/w:tcBorders&gt;&lt;w:shd w:val="clear" w:color="auto" w:fill="F7CACA" w:themeFill="accent5" w:themeFillTint="3F"/&gt;&lt;/w:tcPr&gt;&lt;/w:tblStylePr&gt;&lt;w:tblStylePr w:type="band2Horz"&gt;&lt;w:tblPr/&gt;&lt;w:tcPr&gt;&lt;w:tcBorders&gt;&lt;w:top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w:themeColor="accent5"/&gt;&lt;w:insideV w:val="single" w:sz="8" w:space="0" w:color="DF2A2A" w:themeColor="accent5"/&gt;&lt;/w:tcBorders&gt;&lt;/w:tcPr&gt;&lt;/w:tblStylePr&gt;&lt;/w:style&gt;&lt;w:style w:type="table" w:styleId="LightGrid-Accent6"&gt;&lt;w:name w:val="Light Grid Accent 6"/&gt;&lt;w:basedOn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w:color="4D3097" w:themeColor="accent6"/&gt;&lt;w:left w:val="single" w:sz="8" w:space="0" w:color="4D3097" w:themeColor="accent6"/&gt;&lt;w:bottom w:val="single" w:sz="8" w:space="0" w:color="4D3097" w:themeColor="accent6"/&gt;&lt;w:right w:val="single" w:sz="8" w:space="0" w:color="4D3097" w:themeColor="accent6"/&gt;&lt;w:insideH w:val="single" w:sz="8" w:space="0" w:color="4D3097" w:themeColor="accent6"/&gt;&lt;w:insideV w:val="single" w:sz="8" w:space="0" w:color="4D3097" w:themeColor="accent6"/&gt;&lt;/w:tblBorders&gt;&lt;/w:tblPr&gt;&lt;w:tblStylePr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w:color="4D3097" w:themeColor="accent6"/&gt;&lt;w:left w:val="single" w:sz="8" w:space="0" w:color="4D3097" w:themeColor="accent6"/&gt;&lt;w:bottom w:val="single" w:sz="18" w:space="0" w:color="4D3097" w:themeColor="accent6"/&gt;&lt;w:right w:val="single" w:sz="8" w:space="0" w:color="4D3097" w:themeColor="accent6"/&gt;&lt;w:insideH w:val="nil"/&gt;&lt;w:insideV w:val="single" w:sz="8" w:space="0" w:color="4D3097" w:themeColor="accent6"/&gt;&lt;/w:tcBorders&gt;&lt;/w:tcPr&gt;&lt;/w:tblStylePr&gt;&lt;w:tblStylePr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w:color="4D3097" w:themeColor="accent6"/&gt;&lt;w:left w:val="single" w:sz="8" w:space="0" w:color="4D3097" w:themeColor="accent6"/&gt;&lt;w:bottom w:val="single" w:sz="8" w:space="0" w:color="4D3097" w:themeColor="accent6"/&gt;&lt;w:right w:val="single" w:sz="8" w:space="0" w:color="4D3097" w:themeColor="accent6"/&gt;&lt;w:insideH w:val="nil"/&gt;&lt;w:insideV w:val="single" w:sz="8" w:space="0" w:color="4D3097" w:themeColor="accent6"/&gt;&lt;/w:tcBorders&gt;&lt;/w:tcPr&gt;&lt;/w:tblStylePr&gt;&lt;w:tblStylePr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w:themeColor="accent6"/&gt;&lt;/w:tcBorders&gt;&lt;/w:tcPr&gt;&lt;/w:tblStylePr&gt;&lt;w:tblStylePr w:type="band1Vert"&gt;&lt;w:tblPr/&gt;&lt;w:tcPr&gt;&lt;w:tcBorders&gt;&lt;w:top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w:themeColor="accent6"/&gt;&lt;/w:tcBorders&gt;&lt;w:shd w:val="clear" w:color="auto" w:fill="CFC4EC" w:themeFill="accent6" w:themeFillTint="3F"/&gt;&lt;/w:tcPr&gt;&lt;/w:tblStylePr&gt;&lt;w:tblStylePr w:type="band1Horz"&gt;&lt;w:tblPr/&gt;&lt;w:tcPr&gt;&lt;w:tcBorders&gt;&lt;w:top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w:themeColor="accent6"/&gt;&lt;w:insideV w:val="single" w:sz="8" w:space="0" w:color="4D3097" w:themeColor="accent6"/&gt;&lt;/w:tcBorders&gt;&lt;w:shd w:val="clear" w:color="auto" w:fill="CFC4EC" w:themeFill="accent6" w:themeFillTint="3F"/&gt;&lt;/w:tcPr&gt;&lt;/w:tblStylePr&gt;&lt;w:tblStylePr w:type="band2Horz"&gt;&lt;w:tblPr/&gt;&lt;w:tcPr&gt;&lt;w:tcBorders&gt;&lt;w:top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w:themeColor="accent6"/&gt;&lt;w:insideV w:val="single" w:sz="8" w:space="0" w:color="4D3097" w:themeColor="accent6"/&gt;&lt;/w:tcBorders&gt;&lt;/w:tcPr&gt;&lt;/w:tblStylePr&gt;&lt;/w:style&gt;&lt;w:style w:type="table" w:styleId="LightList"&gt;&lt;w:name w:val="Light List"/&gt;&lt;w:basedOn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w:type="firstRow"&gt;&lt;w:pPr&gt;&lt;w:spacing w:before="0" w:after="0" w:line="240" w:lineRule="auto"/&gt;&lt;/w:pPr&gt;&lt;w:rPr&gt;&lt;w:b/&gt;&lt;w:bCs/&gt;&lt;w:color w:val="FFFFFF" w:themeColor="background1"/&gt;&lt;/w:rPr&gt;&lt;w:tblPr/&gt;&lt;w:tcPr&gt;&lt;w:shd w:val="clear" w:color="auto" w:fill="000000" w:themeFill="text1"/&gt;&lt;/w:tcPr&gt;&lt;/w:tblStylePr&gt;&lt;w:tblStylePr w:type="lastRow"&gt;&lt;w:pPr&gt;&lt;w:spacing w:before="0" w:after="0" w:line="240" w:lineRule="auto"/&gt;&lt;/w:pPr&gt;&lt;w:rPr&gt;&lt;w:b/&gt;&lt;w:bCs/&gt;&lt;/w:rPr&gt;&lt;w:tblPr/&gt;&lt;w:tcPr&gt;&lt;w:tcBorders&gt;&lt;w:top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w:themeColor="text1"/&gt;&lt;/w:tcBorders&gt;&lt;/w:tcPr&gt;&lt;/w:tblStylePr&gt;&lt;/w:style&gt;&lt;w:style w:type="table" w:styleId="LightList-Accent1"&gt;&lt;w:name w:val="Light List Accent 1"/&gt;&lt;w:basedOn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w:color="47A843" w:themeColor="accent1"/&gt;&lt;w:left w:val="single" w:sz="8" w:space="0" w:color="47A843" w:themeColor="accent1"/&gt;&lt;w:bottom w:val="single" w:sz="8" w:space="0" w:color="47A843" w:themeColor="accent1"/&gt;&lt;w:right w:val="single" w:sz="8" w:space="0" w:color="47A843" w:themeColor="accent1"/&gt;&lt;/w:tblBorders&gt;&lt;/w:tblPr&gt;&lt;w:tblStylePr w:type="firstRow"&gt;&lt;w:pPr&gt;&lt;w:spacing w:before="0" w:after="0" w:line="240" w:lineRule="auto"/&gt;&lt;/w:pPr&gt;&lt;w:rPr&gt;&lt;w:b/&gt;&lt;w:bCs/&gt;&lt;w:color w:val="FFFFFF" w:themeColor="background1"/&gt;&lt;/w:rPr&gt;&lt;w:tblPr/&gt;&lt;w:tcPr&gt;&lt;w:shd w:val="clear" w:color="auto" w:fill="47A843" w:themeFill="accent1"/&gt;&lt;/w:tcPr&gt;&lt;/w:tblStylePr&gt;&lt;w:tblStylePr w:type="lastRow"&gt;&lt;w:pPr&gt;&lt;w:spacing w:before="0" w:after="0" w:line="240" w:lineRule="auto"/&gt;&lt;/w:pPr&gt;&lt;w:rPr&gt;&lt;w:b/&gt;&lt;w:bCs/&gt;&lt;/w:rPr&gt;&lt;w:tblPr/&gt;&lt;w:tcPr&gt;&lt;w:tcBorders&gt;&lt;w:top w:val="double" w:sz="6" w:space="0" w:color="47A843" w:themeColor="accent1"/&gt;&lt;w:left w:val="single" w:sz="8" w:space="0" w:color="47A843" w:themeColor="accent1"/&gt;&lt;w:bottom w:val="single" w:sz="8" w:space="0" w:color="47A843" w:themeColor="accent1"/&gt;&lt;w:right w:val="single" w:sz="8" w:space="0" w:color="47A843" w:themeColor="accent1"/&gt;&lt;/w:tcBorders&gt;&lt;/w:tcPr&gt;&lt;/w:tblStylePr&gt;&lt;w:tblStylePr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w:themeColor="accent1"/&gt;&lt;/w:tcBorders&gt;&lt;/w:tcPr&gt;&lt;/w:tblStylePr&gt;&lt;w:tblStylePr w:type="band1Horz"&gt;&lt;w:tblPr/&gt;&lt;w:tcPr&gt;&lt;w:tcBorders&gt;&lt;w:top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w:themeColor="accent1"/&gt;&lt;/w:tcBorders&gt;&lt;/w:tcPr&gt;&lt;/w:tblStylePr&gt;&lt;/w:style&gt;&lt;w:style w:type="table" w:styleId="LightList-Accent2"&gt;&lt;w:name w:val="Light List Accent 2"/&gt;&lt;w:basedOn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w:color="B2D83A" w:themeColor="accent2"/&gt;&lt;w:left w:val="single" w:sz="8" w:space="0" w:color="B2D83A" w:themeColor="accent2"/&gt;&lt;w:bottom w:val="single" w:sz="8" w:space="0" w:color="B2D83A" w:themeColor="accent2"/&gt;&lt;w:right w:val="single" w:sz="8" w:space="0" w:color="B2D83A" w:themeColor="accent2"/&gt;&lt;/w:tblBorders&gt;&lt;/w:tblPr&gt;&lt;w:tblStylePr w:type="firstRow"&gt;&lt;w:pPr&gt;&lt;w:spacing w:before="0" w:after="0" w:line="240" w:lineRule="auto"/&gt;&lt;/w:pPr&gt;&lt;w:rPr&gt;&lt;w:b/&gt;&lt;w:bCs/&gt;&lt;w:color w:val="FFFFFF" w:themeColor="background1"/&gt;&lt;/w:rPr&gt;&lt;w:tblPr/&gt;&lt;w:tcPr&gt;&lt;w:shd w:val="clear" w:color="auto" w:fill="B2D83A" w:themeFill="accent2"/&gt;&lt;/w:tcPr&gt;&lt;/w:tblStylePr&gt;&lt;w:tblStylePr w:type="lastRow"&gt;&lt;w:pPr&gt;&lt;w:spacing w:before="0" w:after="0" w:line="240" w:lineRule="auto"/&gt;&lt;/w:pPr&gt;&lt;w:rPr&gt;&lt;w:b/&gt;&lt;w:bCs/&gt;&lt;/w:rPr&gt;&lt;w:tblPr/&gt;&lt;w:tcPr&gt;&lt;w:tcBorders&gt;&lt;w:top w:val="double" w:sz="6" w:space="0" w:color="B2D83A" w:themeColor="accent2"/&gt;&lt;w:left w:val="single" w:sz="8" w:space="0" w:color="B2D83A" w:themeColor="accent2"/&gt;&lt;w:bottom w:val="single" w:sz="8" w:space="0" w:color="B2D83A" w:themeColor="accent2"/&gt;&lt;w:right w:val="single" w:sz="8" w:space="0" w:color="B2D83A" w:themeColor="accent2"/&gt;&lt;/w:tcBorders&gt;&lt;/w:tcPr&gt;&lt;/w:tblStylePr&gt;&lt;w:tblStylePr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w:themeColor="accent2"/&gt;&lt;/w:tcBorders&gt;&lt;/w:tcPr&gt;&lt;/w:tblStylePr&gt;&lt;w:tblStylePr w:type="band1Horz"&gt;&lt;w:tblPr/&gt;&lt;w:tcPr&gt;&lt;w:tcBorders&gt;&lt;w:top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w:themeColor="accent2"/&gt;&lt;/w:tcBorders&gt;&lt;/w:tcPr&gt;&lt;/w:tblStylePr&gt;&lt;/w:style&gt;&lt;w:style w:type="table" w:styleId="LightList-Accent3"&gt;&lt;w:name w:val="Light List Accent 3"/&gt;&lt;w:basedOn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w:color="0066BE" w:themeColor="accent3"/&gt;&lt;w:left w:val="single" w:sz="8" w:space="0" w:color="0066BE" w:themeColor="accent3"/&gt;&lt;w:bottom w:val="single" w:sz="8" w:space="0" w:color="0066BE" w:themeColor="accent3"/&gt;&lt;w:right w:val="single" w:sz="8" w:space="0" w:color="0066BE" w:themeColor="accent3"/&gt;&lt;/w:tblBorders&gt;&lt;/w:tblPr&gt;&lt;w:tblStylePr w:type="firstRow"&gt;&lt;w:pPr&gt;&lt;w:spacing w:before="0" w:after="0" w:line="240" w:lineRule="auto"/&gt;&lt;/w:pPr&gt;&lt;w:rPr&gt;&lt;w:b/&gt;&lt;w:bCs/&gt;&lt;w:color w:val="FFFFFF" w:themeColor="background1"/&gt;&lt;/w:rPr&gt;&lt;w:tblPr/&gt;&lt;w:tcPr&gt;&lt;w:shd w:val="clear" w:color="auto" w:fill="0066BE" w:themeFill="accent3"/&gt;&lt;/w:tcPr&gt;&lt;/w:tblStylePr&gt;&lt;w:tblStylePr w:type="lastRow"&gt;&lt;w:pPr&gt;&lt;w:spacing w:before="0" w:after="0" w:line="240" w:lineRule="auto"/&gt;&lt;/w:pPr&gt;&lt;w:rPr&gt;&lt;w:b/&gt;&lt;w:bCs/&gt;&lt;/w:rPr&gt;&lt;w:tblPr/&gt;&lt;w:tcPr&gt;&lt;w:tcBorders&gt;&lt;w:top w:val="double" w:sz="6" w:space="0" w:color="0066BE" w:themeColor="accent3"/&gt;&lt;w:left w:val="single" w:sz="8" w:space="0" w:color="0066BE" w:themeColor="accent3"/&gt;&lt;w:bottom w:val="single" w:sz="8" w:space="0" w:color="0066BE" w:themeColor="accent3"/&gt;&lt;w:right w:val="single" w:sz="8" w:space="0" w:color="0066BE" w:themeColor="accent3"/&gt;&lt;/w:tcBorders&gt;&lt;/w:tcPr&gt;&lt;/w:tblStylePr&gt;&lt;w:tblStylePr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w:themeColor="accent3"/&gt;&lt;/w:tcBorders&gt;&lt;/w:tcPr&gt;&lt;/w:tblStylePr&gt;&lt;w:tblStylePr w:type="band1Horz"&gt;&lt;w:tblPr/&gt;&lt;w:tcPr&gt;&lt;w:tcBorders&gt;&lt;w:top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w:themeColor="accent3"/&gt;&lt;/w:tcBorders&gt;&lt;/w:tcPr&gt;&lt;/w:tblStylePr&gt;&lt;/w:style&gt;&lt;w:style w:type="table" w:styleId="LightList-Accent4"&gt;&lt;w:name w:val="Light List Accent 4"/&gt;&lt;w:basedOn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w:color="EC7023" w:themeColor="accent4"/&gt;&lt;w:left w:val="single" w:sz="8" w:space="0" w:color="EC7023" w:themeColor="accent4"/&gt;&lt;w:bottom w:val="single" w:sz="8" w:space="0" w:color="EC7023" w:themeColor="accent4"/&gt;&lt;w:right w:val="single" w:sz="8" w:space="0" w:color="EC7023" w:themeColor="accent4"/&gt;&lt;/w:tblBorders&gt;&lt;/w:tblPr&gt;&lt;w:tblStylePr w:type="firstRow"&gt;&lt;w:pPr&gt;&lt;w:spacing w:before="0" w:after="0" w:line="240" w:lineRule="auto"/&gt;&lt;/w:pPr&gt;&lt;w:rPr&gt;&lt;w:b/&gt;&lt;w:bCs/&gt;&lt;w:color w:val="FFFFFF" w:themeColor="background1"/&gt;&lt;/w:rPr&gt;&lt;w:tblPr/&gt;&lt;w:tcPr&gt;&lt;w:shd w:val="clear" w:color="auto" w:fill="EC7023" w:themeFill="accent4"/&gt;&lt;/w:tcPr&gt;&lt;/w:tblStylePr&gt;&lt;w:tblStylePr w:type="lastRow"&gt;&lt;w:pPr&gt;&lt;w:spacing w:before="0" w:after="0" w:line="240" w:lineRule="auto"/&gt;&lt;/w:pPr&gt;&lt;w:rPr&gt;&lt;w:b/&gt;&lt;w:bCs/&gt;&lt;/w:rPr&gt;&lt;w:tblPr/&gt;&lt;w:tcPr&gt;&lt;w:tcBorders&gt;&lt;w:top w:val="double" w:sz="6" w:space="0" w:color="EC7023" w:themeColor="accent4"/&gt;&lt;w:left w:val="single" w:sz="8" w:space="0" w:color="EC7023" w:themeColor="accent4"/&gt;&lt;w:bottom w:val="single" w:sz="8" w:space="0" w:color="EC7023" w:themeColor="accent4"/&gt;&lt;w:right w:val="single" w:sz="8" w:space="0" w:color="EC7023" w:themeColor="accent4"/&gt;&lt;/w:tcBorders&gt;&lt;/w:tcPr&gt;&lt;/w:tblStylePr&gt;&lt;w:tblStylePr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w:themeColor="accent4"/&gt;&lt;/w:tcBorders&gt;&lt;/w:tcPr&gt;&lt;/w:tblStylePr&gt;&lt;w:tblStylePr w:type="band1Horz"&gt;&lt;w:tblPr/&gt;&lt;w:tcPr&gt;&lt;w:tcBorders&gt;&lt;w:top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w:themeColor="accent4"/&gt;&lt;/w:tcBorders&gt;&lt;/w:tcPr&gt;&lt;/w:tblStylePr&gt;&lt;/w:style&gt;&lt;w:style w:type="table" w:styleId="LightList-Accent5"&gt;&lt;w:name w:val="Light List Accent 5"/&gt;&lt;w:basedOn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w:color="DF2A2A" w:themeColor="accent5"/&gt;&lt;w:left w:val="single" w:sz="8" w:space="0" w:color="DF2A2A" w:themeColor="accent5"/&gt;&lt;w:bottom w:val="single" w:sz="8" w:space="0" w:color="DF2A2A" w:themeColor="accent5"/&gt;&lt;w:right w:val="single" w:sz="8" w:space="0" w:color="DF2A2A" w:themeColor="accent5"/&gt;&lt;/w:tblBorders&gt;&lt;/w:tblPr&gt;&lt;w:tblStylePr w:type="firstRow"&gt;&lt;w:pPr&gt;&lt;w:spacing w:before="0" w:after="0" w:line="240" w:lineRule="auto"/&gt;&lt;/w:pPr&gt;&lt;w:rPr&gt;&lt;w:b/&gt;&lt;w:bCs/&gt;&lt;w:color w:val="FFFFFF" w:themeColor="background1"/&gt;&lt;/w:rPr&gt;&lt;w:tblPr/&gt;&lt;w:tcPr&gt;&lt;w:shd w:val="clear" w:color="auto" w:fill="DF2A2A" w:themeFill="accent5"/&gt;&lt;/w:tcPr&gt;&lt;/w:tblStylePr&gt;&lt;w:tblStylePr w:type="lastRow"&gt;&lt;w:pPr&gt;&lt;w:spacing w:before="0" w:after="0" w:line="240" w:lineRule="auto"/&gt;&lt;/w:pPr&gt;&lt;w:rPr&gt;&lt;w:b/&gt;&lt;w:bCs/&gt;&lt;/w:rPr&gt;&lt;w:tblPr/&gt;&lt;w:tcPr&gt;&lt;w:tcBorders&gt;&lt;w:top w:val="double" w:sz="6" w:space="0" w:color="DF2A2A" w:themeColor="accent5"/&gt;&lt;w:left w:val="single" w:sz="8" w:space="0" w:color="DF2A2A" w:themeColor="accent5"/&gt;&lt;w:bottom w:val="single" w:sz="8" w:space="0" w:color="DF2A2A" w:themeColor="accent5"/&gt;&lt;w:right w:val="single" w:sz="8" w:space="0" w:color="DF2A2A" w:themeColor="accent5"/&gt;&lt;/w:tcBorders&gt;&lt;/w:tcPr&gt;&lt;/w:tblStylePr&gt;&lt;w:tblStylePr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w:themeColor="accent5"/&gt;&lt;/w:tcBorders&gt;&lt;/w:tcPr&gt;&lt;/w:tblStylePr&gt;&lt;w:tblStylePr w:type="band1Horz"&gt;&lt;w:tblPr/&gt;&lt;w:tcPr&gt;&lt;w:tcBorders&gt;&lt;w:top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w:themeColor="accent5"/&gt;&lt;/w:tcBorders&gt;&lt;/w:tcPr&gt;&lt;/w:tblStylePr&gt;&lt;/w:style&gt;&lt;w:style w:type="table" w:styleId="LightList-Accent6"&gt;&lt;w:name w:val="Light List Accent 6"/&gt;&lt;w:basedOn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w:color="4D3097" w:themeColor="accent6"/&gt;&lt;w:left w:val="single" w:sz="8" w:space="0" w:color="4D3097" w:themeColor="accent6"/&gt;&lt;w:bottom w:val="single" w:sz="8" w:space="0" w:color="4D3097" w:themeColor="accent6"/&gt;&lt;w:right w:val="single" w:sz="8" w:space="0" w:color="4D3097" w:themeColor="accent6"/&gt;&lt;/w:tblBorders&gt;&lt;/w:tblPr&gt;&lt;w:tblStylePr w:type="firstRow"&gt;&lt;w:pPr&gt;&lt;w:spacing w:before="0" w:after="0" w:line="240" w:lineRule="auto"/&gt;&lt;/w:pPr&gt;&lt;w:rPr&gt;&lt;w:b/&gt;&lt;w:bCs/&gt;&lt;w:color w:val="FFFFFF" w:themeColor="background1"/&gt;&lt;/w:rPr&gt;&lt;w:tblPr/&gt;&lt;w:tcPr&gt;&lt;w:shd w:val="clear" w:color="auto" w:fill="4D3097" w:themeFill="accent6"/&gt;&lt;/w:tcPr&gt;&lt;/w:tblStylePr&gt;&lt;w:tblStylePr w:type="lastRow"&gt;&lt;w:pPr&gt;&lt;w:spacing w:before="0" w:after="0" w:line="240" w:lineRule="auto"/&gt;&lt;/w:pPr&gt;&lt;w:rPr&gt;&lt;w:b/&gt;&lt;w:bCs/&gt;&lt;/w:rPr&gt;&lt;w:tblPr/&gt;&lt;w:tcPr&gt;&lt;w:tcBorders&gt;&lt;w:top w:val="double" w:sz="6" w:space="0" w:color="4D3097" w:themeColor="accent6"/&gt;&lt;w:left w:val="single" w:sz="8" w:space="0" w:color="4D3097" w:themeColor="accent6"/&gt;&lt;w:bottom w:val="single" w:sz="8" w:space="0" w:color="4D3097" w:themeColor="accent6"/&gt;&lt;w:right w:val="single" w:sz="8" w:space="0" w:color="4D3097" w:themeColor="accent6"/&gt;&lt;/w:tcBorders&gt;&lt;/w:tcPr&gt;&lt;/w:tblStylePr&gt;&lt;w:tblStylePr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w:themeColor="accent6"/&gt;&lt;/w:tcBorders&gt;&lt;/w:tcPr&gt;&lt;/w:tblStylePr&gt;&lt;w:tblStylePr w:type="band1Horz"&gt;&lt;w:tblPr/&gt;&lt;w:tcPr&gt;&lt;w:tcBorders&gt;&lt;w:top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w:themeColor="accent6"/&gt;&lt;/w:tcBorders&gt;&lt;/w:tcPr&gt;&lt;/w:tblStylePr&gt;&lt;/w:style&gt;&lt;w:style w:type="table" w:styleId="LightShading"&gt;&lt;w:name w:val="Light Shading"/&gt;&lt;w:basedOn w:val="TableNormal"/&gt;&lt;w:uiPriority w:val="60"/&gt;&lt;w:semiHidden/&gt;&lt;w:unhideWhenUsed/&gt;&lt;w:locked/&gt;&lt;w:rsid w:val="00D30A58"/&gt;&lt;w:pPr&gt;&lt;w:spacing w:before="0" w:after="0" w:line="240" w:lineRule="auto"/&gt;&lt;/w:pPr&gt;&lt;w:rPr&gt;&lt;w:color w:val="000000" w:themeColor="text1" w:themeShade="BF"/&gt;&lt;/w:rPr&gt;&lt;w:tblPr&gt;&lt;w:tblStyleRowBandSize w:val="1"/&gt;&lt;w:tblStyleColBandSize w:val="1"/&gt;&lt;w:tblBorders&gt;&lt;w:top w:val="single" w:sz="8" w:space="0" w:color="000000" w:themeColor="text1"/&gt;&lt;w:bottom w:val="single" w:sz="8" w:space="0" w:color="000000" w:themeColor="text1"/&gt;&lt;/w:tblBorders&gt;&lt;/w:tblPr&gt;&lt;w:tblStylePr w:type="firstRow"&gt;&lt;w:pPr&gt;&lt;w:spacing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w:type="band1Horz"&gt;&lt;w:tblPr/&gt;&lt;w:tcPr&gt;&lt;w:tcBorders&gt;&lt;w:left w:val="nil"/&gt;&lt;w:right w:val="nil"/&gt;&lt;w:insideH w:val="nil"/&gt;&lt;w:insideV w:val="nil"/&gt;&lt;/w:tcBorders&gt;&lt;w:shd w:val="clear" w:color="auto" w:fill="C0C0C0" w:themeFill="text1" w:themeFillTint="3F"/&gt;&lt;/w:tcPr&gt;&lt;/w:tblStylePr&gt;&lt;/w:style&gt;&lt;w:style w:type="table" w:styleId="LightShading-Accent1"&gt;&lt;w:name w:val="Light Shading Accent 1"/&gt;&lt;w:basedOn w:val="TableNormal"/&gt;&lt;w:uiPriority w:val="60"/&gt;&lt;w:semiHidden/&gt;&lt;w:unhideWhenUsed/&gt;&lt;w:locked/&gt;&lt;w:rsid w:val="00D30A58"/&gt;&lt;w:pPr&gt;&lt;w:spacing w:before="0" w:after="0" w:line="240" w:lineRule="auto"/&gt;&lt;/w:pPr&gt;&lt;w:rPr&gt;&lt;w:color w:val="357D32" w:themeColor="accent1" w:themeShade="BF"/&gt;&lt;/w:rPr&gt;&lt;w:tblPr&gt;&lt;w:tblStyleRowBandSize w:val="1"/&gt;&lt;w:tblStyleColBandSize w:val="1"/&gt;&lt;w:tblBorders&gt;&lt;w:top w:val="single" w:sz="8" w:space="0" w:color="47A843" w:themeColor="accent1"/&gt;&lt;w:bottom w:val="single" w:sz="8" w:space="0" w:color="47A843" w:themeColor="accent1"/&gt;&lt;/w:tblBorders&gt;&lt;/w:tblPr&gt;&lt;w:tblStylePr w:type="firstRow"&gt;&lt;w:pPr&gt;&lt;w:spacing w:before="0" w:after="0" w:line="240" w:lineRule="auto"/&gt;&lt;/w:pPr&gt;&lt;w:rPr&gt;&lt;w:b/&gt;&lt;w:bCs/&gt;&lt;/w:rPr&gt;&lt;w:tblPr/&gt;&lt;w:tcPr&gt;&lt;w:tcBorders&gt;&lt;w:top w:val="single" w:sz="8" w:space="0" w:color="47A843" w:themeColor="accent1"/&gt;&lt;w:left w:val="nil"/&gt;&lt;w:bottom w:val="single" w:sz="8" w:space="0" w:color="47A843" w:themeColor="accent1"/&gt;&lt;w:right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w:color="47A843" w:themeColor="accent1"/&gt;&lt;w:left w:val="nil"/&gt;&lt;w:bottom w:val="single" w:sz="8" w:space="0" w:color="47A843" w:themeColor="accent1"/&gt;&lt;w:right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w:fill="CFEBCE" w:themeFill="accent1" w:themeFillTint="3F"/&gt;&lt;/w:tcPr&gt;&lt;/w:tblStylePr&gt;&lt;w:tblStylePr w:type="band1Horz"&gt;&lt;w:tblPr/&gt;&lt;w:tcPr&gt;&lt;w:tcBorders&gt;&lt;w:left w:val="nil"/&gt;&lt;w:right w:val="nil"/&gt;&lt;w:insideH w:val="nil"/&gt;&lt;w:insideV w:val="nil"/&gt;&lt;/w:tcBorders&gt;&lt;w:shd w:val="clear" w:color="auto" w:fill="CFEBCE" w:themeFill="accent1" w:themeFillTint="3F"/&gt;&lt;/w:tcPr&gt;&lt;/w:tblStylePr&gt;&lt;/w:style&gt;&lt;w:style w:type="table" w:styleId="LightShading-Accent2"&gt;&lt;w:name w:val="Light Shading Accent 2"/&gt;&lt;w:basedOn w:val="TableNormal"/&gt;&lt;w:uiPriority w:val="60"/&gt;&lt;w:semiHidden/&gt;&lt;w:unhideWhenUsed/&gt;&lt;w:locked/&gt;&lt;w:rsid w:val="00D30A58"/&gt;&lt;w:pPr&gt;&lt;w:spacing w:before="0" w:after="0" w:line="240" w:lineRule="auto"/&gt;&lt;/w:pPr&gt;&lt;w:rPr&gt;&lt;w:color w:val="89AB22" w:themeColor="accent2" w:themeShade="BF"/&gt;&lt;/w:rPr&gt;&lt;w:tblPr&gt;&lt;w:tblStyleRowBandSize w:val="1"/&gt;&lt;w:tblStyleColBandSize w:val="1"/&gt;&lt;w:tblBorders&gt;&lt;w:top w:val="single" w:sz="8" w:space="0" w:color="B2D83A" w:themeColor="accent2"/&gt;&lt;w:bottom w:val="single" w:sz="8" w:space="0" w:color="B2D83A" w:themeColor="accent2"/&gt;&lt;/w:tblBorders&gt;&lt;/w:tblPr&gt;&lt;w:tblStylePr w:type="firstRow"&gt;&lt;w:pPr&gt;&lt;w:spacing w:before="0" w:after="0" w:line="240" w:lineRule="auto"/&gt;&lt;/w:pPr&gt;&lt;w:rPr&gt;&lt;w:b/&gt;&lt;w:bCs/&gt;&lt;/w:rPr&gt;&lt;w:tblPr/&gt;&lt;w:tcPr&gt;&lt;w:tcBorders&gt;&lt;w:top w:val="single" w:sz="8" w:space="0" w:color="B2D83A" w:themeColor="accent2"/&gt;&lt;w:left w:val="nil"/&gt;&lt;w:bottom w:val="single" w:sz="8" w:space="0" w:color="B2D83A"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w:color="B2D83A" w:themeColor="accent2"/&gt;&lt;w:left w:val="nil"/&gt;&lt;w:bottom w:val="single" w:sz="8" w:space="0" w:color="B2D83A"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w:fill="EBF5CE" w:themeFill="accent2" w:themeFillTint="3F"/&gt;&lt;/w:tcPr&gt;&lt;/w:tblStylePr&gt;&lt;w:tblStylePr w:type="band1Horz"&gt;&lt;w:tblPr/&gt;&lt;w:tcPr&gt;&lt;w:tcBorders&gt;&lt;w:left w:val="nil"/&gt;&lt;w:right w:val="nil"/&gt;&lt;w:insideH w:val="nil"/&gt;&lt;w:insideV w:val="nil"/&gt;&lt;/w:tcBorders&gt;&lt;w:shd w:val="clear" w:color="auto" w:fill="EBF5CE" w:themeFill="accent2" w:themeFillTint="3F"/&gt;&lt;/w:tcPr&gt;&lt;/w:tblStylePr&gt;&lt;/w:style&gt;&lt;w:style w:type="table" w:styleId="LightShading-Accent3"&gt;&lt;w:name w:val="Light Shading Accent 3"/&gt;&lt;w:basedOn w:val="TableNormal"/&gt;&lt;w:uiPriority w:val="60"/&gt;&lt;w:semiHidden/&gt;&lt;w:unhideWhenUsed/&gt;&lt;w:locked/&gt;&lt;w:rsid w:val="00D30A58"/&gt;&lt;w:pPr&gt;&lt;w:spacing w:before="0" w:after="0" w:line="240" w:lineRule="auto"/&gt;&lt;/w:pPr&gt;&lt;w:rPr&gt;&lt;w:color w:val="004B8E" w:themeColor="accent3" w:themeShade="BF"/&gt;&lt;/w:rPr&gt;&lt;w:tblPr&gt;&lt;w:tblStyleRowBandSize w:val="1"/&gt;&lt;w:tblStyleColBandSize w:val="1"/&gt;&lt;w:tblBorders&gt;&lt;w:top w:val="single" w:sz="8" w:space="0" w:color="0066BE" w:themeColor="accent3"/&gt;&lt;w:bottom w:val="single" w:sz="8" w:space="0" w:color="0066BE" w:themeColor="accent3"/&gt;&lt;/w:tblBorders&gt;&lt;/w:tblPr&gt;&lt;w:tblStylePr w:type="firstRow"&gt;&lt;w:pPr&gt;&lt;w:spacing w:before="0" w:after="0" w:line="240" w:lineRule="auto"/&gt;&lt;/w:pPr&gt;&lt;w:rPr&gt;&lt;w:b/&gt;&lt;w:bCs/&gt;&lt;/w:rPr&gt;&lt;w:tblPr/&gt;&lt;w:tcPr&gt;&lt;w:tcBorders&gt;&lt;w:top w:val="single" w:sz="8" w:space="0" w:color="0066BE" w:themeColor="accent3"/&gt;&lt;w:left w:val="nil"/&gt;&lt;w:bottom w:val="single" w:sz="8" w:space="0" w:color="0066BE" w:themeColor="accent3"/&gt;&lt;w:right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w:color="0066BE" w:themeColor="accent3"/&gt;&lt;w:left w:val="nil"/&gt;&lt;w:bottom w:val="single" w:sz="8" w:space="0" w:color="0066BE" w:themeColor="accent3"/&gt;&lt;w:right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w:fill="AFD9FF" w:themeFill="accent3" w:themeFillTint="3F"/&gt;&lt;/w:tcPr&gt;&lt;/w:tblStylePr&gt;&lt;w:tblStylePr w:type="band1Horz"&gt;&lt;w:tblPr/&gt;&lt;w:tcPr&gt;&lt;w:tcBorders&gt;&lt;w:left w:val="nil"/&gt;&lt;w:right w:val="nil"/&gt;&lt;w:insideH w:val="nil"/&gt;&lt;w:insideV w:val="nil"/&gt;&lt;/w:tcBorders&gt;&lt;w:shd w:val="clear" w:color="auto" w:fill="AFD9FF" w:themeFill="accent3" w:themeFillTint="3F"/&gt;&lt;/w:tcPr&gt;&lt;/w:tblStylePr&gt;&lt;/w:style&gt;&lt;w:style w:type="table" w:styleId="LightShading-Accent4"&gt;&lt;w:name w:val="Light Shading Accent 4"/&gt;&lt;w:basedOn w:val="TableNormal"/&gt;&lt;w:uiPriority w:val="60"/&gt;&lt;w:semiHidden/&gt;&lt;w:unhideWhenUsed/&gt;&lt;w:locked/&gt;&lt;w:rsid w:val="00D30A58"/&gt;&lt;w:pPr&gt;&lt;w:spacing w:before="0" w:after="0" w:line="240" w:lineRule="auto"/&gt;&lt;/w:pPr&gt;&lt;w:rPr&gt;&lt;w:color w:val="BA5010" w:themeColor="accent4" w:themeShade="BF"/&gt;&lt;/w:rPr&gt;&lt;w:tblPr&gt;&lt;w:tblStyleRowBandSize w:val="1"/&gt;&lt;w:tblStyleColBandSize w:val="1"/&gt;&lt;w:tblBorders&gt;&lt;w:top w:val="single" w:sz="8" w:space="0" w:color="EC7023" w:themeColor="accent4"/&gt;&lt;w:bottom w:val="single" w:sz="8" w:space="0" w:color="EC7023" w:themeColor="accent4"/&gt;&lt;/w:tblBorders&gt;&lt;/w:tblPr&gt;&lt;w:tblStylePr w:type="firstRow"&gt;&lt;w:pPr&gt;&lt;w:spacing w:before="0" w:after="0" w:line="240" w:lineRule="auto"/&gt;&lt;/w:pPr&gt;&lt;w:rPr&gt;&lt;w:b/&gt;&lt;w:bCs/&gt;&lt;/w:rPr&gt;&lt;w:tblPr/&gt;&lt;w:tcPr&gt;&lt;w:tcBorders&gt;&lt;w:top w:val="single" w:sz="8" w:space="0" w:color="EC7023" w:themeColor="accent4"/&gt;&lt;w:left w:val="nil"/&gt;&lt;w:bottom w:val="single" w:sz="8" w:space="0" w:color="EC7023" w:themeColor="accent4"/&gt;&lt;w:right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w:color="EC7023" w:themeColor="accent4"/&gt;&lt;w:left w:val="nil"/&gt;&lt;w:bottom w:val="single" w:sz="8" w:space="0" w:color="EC7023" w:themeColor="accent4"/&gt;&lt;w:right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w:fill="FADBC8" w:themeFill="accent4" w:themeFillTint="3F"/&gt;&lt;/w:tcPr&gt;&lt;/w:tblStylePr&gt;&lt;w:tblStylePr w:type="band1Horz"&gt;&lt;w:tblPr/&gt;&lt;w:tcPr&gt;&lt;w:tcBorders&gt;&lt;w:left w:val="nil"/&gt;&lt;w:right w:val="nil"/&gt;&lt;w:insideH w:val="nil"/&gt;&lt;w:insideV w:val="nil"/&gt;&lt;/w:tcBorders&gt;&lt;w:shd w:val="clear" w:color="auto" w:fill="FADBC8" w:themeFill="accent4" w:themeFillTint="3F"/&gt;&lt;/w:tcPr&gt;&lt;/w:tblStylePr&gt;&lt;/w:style&gt;&lt;w:style w:type="table" w:styleId="LightShading-Accent5"&gt;&lt;w:name w:val="Light Shading Accent 5"/&gt;&lt;w:basedOn w:val="TableNormal"/&gt;&lt;w:uiPriority w:val="60"/&gt;&lt;w:semiHidden/&gt;&lt;w:unhideWhenUsed/&gt;&lt;w:locked/&gt;&lt;w:rsid w:val="00D30A58"/&gt;&lt;w:pPr&gt;&lt;w:spacing w:before="0" w:after="0" w:line="240" w:lineRule="auto"/&gt;&lt;/w:pPr&gt;&lt;w:rPr&gt;&lt;w:color w:val="AC1A1A" w:themeColor="accent5" w:themeShade="BF"/&gt;&lt;/w:rPr&gt;&lt;w:tblPr&gt;&lt;w:tblStyleRowBandSize w:val="1"/&gt;&lt;w:tblStyleColBandSize w:val="1"/&gt;&lt;w:tblBorders&gt;&lt;w:top w:val="single" w:sz="8" w:space="0" w:color="DF2A2A" w:themeColor="accent5"/&gt;&lt;w:bottom w:val="single" w:sz="8" w:space="0" w:color="DF2A2A" w:themeColor="accent5"/&gt;&lt;/w:tblBorders&gt;&lt;/w:tblPr&gt;&lt;w:tblStylePr w:type="firstRow"&gt;&lt;w:pPr&gt;&lt;w:spacing w:before="0" w:after="0" w:line="240" w:lineRule="auto"/&gt;&lt;/w:pPr&gt;&lt;w:rPr&gt;&lt;w:b/&gt;&lt;w:bCs/&gt;&lt;/w:rPr&gt;&lt;w:tblPr/&gt;&lt;w:tcPr&gt;&lt;w:tcBorders&gt;&lt;w:top w:val="single" w:sz="8" w:space="0" w:color="DF2A2A" w:themeColor="accent5"/&gt;&lt;w:left w:val="nil"/&gt;&lt;w:bottom w:val="single" w:sz="8" w:space="0" w:color="DF2A2A" w:themeColor="accent5"/&gt;&lt;w:right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w:color="DF2A2A" w:themeColor="accent5"/&gt;&lt;w:left w:val="nil"/&gt;&lt;w:bottom w:val="single" w:sz="8" w:space="0" w:color="DF2A2A" w:themeColor="accent5"/&gt;&lt;w:right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w:fill="F7CACA" w:themeFill="accent5" w:themeFillTint="3F"/&gt;&lt;/w:tcPr&gt;&lt;/w:tblStylePr&gt;&lt;w:tblStylePr w:type="band1Horz"&gt;&lt;w:tblPr/&gt;&lt;w:tcPr&gt;&lt;w:tcBorders&gt;&lt;w:left w:val="nil"/&gt;&lt;w:right w:val="nil"/&gt;&lt;w:insideH w:val="nil"/&gt;&lt;w:insideV w:val="nil"/&gt;&lt;/w:tcBorders&gt;&lt;w:shd w:val="clear" w:color="auto" w:fill="F7CACA" w:themeFill="accent5" w:themeFillTint="3F"/&gt;&lt;/w:tcPr&gt;&lt;/w:tblStylePr&gt;&lt;/w:style&gt;&lt;w:style w:type="table" w:styleId="LightShading-Accent6"&gt;&lt;w:name w:val="Light Shading Accent 6"/&gt;&lt;w:basedOn w:val="TableNormal"/&gt;&lt;w:uiPriority w:val="60"/&gt;&lt;w:semiHidden/&gt;&lt;w:unhideWhenUsed/&gt;&lt;w:locked/&gt;&lt;w:rsid w:val="00D30A58"/&gt;&lt;w:pPr&gt;&lt;w:spacing w:before="0" w:after="0" w:line="240" w:lineRule="auto"/&gt;&lt;/w:pPr&gt;&lt;w:rPr&gt;&lt;w:color w:val="392471" w:themeColor="accent6" w:themeShade="BF"/&gt;&lt;/w:rPr&gt;&lt;w:tblPr&gt;&lt;w:tblStyleRowBandSize w:val="1"/&gt;&lt;w:tblStyleColBandSize w:val="1"/&gt;&lt;w:tblBorders&gt;&lt;w:top w:val="single" w:sz="8" w:space="0" w:color="4D3097" w:themeColor="accent6"/&gt;&lt;w:bottom w:val="single" w:sz="8" w:space="0" w:color="4D3097" w:themeColor="accent6"/&gt;&lt;/w:tblBorders&gt;&lt;/w:tblPr&gt;&lt;w:tblStylePr w:type="firstRow"&gt;&lt;w:pPr&gt;&lt;w:spacing w:before="0" w:after="0" w:line="240" w:lineRule="auto"/&gt;&lt;/w:pPr&gt;&lt;w:rPr&gt;&lt;w:b/&gt;&lt;w:bCs/&gt;&lt;/w:rPr&gt;&lt;w:tblPr/&gt;&lt;w:tcPr&gt;&lt;w:tcBorders&gt;&lt;w:top w:val="single" w:sz="8" w:space="0" w:color="4D3097" w:themeColor="accent6"/&gt;&lt;w:left w:val="nil"/&gt;&lt;w:bottom w:val="single" w:sz="8" w:space="0" w:color="4D3097" w:themeColor="accent6"/&gt;&lt;w:right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w:color="4D3097" w:themeColor="accent6"/&gt;&lt;w:left w:val="nil"/&gt;&lt;w:bottom w:val="single" w:sz="8" w:space="0" w:color="4D3097" w:themeColor="accent6"/&gt;&lt;w:right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w:fill="CFC4EC" w:themeFill="accent6" w:themeFillTint="3F"/&gt;&lt;/w:tcPr&gt;&lt;/w:tblStylePr&gt;&lt;w:tblStylePr w:type="band1Horz"&gt;&lt;w:tblPr/&gt;&lt;w:tcPr&gt;&lt;w:tcBorders&gt;&lt;w:left w:val="nil"/&gt;&lt;w:right w:val="nil"/&gt;&lt;w:insideH w:val="nil"/&gt;&lt;w:insideV w:val="nil"/&gt;&lt;/w:tcBorders&gt;&lt;w:shd w:val="clear" w:color="auto" w:fill="CFC4EC" w:themeFill="accent6" w:themeFillTint="3F"/&gt;&lt;/w:tcPr&gt;&lt;/w:tblStylePr&gt;&lt;/w:style&gt;&lt;w:style w:type="character" w:styleId="LineNumber"&gt;&lt;w:name w:val="line number"/&gt;&lt;w:basedOn w:val="DefaultParagraphFont"/&gt;&lt;w:uiPriority w:val="99"/&gt;&lt;w:semiHidden/&gt;&lt;w:locked/&gt;&lt;w:rsid w:val="00D30A58"/&gt;&lt;/w:style&gt;&lt;w:style w:type="paragraph" w:styleId="List"&gt;&lt;w:name w:val="List"/&gt;&lt;w:basedOn w:val="Normal"/&gt;&lt;w:uiPriority w:val="99"/&gt;&lt;w:semiHidden/&gt;&lt;w:rsid w:val="00D30A58"/&gt;&lt;w:pPr&gt;&lt;w:ind w:left="283" w:hanging="283"/&gt;&lt;w:contextualSpacing/&gt;&lt;/w:pPr&gt;&lt;/w:style&gt;&lt;w:style w:type="paragraph" w:styleId="List2"&gt;&lt;w:name w:val="List 2"/&gt;&lt;w:basedOn w:val="Normal"/&gt;&lt;w:uiPriority w:val="99"/&gt;&lt;w:semiHidden/&gt;&lt;w:rsid w:val="00D30A58"/&gt;&lt;w:pPr&gt;&lt;w:ind w:left="566" w:hanging="283"/&gt;&lt;w:contextualSpacing/&gt;&lt;/w:pPr&gt;&lt;/w:style&gt;&lt;w:style w:type="paragraph" w:styleId="List3"&gt;&lt;w:name w:val="List 3"/&gt;&lt;w:basedOn w:val="Normal"/&gt;&lt;w:uiPriority w:val="99"/&gt;&lt;w:semiHidden/&gt;&lt;w:rsid w:val="00D30A58"/&gt;&lt;w:pPr&gt;&lt;w:ind w:left="849" w:hanging="283"/&gt;&lt;w:contextualSpacing/&gt;&lt;/w:pPr&gt;&lt;/w:style&gt;&lt;w:style w:type="paragraph" w:styleId="List4"&gt;&lt;w:name w:val="List 4"/&gt;&lt;w:basedOn w:val="Normal"/&gt;&lt;w:uiPriority w:val="99"/&gt;&lt;w:semiHidden/&gt;&lt;w:rsid w:val="00D30A58"/&gt;&lt;w:pPr&gt;&lt;w:ind w:left="1132" w:hanging="283"/&gt;&lt;w:contextualSpacing/&gt;&lt;/w:pPr&gt;&lt;/w:style&gt;&lt;w:style w:type="paragraph" w:styleId="List5"&gt;&lt;w:name w:val="List 5"/&gt;&lt;w:basedOn w:val="Normal"/&gt;&lt;w:uiPriority w:val="99"/&gt;&lt;w:semiHidden/&gt;&lt;w:rsid w:val="00D30A58"/&gt;&lt;w:pPr&gt;&lt;w:ind w:left="1415" w:hanging="283"/&gt;&lt;w:contextualSpacing/&gt;&lt;/w:pPr&gt;&lt;/w:style&gt;&lt;w:style w:type="paragraph" w:styleId="ListContinue3"&gt;&lt;w:name w:val="List Continue 3"/&gt;&lt;w:basedOn w:val="Normal"/&gt;&lt;w:uiPriority w:val="17"/&gt;&lt;w:semiHidden/&gt;&lt;w:rsid w:val="00D30A58"/&gt;&lt;w:pPr&gt;&lt;w:ind w:left="849"/&gt;&lt;w:contextualSpacing/&gt;&lt;/w:pPr&gt;&lt;/w:style&gt;&lt;w:style w:type="paragraph" w:styleId="ListContinue4"&gt;&lt;w:name w:val="List Continue 4"/&gt;&lt;w:basedOn w:val="Normal"/&gt;&lt;w:uiPriority w:val="17"/&gt;&lt;w:semiHidden/&gt;&lt;w:rsid w:val="00D30A58"/&gt;&lt;w:pPr&gt;&lt;w:ind w:left="1132"/&gt;&lt;w:contextualSpacing/&gt;&lt;/w:pPr&gt;&lt;/w:style&gt;&lt;w:style w:type="paragraph" w:styleId="ListContinue5"&gt;&lt;w:name w:val="List Continue 5"/&gt;&lt;w:basedOn w:val="Normal"/&gt;&lt;w:uiPriority w:val="17"/&gt;&lt;w:semiHidden/&gt;&lt;w:rsid w:val="00D30A58"/&gt;&lt;w:pPr&gt;&lt;w:ind w:left="1415"/&gt;&lt;w:contextualSpacing/&gt;&lt;/w:pPr&gt;&lt;/w:style&gt;&lt;w:style w:type="table" w:styleId="ListTable1Light"&gt;&lt;w:name w:val="List Table 1 Light"/&gt;&lt;w:basedOn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w:color="666666" w:themeColor="text1" w:themeTint="99"/&gt;&lt;/w:tcBorders&gt;&lt;/w:tcPr&gt;&lt;/w:tblStylePr&gt;&lt;w:tblStylePr w:type="lastRow"&gt;&lt;w:rPr&gt;&lt;w:b/&gt;&lt;w:bCs/&gt;&lt;/w:rPr&gt;&lt;w:tblPr/&gt;&lt;w:tcPr&gt;&lt;w:tcBorders&gt;&lt;w:top w:val="single"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w:styleId="ListTable1Light-Accent1"&gt;&lt;w:name w:val="List Table 1 Light Accent 1"/&gt;&lt;w:basedOn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w:color="8BD089" w:themeColor="accent1" w:themeTint="99"/&gt;&lt;/w:tcBorders&gt;&lt;/w:tcPr&gt;&lt;/w:tblStylePr&gt;&lt;w:tblStylePr w:type="lastRow"&gt;&lt;w:rPr&gt;&lt;w:b/&gt;&lt;w:bCs/&gt;&lt;/w:rPr&gt;&lt;w:tblPr/&gt;&lt;w:tcPr&gt;&lt;w:tcBorders&gt;&lt;w:top w:val="single" w:sz="4" w:space="0" w:color="8BD089"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w:styleId="ListTable1Light-Accent2"&gt;&lt;w:name w:val="List Table 1 Light Accent 2"/&gt;&lt;w:basedOn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w:color="D0E788" w:themeColor="accent2" w:themeTint="99"/&gt;&lt;/w:tcBorders&gt;&lt;/w:tcPr&gt;&lt;/w:tblStylePr&gt;&lt;w:tblStylePr w:type="lastRow"&gt;&lt;w:rPr&gt;&lt;w:b/&gt;&lt;w:bCs/&gt;&lt;/w:rPr&gt;&lt;w:tblPr/&gt;&lt;w:tcPr&gt;&lt;w:tcBorders&gt;&lt;w:top w:val="single" w:sz="4" w:space="0" w:color="D0E788"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w:styleId="ListTable1Light-Accent3"&gt;&lt;w:name w:val="List Table 1 Light Accent 3"/&gt;&lt;w:basedOn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w:color="3FA5FF" w:themeColor="accent3" w:themeTint="99"/&gt;&lt;/w:tcBorders&gt;&lt;/w:tcPr&gt;&lt;/w:tblStylePr&gt;&lt;w:tblStylePr w:type="lastRow"&gt;&lt;w:rPr&gt;&lt;w:b/&gt;&lt;w:bCs/&gt;&lt;/w:rPr&gt;&lt;w:tblPr/&gt;&lt;w:tcPr&gt;&lt;w:tcBorders&gt;&lt;w:top w:val="single" w:sz="4" w:space="0" w:color="3FA5FF"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w:styleId="ListTable1Light-Accent4"&gt;&lt;w:name w:val="List Table 1 Light Accent 4"/&gt;&lt;w:basedOn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w:color="F3A87A" w:themeColor="accent4" w:themeTint="99"/&gt;&lt;/w:tcBorders&gt;&lt;/w:tcPr&gt;&lt;/w:tblStylePr&gt;&lt;w:tblStylePr w:type="lastRow"&gt;&lt;w:rPr&gt;&lt;w:b/&gt;&lt;w:bCs/&gt;&lt;/w:rPr&gt;&lt;w:tblPr/&gt;&lt;w:tcPr&gt;&lt;w:tcBorders&gt;&lt;w:top w:val="single" w:sz="4" w:space="0" w:color="F3A87A"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w:styleId="ListTable1Light-Accent5"&gt;&lt;w:name w:val="List Table 1 Light Accent 5"/&gt;&lt;w:basedOn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w:color="EB7F7F" w:themeColor="accent5" w:themeTint="99"/&gt;&lt;/w:tcBorders&gt;&lt;/w:tcPr&gt;&lt;/w:tblStylePr&gt;&lt;w:tblStylePr w:type="lastRow"&gt;&lt;w:rPr&gt;&lt;w:b/&gt;&lt;w:bCs/&gt;&lt;/w:rPr&gt;&lt;w:tblPr/&gt;&lt;w:tcPr&gt;&lt;w:tcBorders&gt;&lt;w:top w:val="single" w:sz="4" w:space="0" w:color="EB7F7F"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w:styleId="ListTable1Light-Accent6"&gt;&lt;w:name w:val="List Table 1 Light Accent 6"/&gt;&lt;w:basedOn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w:color="8C71D2" w:themeColor="accent6" w:themeTint="99"/&gt;&lt;/w:tcBorders&gt;&lt;/w:tcPr&gt;&lt;/w:tblStylePr&gt;&lt;w:tblStylePr w:type="lastRow"&gt;&lt;w:rPr&gt;&lt;w:b/&gt;&lt;w:bCs/&gt;&lt;/w:rPr&gt;&lt;w:tblPr/&gt;&lt;w:tcPr&gt;&lt;w:tcBorders&gt;&lt;w:top w:val="single" w:sz="4" w:space="0" w:color="8C71D2"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w:styleId="ListTable2"&gt;&lt;w:name w:val="List Table 2"/&gt;&lt;w:basedOn w:val="TableNormal"/&gt;&lt;w:uiPriority w:val="47"/&gt;&lt;w:locked/&gt;&lt;w:rsid w:val="00D30A58"/&gt;&lt;w:pPr&gt;&lt;w:spacing w:after="0" w:line="240" w:lineRule="auto"/&gt;&lt;/w:pPr&gt;&lt;w:tblPr&gt;&lt;w:tblStyleRowBandSize w:val="1"/&gt;&lt;w:tblStyleColBandSize w:val="1"/&gt;&lt;w:tblBorders&gt;&lt;w:top w:val="single" w:sz="4" w:space="0" w:color="666666" w:themeColor="text1" w:themeTint="99"/&gt;&lt;w:bottom w:val="single" w:sz="4" w:space="0" w:color="666666" w:themeColor="text1" w:themeTint="99"/&gt;&lt;w:insideH w:val="single" w:sz="4" w:space="0" w:color="666666" w:themeColor="text1"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w:styleId="ListTable2-Accent1"&gt;&lt;w:name w:val="List Table 2 Accent 1"/&gt;&lt;w:basedOn w:val="TableNormal"/&gt;&lt;w:uiPriority w:val="47"/&gt;&lt;w:locked/&gt;&lt;w:rsid w:val="00D30A58"/&gt;&lt;w:pPr&gt;&lt;w:spacing w:after="0" w:line="240" w:lineRule="auto"/&gt;&lt;/w:pPr&gt;&lt;w:tblPr&gt;&lt;w:tblStyleRowBandSize w:val="1"/&gt;&lt;w:tblStyleColBandSize w:val="1"/&gt;&lt;w:tblBorders&gt;&lt;w:top w:val="single" w:sz="4" w:space="0" w:color="8BD089" w:themeColor="accent1" w:themeTint="99"/&gt;&lt;w:bottom w:val="single" w:sz="4" w:space="0" w:color="8BD089" w:themeColor="accent1" w:themeTint="99"/&gt;&lt;w:insideH w:val="single" w:sz="4" w:space="0" w:color="8BD089" w:themeColor="accent1"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w:styleId="ListTable2-Accent2"&gt;&lt;w:name w:val="List Table 2 Accent 2"/&gt;&lt;w:basedOn w:val="TableNormal"/&gt;&lt;w:uiPriority w:val="47"/&gt;&lt;w:locked/&gt;&lt;w:rsid w:val="00D30A58"/&gt;&lt;w:pPr&gt;&lt;w:spacing w:after="0" w:line="240" w:lineRule="auto"/&gt;&lt;/w:pPr&gt;&lt;w:tblPr&gt;&lt;w:tblStyleRowBandSize w:val="1"/&gt;&lt;w:tblStyleColBandSize w:val="1"/&gt;&lt;w:tblBorders&gt;&lt;w:top w:val="single" w:sz="4" w:space="0" w:color="D0E788" w:themeColor="accent2" w:themeTint="99"/&gt;&lt;w:bottom w:val="single" w:sz="4" w:space="0" w:color="D0E788" w:themeColor="accent2" w:themeTint="99"/&gt;&lt;w:insideH w:val="single" w:sz="4" w:space="0" w:color="D0E788" w:themeColor="accent2"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w:styleId="ListTable2-Accent3"&gt;&lt;w:name w:val="List Table 2 Accent 3"/&gt;&lt;w:basedOn w:val="TableNormal"/&gt;&lt;w:uiPriority w:val="47"/&gt;&lt;w:locked/&gt;&lt;w:rsid w:val="00D30A58"/&gt;&lt;w:pPr&gt;&lt;w:spacing w:after="0" w:line="240" w:lineRule="auto"/&gt;&lt;/w:pPr&gt;&lt;w:tblPr&gt;&lt;w:tblStyleRowBandSize w:val="1"/&gt;&lt;w:tblStyleColBandSize w:val="1"/&gt;&lt;w:tblBorders&gt;&lt;w:top w:val="single" w:sz="4" w:space="0" w:color="3FA5FF" w:themeColor="accent3" w:themeTint="99"/&gt;&lt;w:bottom w:val="single" w:sz="4" w:space="0" w:color="3FA5FF" w:themeColor="accent3" w:themeTint="99"/&gt;&lt;w:insideH w:val="single" w:sz="4" w:space="0" w:color="3FA5FF" w:themeColor="accent3"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w:styleId="ListTable2-Accent4"&gt;&lt;w:name w:val="List Table 2 Accent 4"/&gt;&lt;w:basedOn w:val="TableNormal"/&gt;&lt;w:uiPriority w:val="47"/&gt;&lt;w:locked/&gt;&lt;w:rsid w:val="00D30A58"/&gt;&lt;w:pPr&gt;&lt;w:spacing w:after="0" w:line="240" w:lineRule="auto"/&gt;&lt;/w:pPr&gt;&lt;w:tblPr&gt;&lt;w:tblStyleRowBandSize w:val="1"/&gt;&lt;w:tblStyleColBandSize w:val="1"/&gt;&lt;w:tblBorders&gt;&lt;w:top w:val="single" w:sz="4" w:space="0" w:color="F3A87A" w:themeColor="accent4" w:themeTint="99"/&gt;&lt;w:bottom w:val="single" w:sz="4" w:space="0" w:color="F3A87A" w:themeColor="accent4" w:themeTint="99"/&gt;&lt;w:insideH w:val="single" w:sz="4" w:space="0" w:color="F3A87A" w:themeColor="accent4"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w:styleId="ListTable2-Accent5"&gt;&lt;w:name w:val="List Table 2 Accent 5"/&gt;&lt;w:basedOn w:val="TableNormal"/&gt;&lt;w:uiPriority w:val="47"/&gt;&lt;w:locked/&gt;&lt;w:rsid w:val="00D30A58"/&gt;&lt;w:pPr&gt;&lt;w:spacing w:after="0" w:line="240" w:lineRule="auto"/&gt;&lt;/w:pPr&gt;&lt;w:tblPr&gt;&lt;w:tblStyleRowBandSize w:val="1"/&gt;&lt;w:tblStyleColBandSize w:val="1"/&gt;&lt;w:tblBorders&gt;&lt;w:top w:val="single" w:sz="4" w:space="0" w:color="EB7F7F" w:themeColor="accent5" w:themeTint="99"/&gt;&lt;w:bottom w:val="single" w:sz="4" w:space="0" w:color="EB7F7F" w:themeColor="accent5" w:themeTint="99"/&gt;&lt;w:insideH w:val="single" w:sz="4" w:space="0" w:color="EB7F7F" w:themeColor="accent5"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w:styleId="ListTable2-Accent6"&gt;&lt;w:name w:val="List Table 2 Accent 6"/&gt;&lt;w:basedOn w:val="TableNormal"/&gt;&lt;w:uiPriority w:val="47"/&gt;&lt;w:locked/&gt;&lt;w:rsid w:val="00D30A58"/&gt;&lt;w:pPr&gt;&lt;w:spacing w:after="0" w:line="240" w:lineRule="auto"/&gt;&lt;/w:pPr&gt;&lt;w:tblPr&gt;&lt;w:tblStyleRowBandSize w:val="1"/&gt;&lt;w:tblStyleColBandSize w:val="1"/&gt;&lt;w:tblBorders&gt;&lt;w:top w:val="single" w:sz="4" w:space="0" w:color="8C71D2" w:themeColor="accent6" w:themeTint="99"/&gt;&lt;w:bottom w:val="single" w:sz="4" w:space="0" w:color="8C71D2" w:themeColor="accent6" w:themeTint="99"/&gt;&lt;w:insideH w:val="single" w:sz="4" w:space="0" w:color="8C71D2" w:themeColor="accent6"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w:styleId="ListTable3"&gt;&lt;w:name w:val="List Table 3"/&gt;&lt;w:basedOn w:val="TableNormal"/&gt;&lt;w:uiPriority w:val="48"/&gt;&lt;w:locked/&gt;&lt;w:rsid w:val="00D30A58"/&gt;&lt;w:pPr&gt;&lt;w:spacing w:after="0" w:line="240" w:lineRule="auto"/&gt;&lt;/w:pPr&gt;&lt;w:tblPr&gt;&lt;w:tblStyleRowBandSize w:val="1"/&gt;&lt;w:tblStyleColBandSize w:val="1"/&gt;&lt;w:tblBorders&gt;&lt;w:top w:val="single" w:sz="4" w:space="0" w:color="000000" w:themeColor="text1"/&gt;&lt;w:left w:val="single" w:sz="4" w:space="0" w:color="000000" w:themeColor="text1"/&gt;&lt;w:bottom w:val="single" w:sz="4" w:space="0" w:color="000000" w:themeColor="text1"/&gt;&lt;w:right w:val="single" w:sz="4" w:space="0" w:color="000000" w:themeColor="text1"/&gt;&lt;/w:tblBorders&gt;&lt;/w:tblPr&gt;&lt;w:tblStylePr w:type="firstRow"&gt;&lt;w:rPr&gt;&lt;w:b/&gt;&lt;w:bCs/&gt;&lt;w:color w:val="FFFFFF" w:themeColor="background1"/&gt;&lt;/w:rPr&gt;&lt;w:tblPr/&gt;&lt;w:tcPr&gt;&lt;w:shd w:val="clear" w:color="auto" w:fill="000000" w:themeFill="text1"/&gt;&lt;/w:tcPr&gt;&lt;/w:tblStylePr&gt;&lt;w:tblStylePr w:type="lastRow"&gt;&lt;w:rPr&gt;&lt;w:b/&gt;&lt;w:bCs/&gt;&lt;/w:rPr&gt;&lt;w:tblPr/&gt;&lt;w:tcPr&gt;&lt;w:tcBorders&gt;&lt;w:top w:val="double" w:sz="4" w:space="0" w:color="000000" w:themeColor="text1"/&gt;&lt;/w:tcBorders&gt;&lt;w:shd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w:color="000000" w:themeColor="text1"/&gt;&lt;w:right w:val="single" w:sz="4" w:space="0" w:color="000000" w:themeColor="text1"/&gt;&lt;/w:tcBorders&gt;&lt;/w:tcPr&gt;&lt;/w:tblStylePr&gt;&lt;w:tblStylePr w:type="band1Horz"&gt;&lt;w:tblPr/&gt;&lt;w:tcPr&gt;&lt;w:tcBorders&gt;&lt;w:top w:val="single" w:sz="4" w:space="0" w:color="000000" w:themeColor="text1"/&gt;&lt;w:bottom w:val="single" w:sz="4" w:space="0" w:color="000000" w:themeColor="text1"/&gt;&lt;w:insideH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w:color="000000" w:themeColor="text1"/&gt;&lt;w:left w:val="nil"/&gt;&lt;/w:tcBorders&gt;&lt;/w:tcPr&gt;&lt;/w:tblStylePr&gt;&lt;w:tblStylePr w:type="swCell"&gt;&lt;w:tblPr/&gt;&lt;w:tcPr&gt;&lt;w:tcBorders&gt;&lt;w:top w:val="double" w:sz="4" w:space="0" w:color="000000" w:themeColor="text1"/&gt;&lt;w:right w:val="nil"/&gt;&lt;/w:tcBorders&gt;&lt;/w:tcPr&gt;&lt;/w:tblStylePr&gt;&lt;/w:style&gt;&lt;w:style w:type="table" w:styleId="ListTable3-Accent1"&gt;&lt;w:name w:val="List Table 3 Accent 1"/&gt;&lt;w:basedOn w:val="TableNormal"/&gt;&lt;w:uiPriority w:val="48"/&gt;&lt;w:locked/&gt;&lt;w:rsid w:val="00D30A58"/&gt;&lt;w:pPr&gt;&lt;w:spacing w:after="0" w:line="240" w:lineRule="auto"/&gt;&lt;/w:pPr&gt;&lt;w:tblPr&gt;&lt;w:tblStyleRowBandSize w:val="1"/&gt;&lt;w:tblStyleColBandSize w:val="1"/&gt;&lt;w:tblBorders&gt;&lt;w:top w:val="single" w:sz="4" w:space="0" w:color="47A843" w:themeColor="accent1"/&gt;&lt;w:left w:val="single" w:sz="4" w:space="0" w:color="47A843" w:themeColor="accent1"/&gt;&lt;w:bottom w:val="single" w:sz="4" w:space="0" w:color="47A843" w:themeColor="accent1"/&gt;&lt;w:right w:val="single" w:sz="4" w:space="0" w:color="47A843" w:themeColor="accent1"/&gt;&lt;/w:tblBorders&gt;&lt;/w:tblPr&gt;&lt;w:tblStylePr w:type="firstRow"&gt;&lt;w:rPr&gt;&lt;w:b/&gt;&lt;w:bCs/&gt;&lt;w:color w:val="FFFFFF" w:themeColor="background1"/&gt;&lt;/w:rPr&gt;&lt;w:tblPr/&gt;&lt;w:tcPr&gt;&lt;w:shd w:val="clear" w:color="auto" w:fill="47A843" w:themeFill="accent1"/&gt;&lt;/w:tcPr&gt;&lt;/w:tblStylePr&gt;&lt;w:tblStylePr w:type="lastRow"&gt;&lt;w:rPr&gt;&lt;w:b/&gt;&lt;w:bCs/&gt;&lt;/w:rPr&gt;&lt;w:tblPr/&gt;&lt;w:tcPr&gt;&lt;w:tcBorders&gt;&lt;w:top w:val="double" w:sz="4" w:space="0" w:color="47A843" w:themeColor="accent1"/&gt;&lt;/w:tcBorders&gt;&lt;w:shd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w:color="47A843" w:themeColor="accent1"/&gt;&lt;w:right w:val="single" w:sz="4" w:space="0" w:color="47A843" w:themeColor="accent1"/&gt;&lt;/w:tcBorders&gt;&lt;/w:tcPr&gt;&lt;/w:tblStylePr&gt;&lt;w:tblStylePr w:type="band1Horz"&gt;&lt;w:tblPr/&gt;&lt;w:tcPr&gt;&lt;w:tcBorders&gt;&lt;w:top w:val="single" w:sz="4" w:space="0" w:color="47A843" w:themeColor="accent1"/&gt;&lt;w:bottom w:val="single" w:sz="4" w:space="0" w:color="47A843" w:themeColor="accent1"/&gt;&lt;w:insideH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w:color="47A843" w:themeColor="accent1"/&gt;&lt;w:left w:val="nil"/&gt;&lt;/w:tcBorders&gt;&lt;/w:tcPr&gt;&lt;/w:tblStylePr&gt;&lt;w:tblStylePr w:type="swCell"&gt;&lt;w:tblPr/&gt;&lt;w:tcPr&gt;&lt;w:tcBorders&gt;&lt;w:top w:val="double" w:sz="4" w:space="0" w:color="47A843" w:themeColor="accent1"/&gt;&lt;w:right w:val="nil"/&gt;&lt;/w:tcBorders&gt;&lt;/w:tcPr&gt;&lt;/w:tblStylePr&gt;&lt;/w:style&gt;&lt;w:style w:type="table" w:styleId="ListTable3-Accent2"&gt;&lt;w:name w:val="List Table 3 Accent 2"/&gt;&lt;w:basedOn w:val="TableNormal"/&gt;&lt;w:uiPriority w:val="48"/&gt;&lt;w:locked/&gt;&lt;w:rsid w:val="00D30A58"/&gt;&lt;w:pPr&gt;&lt;w:spacing w:after="0" w:line="240" w:lineRule="auto"/&gt;&lt;/w:pPr&gt;&lt;w:tblPr&gt;&lt;w:tblStyleRowBandSize w:val="1"/&gt;&lt;w:tblStyleColBandSize w:val="1"/&gt;&lt;w:tblBorders&gt;&lt;w:top w:val="single" w:sz="4" w:space="0" w:color="B2D83A" w:themeColor="accent2"/&gt;&lt;w:left w:val="single" w:sz="4" w:space="0" w:color="B2D83A" w:themeColor="accent2"/&gt;&lt;w:bottom w:val="single" w:sz="4" w:space="0" w:color="B2D83A" w:themeColor="accent2"/&gt;&lt;w:right w:val="single" w:sz="4" w:space="0" w:color="B2D83A" w:themeColor="accent2"/&gt;&lt;/w:tblBorders&gt;&lt;/w:tblPr&gt;&lt;w:tblStylePr w:type="firstRow"&gt;&lt;w:rPr&gt;&lt;w:b/&gt;&lt;w:bCs/&gt;&lt;w:color w:val="FFFFFF" w:themeColor="background1"/&gt;&lt;/w:rPr&gt;&lt;w:tblPr/&gt;&lt;w:tcPr&gt;&lt;w:shd w:val="clear" w:color="auto" w:fill="B2D83A" w:themeFill="accent2"/&gt;&lt;/w:tcPr&gt;&lt;/w:tblStylePr&gt;&lt;w:tblStylePr w:type="lastRow"&gt;&lt;w:rPr&gt;&lt;w:b/&gt;&lt;w:bCs/&gt;&lt;/w:rPr&gt;&lt;w:tblPr/&gt;&lt;w:tcPr&gt;&lt;w:tcBorders&gt;&lt;w:top w:val="double" w:sz="4" w:space="0" w:color="B2D83A" w:themeColor="accent2"/&gt;&lt;/w:tcBorders&gt;&lt;w:shd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w:color="B2D83A" w:themeColor="accent2"/&gt;&lt;w:right w:val="single" w:sz="4" w:space="0" w:color="B2D83A" w:themeColor="accent2"/&gt;&lt;/w:tcBorders&gt;&lt;/w:tcPr&gt;&lt;/w:tblStylePr&gt;&lt;w:tblStylePr w:type="band1Horz"&gt;&lt;w:tblPr/&gt;&lt;w:tcPr&gt;&lt;w:tcBorders&gt;&lt;w:top w:val="single" w:sz="4" w:space="0" w:color="B2D83A" w:themeColor="accent2"/&gt;&lt;w:bottom w:val="single" w:sz="4" w:space="0" w:color="B2D83A" w:themeColor="accent2"/&gt;&lt;w:insideH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w:color="B2D83A" w:themeColor="accent2"/&gt;&lt;w:left w:val="nil"/&gt;&lt;/w:tcBorders&gt;&lt;/w:tcPr&gt;&lt;/w:tblStylePr&gt;&lt;w:tblStylePr w:type="swCell"&gt;&lt;w:tblPr/&gt;&lt;w:tcPr&gt;&lt;w:tcBorders&gt;&lt;w:top w:val="double" w:sz="4" w:space="0" w:color="B2D83A" w:themeColor="accent2"/&gt;&lt;w:right w:val="nil"/&gt;&lt;/w:tcBorders&gt;&lt;/w:tcPr&gt;&lt;/w:tblStylePr&gt;&lt;/w:style&gt;&lt;w:style w:type="table" w:styleId="ListTable3-Accent3"&gt;&lt;w:name w:val="List Table 3 Accent 3"/&gt;&lt;w:basedOn w:val="TableNormal"/&gt;&lt;w:uiPriority w:val="48"/&gt;&lt;w:locked/&gt;&lt;w:rsid w:val="00D30A58"/&gt;&lt;w:pPr&gt;&lt;w:spacing w:after="0" w:line="240" w:lineRule="auto"/&gt;&lt;/w:pPr&gt;&lt;w:tblPr&gt;&lt;w:tblStyleRowBandSize w:val="1"/&gt;&lt;w:tblStyleColBandSize w:val="1"/&gt;&lt;w:tblBorders&gt;&lt;w:top w:val="single" w:sz="4" w:space="0" w:color="0066BE" w:themeColor="accent3"/&gt;&lt;w:left w:val="single" w:sz="4" w:space="0" w:color="0066BE" w:themeColor="accent3"/&gt;&lt;w:bottom w:val="single" w:sz="4" w:space="0" w:color="0066BE" w:themeColor="accent3"/&gt;&lt;w:right w:val="single" w:sz="4" w:space="0" w:color="0066BE" w:themeColor="accent3"/&gt;&lt;/w:tblBorders&gt;&lt;/w:tblPr&gt;&lt;w:tblStylePr w:type="firstRow"&gt;&lt;w:rPr&gt;&lt;w:b/&gt;&lt;w:bCs/&gt;&lt;w:color w:val="FFFFFF" w:themeColor="background1"/&gt;&lt;/w:rPr&gt;&lt;w:tblPr/&gt;&lt;w:tcPr&gt;&lt;w:shd w:val="clear" w:color="auto" w:fill="0066BE" w:themeFill="accent3"/&gt;&lt;/w:tcPr&gt;&lt;/w:tblStylePr&gt;&lt;w:tblStylePr w:type="lastRow"&gt;&lt;w:rPr&gt;&lt;w:b/&gt;&lt;w:bCs/&gt;&lt;/w:rPr&gt;&lt;w:tblPr/&gt;&lt;w:tcPr&gt;&lt;w:tcBorders&gt;&lt;w:top w:val="double" w:sz="4" w:space="0" w:color="0066BE" w:themeColor="accent3"/&gt;&lt;/w:tcBorders&gt;&lt;w:shd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w:color="0066BE" w:themeColor="accent3"/&gt;&lt;w:right w:val="single" w:sz="4" w:space="0" w:color="0066BE" w:themeColor="accent3"/&gt;&lt;/w:tcBorders&gt;&lt;/w:tcPr&gt;&lt;/w:tblStylePr&gt;&lt;w:tblStylePr w:type="band1Horz"&gt;&lt;w:tblPr/&gt;&lt;w:tcPr&gt;&lt;w:tcBorders&gt;&lt;w:top w:val="single" w:sz="4" w:space="0" w:color="0066BE" w:themeColor="accent3"/&gt;&lt;w:bottom w:val="single" w:sz="4" w:space="0" w:color="0066BE" w:themeColor="accent3"/&gt;&lt;w:insideH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w:color="0066BE" w:themeColor="accent3"/&gt;&lt;w:left w:val="nil"/&gt;&lt;/w:tcBorders&gt;&lt;/w:tcPr&gt;&lt;/w:tblStylePr&gt;&lt;w:tblStylePr w:type="swCell"&gt;&lt;w:tblPr/&gt;&lt;w:tcPr&gt;&lt;w:tcBorders&gt;&lt;w:top w:val="double" w:sz="4" w:space="0" w:color="0066BE" w:themeColor="accent3"/&gt;&lt;w:right w:val="nil"/&gt;&lt;/w:tcBorders&gt;&lt;/w:tcPr&gt;&lt;/w:tblStylePr&gt;&lt;/w:style&gt;&lt;w:style w:type="table" w:styleId="ListTable3-Accent4"&gt;&lt;w:name w:val="List Table 3 Accent 4"/&gt;&lt;w:basedOn w:val="TableNormal"/&gt;&lt;w:uiPriority w:val="48"/&gt;&lt;w:locked/&gt;&lt;w:rsid w:val="00D30A58"/&gt;&lt;w:pPr&gt;&lt;w:spacing w:after="0" w:line="240" w:lineRule="auto"/&gt;&lt;/w:pPr&gt;&lt;w:tblPr&gt;&lt;w:tblStyleRowBandSize w:val="1"/&gt;&lt;w:tblStyleColBandSize w:val="1"/&gt;&lt;w:tblBorders&gt;&lt;w:top w:val="single" w:sz="4" w:space="0" w:color="EC7023" w:themeColor="accent4"/&gt;&lt;w:left w:val="single" w:sz="4" w:space="0" w:color="EC7023" w:themeColor="accent4"/&gt;&lt;w:bottom w:val="single" w:sz="4" w:space="0" w:color="EC7023" w:themeColor="accent4"/&gt;&lt;w:right w:val="single" w:sz="4" w:space="0" w:color="EC7023" w:themeColor="accent4"/&gt;&lt;/w:tblBorders&gt;&lt;/w:tblPr&gt;&lt;w:tblStylePr w:type="firstRow"&gt;&lt;w:rPr&gt;&lt;w:b/&gt;&lt;w:bCs/&gt;&lt;w:color w:val="FFFFFF" w:themeColor="background1"/&gt;&lt;/w:rPr&gt;&lt;w:tblPr/&gt;&lt;w:tcPr&gt;&lt;w:shd w:val="clear" w:color="auto" w:fill="EC7023" w:themeFill="accent4"/&gt;&lt;/w:tcPr&gt;&lt;/w:tblStylePr&gt;&lt;w:tblStylePr w:type="lastRow"&gt;&lt;w:rPr&gt;&lt;w:b/&gt;&lt;w:bCs/&gt;&lt;/w:rPr&gt;&lt;w:tblPr/&gt;&lt;w:tcPr&gt;&lt;w:tcBorders&gt;&lt;w:top w:val="double" w:sz="4" w:space="0" w:color="EC7023" w:themeColor="accent4"/&gt;&lt;/w:tcBorders&gt;&lt;w:shd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w:color="EC7023" w:themeColor="accent4"/&gt;&lt;w:right w:val="single" w:sz="4" w:space="0" w:color="EC7023" w:themeColor="accent4"/&gt;&lt;/w:tcBorders&gt;&lt;/w:tcPr&gt;&lt;/w:tblStylePr&gt;&lt;w:tblStylePr w:type="band1Horz"&gt;&lt;w:tblPr/&gt;&lt;w:tcPr&gt;&lt;w:tcBorders&gt;&lt;w:top w:val="single" w:sz="4" w:space="0" w:color="EC7023" w:themeColor="accent4"/&gt;&lt;w:bottom w:val="single" w:sz="4" w:space="0" w:color="EC7023" w:themeColor="accent4"/&gt;&lt;w:insideH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w:color="EC7023" w:themeColor="accent4"/&gt;&lt;w:left w:val="nil"/&gt;&lt;/w:tcBorders&gt;&lt;/w:tcPr&gt;&lt;/w:tblStylePr&gt;&lt;w:tblStylePr w:type="swCell"&gt;&lt;w:tblPr/&gt;&lt;w:tcPr&gt;&lt;w:tcBorders&gt;&lt;w:top w:val="double" w:sz="4" w:space="0" w:color="EC7023" w:themeColor="accent4"/&gt;&lt;w:right w:val="nil"/&gt;&lt;/w:tcBorders&gt;&lt;/w:tcPr&gt;&lt;/w:tblStylePr&gt;&lt;/w:style&gt;&lt;w:style w:type="table" w:styleId="ListTable3-Accent5"&gt;&lt;w:name w:val="List Table 3 Accent 5"/&gt;&lt;w:basedOn w:val="TableNormal"/&gt;&lt;w:uiPriority w:val="48"/&gt;&lt;w:locked/&gt;&lt;w:rsid w:val="00D30A58"/&gt;&lt;w:pPr&gt;&lt;w:spacing w:after="0" w:line="240" w:lineRule="auto"/&gt;&lt;/w:pPr&gt;&lt;w:tblPr&gt;&lt;w:tblStyleRowBandSize w:val="1"/&gt;&lt;w:tblStyleColBandSize w:val="1"/&gt;&lt;w:tblBorders&gt;&lt;w:top w:val="single" w:sz="4" w:space="0" w:color="DF2A2A" w:themeColor="accent5"/&gt;&lt;w:left w:val="single" w:sz="4" w:space="0" w:color="DF2A2A" w:themeColor="accent5"/&gt;&lt;w:bottom w:val="single" w:sz="4" w:space="0" w:color="DF2A2A" w:themeColor="accent5"/&gt;&lt;w:right w:val="single" w:sz="4" w:space="0" w:color="DF2A2A" w:themeColor="accent5"/&gt;&lt;/w:tblBorders&gt;&lt;/w:tblPr&gt;&lt;w:tblStylePr w:type="firstRow"&gt;&lt;w:rPr&gt;&lt;w:b/&gt;&lt;w:bCs/&gt;&lt;w:color w:val="FFFFFF" w:themeColor="background1"/&gt;&lt;/w:rPr&gt;&lt;w:tblPr/&gt;&lt;w:tcPr&gt;&lt;w:shd w:val="clear" w:color="auto" w:fill="DF2A2A" w:themeFill="accent5"/&gt;&lt;/w:tcPr&gt;&lt;/w:tblStylePr&gt;&lt;w:tblStylePr w:type="lastRow"&gt;&lt;w:rPr&gt;&lt;w:b/&gt;&lt;w:bCs/&gt;&lt;/w:rPr&gt;&lt;w:tblPr/&gt;&lt;w:tcPr&gt;&lt;w:tcBorders&gt;&lt;w:top w:val="double" w:sz="4" w:space="0" w:color="DF2A2A" w:themeColor="accent5"/&gt;&lt;/w:tcBorders&gt;&lt;w:shd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w:color="DF2A2A" w:themeColor="accent5"/&gt;&lt;w:right w:val="single" w:sz="4" w:space="0" w:color="DF2A2A" w:themeColor="accent5"/&gt;&lt;/w:tcBorders&gt;&lt;/w:tcPr&gt;&lt;/w:tblStylePr&gt;&lt;w:tblStylePr w:type="band1Horz"&gt;&lt;w:tblPr/&gt;&lt;w:tcPr&gt;&lt;w:tcBorders&gt;&lt;w:top w:val="single" w:sz="4" w:space="0" w:color="DF2A2A" w:themeColor="accent5"/&gt;&lt;w:bottom w:val="single" w:sz="4" w:space="0" w:color="DF2A2A" w:themeColor="accent5"/&gt;&lt;w:insideH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w:color="DF2A2A" w:themeColor="accent5"/&gt;&lt;w:left w:val="nil"/&gt;&lt;/w:tcBorders&gt;&lt;/w:tcPr&gt;&lt;/w:tblStylePr&gt;&lt;w:tblStylePr w:type="swCell"&gt;&lt;w:tblPr/&gt;&lt;w:tcPr&gt;&lt;w:tcBorders&gt;&lt;w:top w:val="double" w:sz="4" w:space="0" w:color="DF2A2A" w:themeColor="accent5"/&gt;&lt;w:right w:val="nil"/&gt;&lt;/w:tcBorders&gt;&lt;/w:tcPr&gt;&lt;/w:tblStylePr&gt;&lt;/w:style&gt;&lt;w:style w:type="table" w:styleId="ListTable3-Accent6"&gt;&lt;w:name w:val="List Table 3 Accent 6"/&gt;&lt;w:basedOn w:val="TableNormal"/&gt;&lt;w:uiPriority w:val="48"/&gt;&lt;w:locked/&gt;&lt;w:rsid w:val="00D30A58"/&gt;&lt;w:pPr&gt;&lt;w:spacing w:after="0" w:line="240" w:lineRule="auto"/&gt;&lt;/w:pPr&gt;&lt;w:tblPr&gt;&lt;w:tblStyleRowBandSize w:val="1"/&gt;&lt;w:tblStyleColBandSize w:val="1"/&gt;&lt;w:tblBorders&gt;&lt;w:top w:val="single" w:sz="4" w:space="0" w:color="4D3097" w:themeColor="accent6"/&gt;&lt;w:left w:val="single" w:sz="4" w:space="0" w:color="4D3097" w:themeColor="accent6"/&gt;&lt;w:bottom w:val="single" w:sz="4" w:space="0" w:color="4D3097" w:themeColor="accent6"/&gt;&lt;w:right w:val="single" w:sz="4" w:space="0" w:color="4D3097" w:themeColor="accent6"/&gt;&lt;/w:tblBorders&gt;&lt;/w:tblPr&gt;&lt;w:tblStylePr w:type="firstRow"&gt;&lt;w:rPr&gt;&lt;w:b/&gt;&lt;w:bCs/&gt;&lt;w:color w:val="FFFFFF" w:themeColor="background1"/&gt;&lt;/w:rPr&gt;&lt;w:tblPr/&gt;&lt;w:tcPr&gt;&lt;w:shd w:val="clear" w:color="auto" w:fill="4D3097" w:themeFill="accent6"/&gt;&lt;/w:tcPr&gt;&lt;/w:tblStylePr&gt;&lt;w:tblStylePr w:type="lastRow"&gt;&lt;w:rPr&gt;&lt;w:b/&gt;&lt;w:bCs/&gt;&lt;/w:rPr&gt;&lt;w:tblPr/&gt;&lt;w:tcPr&gt;&lt;w:tcBorders&gt;&lt;w:top w:val="double" w:sz="4" w:space="0" w:color="4D3097"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w:color="4D3097" w:themeColor="accent6"/&gt;&lt;w:right w:val="single" w:sz="4" w:space="0" w:color="4D3097" w:themeColor="accent6"/&gt;&lt;/w:tcBorders&gt;&lt;/w:tcPr&gt;&lt;/w:tblStylePr&gt;&lt;w:tblStylePr w:type="band1Horz"&gt;&lt;w:tblPr/&gt;&lt;w:tcPr&gt;&lt;w:tcBorders&gt;&lt;w:top w:val="single" w:sz="4" w:space="0" w:color="4D3097" w:themeColor="accent6"/&gt;&lt;w:bottom w:val="single" w:sz="4" w:space="0" w:color="4D3097"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w:color="4D3097" w:themeColor="accent6"/&gt;&lt;w:left w:val="nil"/&gt;&lt;/w:tcBorders&gt;&lt;/w:tcPr&gt;&lt;/w:tblStylePr&gt;&lt;w:tblStylePr w:type="swCell"&gt;&lt;w:tblPr/&gt;&lt;w:tcPr&gt;&lt;w:tcBorders&gt;&lt;w:top w:val="double" w:sz="4" w:space="0" w:color="4D3097" w:themeColor="accent6"/&gt;&lt;w:right w:val="nil"/&gt;&lt;/w:tcBorders&gt;&lt;/w:tcPr&gt;&lt;/w:tblStylePr&gt;&lt;/w:style&gt;&lt;w:style w:type="table" w:styleId="ListTable4"&gt;&lt;w:name w:val="List Table 4"/&gt;&lt;w:basedOn w:val="TableNormal"/&gt;&lt;w:uiPriority w:val="49"/&gt;&lt;w:locked/&gt;&lt;w:rsid w:val="00D30A58"/&gt;&lt;w:pPr&gt;&lt;w:spacing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w:val="nil"/&gt;&lt;/w:tcBorders&gt;&lt;w:shd w:val="clear" w:color="auto" w:fill="000000" w:themeFill="text1"/&gt;&lt;/w:tcPr&gt;&lt;/w:tblStylePr&gt;&lt;w:tblStylePr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w:styleId="ListTable4-Accent1"&gt;&lt;w:name w:val="List Table 4 Accent 1"/&gt;&lt;w:basedOn w:val="TableNormal"/&gt;&lt;w:uiPriority w:val="49"/&gt;&lt;w:locked/&gt;&lt;w:rsid w:val="00D30A58"/&gt;&lt;w:pPr&gt;&lt;w:spacing w:after="0" w:line="240" w:lineRule="auto"/&gt;&lt;/w:pPr&gt;&lt;w:tblPr&gt;&lt;w:tblStyleRowBandSize w:val="1"/&gt;&lt;w:tblStyleColBandSize w:val="1"/&gt;&lt;w:tblBorders&gt;&lt;w:top w:val="single" w:sz="4" w:space="0" w:color="8BD089" w:themeColor="accent1" w:themeTint="99"/&gt;&lt;w:left w:val="single" w:sz="4" w:space="0" w:color="8BD089" w:themeColor="accent1" w:themeTint="99"/&gt;&lt;w:bottom w:val="single" w:sz="4" w:space="0" w:color="8BD089" w:themeColor="accent1" w:themeTint="99"/&gt;&lt;w:right w:val="single" w:sz="4" w:space="0" w:color="8BD089" w:themeColor="accent1" w:themeTint="99"/&gt;&lt;w:insideH w:val="single" w:sz="4" w:space="0" w:color="8BD089" w:themeColor="accent1" w:themeTint="99"/&gt;&lt;/w:tblBorders&gt;&lt;/w:tblPr&gt;&lt;w:tblStylePr w:type="firstRow"&gt;&lt;w:rPr&gt;&lt;w:b/&gt;&lt;w:bCs/&gt;&lt;w:color w:val="FFFFFF" w:themeColor="background1"/&gt;&lt;/w:rPr&gt;&lt;w:tblPr/&gt;&lt;w:tcPr&gt;&lt;w:tcBorders&gt;&lt;w:top w:val="single" w:sz="4" w:space="0" w:color="47A843" w:themeColor="accent1"/&gt;&lt;w:left w:val="single" w:sz="4" w:space="0" w:color="47A843" w:themeColor="accent1"/&gt;&lt;w:bottom w:val="single" w:sz="4" w:space="0" w:color="47A843" w:themeColor="accent1"/&gt;&lt;w:right w:val="single" w:sz="4" w:space="0" w:color="47A843" w:themeColor="accent1"/&gt;&lt;w:insideH w:val="nil"/&gt;&lt;/w:tcBorders&gt;&lt;w:shd w:val="clear" w:color="auto" w:fill="47A843" w:themeFill="accent1"/&gt;&lt;/w:tcPr&gt;&lt;/w:tblStylePr&gt;&lt;w:tblStylePr w:type="lastRow"&gt;&lt;w:rPr&gt;&lt;w:b/&gt;&lt;w:bCs/&gt;&lt;/w:rPr&gt;&lt;w:tblPr/&gt;&lt;w:tcPr&gt;&lt;w:tcBorders&gt;&lt;w:top w:val="double" w:sz="4" w:space="0" w:color="8BD089"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w:styleId="ListTable4-Accent2"&gt;&lt;w:name w:val="List Table 4 Accent 2"/&gt;&lt;w:basedOn w:val="TableNormal"/&gt;&lt;w:uiPriority w:val="49"/&gt;&lt;w:locked/&gt;&lt;w:rsid w:val="00D30A58"/&gt;&lt;w:pPr&gt;&lt;w:spacing w:after="0" w:line="240" w:lineRule="auto"/&gt;&lt;/w:pPr&gt;&lt;w:tblPr&gt;&lt;w:tblStyleRowBandSize w:val="1"/&gt;&lt;w:tblStyleColBandSize w:val="1"/&gt;&lt;w:tblBorders&gt;&lt;w:top w:val="single" w:sz="4" w:space="0" w:color="D0E788" w:themeColor="accent2" w:themeTint="99"/&gt;&lt;w:left w:val="single" w:sz="4" w:space="0" w:color="D0E788" w:themeColor="accent2" w:themeTint="99"/&gt;&lt;w:bottom w:val="single" w:sz="4" w:space="0" w:color="D0E788" w:themeColor="accent2" w:themeTint="99"/&gt;&lt;w:right w:val="single" w:sz="4" w:space="0" w:color="D0E788" w:themeColor="accent2" w:themeTint="99"/&gt;&lt;w:insideH w:val="single" w:sz="4" w:space="0" w:color="D0E788" w:themeColor="accent2" w:themeTint="99"/&gt;&lt;/w:tblBorders&gt;&lt;/w:tblPr&gt;&lt;w:tblStylePr w:type="firstRow"&gt;&lt;w:rPr&gt;&lt;w:b/&gt;&lt;w:bCs/&gt;&lt;w:color w:val="FFFFFF" w:themeColor="background1"/&gt;&lt;/w:rPr&gt;&lt;w:tblPr/&gt;&lt;w:tcPr&gt;&lt;w:tcBorders&gt;&lt;w:top w:val="single" w:sz="4" w:space="0" w:color="B2D83A" w:themeColor="accent2"/&gt;&lt;w:left w:val="single" w:sz="4" w:space="0" w:color="B2D83A" w:themeColor="accent2"/&gt;&lt;w:bottom w:val="single" w:sz="4" w:space="0" w:color="B2D83A" w:themeColor="accent2"/&gt;&lt;w:right w:val="single" w:sz="4" w:space="0" w:color="B2D83A" w:themeColor="accent2"/&gt;&lt;w:insideH w:val="nil"/&gt;&lt;/w:tcBorders&gt;&lt;w:shd w:val="clear" w:color="auto" w:fill="B2D83A" w:themeFill="accent2"/&gt;&lt;/w:tcPr&gt;&lt;/w:tblStylePr&gt;&lt;w:tblStylePr w:type="lastRow"&gt;&lt;w:rPr&gt;&lt;w:b/&gt;&lt;w:bCs/&gt;&lt;/w:rPr&gt;&lt;w:tblPr/&gt;&lt;w:tcPr&gt;&lt;w:tcBorders&gt;&lt;w:top w:val="double" w:sz="4" w:space="0" w:color="D0E788"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w:styleId="ListTable4-Accent3"&gt;&lt;w:name w:val="List Table 4 Accent 3"/&gt;&lt;w:basedOn w:val="TableNormal"/&gt;&lt;w:uiPriority w:val="49"/&gt;&lt;w:locked/&gt;&lt;w:rsid w:val="00D30A58"/&gt;&lt;w:pPr&gt;&lt;w:spacing w:after="0" w:line="240" w:lineRule="auto"/&gt;&lt;/w:pPr&gt;&lt;w:tblPr&gt;&lt;w:tblStyleRowBandSize w:val="1"/&gt;&lt;w:tblStyleColBandSize w:val="1"/&gt;&lt;w:tblBorders&gt;&lt;w:top w:val="single" w:sz="4" w:space="0" w:color="3FA5FF" w:themeColor="accent3" w:themeTint="99"/&gt;&lt;w:left w:val="single" w:sz="4" w:space="0" w:color="3FA5FF" w:themeColor="accent3" w:themeTint="99"/&gt;&lt;w:bottom w:val="single" w:sz="4" w:space="0" w:color="3FA5FF" w:themeColor="accent3" w:themeTint="99"/&gt;&lt;w:right w:val="single" w:sz="4" w:space="0" w:color="3FA5FF" w:themeColor="accent3" w:themeTint="99"/&gt;&lt;w:insideH w:val="single" w:sz="4" w:space="0" w:color="3FA5FF" w:themeColor="accent3" w:themeTint="99"/&gt;&lt;/w:tblBorders&gt;&lt;/w:tblPr&gt;&lt;w:tblStylePr w:type="firstRow"&gt;&lt;w:rPr&gt;&lt;w:b/&gt;&lt;w:bCs/&gt;&lt;w:color w:val="FFFFFF" w:themeColor="background1"/&gt;&lt;/w:rPr&gt;&lt;w:tblPr/&gt;&lt;w:tcPr&gt;&lt;w:tcBorders&gt;&lt;w:top w:val="single" w:sz="4" w:space="0" w:color="0066BE" w:themeColor="accent3"/&gt;&lt;w:left w:val="single" w:sz="4" w:space="0" w:color="0066BE" w:themeColor="accent3"/&gt;&lt;w:bottom w:val="single" w:sz="4" w:space="0" w:color="0066BE" w:themeColor="accent3"/&gt;&lt;w:right w:val="single" w:sz="4" w:space="0" w:color="0066BE" w:themeColor="accent3"/&gt;&lt;w:insideH w:val="nil"/&gt;&lt;/w:tcBorders&gt;&lt;w:shd w:val="clear" w:color="auto" w:fill="0066BE" w:themeFill="accent3"/&gt;&lt;/w:tcPr&gt;&lt;/w:tblStylePr&gt;&lt;w:tblStylePr w:type="lastRow"&gt;&lt;w:rPr&gt;&lt;w:b/&gt;&lt;w:bCs/&gt;&lt;/w:rPr&gt;&lt;w:tblPr/&gt;&lt;w:tcPr&gt;&lt;w:tcBorders&gt;&lt;w:top w:val="double" w:sz="4" w:space="0" w:color="3FA5FF"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w:styleId="ListTable4-Accent4"&gt;&lt;w:name w:val="List Table 4 Accent 4"/&gt;&lt;w:basedOn w:val="TableNormal"/&gt;&lt;w:uiPriority w:val="49"/&gt;&lt;w:locked/&gt;&lt;w:rsid w:val="00D30A58"/&gt;&lt;w:pPr&gt;&lt;w:spacing w:after="0" w:line="240" w:lineRule="auto"/&gt;&lt;/w:pPr&gt;&lt;w:tblPr&gt;&lt;w:tblStyleRowBandSize w:val="1"/&gt;&lt;w:tblStyleColBandSize w:val="1"/&gt;&lt;w:tblBorders&gt;&lt;w:top w:val="single" w:sz="4" w:space="0" w:color="F3A87A" w:themeColor="accent4" w:themeTint="99"/&gt;&lt;w:left w:val="single" w:sz="4" w:space="0" w:color="F3A87A" w:themeColor="accent4" w:themeTint="99"/&gt;&lt;w:bottom w:val="single" w:sz="4" w:space="0" w:color="F3A87A" w:themeColor="accent4" w:themeTint="99"/&gt;&lt;w:right w:val="single" w:sz="4" w:space="0" w:color="F3A87A" w:themeColor="accent4" w:themeTint="99"/&gt;&lt;w:insideH w:val="single" w:sz="4" w:space="0" w:color="F3A87A" w:themeColor="accent4" w:themeTint="99"/&gt;&lt;/w:tblBorders&gt;&lt;/w:tblPr&gt;&lt;w:tblStylePr w:type="firstRow"&gt;&lt;w:rPr&gt;&lt;w:b/&gt;&lt;w:bCs/&gt;&lt;w:color w:val="FFFFFF" w:themeColor="background1"/&gt;&lt;/w:rPr&gt;&lt;w:tblPr/&gt;&lt;w:tcPr&gt;&lt;w:tcBorders&gt;&lt;w:top w:val="single" w:sz="4" w:space="0" w:color="EC7023" w:themeColor="accent4"/&gt;&lt;w:left w:val="single" w:sz="4" w:space="0" w:color="EC7023" w:themeColor="accent4"/&gt;&lt;w:bottom w:val="single" w:sz="4" w:space="0" w:color="EC7023" w:themeColor="accent4"/&gt;&lt;w:right w:val="single" w:sz="4" w:space="0" w:color="EC7023" w:themeColor="accent4"/&gt;&lt;w:insideH w:val="nil"/&gt;&lt;/w:tcBorders&gt;&lt;w:shd w:val="clear" w:color="auto" w:fill="EC7023" w:themeFill="accent4"/&gt;&lt;/w:tcPr&gt;&lt;/w:tblStylePr&gt;&lt;w:tblStylePr w:type="lastRow"&gt;&lt;w:rPr&gt;&lt;w:b/&gt;&lt;w:bCs/&gt;&lt;/w:rPr&gt;&lt;w:tblPr/&gt;&lt;w:tcPr&gt;&lt;w:tcBorders&gt;&lt;w:top w:val="double" w:sz="4" w:space="0" w:color="F3A87A"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w:styleId="ListTable4-Accent5"&gt;&lt;w:name w:val="List Table 4 Accent 5"/&gt;&lt;w:basedOn w:val="TableNormal"/&gt;&lt;w:uiPriority w:val="49"/&gt;&lt;w:locked/&gt;&lt;w:rsid w:val="00D30A58"/&gt;&lt;w:pPr&gt;&lt;w:spacing w:after="0" w:line="240" w:lineRule="auto"/&gt;&lt;/w:pPr&gt;&lt;w:tblPr&gt;&lt;w:tblStyleRowBandSize w:val="1"/&gt;&lt;w:tblStyleColBandSize w:val="1"/&gt;&lt;w:tblBorders&gt;&lt;w:top w:val="single" w:sz="4" w:space="0" w:color="EB7F7F" w:themeColor="accent5" w:themeTint="99"/&gt;&lt;w:left w:val="single" w:sz="4" w:space="0" w:color="EB7F7F" w:themeColor="accent5" w:themeTint="99"/&gt;&lt;w:bottom w:val="single" w:sz="4" w:space="0" w:color="EB7F7F" w:themeColor="accent5" w:themeTint="99"/&gt;&lt;w:right w:val="single" w:sz="4" w:space="0" w:color="EB7F7F" w:themeColor="accent5" w:themeTint="99"/&gt;&lt;w:insideH w:val="single" w:sz="4" w:space="0" w:color="EB7F7F" w:themeColor="accent5" w:themeTint="99"/&gt;&lt;/w:tblBorders&gt;&lt;/w:tblPr&gt;&lt;w:tblStylePr w:type="firstRow"&gt;&lt;w:rPr&gt;&lt;w:b/&gt;&lt;w:bCs/&gt;&lt;w:color w:val="FFFFFF" w:themeColor="background1"/&gt;&lt;/w:rPr&gt;&lt;w:tblPr/&gt;&lt;w:tcPr&gt;&lt;w:tcBorders&gt;&lt;w:top w:val="single" w:sz="4" w:space="0" w:color="DF2A2A" w:themeColor="accent5"/&gt;&lt;w:left w:val="single" w:sz="4" w:space="0" w:color="DF2A2A" w:themeColor="accent5"/&gt;&lt;w:bottom w:val="single" w:sz="4" w:space="0" w:color="DF2A2A" w:themeColor="accent5"/&gt;&lt;w:right w:val="single" w:sz="4" w:space="0" w:color="DF2A2A" w:themeColor="accent5"/&gt;&lt;w:insideH w:val="nil"/&gt;&lt;/w:tcBorders&gt;&lt;w:shd w:val="clear" w:color="auto" w:fill="DF2A2A" w:themeFill="accent5"/&gt;&lt;/w:tcPr&gt;&lt;/w:tblStylePr&gt;&lt;w:tblStylePr w:type="lastRow"&gt;&lt;w:rPr&gt;&lt;w:b/&gt;&lt;w:bCs/&gt;&lt;/w:rPr&gt;&lt;w:tblPr/&gt;&lt;w:tcPr&gt;&lt;w:tcBorders&gt;&lt;w:top w:val="double" w:sz="4" w:space="0" w:color="EB7F7F"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w:styleId="ListTable4-Accent6"&gt;&lt;w:name w:val="List Table 4 Accent 6"/&gt;&lt;w:basedOn w:val="TableNormal"/&gt;&lt;w:uiPriority w:val="49"/&gt;&lt;w:locked/&gt;&lt;w:rsid w:val="00D30A58"/&gt;&lt;w:pPr&gt;&lt;w:spacing w:after="0" w:line="240" w:lineRule="auto"/&gt;&lt;/w:pPr&gt;&lt;w:tblPr&gt;&lt;w:tblStyleRowBandSize w:val="1"/&gt;&lt;w:tblStyleColBandSize w:val="1"/&gt;&lt;w:tblBorders&gt;&lt;w:top w:val="single" w:sz="4" w:space="0" w:color="8C71D2" w:themeColor="accent6" w:themeTint="99"/&gt;&lt;w:left w:val="single" w:sz="4" w:space="0" w:color="8C71D2" w:themeColor="accent6" w:themeTint="99"/&gt;&lt;w:bottom w:val="single" w:sz="4" w:space="0" w:color="8C71D2" w:themeColor="accent6" w:themeTint="99"/&gt;&lt;w:right w:val="single" w:sz="4" w:space="0" w:color="8C71D2" w:themeColor="accent6" w:themeTint="99"/&gt;&lt;w:insideH w:val="single" w:sz="4" w:space="0" w:color="8C71D2" w:themeColor="accent6" w:themeTint="99"/&gt;&lt;/w:tblBorders&gt;&lt;/w:tblPr&gt;&lt;w:tblStylePr w:type="firstRow"&gt;&lt;w:rPr&gt;&lt;w:b/&gt;&lt;w:bCs/&gt;&lt;w:color w:val="FFFFFF" w:themeColor="background1"/&gt;&lt;/w:rPr&gt;&lt;w:tblPr/&gt;&lt;w:tcPr&gt;&lt;w:tcBorders&gt;&lt;w:top w:val="single" w:sz="4" w:space="0" w:color="4D3097" w:themeColor="accent6"/&gt;&lt;w:left w:val="single" w:sz="4" w:space="0" w:color="4D3097" w:themeColor="accent6"/&gt;&lt;w:bottom w:val="single" w:sz="4" w:space="0" w:color="4D3097" w:themeColor="accent6"/&gt;&lt;w:right w:val="single" w:sz="4" w:space="0" w:color="4D3097" w:themeColor="accent6"/&gt;&lt;w:insideH w:val="nil"/&gt;&lt;/w:tcBorders&gt;&lt;w:shd w:val="clear" w:color="auto" w:fill="4D3097" w:themeFill="accent6"/&gt;&lt;/w:tcPr&gt;&lt;/w:tblStylePr&gt;&lt;w:tblStylePr w:type="lastRow"&gt;&lt;w:rPr&gt;&lt;w:b/&gt;&lt;w:bCs/&gt;&lt;/w:rPr&gt;&lt;w:tblPr/&gt;&lt;w:tcPr&gt;&lt;w:tcBorders&gt;&lt;w:top w:val="double" w:sz="4" w:space="0" w:color="8C71D2"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w:styleId="ListTable5Dark"&gt;&lt;w:name w:val="List Table 5 Dark"/&gt;&lt;w:basedOn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w:color="000000" w:themeColor="text1"/&gt;&lt;w:left w:val="single" w:sz="24" w:space="0" w:color="000000" w:themeColor="text1"/&gt;&lt;w:bottom w:val="single" w:sz="24" w:space="0" w:color="000000" w:themeColor="text1"/&gt;&lt;w:right w:val="single" w:sz="24" w:space="0" w:color="000000" w:themeColor="text1"/&gt;&lt;/w:tblBorders&gt;&lt;/w:tblPr&gt;&lt;w:tcPr&gt;&lt;w:shd w:val="clear" w:color="auto" w:fill="000000" w:themeFill="text1"/&gt;&lt;/w:tcPr&gt;&lt;w:tblStylePr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w:styleId="ListTable5Dark-Accent1"&gt;&lt;w:name w:val="List Table 5 Dark Accent 1"/&gt;&lt;w:basedOn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w:color="47A843" w:themeColor="accent1"/&gt;&lt;w:left w:val="single" w:sz="24" w:space="0" w:color="47A843" w:themeColor="accent1"/&gt;&lt;w:bottom w:val="single" w:sz="24" w:space="0" w:color="47A843" w:themeColor="accent1"/&gt;&lt;w:right w:val="single" w:sz="24" w:space="0" w:color="47A843" w:themeColor="accent1"/&gt;&lt;/w:tblBorders&gt;&lt;/w:tblPr&gt;&lt;w:tcPr&gt;&lt;w:shd w:val="clear" w:color="auto" w:fill="47A843" w:themeFill="accent1"/&gt;&lt;/w:tcPr&gt;&lt;w:tblStylePr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w:styleId="ListTable5Dark-Accent2"&gt;&lt;w:name w:val="List Table 5 Dark Accent 2"/&gt;&lt;w:basedOn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w:color="B2D83A" w:themeColor="accent2"/&gt;&lt;w:left w:val="single" w:sz="24" w:space="0" w:color="B2D83A" w:themeColor="accent2"/&gt;&lt;w:bottom w:val="single" w:sz="24" w:space="0" w:color="B2D83A" w:themeColor="accent2"/&gt;&lt;w:right w:val="single" w:sz="24" w:space="0" w:color="B2D83A" w:themeColor="accent2"/&gt;&lt;/w:tblBorders&gt;&lt;/w:tblPr&gt;&lt;w:tcPr&gt;&lt;w:shd w:val="clear" w:color="auto" w:fill="B2D83A" w:themeFill="accent2"/&gt;&lt;/w:tcPr&gt;&lt;w:tblStylePr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w:styleId="ListTable5Dark-Accent3"&gt;&lt;w:name w:val="List Table 5 Dark Accent 3"/&gt;&lt;w:basedOn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w:color="0066BE" w:themeColor="accent3"/&gt;&lt;w:left w:val="single" w:sz="24" w:space="0" w:color="0066BE" w:themeColor="accent3"/&gt;&lt;w:bottom w:val="single" w:sz="24" w:space="0" w:color="0066BE" w:themeColor="accent3"/&gt;&lt;w:right w:val="single" w:sz="24" w:space="0" w:color="0066BE" w:themeColor="accent3"/&gt;&lt;/w:tblBorders&gt;&lt;/w:tblPr&gt;&lt;w:tcPr&gt;&lt;w:shd w:val="clear" w:color="auto" w:fill="0066BE" w:themeFill="accent3"/&gt;&lt;/w:tcPr&gt;&lt;w:tblStylePr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w:styleId="ListTable5Dark-Accent4"&gt;&lt;w:name w:val="List Table 5 Dark Accent 4"/&gt;&lt;w:basedOn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w:color="EC7023" w:themeColor="accent4"/&gt;&lt;w:left w:val="single" w:sz="24" w:space="0" w:color="EC7023" w:themeColor="accent4"/&gt;&lt;w:bottom w:val="single" w:sz="24" w:space="0" w:color="EC7023" w:themeColor="accent4"/&gt;&lt;w:right w:val="single" w:sz="24" w:space="0" w:color="EC7023" w:themeColor="accent4"/&gt;&lt;/w:tblBorders&gt;&lt;/w:tblPr&gt;&lt;w:tcPr&gt;&lt;w:shd w:val="clear" w:color="auto" w:fill="EC7023" w:themeFill="accent4"/&gt;&lt;/w:tcPr&gt;&lt;w:tblStylePr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w:styleId="ListTable5Dark-Accent5"&gt;&lt;w:name w:val="List Table 5 Dark Accent 5"/&gt;&lt;w:basedOn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w:color="DF2A2A" w:themeColor="accent5"/&gt;&lt;w:left w:val="single" w:sz="24" w:space="0" w:color="DF2A2A" w:themeColor="accent5"/&gt;&lt;w:bottom w:val="single" w:sz="24" w:space="0" w:color="DF2A2A" w:themeColor="accent5"/&gt;&lt;w:right w:val="single" w:sz="24" w:space="0" w:color="DF2A2A" w:themeColor="accent5"/&gt;&lt;/w:tblBorders&gt;&lt;/w:tblPr&gt;&lt;w:tcPr&gt;&lt;w:shd w:val="clear" w:color="auto" w:fill="DF2A2A" w:themeFill="accent5"/&gt;&lt;/w:tcPr&gt;&lt;w:tblStylePr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w:styleId="ListTable5Dark-Accent6"&gt;&lt;w:name w:val="List Table 5 Dark Accent 6"/&gt;&lt;w:basedOn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w:color="4D3097" w:themeColor="accent6"/&gt;&lt;w:left w:val="single" w:sz="24" w:space="0" w:color="4D3097" w:themeColor="accent6"/&gt;&lt;w:bottom w:val="single" w:sz="24" w:space="0" w:color="4D3097" w:themeColor="accent6"/&gt;&lt;w:right w:val="single" w:sz="24" w:space="0" w:color="4D3097" w:themeColor="accent6"/&gt;&lt;/w:tblBorders&gt;&lt;/w:tblPr&gt;&lt;w:tcPr&gt;&lt;w:shd w:val="clear" w:color="auto" w:fill="4D3097" w:themeFill="accent6"/&gt;&lt;/w:tcPr&gt;&lt;w:tblStylePr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w:styleId="ListTable6Colorful"&gt;&lt;w:name w:val="List Table 6 Colorful"/&gt;&lt;w:basedOn w:val="TableNormal"/&gt;&lt;w:uiPriority w:val="51"/&gt;&lt;w:locked/&gt;&lt;w:rsid w:val="00D30A58"/&gt;&lt;w:pPr&gt;&lt;w:spacing w:after="0" w:line="240" w:lineRule="auto"/&gt;&lt;/w:pPr&gt;&lt;w:tblPr&gt;&lt;w:tblStyleRowBandSize w:val="1"/&gt;&lt;w:tblStyleColBandSize w:val="1"/&gt;&lt;w:tblBorders&gt;&lt;w:top w:val="single" w:sz="4" w:space="0" w:color="000000" w:themeColor="text1"/&gt;&lt;w:bottom w:val="single" w:sz="4" w:space="0" w:color="000000" w:themeColor="text1"/&gt;&lt;/w:tblBorders&gt;&lt;/w:tblPr&gt;&lt;w:tblStylePr w:type="firstRow"&gt;&lt;w:rPr&gt;&lt;w:b/&gt;&lt;w:bCs/&gt;&lt;/w:rPr&gt;&lt;w:tblPr/&gt;&lt;w:tcPr&gt;&lt;w:tcBorders&gt;&lt;w:bottom w:val="single" w:sz="4" w:space="0" w:color="000000" w:themeColor="text1"/&gt;&lt;/w:tcBorders&gt;&lt;/w:tcPr&gt;&lt;/w:tblStylePr&gt;&lt;w:tblStylePr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w:styleId="ListTable6Colorful-Accent1"&gt;&lt;w:name w:val="List Table 6 Colorful Accent 1"/&gt;&lt;w:basedOn w:val="TableNormal"/&gt;&lt;w:uiPriority w:val="51"/&gt;&lt;w:locked/&gt;&lt;w:rsid w:val="00D30A58"/&gt;&lt;w:pPr&gt;&lt;w:spacing w:after="0" w:line="240" w:lineRule="auto"/&gt;&lt;/w:pPr&gt;&lt;w:rPr&gt;&lt;w:color w:val="357D32" w:themeColor="accent1" w:themeShade="BF"/&gt;&lt;/w:rPr&gt;&lt;w:tblPr&gt;&lt;w:tblStyleRowBandSize w:val="1"/&gt;&lt;w:tblStyleColBandSize w:val="1"/&gt;&lt;w:tblBorders&gt;&lt;w:top w:val="single" w:sz="4" w:space="0" w:color="47A843" w:themeColor="accent1"/&gt;&lt;w:bottom w:val="single" w:sz="4" w:space="0" w:color="47A843" w:themeColor="accent1"/&gt;&lt;/w:tblBorders&gt;&lt;/w:tblPr&gt;&lt;w:tblStylePr w:type="firstRow"&gt;&lt;w:rPr&gt;&lt;w:b/&gt;&lt;w:bCs/&gt;&lt;/w:rPr&gt;&lt;w:tblPr/&gt;&lt;w:tcPr&gt;&lt;w:tcBorders&gt;&lt;w:bottom w:val="single" w:sz="4" w:space="0" w:color="47A843" w:themeColor="accent1"/&gt;&lt;/w:tcBorders&gt;&lt;/w:tcPr&gt;&lt;/w:tblStylePr&gt;&lt;w:tblStylePr w:type="lastRow"&gt;&lt;w:rPr&gt;&lt;w:b/&gt;&lt;w:bCs/&gt;&lt;/w:rPr&gt;&lt;w:tblPr/&gt;&lt;w:tcPr&gt;&lt;w:tcBorders&gt;&lt;w:top w:val="double" w:sz="4" w:space="0" w:color="47A843"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w:styleId="ListTable6Colorful-Accent2"&gt;&lt;w:name w:val="List Table 6 Colorful Accent 2"/&gt;&lt;w:basedOn w:val="TableNormal"/&gt;&lt;w:uiPriority w:val="51"/&gt;&lt;w:locked/&gt;&lt;w:rsid w:val="00D30A58"/&gt;&lt;w:pPr&gt;&lt;w:spacing w:after="0" w:line="240" w:lineRule="auto"/&gt;&lt;/w:pPr&gt;&lt;w:rPr&gt;&lt;w:color w:val="89AB22" w:themeColor="accent2" w:themeShade="BF"/&gt;&lt;/w:rPr&gt;&lt;w:tblPr&gt;&lt;w:tblStyleRowBandSize w:val="1"/&gt;&lt;w:tblStyleColBandSize w:val="1"/&gt;&lt;w:tblBorders&gt;&lt;w:top w:val="single" w:sz="4" w:space="0" w:color="B2D83A" w:themeColor="accent2"/&gt;&lt;w:bottom w:val="single" w:sz="4" w:space="0" w:color="B2D83A" w:themeColor="accent2"/&gt;&lt;/w:tblBorders&gt;&lt;/w:tblPr&gt;&lt;w:tblStylePr w:type="firstRow"&gt;&lt;w:rPr&gt;&lt;w:b/&gt;&lt;w:bCs/&gt;&lt;/w:rPr&gt;&lt;w:tblPr/&gt;&lt;w:tcPr&gt;&lt;w:tcBorders&gt;&lt;w:bottom w:val="single" w:sz="4" w:space="0" w:color="B2D83A" w:themeColor="accent2"/&gt;&lt;/w:tcBorders&gt;&lt;/w:tcPr&gt;&lt;/w:tblStylePr&gt;&lt;w:tblStylePr w:type="lastRow"&gt;&lt;w:rPr&gt;&lt;w:b/&gt;&lt;w:bCs/&gt;&lt;/w:rPr&gt;&lt;w:tblPr/&gt;&lt;w:tcPr&gt;&lt;w:tcBorders&gt;&lt;w:top w:val="double" w:sz="4" w:space="0" w:color="B2D83A"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w:styleId="ListTable6Colorful-Accent3"&gt;&lt;w:name w:val="List Table 6 Colorful Accent 3"/&gt;&lt;w:basedOn w:val="TableNormal"/&gt;&lt;w:uiPriority w:val="51"/&gt;&lt;w:locked/&gt;&lt;w:rsid w:val="00D30A58"/&gt;&lt;w:pPr&gt;&lt;w:spacing w:after="0" w:line="240" w:lineRule="auto"/&gt;&lt;/w:pPr&gt;&lt;w:rPr&gt;&lt;w:color w:val="004B8E" w:themeColor="accent3" w:themeShade="BF"/&gt;&lt;/w:rPr&gt;&lt;w:tblPr&gt;&lt;w:tblStyleRowBandSize w:val="1"/&gt;&lt;w:tblStyleColBandSize w:val="1"/&gt;&lt;w:tblBorders&gt;&lt;w:top w:val="single" w:sz="4" w:space="0" w:color="0066BE" w:themeColor="accent3"/&gt;&lt;w:bottom w:val="single" w:sz="4" w:space="0" w:color="0066BE" w:themeColor="accent3"/&gt;&lt;/w:tblBorders&gt;&lt;/w:tblPr&gt;&lt;w:tblStylePr w:type="firstRow"&gt;&lt;w:rPr&gt;&lt;w:b/&gt;&lt;w:bCs/&gt;&lt;/w:rPr&gt;&lt;w:tblPr/&gt;&lt;w:tcPr&gt;&lt;w:tcBorders&gt;&lt;w:bottom w:val="single" w:sz="4" w:space="0" w:color="0066BE" w:themeColor="accent3"/&gt;&lt;/w:tcBorders&gt;&lt;/w:tcPr&gt;&lt;/w:tblStylePr&gt;&lt;w:tblStylePr w:type="lastRow"&gt;&lt;w:rPr&gt;&lt;w:b/&gt;&lt;w:bCs/&gt;&lt;/w:rPr&gt;&lt;w:tblPr/&gt;&lt;w:tcPr&gt;&lt;w:tcBorders&gt;&lt;w:top w:val="double" w:sz="4" w:space="0" w:color="0066BE"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w:styleId="ListTable6Colorful-Accent4"&gt;&lt;w:name w:val="List Table 6 Colorful Accent 4"/&gt;&lt;w:basedOn w:val="TableNormal"/&gt;&lt;w:uiPriority w:val="51"/&gt;&lt;w:locked/&gt;&lt;w:rsid w:val="00D30A58"/&gt;&lt;w:pPr&gt;&lt;w:spacing w:after="0" w:line="240" w:lineRule="auto"/&gt;&lt;/w:pPr&gt;&lt;w:rPr&gt;&lt;w:color w:val="BA5010" w:themeColor="accent4" w:themeShade="BF"/&gt;&lt;/w:rPr&gt;&lt;w:tblPr&gt;&lt;w:tblStyleRowBandSize w:val="1"/&gt;&lt;w:tblStyleColBandSize w:val="1"/&gt;&lt;w:tblBorders&gt;&lt;w:top w:val="single" w:sz="4" w:space="0" w:color="EC7023" w:themeColor="accent4"/&gt;&lt;w:bottom w:val="single" w:sz="4" w:space="0" w:color="EC7023" w:themeColor="accent4"/&gt;&lt;/w:tblBorders&gt;&lt;/w:tblPr&gt;&lt;w:tblStylePr w:type="firstRow"&gt;&lt;w:rPr&gt;&lt;w:b/&gt;&lt;w:bCs/&gt;&lt;/w:rPr&gt;&lt;w:tblPr/&gt;&lt;w:tcPr&gt;&lt;w:tcBorders&gt;&lt;w:bottom w:val="single" w:sz="4" w:space="0" w:color="EC7023" w:themeColor="accent4"/&gt;&lt;/w:tcBorders&gt;&lt;/w:tcPr&gt;&lt;/w:tblStylePr&gt;&lt;w:tblStylePr w:type="lastRow"&gt;&lt;w:rPr&gt;&lt;w:b/&gt;&lt;w:bCs/&gt;&lt;/w:rPr&gt;&lt;w:tblPr/&gt;&lt;w:tcPr&gt;&lt;w:tcBorders&gt;&lt;w:top w:val="double" w:sz="4" w:space="0" w:color="EC7023"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w:styleId="ListTable6Colorful-Accent5"&gt;&lt;w:name w:val="List Table 6 Colorful Accent 5"/&gt;&lt;w:basedOn w:val="TableNormal"/&gt;&lt;w:uiPriority w:val="51"/&gt;&lt;w:locked/&gt;&lt;w:rsid w:val="00D30A58"/&gt;&lt;w:pPr&gt;&lt;w:spacing w:after="0" w:line="240" w:lineRule="auto"/&gt;&lt;/w:pPr&gt;&lt;w:rPr&gt;&lt;w:color w:val="AC1A1A" w:themeColor="accent5" w:themeShade="BF"/&gt;&lt;/w:rPr&gt;&lt;w:tblPr&gt;&lt;w:tblStyleRowBandSize w:val="1"/&gt;&lt;w:tblStyleColBandSize w:val="1"/&gt;&lt;w:tblBorders&gt;&lt;w:top w:val="single" w:sz="4" w:space="0" w:color="DF2A2A" w:themeColor="accent5"/&gt;&lt;w:bottom w:val="single" w:sz="4" w:space="0" w:color="DF2A2A" w:themeColor="accent5"/&gt;&lt;/w:tblBorders&gt;&lt;/w:tblPr&gt;&lt;w:tblStylePr w:type="firstRow"&gt;&lt;w:rPr&gt;&lt;w:b/&gt;&lt;w:bCs/&gt;&lt;/w:rPr&gt;&lt;w:tblPr/&gt;&lt;w:tcPr&gt;&lt;w:tcBorders&gt;&lt;w:bottom w:val="single" w:sz="4" w:space="0" w:color="DF2A2A" w:themeColor="accent5"/&gt;&lt;/w:tcBorders&gt;&lt;/w:tcPr&gt;&lt;/w:tblStylePr&gt;&lt;w:tblStylePr w:type="lastRow"&gt;&lt;w:rPr&gt;&lt;w:b/&gt;&lt;w:bCs/&gt;&lt;/w:rPr&gt;&lt;w:tblPr/&gt;&lt;w:tcPr&gt;&lt;w:tcBorders&gt;&lt;w:top w:val="double" w:sz="4" w:space="0" w:color="DF2A2A"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w:styleId="ListTable6Colorful-Accent6"&gt;&lt;w:name w:val="List Table 6 Colorful Accent 6"/&gt;&lt;w:basedOn w:val="TableNormal"/&gt;&lt;w:uiPriority w:val="51"/&gt;&lt;w:locked/&gt;&lt;w:rsid w:val="00D30A58"/&gt;&lt;w:pPr&gt;&lt;w:spacing w:after="0" w:line="240" w:lineRule="auto"/&gt;&lt;/w:pPr&gt;&lt;w:rPr&gt;&lt;w:color w:val="392471" w:themeColor="accent6" w:themeShade="BF"/&gt;&lt;/w:rPr&gt;&lt;w:tblPr&gt;&lt;w:tblStyleRowBandSize w:val="1"/&gt;&lt;w:tblStyleColBandSize w:val="1"/&gt;&lt;w:tblBorders&gt;&lt;w:top w:val="single" w:sz="4" w:space="0" w:color="4D3097" w:themeColor="accent6"/&gt;&lt;w:bottom w:val="single" w:sz="4" w:space="0" w:color="4D3097" w:themeColor="accent6"/&gt;&lt;/w:tblBorders&gt;&lt;/w:tblPr&gt;&lt;w:tblStylePr w:type="firstRow"&gt;&lt;w:rPr&gt;&lt;w:b/&gt;&lt;w:bCs/&gt;&lt;/w:rPr&gt;&lt;w:tblPr/&gt;&lt;w:tcPr&gt;&lt;w:tcBorders&gt;&lt;w:bottom w:val="single" w:sz="4" w:space="0" w:color="4D3097" w:themeColor="accent6"/&gt;&lt;/w:tcBorders&gt;&lt;/w:tcPr&gt;&lt;/w:tblStylePr&gt;&lt;w:tblStylePr w:type="lastRow"&gt;&lt;w:rPr&gt;&lt;w:b/&gt;&lt;w:bCs/&gt;&lt;/w:rPr&gt;&lt;w:tblPr/&gt;&lt;w:tcPr&gt;&lt;w:tcBorders&gt;&lt;w:top w:val="double" w:sz="4" w:space="0" w:color="4D3097"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w:styleId="ListTable7Colorful"&gt;&lt;w:name w:val="List Table 7 Colorful"/&gt;&lt;w:basedOn w:val="TableNormal"/&gt;&lt;w:uiPriority w:val="52"/&gt;&lt;w:locked/&gt;&lt;w:rsid w:val="00D30A58"/&gt;&lt;w:pPr&gt;&lt;w:spacing w:after="0" w:line="240" w:lineRule="auto"/&gt;&lt;/w:pPr&gt;&lt;w:tblPr&gt;&lt;w:tblStyleRowBandSize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w:color="000000" w:themeColor="text1"/&gt;&lt;/w:tcBorders&gt;&lt;w:shd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w:color="000000" w:themeColor="text1"/&gt;&lt;/w:tcBorders&gt;&lt;w:shd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w:color="000000" w:themeColor="text1"/&gt;&lt;/w:tcBorders&gt;&lt;w:shd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w:color="000000" w:themeColor="text1"/&gt;&lt;/w:tcBorders&gt;&lt;w:shd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w:styleId="ListTable7Colorful-Accent1"&gt;&lt;w:name w:val="List Table 7 Colorful Accent 1"/&gt;&lt;w:basedOn w:val="TableNormal"/&gt;&lt;w:uiPriority w:val="52"/&gt;&lt;w:locked/&gt;&lt;w:rsid w:val="00D30A58"/&gt;&lt;w:pPr&gt;&lt;w:spacing w:after="0" w:line="240" w:lineRule="auto"/&gt;&lt;/w:pPr&gt;&lt;w:rPr&gt;&lt;w:color w:val="357D32" w:themeColor="accent1"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w:color="47A843" w:themeColor="accent1"/&gt;&lt;/w:tcBorders&gt;&lt;w:shd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w:color="47A843" w:themeColor="accent1"/&gt;&lt;/w:tcBorders&gt;&lt;w:shd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w:color="47A843" w:themeColor="accent1"/&gt;&lt;/w:tcBorders&gt;&lt;w:shd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w:color="47A843" w:themeColor="accent1"/&gt;&lt;/w:tcBorders&gt;&lt;w:shd w:val="clear" w:color="auto" w:fill="FFFFFF" w:themeFill="background1"/&gt;&lt;/w:tcPr&gt;&lt;/w:tblStylePr&gt;&lt;w:tblStylePr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w:styleId="ListTable7Colorful-Accent2"&gt;&lt;w:name w:val="List Table 7 Colorful Accent 2"/&gt;&lt;w:basedOn w:val="TableNormal"/&gt;&lt;w:uiPriority w:val="52"/&gt;&lt;w:locked/&gt;&lt;w:rsid w:val="00D30A58"/&gt;&lt;w:pPr&gt;&lt;w:spacing w:after="0" w:line="240" w:lineRule="auto"/&gt;&lt;/w:pPr&gt;&lt;w:rPr&gt;&lt;w:color w:val="89AB22" w:themeColor="accent2"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w:color="B2D83A" w:themeColor="accent2"/&gt;&lt;/w:tcBorders&gt;&lt;w:shd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w:color="B2D83A" w:themeColor="accent2"/&gt;&lt;/w:tcBorders&gt;&lt;w:shd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w:color="B2D83A" w:themeColor="accent2"/&gt;&lt;/w:tcBorders&gt;&lt;w:shd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w:color="B2D83A" w:themeColor="accent2"/&gt;&lt;/w:tcBorders&gt;&lt;w:shd w:val="clear" w:color="auto" w:fill="FFFFFF" w:themeFill="background1"/&gt;&lt;/w:tcPr&gt;&lt;/w:tblStylePr&gt;&lt;w:tblStylePr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w:styleId="ListTable7Colorful-Accent3"&gt;&lt;w:name w:val="List Table 7 Colorful Accent 3"/&gt;&lt;w:basedOn w:val="TableNormal"/&gt;&lt;w:uiPriority w:val="52"/&gt;&lt;w:locked/&gt;&lt;w:rsid w:val="00D30A58"/&gt;&lt;w:pPr&gt;&lt;w:spacing w:after="0" w:line="240" w:lineRule="auto"/&gt;&lt;/w:pPr&gt;&lt;w:rPr&gt;&lt;w:color w:val="004B8E" w:themeColor="accent3"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w:color="0066BE" w:themeColor="accent3"/&gt;&lt;/w:tcBorders&gt;&lt;w:shd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w:color="0066BE" w:themeColor="accent3"/&gt;&lt;/w:tcBorders&gt;&lt;w:shd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w:color="0066BE" w:themeColor="accent3"/&gt;&lt;/w:tcBorders&gt;&lt;w:shd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w:color="0066BE" w:themeColor="accent3"/&gt;&lt;/w:tcBorders&gt;&lt;w:shd w:val="clear" w:color="auto" w:fill="FFFFFF" w:themeFill="background1"/&gt;&lt;/w:tcPr&gt;&lt;/w:tblStylePr&gt;&lt;w:tblStylePr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w:styleId="ListTable7Colorful-Accent4"&gt;&lt;w:name w:val="List Table 7 Colorful Accent 4"/&gt;&lt;w:basedOn w:val="TableNormal"/&gt;&lt;w:uiPriority w:val="52"/&gt;&lt;w:locked/&gt;&lt;w:rsid w:val="00D30A58"/&gt;&lt;w:pPr&gt;&lt;w:spacing w:after="0" w:line="240" w:lineRule="auto"/&gt;&lt;/w:pPr&gt;&lt;w:rPr&gt;&lt;w:color w:val="BA5010" w:themeColor="accent4"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w:color="EC7023" w:themeColor="accent4"/&gt;&lt;/w:tcBorders&gt;&lt;w:shd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w:color="EC7023" w:themeColor="accent4"/&gt;&lt;/w:tcBorders&gt;&lt;w:shd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w:color="EC7023" w:themeColor="accent4"/&gt;&lt;/w:tcBorders&gt;&lt;w:shd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w:color="EC7023" w:themeColor="accent4"/&gt;&lt;/w:tcBorders&gt;&lt;w:shd w:val="clear" w:color="auto" w:fill="FFFFFF" w:themeFill="background1"/&gt;&lt;/w:tcPr&gt;&lt;/w:tblStylePr&gt;&lt;w:tblStylePr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w:styleId="ListTable7Colorful-Accent5"&gt;&lt;w:name w:val="List Table 7 Colorful Accent 5"/&gt;&lt;w:basedOn w:val="TableNormal"/&gt;&lt;w:uiPriority w:val="52"/&gt;&lt;w:locked/&gt;&lt;w:rsid w:val="00D30A58"/&gt;&lt;w:pPr&gt;&lt;w:spacing w:after="0" w:line="240" w:lineRule="auto"/&gt;&lt;/w:pPr&gt;&lt;w:rPr&gt;&lt;w:color w:val="AC1A1A" w:themeColor="accent5"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w:color="DF2A2A" w:themeColor="accent5"/&gt;&lt;/w:tcBorders&gt;&lt;w:shd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w:color="DF2A2A" w:themeColor="accent5"/&gt;&lt;/w:tcBorders&gt;&lt;w:shd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w:color="DF2A2A" w:themeColor="accent5"/&gt;&lt;/w:tcBorders&gt;&lt;w:shd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w:color="DF2A2A" w:themeColor="accent5"/&gt;&lt;/w:tcBorders&gt;&lt;w:shd w:val="clear" w:color="auto" w:fill="FFFFFF" w:themeFill="background1"/&gt;&lt;/w:tcPr&gt;&lt;/w:tblStylePr&gt;&lt;w:tblStylePr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w:styleId="ListTable7Colorful-Accent6"&gt;&lt;w:name w:val="List Table 7 Colorful Accent 6"/&gt;&lt;w:basedOn w:val="TableNormal"/&gt;&lt;w:uiPriority w:val="52"/&gt;&lt;w:locked/&gt;&lt;w:rsid w:val="00D30A58"/&gt;&lt;w:pPr&gt;&lt;w:spacing w:after="0" w:line="240" w:lineRule="auto"/&gt;&lt;/w:pPr&gt;&lt;w:rPr&gt;&lt;w:color w:val="392471" w:themeColor="accent6"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w:color="4D3097" w:themeColor="accent6"/&gt;&lt;/w:tcBorders&gt;&lt;w:shd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w:color="4D3097" w:themeColor="accent6"/&gt;&lt;/w:tcBorders&gt;&lt;w:shd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w:color="4D3097" w:themeColor="accent6"/&gt;&lt;/w:tcBorders&gt;&lt;w:shd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w:color="4D3097" w:themeColor="accent6"/&gt;&lt;/w:tcBorders&gt;&lt;w:shd w:val="clear" w:color="auto" w:fill="FFFFFF" w:themeFill="background1"/&gt;&lt;/w:tcPr&gt;&lt;/w:tblStylePr&gt;&lt;w:tblStylePr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w:styleId="MacroText"&gt;&lt;w:name w:val="macro"/&gt;&lt;w:link w:val="MacroTextChar"/&gt;&lt;w:uiPriority w:val="99"/&gt;&lt;w:semiHidden/&gt;&lt;w:locked/&gt;&lt;w:rsid w:val="00D30A58"/&gt;&lt;w:pPr&gt;&lt;w:tabs&gt;&lt;w:tab w:val="left" w:pos="480"/&gt;&lt;w:tab w:val="left" w:pos="960"/&gt;&lt;w:tab w:val="left" w:pos="1440"/&gt;&lt;w:tab w:val="left" w:pos="1920"/&gt;&lt;w:tab w:val="left" w:pos="2400"/&gt;&lt;w:tab w:val="left" w:pos="2880"/&gt;&lt;w:tab w:val="left" w:pos="3360"/&gt;&lt;w:tab w:val="left" w:pos="3840"/&gt;&lt;w:tab w:val="left" w:pos="4320"/&gt;&lt;/w:tabs&gt;&lt;w:spacing w:after="0"/&gt;&lt;/w:pPr&gt;&lt;w:rPr&gt;&lt;w:rFonts w:ascii="Consolas" w:hAnsi="Consolas"/&gt;&lt;w:sz w:val="20"/&gt;&lt;w:szCs w:val="20"/&gt;&lt;/w:rPr&gt;&lt;/w:style&gt;&lt;w:style w:type="character" w:customStyle="1" w:styleId="MacroTextChar"&gt;&lt;w:name w:val="Macro Text Char"/&gt;&lt;w:basedOn w:val="DefaultParagraphFont"/&gt;&lt;w:link w:val="MacroText"/&gt;&lt;w:uiPriority w:val="99"/&gt;&lt;w:semiHidden/&gt;&lt;w:rsid w:val="00D30A58"/&gt;&lt;w:rPr&gt;&lt;w:rFonts w:ascii="Consolas" w:hAnsi="Consolas"/&gt;&lt;w:sz w:val="20"/&gt;&lt;w:szCs w:val="20"/&gt;&lt;/w:rPr&gt;&lt;/w:style&gt;&lt;w:style w:type="table" w:styleId="MediumGrid1"&gt;&lt;w:name w:val="Medium Grid 1"/&gt;&lt;w:basedOn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w:themeTint="BF"/&gt;&lt;w:insideV w:val="single" w:sz="8" w:space="0" w:color="404040" w:themeColor="text1" w:themeTint="BF"/&gt;&lt;/w:tblBorders&gt;&lt;/w:tblPr&gt;&lt;w:tcPr&gt;&lt;w:shd w:val="clear" w:color="auto" w:fill="C0C0C0" w:themeFill="text1" w:themeFillTint="3F"/&gt;&lt;/w:tcPr&gt;&lt;w:tblStylePr w:type="firstRow"&gt;&lt;w:rPr&gt;&lt;w:b/&gt;&lt;w:bCs/&gt;&lt;/w:rPr&gt;&lt;/w:tblStylePr&gt;&lt;w:tblStylePr w:type="lastRow"&gt;&lt;w:rPr&gt;&lt;w:b/&gt;&lt;w:bCs/&gt;&lt;/w:rPr&gt;&lt;w:tblPr/&gt;&lt;w:tcPr&gt;&lt;w:tcBorders&gt;&lt;w:top w:val="single" w:sz="18" w:space="0" w:color="404040" w:themeColor="text1"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w:styleId="MediumGrid1-Accent1"&gt;&lt;w:name w:val="Medium Grid 1 Accent 1"/&gt;&lt;w:basedOn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w:color="6FC46B" w:themeColor="accent1" w:themeTint="BF"/&gt;&lt;w:left w:val="single" w:sz="8" w:space="0" w:color="6FC46B" w:themeColor="accent1" w:themeTint="BF"/&gt;&lt;w:bottom w:val="single" w:sz="8" w:space="0" w:color="6FC46B" w:themeColor="accent1" w:themeTint="BF"/&gt;&lt;w:right w:val="single" w:sz="8" w:space="0" w:color="6FC46B" w:themeColor="accent1" w:themeTint="BF"/&gt;&lt;w:insideH w:val="single" w:sz="8" w:space="0" w:color="6FC46B" w:themeColor="accent1" w:themeTint="BF"/&gt;&lt;w:insideV w:val="single" w:sz="8" w:space="0" w:color="6FC46B" w:themeColor="accent1" w:themeTint="BF"/&gt;&lt;/w:tblBorders&gt;&lt;/w:tblPr&gt;&lt;w:tcPr&gt;&lt;w:shd w:val="clear" w:color="auto" w:fill="CFEBCE" w:themeFill="accent1" w:themeFillTint="3F"/&gt;&lt;/w:tcPr&gt;&lt;w:tblStylePr w:type="firstRow"&gt;&lt;w:rPr&gt;&lt;w:b/&gt;&lt;w:bCs/&gt;&lt;/w:rPr&gt;&lt;/w:tblStylePr&gt;&lt;w:tblStylePr w:type="lastRow"&gt;&lt;w:rPr&gt;&lt;w:b/&gt;&lt;w:bCs/&gt;&lt;/w:rPr&gt;&lt;w:tblPr/&gt;&lt;w:tcPr&gt;&lt;w:tcBorders&gt;&lt;w:top w:val="single" w:sz="18" w:space="0" w:color="6FC46B" w:themeColor="accent1"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w:fill="9FD89D" w:themeFill="accent1" w:themeFillTint="7F"/&gt;&lt;/w:tcPr&gt;&lt;/w:tblStylePr&gt;&lt;w:tblStylePr w:type="band1Horz"&gt;&lt;w:tblPr/&gt;&lt;w:tcPr&gt;&lt;w:shd w:val="clear" w:color="auto" w:fill="9FD89D" w:themeFill="accent1" w:themeFillTint="7F"/&gt;&lt;/w:tcPr&gt;&lt;/w:tblStylePr&gt;&lt;/w:style&gt;&lt;w:style w:type="table" w:styleId="MediumGrid1-Accent2"&gt;&lt;w:name w:val="Medium Grid 1 Accent 2"/&gt;&lt;w:basedOn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w:color="C4E16B" w:themeColor="accent2" w:themeTint="BF"/&gt;&lt;w:left w:val="single" w:sz="8" w:space="0" w:color="C4E16B" w:themeColor="accent2" w:themeTint="BF"/&gt;&lt;w:bottom w:val="single" w:sz="8" w:space="0" w:color="C4E16B" w:themeColor="accent2" w:themeTint="BF"/&gt;&lt;w:right w:val="single" w:sz="8" w:space="0" w:color="C4E16B" w:themeColor="accent2" w:themeTint="BF"/&gt;&lt;w:insideH w:val="single" w:sz="8" w:space="0" w:color="C4E16B" w:themeColor="accent2" w:themeTint="BF"/&gt;&lt;w:insideV w:val="single" w:sz="8" w:space="0" w:color="C4E16B" w:themeColor="accent2" w:themeTint="BF"/&gt;&lt;/w:tblBorders&gt;&lt;/w:tblPr&gt;&lt;w:tcPr&gt;&lt;w:shd w:val="clear" w:color="auto" w:fill="EBF5CE" w:themeFill="accent2" w:themeFillTint="3F"/&gt;&lt;/w:tcPr&gt;&lt;w:tblStylePr w:type="firstRow"&gt;&lt;w:rPr&gt;&lt;w:b/&gt;&lt;w:bCs/&gt;&lt;/w:rPr&gt;&lt;/w:tblStylePr&gt;&lt;w:tblStylePr w:type="lastRow"&gt;&lt;w:rPr&gt;&lt;w:b/&gt;&lt;w:bCs/&gt;&lt;/w:rPr&gt;&lt;w:tblPr/&gt;&lt;w:tcPr&gt;&lt;w:tcBorders&gt;&lt;w:top w:val="single" w:sz="18" w:space="0" w:color="C4E16B" w:themeColor="accent2"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w:fill="D8EB9C" w:themeFill="accent2" w:themeFillTint="7F"/&gt;&lt;/w:tcPr&gt;&lt;/w:tblStylePr&gt;&lt;w:tblStylePr w:type="band1Horz"&gt;&lt;w:tblPr/&gt;&lt;w:tcPr&gt;&lt;w:shd w:val="clear" w:color="auto" w:fill="D8EB9C" w:themeFill="accent2" w:themeFillTint="7F"/&gt;&lt;/w:tcPr&gt;&lt;/w:tblStylePr&gt;&lt;/w:style&gt;&lt;w:style w:type="table" w:styleId="MediumGrid1-Accent3"&gt;&lt;w:name w:val="Medium Grid 1 Accent 3"/&gt;&lt;w:basedOn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w:color="0F8FFF" w:themeColor="accent3" w:themeTint="BF"/&gt;&lt;w:left w:val="single" w:sz="8" w:space="0" w:color="0F8FFF" w:themeColor="accent3" w:themeTint="BF"/&gt;&lt;w:bottom w:val="single" w:sz="8" w:space="0" w:color="0F8FFF" w:themeColor="accent3" w:themeTint="BF"/&gt;&lt;w:right w:val="single" w:sz="8" w:space="0" w:color="0F8FFF" w:themeColor="accent3" w:themeTint="BF"/&gt;&lt;w:insideH w:val="single" w:sz="8" w:space="0" w:color="0F8FFF" w:themeColor="accent3" w:themeTint="BF"/&gt;&lt;w:insideV w:val="single" w:sz="8" w:space="0" w:color="0F8FFF" w:themeColor="accent3" w:themeTint="BF"/&gt;&lt;/w:tblBorders&gt;&lt;/w:tblPr&gt;&lt;w:tcPr&gt;&lt;w:shd w:val="clear" w:color="auto" w:fill="AFD9FF" w:themeFill="accent3" w:themeFillTint="3F"/&gt;&lt;/w:tcPr&gt;&lt;w:tblStylePr w:type="firstRow"&gt;&lt;w:rPr&gt;&lt;w:b/&gt;&lt;w:bCs/&gt;&lt;/w:rPr&gt;&lt;/w:tblStylePr&gt;&lt;w:tblStylePr w:type="lastRow"&gt;&lt;w:rPr&gt;&lt;w:b/&gt;&lt;w:bCs/&gt;&lt;/w:rPr&gt;&lt;w:tblPr/&gt;&lt;w:tcPr&gt;&lt;w:tcBorders&gt;&lt;w:top w:val="single" w:sz="18" w:space="0" w:color="0F8FFF" w:themeColor="accent3"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w:fill="5FB4FF" w:themeFill="accent3" w:themeFillTint="7F"/&gt;&lt;/w:tcPr&gt;&lt;/w:tblStylePr&gt;&lt;w:tblStylePr w:type="band1Horz"&gt;&lt;w:tblPr/&gt;&lt;w:tcPr&gt;&lt;w:shd w:val="clear" w:color="auto" w:fill="5FB4FF" w:themeFill="accent3" w:themeFillTint="7F"/&gt;&lt;/w:tcPr&gt;&lt;/w:tblStylePr&gt;&lt;/w:style&gt;&lt;w:style w:type="table" w:styleId="MediumGrid1-Accent4"&gt;&lt;w:name w:val="Medium Grid 1 Accent 4"/&gt;&lt;w:basedOn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w:color="F09359" w:themeColor="accent4" w:themeTint="BF"/&gt;&lt;w:left w:val="single" w:sz="8" w:space="0" w:color="F09359" w:themeColor="accent4" w:themeTint="BF"/&gt;&lt;w:bottom w:val="single" w:sz="8" w:space="0" w:color="F09359" w:themeColor="accent4" w:themeTint="BF"/&gt;&lt;w:right w:val="single" w:sz="8" w:space="0" w:color="F09359" w:themeColor="accent4" w:themeTint="BF"/&gt;&lt;w:insideH w:val="single" w:sz="8" w:space="0" w:color="F09359" w:themeColor="accent4" w:themeTint="BF"/&gt;&lt;w:insideV w:val="single" w:sz="8" w:space="0" w:color="F09359" w:themeColor="accent4" w:themeTint="BF"/&gt;&lt;/w:tblBorders&gt;&lt;/w:tblPr&gt;&lt;w:tcPr&gt;&lt;w:shd w:val="clear" w:color="auto" w:fill="FADBC8" w:themeFill="accent4" w:themeFillTint="3F"/&gt;&lt;/w:tcPr&gt;&lt;w:tblStylePr w:type="firstRow"&gt;&lt;w:rPr&gt;&lt;w:b/&gt;&lt;w:bCs/&gt;&lt;/w:rPr&gt;&lt;/w:tblStylePr&gt;&lt;w:tblStylePr w:type="lastRow"&gt;&lt;w:rPr&gt;&lt;w:b/&gt;&lt;w:bCs/&gt;&lt;/w:rPr&gt;&lt;w:tblPr/&gt;&lt;w:tcPr&gt;&lt;w:tcBorders&gt;&lt;w:top w:val="single" w:sz="18" w:space="0" w:color="F09359" w:themeColor="accent4"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w:fill="F5B791" w:themeFill="accent4" w:themeFillTint="7F"/&gt;&lt;/w:tcPr&gt;&lt;/w:tblStylePr&gt;&lt;w:tblStylePr w:type="band1Horz"&gt;&lt;w:tblPr/&gt;&lt;w:tcPr&gt;&lt;w:shd w:val="clear" w:color="auto" w:fill="F5B791" w:themeFill="accent4" w:themeFillTint="7F"/&gt;&lt;/w:tcPr&gt;&lt;/w:tblStylePr&gt;&lt;/w:style&gt;&lt;w:style w:type="table" w:styleId="MediumGrid1-Accent5"&gt;&lt;w:name w:val="Medium Grid 1 Accent 5"/&gt;&lt;w:basedOn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w:color="E75F5F" w:themeColor="accent5" w:themeTint="BF"/&gt;&lt;w:left w:val="single" w:sz="8" w:space="0" w:color="E75F5F" w:themeColor="accent5" w:themeTint="BF"/&gt;&lt;w:bottom w:val="single" w:sz="8" w:space="0" w:color="E75F5F" w:themeColor="accent5" w:themeTint="BF"/&gt;&lt;w:right w:val="single" w:sz="8" w:space="0" w:color="E75F5F" w:themeColor="accent5" w:themeTint="BF"/&gt;&lt;w:insideH w:val="single" w:sz="8" w:space="0" w:color="E75F5F" w:themeColor="accent5" w:themeTint="BF"/&gt;&lt;w:insideV w:val="single" w:sz="8" w:space="0" w:color="E75F5F" w:themeColor="accent5" w:themeTint="BF"/&gt;&lt;/w:tblBorders&gt;&lt;/w:tblPr&gt;&lt;w:tcPr&gt;&lt;w:shd w:val="clear" w:color="auto" w:fill="F7CACA" w:themeFill="accent5" w:themeFillTint="3F"/&gt;&lt;/w:tcPr&gt;&lt;w:tblStylePr w:type="firstRow"&gt;&lt;w:rPr&gt;&lt;w:b/&gt;&lt;w:bCs/&gt;&lt;/w:rPr&gt;&lt;/w:tblStylePr&gt;&lt;w:tblStylePr w:type="lastRow"&gt;&lt;w:rPr&gt;&lt;w:b/&gt;&lt;w:bCs/&gt;&lt;/w:rPr&gt;&lt;w:tblPr/&gt;&lt;w:tcPr&gt;&lt;w:tcBorders&gt;&lt;w:top w:val="single" w:sz="18" w:space="0" w:color="E75F5F" w:themeColor="accent5"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w:fill="EF9494" w:themeFill="accent5" w:themeFillTint="7F"/&gt;&lt;/w:tcPr&gt;&lt;/w:tblStylePr&gt;&lt;w:tblStylePr w:type="band1Horz"&gt;&lt;w:tblPr/&gt;&lt;w:tcPr&gt;&lt;w:shd w:val="clear" w:color="auto" w:fill="EF9494" w:themeFill="accent5" w:themeFillTint="7F"/&gt;&lt;/w:tcPr&gt;&lt;/w:tblStylePr&gt;&lt;/w:style&gt;&lt;w:style w:type="table" w:styleId="MediumGrid1-Accent6"&gt;&lt;w:name w:val="Medium Grid 1 Accent 6"/&gt;&lt;w:basedOn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w:color="6F4EC6" w:themeColor="accent6" w:themeTint="BF"/&gt;&lt;w:left w:val="single" w:sz="8" w:space="0" w:color="6F4EC6" w:themeColor="accent6" w:themeTint="BF"/&gt;&lt;w:bottom w:val="single" w:sz="8" w:space="0" w:color="6F4EC6" w:themeColor="accent6" w:themeTint="BF"/&gt;&lt;w:right w:val="single" w:sz="8" w:space="0" w:color="6F4EC6" w:themeColor="accent6" w:themeTint="BF"/&gt;&lt;w:insideH w:val="single" w:sz="8" w:space="0" w:color="6F4EC6" w:themeColor="accent6" w:themeTint="BF"/&gt;&lt;w:insideV w:val="single" w:sz="8" w:space="0" w:color="6F4EC6" w:themeColor="accent6" w:themeTint="BF"/&gt;&lt;/w:tblBorders&gt;&lt;/w:tblPr&gt;&lt;w:tcPr&gt;&lt;w:shd w:val="clear" w:color="auto" w:fill="CFC4EC" w:themeFill="accent6" w:themeFillTint="3F"/&gt;&lt;/w:tcPr&gt;&lt;w:tblStylePr w:type="firstRow"&gt;&lt;w:rPr&gt;&lt;w:b/&gt;&lt;w:bCs/&gt;&lt;/w:rPr&gt;&lt;/w:tblStylePr&gt;&lt;w:tblStylePr w:type="lastRow"&gt;&lt;w:rPr&gt;&lt;w:b/&gt;&lt;w:bCs/&gt;&lt;/w:rPr&gt;&lt;w:tblPr/&gt;&lt;w:tcPr&gt;&lt;w:tcBorders&gt;&lt;w:top w:val="single" w:sz="18" w:space="0" w:color="6F4EC6" w:themeColor="accent6"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w:fill="9F89D9" w:themeFill="accent6" w:themeFillTint="7F"/&gt;&lt;/w:tcPr&gt;&lt;/w:tblStylePr&gt;&lt;w:tblStylePr w:type="band1Horz"&gt;&lt;w:tblPr/&gt;&lt;w:tcPr&gt;&lt;w:shd w:val="clear" w:color="auto" w:fill="9F89D9" w:themeFill="accent6" w:themeFillTint="7F"/&gt;&lt;/w:tcPr&gt;&lt;/w:tblStylePr&gt;&lt;/w:style&gt;&lt;w:style w:type="table" w:styleId="MediumGrid2"&gt;&lt;w:name w:val="Medium Grid 2"/&gt;&lt;w:basedOn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w:themeColor="text1"/&gt;&lt;/w:tblBorders&gt;&lt;/w:tblPr&gt;&lt;w:tcPr&gt;&lt;w:shd w:val="clear" w:color="auto" w:fill="C0C0C0" w:themeFill="text1" w:themeFillTint="3F"/&gt;&lt;/w:tcPr&gt;&lt;w:tblStylePr w:type="firstRow"&gt;&lt;w:rPr&gt;&lt;w:b/&gt;&lt;w:bCs/&gt;&lt;w:color w:val="000000" w:themeColor="text1"/&gt;&lt;/w:rPr&gt;&lt;w:tblPr/&gt;&lt;w:tcPr&gt;&lt;w:shd w:val="clear" w:color="auto" w:fill="E6E6E6" w:themeFill="text1"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w:fill="CCCCCC" w:themeFill="text1" w:themeFillTint="33"/&gt;&lt;/w:tcPr&gt;&lt;/w:tblStylePr&gt;&lt;w:tblStylePr w:type="band1Vert"&gt;&lt;w:tblPr/&gt;&lt;w:tcPr&gt;&lt;w:shd w:val="clear" w:color="auto" w:fill="808080" w:themeFill="text1" w:themeFillTint="7F"/&gt;&lt;/w:tcPr&gt;&lt;/w:tblStylePr&gt;&lt;w:tblStylePr w:type="band1Horz"&gt;&lt;w:tblPr/&gt;&lt;w:tcPr&gt;&lt;w:tcBorders&gt;&lt;w:insideH w:val="single" w:sz="6" w:space="0" w:color="000000" w:themeColor="text1"/&gt;&lt;w:insideV w:val="single" w:sz="6" w:space="0" w:color="000000" w:themeColor="text1"/&gt;&lt;/w:tcBorders&gt;&lt;w:shd w:val="clear" w:color="auto" w:fill="808080" w:themeFill="text1" w:themeFillTint="7F"/&gt;&lt;/w:tcPr&gt;&lt;/w:tblStylePr&gt;&lt;w:tblStylePr w:type="nwCell"&gt;&lt;w:tblPr/&gt;&lt;w:tcPr&gt;&lt;w:shd w:val="clear" w:color="auto" w:fill="FFFFFF" w:themeFill="background1"/&gt;&lt;/w:tcPr&gt;&lt;/w:tblStylePr&gt;&lt;/w:style&gt;&lt;w:style w:type="table" w:styleId="MediumGrid2-Accent1"&gt;&lt;w:name w:val="Medium Grid 2 Accent 1"/&gt;&lt;w:basedOn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w:color="47A843" w:themeColor="accent1"/&gt;&lt;w:left w:val="single" w:sz="8" w:space="0" w:color="47A843" w:themeColor="accent1"/&gt;&lt;w:bottom w:val="single" w:sz="8" w:space="0" w:color="47A843" w:themeColor="accent1"/&gt;&lt;w:right w:val="single" w:sz="8" w:space="0" w:color="47A843" w:themeColor="accent1"/&gt;&lt;w:insideH w:val="single" w:sz="8" w:space="0" w:color="47A843" w:themeColor="accent1"/&gt;&lt;w:insideV w:val="single" w:sz="8" w:space="0" w:color="47A843" w:themeColor="accent1"/&gt;&lt;/w:tblBorders&gt;&lt;/w:tblPr&gt;&lt;w:tcPr&gt;&lt;w:shd w:val="clear" w:color="auto" w:fill="CFEBCE" w:themeFill="accent1" w:themeFillTint="3F"/&gt;&lt;/w:tcPr&gt;&lt;w:tblStylePr w:type="firstRow"&gt;&lt;w:rPr&gt;&lt;w:b/&gt;&lt;w:bCs/&gt;&lt;w:color w:val="000000" w:themeColor="text1"/&gt;&lt;/w:rPr&gt;&lt;w:tblPr/&gt;&lt;w:tcPr&gt;&lt;w:shd w:val="clear" w:color="auto" w:fill="ECF7EB" w:themeFill="accent1"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w:fill="D8EFD7" w:themeFill="accent1" w:themeFillTint="33"/&gt;&lt;/w:tcPr&gt;&lt;/w:tblStylePr&gt;&lt;w:tblStylePr w:type="band1Vert"&gt;&lt;w:tblPr/&gt;&lt;w:tcPr&gt;&lt;w:shd w:val="clear" w:color="auto" w:fill="9FD89D" w:themeFill="accent1" w:themeFillTint="7F"/&gt;&lt;/w:tcPr&gt;&lt;/w:tblStylePr&gt;&lt;w:tblStylePr w:type="band1Horz"&gt;&lt;w:tblPr/&gt;&lt;w:tcPr&gt;&lt;w:tcBorders&gt;&lt;w:insideH w:val="single" w:sz="6" w:space="0" w:color="47A843" w:themeColor="accent1"/&gt;&lt;w:insideV w:val="single" w:sz="6" w:space="0" w:color="47A843" w:themeColor="accent1"/&gt;&lt;/w:tcBorders&gt;&lt;w:shd w:val="clear" w:color="auto" w:fill="9FD89D" w:themeFill="accent1" w:themeFillTint="7F"/&gt;&lt;/w:tcPr&gt;&lt;/w:tblStylePr&gt;&lt;w:tblStylePr w:type="nwCell"&gt;&lt;w:tblPr/&gt;&lt;w:tcPr&gt;&lt;w:shd w:val="clear" w:color="auto" w:fill="FFFFFF" w:themeFill="background1"/&gt;&lt;/w:tcPr&gt;&lt;/w:tblStylePr&gt;&lt;/w:style&gt;&lt;w:style w:type="table" w:styleId="MediumGrid2-Accent2"&gt;&lt;w:name w:val="Medium Grid 2 Accent 2"/&gt;&lt;w:basedOn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w:color="B2D83A" w:themeColor="accent2"/&gt;&lt;w:left w:val="single" w:sz="8" w:space="0" w:color="B2D83A" w:themeColor="accent2"/&gt;&lt;w:bottom w:val="single" w:sz="8" w:space="0" w:color="B2D83A" w:themeColor="accent2"/&gt;&lt;w:right w:val="single" w:sz="8" w:space="0" w:color="B2D83A" w:themeColor="accent2"/&gt;&lt;w:insideH w:val="single" w:sz="8" w:space="0" w:color="B2D83A" w:themeColor="accent2"/&gt;&lt;w:insideV w:val="single" w:sz="8" w:space="0" w:color="B2D83A" w:themeColor="accent2"/&gt;&lt;/w:tblBorders&gt;&lt;/w:tblPr&gt;&lt;w:tcPr&gt;&lt;w:shd w:val="clear" w:color="auto" w:fill="EBF5CE" w:themeFill="accent2" w:themeFillTint="3F"/&gt;&lt;/w:tcPr&gt;&lt;w:tblStylePr w:type="firstRow"&gt;&lt;w:rPr&gt;&lt;w:b/&gt;&lt;w:bCs/&gt;&lt;w:color w:val="000000" w:themeColor="text1"/&gt;&lt;/w:rPr&gt;&lt;w:tblPr/&gt;&lt;w:tcPr&gt;&lt;w:shd w:val="clear" w:color="auto" w:fill="F7FBEB" w:themeFill="accent2"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w:fill="EFF7D7" w:themeFill="accent2" w:themeFillTint="33"/&gt;&lt;/w:tcPr&gt;&lt;/w:tblStylePr&gt;&lt;w:tblStylePr w:type="band1Vert"&gt;&lt;w:tblPr/&gt;&lt;w:tcPr&gt;&lt;w:shd w:val="clear" w:color="auto" w:fill="D8EB9C" w:themeFill="accent2" w:themeFillTint="7F"/&gt;&lt;/w:tcPr&gt;&lt;/w:tblStylePr&gt;&lt;w:tblStylePr w:type="band1Horz"&gt;&lt;w:tblPr/&gt;&lt;w:tcPr&gt;&lt;w:tcBorders&gt;&lt;w:insideH w:val="single" w:sz="6" w:space="0" w:color="B2D83A" w:themeColor="accent2"/&gt;&lt;w:insideV w:val="single" w:sz="6" w:space="0" w:color="B2D83A" w:themeColor="accent2"/&gt;&lt;/w:tcBorders&gt;&lt;w:shd w:val="clear" w:color="auto" w:fill="D8EB9C" w:themeFill="accent2" w:themeFillTint="7F"/&gt;&lt;/w:tcPr&gt;&lt;/w:tblStylePr&gt;&lt;w:tblStylePr w:type="nwCell"&gt;&lt;w:tblPr/&gt;&lt;w:tcPr&gt;&lt;w:shd w:val="clear" w:color="auto" w:fill="FFFFFF" w:themeFill="background1"/&gt;&lt;/w:tcPr&gt;&lt;/w:tblStylePr&gt;&lt;/w:style&gt;&lt;w:style w:type="table" w:styleId="MediumGrid2-Accent3"&gt;&lt;w:name w:val="Medium Grid 2 Accent 3"/&gt;&lt;w:basedOn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w:color="0066BE" w:themeColor="accent3"/&gt;&lt;w:left w:val="single" w:sz="8" w:space="0" w:color="0066BE" w:themeColor="accent3"/&gt;&lt;w:bottom w:val="single" w:sz="8" w:space="0" w:color="0066BE" w:themeColor="accent3"/&gt;&lt;w:right w:val="single" w:sz="8" w:space="0" w:color="0066BE" w:themeColor="accent3"/&gt;&lt;w:insideH w:val="single" w:sz="8" w:space="0" w:color="0066BE" w:themeColor="accent3"/&gt;&lt;w:insideV w:val="single" w:sz="8" w:space="0" w:color="0066BE" w:themeColor="accent3"/&gt;&lt;/w:tblBorders&gt;&lt;/w:tblPr&gt;&lt;w:tcPr&gt;&lt;w:shd w:val="clear" w:color="auto" w:fill="AFD9FF" w:themeFill="accent3" w:themeFillTint="3F"/&gt;&lt;/w:tcPr&gt;&lt;w:tblStylePr w:type="firstRow"&gt;&lt;w:rPr&gt;&lt;w:b/&gt;&lt;w:bCs/&gt;&lt;w:color w:val="000000" w:themeColor="text1"/&gt;&lt;/w:rPr&gt;&lt;w:tblPr/&gt;&lt;w:tcPr&gt;&lt;w:shd w:val="clear" w:color="auto" w:fill="DFF0FF" w:themeFill="accent3"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w:fill="BFE1FF" w:themeFill="accent3" w:themeFillTint="33"/&gt;&lt;/w:tcPr&gt;&lt;/w:tblStylePr&gt;&lt;w:tblStylePr w:type="band1Vert"&gt;&lt;w:tblPr/&gt;&lt;w:tcPr&gt;&lt;w:shd w:val="clear" w:color="auto" w:fill="5FB4FF" w:themeFill="accent3" w:themeFillTint="7F"/&gt;&lt;/w:tcPr&gt;&lt;/w:tblStylePr&gt;&lt;w:tblStylePr w:type="band1Horz"&gt;&lt;w:tblPr/&gt;&lt;w:tcPr&gt;&lt;w:tcBorders&gt;&lt;w:insideH w:val="single" w:sz="6" w:space="0" w:color="0066BE" w:themeColor="accent3"/&gt;&lt;w:insideV w:val="single" w:sz="6" w:space="0" w:color="0066BE" w:themeColor="accent3"/&gt;&lt;/w:tcBorders&gt;&lt;w:shd w:val="clear" w:color="auto" w:fill="5FB4FF" w:themeFill="accent3" w:themeFillTint="7F"/&gt;&lt;/w:tcPr&gt;&lt;/w:tblStylePr&gt;&lt;w:tblStylePr w:type="nwCell"&gt;&lt;w:tblPr/&gt;&lt;w:tcPr&gt;&lt;w:shd w:val="clear" w:color="auto" w:fill="FFFFFF" w:themeFill="background1"/&gt;&lt;/w:tcPr&gt;&lt;/w:tblStylePr&gt;&lt;/w:style&gt;&lt;w:style w:type="table" w:styleId="MediumGrid2-Accent4"&gt;&lt;w:name w:val="Medium Grid 2 Accent 4"/&gt;&lt;w:basedOn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w:color="EC7023" w:themeColor="accent4"/&gt;&lt;w:left w:val="single" w:sz="8" w:space="0" w:color="EC7023" w:themeColor="accent4"/&gt;&lt;w:bottom w:val="single" w:sz="8" w:space="0" w:color="EC7023" w:themeColor="accent4"/&gt;&lt;w:right w:val="single" w:sz="8" w:space="0" w:color="EC7023" w:themeColor="accent4"/&gt;&lt;w:insideH w:val="single" w:sz="8" w:space="0" w:color="EC7023" w:themeColor="accent4"/&gt;&lt;w:insideV w:val="single" w:sz="8" w:space="0" w:color="EC7023" w:themeColor="accent4"/&gt;&lt;/w:tblBorders&gt;&lt;/w:tblPr&gt;&lt;w:tcPr&gt;&lt;w:shd w:val="clear" w:color="auto" w:fill="FADBC8" w:themeFill="accent4" w:themeFillTint="3F"/&gt;&lt;/w:tcPr&gt;&lt;w:tblStylePr w:type="firstRow"&gt;&lt;w:rPr&gt;&lt;w:b/&gt;&lt;w:bCs/&gt;&lt;w:color w:val="000000" w:themeColor="text1"/&gt;&lt;/w:rPr&gt;&lt;w:tblPr/&gt;&lt;w:tcPr&gt;&lt;w:shd w:val="clear" w:color="auto" w:fill="FDF0E9" w:themeFill="accent4"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w:fill="FBE2D2" w:themeFill="accent4" w:themeFillTint="33"/&gt;&lt;/w:tcPr&gt;&lt;/w:tblStylePr&gt;&lt;w:tblStylePr w:type="band1Vert"&gt;&lt;w:tblPr/&gt;&lt;w:tcPr&gt;&lt;w:shd w:val="clear" w:color="auto" w:fill="F5B791" w:themeFill="accent4" w:themeFillTint="7F"/&gt;&lt;/w:tcPr&gt;&lt;/w:tblStylePr&gt;&lt;w:tblStylePr w:type="band1Horz"&gt;&lt;w:tblPr/&gt;&lt;w:tcPr&gt;&lt;w:tcBorders&gt;&lt;w:insideH w:val="single" w:sz="6" w:space="0" w:color="EC7023" w:themeColor="accent4"/&gt;&lt;w:insideV w:val="single" w:sz="6" w:space="0" w:color="EC7023" w:themeColor="accent4"/&gt;&lt;/w:tcBorders&gt;&lt;w:shd w:val="clear" w:color="auto" w:fill="F5B791" w:themeFill="accent4" w:themeFillTint="7F"/&gt;&lt;/w:tcPr&gt;&lt;/w:tblStylePr&gt;&lt;w:tblStylePr w:type="nwCell"&gt;&lt;w:tblPr/&gt;&lt;w:tcPr&gt;&lt;w:shd w:val="clear" w:color="auto" w:fill="FFFFFF" w:themeFill="background1"/&gt;&lt;/w:tcPr&gt;&lt;/w:tblStylePr&gt;&lt;/w:style&gt;&lt;w:style w:type="table" w:styleId="MediumGrid2-Accent5"&gt;&lt;w:name w:val="Medium Grid 2 Accent 5"/&gt;&lt;w:basedOn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w:color="DF2A2A" w:themeColor="accent5"/&gt;&lt;w:left w:val="single" w:sz="8" w:space="0" w:color="DF2A2A" w:themeColor="accent5"/&gt;&lt;w:bottom w:val="single" w:sz="8" w:space="0" w:color="DF2A2A" w:themeColor="accent5"/&gt;&lt;w:right w:val="single" w:sz="8" w:space="0" w:color="DF2A2A" w:themeColor="accent5"/&gt;&lt;w:insideH w:val="single" w:sz="8" w:space="0" w:color="DF2A2A" w:themeColor="accent5"/&gt;&lt;w:insideV w:val="single" w:sz="8" w:space="0" w:color="DF2A2A" w:themeColor="accent5"/&gt;&lt;/w:tblBorders&gt;&lt;/w:tblPr&gt;&lt;w:tcPr&gt;&lt;w:shd w:val="clear" w:color="auto" w:fill="F7CACA" w:themeFill="accent5" w:themeFillTint="3F"/&gt;&lt;/w:tcPr&gt;&lt;w:tblStylePr w:type="firstRow"&gt;&lt;w:rPr&gt;&lt;w:b/&gt;&lt;w:bCs/&gt;&lt;w:color w:val="000000" w:themeColor="text1"/&gt;&lt;/w:rPr&gt;&lt;w:tblPr/&gt;&lt;w:tcPr&gt;&lt;w:shd w:val="clear" w:color="auto" w:fill="FBE9E9" w:themeFill="accent5"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w:fill="F8D4D4" w:themeFill="accent5" w:themeFillTint="33"/&gt;&lt;/w:tcPr&gt;&lt;/w:tblStylePr&gt;&lt;w:tblStylePr w:type="band1Vert"&gt;&lt;w:tblPr/&gt;&lt;w:tcPr&gt;&lt;w:shd w:val="clear" w:color="auto" w:fill="EF9494" w:themeFill="accent5" w:themeFillTint="7F"/&gt;&lt;/w:tcPr&gt;&lt;/w:tblStylePr&gt;&lt;w:tblStylePr w:type="band1Horz"&gt;&lt;w:tblPr/&gt;&lt;w:tcPr&gt;&lt;w:tcBorders&gt;&lt;w:insideH w:val="single" w:sz="6" w:space="0" w:color="DF2A2A" w:themeColor="accent5"/&gt;&lt;w:insideV w:val="single" w:sz="6" w:space="0" w:color="DF2A2A" w:themeColor="accent5"/&gt;&lt;/w:tcBorders&gt;&lt;w:shd w:val="clear" w:color="auto" w:fill="EF9494" w:themeFill="accent5" w:themeFillTint="7F"/&gt;&lt;/w:tcPr&gt;&lt;/w:tblStylePr&gt;&lt;w:tblStylePr w:type="nwCell"&gt;&lt;w:tblPr/&gt;&lt;w:tcPr&gt;&lt;w:shd w:val="clear" w:color="auto" w:fill="FFFFFF" w:themeFill="background1"/&gt;&lt;/w:tcPr&gt;&lt;/w:tblStylePr&gt;&lt;/w:style&gt;&lt;w:style w:type="table" w:styleId="MediumGrid2-Accent6"&gt;&lt;w:name w:val="Medium Grid 2 Accent 6"/&gt;&lt;w:basedOn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w:color="4D3097" w:themeColor="accent6"/&gt;&lt;w:left w:val="single" w:sz="8" w:space="0" w:color="4D3097" w:themeColor="accent6"/&gt;&lt;w:bottom w:val="single" w:sz="8" w:space="0" w:color="4D3097" w:themeColor="accent6"/&gt;&lt;w:right w:val="single" w:sz="8" w:space="0" w:color="4D3097" w:themeColor="accent6"/&gt;&lt;w:insideH w:val="single" w:sz="8" w:space="0" w:color="4D3097" w:themeColor="accent6"/&gt;&lt;w:insideV w:val="single" w:sz="8" w:space="0" w:color="4D3097" w:themeColor="accent6"/&gt;&lt;/w:tblBorders&gt;&lt;/w:tblPr&gt;&lt;w:tcPr&gt;&lt;w:shd w:val="clear" w:color="auto" w:fill="CFC4EC" w:themeFill="accent6" w:themeFillTint="3F"/&gt;&lt;/w:tcPr&gt;&lt;w:tblStylePr w:type="firstRow"&gt;&lt;w:rPr&gt;&lt;w:b/&gt;&lt;w:bCs/&gt;&lt;w:color w:val="000000" w:themeColor="text1"/&gt;&lt;/w:rPr&gt;&lt;w:tblPr/&gt;&lt;w:tcPr&gt;&lt;w:shd w:val="clear" w:color="auto" w:fill="ECE7F7" w:themeFill="accent6"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w:fill="D8CFF0" w:themeFill="accent6" w:themeFillTint="33"/&gt;&lt;/w:tcPr&gt;&lt;/w:tblStylePr&gt;&lt;w:tblStylePr w:type="band1Vert"&gt;&lt;w:tblPr/&gt;&lt;w:tcPr&gt;&lt;w:shd w:val="clear" w:color="auto" w:fill="9F89D9" w:themeFill="accent6" w:themeFillTint="7F"/&gt;&lt;/w:tcPr&gt;&lt;/w:tblStylePr&gt;&lt;w:tblStylePr w:type="band1Horz"&gt;&lt;w:tblPr/&gt;&lt;w:tcPr&gt;&lt;w:tcBorders&gt;&lt;w:insideH w:val="single" w:sz="6" w:space="0" w:color="4D3097" w:themeColor="accent6"/&gt;&lt;w:insideV w:val="single" w:sz="6" w:space="0" w:color="4D3097" w:themeColor="accent6"/&gt;&lt;/w:tcBorders&gt;&lt;w:shd w:val="clear" w:color="auto" w:fill="9F89D9" w:themeFill="accent6" w:themeFillTint="7F"/&gt;&lt;/w:tcPr&gt;&lt;/w:tblStylePr&gt;&lt;w:tblStylePr w:type="nwCell"&gt;&lt;w:tblPr/&gt;&lt;w:tcPr&gt;&lt;w:shd w:val="clear" w:color="auto" w:fill="FFFFFF" w:themeFill="background1"/&gt;&lt;/w:tcPr&gt;&lt;/w:tblStylePr&gt;&lt;/w:style&gt;&lt;w:style w:type="table" w:styleId="MediumGrid3"&gt;&lt;w:name w:val="Medium Grid 3"/&gt;&lt;w:basedOn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w:fill="C0C0C0" w:themeFill="text1"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w:fill="000000" w:themeFill="text1"/&gt;&lt;/w:tcPr&gt;&lt;/w:tblStylePr&gt;&lt;w:tblStylePr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w:fill="000000" w:themeFill="text1"/&gt;&lt;/w:tcPr&gt;&lt;/w:tblStylePr&gt;&lt;w:tblStylePr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w:fill="808080" w:themeFill="text1"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w:fill="808080" w:themeFill="text1" w:themeFillTint="7F"/&gt;&lt;/w:tcPr&gt;&lt;/w:tblStylePr&gt;&lt;/w:style&gt;&lt;w:style w:type="table" w:styleId="MediumGrid3-Accent1"&gt;&lt;w:name w:val="Medium Grid 3 Accent 1"/&gt;&lt;w:basedOn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w:fill="CFEBCE" w:themeFill="accent1"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w:fill="47A843" w:themeFill="accent1"/&gt;&lt;/w:tcPr&gt;&lt;/w:tblStylePr&gt;&lt;w:tblStylePr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w:fill="47A843" w:themeFill="accent1"/&gt;&lt;/w:tcPr&gt;&lt;/w:tblStylePr&gt;&lt;w:tblStylePr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w:fill="47A843" w:themeFill="accent1"/&gt;&lt;/w:tcPr&gt;&lt;/w:tblStylePr&gt;&lt;w:tblStylePr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w:fill="47A843" w:themeFill="accent1"/&gt;&lt;/w:tcPr&gt;&lt;/w:tblStylePr&gt;&lt;w:tblStylePr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w:fill="9FD89D" w:themeFill="accent1"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w:fill="9FD89D" w:themeFill="accent1" w:themeFillTint="7F"/&gt;&lt;/w:tcPr&gt;&lt;/w:tblStylePr&gt;&lt;/w:style&gt;&lt;w:style w:type="table" w:styleId="MediumGrid3-Accent2"&gt;&lt;w:name w:val="Medium Grid 3 Accent 2"/&gt;&lt;w:basedOn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w:fill="EBF5CE" w:themeFill="accent2"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w:fill="B2D83A" w:themeFill="accent2"/&gt;&lt;/w:tcPr&gt;&lt;/w:tblStylePr&gt;&lt;w:tblStylePr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w:fill="B2D83A" w:themeFill="accent2"/&gt;&lt;/w:tcPr&gt;&lt;/w:tblStylePr&gt;&lt;w:tblStylePr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w:fill="B2D83A" w:themeFill="accent2"/&gt;&lt;/w:tcPr&gt;&lt;/w:tblStylePr&gt;&lt;w:tblStylePr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w:fill="B2D83A" w:themeFill="accent2"/&gt;&lt;/w:tcPr&gt;&lt;/w:tblStylePr&gt;&lt;w:tblStylePr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w:fill="D8EB9C" w:themeFill="accent2"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w:fill="D8EB9C" w:themeFill="accent2" w:themeFillTint="7F"/&gt;&lt;/w:tcPr&gt;&lt;/w:tblStylePr&gt;&lt;/w:style&gt;&lt;w:style w:type="table" w:styleId="MediumGrid3-Accent3"&gt;&lt;w:name w:val="Medium Grid 3 Accent 3"/&gt;&lt;w:basedOn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w:fill="AFD9FF"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w:fill="0066BE"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w:fill="0066BE"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w:fill="0066BE"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w:fill="0066BE"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w:fill="5FB4FF"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w:fill="5FB4FF" w:themeFill="accent3" w:themeFillTint="7F"/&gt;&lt;/w:tcPr&gt;&lt;/w:tblStylePr&gt;&lt;/w:style&gt;&lt;w:style w:type="table" w:styleId="MediumGrid3-Accent4"&gt;&lt;w:name w:val="Medium Grid 3 Accent 4"/&gt;&lt;w:basedOn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w:fill="FADBC8" w:themeFill="accent4"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w:fill="EC7023" w:themeFill="accent4"/&gt;&lt;/w:tcPr&gt;&lt;/w:tblStylePr&gt;&lt;w:tblStylePr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w:fill="EC7023" w:themeFill="accent4"/&gt;&lt;/w:tcPr&gt;&lt;/w:tblStylePr&gt;&lt;w:tblStylePr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w:fill="EC7023" w:themeFill="accent4"/&gt;&lt;/w:tcPr&gt;&lt;/w:tblStylePr&gt;&lt;w:tblStylePr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w:fill="EC7023" w:themeFill="accent4"/&gt;&lt;/w:tcPr&gt;&lt;/w:tblStylePr&gt;&lt;w:tblStylePr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w:fill="F5B791" w:themeFill="accent4"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w:fill="F5B791" w:themeFill="accent4" w:themeFillTint="7F"/&gt;&lt;/w:tcPr&gt;&lt;/w:tblStylePr&gt;&lt;/w:style&gt;&lt;w:style w:type="table" w:styleId="MediumGrid3-Accent5"&gt;&lt;w:name w:val="Medium Grid 3 Accent 5"/&gt;&lt;w:basedOn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w:fill="F7CACA" w:themeFill="accent5"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w:fill="DF2A2A" w:themeFill="accent5"/&gt;&lt;/w:tcPr&gt;&lt;/w:tblStylePr&gt;&lt;w:tblStylePr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w:fill="DF2A2A" w:themeFill="accent5"/&gt;&lt;/w:tcPr&gt;&lt;/w:tblStylePr&gt;&lt;w:tblStylePr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w:fill="DF2A2A" w:themeFill="accent5"/&gt;&lt;/w:tcPr&gt;&lt;/w:tblStylePr&gt;&lt;w:tblStylePr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w:fill="DF2A2A" w:themeFill="accent5"/&gt;&lt;/w:tcPr&gt;&lt;/w:tblStylePr&gt;&lt;w:tblStylePr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w:fill="EF9494" w:themeFill="accent5"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w:fill="EF9494" w:themeFill="accent5" w:themeFillTint="7F"/&gt;&lt;/w:tcPr&gt;&lt;/w:tblStylePr&gt;&lt;/w:style&gt;&lt;w:style w:type="table" w:styleId="MediumGrid3-Accent6"&gt;&lt;w:name w:val="Medium Grid 3 Accent 6"/&gt;&lt;w:basedOn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w:fill="CFC4EC" w:themeFill="accent6"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w:fill="4D3097" w:themeFill="accent6"/&gt;&lt;/w:tcPr&gt;&lt;/w:tblStylePr&gt;&lt;w:tblStylePr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w:fill="4D3097" w:themeFill="accent6"/&gt;&lt;/w:tcPr&gt;&lt;/w:tblStylePr&gt;&lt;w:tblStylePr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w:fill="4D3097" w:themeFill="accent6"/&gt;&lt;/w:tcPr&gt;&lt;/w:tblStylePr&gt;&lt;w:tblStylePr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w:fill="4D3097" w:themeFill="accent6"/&gt;&lt;/w:tcPr&gt;&lt;/w:tblStylePr&gt;&lt;w:tblStylePr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w:fill="9F89D9" w:themeFill="accent6"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w:fill="9F89D9" w:themeFill="accent6" w:themeFillTint="7F"/&gt;&lt;/w:tcPr&gt;&lt;/w:tblStylePr&gt;&lt;/w:style&gt;&lt;w:style w:type="table" w:styleId="MediumList1"&gt;&lt;w:name w:val="Medium List 1"/&gt;&lt;w:basedOn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w:color="000000" w:themeColor="text1"/&gt;&lt;w:bottom w:val="single" w:sz="8" w:space="0" w:color="000000" w:themeColor="text1"/&gt;&lt;/w:tblBorders&gt;&lt;/w:tblPr&gt;&lt;w:tblStylePr w:type="firstRow"&gt;&lt;w:rPr&gt;&lt;w:rFonts w:asciiTheme="majorHAnsi" w:eastAsiaTheme="majorEastAsia" w:hAnsiTheme="majorHAnsi" w:cstheme="majorBidi"/&gt;&lt;/w:rPr&gt;&lt;w:tblPr/&gt;&lt;w:tcPr&gt;&lt;w:tcBorders&gt;&lt;w:top w:val="nil"/&gt;&lt;w:bottom w:val="single" w:sz="8" w:space="0" w:color="000000" w:themeColor="text1"/&gt;&lt;/w:tcBorders&gt;&lt;/w:tcPr&gt;&lt;/w:tblStylePr&gt;&lt;w:tblStylePr w:type="lastRow"&gt;&lt;w:rPr&gt;&lt;w:b/&gt;&lt;w:bCs/&gt;&lt;w:color w:val="BFBFBF" w:themeColor="text2"/&gt;&lt;/w:rPr&gt;&lt;w:tblPr/&gt;&lt;w:tcPr&gt;&lt;w:tcBorders&gt;&lt;w:top w:val="single" w:sz="8" w:space="0" w:color="000000" w:themeColor="text1"/&gt;&lt;w:bottom w:val="single" w:sz="8" w:space="0" w:color="000000" w:themeColor="text1"/&gt;&lt;/w:tcBorders&gt;&lt;/w:tcPr&gt;&lt;/w:tblStylePr&gt;&lt;w:tblStylePr w:type="firstCol"&gt;&lt;w:rPr&gt;&lt;w:b/&gt;&lt;w:bCs/&gt;&lt;/w:rPr&gt;&lt;/w:tblStylePr&gt;&lt;w:tblStylePr w:type="lastCol"&gt;&lt;w:rPr&gt;&lt;w:b/&gt;&lt;w:bCs/&gt;&lt;/w:rPr&gt;&lt;w:tblPr/&gt;&lt;w:tcPr&gt;&lt;w:tcBorders&gt;&lt;w:top w:val="single" w:sz="8" w:space="0" w:color="000000" w:themeColor="text1"/&gt;&lt;w:bottom w:val="single" w:sz="8" w:space="0" w:color="000000" w:themeColor="text1"/&gt;&lt;/w:tcBorders&gt;&lt;/w:tcPr&gt;&lt;/w:tblStylePr&gt;&lt;w:tblStylePr w:type="band1Vert"&gt;&lt;w:tblPr/&gt;&lt;w:tcPr&gt;&lt;w:shd w:val="clear" w:color="auto" w:fill="C0C0C0" w:themeFill="text1" w:themeFillTint="3F"/&gt;&lt;/w:tcPr&gt;&lt;/w:tblStylePr&gt;&lt;w:tblStylePr w:type="band1Horz"&gt;&lt;w:tblPr/&gt;&lt;w:tcPr&gt;&lt;w:shd w:val="clear" w:color="auto" w:fill="C0C0C0" w:themeFill="text1" w:themeFillTint="3F"/&gt;&lt;/w:tcPr&gt;&lt;/w:tblStylePr&gt;&lt;/w:style&gt;&lt;w:style w:type="table" w:styleId="MediumList1-Accent1"&gt;&lt;w:name w:val="Medium List 1 Accent 1"/&gt;&lt;w:basedOn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w:color="47A843" w:themeColor="accent1"/&gt;&lt;w:bottom w:val="single" w:sz="8" w:space="0" w:color="47A843" w:themeColor="accent1"/&gt;&lt;/w:tblBorders&gt;&lt;/w:tblPr&gt;&lt;w:tblStylePr w:type="firstRow"&gt;&lt;w:rPr&gt;&lt;w:rFonts w:asciiTheme="majorHAnsi" w:eastAsiaTheme="majorEastAsia" w:hAnsiTheme="majorHAnsi" w:cstheme="majorBidi"/&gt;&lt;/w:rPr&gt;&lt;w:tblPr/&gt;&lt;w:tcPr&gt;&lt;w:tcBorders&gt;&lt;w:top w:val="nil"/&gt;&lt;w:bottom w:val="single" w:sz="8" w:space="0" w:color="47A843" w:themeColor="accent1"/&gt;&lt;/w:tcBorders&gt;&lt;/w:tcPr&gt;&lt;/w:tblStylePr&gt;&lt;w:tblStylePr w:type="lastRow"&gt;&lt;w:rPr&gt;&lt;w:b/&gt;&lt;w:bCs/&gt;&lt;w:color w:val="BFBFBF" w:themeColor="text2"/&gt;&lt;/w:rPr&gt;&lt;w:tblPr/&gt;&lt;w:tcPr&gt;&lt;w:tcBorders&gt;&lt;w:top w:val="single" w:sz="8" w:space="0" w:color="47A843" w:themeColor="accent1"/&gt;&lt;w:bottom w:val="single" w:sz="8" w:space="0" w:color="47A843" w:themeColor="accent1"/&gt;&lt;/w:tcBorders&gt;&lt;/w:tcPr&gt;&lt;/w:tblStylePr&gt;&lt;w:tblStylePr w:type="firstCol"&gt;&lt;w:rPr&gt;&lt;w:b/&gt;&lt;w:bCs/&gt;&lt;/w:rPr&gt;&lt;/w:tblStylePr&gt;&lt;w:tblStylePr w:type="lastCol"&gt;&lt;w:rPr&gt;&lt;w:b/&gt;&lt;w:bCs/&gt;&lt;/w:rPr&gt;&lt;w:tblPr/&gt;&lt;w:tcPr&gt;&lt;w:tcBorders&gt;&lt;w:top w:val="single" w:sz="8" w:space="0" w:color="47A843" w:themeColor="accent1"/&gt;&lt;w:bottom w:val="single" w:sz="8" w:space="0" w:color="47A843" w:themeColor="accent1"/&gt;&lt;/w:tcBorders&gt;&lt;/w:tcPr&gt;&lt;/w:tblStylePr&gt;&lt;w:tblStylePr w:type="band1Vert"&gt;&lt;w:tblPr/&gt;&lt;w:tcPr&gt;&lt;w:shd w:val="clear" w:color="auto" w:fill="CFEBCE" w:themeFill="accent1" w:themeFillTint="3F"/&gt;&lt;/w:tcPr&gt;&lt;/w:tblStylePr&gt;&lt;w:tblStylePr w:type="band1Horz"&gt;&lt;w:tblPr/&gt;&lt;w:tcPr&gt;&lt;w:shd w:val="clear" w:color="auto" w:fill="CFEBCE" w:themeFill="accent1" w:themeFillTint="3F"/&gt;&lt;/w:tcPr&gt;&lt;/w:tblStylePr&gt;&lt;/w:style&gt;&lt;w:style w:type="table" w:styleId="MediumList1-Accent2"&gt;&lt;w:name w:val="Medium List 1 Accent 2"/&gt;&lt;w:basedOn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w:color="B2D83A" w:themeColor="accent2"/&gt;&lt;w:bottom w:val="single" w:sz="8" w:space="0" w:color="B2D83A" w:themeColor="accent2"/&gt;&lt;/w:tblBorders&gt;&lt;/w:tblPr&gt;&lt;w:tblStylePr w:type="firstRow"&gt;&lt;w:rPr&gt;&lt;w:rFonts w:asciiTheme="majorHAnsi" w:eastAsiaTheme="majorEastAsia" w:hAnsiTheme="majorHAnsi" w:cstheme="majorBidi"/&gt;&lt;/w:rPr&gt;&lt;w:tblPr/&gt;&lt;w:tcPr&gt;&lt;w:tcBorders&gt;&lt;w:top w:val="nil"/&gt;&lt;w:bottom w:val="single" w:sz="8" w:space="0" w:color="B2D83A" w:themeColor="accent2"/&gt;&lt;/w:tcBorders&gt;&lt;/w:tcPr&gt;&lt;/w:tblStylePr&gt;&lt;w:tblStylePr w:type="lastRow"&gt;&lt;w:rPr&gt;&lt;w:b/&gt;&lt;w:bCs/&gt;&lt;w:color w:val="BFBFBF" w:themeColor="text2"/&gt;&lt;/w:rPr&gt;&lt;w:tblPr/&gt;&lt;w:tcPr&gt;&lt;w:tcBorders&gt;&lt;w:top w:val="single" w:sz="8" w:space="0" w:color="B2D83A" w:themeColor="accent2"/&gt;&lt;w:bottom w:val="single" w:sz="8" w:space="0" w:color="B2D83A" w:themeColor="accent2"/&gt;&lt;/w:tcBorders&gt;&lt;/w:tcPr&gt;&lt;/w:tblStylePr&gt;&lt;w:tblStylePr w:type="firstCol"&gt;&lt;w:rPr&gt;&lt;w:b/&gt;&lt;w:bCs/&gt;&lt;/w:rPr&gt;&lt;/w:tblStylePr&gt;&lt;w:tblStylePr w:type="lastCol"&gt;&lt;w:rPr&gt;&lt;w:b/&gt;&lt;w:bCs/&gt;&lt;/w:rPr&gt;&lt;w:tblPr/&gt;&lt;w:tcPr&gt;&lt;w:tcBorders&gt;&lt;w:top w:val="single" w:sz="8" w:space="0" w:color="B2D83A" w:themeColor="accent2"/&gt;&lt;w:bottom w:val="single" w:sz="8" w:space="0" w:color="B2D83A" w:themeColor="accent2"/&gt;&lt;/w:tcBorders&gt;&lt;/w:tcPr&gt;&lt;/w:tblStylePr&gt;&lt;w:tblStylePr w:type="band1Vert"&gt;&lt;w:tblPr/&gt;&lt;w:tcPr&gt;&lt;w:shd w:val="clear" w:color="auto" w:fill="EBF5CE" w:themeFill="accent2" w:themeFillTint="3F"/&gt;&lt;/w:tcPr&gt;&lt;/w:tblStylePr&gt;&lt;w:tblStylePr w:type="band1Horz"&gt;&lt;w:tblPr/&gt;&lt;w:tcPr&gt;&lt;w:shd w:val="clear" w:color="auto" w:fill="EBF5CE" w:themeFill="accent2" w:themeFillTint="3F"/&gt;&lt;/w:tcPr&gt;&lt;/w:tblStylePr&gt;&lt;/w:style&gt;&lt;w:style w:type="table" w:styleId="MediumList1-Accent3"&gt;&lt;w:name w:val="Medium List 1 Accent 3"/&gt;&lt;w:basedOn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w:color="0066BE" w:themeColor="accent3"/&gt;&lt;w:bottom w:val="single" w:sz="8" w:space="0" w:color="0066BE" w:themeColor="accent3"/&gt;&lt;/w:tblBorders&gt;&lt;/w:tblPr&gt;&lt;w:tblStylePr w:type="firstRow"&gt;&lt;w:rPr&gt;&lt;w:rFonts w:asciiTheme="majorHAnsi" w:eastAsiaTheme="majorEastAsia" w:hAnsiTheme="majorHAnsi" w:cstheme="majorBidi"/&gt;&lt;/w:rPr&gt;&lt;w:tblPr/&gt;&lt;w:tcPr&gt;&lt;w:tcBorders&gt;&lt;w:top w:val="nil"/&gt;&lt;w:bottom w:val="single" w:sz="8" w:space="0" w:color="0066BE" w:themeColor="accent3"/&gt;&lt;/w:tcBorders&gt;&lt;/w:tcPr&gt;&lt;/w:tblStylePr&gt;&lt;w:tblStylePr w:type="lastRow"&gt;&lt;w:rPr&gt;&lt;w:b/&gt;&lt;w:bCs/&gt;&lt;w:color w:val="BFBFBF" w:themeColor="text2"/&gt;&lt;/w:rPr&gt;&lt;w:tblPr/&gt;&lt;w:tcPr&gt;&lt;w:tcBorders&gt;&lt;w:top w:val="single" w:sz="8" w:space="0" w:color="0066BE" w:themeColor="accent3"/&gt;&lt;w:bottom w:val="single" w:sz="8" w:space="0" w:color="0066BE" w:themeColor="accent3"/&gt;&lt;/w:tcBorders&gt;&lt;/w:tcPr&gt;&lt;/w:tblStylePr&gt;&lt;w:tblStylePr w:type="firstCol"&gt;&lt;w:rPr&gt;&lt;w:b/&gt;&lt;w:bCs/&gt;&lt;/w:rPr&gt;&lt;/w:tblStylePr&gt;&lt;w:tblStylePr w:type="lastCol"&gt;&lt;w:rPr&gt;&lt;w:b/&gt;&lt;w:bCs/&gt;&lt;/w:rPr&gt;&lt;w:tblPr/&gt;&lt;w:tcPr&gt;&lt;w:tcBorders&gt;&lt;w:top w:val="single" w:sz="8" w:space="0" w:color="0066BE" w:themeColor="accent3"/&gt;&lt;w:bottom w:val="single" w:sz="8" w:space="0" w:color="0066BE" w:themeColor="accent3"/&gt;&lt;/w:tcBorders&gt;&lt;/w:tcPr&gt;&lt;/w:tblStylePr&gt;&lt;w:tblStylePr w:type="band1Vert"&gt;&lt;w:tblPr/&gt;&lt;w:tcPr&gt;&lt;w:shd w:val="clear" w:color="auto" w:fill="AFD9FF" w:themeFill="accent3" w:themeFillTint="3F"/&gt;&lt;/w:tcPr&gt;&lt;/w:tblStylePr&gt;&lt;w:tblStylePr w:type="band1Horz"&gt;&lt;w:tblPr/&gt;&lt;w:tcPr&gt;&lt;w:shd w:val="clear" w:color="auto" w:fill="AFD9FF" w:themeFill="accent3" w:themeFillTint="3F"/&gt;&lt;/w:tcPr&gt;&lt;/w:tblStylePr&gt;&lt;/w:style&gt;&lt;w:style w:type="table" w:styleId="MediumList1-Accent4"&gt;&lt;w:name w:val="Medium List 1 Accent 4"/&gt;&lt;w:basedOn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w:color="EC7023" w:themeColor="accent4"/&gt;&lt;w:bottom w:val="single" w:sz="8" w:space="0" w:color="EC7023" w:themeColor="accent4"/&gt;&lt;/w:tblBorders&gt;&lt;/w:tblPr&gt;&lt;w:tblStylePr w:type="firstRow"&gt;&lt;w:rPr&gt;&lt;w:rFonts w:asciiTheme="majorHAnsi" w:eastAsiaTheme="majorEastAsia" w:hAnsiTheme="majorHAnsi" w:cstheme="majorBidi"/&gt;&lt;/w:rPr&gt;&lt;w:tblPr/&gt;&lt;w:tcPr&gt;&lt;w:tcBorders&gt;&lt;w:top w:val="nil"/&gt;&lt;w:bottom w:val="single" w:sz="8" w:space="0" w:color="EC7023" w:themeColor="accent4"/&gt;&lt;/w:tcBorders&gt;&lt;/w:tcPr&gt;&lt;/w:tblStylePr&gt;&lt;w:tblStylePr w:type="lastRow"&gt;&lt;w:rPr&gt;&lt;w:b/&gt;&lt;w:bCs/&gt;&lt;w:color w:val="BFBFBF" w:themeColor="text2"/&gt;&lt;/w:rPr&gt;&lt;w:tblPr/&gt;&lt;w:tcPr&gt;&lt;w:tcBorders&gt;&lt;w:top w:val="single" w:sz="8" w:space="0" w:color="EC7023" w:themeColor="accent4"/&gt;&lt;w:bottom w:val="single" w:sz="8" w:space="0" w:color="EC7023" w:themeColor="accent4"/&gt;&lt;/w:tcBorders&gt;&lt;/w:tcPr&gt;&lt;/w:tblStylePr&gt;&lt;w:tblStylePr w:type="firstCol"&gt;&lt;w:rPr&gt;&lt;w:b/&gt;&lt;w:bCs/&gt;&lt;/w:rPr&gt;&lt;/w:tblStylePr&gt;&lt;w:tblStylePr w:type="lastCol"&gt;&lt;w:rPr&gt;&lt;w:b/&gt;&lt;w:bCs/&gt;&lt;/w:rPr&gt;&lt;w:tblPr/&gt;&lt;w:tcPr&gt;&lt;w:tcBorders&gt;&lt;w:top w:val="single" w:sz="8" w:space="0" w:color="EC7023" w:themeColor="accent4"/&gt;&lt;w:bottom w:val="single" w:sz="8" w:space="0" w:color="EC7023" w:themeColor="accent4"/&gt;&lt;/w:tcBorders&gt;&lt;/w:tcPr&gt;&lt;/w:tblStylePr&gt;&lt;w:tblStylePr w:type="band1Vert"&gt;&lt;w:tblPr/&gt;&lt;w:tcPr&gt;&lt;w:shd w:val="clear" w:color="auto" w:fill="FADBC8" w:themeFill="accent4" w:themeFillTint="3F"/&gt;&lt;/w:tcPr&gt;&lt;/w:tblStylePr&gt;&lt;w:tblStylePr w:type="band1Horz"&gt;&lt;w:tblPr/&gt;&lt;w:tcPr&gt;&lt;w:shd w:val="clear" w:color="auto" w:fill="FADBC8" w:themeFill="accent4" w:themeFillTint="3F"/&gt;&lt;/w:tcPr&gt;&lt;/w:tblStylePr&gt;&lt;/w:style&gt;&lt;w:style w:type="table" w:styleId="MediumList1-Accent5"&gt;&lt;w:name w:val="Medium List 1 Accent 5"/&gt;&lt;w:basedOn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w:color="DF2A2A" w:themeColor="accent5"/&gt;&lt;w:bottom w:val="single" w:sz="8" w:space="0" w:color="DF2A2A" w:themeColor="accent5"/&gt;&lt;/w:tblBorders&gt;&lt;/w:tblPr&gt;&lt;w:tblStylePr w:type="firstRow"&gt;&lt;w:rPr&gt;&lt;w:rFonts w:asciiTheme="majorHAnsi" w:eastAsiaTheme="majorEastAsia" w:hAnsiTheme="majorHAnsi" w:cstheme="majorBidi"/&gt;&lt;/w:rPr&gt;&lt;w:tblPr/&gt;&lt;w:tcPr&gt;&lt;w:tcBorders&gt;&lt;w:top w:val="nil"/&gt;&lt;w:bottom w:val="single" w:sz="8" w:space="0" w:color="DF2A2A" w:themeColor="accent5"/&gt;&lt;/w:tcBorders&gt;&lt;/w:tcPr&gt;&lt;/w:tblStylePr&gt;&lt;w:tblStylePr w:type="lastRow"&gt;&lt;w:rPr&gt;&lt;w:b/&gt;&lt;w:bCs/&gt;&lt;w:color w:val="BFBFBF" w:themeColor="text2"/&gt;&lt;/w:rPr&gt;&lt;w:tblPr/&gt;&lt;w:tcPr&gt;&lt;w:tcBorders&gt;&lt;w:top w:val="single" w:sz="8" w:space="0" w:color="DF2A2A" w:themeColor="accent5"/&gt;&lt;w:bottom w:val="single" w:sz="8" w:space="0" w:color="DF2A2A" w:themeColor="accent5"/&gt;&lt;/w:tcBorders&gt;&lt;/w:tcPr&gt;&lt;/w:tblStylePr&gt;&lt;w:tblStylePr w:type="firstCol"&gt;&lt;w:rPr&gt;&lt;w:b/&gt;&lt;w:bCs/&gt;&lt;/w:rPr&gt;&lt;/w:tblStylePr&gt;&lt;w:tblStylePr w:type="lastCol"&gt;&lt;w:rPr&gt;&lt;w:b/&gt;&lt;w:bCs/&gt;&lt;/w:rPr&gt;&lt;w:tblPr/&gt;&lt;w:tcPr&gt;&lt;w:tcBorders&gt;&lt;w:top w:val="single" w:sz="8" w:space="0" w:color="DF2A2A" w:themeColor="accent5"/&gt;&lt;w:bottom w:val="single" w:sz="8" w:space="0" w:color="DF2A2A" w:themeColor="accent5"/&gt;&lt;/w:tcBorders&gt;&lt;/w:tcPr&gt;&lt;/w:tblStylePr&gt;&lt;w:tblStylePr w:type="band1Vert"&gt;&lt;w:tblPr/&gt;&lt;w:tcPr&gt;&lt;w:shd w:val="clear" w:color="auto" w:fill="F7CACA" w:themeFill="accent5" w:themeFillTint="3F"/&gt;&lt;/w:tcPr&gt;&lt;/w:tblStylePr&gt;&lt;w:tblStylePr w:type="band1Horz"&gt;&lt;w:tblPr/&gt;&lt;w:tcPr&gt;&lt;w:shd w:val="clear" w:color="auto" w:fill="F7CACA" w:themeFill="accent5" w:themeFillTint="3F"/&gt;&lt;/w:tcPr&gt;&lt;/w:tblStylePr&gt;&lt;/w:style&gt;&lt;w:style w:type="table" w:styleId="MediumList1-Accent6"&gt;&lt;w:name w:val="Medium List 1 Accent 6"/&gt;&lt;w:basedOn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w:color="4D3097" w:themeColor="accent6"/&gt;&lt;w:bottom w:val="single" w:sz="8" w:space="0" w:color="4D3097" w:themeColor="accent6"/&gt;&lt;/w:tblBorders&gt;&lt;/w:tblPr&gt;&lt;w:tblStylePr w:type="firstRow"&gt;&lt;w:rPr&gt;&lt;w:rFonts w:asciiTheme="majorHAnsi" w:eastAsiaTheme="majorEastAsia" w:hAnsiTheme="majorHAnsi" w:cstheme="majorBidi"/&gt;&lt;/w:rPr&gt;&lt;w:tblPr/&gt;&lt;w:tcPr&gt;&lt;w:tcBorders&gt;&lt;w:top w:val="nil"/&gt;&lt;w:bottom w:val="single" w:sz="8" w:space="0" w:color="4D3097" w:themeColor="accent6"/&gt;&lt;/w:tcBorders&gt;&lt;/w:tcPr&gt;&lt;/w:tblStylePr&gt;&lt;w:tblStylePr w:type="lastRow"&gt;&lt;w:rPr&gt;&lt;w:b/&gt;&lt;w:bCs/&gt;&lt;w:color w:val="BFBFBF" w:themeColor="text2"/&gt;&lt;/w:rPr&gt;&lt;w:tblPr/&gt;&lt;w:tcPr&gt;&lt;w:tcBorders&gt;&lt;w:top w:val="single" w:sz="8" w:space="0" w:color="4D3097" w:themeColor="accent6"/&gt;&lt;w:bottom w:val="single" w:sz="8" w:space="0" w:color="4D3097" w:themeColor="accent6"/&gt;&lt;/w:tcBorders&gt;&lt;/w:tcPr&gt;&lt;/w:tblStylePr&gt;&lt;w:tblStylePr w:type="firstCol"&gt;&lt;w:rPr&gt;&lt;w:b/&gt;&lt;w:bCs/&gt;&lt;/w:rPr&gt;&lt;/w:tblStylePr&gt;&lt;w:tblStylePr w:type="lastCol"&gt;&lt;w:rPr&gt;&lt;w:b/&gt;&lt;w:bCs/&gt;&lt;/w:rPr&gt;&lt;w:tblPr/&gt;&lt;w:tcPr&gt;&lt;w:tcBorders&gt;&lt;w:top w:val="single" w:sz="8" w:space="0" w:color="4D3097" w:themeColor="accent6"/&gt;&lt;w:bottom w:val="single" w:sz="8" w:space="0" w:color="4D3097" w:themeColor="accent6"/&gt;&lt;/w:tcBorders&gt;&lt;/w:tcPr&gt;&lt;/w:tblStylePr&gt;&lt;w:tblStylePr w:type="band1Vert"&gt;&lt;w:tblPr/&gt;&lt;w:tcPr&gt;&lt;w:shd w:val="clear" w:color="auto" w:fill="CFC4EC" w:themeFill="accent6" w:themeFillTint="3F"/&gt;&lt;/w:tcPr&gt;&lt;/w:tblStylePr&gt;&lt;w:tblStylePr w:type="band1Horz"&gt;&lt;w:tblPr/&gt;&lt;w:tcPr&gt;&lt;w:shd w:val="clear" w:color="auto" w:fill="CFC4EC" w:themeFill="accent6" w:themeFillTint="3F"/&gt;&lt;/w:tcPr&gt;&lt;/w:tblStylePr&gt;&lt;/w:style&gt;&lt;w:style w:type="table" w:styleId="MediumList2"&gt;&lt;w:name w:val="Medium List 2"/&gt;&lt;w:basedOn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w:type="firstRow"&gt;&lt;w:rPr&gt;&lt;w:sz w:val="24"/&gt;&lt;w:szCs w:val="24"/&gt;&lt;/w:rPr&gt;&lt;w:tblPr/&gt;&lt;w:tcPr&gt;&lt;w:tcBorders&gt;&lt;w:top w:val="nil"/&gt;&lt;w:left w:val="nil"/&gt;&lt;w:bottom w:val="single" w:sz="24" w:space="0" w:color="000000" w:themeColor="text1"/&gt;&lt;w:right w:val="nil"/&gt;&lt;w:insideH w:val="nil"/&gt;&lt;w:insideV w:val="nil"/&gt;&lt;/w:tcBorders&gt;&lt;w:shd w:val="clear" w:color="auto" w:fill="FFFFFF" w:themeFill="background1"/&gt;&lt;/w:tcPr&gt;&lt;/w:tblStylePr&gt;&lt;w:tblStylePr w:type="lastRow"&gt;&lt;w:tblPr/&gt;&lt;w:tcPr&gt;&lt;w:tcBorders&gt;&lt;w:top w:val="single" w:sz="8" w:space="0" w:color="000000" w:themeColor="text1"/&gt;&lt;w:left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w:color="000000" w:themeColor="text1"/&gt;&lt;w:insideH w:val="nil"/&gt;&lt;w:insideV w:val="nil"/&gt;&lt;/w:tcBorders&gt;&lt;w:shd w:val="clear" w:color="auto" w:fill="FFFFFF" w:themeFill="background1"/&gt;&lt;/w:tcPr&gt;&lt;/w:tblStylePr&gt;&lt;w:tblStylePr w:type="lastCol"&gt;&lt;w:tblPr/&gt;&lt;w:tcPr&gt;&lt;w:tcBorders&gt;&lt;w:top w:val="nil"/&gt;&lt;w:left w:val="single" w:sz="8" w:space="0" w:color="000000" w:themeColor="text1"/&gt;&lt;w:bottom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w:type="band1Horz"&gt;&lt;w:tblPr/&gt;&lt;w:tcPr&gt;&lt;w:tcBorders&gt;&lt;w:top w:val="nil"/&gt;&lt;w:bottom w:val="nil"/&gt;&lt;w:insideH w:val="nil"/&gt;&lt;w:insideV w:val="nil"/&gt;&lt;/w:tcBorders&gt;&lt;w:shd w:val="clear" w:color="auto" w:fill="C0C0C0" w:themeFill="text1"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w:styleId="MediumList2-Accent1"&gt;&lt;w:name w:val="Medium List 2 Accent 1"/&gt;&lt;w:basedOn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w:color="47A843" w:themeColor="accent1"/&gt;&lt;w:left w:val="single" w:sz="8" w:space="0" w:color="47A843" w:themeColor="accent1"/&gt;&lt;w:bottom w:val="single" w:sz="8" w:space="0" w:color="47A843" w:themeColor="accent1"/&gt;&lt;w:right w:val="single" w:sz="8" w:space="0" w:color="47A843" w:themeColor="accent1"/&gt;&lt;/w:tblBorders&gt;&lt;/w:tblPr&gt;&lt;w:tblStylePr w:type="firstRow"&gt;&lt;w:rPr&gt;&lt;w:sz w:val="24"/&gt;&lt;w:szCs w:val="24"/&gt;&lt;/w:rPr&gt;&lt;w:tblPr/&gt;&lt;w:tcPr&gt;&lt;w:tcBorders&gt;&lt;w:top w:val="nil"/&gt;&lt;w:left w:val="nil"/&gt;&lt;w:bottom w:val="single" w:sz="24" w:space="0" w:color="47A843" w:themeColor="accent1"/&gt;&lt;w:right w:val="nil"/&gt;&lt;w:insideH w:val="nil"/&gt;&lt;w:insideV w:val="nil"/&gt;&lt;/w:tcBorders&gt;&lt;w:shd w:val="clear" w:color="auto" w:fill="FFFFFF" w:themeFill="background1"/&gt;&lt;/w:tcPr&gt;&lt;/w:tblStylePr&gt;&lt;w:tblStylePr w:type="lastRow"&gt;&lt;w:tblPr/&gt;&lt;w:tcPr&gt;&lt;w:tcBorders&gt;&lt;w:top w:val="single" w:sz="8" w:space="0" w:color="47A843" w:themeColor="accent1"/&gt;&lt;w:left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w:color="47A843" w:themeColor="accent1"/&gt;&lt;w:insideH w:val="nil"/&gt;&lt;w:insideV w:val="nil"/&gt;&lt;/w:tcBorders&gt;&lt;w:shd w:val="clear" w:color="auto" w:fill="FFFFFF" w:themeFill="background1"/&gt;&lt;/w:tcPr&gt;&lt;/w:tblStylePr&gt;&lt;w:tblStylePr w:type="lastCol"&gt;&lt;w:tblPr/&gt;&lt;w:tcPr&gt;&lt;w:tcBorders&gt;&lt;w:top w:val="nil"/&gt;&lt;w:left w:val="single" w:sz="8" w:space="0" w:color="47A843" w:themeColor="accent1"/&gt;&lt;w:bottom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w:fill="CFEBCE" w:themeFill="accent1" w:themeFillTint="3F"/&gt;&lt;/w:tcPr&gt;&lt;/w:tblStylePr&gt;&lt;w:tblStylePr w:type="band1Horz"&gt;&lt;w:tblPr/&gt;&lt;w:tcPr&gt;&lt;w:tcBorders&gt;&lt;w:top w:val="nil"/&gt;&lt;w:bottom w:val="nil"/&gt;&lt;w:insideH w:val="nil"/&gt;&lt;w:insideV w:val="nil"/&gt;&lt;/w:tcBorders&gt;&lt;w:shd w:val="clear" w:color="auto" w:fill="CFEBCE" w:themeFill="accent1"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w:styleId="MediumList2-Accent2"&gt;&lt;w:name w:val="Medium List 2 Accent 2"/&gt;&lt;w:basedOn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w:color="B2D83A" w:themeColor="accent2"/&gt;&lt;w:left w:val="single" w:sz="8" w:space="0" w:color="B2D83A" w:themeColor="accent2"/&gt;&lt;w:bottom w:val="single" w:sz="8" w:space="0" w:color="B2D83A" w:themeColor="accent2"/&gt;&lt;w:right w:val="single" w:sz="8" w:space="0" w:color="B2D83A" w:themeColor="accent2"/&gt;&lt;/w:tblBorders&gt;&lt;/w:tblPr&gt;&lt;w:tblStylePr w:type="firstRow"&gt;&lt;w:rPr&gt;&lt;w:sz w:val="24"/&gt;&lt;w:szCs w:val="24"/&gt;&lt;/w:rPr&gt;&lt;w:tblPr/&gt;&lt;w:tcPr&gt;&lt;w:tcBorders&gt;&lt;w:top w:val="nil"/&gt;&lt;w:left w:val="nil"/&gt;&lt;w:bottom w:val="single" w:sz="24" w:space="0" w:color="B2D83A" w:themeColor="accent2"/&gt;&lt;w:right w:val="nil"/&gt;&lt;w:insideH w:val="nil"/&gt;&lt;w:insideV w:val="nil"/&gt;&lt;/w:tcBorders&gt;&lt;w:shd w:val="clear" w:color="auto" w:fill="FFFFFF" w:themeFill="background1"/&gt;&lt;/w:tcPr&gt;&lt;/w:tblStylePr&gt;&lt;w:tblStylePr w:type="lastRow"&gt;&lt;w:tblPr/&gt;&lt;w:tcPr&gt;&lt;w:tcBorders&gt;&lt;w:top w:val="single" w:sz="8" w:space="0" w:color="B2D83A" w:themeColor="accent2"/&gt;&lt;w:left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w:color="B2D83A" w:themeColor="accent2"/&gt;&lt;w:insideH w:val="nil"/&gt;&lt;w:insideV w:val="nil"/&gt;&lt;/w:tcBorders&gt;&lt;w:shd w:val="clear" w:color="auto" w:fill="FFFFFF" w:themeFill="background1"/&gt;&lt;/w:tcPr&gt;&lt;/w:tblStylePr&gt;&lt;w:tblStylePr w:type="lastCol"&gt;&lt;w:tblPr/&gt;&lt;w:tcPr&gt;&lt;w:tcBorders&gt;&lt;w:top w:val="nil"/&gt;&lt;w:left w:val="single" w:sz="8" w:space="0" w:color="B2D83A" w:themeColor="accent2"/&gt;&lt;w:bottom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w:fill="EBF5CE" w:themeFill="accent2" w:themeFillTint="3F"/&gt;&lt;/w:tcPr&gt;&lt;/w:tblStylePr&gt;&lt;w:tblStylePr w:type="band1Horz"&gt;&lt;w:tblPr/&gt;&lt;w:tcPr&gt;&lt;w:tcBorders&gt;&lt;w:top w:val="nil"/&gt;&lt;w:bottom w:val="nil"/&gt;&lt;w:insideH w:val="nil"/&gt;&lt;w:insideV w:val="nil"/&gt;&lt;/w:tcBorders&gt;&lt;w:shd w:val="clear" w:color="auto" w:fill="EBF5CE" w:themeFill="accent2"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w:styleId="MediumList2-Accent3"&gt;&lt;w:name w:val="Medium List 2 Accent 3"/&gt;&lt;w:basedOn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w:color="0066BE" w:themeColor="accent3"/&gt;&lt;w:left w:val="single" w:sz="8" w:space="0" w:color="0066BE" w:themeColor="accent3"/&gt;&lt;w:bottom w:val="single" w:sz="8" w:space="0" w:color="0066BE" w:themeColor="accent3"/&gt;&lt;w:right w:val="single" w:sz="8" w:space="0" w:color="0066BE" w:themeColor="accent3"/&gt;&lt;/w:tblBorders&gt;&lt;/w:tblPr&gt;&lt;w:tblStylePr w:type="firstRow"&gt;&lt;w:rPr&gt;&lt;w:sz w:val="24"/&gt;&lt;w:szCs w:val="24"/&gt;&lt;/w:rPr&gt;&lt;w:tblPr/&gt;&lt;w:tcPr&gt;&lt;w:tcBorders&gt;&lt;w:top w:val="nil"/&gt;&lt;w:left w:val="nil"/&gt;&lt;w:bottom w:val="single" w:sz="24" w:space="0" w:color="0066BE" w:themeColor="accent3"/&gt;&lt;w:right w:val="nil"/&gt;&lt;w:insideH w:val="nil"/&gt;&lt;w:insideV w:val="nil"/&gt;&lt;/w:tcBorders&gt;&lt;w:shd w:val="clear" w:color="auto" w:fill="FFFFFF" w:themeFill="background1"/&gt;&lt;/w:tcPr&gt;&lt;/w:tblStylePr&gt;&lt;w:tblStylePr w:type="lastRow"&gt;&lt;w:tblPr/&gt;&lt;w:tcPr&gt;&lt;w:tcBorders&gt;&lt;w:top w:val="single" w:sz="8" w:space="0" w:color="0066BE"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w:color="0066BE" w:themeColor="accent3"/&gt;&lt;w:insideH w:val="nil"/&gt;&lt;w:insideV w:val="nil"/&gt;&lt;/w:tcBorders&gt;&lt;w:shd w:val="clear" w:color="auto" w:fill="FFFFFF" w:themeFill="background1"/&gt;&lt;/w:tcPr&gt;&lt;/w:tblStylePr&gt;&lt;w:tblStylePr w:type="lastCol"&gt;&lt;w:tblPr/&gt;&lt;w:tcPr&gt;&lt;w:tcBorders&gt;&lt;w:top w:val="nil"/&gt;&lt;w:left w:val="single" w:sz="8" w:space="0" w:color="0066BE"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w:fill="AFD9FF" w:themeFill="accent3" w:themeFillTint="3F"/&gt;&lt;/w:tcPr&gt;&lt;/w:tblStylePr&gt;&lt;w:tblStylePr w:type="band1Horz"&gt;&lt;w:tblPr/&gt;&lt;w:tcPr&gt;&lt;w:tcBorders&gt;&lt;w:top w:val="nil"/&gt;&lt;w:bottom w:val="nil"/&gt;&lt;w:insideH w:val="nil"/&gt;&lt;w:insideV w:val="nil"/&gt;&lt;/w:tcBorders&gt;&lt;w:shd w:val="clear" w:color="auto" w:fill="AFD9FF"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w:styleId="MediumList2-Accent4"&gt;&lt;w:name w:val="Medium List 2 Accent 4"/&gt;&lt;w:basedOn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w:color="EC7023" w:themeColor="accent4"/&gt;&lt;w:left w:val="single" w:sz="8" w:space="0" w:color="EC7023" w:themeColor="accent4"/&gt;&lt;w:bottom w:val="single" w:sz="8" w:space="0" w:color="EC7023" w:themeColor="accent4"/&gt;&lt;w:right w:val="single" w:sz="8" w:space="0" w:color="EC7023" w:themeColor="accent4"/&gt;&lt;/w:tblBorders&gt;&lt;/w:tblPr&gt;&lt;w:tblStylePr w:type="firstRow"&gt;&lt;w:rPr&gt;&lt;w:sz w:val="24"/&gt;&lt;w:szCs w:val="24"/&gt;&lt;/w:rPr&gt;&lt;w:tblPr/&gt;&lt;w:tcPr&gt;&lt;w:tcBorders&gt;&lt;w:top w:val="nil"/&gt;&lt;w:left w:val="nil"/&gt;&lt;w:bottom w:val="single" w:sz="24" w:space="0" w:color="EC7023" w:themeColor="accent4"/&gt;&lt;w:right w:val="nil"/&gt;&lt;w:insideH w:val="nil"/&gt;&lt;w:insideV w:val="nil"/&gt;&lt;/w:tcBorders&gt;&lt;w:shd w:val="clear" w:color="auto" w:fill="FFFFFF" w:themeFill="background1"/&gt;&lt;/w:tcPr&gt;&lt;/w:tblStylePr&gt;&lt;w:tblStylePr w:type="lastRow"&gt;&lt;w:tblPr/&gt;&lt;w:tcPr&gt;&lt;w:tcBorders&gt;&lt;w:top w:val="single" w:sz="8" w:space="0" w:color="EC7023" w:themeColor="accent4"/&gt;&lt;w:left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w:color="EC7023" w:themeColor="accent4"/&gt;&lt;w:insideH w:val="nil"/&gt;&lt;w:insideV w:val="nil"/&gt;&lt;/w:tcBorders&gt;&lt;w:shd w:val="clear" w:color="auto" w:fill="FFFFFF" w:themeFill="background1"/&gt;&lt;/w:tcPr&gt;&lt;/w:tblStylePr&gt;&lt;w:tblStylePr w:type="lastCol"&gt;&lt;w:tblPr/&gt;&lt;w:tcPr&gt;&lt;w:tcBorders&gt;&lt;w:top w:val="nil"/&gt;&lt;w:left w:val="single" w:sz="8" w:space="0" w:color="EC7023" w:themeColor="accent4"/&gt;&lt;w:bottom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w:fill="FADBC8" w:themeFill="accent4" w:themeFillTint="3F"/&gt;&lt;/w:tcPr&gt;&lt;/w:tblStylePr&gt;&lt;w:tblStylePr w:type="band1Horz"&gt;&lt;w:tblPr/&gt;&lt;w:tcPr&gt;&lt;w:tcBorders&gt;&lt;w:top w:val="nil"/&gt;&lt;w:bottom w:val="nil"/&gt;&lt;w:insideH w:val="nil"/&gt;&lt;w:insideV w:val="nil"/&gt;&lt;/w:tcBorders&gt;&lt;w:shd w:val="clear" w:color="auto" w:fill="FADBC8" w:themeFill="accent4"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w:styleId="MediumList2-Accent5"&gt;&lt;w:name w:val="Medium List 2 Accent 5"/&gt;&lt;w:basedOn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w:color="DF2A2A" w:themeColor="accent5"/&gt;&lt;w:left w:val="single" w:sz="8" w:space="0" w:color="DF2A2A" w:themeColor="accent5"/&gt;&lt;w:bottom w:val="single" w:sz="8" w:space="0" w:color="DF2A2A" w:themeColor="accent5"/&gt;&lt;w:right w:val="single" w:sz="8" w:space="0" w:color="DF2A2A" w:themeColor="accent5"/&gt;&lt;/w:tblBorders&gt;&lt;/w:tblPr&gt;&lt;w:tblStylePr w:type="firstRow"&gt;&lt;w:rPr&gt;&lt;w:sz w:val="24"/&gt;&lt;w:szCs w:val="24"/&gt;&lt;/w:rPr&gt;&lt;w:tblPr/&gt;&lt;w:tcPr&gt;&lt;w:tcBorders&gt;&lt;w:top w:val="nil"/&gt;&lt;w:left w:val="nil"/&gt;&lt;w:bottom w:val="single" w:sz="24" w:space="0" w:color="DF2A2A" w:themeColor="accent5"/&gt;&lt;w:right w:val="nil"/&gt;&lt;w:insideH w:val="nil"/&gt;&lt;w:insideV w:val="nil"/&gt;&lt;/w:tcBorders&gt;&lt;w:shd w:val="clear" w:color="auto" w:fill="FFFFFF" w:themeFill="background1"/&gt;&lt;/w:tcPr&gt;&lt;/w:tblStylePr&gt;&lt;w:tblStylePr w:type="lastRow"&gt;&lt;w:tblPr/&gt;&lt;w:tcPr&gt;&lt;w:tcBorders&gt;&lt;w:top w:val="single" w:sz="8" w:space="0" w:color="DF2A2A" w:themeColor="accent5"/&gt;&lt;w:left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w:color="DF2A2A" w:themeColor="accent5"/&gt;&lt;w:insideH w:val="nil"/&gt;&lt;w:insideV w:val="nil"/&gt;&lt;/w:tcBorders&gt;&lt;w:shd w:val="clear" w:color="auto" w:fill="FFFFFF" w:themeFill="background1"/&gt;&lt;/w:tcPr&gt;&lt;/w:tblStylePr&gt;&lt;w:tblStylePr w:type="lastCol"&gt;&lt;w:tblPr/&gt;&lt;w:tcPr&gt;&lt;w:tcBorders&gt;&lt;w:top w:val="nil"/&gt;&lt;w:left w:val="single" w:sz="8" w:space="0" w:color="DF2A2A" w:themeColor="accent5"/&gt;&lt;w:bottom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w:fill="F7CACA" w:themeFill="accent5" w:themeFillTint="3F"/&gt;&lt;/w:tcPr&gt;&lt;/w:tblStylePr&gt;&lt;w:tblStylePr w:type="band1Horz"&gt;&lt;w:tblPr/&gt;&lt;w:tcPr&gt;&lt;w:tcBorders&gt;&lt;w:top w:val="nil"/&gt;&lt;w:bottom w:val="nil"/&gt;&lt;w:insideH w:val="nil"/&gt;&lt;w:insideV w:val="nil"/&gt;&lt;/w:tcBorders&gt;&lt;w:shd w:val="clear" w:color="auto" w:fill="F7CACA" w:themeFill="accent5"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w:styleId="MediumList2-Accent6"&gt;&lt;w:name w:val="Medium List 2 Accent 6"/&gt;&lt;w:basedOn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w:color="4D3097" w:themeColor="accent6"/&gt;&lt;w:left w:val="single" w:sz="8" w:space="0" w:color="4D3097" w:themeColor="accent6"/&gt;&lt;w:bottom w:val="single" w:sz="8" w:space="0" w:color="4D3097" w:themeColor="accent6"/&gt;&lt;w:right w:val="single" w:sz="8" w:space="0" w:color="4D3097" w:themeColor="accent6"/&gt;&lt;/w:tblBorders&gt;&lt;/w:tblPr&gt;&lt;w:tblStylePr w:type="firstRow"&gt;&lt;w:rPr&gt;&lt;w:sz w:val="24"/&gt;&lt;w:szCs w:val="24"/&gt;&lt;/w:rPr&gt;&lt;w:tblPr/&gt;&lt;w:tcPr&gt;&lt;w:tcBorders&gt;&lt;w:top w:val="nil"/&gt;&lt;w:left w:val="nil"/&gt;&lt;w:bottom w:val="single" w:sz="24" w:space="0" w:color="4D3097" w:themeColor="accent6"/&gt;&lt;w:right w:val="nil"/&gt;&lt;w:insideH w:val="nil"/&gt;&lt;w:insideV w:val="nil"/&gt;&lt;/w:tcBorders&gt;&lt;w:shd w:val="clear" w:color="auto" w:fill="FFFFFF" w:themeFill="background1"/&gt;&lt;/w:tcPr&gt;&lt;/w:tblStylePr&gt;&lt;w:tblStylePr w:type="lastRow"&gt;&lt;w:tblPr/&gt;&lt;w:tcPr&gt;&lt;w:tcBorders&gt;&lt;w:top w:val="single" w:sz="8" w:space="0" w:color="4D3097" w:themeColor="accent6"/&gt;&lt;w:left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w:color="4D3097" w:themeColor="accent6"/&gt;&lt;w:insideH w:val="nil"/&gt;&lt;w:insideV w:val="nil"/&gt;&lt;/w:tcBorders&gt;&lt;w:shd w:val="clear" w:color="auto" w:fill="FFFFFF" w:themeFill="background1"/&gt;&lt;/w:tcPr&gt;&lt;/w:tblStylePr&gt;&lt;w:tblStylePr w:type="lastCol"&gt;&lt;w:tblPr/&gt;&lt;w:tcPr&gt;&lt;w:tcBorders&gt;&lt;w:top w:val="nil"/&gt;&lt;w:left w:val="single" w:sz="8" w:space="0" w:color="4D3097" w:themeColor="accent6"/&gt;&lt;w:bottom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w:fill="CFC4EC" w:themeFill="accent6" w:themeFillTint="3F"/&gt;&lt;/w:tcPr&gt;&lt;/w:tblStylePr&gt;&lt;w:tblStylePr w:type="band1Horz"&gt;&lt;w:tblPr/&gt;&lt;w:tcPr&gt;&lt;w:tcBorders&gt;&lt;w:top w:val="nil"/&gt;&lt;w:bottom w:val="nil"/&gt;&lt;w:insideH w:val="nil"/&gt;&lt;w:insideV w:val="nil"/&gt;&lt;/w:tcBorders&gt;&lt;w:shd w:val="clear" w:color="auto" w:fill="CFC4EC" w:themeFill="accent6"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w:styleId="MediumShading1"&gt;&lt;w:name w:val="Medium Shading 1"/&gt;&lt;w:basedOn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w:val="nil"/&gt;&lt;/w:tcBorders&gt;&lt;w:shd w:val="clear" w:color="auto" w:fill="000000" w:themeFill="text1"/&gt;&lt;/w:tcPr&gt;&lt;/w:tblStylePr&gt;&lt;w:tblStylePr w:type="lastRow"&gt;&lt;w:pPr&gt;&lt;w:spacing w:before="0" w:after="0" w:line="240" w:lineRule="auto"/&gt;&lt;/w:pPr&gt;&lt;w:rPr&gt;&lt;w:b/&gt;&lt;w:bCs/&gt;&lt;/w:rPr&gt;&lt;w:tblPr/&gt;&lt;w:tcPr&gt;&lt;w:tcBorders&gt;&lt;w:top w:val="double" w:sz="6"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w:fill="C0C0C0" w:themeFill="text1" w:themeFillTint="3F"/&gt;&lt;/w:tcPr&gt;&lt;/w:tblStylePr&gt;&lt;w:tblStylePr w:type="band1Horz"&gt;&lt;w:tblPr/&gt;&lt;w:tcPr&gt;&lt;w:tcBorders&gt;&lt;w:insideH w:val="nil"/&gt;&lt;w:insideV w:val="nil"/&gt;&lt;/w:tcBorders&gt;&lt;w:shd w:val="clear" w:color="auto" w:fill="C0C0C0" w:themeFill="text1" w:themeFillTint="3F"/&gt;&lt;/w:tcPr&gt;&lt;/w:tblStylePr&gt;&lt;w:tblStylePr w:type="band2Horz"&gt;&lt;w:tblPr/&gt;&lt;w:tcPr&gt;&lt;w:tcBorders&gt;&lt;w:insideH w:val="nil"/&gt;&lt;w:insideV w:val="nil"/&gt;&lt;/w:tcBorders&gt;&lt;/w:tcPr&gt;&lt;/w:tblStylePr&gt;&lt;/w:style&gt;&lt;w:style w:type="table" w:styleId="MediumShading1-Accent1"&gt;&lt;w:name w:val="Medium Shading 1 Accent 1"/&gt;&lt;w:basedOn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w:color="6FC46B" w:themeColor="accent1" w:themeTint="BF"/&gt;&lt;w:left w:val="single" w:sz="8" w:space="0" w:color="6FC46B" w:themeColor="accent1" w:themeTint="BF"/&gt;&lt;w:bottom w:val="single" w:sz="8" w:space="0" w:color="6FC46B" w:themeColor="accent1" w:themeTint="BF"/&gt;&lt;w:right w:val="single" w:sz="8" w:space="0" w:color="6FC46B" w:themeColor="accent1" w:themeTint="BF"/&gt;&lt;w:insideH w:val="single" w:sz="8" w:space="0" w:color="6FC46B" w:themeColor="accent1"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w:color="6FC46B" w:themeColor="accent1" w:themeTint="BF"/&gt;&lt;w:left w:val="single" w:sz="8" w:space="0" w:color="6FC46B" w:themeColor="accent1" w:themeTint="BF"/&gt;&lt;w:bottom w:val="single" w:sz="8" w:space="0" w:color="6FC46B" w:themeColor="accent1" w:themeTint="BF"/&gt;&lt;w:right w:val="single" w:sz="8" w:space="0" w:color="6FC46B" w:themeColor="accent1" w:themeTint="BF"/&gt;&lt;w:insideH w:val="nil"/&gt;&lt;w:insideV w:val="nil"/&gt;&lt;/w:tcBorders&gt;&lt;w:shd w:val="clear" w:color="auto" w:fill="47A843" w:themeFill="accent1"/&gt;&lt;/w:tcPr&gt;&lt;/w:tblStylePr&gt;&lt;w:tblStylePr w:type="lastRow"&gt;&lt;w:pPr&gt;&lt;w:spacing w:before="0" w:after="0" w:line="240" w:lineRule="auto"/&gt;&lt;/w:pPr&gt;&lt;w:rPr&gt;&lt;w:b/&gt;&lt;w:bCs/&gt;&lt;/w:rPr&gt;&lt;w:tblPr/&gt;&lt;w:tcPr&gt;&lt;w:tcBorders&gt;&lt;w:top w:val="double" w:sz="6" w:space="0" w:color="6FC46B" w:themeColor="accent1" w:themeTint="BF"/&gt;&lt;w:left w:val="single" w:sz="8" w:space="0" w:color="6FC46B" w:themeColor="accent1" w:themeTint="BF"/&gt;&lt;w:bottom w:val="single" w:sz="8" w:space="0" w:color="6FC46B" w:themeColor="accent1" w:themeTint="BF"/&gt;&lt;w:right w:val="single" w:sz="8" w:space="0" w:color="6FC46B" w:themeColor="accent1"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w:fill="CFEBCE" w:themeFill="accent1" w:themeFillTint="3F"/&gt;&lt;/w:tcPr&gt;&lt;/w:tblStylePr&gt;&lt;w:tblStylePr w:type="band1Horz"&gt;&lt;w:tblPr/&gt;&lt;w:tcPr&gt;&lt;w:tcBorders&gt;&lt;w:insideH w:val="nil"/&gt;&lt;w:insideV w:val="nil"/&gt;&lt;/w:tcBorders&gt;&lt;w:shd w:val="clear" w:color="auto" w:fill="CFEBCE" w:themeFill="accent1" w:themeFillTint="3F"/&gt;&lt;/w:tcPr&gt;&lt;/w:tblStylePr&gt;&lt;w:tblStylePr w:type="band2Horz"&gt;&lt;w:tblPr/&gt;&lt;w:tcPr&gt;&lt;w:tcBorders&gt;&lt;w:insideH w:val="nil"/&gt;&lt;w:insideV w:val="nil"/&gt;&lt;/w:tcBorders&gt;&lt;/w:tcPr&gt;&lt;/w:tblStylePr&gt;&lt;/w:style&gt;&lt;w:style w:type="table" w:styleId="MediumShading1-Accent2"&gt;&lt;w:name w:val="Medium Shading 1 Accent 2"/&gt;&lt;w:basedOn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w:color="C4E16B" w:themeColor="accent2" w:themeTint="BF"/&gt;&lt;w:left w:val="single" w:sz="8" w:space="0" w:color="C4E16B" w:themeColor="accent2" w:themeTint="BF"/&gt;&lt;w:bottom w:val="single" w:sz="8" w:space="0" w:color="C4E16B" w:themeColor="accent2" w:themeTint="BF"/&gt;&lt;w:right w:val="single" w:sz="8" w:space="0" w:color="C4E16B" w:themeColor="accent2" w:themeTint="BF"/&gt;&lt;w:insideH w:val="single" w:sz="8" w:space="0" w:color="C4E16B" w:themeColor="accent2"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w:color="C4E16B" w:themeColor="accent2" w:themeTint="BF"/&gt;&lt;w:left w:val="single" w:sz="8" w:space="0" w:color="C4E16B" w:themeColor="accent2" w:themeTint="BF"/&gt;&lt;w:bottom w:val="single" w:sz="8" w:space="0" w:color="C4E16B" w:themeColor="accent2" w:themeTint="BF"/&gt;&lt;w:right w:val="single" w:sz="8" w:space="0" w:color="C4E16B" w:themeColor="accent2" w:themeTint="BF"/&gt;&lt;w:insideH w:val="nil"/&gt;&lt;w:insideV w:val="nil"/&gt;&lt;/w:tcBorders&gt;&lt;w:shd w:val="clear" w:color="auto" w:fill="B2D83A" w:themeFill="accent2"/&gt;&lt;/w:tcPr&gt;&lt;/w:tblStylePr&gt;&lt;w:tblStylePr w:type="lastRow"&gt;&lt;w:pPr&gt;&lt;w:spacing w:before="0" w:after="0" w:line="240" w:lineRule="auto"/&gt;&lt;/w:pPr&gt;&lt;w:rPr&gt;&lt;w:b/&gt;&lt;w:bCs/&gt;&lt;/w:rPr&gt;&lt;w:tblPr/&gt;&lt;w:tcPr&gt;&lt;w:tcBorders&gt;&lt;w:top w:val="double" w:sz="6" w:space="0" w:color="C4E16B" w:themeColor="accent2" w:themeTint="BF"/&gt;&lt;w:left w:val="single" w:sz="8" w:space="0" w:color="C4E16B" w:themeColor="accent2" w:themeTint="BF"/&gt;&lt;w:bottom w:val="single" w:sz="8" w:space="0" w:color="C4E16B" w:themeColor="accent2" w:themeTint="BF"/&gt;&lt;w:right w:val="single" w:sz="8" w:space="0" w:color="C4E16B" w:themeColor="accent2"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w:fill="EBF5CE" w:themeFill="accent2" w:themeFillTint="3F"/&gt;&lt;/w:tcPr&gt;&lt;/w:tblStylePr&gt;&lt;w:tblStylePr w:type="band1Horz"&gt;&lt;w:tblPr/&gt;&lt;w:tcPr&gt;&lt;w:tcBorders&gt;&lt;w:insideH w:val="nil"/&gt;&lt;w:insideV w:val="nil"/&gt;&lt;/w:tcBorders&gt;&lt;w:shd w:val="clear" w:color="auto" w:fill="EBF5CE" w:themeFill="accent2" w:themeFillTint="3F"/&gt;&lt;/w:tcPr&gt;&lt;/w:tblStylePr&gt;&lt;w:tblStylePr w:type="band2Horz"&gt;&lt;w:tblPr/&gt;&lt;w:tcPr&gt;&lt;w:tcBorders&gt;&lt;w:insideH w:val="nil"/&gt;&lt;w:insideV w:val="nil"/&gt;&lt;/w:tcBorders&gt;&lt;/w:tcPr&gt;&lt;/w:tblStylePr&gt;&lt;/w:style&gt;&lt;w:style w:type="table" w:styleId="MediumShading1-Accent3"&gt;&lt;w:name w:val="Medium Shading 1 Accent 3"/&gt;&lt;w:basedOn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w:color="0F8FFF" w:themeColor="accent3" w:themeTint="BF"/&gt;&lt;w:left w:val="single" w:sz="8" w:space="0" w:color="0F8FFF" w:themeColor="accent3" w:themeTint="BF"/&gt;&lt;w:bottom w:val="single" w:sz="8" w:space="0" w:color="0F8FFF" w:themeColor="accent3" w:themeTint="BF"/&gt;&lt;w:right w:val="single" w:sz="8" w:space="0" w:color="0F8FFF" w:themeColor="accent3" w:themeTint="BF"/&gt;&lt;w:insideH w:val="single" w:sz="8" w:space="0" w:color="0F8FFF" w:themeColor="accent3"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w:color="0F8FFF" w:themeColor="accent3" w:themeTint="BF"/&gt;&lt;w:left w:val="single" w:sz="8" w:space="0" w:color="0F8FFF" w:themeColor="accent3" w:themeTint="BF"/&gt;&lt;w:bottom w:val="single" w:sz="8" w:space="0" w:color="0F8FFF" w:themeColor="accent3" w:themeTint="BF"/&gt;&lt;w:right w:val="single" w:sz="8" w:space="0" w:color="0F8FFF" w:themeColor="accent3" w:themeTint="BF"/&gt;&lt;w:insideH w:val="nil"/&gt;&lt;w:insideV w:val="nil"/&gt;&lt;/w:tcBorders&gt;&lt;w:shd w:val="clear" w:color="auto" w:fill="0066BE" w:themeFill="accent3"/&gt;&lt;/w:tcPr&gt;&lt;/w:tblStylePr&gt;&lt;w:tblStylePr w:type="lastRow"&gt;&lt;w:pPr&gt;&lt;w:spacing w:before="0" w:after="0" w:line="240" w:lineRule="auto"/&gt;&lt;/w:pPr&gt;&lt;w:rPr&gt;&lt;w:b/&gt;&lt;w:bCs/&gt;&lt;/w:rPr&gt;&lt;w:tblPr/&gt;&lt;w:tcPr&gt;&lt;w:tcBorders&gt;&lt;w:top w:val="double" w:sz="6" w:space="0" w:color="0F8FFF" w:themeColor="accent3" w:themeTint="BF"/&gt;&lt;w:left w:val="single" w:sz="8" w:space="0" w:color="0F8FFF" w:themeColor="accent3" w:themeTint="BF"/&gt;&lt;w:bottom w:val="single" w:sz="8" w:space="0" w:color="0F8FFF" w:themeColor="accent3" w:themeTint="BF"/&gt;&lt;w:right w:val="single" w:sz="8" w:space="0" w:color="0F8FFF" w:themeColor="accent3"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w:fill="AFD9FF" w:themeFill="accent3" w:themeFillTint="3F"/&gt;&lt;/w:tcPr&gt;&lt;/w:tblStylePr&gt;&lt;w:tblStylePr w:type="band1Horz"&gt;&lt;w:tblPr/&gt;&lt;w:tcPr&gt;&lt;w:tcBorders&gt;&lt;w:insideH w:val="nil"/&gt;&lt;w:insideV w:val="nil"/&gt;&lt;/w:tcBorders&gt;&lt;w:shd w:val="clear" w:color="auto" w:fill="AFD9FF" w:themeFill="accent3" w:themeFillTint="3F"/&gt;&lt;/w:tcPr&gt;&lt;/w:tblStylePr&gt;&lt;w:tblStylePr w:type="band2Horz"&gt;&lt;w:tblPr/&gt;&lt;w:tcPr&gt;&lt;w:tcBorders&gt;&lt;w:insideH w:val="nil"/&gt;&lt;w:insideV w:val="nil"/&gt;&lt;/w:tcBorders&gt;&lt;/w:tcPr&gt;&lt;/w:tblStylePr&gt;&lt;/w:style&gt;&lt;w:style w:type="table" w:styleId="MediumShading1-Accent4"&gt;&lt;w:name w:val="Medium Shading 1 Accent 4"/&gt;&lt;w:basedOn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w:color="F09359" w:themeColor="accent4" w:themeTint="BF"/&gt;&lt;w:left w:val="single" w:sz="8" w:space="0" w:color="F09359" w:themeColor="accent4" w:themeTint="BF"/&gt;&lt;w:bottom w:val="single" w:sz="8" w:space="0" w:color="F09359" w:themeColor="accent4" w:themeTint="BF"/&gt;&lt;w:right w:val="single" w:sz="8" w:space="0" w:color="F09359" w:themeColor="accent4" w:themeTint="BF"/&gt;&lt;w:insideH w:val="single" w:sz="8" w:space="0" w:color="F09359" w:themeColor="accent4"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w:color="F09359" w:themeColor="accent4" w:themeTint="BF"/&gt;&lt;w:left w:val="single" w:sz="8" w:space="0" w:color="F09359" w:themeColor="accent4" w:themeTint="BF"/&gt;&lt;w:bottom w:val="single" w:sz="8" w:space="0" w:color="F09359" w:themeColor="accent4" w:themeTint="BF"/&gt;&lt;w:right w:val="single" w:sz="8" w:space="0" w:color="F09359" w:themeColor="accent4" w:themeTint="BF"/&gt;&lt;w:insideH w:val="nil"/&gt;&lt;w:insideV w:val="nil"/&gt;&lt;/w:tcBorders&gt;&lt;w:shd w:val="clear" w:color="auto" w:fill="EC7023" w:themeFill="accent4"/&gt;&lt;/w:tcPr&gt;&lt;/w:tblStylePr&gt;&lt;w:tblStylePr w:type="lastRow"&gt;&lt;w:pPr&gt;&lt;w:spacing w:before="0" w:after="0" w:line="240" w:lineRule="auto"/&gt;&lt;/w:pPr&gt;&lt;w:rPr&gt;&lt;w:b/&gt;&lt;w:bCs/&gt;&lt;/w:rPr&gt;&lt;w:tblPr/&gt;&lt;w:tcPr&gt;&lt;w:tcBorders&gt;&lt;w:top w:val="double" w:sz="6" w:space="0" w:color="F09359" w:themeColor="accent4" w:themeTint="BF"/&gt;&lt;w:left w:val="single" w:sz="8" w:space="0" w:color="F09359" w:themeColor="accent4" w:themeTint="BF"/&gt;&lt;w:bottom w:val="single" w:sz="8" w:space="0" w:color="F09359" w:themeColor="accent4" w:themeTint="BF"/&gt;&lt;w:right w:val="single" w:sz="8" w:space="0" w:color="F09359" w:themeColor="accent4"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w:fill="FADBC8" w:themeFill="accent4" w:themeFillTint="3F"/&gt;&lt;/w:tcPr&gt;&lt;/w:tblStylePr&gt;&lt;w:tblStylePr w:type="band1Horz"&gt;&lt;w:tblPr/&gt;&lt;w:tcPr&gt;&lt;w:tcBorders&gt;&lt;w:insideH w:val="nil"/&gt;&lt;w:insideV w:val="nil"/&gt;&lt;/w:tcBorders&gt;&lt;w:shd w:val="clear" w:color="auto" w:fill="FADBC8" w:themeFill="accent4" w:themeFillTint="3F"/&gt;&lt;/w:tcPr&gt;&lt;/w:tblStylePr&gt;&lt;w:tblStylePr w:type="band2Horz"&gt;&lt;w:tblPr/&gt;&lt;w:tcPr&gt;&lt;w:tcBorders&gt;&lt;w:insideH w:val="nil"/&gt;&lt;w:insideV w:val="nil"/&gt;&lt;/w:tcBorders&gt;&lt;/w:tcPr&gt;&lt;/w:tblStylePr&gt;&lt;/w:style&gt;&lt;w:style w:type="table" w:styleId="MediumShading1-Accent5"&gt;&lt;w:name w:val="Medium Shading 1 Accent 5"/&gt;&lt;w:basedOn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w:color="E75F5F" w:themeColor="accent5" w:themeTint="BF"/&gt;&lt;w:left w:val="single" w:sz="8" w:space="0" w:color="E75F5F" w:themeColor="accent5" w:themeTint="BF"/&gt;&lt;w:bottom w:val="single" w:sz="8" w:space="0" w:color="E75F5F" w:themeColor="accent5" w:themeTint="BF"/&gt;&lt;w:right w:val="single" w:sz="8" w:space="0" w:color="E75F5F" w:themeColor="accent5" w:themeTint="BF"/&gt;&lt;w:insideH w:val="single" w:sz="8" w:space="0" w:color="E75F5F" w:themeColor="accent5"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w:color="E75F5F" w:themeColor="accent5" w:themeTint="BF"/&gt;&lt;w:left w:val="single" w:sz="8" w:space="0" w:color="E75F5F" w:themeColor="accent5" w:themeTint="BF"/&gt;&lt;w:bottom w:val="single" w:sz="8" w:space="0" w:color="E75F5F" w:themeColor="accent5" w:themeTint="BF"/&gt;&lt;w:right w:val="single" w:sz="8" w:space="0" w:color="E75F5F" w:themeColor="accent5" w:themeTint="BF"/&gt;&lt;w:insideH w:val="nil"/&gt;&lt;w:insideV w:val="nil"/&gt;&lt;/w:tcBorders&gt;&lt;w:shd w:val="clear" w:color="auto" w:fill="DF2A2A" w:themeFill="accent5"/&gt;&lt;/w:tcPr&gt;&lt;/w:tblStylePr&gt;&lt;w:tblStylePr w:type="lastRow"&gt;&lt;w:pPr&gt;&lt;w:spacing w:before="0" w:after="0" w:line="240" w:lineRule="auto"/&gt;&lt;/w:pPr&gt;&lt;w:rPr&gt;&lt;w:b/&gt;&lt;w:bCs/&gt;&lt;/w:rPr&gt;&lt;w:tblPr/&gt;&lt;w:tcPr&gt;&lt;w:tcBorders&gt;&lt;w:top w:val="double" w:sz="6" w:space="0" w:color="E75F5F" w:themeColor="accent5" w:themeTint="BF"/&gt;&lt;w:left w:val="single" w:sz="8" w:space="0" w:color="E75F5F" w:themeColor="accent5" w:themeTint="BF"/&gt;&lt;w:bottom w:val="single" w:sz="8" w:space="0" w:color="E75F5F" w:themeColor="accent5" w:themeTint="BF"/&gt;&lt;w:right w:val="single" w:sz="8" w:space="0" w:color="E75F5F" w:themeColor="accent5"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w:fill="F7CACA" w:themeFill="accent5" w:themeFillTint="3F"/&gt;&lt;/w:tcPr&gt;&lt;/w:tblStylePr&gt;&lt;w:tblStylePr w:type="band1Horz"&gt;&lt;w:tblPr/&gt;&lt;w:tcPr&gt;&lt;w:tcBorders&gt;&lt;w:insideH w:val="nil"/&gt;&lt;w:insideV w:val="nil"/&gt;&lt;/w:tcBorders&gt;&lt;w:shd w:val="clear" w:color="auto" w:fill="F7CACA" w:themeFill="accent5" w:themeFillTint="3F"/&gt;&lt;/w:tcPr&gt;&lt;/w:tblStylePr&gt;&lt;w:tblStylePr w:type="band2Horz"&gt;&lt;w:tblPr/&gt;&lt;w:tcPr&gt;&lt;w:tcBorders&gt;&lt;w:insideH w:val="nil"/&gt;&lt;w:insideV w:val="nil"/&gt;&lt;/w:tcBorders&gt;&lt;/w:tcPr&gt;&lt;/w:tblStylePr&gt;&lt;/w:style&gt;&lt;w:style w:type="table" w:styleId="MediumShading1-Accent6"&gt;&lt;w:name w:val="Medium Shading 1 Accent 6"/&gt;&lt;w:basedOn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w:color="6F4EC6" w:themeColor="accent6" w:themeTint="BF"/&gt;&lt;w:left w:val="single" w:sz="8" w:space="0" w:color="6F4EC6" w:themeColor="accent6" w:themeTint="BF"/&gt;&lt;w:bottom w:val="single" w:sz="8" w:space="0" w:color="6F4EC6" w:themeColor="accent6" w:themeTint="BF"/&gt;&lt;w:right w:val="single" w:sz="8" w:space="0" w:color="6F4EC6" w:themeColor="accent6" w:themeTint="BF"/&gt;&lt;w:insideH w:val="single" w:sz="8" w:space="0" w:color="6F4EC6" w:themeColor="accent6"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w:color="6F4EC6" w:themeColor="accent6" w:themeTint="BF"/&gt;&lt;w:left w:val="single" w:sz="8" w:space="0" w:color="6F4EC6" w:themeColor="accent6" w:themeTint="BF"/&gt;&lt;w:bottom w:val="single" w:sz="8" w:space="0" w:color="6F4EC6" w:themeColor="accent6" w:themeTint="BF"/&gt;&lt;w:right w:val="single" w:sz="8" w:space="0" w:color="6F4EC6" w:themeColor="accent6" w:themeTint="BF"/&gt;&lt;w:insideH w:val="nil"/&gt;&lt;w:insideV w:val="nil"/&gt;&lt;/w:tcBorders&gt;&lt;w:shd w:val="clear" w:color="auto" w:fill="4D3097" w:themeFill="accent6"/&gt;&lt;/w:tcPr&gt;&lt;/w:tblStylePr&gt;&lt;w:tblStylePr w:type="lastRow"&gt;&lt;w:pPr&gt;&lt;w:spacing w:before="0" w:after="0" w:line="240" w:lineRule="auto"/&gt;&lt;/w:pPr&gt;&lt;w:rPr&gt;&lt;w:b/&gt;&lt;w:bCs/&gt;&lt;/w:rPr&gt;&lt;w:tblPr/&gt;&lt;w:tcPr&gt;&lt;w:tcBorders&gt;&lt;w:top w:val="double" w:sz="6" w:space="0" w:color="6F4EC6" w:themeColor="accent6" w:themeTint="BF"/&gt;&lt;w:left w:val="single" w:sz="8" w:space="0" w:color="6F4EC6" w:themeColor="accent6" w:themeTint="BF"/&gt;&lt;w:bottom w:val="single" w:sz="8" w:space="0" w:color="6F4EC6" w:themeColor="accent6" w:themeTint="BF"/&gt;&lt;w:right w:val="single" w:sz="8" w:space="0" w:color="6F4EC6" w:themeColor="accent6"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w:fill="CFC4EC" w:themeFill="accent6" w:themeFillTint="3F"/&gt;&lt;/w:tcPr&gt;&lt;/w:tblStylePr&gt;&lt;w:tblStylePr w:type="band1Horz"&gt;&lt;w:tblPr/&gt;&lt;w:tcPr&gt;&lt;w:tcBorders&gt;&lt;w:insideH w:val="nil"/&gt;&lt;w:insideV w:val="nil"/&gt;&lt;/w:tcBorders&gt;&lt;w:shd w:val="clear" w:color="auto" w:fill="CFC4EC" w:themeFill="accent6" w:themeFillTint="3F"/&gt;&lt;/w:tcPr&gt;&lt;/w:tblStylePr&gt;&lt;w:tblStylePr w:type="band2Horz"&gt;&lt;w:tblPr/&gt;&lt;w:tcPr&gt;&lt;w:tcBorders&gt;&lt;w:insideH w:val="nil"/&gt;&lt;w:insideV w:val="nil"/&gt;&lt;/w:tcBorders&gt;&lt;/w:tcPr&gt;&lt;/w:tblStylePr&gt;&lt;/w:style&gt;&lt;w:style w:type="table" w:styleId="MediumShading2"&gt;&lt;w:name w:val="Medium Shading 2"/&gt;&lt;w:basedOn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w:fill="000000" w:themeFill="text1"/&gt;&lt;/w:tcPr&gt;&lt;/w:tblStylePr&gt;&lt;w:tblStylePr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w:fill="000000" w:themeFill="text1"/&gt;&lt;/w:tcPr&gt;&lt;/w:tblStylePr&gt;&lt;w:tblStylePr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w:fill="000000" w:themeFill="text1"/&gt;&lt;/w:tcPr&gt;&lt;/w:tblStylePr&gt;&lt;w:tblStylePr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w:styleId="MediumShading2-Accent1"&gt;&lt;w:name w:val="Medium Shading 2 Accent 1"/&gt;&lt;w:basedOn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w:fill="47A843" w:themeFill="accent1"/&gt;&lt;/w:tcPr&gt;&lt;/w:tblStylePr&gt;&lt;w:tblStylePr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w:fill="47A843" w:themeFill="accent1"/&gt;&lt;/w:tcPr&gt;&lt;/w:tblStylePr&gt;&lt;w:tblStylePr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w:fill="47A843" w:themeFill="accent1"/&gt;&lt;/w:tcPr&gt;&lt;/w:tblStylePr&gt;&lt;w:tblStylePr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w:styleId="MediumShading2-Accent2"&gt;&lt;w:name w:val="Medium Shading 2 Accent 2"/&gt;&lt;w:basedOn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w:fill="B2D83A" w:themeFill="accent2"/&gt;&lt;/w:tcPr&gt;&lt;/w:tblStylePr&gt;&lt;w:tblStylePr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w:fill="B2D83A" w:themeFill="accent2"/&gt;&lt;/w:tcPr&gt;&lt;/w:tblStylePr&gt;&lt;w:tblStylePr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w:fill="B2D83A" w:themeFill="accent2"/&gt;&lt;/w:tcPr&gt;&lt;/w:tblStylePr&gt;&lt;w:tblStylePr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w:styleId="MediumShading2-Accent3"&gt;&lt;w:name w:val="Medium Shading 2 Accent 3"/&gt;&lt;w:basedOn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w:fill="0066BE" w:themeFill="accent3"/&gt;&lt;/w:tcPr&gt;&lt;/w:tblStylePr&gt;&lt;w:tblStylePr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w:fill="0066BE" w:themeFill="accent3"/&gt;&lt;/w:tcPr&gt;&lt;/w:tblStylePr&gt;&lt;w:tblStylePr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w:fill="0066BE" w:themeFill="accent3"/&gt;&lt;/w:tcPr&gt;&lt;/w:tblStylePr&gt;&lt;w:tblStylePr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w:styleId="MediumShading2-Accent4"&gt;&lt;w:name w:val="Medium Shading 2 Accent 4"/&gt;&lt;w:basedOn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w:fill="EC7023" w:themeFill="accent4"/&gt;&lt;/w:tcPr&gt;&lt;/w:tblStylePr&gt;&lt;w:tblStylePr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w:fill="EC7023" w:themeFill="accent4"/&gt;&lt;/w:tcPr&gt;&lt;/w:tblStylePr&gt;&lt;w:tblStylePr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w:fill="EC7023" w:themeFill="accent4"/&gt;&lt;/w:tcPr&gt;&lt;/w:tblStylePr&gt;&lt;w:tblStylePr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w:styleId="MediumShading2-Accent5"&gt;&lt;w:name w:val="Medium Shading 2 Accent 5"/&gt;&lt;w:basedOn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w:fill="DF2A2A" w:themeFill="accent5"/&gt;&lt;/w:tcPr&gt;&lt;/w:tblStylePr&gt;&lt;w:tblStylePr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w:fill="DF2A2A" w:themeFill="accent5"/&gt;&lt;/w:tcPr&gt;&lt;/w:tblStylePr&gt;&lt;w:tblStylePr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w:fill="DF2A2A" w:themeFill="accent5"/&gt;&lt;/w:tcPr&gt;&lt;/w:tblStylePr&gt;&lt;w:tblStylePr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w:styleId="MediumShading2-Accent6"&gt;&lt;w:name w:val="Medium Shading 2 Accent 6"/&gt;&lt;w:basedOn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w:fill="4D3097" w:themeFill="accent6"/&gt;&lt;/w:tcPr&gt;&lt;/w:tblStylePr&gt;&lt;w:tblStylePr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w:fill="4D3097" w:themeFill="accent6"/&gt;&lt;/w:tcPr&gt;&lt;/w:tblStylePr&gt;&lt;w:tblStylePr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w:fill="4D3097" w:themeFill="accent6"/&gt;&lt;/w:tcPr&gt;&lt;/w:tblStylePr&gt;&lt;w:tblStylePr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w:type="character" w:styleId="Mention"&gt;&lt;w:name w:val="Mention"/&gt;&lt;w:basedOn w:val="DefaultParagraphFont"/&gt;&lt;w:uiPriority w:val="99"/&gt;&lt;w:semiHidden/&gt;&lt;w:locked/&gt;&lt;w:rsid w:val="00D30A58"/&gt;&lt;w:rPr&gt;&lt;w:color w:val="2B579A"/&gt;&lt;w:shd w:val="clear" w:color="auto" w:fill="E1DFDD"/&gt;&lt;/w:rPr&gt;&lt;/w:style&gt;&lt;w:style w:type="paragraph" w:styleId="MessageHeader"&gt;&lt;w:name w:val="Message Header"/&gt;&lt;w:basedOn w:val="Normal"/&gt;&lt;w:link w:val="MessageHeaderChar"/&gt;&lt;w:uiPriority w:val="99"/&gt;&lt;w:semiHidden/&gt;&lt;w:locked/&gt;&lt;w:rsid w:val="00D30A58"/&gt;&lt;w:pPr&gt;&lt;w:pBdr&gt;&lt;w:top w:val="single" w:sz="6" w:space="1" w:color="auto"/&gt;&lt;w:left w:val="single" w:sz="6" w:space="1" w:color="auto"/&gt;&lt;w:bottom w:val="single" w:sz="6" w:space="1" w:color="auto"/&gt;&lt;w:right w:val="single" w:sz="6" w:space="1" w:color="auto"/&gt;&lt;/w:pBdr&gt;&lt;w:shd w:val="pct20" w:color="auto" w:fill="auto"/&gt;&lt;w:spacing w:before="0" w:after="0" w:line="240" w:lineRule="auto"/&gt;&lt;w:ind w:left="1134" w:hanging="1134"/&gt;&lt;/w:pPr&gt;&lt;w:rPr&gt;&lt;w:rFonts w:asciiTheme="majorHAnsi" w:eastAsiaTheme="majorEastAsia" w:hAnsiTheme="majorHAnsi" w:cstheme="majorBidi"/&gt;&lt;w:sz w:val="24"/&gt;&lt;w:szCs w:val="24"/&gt;&lt;/w:rPr&gt;&lt;/w:style&gt;&lt;w:style w:type="character" w:customStyle="1" w:styleId="MessageHeaderChar"&gt;&lt;w:name w:val="Message Header Char"/&gt;&lt;w:basedOn w:val="DefaultParagraphFont"/&gt;&lt;w:link w:val="MessageHeader"/&gt;&lt;w:uiPriority w:val="99"/&gt;&lt;w:semiHidden/&gt;&lt;w:rsid w:val="00D30A58"/&gt;&lt;w:rPr&gt;&lt;w:rFonts w:asciiTheme="majorHAnsi" w:eastAsiaTheme="majorEastAsia" w:hAnsiTheme="majorHAnsi" w:cstheme="majorBidi"/&gt;&lt;w:sz w:val="24"/&gt;&lt;w:szCs w:val="24"/&gt;&lt;w:shd w:val="pct20" w:color="auto" w:fill="auto"/&gt;&lt;/w:rPr&gt;&lt;/w:style&gt;&lt;w:style w:type="paragraph" w:styleId="NormalWeb"&gt;&lt;w:name w:val="Normal (Web)"/&gt;&lt;w:basedOn w:val="Normal"/&gt;&lt;w:uiPriority w:val="99"/&gt;&lt;w:semiHidden/&gt;&lt;w:locked/&gt;&lt;w:rsid w:val="00D30A58"/&gt;&lt;w:rPr&gt;&lt;w:rFonts w:ascii="Times New Roman" w:hAnsi="Times New Roman" w:cs="Times New Roman"/&gt;&lt;w:sz w:val="24"/&gt;&lt;w:szCs w:val="24"/&gt;&lt;/w:rPr&gt;&lt;/w:style&gt;&lt;w:style w:type="paragraph" w:styleId="NormalIndent"&gt;&lt;w:name w:val="Normal Indent"/&gt;&lt;w:basedOn w:val="Normal"/&gt;&lt;w:uiPriority w:val="99"/&gt;&lt;w:semiHidden/&gt;&lt;w:locked/&gt;&lt;w:rsid w:val="00D30A58"/&gt;&lt;w:pPr&gt;&lt;w:ind w:left="720"/&gt;&lt;/w:pPr&gt;&lt;/w:style&gt;&lt;w:style w:type="table" w:styleId="PlainTable1"&gt;&lt;w:name w:val="Plain Table 1"/&gt;&lt;w:basedOn w:val="TableNormal"/&gt;&lt;w:uiPriority w:val="41"/&gt;&lt;w:locked/&gt;&lt;w:rsid w:val="00D30A58"/&gt;&lt;w:pPr&gt;&lt;w:spacing w:after="0" w:line="240" w:lineRule="auto"/&gt;&lt;/w:pPr&gt;&lt;w:tblPr&gt;&lt;w:tblStyleRowBandSize w:val="1"/&gt;&lt;w:tblStyleColBandSize w:val="1"/&gt;&lt;w:tblBorders&gt;&lt;w:top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w:themeShade="BF"/&gt;&lt;/w:tblBorders&gt;&lt;/w:tblPr&gt;&lt;w:tblStylePr w:type="firstRow"&gt;&lt;w:rPr&gt;&lt;w:b/&gt;&lt;w:bCs/&gt;&lt;/w:rPr&gt;&lt;/w:tblStylePr&gt;&lt;w:tblStylePr w:type="lastRow"&gt;&lt;w:rPr&gt;&lt;w:b/&gt;&lt;w:bCs/&gt;&lt;/w:rPr&gt;&lt;w:tblPr/&gt;&lt;w:tcPr&gt;&lt;w:tcBorders&gt;&lt;w:top w:val="double" w:sz="4" w:space="0" w:color="BFBFBF" w:themeColor="background1" w:themeShade="BF"/&gt;&lt;/w:tcBorders&gt;&lt;/w:tcPr&gt;&lt;/w:tblStylePr&gt;&lt;w:tblStylePr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w:styleId="PlainTable2"&gt;&lt;w:name w:val="Plain Table 2"/&gt;&lt;w:basedOn w:val="TableNormal"/&gt;&lt;w:uiPriority w:val="42"/&gt;&lt;w:locked/&gt;&lt;w:rsid w:val="00D30A58"/&gt;&lt;w:pPr&gt;&lt;w:spacing w:after="0" w:line="240" w:lineRule="auto"/&gt;&lt;/w:pPr&gt;&lt;w:tblPr&gt;&lt;w:tblStyleRowBandSize w:val="1"/&gt;&lt;w:tblStyleColBandSize w:val="1"/&gt;&lt;w:tblBorders&gt;&lt;w:top w:val="single" w:sz="4" w:space="0" w:color="7F7F7F" w:themeColor="text1" w:themeTint="80"/&gt;&lt;w:bottom w:val="single" w:sz="4" w:space="0" w:color="7F7F7F" w:themeColor="text1" w:themeTint="80"/&gt;&lt;/w:tblBorders&gt;&lt;/w:tblPr&gt;&lt;w:tblStylePr w:type="firstRow"&gt;&lt;w:rPr&gt;&lt;w:b/&gt;&lt;w:bCs/&gt;&lt;/w:rPr&gt;&lt;w:tblPr/&gt;&lt;w:tcPr&gt;&lt;w:tcBorders&gt;&lt;w:bottom w:val="single" w:sz="4" w:space="0" w:color="7F7F7F" w:themeColor="text1" w:themeTint="80"/&gt;&lt;/w:tcBorders&gt;&lt;/w:tcPr&gt;&lt;/w:tblStylePr&gt;&lt;w:tblStylePr w:type="lastRow"&gt;&lt;w:rPr&gt;&lt;w:b/&gt;&lt;w:bCs/&gt;&lt;/w:rPr&gt;&lt;w:tblPr/&gt;&lt;w:tcPr&gt;&lt;w:tcBorders&gt;&lt;w:top w:val="single" w:sz="4" w:space="0" w:color="7F7F7F" w:themeColor="text1" w:themeTint="80"/&gt;&lt;/w:tcBorders&gt;&lt;/w:tcPr&gt;&lt;/w:tblStylePr&gt;&lt;w:tblStylePr w:type="firstCol"&gt;&lt;w:rPr&gt;&lt;w:b/&gt;&lt;w:bCs/&gt;&lt;/w:rPr&gt;&lt;/w:tblStylePr&gt;&lt;w:tblStylePr w:type="lastCol"&gt;&lt;w:rPr&gt;&lt;w:b/&gt;&lt;w:bCs/&gt;&lt;/w:rPr&gt;&lt;/w:tblStylePr&gt;&lt;w:tblStylePr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w:type="table" w:styleId="PlainTable3"&gt;&lt;w:name w:val="Plain Table 3"/&gt;&lt;w:basedOn w:val="TableNormal"/&gt;&lt;w:uiPriority w:val="43"/&gt;&lt;w:locked/&gt;&lt;w:rsid w:val="00D30A58"/&gt;&lt;w:pPr&gt;&lt;w:spacing w:after="0" w:line="240" w:lineRule="auto"/&gt;&lt;/w:pPr&gt;&lt;w:tblPr&gt;&lt;w:tblStyleRowBandSize w:val="1"/&gt;&lt;w:tblStyleColBandSize w:val="1"/&gt;&lt;/w:tblPr&gt;&lt;w:tblStylePr w:type="firstRow"&gt;&lt;w:rPr&gt;&lt;w:b/&gt;&lt;w:bCs/&gt;&lt;w:caps/&gt;&lt;/w:rPr&gt;&lt;w:tblPr/&gt;&lt;w:tcPr&gt;&lt;w:tcBorders&gt;&lt;w:bottom w:val="single" w:sz="4" w:space="0" w:color="7F7F7F" w:themeColor="text1" w:themeTint="80"/&gt;&lt;/w:tcBorders&gt;&lt;/w:tcPr&gt;&lt;/w:tblStylePr&gt;&lt;w:tblStylePr w:type="lastRow"&gt;&lt;w:rPr&gt;&lt;w:b/&gt;&lt;w:bCs/&gt;&lt;w:caps/&gt;&lt;/w:rPr&gt;&lt;w:tblPr/&gt;&lt;w:tcPr&gt;&lt;w:tcBorders&gt;&lt;w:top w:val="nil"/&gt;&lt;/w:tcBorders&gt;&lt;/w:tcPr&gt;&lt;/w:tblStylePr&gt;&lt;w:tblStylePr w:type="firstCol"&gt;&lt;w:rPr&gt;&lt;w:b/&gt;&lt;w:bCs/&gt;&lt;w:caps/&gt;&lt;/w:rPr&gt;&lt;w:tblPr/&gt;&lt;w:tcPr&gt;&lt;w:tcBorders&gt;&lt;w:right w:val="single" w:sz="4" w:space="0" w:color="7F7F7F" w:themeColor="text1" w:themeTint="80"/&gt;&lt;/w:tcBorders&gt;&lt;/w:tcPr&gt;&lt;/w:tblStylePr&gt;&lt;w:tblStylePr w:type="lastCol"&gt;&lt;w:rPr&gt;&lt;w:b/&gt;&lt;w:bCs/&gt;&lt;w:caps/&gt;&lt;/w:rPr&gt;&lt;w:tblPr/&gt;&lt;w:tcPr&gt;&lt;w:tcBorders&gt;&lt;w:left w:val="nil"/&gt;&lt;/w:tcBorders&gt;&lt;/w:tcPr&gt;&lt;/w:tblStylePr&gt;&lt;w:tblStylePr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w:val="nil"/&gt;&lt;/w:tcBorders&gt;&lt;/w:tcPr&gt;&lt;/w:tblStylePr&gt;&lt;/w:style&gt;&lt;w:style w:type="table" w:styleId="PlainTable4"&gt;&lt;w:name w:val="Plain Table 4"/&gt;&lt;w:basedOn w:val="TableNormal"/&gt;&lt;w:uiPriority w:val="44"/&gt;&lt;w:locked/&gt;&lt;w:rsid w:val="00D30A58"/&gt;&lt;w:pPr&gt;&lt;w:spacing w:after="0" w:line="240" w:lineRule="auto"/&gt;&lt;/w:pPr&gt;&lt;w:tblPr&gt;&lt;w:tblStyleRowBandSize w:val="1"/&gt;&lt;w:tblStyleColBandSize w:val="1"/&gt;&lt;/w:tblPr&gt;&lt;w:tblStylePr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w:styleId="PlainTable5"&gt;&lt;w:name w:val="Plain Table 5"/&gt;&lt;w:basedOn w:val="TableNormal"/&gt;&lt;w:uiPriority w:val="45"/&gt;&lt;w:locked/&gt;&lt;w:rsid w:val="00D30A58"/&gt;&lt;w:pPr&gt;&lt;w:spacing w:after="0" w:line="240" w:lineRule="auto"/&gt;&lt;/w:pPr&gt;&lt;w:tblPr&gt;&lt;w:tblStyleRowBandSize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w:color="7F7F7F" w:themeColor="text1" w:themeTint="80"/&gt;&lt;/w:tcBorders&gt;&lt;w:shd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w:color="7F7F7F" w:themeColor="text1" w:themeTint="80"/&gt;&lt;/w:tcBorders&gt;&lt;w:shd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w:color="7F7F7F" w:themeColor="text1" w:themeTint="80"/&gt;&lt;/w:tcBorders&gt;&lt;w:shd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w:color="7F7F7F" w:themeColor="text1" w:themeTint="80"/&gt;&lt;/w:tcBorders&gt;&lt;w:shd w:val="clear" w:color="auto" w:fill="FFFFFF" w:themeFill="background1"/&gt;&lt;/w:tcPr&gt;&lt;/w:tblStylePr&gt;&lt;w:tblStylePr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w:styleId="PlainText"&gt;&lt;w:name w:val="Plain Text"/&gt;&lt;w:basedOn w:val="Normal"/&gt;&lt;w:link w:val="PlainTextChar"/&gt;&lt;w:uiPriority w:val="99"/&gt;&lt;w:semiHidden/&gt;&lt;w:locked/&gt;&lt;w:rsid w:val="00D30A58"/&gt;&lt;w:pPr&gt;&lt;w:spacing w:before="0" w:after="0" w:line="240" w:lineRule="auto"/&gt;&lt;/w:pPr&gt;&lt;w:rPr&gt;&lt;w:rFonts w:ascii="Consolas" w:hAnsi="Consolas"/&gt;&lt;/w:rPr&gt;&lt;/w:style&gt;&lt;w:style w:type="character" w:customStyle="1" w:styleId="PlainTextChar"&gt;&lt;w:name w:val="Plain Text Char"/&gt;&lt;w:basedOn w:val="DefaultParagraphFont"/&gt;&lt;w:link w:val="PlainText"/&gt;&lt;w:uiPriority w:val="99"/&gt;&lt;w:semiHidden/&gt;&lt;w:rsid w:val="00D30A58"/&gt;&lt;w:rPr&gt;&lt;w:rFonts w:ascii="Consolas" w:hAnsi="Consolas"/&gt;&lt;w:sz w:val="21"/&gt;&lt;w:szCs w:val="21"/&gt;&lt;/w:rPr&gt;&lt;/w:style&gt;&lt;w:style w:type="character" w:styleId="SmartLink"&gt;&lt;w:name w:val="Smart Link"/&gt;&lt;w:basedOn w:val="DefaultParagraphFont"/&gt;&lt;w:uiPriority w:val="99"/&gt;&lt;w:semiHidden/&gt;&lt;w:locked/&gt;&lt;w:rsid w:val="00D30A58"/&gt;&lt;w:rPr&gt;&lt;w:color w:val="0000FF"/&gt;&lt;w:u w:val="single"/&gt;&lt;w:shd w:val="clear" w:color="auto" w:fill="F3F2F1"/&gt;&lt;/w:rPr&gt;&lt;/w:style&gt;&lt;w:style w:type="character" w:styleId="SubtleEmphasis"&gt;&lt;w:name w:val="Subtle Emphasis"/&gt;&lt;w:basedOn w:val="DefaultParagraphFont"/&gt;&lt;w:uiPriority w:val="19"/&gt;&lt;w:semiHidden/&gt;&lt;w:qFormat/&gt;&lt;w:locked/&gt;&lt;w:rsid w:val="00D30A58"/&gt;&lt;w:rPr&gt;&lt;w:i/&gt;&lt;w:iCs/&gt;&lt;w:color w:val="404040" w:themeColor="text1" w:themeTint="BF"/&gt;&lt;/w:rPr&gt;&lt;/w:style&gt;&lt;w:style w:type="character" w:styleId="SubtleReference"&gt;&lt;w:name w:val="Subtle Reference"/&gt;&lt;w:basedOn w:val="DefaultParagraphFont"/&gt;&lt;w:uiPriority w:val="31"/&gt;&lt;w:semiHidden/&gt;&lt;w:qFormat/&gt;&lt;w:locked/&gt;&lt;w:rsid w:val="00D30A58"/&gt;&lt;w:rPr&gt;&lt;w:smallCaps/&gt;&lt;w:color w:val="5A5A5A" w:themeColor="text1" w:themeTint="A5"/&gt;&lt;/w:rPr&gt;&lt;/w:style&gt;&lt;w:style w:type="table" w:styleId="Table3Deffects1"&gt;&lt;w:name w:val="Table 3D effects 1"/&gt;&lt;w:basedOn w:val="TableNormal"/&gt;&lt;w:uiPriority w:val="99"/&gt;&lt;w:semiHidden/&gt;&lt;w:unhideWhenUsed/&gt;&lt;w:locked/&gt;&lt;w:rsid w:val="00D30A58"/&gt;&lt;w:rPr&gt;&lt;w:color w:val="auto"/&gt;&lt;/w:rPr&gt;&lt;w:tblPr/&gt;&lt;w:tcPr&gt;&lt;w:shd w:val="solid" w:color="C0C0C0" w:fill="FFFFFF"/&gt;&lt;/w:tcPr&gt;&lt;w:tblStylePr w:type="firstRow"&gt;&lt;w:rPr&gt;&lt;w:b/&gt;&lt;w:bCs/&gt;&lt;w:color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w:type="lastRow"&gt;&lt;w:tblPr/&gt;&lt;w:tcPr&gt;&lt;w:tcBorders&gt;&lt;w:top w:val="single" w:sz="6" w:space="0" w:color="FFFFFF"/&gt;&lt;w:tl2br w:val="none" w:sz="0" w:space="0" w:color="auto"/&gt;&lt;w:tr2bl w:val="none" w:sz="0" w:space="0" w:color="auto"/&gt;&lt;/w:tcBorders&gt;&lt;/w:tcPr&gt;&lt;/w:tblStylePr&gt;&lt;w:tblStylePr w:type="firstCol"&gt;&lt;w:rPr&gt;&lt;w:b/&gt;&lt;w:bCs/&gt;&lt;/w:rPr&gt;&lt;w:tblPr/&gt;&lt;w:tcPr&gt;&lt;w:tcBorders&gt;&lt;w:right w:val="single" w:sz="6" w:space="0" w:color="808080"/&gt;&lt;w:tl2br w:val="none" w:sz="0" w:space="0" w:color="auto"/&gt;&lt;w:tr2bl w:val="none" w:sz="0" w:space="0" w:color="auto"/&gt;&lt;/w:tcBorders&gt;&lt;/w:tcPr&gt;&lt;/w:tblStylePr&gt;&lt;w:tblStylePr w:type="lastCol"&gt;&lt;w:tblPr/&gt;&lt;w:tcPr&gt;&lt;w:tcBorders&gt;&lt;w:left w:val="single" w:sz="6" w:space="0" w:color="FFFFFF"/&gt;&lt;w:tl2br w:val="none" w:sz="0" w:space="0" w:color="auto"/&gt;&lt;w:tr2bl w:val="none" w:sz="0" w:space="0" w:color="auto"/&gt;&lt;/w:tcBorders&gt;&lt;/w:tcPr&gt;&lt;/w:tblStylePr&gt;&lt;w:tblStylePr w:type="neCell"&gt;&lt;w:tblPr/&gt;&lt;w:tcPr&gt;&lt;w:tcBorders&gt;&lt;w:left w:val="none" w:sz="0" w:space="0" w:color="auto"/&gt;&lt;w:bottom w:val="none" w:sz="0" w:space="0" w:color="auto"/&gt;&lt;w:tl2br w:val="none" w:sz="0" w:space="0" w:color="auto"/&gt;&lt;w:tr2bl w:val="none" w:sz="0" w:space="0" w:color="auto"/&gt;&lt;/w:tcBorders&gt;&lt;/w:tcPr&gt;&lt;/w:tblStylePr&gt;&lt;w:tblStylePr w:type="nwCell"&gt;&lt;w:tblPr/&gt;&lt;w:tcPr&gt;&lt;w:tcBorders&gt;&lt;w:bottom w:val="none" w:sz="0" w:space="0" w:color="auto"/&gt;&lt;w:right w:val="none" w:sz="0" w:space="0" w:color="auto"/&gt;&lt;w:tl2br w:val="none" w:sz="0" w:space="0" w:color="auto"/&gt;&lt;w:tr2bl w:val="none" w:sz="0" w:space="0" w:color="auto"/&gt;&lt;/w:tcBorders&gt;&lt;/w:tcPr&gt;&lt;/w:tblStylePr&gt;&lt;w:tblStylePr w:type="seCell"&gt;&lt;w:tblPr/&gt;&lt;w:tcPr&gt;&lt;w:tcBorders&gt;&lt;w:top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w:val="99"/&gt;&lt;w:semiHidden/&gt;&lt;w:unhideWhenUsed/&gt;&lt;w:locked/&gt;&lt;w:rsid w:val="00D30A58"/&gt;&lt;w:rPr&gt;&lt;w:color w:val="auto"/&gt;&lt;/w:rPr&gt;&lt;w:tblPr&gt;&lt;w:tblStyleRowBandSize w:val="1"/&gt;&lt;/w:tblPr&gt;&lt;w:tcPr&gt;&lt;w:shd w:val="solid" w:color="C0C0C0" w:fill="FFFFFF"/&gt;&lt;/w:tcPr&gt;&lt;w:tblStylePr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w:val="99"/&gt;&lt;w:semiHidden/&gt;&lt;w:unhideWhenUsed/&gt;&lt;w:locked/&gt;&lt;w:rsid w:val="00D30A58"/&gt;&lt;w:rPr&gt;&lt;w:color w:val="auto"/&gt;&lt;/w:rPr&gt;&lt;w:tblPr&gt;&lt;w:tblStyleRowBandSize w:val="1"/&gt;&lt;w:tblStyleColBandSize w:val="1"/&gt;&lt;/w:tblPr&gt;&lt;w:tblStylePr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w:val="pct50" w:color="C0C0C0" w:fill="FFFFFF"/&gt;&lt;/w:tcPr&gt;&lt;/w:tblStylePr&gt;&lt;w:tblStylePr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w:val="99"/&gt;&lt;w:semiHidden/&gt;&lt;w:unhideWhenUsed/&gt;&lt;w:locked/&gt;&lt;w:rsid w:val="00D30A58"/&gt;&lt;w:rPr&gt;&lt;w:color w:val="auto"/&gt;&lt;/w:rPr&gt;&lt;w:tblPr&gt;&lt;w:tblBorders&gt;&lt;w:top w:val="single" w:sz="12" w:space="0" w:color="000000"/&gt;&lt;w:bottom w:val="single" w:sz="12" w:space="0" w:color="000000"/&gt;&lt;/w:tblBorders&gt;&lt;/w:tblPr&gt;&lt;w:tcPr&gt;&lt;w:shd w:val="clear" w:color="auto" w:fill="auto"/&gt;&lt;/w:tcPr&gt;&lt;w:tblStylePr w:type="firstRow"&gt;&lt;w:rPr&gt;&lt;w:color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w:color="auto"/&gt;&lt;/w:tcBorders&gt;&lt;w:shd w:val="solid" w:color="C0C0C0" w:fill="FFFFFF"/&gt;&lt;/w:tcPr&gt;&lt;/w:tblStylePr&gt;&lt;w:tblStylePr w:type="neCell"&gt;&lt;w:rPr&gt;&lt;w:b/&gt;&lt;w:bCs/&gt;&lt;/w:rPr&gt;&lt;w:tblPr/&gt;&lt;w:tcPr&gt;&lt;w:tcBorders&gt;&lt;w:tl2br w:val="none" w:sz="0" w:space="0" w:color="auto"/&gt;&lt;w:tr2bl w:val="none" w:sz="0" w:space="0" w:color="auto"/&gt;&lt;/w:tcBorders&gt;&lt;/w:tcPr&gt;&lt;/w:tblStylePr&gt;&lt;w:tblStylePr w:type="nwCell"&gt;&lt;w:tblPr/&gt;&lt;w:tcPr&gt;&lt;w:tcBorders&gt;&lt;w:tl2br w:val="none" w:sz="0" w:space="0" w:color="auto"/&gt;&lt;w:tr2bl w:val="none" w:sz="0" w:space="0" w:color="auto"/&gt;&lt;/w:tcBorders&gt;&lt;w:shd w:val="solid" w:color="800080" w:fill="FFFFFF"/&gt;&lt;/w:tcPr&gt;&lt;/w:tblStylePr&gt;&lt;w:tblStylePr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w:val="99"/&gt;&lt;w:semiHidden/&gt;&lt;w:unhideWhenUsed/&gt;&lt;w:locked/&gt;&lt;w:rsid w:val="00D30A58"/&gt;&lt;w:rPr&gt;&lt;w:color w:val="000080"/&gt;&lt;/w:rPr&gt;&lt;w:tblPr&gt;&lt;w:tblBorders&gt;&lt;w:top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w:val="99"/&gt;&lt;w:semiHidden/&gt;&lt;w:unhideWhenUsed/&gt;&lt;w:locked/&gt;&lt;w:rsid w:val="00D30A58"/&gt;&lt;w:rPr&gt;&lt;w:color w:val="auto"/&gt;&lt;/w:rPr&gt;&lt;w:tblPr&gt;&lt;w:tblBorders&gt;&lt;w:top w:val="single" w:sz="12" w:space="0" w:color="000000"/&gt;&lt;w:left w:val="single" w:sz="6" w:space="0" w:color="000000"/&gt;&lt;w:bottom w:val="single" w:sz="12" w:space="0" w:color="000000"/&gt;&lt;w:right w:val="single" w:sz="6" w:space="0" w:color="000000"/&gt;&lt;/w:tblBorders&gt;&lt;/w:tblPr&gt;&lt;w:tcPr&gt;&lt;w:shd w:val="clear" w:color="auto" w:fill="auto"/&gt;&lt;/w:tcPr&gt;&lt;w:tblStylePr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w:type="firstCol"&gt;&lt;w:rPr&gt;&lt;w:b/&gt;&lt;w:bCs/&gt;&lt;/w:rPr&gt;&lt;w:tblPr/&gt;&lt;w:tcPr&gt;&lt;w:tcBorders&gt;&lt;w:tl2br w:val="none" w:sz="0" w:space="0" w:color="auto"/&gt;&lt;w:tr2bl w:val="none" w:sz="0" w:space="0" w:color="auto"/&gt;&lt;/w:tcBorders&gt;&lt;/w:tcPr&gt;&lt;/w:tblStylePr&gt;&lt;w:tblStylePr w:type="nwCell"&gt;&lt;w:rPr&gt;&lt;w:b/&gt;&lt;w:bCs/&gt;&lt;/w:rPr&gt;&lt;w:tblPr/&gt;&lt;w:tcPr&gt;&lt;w:tcBorders&gt;&lt;w:tl2br w:val="none" w:sz="0" w:space="0" w:color="auto"/&gt;&lt;w:tr2bl w:val="none" w:sz="0" w:space="0" w:color="auto"/&gt;&lt;/w:tcBorders&gt;&lt;/w:tcPr&gt;&lt;/w:tblStylePr&gt;&lt;w:tblStylePr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w:val="99"/&gt;&lt;w:semiHidden/&gt;&lt;w:unhideWhenUsed/&gt;&lt;w:locked/&gt;&lt;w:rsid w:val="00D30A58"/&gt;&lt;w:rPr&gt;&lt;w:color w:val="FFFFFF"/&gt;&lt;/w:rPr&gt;&lt;w:tblPr&gt;&lt;w:tblBorders&gt;&lt;w:top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w:type="firstRow"&gt;&lt;w:rPr&gt;&lt;w:b/&gt;&lt;w:bCs/&gt;&lt;w:i/&gt;&lt;w:iCs/&gt;&lt;/w:rPr&gt;&lt;w:tblPr/&gt;&lt;w:tcPr&gt;&lt;w:tcBorders&gt;&lt;w:tl2br w:val="none" w:sz="0" w:space="0" w:color="auto"/&gt;&lt;w:tr2bl w:val="none" w:sz="0" w:space="0" w:color="auto"/&gt;&lt;/w:tcBorders&gt;&lt;w:shd w:val="solid" w:color="000000" w:fill="FFFFFF"/&gt;&lt;/w:tcPr&gt;&lt;/w:tblStylePr&gt;&lt;w:tblStylePr w:type="firstCol"&gt;&lt;w:rPr&gt;&lt;w:b/&gt;&lt;w:bCs/&gt;&lt;w:i/&gt;&lt;w:iCs/&gt;&lt;/w:rPr&gt;&lt;w:tblPr/&gt;&lt;w:tcPr&gt;&lt;w:tcBorders&gt;&lt;w:tl2br w:val="none" w:sz="0" w:space="0" w:color="auto"/&gt;&lt;w:tr2bl w:val="none" w:sz="0" w:space="0" w:color="auto"/&gt;&lt;/w:tcBorders&gt;&lt;w:shd w:val="solid" w:color="000080" w:fill="FFFFFF"/&gt;&lt;/w:tcPr&gt;&lt;/w:tblStylePr&gt;&lt;w:tblStylePr w:type="nwCell"&gt;&lt;w:tblPr/&gt;&lt;w:tcPr&gt;&lt;w:tcBorders&gt;&lt;w:tl2br w:val="none" w:sz="0" w:space="0" w:color="auto"/&gt;&lt;w:tr2bl w:val="none" w:sz="0" w:space="0" w:color="auto"/&gt;&lt;/w:tcBorders&gt;&lt;w:shd w:val="solid" w:color="000000"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w:val="99"/&gt;&lt;w:semiHidden/&gt;&lt;w:unhideWhenUsed/&gt;&lt;w:locked/&gt;&lt;w:rsid w:val="00D30A58"/&gt;&lt;w:rPr&gt;&lt;w:color w:val="auto"/&gt;&lt;/w:rPr&gt;&lt;w:tblPr&gt;&lt;w:tblBorders&gt;&lt;w:bottom w:val="single" w:sz="12" w:space="0" w:color="000000"/&gt;&lt;/w:tblBorders&gt;&lt;/w:tblPr&gt;&lt;w:tcPr&gt;&lt;w:shd w:val="pct20" w:color="FFFF00" w:fill="FFFFFF"/&gt;&lt;/w:tcPr&gt;&lt;w:tblStylePr w:type="firstRow"&gt;&lt;w:rPr&gt;&lt;w:b/&gt;&lt;w:bCs/&gt;&lt;w:i/&gt;&lt;w:iCs/&gt;&lt;w:color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w:type="firstCol"&gt;&lt;w:rPr&gt;&lt;w:b/&gt;&lt;w:bCs/&gt;&lt;w:i/&gt;&lt;w:iCs/&gt;&lt;/w:rPr&gt;&lt;w:tblPr/&gt;&lt;w:tcPr&gt;&lt;w:tcBorders&gt;&lt;w:tl2br w:val="none" w:sz="0" w:space="0" w:color="auto"/&gt;&lt;w:tr2bl w:val="none" w:sz="0" w:space="0" w:color="auto"/&gt;&lt;/w:tcBorders&gt;&lt;/w:tcPr&gt;&lt;/w:tblStylePr&gt;&lt;w:tblStylePr w:type="lastCol"&gt;&lt;w:tblPr/&gt;&lt;w:tcPr&gt;&lt;w:tcBorders&gt;&lt;w:tl2br w:val="none" w:sz="0" w:space="0" w:color="auto"/&gt;&lt;w:tr2bl w:val="none" w:sz="0" w:space="0" w:color="auto"/&gt;&lt;/w:tcBorders&gt;&lt;w:shd w:val="solid" w:color="C0C0C0"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w:val="99"/&gt;&lt;w:semiHidden/&gt;&lt;w:unhideWhenUsed/&gt;&lt;w:locked/&gt;&lt;w:rsid w:val="00D30A58"/&gt;&lt;w:rPr&gt;&lt;w:color w:val="auto"/&gt;&lt;/w:rPr&gt;&lt;w:tblPr&gt;&lt;w:tblBorders&gt;&lt;w:top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w:val="99"/&gt;&lt;w:semiHidden/&gt;&lt;w:unhideWhenUsed/&gt;&lt;w:locked/&gt;&lt;w:rsid w:val="00D30A58"/&gt;&lt;w:rPr&gt;&lt;w:b/&gt;&lt;w:bCs/&gt;&lt;w:color w:val="auto"/&gt;&lt;/w:rPr&gt;&lt;w:tblPr&gt;&lt;w:tblStyleColBandSize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w:val="pct25" w:color="000000" w:fill="FFFFFF"/&gt;&lt;/w:tcPr&gt;&lt;/w:tblStylePr&gt;&lt;w:tblStylePr w:type="band2Vert"&gt;&lt;w:rPr&gt;&lt;w:color w:val="auto"/&gt;&lt;/w:rPr&gt;&lt;w:tblPr/&gt;&lt;w:tcPr&gt;&lt;w:shd w:val="pct25" w:color="FFFF00"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w:val="99"/&gt;&lt;w:semiHidden/&gt;&lt;w:unhideWhenUsed/&gt;&lt;w:locked/&gt;&lt;w:rsid w:val="00D30A58"/&gt;&lt;w:rPr&gt;&lt;w:b/&gt;&lt;w:bCs/&gt;&lt;w:color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w:val="0"/&gt;&lt;w:color w:val="000000"/&gt;&lt;/w:rPr&gt;&lt;w:tblPr/&gt;&lt;w:tcPr&gt;&lt;w:tcBorders&gt;&lt;w:tl2br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w:val="pct30" w:color="000000" w:fill="FFFFFF"/&gt;&lt;/w:tcPr&gt;&lt;/w:tblStylePr&gt;&lt;w:tblStylePr w:type="band2Vert"&gt;&lt;w:rPr&gt;&lt;w:color w:val="auto"/&gt;&lt;/w:rPr&gt;&lt;w:tblPr/&gt;&lt;w:tcPr&gt;&lt;w:shd w:val="pct25" w:color="00FF00"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w:val="99"/&gt;&lt;w:semiHidden/&gt;&lt;w:unhideWhenUsed/&gt;&lt;w:locked/&gt;&lt;w:rsid w:val="00D30A58"/&gt;&lt;w:rPr&gt;&lt;w:b/&gt;&lt;w:bCs/&gt;&lt;w:color w:val="auto"/&gt;&lt;/w:rPr&gt;&lt;w:tblPr&gt;&lt;w:tblStyleColBandSize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w:val="0"/&gt;&lt;/w:rPr&gt;&lt;w:tblPr/&gt;&lt;w:tcPr&gt;&lt;w:tcBorders&gt;&lt;w:top w:val="single" w:sz="6" w:space="0" w:color="000080"/&gt;&lt;w:tl2br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w:val="pct10" w:color="000000" w:fill="FFFFFF"/&gt;&lt;/w:tcPr&gt;&lt;/w:tblStylePr&gt;&lt;w:tblStylePr w:type="neCell"&gt;&lt;w:rPr&gt;&lt;w:b/&gt;&lt;w:bCs/&gt;&lt;/w:rPr&gt;&lt;w:tblPr/&gt;&lt;w:tcPr&gt;&lt;w:tcBorders&gt;&lt;w:tl2br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w:val="99"/&gt;&lt;w:semiHidden/&gt;&lt;w:unhideWhenUsed/&gt;&lt;w:locked/&gt;&lt;w:rsid w:val="00D30A58"/&gt;&lt;w:rPr&gt;&lt;w:color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w:val="pct50" w:color="008080" w:fill="FFFFFF"/&gt;&lt;/w:tcPr&gt;&lt;/w:tblStylePr&gt;&lt;w:tblStylePr w:type="band2Vert"&gt;&lt;w:rPr&gt;&lt;w:color w:val="auto"/&gt;&lt;/w:rPr&gt;&lt;w:tblPr/&gt;&lt;w:tcPr&gt;&lt;w:shd w:val="pct10" w:color="000000" w:fill="FFFFFF"/&gt;&lt;/w:tcPr&gt;&lt;/w:tblStylePr&gt;&lt;/w:style&gt;&lt;w:style w:type="table" w:styleId="TableColumns5"&gt;&lt;w:name w:val="Table Columns 5"/&gt;&lt;w:basedOn w:val="TableNormal"/&gt;&lt;w:uiPriority w:val="99"/&gt;&lt;w:semiHidden/&gt;&lt;w:unhideWhenUsed/&gt;&lt;w:locked/&gt;&lt;w:rsid w:val="00D30A58"/&gt;&lt;w:rPr&gt;&lt;w:color w:val="auto"/&gt;&lt;/w:rPr&gt;&lt;w:tblPr&gt;&lt;w:tblStyleColBandSize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w:type="lastRow"&gt;&lt;w:rPr&gt;&lt;w:b/&gt;&lt;w:bCs/&gt;&lt;/w:rPr&gt;&lt;w:tblPr/&gt;&lt;w:tcPr&gt;&lt;w:tcBorders&gt;&lt;w:top w:val="single" w:sz="6" w:space="0" w:color="808080"/&gt;&lt;w:tl2br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w:val="auto"/&gt;&lt;/w:rPr&gt;&lt;/w:tblStylePr&gt;&lt;/w:style&gt;&lt;w:style w:type="table" w:styleId="TableContemporary"&gt;&lt;w:name w:val="Table Contemporary"/&gt;&lt;w:basedOn w:val="TableNormal"/&gt;&lt;w:uiPriority w:val="99"/&gt;&lt;w:semiHidden/&gt;&lt;w:unhideWhenUsed/&gt;&lt;w:locked/&gt;&lt;w:rsid w:val="00D30A58"/&gt;&lt;w:tblPr&gt;&lt;w:tblStyleRowBandSize w:val="1"/&gt;&lt;w:tblBorders&gt;&lt;w:insideH w:val="single" w:sz="18" w:space="0" w:color="FFFFFF"/&gt;&lt;w:insideV w:val="single" w:sz="18" w:space="0" w:color="FFFFFF"/&gt;&lt;/w:tblBorders&gt;&lt;/w:tblPr&gt;&lt;w:tblStylePr w:type="firstRow"&gt;&lt;w:rPr&gt;&lt;w:b/&gt;&lt;w:bCs/&gt;&lt;w:color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w:type="band1Horz"&gt;&lt;w:rPr&gt;&lt;w:color w:val="auto"/&gt;&lt;/w:rPr&gt;&lt;w:tblPr/&gt;&lt;w:tcPr&gt;&lt;w:tcBorders&gt;&lt;w:tl2br w:val="none" w:sz="0" w:space="0" w:color="auto"/&gt;&lt;w:tr2bl w:val="none" w:sz="0" w:space="0" w:color="auto"/&gt;&lt;/w:tcBorders&gt;&lt;w:shd w:val="pct5" w:color="000000" w:fill="FFFFFF"/&gt;&lt;/w:tcPr&gt;&lt;/w:tblStylePr&gt;&lt;w:tblStylePr w:type="band2Horz"&gt;&lt;w:rPr&gt;&lt;w:color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w:val="99"/&gt;&lt;w:semiHidden/&gt;&lt;w:unhideWhenUsed/&gt;&lt;w:locked/&gt;&lt;w:rsid w:val="00D30A58"/&gt;&lt;w:rPr&gt;&lt;w:color w:val="auto"/&gt;&lt;/w:rPr&gt;&lt;w:tblPr&gt;&lt;w:tblBorders&gt;&lt;w:top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w:color="000000"/&gt;&lt;/w:tblBorders&gt;&lt;/w:tblPr&gt;&lt;w:tcPr&gt;&lt;w:shd w:val="clear" w:color="auto" w:fill="auto"/&gt;&lt;/w:tcPr&gt;&lt;w:tblStylePr w:type="firstRow"&gt;&lt;w:rPr&gt;&lt;w:caps/&gt;&lt;w:color w:val="auto"/&gt;&lt;/w:rPr&gt;&lt;w:tblPr/&gt;&lt;w:tcPr&gt;&lt;w:tcBorders&gt;&lt;w:tl2br w:val="none" w:sz="0" w:space="0" w:color="auto"/&gt;&lt;w:tr2bl w:val="none" w:sz="0" w:space="0" w:color="auto"/&gt;&lt;/w:tcBorders&gt;&lt;/w:tcPr&gt;&lt;/w:tblStylePr&gt;&lt;/w:style&gt;&lt;w:style w:type="table" w:styleId="TableGrid1"&gt;&lt;w:name w:val="Table Grid 1"/&gt;&lt;w:basedOn w:val="TableNormal"/&gt;&lt;w:uiPriority w:val="99"/&gt;&lt;w:semiHidden/&gt;&lt;w:unhideWhenUsed/&gt;&lt;w:locked/&gt;&lt;w:rsid w:val="00D30A58"/&gt;&lt;w:rPr&gt;&lt;w:color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w:type="lastRow"&gt;&lt;w:rPr&gt;&lt;w:i/&gt;&lt;w:iCs/&gt;&lt;/w:rPr&gt;&lt;w:tblPr/&gt;&lt;w:tcPr&gt;&lt;w:tcBorders&gt;&lt;w:tl2br w:val="none" w:sz="0" w:space="0" w:color="auto"/&gt;&lt;w:tr2bl w:val="none" w:sz="0" w:space="0" w:color="auto"/&gt;&lt;/w:tcBorders&gt;&lt;/w:tcPr&gt;&lt;/w:tblStylePr&gt;&lt;w:tblStylePr w:type="lastCol"&gt;&lt;w:rPr&gt;&lt;w:i/&gt;&lt;w:iCs/&gt;&lt;/w:rPr&gt;&lt;w:tblPr/&gt;&lt;w:tcPr&gt;&lt;w:tcBorders&gt;&lt;w:tl2br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w:val="99"/&gt;&lt;w:semiHidden/&gt;&lt;w:unhideWhenUsed/&gt;&lt;w:locked/&gt;&lt;w:rsid w:val="00D30A58"/&gt;&lt;w:rPr&gt;&lt;w:color w:val="auto"/&gt;&lt;/w:rPr&gt;&lt;w:tblPr&gt;&lt;w:tblBorders&gt;&lt;w:insideH w:val="single" w:sz="6" w:space="0" w:color="000000"/&gt;&lt;w:insideV w:val="single" w:sz="6" w:space="0" w:color="000000"/&gt;&lt;/w:tblBorders&gt;&lt;/w:tblPr&gt;&lt;w:tcPr&gt;&lt;w:shd w:val="clear" w:color="auto" w:fill="auto"/&gt;&lt;/w:tcPr&gt;&lt;w:tblStylePr w:type="firstRow"&gt;&lt;w:rPr&gt;&lt;w:b/&gt;&lt;w:bCs/&gt;&lt;/w:rPr&gt;&lt;w:tblPr/&gt;&lt;w:tcPr&gt;&lt;w:tcBorders&gt;&lt;w:tl2br w:val="none" w:sz="0" w:space="0" w:color="auto"/&gt;&lt;w:tr2bl w:val="none" w:sz="0" w:space="0" w:color="auto"/&gt;&lt;/w:tcBorders&gt;&lt;/w:tcPr&gt;&lt;/w:tblStylePr&gt;&lt;w:tblStylePr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w:val="99"/&gt;&lt;w:semiHidden/&gt;&lt;w:unhideWhenUsed/&gt;&lt;w:locked/&gt;&lt;w:rsid w:val="00D30A58"/&gt;&lt;w:rPr&gt;&lt;w:color w:val="auto"/&gt;&lt;/w:rPr&gt;&lt;w:tblPr&gt;&lt;w:tblBorders&gt;&lt;w:top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w:color="000000"/&gt;&lt;/w:tblBorders&gt;&lt;/w:tblPr&gt;&lt;w:tcPr&gt;&lt;w:shd w:val="clear" w:color="auto" w:fill="auto"/&gt;&lt;/w:tcPr&gt;&lt;w:tblStylePr w:type="firstRow"&gt;&lt;w:tblPr/&gt;&lt;w:tcPr&gt;&lt;w:tcBorders&gt;&lt;w:bottom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w:val="99"/&gt;&lt;w:semiHidden/&gt;&lt;w:unhideWhenUsed/&gt;&lt;w:locked/&gt;&lt;w:rsid w:val="00D30A58"/&gt;&lt;w:rPr&gt;&lt;w:color w:val="auto"/&gt;&lt;/w:rPr&gt;&lt;w:tblPr&gt;&lt;w:tblBorders&gt;&lt;w:left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w:val="99"/&gt;&lt;w:semiHidden/&gt;&lt;w:unhideWhenUsed/&gt;&lt;w:locked/&gt;&lt;w:rsid w:val="00D30A58"/&gt;&lt;w:rPr&gt;&lt;w:color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w:type="firstRow"&gt;&lt;w:tblPr/&gt;&lt;w:tcPr&gt;&lt;w:tcBorders&gt;&lt;w:bottom w:val="single" w:sz="12" w:space="0" w:color="000000"/&gt;&lt;w:tl2br w:val="none" w:sz="0" w:space="0" w:color="auto"/&gt;&lt;w:tr2bl w:val="none" w:sz="0" w:space="0" w:color="auto"/&gt;&lt;/w:tcBorders&gt;&lt;/w:tcPr&gt;&lt;/w:tblStylePr&gt;&lt;w:tblStylePr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w:val="99"/&gt;&lt;w:semiHidden/&gt;&lt;w:unhideWhenUsed/&gt;&lt;w:locked/&gt;&lt;w:rsid w:val="00D30A58"/&gt;&lt;w:rPr&gt;&lt;w:color w:val="auto"/&gt;&lt;/w:rPr&gt;&lt;w:tblPr&gt;&lt;w:tblBorders&gt;&lt;w:top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w:color="000000"/&gt;&lt;/w:tblBorders&gt;&lt;/w:tblPr&gt;&lt;w:tcPr&gt;&lt;w:shd w:val="clear" w:color="auto" w:fill="auto"/&gt;&lt;/w:tcPr&gt;&lt;w:tblStylePr w:type="firstRow"&gt;&lt;w:rPr&gt;&lt;w:b/&gt;&lt;w:bCs/&gt;&lt;/w:rPr&gt;&lt;w:tblPr/&gt;&lt;w:tcPr&gt;&lt;w:tcBorders&gt;&lt;w:bottom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w:val="99"/&gt;&lt;w:semiHidden/&gt;&lt;w:unhideWhenUsed/&gt;&lt;w:locked/&gt;&lt;w:rsid w:val="00D30A58"/&gt;&lt;w:rPr&gt;&lt;w:b/&gt;&lt;w:bCs/&gt;&lt;w:color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w:type="lastRow"&gt;&lt;w:rPr&gt;&lt;w:b w:val="0"/&gt;&lt;w:bCs w:val="0"/&gt;&lt;/w:rPr&gt;&lt;w:tblPr/&gt;&lt;w:tcPr&gt;&lt;w:tcBorders&gt;&lt;w:top w:val="single" w:sz="6" w:space="0" w:color="000000"/&gt;&lt;w:tl2br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w:val="99"/&gt;&lt;w:semiHidden/&gt;&lt;w:unhideWhenUsed/&gt;&lt;w:locked/&gt;&lt;w:rsid w:val="00D30A58"/&gt;&lt;w:rPr&gt;&lt;w:color w:val="auto"/&gt;&lt;/w:rPr&gt;&lt;w:tblPr&gt;&lt;w:tblBorders&gt;&lt;w:top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w:type="lastRow"&gt;&lt;w:rPr&gt;&lt;w:b/&gt;&lt;w:bCs/&gt;&lt;w:color w:val="auto"/&gt;&lt;/w:rPr&gt;&lt;w:tblPr/&gt;&lt;w:tcPr&gt;&lt;w:tcBorders&gt;&lt;w:tl2br w:val="none" w:sz="0" w:space="0" w:color="auto"/&gt;&lt;w:tr2bl w:val="none" w:sz="0" w:space="0" w:color="auto"/&gt;&lt;/w:tcBorders&gt;&lt;/w:tcPr&gt;&lt;/w:tblStylePr&gt;&lt;w:tblStylePr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w:styleId="TableGridLight"&gt;&lt;w:name w:val="Grid Table Light"/&gt;&lt;w:basedOn w:val="TableNormal"/&gt;&lt;w:uiPriority w:val="40"/&gt;&lt;w:locked/&gt;&lt;w:rsid w:val="00D30A58"/&gt;&lt;w:pPr&gt;&lt;w:spacing w:after="0" w:line="240" w:lineRule="auto"/&gt;&lt;/w:pPr&gt;&lt;w:tblPr&gt;&lt;w:tblBorders&gt;&lt;w:top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w:type="table" w:styleId="TableList1"&gt;&lt;w:name w:val="Table List 1"/&gt;&lt;w:basedOn w:val="TableNormal"/&gt;&lt;w:uiPriority w:val="99"/&gt;&lt;w:semiHidden/&gt;&lt;w:unhideWhenUsed/&gt;&lt;w:locked/&gt;&lt;w:rsid w:val="00D30A58"/&gt;&lt;w:tblPr&gt;&lt;w:tblStyleRowBandSize w:val="1"/&gt;&lt;w:tblBorders&gt;&lt;w:top w:val="single" w:sz="12" w:space="0" w:color="008080"/&gt;&lt;w:left w:val="single" w:sz="6" w:space="0" w:color="008080"/&gt;&lt;w:bottom w:val="single" w:sz="12" w:space="0" w:color="008080"/&gt;&lt;w:right w:val="single" w:sz="6" w:space="0" w:color="008080"/&gt;&lt;/w:tblBorders&gt;&lt;/w:tblPr&gt;&lt;w:tblStylePr w:type="firstRow"&gt;&lt;w:rPr&gt;&lt;w:b/&gt;&lt;w:bCs/&gt;&lt;w:i/&gt;&lt;w:iCs/&gt;&lt;w:color w:val="800000"/&gt;&lt;/w:rPr&gt;&lt;w:tblPr/&gt;&lt;w:tcPr&gt;&lt;w:tcBorders&gt;&lt;w:bottom w:val="single" w:sz="6" w:space="0" w:color="000000"/&gt;&lt;w:tl2br w:val="none" w:sz="0" w:space="0" w:color="auto"/&gt;&lt;w:tr2bl w:val="none" w:sz="0" w:space="0" w:color="auto"/&gt;&lt;/w:tcBorders&gt;&lt;w:shd w:val="solid" w:color="C0C0C0"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w:val="solid" w:color="C0C0C0"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w:styleId="TableList2"&gt;&lt;w:name w:val="Table List 2"/&gt;&lt;w:basedOn w:val="TableNormal"/&gt;&lt;w:uiPriority w:val="99"/&gt;&lt;w:semiHidden/&gt;&lt;w:unhideWhenUsed/&gt;&lt;w:locked/&gt;&lt;w:rsid w:val="00D30A58"/&gt;&lt;w:tblPr&gt;&lt;w:tblStyleRowBandSize w:val="2"/&gt;&lt;w:tblBorders&gt;&lt;w:bottom w:val="single" w:sz="12" w:space="0" w:color="808080"/&gt;&lt;/w:tblBorders&gt;&lt;/w:tblPr&gt;&lt;w:tblStylePr w:type="firstRow"&gt;&lt;w:rPr&gt;&lt;w:b/&gt;&lt;w:bCs/&gt;&lt;w:color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w:color="00FF00"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w:val="99"/&gt;&lt;w:semiHidden/&gt;&lt;w:unhideWhenUsed/&gt;&lt;w:locked/&gt;&lt;w:rsid w:val="00D30A58"/&gt;&lt;w:rPr&gt;&lt;w:color w:val="auto"/&gt;&lt;/w:rPr&gt;&lt;w:tblPr&gt;&lt;w:tblBorders&gt;&lt;w:top w:val="single" w:sz="12" w:space="0" w:color="000000"/&gt;&lt;w:bottom w:val="single" w:sz="12" w:space="0" w:color="000000"/&gt;&lt;w:insideH w:val="single" w:sz="6" w:space="0" w:color="000000"/&gt;&lt;/w:tblBorders&gt;&lt;/w:tblPr&gt;&lt;w:tcPr&gt;&lt;w:shd w:val="clear" w:color="auto" w:fill="auto"/&gt;&lt;/w:tcPr&gt;&lt;w:tblStylePr w:type="firstRow"&gt;&lt;w:rPr&gt;&lt;w:b/&gt;&lt;w:bCs/&gt;&lt;w:color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w:type="swCell"&gt;&lt;w:rPr&gt;&lt;w:i/&gt;&lt;w:iCs/&gt;&lt;w:color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w:val="99"/&gt;&lt;w:semiHidden/&gt;&lt;w:unhideWhenUsed/&gt;&lt;w:locked/&gt;&lt;w:rsid w:val="00D30A58"/&gt;&lt;w:rPr&gt;&lt;w:color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w:color="000000"/&gt;&lt;/w:tblBorders&gt;&lt;/w:tblPr&gt;&lt;w:tcPr&gt;&lt;w:shd w:val="clear" w:color="auto" w:fill="auto"/&gt;&lt;/w:tcPr&gt;&lt;w:tblStylePr w:type="firstRow"&gt;&lt;w:rPr&gt;&lt;w:b/&gt;&lt;w:bCs/&gt;&lt;w:color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w:val="99"/&gt;&lt;w:semiHidden/&gt;&lt;w:unhideWhenUsed/&gt;&lt;w:locked/&gt;&lt;w:rsid w:val="00D30A58"/&gt;&lt;w:rPr&gt;&lt;w:color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w:color="000000"/&gt;&lt;/w:tblBorders&gt;&lt;/w:tblPr&gt;&lt;w:tcPr&gt;&lt;w:shd w:val="clear" w:color="auto" w:fill="auto"/&gt;&lt;/w:tcPr&gt;&lt;w:tblStylePr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w:val="99"/&gt;&lt;w:semiHidden/&gt;&lt;w:unhideWhenUsed/&gt;&lt;w:locked/&gt;&lt;w:rsid w:val="00D30A58"/&gt;&lt;w:rPr&gt;&lt;w:color w:val="auto"/&gt;&lt;/w:rPr&gt;&lt;w:tblPr&gt;&lt;w:tblStyleRowBandSize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w:type="band1Horz"&gt;&lt;w:tblPr/&gt;&lt;w:tcPr&gt;&lt;w:tcBorders&gt;&lt;w:tl2br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w:val="99"/&gt;&lt;w:semiHidden/&gt;&lt;w:unhideWhenUsed/&gt;&lt;w:locked/&gt;&lt;w:rsid w:val="00D30A58"/&gt;&lt;w:tblPr&gt;&lt;w:tblStyleRowBandSize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w:type="lastRow"&gt;&lt;w:rPr&gt;&lt;w:b/&gt;&lt;w:bCs/&gt;&lt;/w:rPr&gt;&lt;w:tblPr/&gt;&lt;w:tcPr&gt;&lt;w:tcBorders&gt;&lt;w:top w:val="single" w:sz="12" w:space="0" w:color="008000"/&gt;&lt;w:tl2br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w:color="000000" w:fill="FFFFFF"/&gt;&lt;/w:tcPr&gt;&lt;/w:tblStylePr&gt;&lt;w:tblStylePr w:type="band2Horz"&gt;&lt;w:tblPr/&gt;&lt;w:tcPr&gt;&lt;w:tcBorders&gt;&lt;w:tl2br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w:val="99"/&gt;&lt;w:semiHidden/&gt;&lt;w:unhideWhenUsed/&gt;&lt;w:locked/&gt;&lt;w:rsid w:val="00D30A58"/&gt;&lt;w:tblPr&gt;&lt;w:tblStyleRowBandSize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w:val="pct25" w:color="FFFF00" w:fill="FFFFFF"/&gt;&lt;/w:tcPr&gt;&lt;/w:tblStylePr&gt;&lt;w:tblStylePr w:type="band2Horz"&gt;&lt;w:tblPr/&gt;&lt;w:tcPr&gt;&lt;w:tcBorders&gt;&lt;w:tl2br w:val="none" w:sz="0" w:space="0" w:color="auto"/&gt;&lt;w:tr2bl w:val="none" w:sz="0" w:space="0" w:color="auto"/&gt;&lt;/w:tcBorders&gt;&lt;w:shd w:val="pct50" w:color="FF0000" w:fill="FFFFFF"/&gt;&lt;/w:tcPr&gt;&lt;/w:tblStylePr&gt;&lt;/w:style&gt;&lt;w:style w:type="paragraph" w:styleId="TableofAuthorities"&gt;&lt;w:name w:val="table of authorities"/&gt;&lt;w:basedOn w:val="Normal"/&gt;&lt;w:next w:val="Normal"/&gt;&lt;w:uiPriority w:val="99"/&gt;&lt;w:semiHidden/&gt;&lt;w:rsid w:val="00D30A58"/&gt;&lt;w:pPr&gt;&lt;w:spacing w:after="0"/&gt;&lt;w:ind w:left="220" w:hanging="220"/&gt;&lt;/w:pPr&gt;&lt;/w:style&gt;&lt;w:style w:type="paragraph" w:styleId="TableofFigures"&gt;&lt;w:name w:val="table of figures"/&gt;&lt;w:basedOn w:val="Normal"/&gt;&lt;w:next w:val="Normal"/&gt;&lt;w:uiPriority w:val="99"/&gt;&lt;w:rsid w:val="00D30A58"/&gt;&lt;w:pPr&gt;&lt;w:spacing w:after="0"/&gt;&lt;/w:pPr&gt;&lt;/w:style&gt;&lt;w:style w:type="table" w:styleId="TableProfessional"&gt;&lt;w:name w:val="Table Professional"/&gt;&lt;w:basedOn w:val="TableNormal"/&gt;&lt;w:uiPriority w:val="99"/&gt;&lt;w:semiHidden/&gt;&lt;w:unhideWhenUsed/&gt;&lt;w:locked/&gt;&lt;w:rsid w:val="00D30A58"/&gt;&lt;w:rPr&gt;&lt;w:color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w:type="firstRow"&gt;&lt;w:rPr&gt;&lt;w:b/&gt;&lt;w:bCs/&gt;&lt;w:color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w:val="99"/&gt;&lt;w:semiHidden/&gt;&lt;w:unhideWhenUsed/&gt;&lt;w:locked/&gt;&lt;w:rsid w:val="00D30A58"/&gt;&lt;w:rPr&gt;&lt;w:color w:val="auto"/&gt;&lt;/w:rPr&gt;&lt;w:tblPr&gt;&lt;w:tblBorders&gt;&lt;w:top w:val="single" w:sz="12" w:space="0" w:color="008000"/&gt;&lt;w:bottom w:val="single" w:sz="12" w:space="0" w:color="008000"/&gt;&lt;/w:tblBorders&gt;&lt;/w:tblPr&gt;&lt;w:tcPr&gt;&lt;w:shd w:val="clear" w:color="auto" w:fill="auto"/&gt;&lt;/w:tcPr&gt;&lt;w:tblStylePr w:type="firstRow"&gt;&lt;w:tblPr/&gt;&lt;w:tcPr&gt;&lt;w:tcBorders&gt;&lt;w:bottom w:val="single" w:sz="6" w:space="0" w:color="008000"/&gt;&lt;w:tl2br w:val="none" w:sz="0" w:space="0" w:color="auto"/&gt;&lt;w:tr2bl w:val="none" w:sz="0" w:space="0" w:color="auto"/&gt;&lt;/w:tcBorders&gt;&lt;/w:tcPr&gt;&lt;/w:tblStylePr&gt;&lt;w:tblStylePr w:type="lastRow"&gt;&lt;w:tblPr/&gt;&lt;w:tcPr&gt;&lt;w:tcBorders&gt;&lt;w:top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w:val="99"/&gt;&lt;w:semiHidden/&gt;&lt;w:unhideWhenUsed/&gt;&lt;w:locked/&gt;&lt;w:rsid w:val="00D30A58"/&gt;&lt;w:tblPr/&gt;&lt;w:tblStylePr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w:type="lastCol"&gt;&lt;w:rPr&gt;&lt;w:b/&gt;&lt;w:bCs/&gt;&lt;/w:rPr&gt;&lt;w:tblPr/&gt;&lt;w:tcPr&gt;&lt;w:tcBorders&gt;&lt;w:left w:val="single" w:sz="6" w:space="0" w:color="000000"/&gt;&lt;w:tl2br w:val="none" w:sz="0" w:space="0" w:color="auto"/&gt;&lt;w:tr2bl w:val="none" w:sz="0" w:space="0" w:color="auto"/&gt;&lt;/w:tcBorders&gt;&lt;/w:tcPr&gt;&lt;/w:tblStylePr&gt;&lt;w:tblStylePr w:type="neCell"&gt;&lt;w:rPr&gt;&lt;w:b/&gt;&lt;w:bCs/&gt;&lt;/w:rPr&gt;&lt;w:tblPr/&gt;&lt;w:tcPr&gt;&lt;w:tcBorders&gt;&lt;w:left w:val="none" w:sz="0" w:space="0" w:color="auto"/&gt;&lt;w:tl2br w:val="none" w:sz="0" w:space="0" w:color="auto"/&gt;&lt;w:tr2bl w:val="none" w:sz="0" w:space="0" w:color="auto"/&gt;&lt;/w:tcBorders&gt;&lt;/w:tcPr&gt;&lt;/w:tblStylePr&gt;&lt;w:tblStylePr w:type="swCell"&gt;&lt;w:rPr&gt;&lt;w:b/&gt;&lt;w:bCs/&gt;&lt;/w:rPr&gt;&lt;w:tblPr/&gt;&lt;w:tcPr&gt;&lt;w:tcBorders&gt;&lt;w:top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w:val="99"/&gt;&lt;w:semiHidden/&gt;&lt;w:unhideWhenUsed/&gt;&lt;w:locked/&gt;&lt;w:rsid w:val="00D30A58"/&gt;&lt;w:rPr&gt;&lt;w:color w:val="auto"/&gt;&lt;/w:rPr&gt;&lt;w:tblPr&gt;&lt;w:tblBorders&gt;&lt;w:top w:val="single" w:sz="12" w:space="0" w:color="000000"/&gt;&lt;w:left w:val="single" w:sz="12" w:space="0" w:color="000000"/&gt;&lt;w:bottom w:val="single" w:sz="12" w:space="0" w:color="000000"/&gt;&lt;w:right w:val="single" w:sz="12" w:space="0" w:color="000000"/&gt;&lt;/w:tblBorders&gt;&lt;/w:tblPr&gt;&lt;w:tcPr&gt;&lt;w:shd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w:val="99"/&gt;&lt;w:semiHidden/&gt;&lt;w:unhideWhenUsed/&gt;&lt;w:locked/&gt;&lt;w:rsid w:val="00D30A58"/&gt;&lt;w:tblPr&gt;&lt;w:tblStyleRowBandSize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w:val="99"/&gt;&lt;w:semiHidden/&gt;&lt;w:unhideWhenUsed/&gt;&lt;w:locked/&gt;&lt;w:rsid w:val="00D30A58"/&gt;&lt;w:tblPr&gt;&lt;w:tblBorders&gt;&lt;w:left w:val="single" w:sz="6" w:space="0" w:color="000000"/&gt;&lt;w:right w:val="single" w:sz="6" w:space="0" w:color="000000"/&gt;&lt;/w:tblBorders&gt;&lt;/w:tblPr&gt;&lt;w:tblStylePr w:type="firstRow"&gt;&lt;w:tblPr/&gt;&lt;w:tcPr&gt;&lt;w:tcBorders&gt;&lt;w:bottom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w:type="firstCol"&gt;&lt;w:tblPr/&gt;&lt;w:tcPr&gt;&lt;w:tcBorders&gt;&lt;w:right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w:val="99"/&gt;&lt;w:semiHidden/&gt;&lt;w:unhideWhenUsed/&gt;&lt;w:locked/&gt;&lt;w:rsid w:val="00D30A58"/&gt;&lt;w:tblPr&gt;&lt;w:tblBorders&gt;&lt;w:top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w:styleId="TableWeb2"&gt;&lt;w:name w:val="Table Web 2"/&gt;&lt;w:basedOn w:val="TableNormal"/&gt;&lt;w:uiPriority w:val="99"/&gt;&lt;w:semiHidden/&gt;&lt;w:unhideWhenUsed/&gt;&lt;w:locked/&gt;&lt;w:rsid w:val="00D30A58"/&gt;&lt;w:rPr&gt;&lt;w:color w:val="auto"/&gt;&lt;/w:rPr&gt;&lt;w:tblPr&gt;&lt;w:tblCellSpacing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w:val="99"/&gt;&lt;w:semiHidden/&gt;&lt;w:unhideWhenUsed/&gt;&lt;w:locked/&gt;&lt;w:rsid w:val="00D30A58"/&gt;&lt;w:rPr&gt;&lt;w:color w:val="auto"/&gt;&lt;/w:rPr&gt;&lt;w:tblPr&gt;&lt;w:tblCellSpacing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w:type="paragraph" w:styleId="TOAHeading"&gt;&lt;w:name w:val="toa heading"/&gt;&lt;w:basedOn w:val="Normal"/&gt;&lt;w:next w:val="Normal"/&gt;&lt;w:uiPriority w:val="99"/&gt;&lt;w:semiHidden/&gt;&lt;w:rsid w:val="00D30A58"/&gt;&lt;w:rPr&gt;&lt;w:rFonts w:asciiTheme="majorHAnsi" w:eastAsiaTheme="majorEastAsia" w:hAnsiTheme="majorHAnsi" w:cstheme="majorBidi"/&gt;&lt;w:b/&gt;&lt;w:bCs/&gt;&lt;w:sz w:val="24"/&gt;&lt;w:szCs w:val="24"/&gt;&lt;/w:rPr&gt;&lt;/w:style&gt;&lt;w:style w:type="paragraph" w:styleId="TOC3"&gt;&lt;w:name w:val="toc 3"/&gt;&lt;w:basedOn w:val="Normal"/&gt;&lt;w:next w:val="Normal"/&gt;&lt;w:autoRedefine/&gt;&lt;w:uiPriority w:val="39"/&gt;&lt;w:rsid w:val="000E5BD7"/&gt;&lt;w:pPr&gt;&lt;w:tabs&gt;&lt;w:tab w:val="right" w:leader="dot" w:pos="9979"/&gt;&lt;/w:tabs&gt;&lt;w:spacing w:before="60" w:after="60"/&gt;&lt;w:ind w:left="442"/&gt;&lt;/w:pPr&gt;&lt;/w:style&gt;&lt;w:style w:type="paragraph" w:styleId="TOC4"&gt;&lt;w:name w:val="toc 4"/&gt;&lt;w:basedOn w:val="Normal"/&gt;&lt;w:next w:val="Normal"/&gt;&lt;w:autoRedefine/&gt;&lt;w:uiPriority w:val="39"/&gt;&lt;w:semiHidden/&gt;&lt;w:rsid w:val="00D30A58"/&gt;&lt;w:pPr&gt;&lt;w:spacing w:after="100"/&gt;&lt;w:ind w:left="660"/&gt;&lt;/w:pPr&gt;&lt;/w:style&gt;&lt;w:style w:type="paragraph" w:styleId="TOC5"&gt;&lt;w:name w:val="toc 5"/&gt;&lt;w:basedOn w:val="Normal"/&gt;&lt;w:next w:val="Normal"/&gt;&lt;w:autoRedefine/&gt;&lt;w:uiPriority w:val="39"/&gt;&lt;w:semiHidden/&gt;&lt;w:rsid w:val="00D30A58"/&gt;&lt;w:pPr&gt;&lt;w:spacing w:after="100"/&gt;&lt;w:ind w:left="880"/&gt;&lt;/w:pPr&gt;&lt;/w:style&gt;&lt;w:style w:type="paragraph" w:styleId="TOC6"&gt;&lt;w:name w:val="toc 6"/&gt;&lt;w:basedOn w:val="Normal"/&gt;&lt;w:next w:val="Normal"/&gt;&lt;w:autoRedefine/&gt;&lt;w:uiPriority w:val="39"/&gt;&lt;w:semiHidden/&gt;&lt;w:rsid w:val="00D30A58"/&gt;&lt;w:pPr&gt;&lt;w:spacing w:after="100"/&gt;&lt;w:ind w:left="1100"/&gt;&lt;/w:pPr&gt;&lt;/w:style&gt;&lt;w:style w:type="paragraph" w:styleId="TOC7"&gt;&lt;w:name w:val="toc 7"/&gt;&lt;w:basedOn w:val="Normal"/&gt;&lt;w:next w:val="Normal"/&gt;&lt;w:autoRedefine/&gt;&lt;w:uiPriority w:val="39"/&gt;&lt;w:semiHidden/&gt;&lt;w:rsid w:val="00D30A58"/&gt;&lt;w:pPr&gt;&lt;w:spacing w:after="100"/&gt;&lt;w:ind w:left="1320"/&gt;&lt;/w:pPr&gt;&lt;/w:style&gt;&lt;w:style w:type="paragraph" w:styleId="TOC8"&gt;&lt;w:name w:val="toc 8"/&gt;&lt;w:basedOn w:val="Normal"/&gt;&lt;w:next w:val="Normal"/&gt;&lt;w:autoRedefine/&gt;&lt;w:uiPriority w:val="39"/&gt;&lt;w:semiHidden/&gt;&lt;w:rsid w:val="00D30A58"/&gt;&lt;w:pPr&gt;&lt;w:spacing w:after="100"/&gt;&lt;w:ind w:left="1540"/&gt;&lt;/w:pPr&gt;&lt;/w:style&gt;&lt;w:style w:type="paragraph" w:styleId="TOC9"&gt;&lt;w:name w:val="toc 9"/&gt;&lt;w:basedOn w:val="Normal"/&gt;&lt;w:next w:val="Normal"/&gt;&lt;w:autoRedefine/&gt;&lt;w:uiPriority w:val="39"/&gt;&lt;w:semiHidden/&gt;&lt;w:rsid w:val="00D30A58"/&gt;&lt;w:pPr&gt;&lt;w:spacing w:after="100"/&gt;&lt;w:ind w:left="1760"/&gt;&lt;/w:pPr&gt;&lt;/w:style&gt;&lt;w:style w:type="character" w:styleId="UnresolvedMention"&gt;&lt;w:name w:val="Unresolved Mention"/&gt;&lt;w:basedOn w:val="DefaultParagraphFont"/&gt;&lt;w:uiPriority w:val="99"/&gt;&lt;w:semiHidden/&gt;&lt;w:locked/&gt;&lt;w:rsid w:val="00D30A58"/&gt;&lt;w:rPr&gt;&lt;w:color w:val="605E5C"/&gt;&lt;w:shd w:val="clear" w:color="auto" w:fill="E1DFDD"/&gt;&lt;/w:rPr&gt;&lt;/w:style&gt;&lt;w:style w:type="paragraph" w:customStyle="1" w:styleId="Heading1NoNumbers"&gt;&lt;w:name w:val="Heading 1 No Numbers"/&gt;&lt;w:basedOn w:val="Heading1"/&gt;&lt;w:uiPriority w:val="2"/&gt;&lt;w:qFormat/&gt;&lt;w:rsid w:val="00D30A58"/&gt;&lt;w:pPr&gt;&lt;w:numPr&gt;&lt;w:numId w:val="0"/&gt;&lt;/w:numPr&gt;&lt;/w:pPr&gt;&lt;/w:style&gt;&lt;w:style w:type="paragraph" w:customStyle="1" w:styleId="Heading2NoNumbers"&gt;&lt;w:name w:val="Heading 2 No Numbers"/&gt;&lt;w:basedOn w:val="Heading2"/&gt;&lt;w:uiPriority w:val="2"/&gt;&lt;w:qFormat/&gt;&lt;w:rsid w:val="00D30A58"/&gt;&lt;w:pPr&gt;&lt;w:numPr&gt;&lt;w:ilvl w:val="0"/&gt;&lt;w:numId w:val="0"/&gt;&lt;/w:numPr&gt;&lt;/w:pPr&gt;&lt;/w:style&gt;&lt;w:style w:type="paragraph" w:customStyle="1" w:styleId="Heading3NoNumbers"&gt;&lt;w:name w:val="Heading 3 No Numbers"/&gt;&lt;w:basedOn w:val="Heading3"/&gt;&lt;w:uiPriority w:val="2"/&gt;&lt;w:qFormat/&gt;&lt;w:rsid w:val="00D30A58"/&gt;&lt;w:pPr&gt;&lt;w:numPr&gt;&lt;w:ilvl w:val="0"/&gt;&lt;w:numId w:val="0"/&gt;&lt;/w:numPr&gt;&lt;/w:pPr&gt;&lt;/w:style&gt;&lt;w:style w:type="paragraph" w:customStyle="1" w:styleId="Heading4NoNumbers"&gt;&lt;w:name w:val="Heading 4 No Numbers"/&gt;&lt;w:basedOn w:val="Heading4"/&gt;&lt;w:uiPriority w:val="2"/&gt;&lt;w:qFormat/&gt;&lt;w:rsid w:val="00D30A58"/&gt;&lt;w:pPr&gt;&lt;w:numPr&gt;&lt;w:ilvl w:val="0"/&gt;&lt;w:numId w:val="0"/&gt;&lt;/w:numPr&gt;&lt;/w:pPr&gt;&lt;/w:style&gt;&lt;w:style w:type="paragraph" w:customStyle="1" w:styleId="CalloutHeadingRight"&gt;&lt;w:name w:val="Call out Heading Right"/&gt;&lt;w:basedOn w:val="Normal"/&gt;&lt;w:uiPriority w:val="5"/&gt;&lt;w:qFormat/&gt;&lt;w:rsid w:val="00FF20AA"/&gt;&lt;w:pPr&gt;&lt;w:framePr w:w="4990" w:hSpace="284" w:vSpace="284" w:wrap="around" w:vAnchor="text" w:hAnchor="margin" w:xAlign="right" w:y="1"/&gt;&lt;w:pBdr&gt;&lt;w:top w:val="single" w:sz="48" w:space="22" w:color="BFBFBF" w:themeColor="text2"/&gt;&lt;w:left w:val="single" w:sz="48" w:space="20" w:color="BFBFBF" w:themeColor="text2"/&gt;&lt;w:bottom w:val="single" w:sz="48" w:space="22" w:color="BFBFBF" w:themeColor="text2"/&gt;&lt;w:right w:val="single" w:sz="48" w:space="22" w:color="BFBFBF" w:themeColor="text2"/&gt;&lt;/w:pBdr&gt;&lt;w:shd w:val="clear" w:color="auto" w:fill="BFBFBF" w:themeFill="text2"/&gt;&lt;w:spacing w:before="0" w:after="360"/&gt;&lt;w:ind w:left="533" w:right="595"/&gt;&lt;/w:pPr&gt;&lt;w:rPr&gt;&lt;w:color w:val="FFFFFF" w:themeColor="background1"/&gt;&lt;w:sz w:val="44"/&gt;&lt;/w:rPr&gt;&lt;/w:style&gt;&lt;w:style w:type="paragraph" w:customStyle="1" w:styleId="CallOutBodyRight"&gt;&lt;w:name w:val="Call Out Body Right"/&gt;&lt;w:basedOn w:val="CalloutHeadingRight"/&gt;&lt;w:uiPriority w:val="5"/&gt;&lt;w:qFormat/&gt;&lt;w:rsid w:val="0031324F"/&gt;&lt;w:pPr&gt;&lt;w:framePr w:wrap="around"/&gt;&lt;w:spacing w:before="360"/&gt;&lt;/w:pPr&gt;&lt;w:rPr&gt;&lt;w:i/&gt;&lt;w:sz w:val="24"/&gt;&lt;/w:rPr&gt;&lt;/w:style&gt;&lt;w:style w:type="paragraph" w:customStyle="1" w:styleId="CallOutHeadingLeft"&gt;&lt;w:name w:val="Call Out Heading Left"/&gt;&lt;w:basedOn w:val="CalloutHeadingRight"/&gt;&lt;w:uiPriority w:val="5"/&gt;&lt;w:qFormat/&gt;&lt;w:rsid w:val="00FF20AA"/&gt;&lt;w:pPr&gt;&lt;w:framePr w:wrap="around" w:xAlign="left" w:y="1288"/&gt;&lt;w:ind w:left="539" w:right="604"/&gt;&lt;/w:pPr&gt;&lt;/w:style&gt;&lt;w:style w:type="paragraph" w:customStyle="1" w:styleId="CallOutBodyLeft"&gt;&lt;w:name w:val="Call Out Body Left"/&gt;&lt;w:basedOn w:val="CallOutHeadingLeft"/&gt;&lt;w:uiPriority w:val="5"/&gt;&lt;w:qFormat/&gt;&lt;w:rsid w:val="0031324F"/&gt;&lt;w:pPr&gt;&lt;w:framePr w:wrap="around"/&gt;&lt;/w:pPr&gt;&lt;w:rPr&gt;&lt;w:i/&gt;&lt;w:sz w:val="24"/&gt;&lt;/w:rPr&gt;&lt;/w:style&gt;&lt;w:style w:type="table" w:customStyle="1" w:styleId="LightGreen"&gt;&lt;w:name w:val="Light Green"/&gt;&lt;w:basedOn w:val="TableNormal"/&gt;&lt;w:uiPriority w:val="99"/&gt;&lt;w:rsid w:val="0029347C"/&gt;&lt;w:pPr&gt;&lt;w:spacing w:before="60" w:after="60" w:line="240" w:lineRule="auto"/&gt;&lt;/w:pPr&gt;&lt;w:rPr&gt;&lt;w:sz w:val="20"/&gt;&lt;/w:rPr&gt;&lt;w:tblPr&gt;&lt;w:tblBorders&gt;&lt;w:top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w:themeShade="BF"/&gt;&lt;/w:tblBorders&gt;&lt;/w:tblPr&gt;&lt;w:tblStylePr w:type="firstRow"&gt;&lt;w:rPr&gt;&lt;w:b/&gt;&lt;/w:rPr&gt;&lt;w:tblPr/&gt;&lt;w:tcPr&gt;&lt;w:shd w:val="clear" w:color="auto" w:fill="B2DFB0" w:themeFill="accent1" w:themeFillTint="66"/&gt;&lt;/w:tcPr&gt;&lt;/w:tblStylePr&gt;&lt;w:tblStylePr w:type="firstCol"&gt;&lt;w:pPr&gt;&lt;w:jc w:val="left"/&gt;&lt;/w:pPr&gt;&lt;w:rPr&gt;&lt;w:b/&gt;&lt;/w:rPr&gt;&lt;w:tblPr/&gt;&lt;w:tcPr&gt;&lt;w:shd w:val="clear" w:color="auto" w:fill="D8EFD7" w:themeFill="accent1" w:themeFillTint="33"/&gt;&lt;/w:tcPr&gt;&lt;/w:tblStylePr&gt;&lt;/w:style&gt;&lt;w:style w:type="paragraph" w:customStyle="1" w:styleId="TableChartHeading"&gt;&lt;w:name w:val="Table/Chart Heading"/&gt;&lt;w:basedOn w:val="Normal"/&gt;&lt;w:uiPriority w:val="7"/&gt;&lt;w:qFormat/&gt;&lt;w:rsid w:val="001F67F4"/&gt;&lt;w:pPr&gt;&lt;w:spacing w:before="480"/&gt;&lt;/w:pPr&gt;&lt;w:rPr&gt;&lt;w:sz w:val="26"/&gt;&lt;/w:rPr&gt;&lt;/w:style&gt;&lt;w:style w:type="paragraph" w:customStyle="1" w:styleId="AlphaList"&gt;&lt;w:name w:val="Alpha List"/&gt;&lt;w:basedOn w:val="Normal"/&gt;&lt;w:uiPriority w:val="4"/&gt;&lt;w:qFormat/&gt;&lt;w:rsid w:val="0010435C"/&gt;&lt;w:pPr&gt;&lt;w:numPr&gt;&lt;w:numId w:val="35"/&gt;&lt;/w:numPr&gt;&lt;/w:pPr&gt;&lt;/w:style&gt;&lt;w:style w:type="paragraph" w:customStyle="1" w:styleId="AlphaList2"&gt;&lt;w:name w:val="Alpha List 2"/&gt;&lt;w:basedOn w:val="AlphaList"/&gt;&lt;w:uiPriority w:val="4"/&gt;&lt;w:qFormat/&gt;&lt;w:rsid w:val="0010435C"/&gt;&lt;w:pPr&gt;&lt;w:numPr&gt;&lt;w:ilvl w:val="1"/&gt;&lt;/w:numPr&gt;&lt;/w:pPr&gt;&lt;/w:style&gt;&lt;w:style w:type="paragraph" w:customStyle="1" w:styleId="AlphaList3"&gt;&lt;w:name w:val="Alpha List 3"/&gt;&lt;w:basedOn w:val="AlphaList2"/&gt;&lt;w:uiPriority w:val="4"/&gt;&lt;w:qFormat/&gt;&lt;w:rsid w:val="0010435C"/&gt;&lt;w:pPr&gt;&lt;w:numPr&gt;&lt;w:ilvl w:val="2"/&gt;&lt;/w:numPr&gt;&lt;/w:pPr&gt;&lt;/w:style&gt;&lt;w:style w:type="paragraph" w:customStyle="1" w:styleId="TableBullet1"&gt;&lt;w:name w:val="Table Bullet 1"/&gt;&lt;w:basedOn w:val="ListBullet"/&gt;&lt;w:uiPriority w:val="3"/&gt;&lt;w:qFormat/&gt;&lt;w:rsid w:val="00AF7EAA"/&gt;&lt;w:pPr&gt;&lt;w:numPr&gt;&lt;w:ilvl w:val="5"/&gt;&lt;/w:numPr&gt;&lt;/w:pPr&gt;&lt;/w:style&gt;&lt;w:style w:type="numbering" w:customStyle="1" w:styleId="AlphaLists"&gt;&lt;w:name w:val="Alpha Lists"/&gt;&lt;w:basedOn w:val="NoList"/&gt;&lt;w:uiPriority w:val="99"/&gt;&lt;w:rsid w:val="0010435C"/&gt;&lt;w:pPr&gt;&lt;w:numPr&gt;&lt;w:numId w:val="35"/&gt;&lt;/w:numPr&gt;&lt;/w:pPr&gt;&lt;/w:style&gt;&lt;w:style w:type="paragraph" w:customStyle="1" w:styleId="TableBullet2"&gt;&lt;w:name w:val="Table Bullet 2"/&gt;&lt;w:basedOn w:val="TableBullet1"/&gt;&lt;w:uiPriority w:val="3"/&gt;&lt;w:qFormat/&gt;&lt;w:rsid w:val="00AF7EAA"/&gt;&lt;w:pPr&gt;&lt;w:numPr&gt;&lt;w:ilvl w:val="6"/&gt;&lt;/w:numPr&gt;&lt;/w:pPr&gt;&lt;/w:style&gt;&lt;w:style w:type="paragraph" w:customStyle="1" w:styleId="ImageCallOutRight"&gt;&lt;w:name w:val="Image Call Out Right"/&gt;&lt;w:basedOn w:val="CalloutHeadingRight"/&gt;&lt;w:uiPriority w:val="5"/&gt;&lt;w:qFormat/&gt;&lt;w:rsid w:val="00FF20AA"/&gt;&lt;w:pPr&gt;&lt;w:framePr w:wrap="around"/&gt;&lt;w:pBdr&gt;&lt;w:top w:val="none" w:sz="0" w:space="0" w:color="auto"/&gt;&lt;w:left w:val="none" w:sz="0" w:space="0" w:color="auto"/&gt;&lt;w:bottom w:val="none" w:sz="0" w:space="0" w:color="auto"/&gt;&lt;w:right w:val="none" w:sz="0" w:space="0" w:color="auto"/&gt;&lt;/w:pBdr&gt;&lt;w:shd w:val="clear" w:color="auto" w:fill="auto"/&gt;&lt;w:spacing w:after="240"/&gt;&lt;w:ind w:left="0" w:right="0"/&gt;&lt;/w:pPr&gt;&lt;w:rPr&gt;&lt;w:sz w:val="20"/&gt;&lt;w:lang w:eastAsia="en-AU"/&gt;&lt;/w:rPr&gt;&lt;/w:style&gt;&lt;w:style w:type="paragraph" w:customStyle="1" w:styleId="ImageCallOutLeft"&gt;&lt;w:name w:val="Image Call Out Left"/&gt;&lt;w:basedOn w:val="CallOutHeadingLeft"/&gt;&lt;w:uiPriority w:val="5"/&gt;&lt;w:qFormat/&gt;&lt;w:rsid w:val="00FF20AA"/&gt;&lt;w:pPr&gt;&lt;w:framePr w:wrap="around"/&gt;&lt;w:pBdr&gt;&lt;w:top w:val="none" w:sz="0" w:space="0" w:color="auto"/&gt;&lt;w:left w:val="none" w:sz="0" w:space="0" w:color="auto"/&gt;&lt;w:bottom w:val="none" w:sz="0" w:space="0" w:color="auto"/&gt;&lt;w:right w:val="none" w:sz="0" w:space="0" w:color="auto"/&gt;&lt;/w:pBdr&gt;&lt;w:shd w:val="clear" w:color="auto" w:fill="auto"/&gt;&lt;w:spacing w:after="240"/&gt;&lt;w:ind w:left="0" w:right="0"/&gt;&lt;/w:pPr&gt;&lt;w:rPr&gt;&lt;w:sz w:val="20"/&gt;&lt;/w:rPr&gt;&lt;/w:style&gt;&lt;w:style w:type="paragraph" w:customStyle="1" w:styleId="TableBullet3"&gt;&lt;w:name w:val="Table Bullet 3"/&gt;&lt;w:basedOn w:val="ListBullet"/&gt;&lt;w:uiPriority w:val="3"/&gt;&lt;w:qFormat/&gt;&lt;w:rsid w:val="00AF7EAA"/&gt;&lt;w:pPr&gt;&lt;w:numPr&gt;&lt;w:ilvl w:val="7"/&gt;&lt;/w:numPr&gt;&lt;/w:pPr&gt;&lt;/w:style&gt;&lt;w:style w:type="paragraph" w:customStyle="1" w:styleId="Address"&gt;&lt;w:name w:val="Address"/&gt;&lt;w:basedOn w:val="Normal"/&gt;&lt;w:uiPriority w:val="34"/&gt;&lt;w:rsid w:val="00595A34"/&gt;&lt;w:pPr&gt;&lt;w:spacing w:before="0" w:after="600"/&gt;&lt;w:contextualSpacing/&gt;&lt;/w:pPr&gt;&lt;/w:style&gt;&lt;w:style w:type="paragraph" w:customStyle="1" w:styleId="Dear"&gt;&lt;w:name w:val="Dear"/&gt;&lt;w:basedOn w:val="Normal"/&gt;&lt;w:uiPriority w:val="34"/&gt;&lt;w:rsid w:val="00595A34"/&gt;&lt;w:pPr&gt;&lt;w:spacing w:before="240" w:after="240"/&gt;&lt;/w:pPr&gt;&lt;/w:style&gt;&lt;w:style w:type="paragraph" w:customStyle="1" w:styleId="Subject"&gt;&lt;w:name w:val="Subject"/&gt;&lt;w:basedOn w:val="Dear"/&gt;&lt;w:uiPriority w:val="34"/&gt;&lt;w:rsid w:val="004064D3"/&gt;&lt;w:pPr&gt;&lt;w:spacing w:after="120"/&gt;&lt;/w:pPr&gt;&lt;w:rPr&gt;&lt;w:b/&gt;&lt;/w:rPr&gt;&lt;/w:style&gt;&lt;w:style w:type="paragraph" w:customStyle="1" w:styleId="BoldHeading"&gt;&lt;w:name w:val="Bold Heading"/&gt;&lt;w:basedOn w:val="Normal"/&gt;&lt;w:uiPriority w:val="99"/&gt;&lt;w:rsid w:val="006375E8"/&gt;&lt;w:rPr&gt;&lt;w:b/&gt;&lt;/w:rPr&gt;&lt;/w:style&gt;&lt;w:style w:type="paragraph" w:customStyle="1" w:styleId="LetterheadAddress"&gt;&lt;w:name w:val="Letterhead Address"/&gt;&lt;w:basedOn w:val="Normal"/&gt;&lt;w:uiPriority w:val="34"/&gt;&lt;w:rsid w:val="004064D3"/&gt;&lt;w:pPr&gt;&lt;w:framePr w:wrap="around" w:vAnchor="page" w:hAnchor="text" w:y="795"/&gt;&lt;/w:pPr&gt;&lt;w:rPr&gt;&lt;w:sz w:val="17"/&gt;&lt;/w:rPr&gt;&lt;/w:style&gt;&lt;w:style w:type="paragraph" w:customStyle="1" w:styleId="SecurityClassification"&gt;&lt;w:name w:val="Security Classification"/&gt;&lt;w:basedOn w:val="Normal"/&gt;&lt;w:uiPriority w:val="99"/&gt;&lt;w:qFormat/&gt;&lt;w:rsid w:val="00BB400C"/&gt;&lt;w:pPr&gt;&lt;w:framePr w:w="2268" w:h="851" w:wrap="around" w:vAnchor="page" w:hAnchor="page" w:xAlign="center" w:y="568"/&gt;&lt;w:jc w:val="center"/&gt;&lt;/w:pPr&gt;&lt;w:rPr&gt;&lt;w:b/&gt;&lt;w:caps/&gt;&lt;/w:rPr&gt;&lt;/w:style&gt;&lt;w:style w:type="paragraph" w:customStyle="1" w:styleId="SecurityClassificationFooter"&gt;&lt;w:name w:val="Security Classification Footer"/&gt;&lt;w:basedOn w:val="Normal"/&gt;&lt;w:uiPriority w:val="99"/&gt;&lt;w:qFormat/&gt;&lt;w:rsid w:val="00B76801"/&gt;&lt;w:pPr&gt;&lt;w:framePr w:w="4536" w:wrap="around" w:hAnchor="page" w:xAlign="center" w:y="13382"/&gt;&lt;w:jc w:val="center"/&gt;&lt;/w:pPr&gt;&lt;w:rPr&gt;&lt;w:b/&gt;&lt;w:caps/&gt;&lt;/w:rPr&gt;&lt;/w:style&gt;&lt;/w:styles&gt;&lt;/pkg:xmlData&gt;&lt;/pkg:part&gt;&lt;pkg:part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w:val="99"/&gt;&lt;w:rPr&gt;&lt;w:noProof w:val="0"/&gt;&lt;w:color w:val="FF0000"/&gt;&lt;w:sz w:val="18"/&gt;&lt;w:lang w:val="en-AU"/&gt;&lt;/w:rPr&gt;&lt;/w:style&gt;&lt;w:style w:type="paragraph" w:customStyle="1" w:styleId="8550C3217AC040EDA5B8BBA85CB42764"&gt;&lt;w:name w:val="8550C3217AC040EDA5B8BBA85CB42764"/&gt;&lt;/w:style&gt;&lt;/w:styles&gt;&lt;/pkg:xmlData&gt;&lt;/pkg:part&gt;&lt;pkg:part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w16cex"/&gt;&lt;/pkg:xmlData&gt;&lt;/pkg:part&gt;&lt;/pkg:package&gt;
</SecurityClassifications>
</TestXMLNode>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51803fd8-2797-45f4-976b-9b9751077307">
      <Terms xmlns="http://schemas.microsoft.com/office/infopath/2007/PartnerControls"/>
    </lcf76f155ced4ddcb4097134ff3c332f>
    <TaxCatchAll xmlns="9fec8c67-e477-4ca6-b494-d120115183a6" xsi:nil="true"/>
    <Packaged xmlns="51803fd8-2797-45f4-976b-9b9751077307">Not Packaged</Packaged>
    <DocumentID xmlns="51803fd8-2797-45f4-976b-9b9751077307" xsi:nil="true"/>
    <VersionStatus xmlns="51803fd8-2797-45f4-976b-9b9751077307" xsi:nil="true"/>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46278D-F4DE-4256-8984-510A4D712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803fd8-2797-45f4-976b-9b9751077307"/>
    <ds:schemaRef ds:uri="9fec8c67-e477-4ca6-b494-d120115183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E34500-F222-410B-836F-E55870AAC219}">
  <ds:schemaRefs>
    <ds:schemaRef ds:uri="Transgrid_V1"/>
  </ds:schemaRefs>
</ds:datastoreItem>
</file>

<file path=customXml/itemProps4.xml><?xml version="1.0" encoding="utf-8"?>
<ds:datastoreItem xmlns:ds="http://schemas.openxmlformats.org/officeDocument/2006/customXml" ds:itemID="{A7D58C93-137E-4CEC-A7AE-89876A9C3A3F}">
  <ds:schemaRefs>
    <ds:schemaRef ds:uri="http://schemas.openxmlformats.org/officeDocument/2006/bibliography"/>
  </ds:schemaRefs>
</ds:datastoreItem>
</file>

<file path=customXml/itemProps5.xml><?xml version="1.0" encoding="utf-8"?>
<ds:datastoreItem xmlns:ds="http://schemas.openxmlformats.org/officeDocument/2006/customXml" ds:itemID="{4058A9A2-ADDE-4899-B990-C7EBD3C26FB0}">
  <ds:schemaRefs>
    <ds:schemaRef ds:uri="Transgrid"/>
  </ds:schemaRefs>
</ds:datastoreItem>
</file>

<file path=customXml/itemProps6.xml><?xml version="1.0" encoding="utf-8"?>
<ds:datastoreItem xmlns:ds="http://schemas.openxmlformats.org/officeDocument/2006/customXml" ds:itemID="{F0F44A62-C2BE-4086-8E35-978908FC5452}">
  <ds:schemaRefs>
    <ds:schemaRef ds:uri="http://schemas.microsoft.com/office/2006/metadata/properties"/>
    <ds:schemaRef ds:uri="http://schemas.microsoft.com/office/infopath/2007/PartnerControls"/>
    <ds:schemaRef ds:uri="http://schemas.microsoft.com/sharepoint/v3"/>
    <ds:schemaRef ds:uri="51803fd8-2797-45f4-976b-9b9751077307"/>
    <ds:schemaRef ds:uri="9fec8c67-e477-4ca6-b494-d120115183a6"/>
  </ds:schemaRefs>
</ds:datastoreItem>
</file>

<file path=customXml/itemProps7.xml><?xml version="1.0" encoding="utf-8"?>
<ds:datastoreItem xmlns:ds="http://schemas.openxmlformats.org/officeDocument/2006/customXml" ds:itemID="{739E5A89-A8C1-4D7D-8D22-EA3D91AC23F0}">
  <ds:schemaRefs>
    <ds:schemaRef ds:uri="http://schemas.microsoft.com/sharepoint/v3/contenttype/forms"/>
  </ds:schemaRefs>
</ds:datastoreItem>
</file>

<file path=docMetadata/LabelInfo.xml><?xml version="1.0" encoding="utf-8"?>
<clbl:labelList xmlns:clbl="http://schemas.microsoft.com/office/2020/mipLabelMetadata">
  <clbl:label id="{ffbb8737-76c2-46a2-9d9b-f1a14753db75}" enabled="1" method="Privileged" siteId="{59ee855e-7930-433f-a581-82f192afe1cc}" removed="0"/>
</clbl:labelList>
</file>

<file path=docProps/app.xml><?xml version="1.0" encoding="utf-8"?>
<Properties xmlns="http://schemas.openxmlformats.org/officeDocument/2006/extended-properties" xmlns:vt="http://schemas.openxmlformats.org/officeDocument/2006/docPropsVTypes">
  <Template>Normal</Template>
  <TotalTime>168</TotalTime>
  <Pages>37</Pages>
  <Words>7399</Words>
  <Characters>44099</Characters>
  <Application>Microsoft Office Word</Application>
  <DocSecurity>0</DocSecurity>
  <Lines>864</Lines>
  <Paragraphs>499</Paragraphs>
  <ScaleCrop>false</ScaleCrop>
  <Company/>
  <LinksUpToDate>false</LinksUpToDate>
  <CharactersWithSpaces>50999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Confidentiality Claims</dc:title>
  <dc:subject>PEC Reopener Application</dc:subject>
  <dc:creator>McDougall, Stephanie</dc:creator>
  <cp:keywords>Transgrid.Data.Classification:#Official#</cp:keywords>
  <dc:description/>
  <cp:lastModifiedBy>Marielle Allan</cp:lastModifiedBy>
  <cp:revision>245</cp:revision>
  <cp:lastPrinted>2026-02-11T14:08:00Z</cp:lastPrinted>
  <dcterms:created xsi:type="dcterms:W3CDTF">2026-02-17T03:37:00Z</dcterms:created>
  <dcterms:modified xsi:type="dcterms:W3CDTF">2026-03-26T00:22:00Z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owGlobal">
    <vt:bool>true</vt:bool>
  </property>
  <property fmtid="{D5CDD505-2E9C-101B-9397-08002B2CF9AE}" pid="3" name="KeepMarginsTheSame">
    <vt:bool>true</vt:bool>
  </property>
  <property fmtid="{D5CDD505-2E9C-101B-9397-08002B2CF9AE}" pid="4" name="CustomGallery1">
    <vt:bool>false</vt:bool>
  </property>
  <property fmtid="{D5CDD505-2E9C-101B-9397-08002B2CF9AE}" pid="5" name="CustomGallery2">
    <vt:bool>false</vt:bool>
  </property>
  <property fmtid="{D5CDD505-2E9C-101B-9397-08002B2CF9AE}" pid="6" name="CustomGallery3">
    <vt:bool>true</vt:bool>
  </property>
  <property fmtid="{D5CDD505-2E9C-101B-9397-08002B2CF9AE}" pid="7" name="CustomGallery4">
    <vt:bool>true</vt:bool>
  </property>
  <property fmtid="{D5CDD505-2E9C-101B-9397-08002B2CF9AE}" pid="8" name="CustomGallery5">
    <vt:bool>true</vt:bool>
  </property>
  <property fmtid="{D5CDD505-2E9C-101B-9397-08002B2CF9AE}" pid="9" name="ContentTypeId">
    <vt:lpwstr>0x010100056616616C767A4185C4362395BD7D20</vt:lpwstr>
  </property>
  <property fmtid="{D5CDD505-2E9C-101B-9397-08002B2CF9AE}" pid="10" name="TitusGUID">
    <vt:lpwstr>3a4cc507-5218-4afa-ab03-0b3c99eb04d7</vt:lpwstr>
  </property>
  <property fmtid="{D5CDD505-2E9C-101B-9397-08002B2CF9AE}" pid="11" name="TransgridDataClassification">
    <vt:lpwstr>#Official#</vt:lpwstr>
  </property>
  <property fmtid="{D5CDD505-2E9C-101B-9397-08002B2CF9AE}" pid="12" name="TransgridDataClassifierFirst">
    <vt:lpwstr>P85469</vt:lpwstr>
  </property>
  <property fmtid="{D5CDD505-2E9C-101B-9397-08002B2CF9AE}" pid="13" name="TransgridDataClassifierLast">
    <vt:lpwstr>P85469</vt:lpwstr>
  </property>
  <property fmtid="{D5CDD505-2E9C-101B-9397-08002B2CF9AE}" pid="14" name="TransgridDataClassifierLastDate">
    <vt:lpwstr>2023-05-18</vt:lpwstr>
  </property>
  <property fmtid="{D5CDD505-2E9C-101B-9397-08002B2CF9AE}" pid="15" name="MSIP_Label_ffbb8737-76c2-46a2-9d9b-f1a14753db75_Enabled">
    <vt:lpwstr>true</vt:lpwstr>
  </property>
  <property fmtid="{D5CDD505-2E9C-101B-9397-08002B2CF9AE}" pid="16" name="MSIP_Label_ffbb8737-76c2-46a2-9d9b-f1a14753db75_SetDate">
    <vt:lpwstr>2023-07-04T16:58:58Z</vt:lpwstr>
  </property>
  <property fmtid="{D5CDD505-2E9C-101B-9397-08002B2CF9AE}" pid="17" name="MSIP_Label_ffbb8737-76c2-46a2-9d9b-f1a14753db75_Method">
    <vt:lpwstr>Privileged</vt:lpwstr>
  </property>
  <property fmtid="{D5CDD505-2E9C-101B-9397-08002B2CF9AE}" pid="18" name="MSIP_Label_ffbb8737-76c2-46a2-9d9b-f1a14753db75_Name">
    <vt:lpwstr>Public</vt:lpwstr>
  </property>
  <property fmtid="{D5CDD505-2E9C-101B-9397-08002B2CF9AE}" pid="19" name="MSIP_Label_ffbb8737-76c2-46a2-9d9b-f1a14753db75_SiteId">
    <vt:lpwstr>59ee855e-7930-433f-a581-82f192afe1cc</vt:lpwstr>
  </property>
  <property fmtid="{D5CDD505-2E9C-101B-9397-08002B2CF9AE}" pid="20" name="MSIP_Label_ffbb8737-76c2-46a2-9d9b-f1a14753db75_ActionId">
    <vt:lpwstr>4df1010a-8b92-43fe-a5c2-5688d1ccfd3b</vt:lpwstr>
  </property>
  <property fmtid="{D5CDD505-2E9C-101B-9397-08002B2CF9AE}" pid="21" name="MSIP_Label_ffbb8737-76c2-46a2-9d9b-f1a14753db75_ContentBits">
    <vt:lpwstr>0</vt:lpwstr>
  </property>
  <property fmtid="{D5CDD505-2E9C-101B-9397-08002B2CF9AE}" pid="22" name="MediaServiceImageTags">
    <vt:lpwstr/>
  </property>
  <property fmtid="{D5CDD505-2E9C-101B-9397-08002B2CF9AE}" pid="23" name="docLang">
    <vt:lpwstr>en</vt:lpwstr>
  </property>
  <property fmtid="{D5CDD505-2E9C-101B-9397-08002B2CF9AE}" pid="24" name="DocID">
    <vt:lpwstr>176650747_1</vt:lpwstr>
  </property>
  <property fmtid="{D5CDD505-2E9C-101B-9397-08002B2CF9AE}" pid="25" name="kwmDocumentID">
    <vt:lpwstr>DOCUMENTS!176650747.1</vt:lpwstr>
  </property>
</Properties>
</file>