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3CB16" w14:textId="024136FC" w:rsidR="00764D6A" w:rsidRPr="003646DF" w:rsidRDefault="00CA37DC" w:rsidP="00B97A71">
      <w:pPr>
        <w:pStyle w:val="Heading1"/>
      </w:pPr>
      <w:r>
        <w:rPr>
          <w:szCs w:val="96"/>
        </w:rPr>
        <w:t>R</w:t>
      </w:r>
      <w:r w:rsidR="00D338A6">
        <w:rPr>
          <w:szCs w:val="96"/>
        </w:rPr>
        <w:t>evenue determination</w:t>
      </w:r>
      <w:r w:rsidR="0051302A" w:rsidRPr="00EC3F49">
        <w:rPr>
          <w:szCs w:val="96"/>
        </w:rPr>
        <w:t xml:space="preserve"> (Contestable)</w:t>
      </w:r>
      <w:r w:rsidR="00195636">
        <w:rPr>
          <w:noProof/>
        </w:rPr>
        <w:drawing>
          <wp:anchor distT="0" distB="0" distL="114300" distR="114300" simplePos="0" relativeHeight="251659264" behindDoc="1" locked="0" layoutInCell="1" allowOverlap="1" wp14:anchorId="2722C913" wp14:editId="45411903">
            <wp:simplePos x="0" y="0"/>
            <wp:positionH relativeFrom="page">
              <wp:posOffset>5080</wp:posOffset>
            </wp:positionH>
            <wp:positionV relativeFrom="page">
              <wp:posOffset>20418</wp:posOffset>
            </wp:positionV>
            <wp:extent cx="7538400" cy="10652400"/>
            <wp:effectExtent l="0" t="0" r="5715" b="0"/>
            <wp:wrapNone/>
            <wp:docPr id="1197981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81957" name="Picture 1197981957"/>
                    <pic:cNvPicPr/>
                  </pic:nvPicPr>
                  <pic:blipFill>
                    <a:blip r:embed="rId1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r w:rsidR="00AF1E05">
        <w:rPr>
          <w:szCs w:val="96"/>
        </w:rPr>
        <w:t xml:space="preserve"> – Summary Report</w:t>
      </w:r>
    </w:p>
    <w:p w14:paraId="5D53C56A" w14:textId="2EA17B0D" w:rsidR="0051302A" w:rsidRDefault="0051302A" w:rsidP="0051302A">
      <w:pPr>
        <w:pStyle w:val="Subtitle"/>
        <w:rPr>
          <w:b/>
          <w:bCs w:val="0"/>
        </w:rPr>
      </w:pPr>
      <w:r w:rsidRPr="00EC3F49">
        <w:rPr>
          <w:b/>
          <w:bCs w:val="0"/>
        </w:rPr>
        <w:t>Transgrid – Waratah Super Battery –</w:t>
      </w:r>
    </w:p>
    <w:p w14:paraId="71C9501E" w14:textId="7EF16AFE" w:rsidR="0051302A" w:rsidRDefault="0051302A" w:rsidP="0051302A">
      <w:pPr>
        <w:pStyle w:val="Subtitle"/>
      </w:pPr>
      <w:r>
        <w:t>Paired generation services</w:t>
      </w:r>
      <w:r w:rsidRPr="00362926">
        <w:t xml:space="preserve"> component</w:t>
      </w:r>
      <w:r w:rsidR="003E158E">
        <w:t xml:space="preserve"> and SIPS battery service </w:t>
      </w:r>
    </w:p>
    <w:p w14:paraId="4CE038F7" w14:textId="77777777" w:rsidR="002F365B" w:rsidRDefault="002F365B" w:rsidP="002F365B"/>
    <w:p w14:paraId="121880B4" w14:textId="77777777" w:rsidR="002F365B" w:rsidRDefault="002F365B" w:rsidP="002F365B"/>
    <w:p w14:paraId="28FE6543" w14:textId="77777777" w:rsidR="002F365B" w:rsidRDefault="002F365B" w:rsidP="002F365B"/>
    <w:p w14:paraId="2E97306B" w14:textId="77777777" w:rsidR="002F365B" w:rsidRDefault="002F365B" w:rsidP="002F365B"/>
    <w:p w14:paraId="3DAAEC14" w14:textId="77777777" w:rsidR="002F365B" w:rsidRDefault="002F365B" w:rsidP="002F365B"/>
    <w:p w14:paraId="7A2476B8" w14:textId="77777777" w:rsidR="002F365B" w:rsidRDefault="002F365B" w:rsidP="002F365B"/>
    <w:p w14:paraId="57BC095E" w14:textId="77777777" w:rsidR="002F365B" w:rsidRDefault="002F365B" w:rsidP="002F365B"/>
    <w:p w14:paraId="6180EB47" w14:textId="77777777" w:rsidR="002F365B" w:rsidRDefault="002F365B" w:rsidP="002F365B"/>
    <w:p w14:paraId="53DB30CA" w14:textId="5185CF4E" w:rsidR="003646DF" w:rsidRDefault="002F365B" w:rsidP="002F365B">
      <w:pPr>
        <w:rPr>
          <w:b/>
          <w:bCs/>
          <w:color w:val="FFFFFF" w:themeColor="background1"/>
        </w:rPr>
      </w:pPr>
      <w:r w:rsidRPr="002F365B">
        <w:rPr>
          <w:b/>
          <w:bCs/>
          <w:color w:val="FFFFFF" w:themeColor="background1"/>
        </w:rPr>
        <w:t>September 2026</w:t>
      </w:r>
    </w:p>
    <w:p w14:paraId="2DF36283" w14:textId="77777777" w:rsidR="002F365B" w:rsidRDefault="002F365B" w:rsidP="0051302A">
      <w:pPr>
        <w:pStyle w:val="Normalsmall"/>
      </w:pPr>
    </w:p>
    <w:p w14:paraId="348D74ED" w14:textId="19CECF4C" w:rsidR="00764D6A" w:rsidRPr="00933198" w:rsidRDefault="00E91D72" w:rsidP="0051302A">
      <w:pPr>
        <w:pStyle w:val="Normalsmall"/>
      </w:pPr>
      <w:r w:rsidRPr="0051302A">
        <w:lastRenderedPageBreak/>
        <w:t xml:space="preserve">© Commonwealth of Australia </w:t>
      </w:r>
      <w:r w:rsidR="00B97E61" w:rsidRPr="0051302A">
        <w:t>202</w:t>
      </w:r>
      <w:r w:rsidR="008B15B2" w:rsidRPr="0051302A">
        <w:t>6</w:t>
      </w:r>
    </w:p>
    <w:p w14:paraId="31CB7E57" w14:textId="77777777" w:rsidR="008D4F75" w:rsidRPr="003B7467" w:rsidRDefault="008D4F75" w:rsidP="00933198">
      <w:pPr>
        <w:pStyle w:val="Normalsmall"/>
      </w:pPr>
      <w:r w:rsidRPr="003B7467">
        <w:t xml:space="preserve">This work is copyright. In addition to any use permitted under the </w:t>
      </w:r>
      <w:r w:rsidRPr="003B7467">
        <w:rPr>
          <w:rStyle w:val="Emphasis"/>
        </w:rPr>
        <w:t>Copyright Act 1968</w:t>
      </w:r>
      <w:r w:rsidRPr="003B7467">
        <w:t xml:space="preserve"> all material contained within this work is provided under a </w:t>
      </w:r>
      <w:hyperlink r:id="rId12" w:history="1">
        <w:r w:rsidR="007368BD">
          <w:rPr>
            <w:rStyle w:val="Hyperlink"/>
          </w:rPr>
          <w:t>Creative Commons Attributions 4.0 International licence</w:t>
        </w:r>
      </w:hyperlink>
      <w:r w:rsidRPr="003B7467">
        <w:t xml:space="preserve"> </w:t>
      </w:r>
      <w:proofErr w:type="gramStart"/>
      <w:r w:rsidRPr="003B7467">
        <w:t>with the exception of</w:t>
      </w:r>
      <w:proofErr w:type="gramEnd"/>
      <w:r w:rsidRPr="003B7467">
        <w:t>:</w:t>
      </w:r>
    </w:p>
    <w:p w14:paraId="66BAAC11" w14:textId="77777777" w:rsidR="008D4F75" w:rsidRPr="003B7467" w:rsidRDefault="008D4F75" w:rsidP="00933198">
      <w:pPr>
        <w:pStyle w:val="Normalsmall"/>
        <w:ind w:left="567" w:hanging="567"/>
      </w:pPr>
      <w:r w:rsidRPr="003B7467">
        <w:t>•</w:t>
      </w:r>
      <w:r w:rsidRPr="003B7467">
        <w:tab/>
        <w:t>the Commonwealth Coat of Arms</w:t>
      </w:r>
    </w:p>
    <w:p w14:paraId="2267E790" w14:textId="77777777" w:rsidR="008D4F75" w:rsidRPr="003B7467" w:rsidRDefault="008D4F75" w:rsidP="00933198">
      <w:pPr>
        <w:pStyle w:val="Normalsmall"/>
        <w:ind w:left="567" w:hanging="567"/>
      </w:pPr>
      <w:r w:rsidRPr="003B7467">
        <w:t>•</w:t>
      </w:r>
      <w:r w:rsidRPr="003B7467">
        <w:tab/>
        <w:t>the AER logo</w:t>
      </w:r>
    </w:p>
    <w:p w14:paraId="072B3B8F" w14:textId="77777777" w:rsidR="008D4F75" w:rsidRPr="003B7467" w:rsidRDefault="008D4F75" w:rsidP="00933198">
      <w:pPr>
        <w:pStyle w:val="Normalsmall"/>
        <w:ind w:left="567" w:hanging="567"/>
      </w:pPr>
      <w:r w:rsidRPr="003B7467">
        <w:t>•</w:t>
      </w:r>
      <w:r w:rsidRPr="003B7467">
        <w:tab/>
        <w:t xml:space="preserve">any illustration diagram, photograph or graphic over which the </w:t>
      </w:r>
      <w:r w:rsidR="00195636">
        <w:t>AER</w:t>
      </w:r>
      <w:r w:rsidRPr="003B7467">
        <w:t xml:space="preserve"> does not hold </w:t>
      </w:r>
      <w:proofErr w:type="gramStart"/>
      <w:r w:rsidRPr="003B7467">
        <w:t>copyright</w:t>
      </w:r>
      <w:proofErr w:type="gramEnd"/>
      <w:r w:rsidRPr="003B7467">
        <w:t xml:space="preserve"> but which may be part of or contained within this publication. </w:t>
      </w:r>
    </w:p>
    <w:p w14:paraId="209891ED" w14:textId="77777777" w:rsidR="008D4F75" w:rsidRDefault="008D4F75" w:rsidP="00933198">
      <w:pPr>
        <w:pStyle w:val="Normalsmall"/>
      </w:pPr>
      <w:r w:rsidRPr="003B7467">
        <w:t xml:space="preserve">The details of the relevant licence conditions are available on the Creative Commons website as is the full legal code for the CC BY </w:t>
      </w:r>
      <w:r w:rsidR="001F42F6">
        <w:t>4</w:t>
      </w:r>
      <w:r w:rsidRPr="003B7467">
        <w:t>.0 licence.</w:t>
      </w:r>
    </w:p>
    <w:p w14:paraId="1822F4B0" w14:textId="77777777" w:rsidR="001F42F6" w:rsidRPr="001F42F6" w:rsidRDefault="001F42F6" w:rsidP="001F42F6">
      <w:pPr>
        <w:pStyle w:val="Normalsmall"/>
        <w:rPr>
          <w:rStyle w:val="Strong"/>
        </w:rPr>
      </w:pPr>
      <w:r w:rsidRPr="001F42F6">
        <w:rPr>
          <w:rStyle w:val="Strong"/>
        </w:rPr>
        <w:t>Important notice</w:t>
      </w:r>
    </w:p>
    <w:p w14:paraId="1011B146" w14:textId="77777777" w:rsidR="001F42F6" w:rsidRDefault="001F42F6" w:rsidP="001F42F6">
      <w:pPr>
        <w:pStyle w:val="Normalsmall"/>
      </w:pPr>
      <w:r>
        <w:t xml:space="preserve">The information in this publication is for general guidance only. It does not constitute legal or other professional advice. You should seek legal advice or other professional advice in relation to your </w:t>
      </w:r>
      <w:proofErr w:type="gramStart"/>
      <w:r>
        <w:t>particular circumstances</w:t>
      </w:r>
      <w:proofErr w:type="gramEnd"/>
      <w:r>
        <w:t>.</w:t>
      </w:r>
    </w:p>
    <w:p w14:paraId="11CA79CA" w14:textId="77777777" w:rsidR="001F42F6" w:rsidRDefault="001F42F6" w:rsidP="001F42F6">
      <w:pPr>
        <w:pStyle w:val="Normalsmall"/>
      </w:pPr>
      <w:r>
        <w:t>The AER has made every reasonable effort to provide current and accurate information, but it does not warrant or make any guarantees about the accuracy, currency or completeness of information in this publication.</w:t>
      </w:r>
    </w:p>
    <w:p w14:paraId="1FAEE611" w14:textId="77777777" w:rsidR="001F42F6" w:rsidRDefault="001F42F6" w:rsidP="001F42F6">
      <w:pPr>
        <w:pStyle w:val="Normalsmall"/>
      </w:pPr>
      <w:r>
        <w:t>Parties who wish to re-publish or otherwise use the information in this publication should check the information for currency and accuracy prior to publication.</w:t>
      </w:r>
    </w:p>
    <w:p w14:paraId="13BCF00C" w14:textId="77777777" w:rsidR="00CF3F3A" w:rsidRDefault="00CF3F3A" w:rsidP="001F42F6">
      <w:pPr>
        <w:pStyle w:val="Normalsmall"/>
      </w:pPr>
      <w:r w:rsidRPr="00CF3F3A">
        <w:t xml:space="preserve">At the AER, we use artificial intelligence (AI) to enhance our internal productivity and data analysis. Our AI tools do not make decisions or </w:t>
      </w:r>
      <w:proofErr w:type="gramStart"/>
      <w:r w:rsidRPr="00CF3F3A">
        <w:t>take action</w:t>
      </w:r>
      <w:proofErr w:type="gramEnd"/>
      <w:r w:rsidRPr="00CF3F3A">
        <w:t xml:space="preserve"> on our behalf. We maintain high standards of security measures to safeguard personal information. The AER remains fully responsible for all work and oversight, including checking the quality of any AI outputs. We ensure our AI use complies with all legal and regulatory requirements. To learn more, </w:t>
      </w:r>
      <w:r w:rsidR="00E31B51">
        <w:t>see</w:t>
      </w:r>
      <w:r w:rsidRPr="00CF3F3A">
        <w:t xml:space="preserve"> the </w:t>
      </w:r>
      <w:hyperlink r:id="rId13" w:history="1">
        <w:r w:rsidRPr="00CF3F3A">
          <w:rPr>
            <w:rStyle w:val="Hyperlink"/>
          </w:rPr>
          <w:t>ACCC/AER AI transparency statement</w:t>
        </w:r>
      </w:hyperlink>
      <w:r w:rsidRPr="00CF3F3A">
        <w:t xml:space="preserve">. If you have any questions about this statement or would like further information </w:t>
      </w:r>
      <w:r w:rsidR="009D04AE">
        <w:t>on</w:t>
      </w:r>
      <w:r w:rsidRPr="00CF3F3A">
        <w:t xml:space="preserve"> our use of AI, please contact us.</w:t>
      </w:r>
    </w:p>
    <w:p w14:paraId="5251B5FA" w14:textId="77777777" w:rsidR="008D4F75" w:rsidRPr="00933198" w:rsidRDefault="008D4F75" w:rsidP="00933198">
      <w:pPr>
        <w:pStyle w:val="Normalsmall"/>
      </w:pPr>
      <w:r w:rsidRPr="00933198">
        <w:t>Inquiries about this publication should be addressed to:</w:t>
      </w:r>
    </w:p>
    <w:p w14:paraId="23BF2BD0" w14:textId="77777777" w:rsidR="008D4F75" w:rsidRPr="00933198" w:rsidRDefault="008D4F75" w:rsidP="008D4F75">
      <w:pPr>
        <w:pStyle w:val="Normalsmall"/>
        <w:spacing w:after="0"/>
      </w:pPr>
      <w:r w:rsidRPr="00933198">
        <w:t>Australian Energy Regulator</w:t>
      </w:r>
    </w:p>
    <w:p w14:paraId="780084EE" w14:textId="77777777" w:rsidR="00FA209D" w:rsidRDefault="00FA209D" w:rsidP="00FA209D">
      <w:pPr>
        <w:pStyle w:val="Normalsmall"/>
        <w:spacing w:after="0"/>
      </w:pPr>
      <w:r>
        <w:t>GPO Box 3131</w:t>
      </w:r>
    </w:p>
    <w:p w14:paraId="46F88B68" w14:textId="77777777" w:rsidR="00FA209D" w:rsidRDefault="00FA209D" w:rsidP="00FA209D">
      <w:pPr>
        <w:pStyle w:val="Normalsmall"/>
        <w:spacing w:after="0"/>
      </w:pPr>
      <w:r>
        <w:t>Canberra ACT 2601</w:t>
      </w:r>
    </w:p>
    <w:p w14:paraId="4808F2D1" w14:textId="77777777" w:rsidR="001F42F6" w:rsidRDefault="001F42F6" w:rsidP="00FA209D">
      <w:pPr>
        <w:pStyle w:val="Normalsmall"/>
        <w:spacing w:after="0"/>
      </w:pPr>
      <w:r>
        <w:t xml:space="preserve">Email: </w:t>
      </w:r>
      <w:hyperlink r:id="rId14" w:history="1">
        <w:r w:rsidRPr="003511D8">
          <w:rPr>
            <w:rStyle w:val="Hyperlink"/>
          </w:rPr>
          <w:t>aerinquiry@aer.gov.au</w:t>
        </w:r>
      </w:hyperlink>
    </w:p>
    <w:p w14:paraId="1A581432" w14:textId="77777777" w:rsidR="008D4F75" w:rsidRPr="00933198" w:rsidRDefault="008D4F75" w:rsidP="00FA209D">
      <w:pPr>
        <w:pStyle w:val="Normalsmall"/>
      </w:pPr>
      <w:r w:rsidRPr="00933198">
        <w:t>Tel: 1300 585 165</w:t>
      </w:r>
    </w:p>
    <w:p w14:paraId="400B7497" w14:textId="5C791CEC" w:rsidR="008D4F75" w:rsidRDefault="008D4F75" w:rsidP="008D4F75">
      <w:pPr>
        <w:pStyle w:val="Normalsmall"/>
      </w:pPr>
      <w:r w:rsidRPr="001369A6">
        <w:t xml:space="preserve">AER </w:t>
      </w:r>
      <w:r w:rsidR="001369A6">
        <w:t>r</w:t>
      </w:r>
      <w:r w:rsidRPr="001369A6">
        <w:t xml:space="preserve">eference: </w:t>
      </w:r>
      <w:r w:rsidR="00A025F4">
        <w:t>800</w:t>
      </w:r>
      <w:r w:rsidR="00033DF1">
        <w:t>70260.1</w:t>
      </w:r>
    </w:p>
    <w:p w14:paraId="1284A810" w14:textId="77777777" w:rsidR="00764D6A" w:rsidRDefault="00A131BE">
      <w:pPr>
        <w:pStyle w:val="Normalsmall"/>
      </w:pPr>
      <w:r w:rsidRPr="00A131BE">
        <w:rPr>
          <w:rStyle w:val="Strong"/>
        </w:rPr>
        <w:t xml:space="preserve">Amendment </w:t>
      </w:r>
      <w:r>
        <w:rPr>
          <w:rStyle w:val="Strong"/>
        </w:rPr>
        <w:t>r</w:t>
      </w:r>
      <w:r w:rsidRPr="00A131BE">
        <w:rPr>
          <w:rStyle w:val="Strong"/>
        </w:rPr>
        <w:t>ecord</w:t>
      </w:r>
    </w:p>
    <w:tbl>
      <w:tblPr>
        <w:tblStyle w:val="AERtableleftalign"/>
        <w:tblW w:w="0" w:type="auto"/>
        <w:tblLook w:val="04A0" w:firstRow="1" w:lastRow="0" w:firstColumn="1" w:lastColumn="0" w:noHBand="0" w:noVBand="1"/>
      </w:tblPr>
      <w:tblGrid>
        <w:gridCol w:w="3020"/>
        <w:gridCol w:w="3020"/>
        <w:gridCol w:w="3020"/>
      </w:tblGrid>
      <w:tr w:rsidR="00DC66FB" w:rsidRPr="00DC66FB" w14:paraId="363CA525" w14:textId="77777777" w:rsidTr="004627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630342D" w14:textId="77777777" w:rsidR="00DC66FB" w:rsidRPr="00A131BE" w:rsidRDefault="00DC66FB" w:rsidP="007A019B">
            <w:pPr>
              <w:pStyle w:val="TableHeading"/>
            </w:pPr>
            <w:bookmarkStart w:id="0" w:name="_Toc430782148"/>
            <w:r w:rsidRPr="00A131BE">
              <w:t>Version</w:t>
            </w:r>
          </w:p>
        </w:tc>
        <w:tc>
          <w:tcPr>
            <w:tcW w:w="3020" w:type="dxa"/>
          </w:tcPr>
          <w:p w14:paraId="024E44F8" w14:textId="77777777" w:rsidR="00DC66FB" w:rsidRPr="00A131BE" w:rsidRDefault="00DC66FB" w:rsidP="007A019B">
            <w:pPr>
              <w:pStyle w:val="TableHeading"/>
              <w:cnfStyle w:val="100000000000" w:firstRow="1" w:lastRow="0" w:firstColumn="0" w:lastColumn="0" w:oddVBand="0" w:evenVBand="0" w:oddHBand="0" w:evenHBand="0" w:firstRowFirstColumn="0" w:firstRowLastColumn="0" w:lastRowFirstColumn="0" w:lastRowLastColumn="0"/>
            </w:pPr>
            <w:r w:rsidRPr="00A131BE">
              <w:t>Date</w:t>
            </w:r>
          </w:p>
        </w:tc>
        <w:tc>
          <w:tcPr>
            <w:tcW w:w="3020" w:type="dxa"/>
          </w:tcPr>
          <w:p w14:paraId="0FB88E6D" w14:textId="77777777" w:rsidR="00DC66FB" w:rsidRPr="00A131BE" w:rsidRDefault="00DC66FB" w:rsidP="007A019B">
            <w:pPr>
              <w:pStyle w:val="TableHeading"/>
              <w:cnfStyle w:val="100000000000" w:firstRow="1" w:lastRow="0" w:firstColumn="0" w:lastColumn="0" w:oddVBand="0" w:evenVBand="0" w:oddHBand="0" w:evenHBand="0" w:firstRowFirstColumn="0" w:firstRowLastColumn="0" w:lastRowFirstColumn="0" w:lastRowLastColumn="0"/>
            </w:pPr>
            <w:r w:rsidRPr="00A131BE">
              <w:t>Pages</w:t>
            </w:r>
          </w:p>
        </w:tc>
      </w:tr>
      <w:tr w:rsidR="00DC66FB" w:rsidRPr="00DC66FB" w14:paraId="0D1B255A" w14:textId="77777777" w:rsidTr="0046275E">
        <w:tc>
          <w:tcPr>
            <w:cnfStyle w:val="001000000000" w:firstRow="0" w:lastRow="0" w:firstColumn="1" w:lastColumn="0" w:oddVBand="0" w:evenVBand="0" w:oddHBand="0" w:evenHBand="0" w:firstRowFirstColumn="0" w:firstRowLastColumn="0" w:lastRowFirstColumn="0" w:lastRowLastColumn="0"/>
            <w:tcW w:w="3020" w:type="dxa"/>
          </w:tcPr>
          <w:p w14:paraId="4F985A1A" w14:textId="0EA29028" w:rsidR="00DC66FB" w:rsidRPr="00DC66FB" w:rsidRDefault="003E158E" w:rsidP="00DC66FB">
            <w:pPr>
              <w:pStyle w:val="TableText"/>
            </w:pPr>
            <w:r>
              <w:t>1</w:t>
            </w:r>
          </w:p>
        </w:tc>
        <w:tc>
          <w:tcPr>
            <w:tcW w:w="3020" w:type="dxa"/>
          </w:tcPr>
          <w:p w14:paraId="22C5733C" w14:textId="1EB54CFE" w:rsidR="00DC66FB" w:rsidRPr="00DC66FB" w:rsidRDefault="00D04635" w:rsidP="00DC66FB">
            <w:pPr>
              <w:pStyle w:val="TableText"/>
              <w:cnfStyle w:val="000000000000" w:firstRow="0" w:lastRow="0" w:firstColumn="0" w:lastColumn="0" w:oddVBand="0" w:evenVBand="0" w:oddHBand="0" w:evenHBand="0" w:firstRowFirstColumn="0" w:firstRowLastColumn="0" w:lastRowFirstColumn="0" w:lastRowLastColumn="0"/>
            </w:pPr>
            <w:r>
              <w:t>29</w:t>
            </w:r>
            <w:r w:rsidR="002F365B">
              <w:t xml:space="preserve"> September 2026</w:t>
            </w:r>
          </w:p>
        </w:tc>
        <w:tc>
          <w:tcPr>
            <w:tcW w:w="3020" w:type="dxa"/>
          </w:tcPr>
          <w:p w14:paraId="0BE28BD5" w14:textId="732991FC" w:rsidR="00DC66FB" w:rsidRPr="00DC66FB" w:rsidRDefault="00163C47" w:rsidP="00DC66FB">
            <w:pPr>
              <w:pStyle w:val="TableText"/>
              <w:cnfStyle w:val="000000000000" w:firstRow="0" w:lastRow="0" w:firstColumn="0" w:lastColumn="0" w:oddVBand="0" w:evenVBand="0" w:oddHBand="0" w:evenHBand="0" w:firstRowFirstColumn="0" w:firstRowLastColumn="0" w:lastRowFirstColumn="0" w:lastRowLastColumn="0"/>
            </w:pPr>
            <w:r>
              <w:t>19</w:t>
            </w:r>
          </w:p>
        </w:tc>
      </w:tr>
      <w:bookmarkEnd w:id="0"/>
    </w:tbl>
    <w:p w14:paraId="172F8F79" w14:textId="77777777" w:rsidR="00764D6A" w:rsidRDefault="00E91D72">
      <w:pPr>
        <w:spacing w:after="0" w:line="240" w:lineRule="auto"/>
      </w:pPr>
      <w:r>
        <w:br w:type="page"/>
      </w:r>
    </w:p>
    <w:sdt>
      <w:sdtPr>
        <w:rPr>
          <w:rFonts w:ascii="Cambria" w:eastAsiaTheme="minorHAnsi" w:hAnsi="Cambria"/>
          <w:b w:val="0"/>
          <w:bCs w:val="0"/>
          <w:color w:val="auto"/>
          <w:sz w:val="22"/>
          <w:szCs w:val="22"/>
          <w:lang w:eastAsia="en-US"/>
        </w:rPr>
        <w:id w:val="-760297017"/>
        <w:docPartObj>
          <w:docPartGallery w:val="Table of Contents"/>
          <w:docPartUnique/>
        </w:docPartObj>
      </w:sdtPr>
      <w:sdtEndPr>
        <w:rPr>
          <w:rFonts w:ascii="Arial" w:hAnsi="Arial"/>
          <w:noProof/>
        </w:rPr>
      </w:sdtEndPr>
      <w:sdtContent>
        <w:p w14:paraId="169FD1F4" w14:textId="77777777" w:rsidR="00764D6A" w:rsidRPr="00D204FF" w:rsidRDefault="008D4F75" w:rsidP="00C76009">
          <w:pPr>
            <w:pStyle w:val="TOCHeading"/>
          </w:pPr>
          <w:r w:rsidRPr="00C76009">
            <w:t>Contents</w:t>
          </w:r>
        </w:p>
        <w:p w14:paraId="594F5A5C" w14:textId="3CB5B1B1" w:rsidR="00163C47" w:rsidRDefault="00E91D72">
          <w:pPr>
            <w:pStyle w:val="TOC1"/>
            <w:rPr>
              <w:rFonts w:asciiTheme="minorHAnsi" w:eastAsiaTheme="minorEastAsia" w:hAnsiTheme="minorHAnsi"/>
              <w:b w:val="0"/>
              <w:color w:val="auto"/>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41088700" w:history="1">
            <w:r w:rsidR="00163C47" w:rsidRPr="00A8744B">
              <w:rPr>
                <w:rStyle w:val="Hyperlink"/>
              </w:rPr>
              <w:t>1</w:t>
            </w:r>
            <w:r w:rsidR="00163C47">
              <w:rPr>
                <w:rFonts w:asciiTheme="minorHAnsi" w:eastAsiaTheme="minorEastAsia" w:hAnsiTheme="minorHAnsi"/>
                <w:b w:val="0"/>
                <w:color w:val="auto"/>
                <w:kern w:val="2"/>
                <w:sz w:val="24"/>
                <w:szCs w:val="24"/>
                <w:lang w:eastAsia="en-AU"/>
                <w14:ligatures w14:val="standardContextual"/>
              </w:rPr>
              <w:tab/>
            </w:r>
            <w:r w:rsidR="00163C47" w:rsidRPr="00A8744B">
              <w:rPr>
                <w:rStyle w:val="Hyperlink"/>
              </w:rPr>
              <w:t>Overview</w:t>
            </w:r>
            <w:r w:rsidR="00163C47">
              <w:rPr>
                <w:webHidden/>
              </w:rPr>
              <w:tab/>
            </w:r>
            <w:r w:rsidR="00163C47">
              <w:rPr>
                <w:webHidden/>
              </w:rPr>
              <w:fldChar w:fldCharType="begin"/>
            </w:r>
            <w:r w:rsidR="00163C47">
              <w:rPr>
                <w:webHidden/>
              </w:rPr>
              <w:instrText xml:space="preserve"> PAGEREF _Toc241088700 \h </w:instrText>
            </w:r>
            <w:r w:rsidR="00163C47">
              <w:rPr>
                <w:webHidden/>
              </w:rPr>
            </w:r>
            <w:r w:rsidR="00163C47">
              <w:rPr>
                <w:webHidden/>
              </w:rPr>
              <w:fldChar w:fldCharType="separate"/>
            </w:r>
            <w:r w:rsidR="00163C47">
              <w:rPr>
                <w:webHidden/>
              </w:rPr>
              <w:t>1</w:t>
            </w:r>
            <w:r w:rsidR="00163C47">
              <w:rPr>
                <w:webHidden/>
              </w:rPr>
              <w:fldChar w:fldCharType="end"/>
            </w:r>
          </w:hyperlink>
        </w:p>
        <w:p w14:paraId="544A6BE3" w14:textId="2B03F1A3"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01" w:history="1">
            <w:r w:rsidRPr="00A8744B">
              <w:rPr>
                <w:rStyle w:val="Hyperlink"/>
              </w:rPr>
              <w:t>2</w:t>
            </w:r>
            <w:r>
              <w:rPr>
                <w:rFonts w:asciiTheme="minorHAnsi" w:eastAsiaTheme="minorEastAsia" w:hAnsiTheme="minorHAnsi"/>
                <w:b w:val="0"/>
                <w:color w:val="auto"/>
                <w:kern w:val="2"/>
                <w:sz w:val="24"/>
                <w:szCs w:val="24"/>
                <w:lang w:eastAsia="en-AU"/>
                <w14:ligatures w14:val="standardContextual"/>
              </w:rPr>
              <w:tab/>
            </w:r>
            <w:r w:rsidRPr="00A8744B">
              <w:rPr>
                <w:rStyle w:val="Hyperlink"/>
              </w:rPr>
              <w:t>Regulatory framework</w:t>
            </w:r>
            <w:r>
              <w:rPr>
                <w:webHidden/>
              </w:rPr>
              <w:tab/>
            </w:r>
            <w:r>
              <w:rPr>
                <w:webHidden/>
              </w:rPr>
              <w:fldChar w:fldCharType="begin"/>
            </w:r>
            <w:r>
              <w:rPr>
                <w:webHidden/>
              </w:rPr>
              <w:instrText xml:space="preserve"> PAGEREF _Toc241088701 \h </w:instrText>
            </w:r>
            <w:r>
              <w:rPr>
                <w:webHidden/>
              </w:rPr>
            </w:r>
            <w:r>
              <w:rPr>
                <w:webHidden/>
              </w:rPr>
              <w:fldChar w:fldCharType="separate"/>
            </w:r>
            <w:r>
              <w:rPr>
                <w:webHidden/>
              </w:rPr>
              <w:t>4</w:t>
            </w:r>
            <w:r>
              <w:rPr>
                <w:webHidden/>
              </w:rPr>
              <w:fldChar w:fldCharType="end"/>
            </w:r>
          </w:hyperlink>
        </w:p>
        <w:p w14:paraId="4619D5F5" w14:textId="792CA82D"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02" w:history="1">
            <w:r w:rsidRPr="00A8744B">
              <w:rPr>
                <w:rStyle w:val="Hyperlink"/>
              </w:rPr>
              <w:t>3</w:t>
            </w:r>
            <w:r>
              <w:rPr>
                <w:rFonts w:asciiTheme="minorHAnsi" w:eastAsiaTheme="minorEastAsia" w:hAnsiTheme="minorHAnsi"/>
                <w:b w:val="0"/>
                <w:color w:val="auto"/>
                <w:kern w:val="2"/>
                <w:sz w:val="24"/>
                <w:szCs w:val="24"/>
                <w:lang w:eastAsia="en-AU"/>
                <w14:ligatures w14:val="standardContextual"/>
              </w:rPr>
              <w:tab/>
            </w:r>
            <w:r w:rsidRPr="00A8744B">
              <w:rPr>
                <w:rStyle w:val="Hyperlink"/>
              </w:rPr>
              <w:t>Paired Generation Services</w:t>
            </w:r>
            <w:r>
              <w:rPr>
                <w:webHidden/>
              </w:rPr>
              <w:tab/>
            </w:r>
            <w:r>
              <w:rPr>
                <w:webHidden/>
              </w:rPr>
              <w:fldChar w:fldCharType="begin"/>
            </w:r>
            <w:r>
              <w:rPr>
                <w:webHidden/>
              </w:rPr>
              <w:instrText xml:space="preserve"> PAGEREF _Toc241088702 \h </w:instrText>
            </w:r>
            <w:r>
              <w:rPr>
                <w:webHidden/>
              </w:rPr>
            </w:r>
            <w:r>
              <w:rPr>
                <w:webHidden/>
              </w:rPr>
              <w:fldChar w:fldCharType="separate"/>
            </w:r>
            <w:r>
              <w:rPr>
                <w:webHidden/>
              </w:rPr>
              <w:t>6</w:t>
            </w:r>
            <w:r>
              <w:rPr>
                <w:webHidden/>
              </w:rPr>
              <w:fldChar w:fldCharType="end"/>
            </w:r>
          </w:hyperlink>
        </w:p>
        <w:p w14:paraId="6831E075" w14:textId="51C835EB"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04" w:history="1">
            <w:r w:rsidRPr="00A8744B">
              <w:rPr>
                <w:rStyle w:val="Hyperlink"/>
              </w:rPr>
              <w:t>4</w:t>
            </w:r>
            <w:r>
              <w:rPr>
                <w:rFonts w:asciiTheme="minorHAnsi" w:eastAsiaTheme="minorEastAsia" w:hAnsiTheme="minorHAnsi"/>
                <w:b w:val="0"/>
                <w:color w:val="auto"/>
                <w:kern w:val="2"/>
                <w:sz w:val="24"/>
                <w:szCs w:val="24"/>
                <w:lang w:eastAsia="en-AU"/>
                <w14:ligatures w14:val="standardContextual"/>
              </w:rPr>
              <w:tab/>
            </w:r>
            <w:r w:rsidRPr="00A8744B">
              <w:rPr>
                <w:rStyle w:val="Hyperlink"/>
              </w:rPr>
              <w:t>SIPS Battery Service</w:t>
            </w:r>
            <w:r>
              <w:rPr>
                <w:webHidden/>
              </w:rPr>
              <w:tab/>
            </w:r>
            <w:r>
              <w:rPr>
                <w:webHidden/>
              </w:rPr>
              <w:fldChar w:fldCharType="begin"/>
            </w:r>
            <w:r>
              <w:rPr>
                <w:webHidden/>
              </w:rPr>
              <w:instrText xml:space="preserve"> PAGEREF _Toc241088704 \h </w:instrText>
            </w:r>
            <w:r>
              <w:rPr>
                <w:webHidden/>
              </w:rPr>
            </w:r>
            <w:r>
              <w:rPr>
                <w:webHidden/>
              </w:rPr>
              <w:fldChar w:fldCharType="separate"/>
            </w:r>
            <w:r>
              <w:rPr>
                <w:webHidden/>
              </w:rPr>
              <w:t>7</w:t>
            </w:r>
            <w:r>
              <w:rPr>
                <w:webHidden/>
              </w:rPr>
              <w:fldChar w:fldCharType="end"/>
            </w:r>
          </w:hyperlink>
        </w:p>
        <w:p w14:paraId="5C7CDB25" w14:textId="31ADED66"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05" w:history="1">
            <w:r w:rsidRPr="00A8744B">
              <w:rPr>
                <w:rStyle w:val="Hyperlink"/>
              </w:rPr>
              <w:t>5</w:t>
            </w:r>
            <w:r>
              <w:rPr>
                <w:rFonts w:asciiTheme="minorHAnsi" w:eastAsiaTheme="minorEastAsia" w:hAnsiTheme="minorHAnsi"/>
                <w:b w:val="0"/>
                <w:color w:val="auto"/>
                <w:kern w:val="2"/>
                <w:sz w:val="24"/>
                <w:szCs w:val="24"/>
                <w:lang w:eastAsia="en-AU"/>
                <w14:ligatures w14:val="standardContextual"/>
              </w:rPr>
              <w:tab/>
            </w:r>
            <w:r w:rsidRPr="00A8744B">
              <w:rPr>
                <w:rStyle w:val="Hyperlink"/>
              </w:rPr>
              <w:t>Redetermination proposal</w:t>
            </w:r>
            <w:r>
              <w:rPr>
                <w:webHidden/>
              </w:rPr>
              <w:tab/>
            </w:r>
            <w:r>
              <w:rPr>
                <w:webHidden/>
              </w:rPr>
              <w:fldChar w:fldCharType="begin"/>
            </w:r>
            <w:r>
              <w:rPr>
                <w:webHidden/>
              </w:rPr>
              <w:instrText xml:space="preserve"> PAGEREF _Toc241088705 \h </w:instrText>
            </w:r>
            <w:r>
              <w:rPr>
                <w:webHidden/>
              </w:rPr>
            </w:r>
            <w:r>
              <w:rPr>
                <w:webHidden/>
              </w:rPr>
              <w:fldChar w:fldCharType="separate"/>
            </w:r>
            <w:r>
              <w:rPr>
                <w:webHidden/>
              </w:rPr>
              <w:t>8</w:t>
            </w:r>
            <w:r>
              <w:rPr>
                <w:webHidden/>
              </w:rPr>
              <w:fldChar w:fldCharType="end"/>
            </w:r>
          </w:hyperlink>
        </w:p>
        <w:p w14:paraId="3CEFF0D6" w14:textId="5B2FD210"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06" w:history="1">
            <w:r w:rsidRPr="00A8744B">
              <w:rPr>
                <w:rStyle w:val="Hyperlink"/>
              </w:rPr>
              <w:t>6</w:t>
            </w:r>
            <w:r>
              <w:rPr>
                <w:rFonts w:asciiTheme="minorHAnsi" w:eastAsiaTheme="minorEastAsia" w:hAnsiTheme="minorHAnsi"/>
                <w:b w:val="0"/>
                <w:color w:val="auto"/>
                <w:kern w:val="2"/>
                <w:sz w:val="24"/>
                <w:szCs w:val="24"/>
                <w:lang w:eastAsia="en-AU"/>
                <w14:ligatures w14:val="standardContextual"/>
              </w:rPr>
              <w:tab/>
            </w:r>
            <w:r w:rsidRPr="00A8744B">
              <w:rPr>
                <w:rStyle w:val="Hyperlink"/>
              </w:rPr>
              <w:t>Total revenue and schedule of payments</w:t>
            </w:r>
            <w:r>
              <w:rPr>
                <w:webHidden/>
              </w:rPr>
              <w:tab/>
            </w:r>
            <w:r>
              <w:rPr>
                <w:webHidden/>
              </w:rPr>
              <w:fldChar w:fldCharType="begin"/>
            </w:r>
            <w:r>
              <w:rPr>
                <w:webHidden/>
              </w:rPr>
              <w:instrText xml:space="preserve"> PAGEREF _Toc241088706 \h </w:instrText>
            </w:r>
            <w:r>
              <w:rPr>
                <w:webHidden/>
              </w:rPr>
            </w:r>
            <w:r>
              <w:rPr>
                <w:webHidden/>
              </w:rPr>
              <w:fldChar w:fldCharType="separate"/>
            </w:r>
            <w:r>
              <w:rPr>
                <w:webHidden/>
              </w:rPr>
              <w:t>9</w:t>
            </w:r>
            <w:r>
              <w:rPr>
                <w:webHidden/>
              </w:rPr>
              <w:fldChar w:fldCharType="end"/>
            </w:r>
          </w:hyperlink>
        </w:p>
        <w:p w14:paraId="5BF705C7" w14:textId="4BDE2C74" w:rsidR="00163C47" w:rsidRDefault="00163C47">
          <w:pPr>
            <w:pStyle w:val="TOC2"/>
            <w:tabs>
              <w:tab w:val="left" w:pos="1200"/>
            </w:tabs>
            <w:rPr>
              <w:rFonts w:asciiTheme="minorHAnsi" w:eastAsiaTheme="minorEastAsia" w:hAnsiTheme="minorHAnsi"/>
              <w:color w:val="auto"/>
              <w:kern w:val="2"/>
              <w:sz w:val="24"/>
              <w:szCs w:val="24"/>
              <w:lang w:eastAsia="en-AU"/>
              <w14:ligatures w14:val="standardContextual"/>
            </w:rPr>
          </w:pPr>
          <w:hyperlink w:anchor="_Toc241088707" w:history="1">
            <w:r w:rsidRPr="00A8744B">
              <w:rPr>
                <w:rStyle w:val="Hyperlink"/>
                <w:lang w:eastAsia="ja-JP"/>
              </w:rPr>
              <w:t>6.1</w:t>
            </w:r>
            <w:r>
              <w:rPr>
                <w:rFonts w:asciiTheme="minorHAnsi" w:eastAsiaTheme="minorEastAsia" w:hAnsiTheme="minorHAnsi"/>
                <w:color w:val="auto"/>
                <w:kern w:val="2"/>
                <w:sz w:val="24"/>
                <w:szCs w:val="24"/>
                <w:lang w:eastAsia="en-AU"/>
                <w14:ligatures w14:val="standardContextual"/>
              </w:rPr>
              <w:tab/>
            </w:r>
            <w:r w:rsidRPr="00A8744B">
              <w:rPr>
                <w:rStyle w:val="Hyperlink"/>
                <w:lang w:eastAsia="ja-JP"/>
              </w:rPr>
              <w:t>Paired Generation Services</w:t>
            </w:r>
            <w:r>
              <w:rPr>
                <w:webHidden/>
              </w:rPr>
              <w:tab/>
            </w:r>
            <w:r>
              <w:rPr>
                <w:webHidden/>
              </w:rPr>
              <w:fldChar w:fldCharType="begin"/>
            </w:r>
            <w:r>
              <w:rPr>
                <w:webHidden/>
              </w:rPr>
              <w:instrText xml:space="preserve"> PAGEREF _Toc241088707 \h </w:instrText>
            </w:r>
            <w:r>
              <w:rPr>
                <w:webHidden/>
              </w:rPr>
            </w:r>
            <w:r>
              <w:rPr>
                <w:webHidden/>
              </w:rPr>
              <w:fldChar w:fldCharType="separate"/>
            </w:r>
            <w:r>
              <w:rPr>
                <w:webHidden/>
              </w:rPr>
              <w:t>9</w:t>
            </w:r>
            <w:r>
              <w:rPr>
                <w:webHidden/>
              </w:rPr>
              <w:fldChar w:fldCharType="end"/>
            </w:r>
          </w:hyperlink>
        </w:p>
        <w:p w14:paraId="2EA57A70" w14:textId="600FD082" w:rsidR="00163C47" w:rsidRDefault="00163C47">
          <w:pPr>
            <w:pStyle w:val="TOC2"/>
            <w:tabs>
              <w:tab w:val="left" w:pos="1200"/>
            </w:tabs>
            <w:rPr>
              <w:rFonts w:asciiTheme="minorHAnsi" w:eastAsiaTheme="minorEastAsia" w:hAnsiTheme="minorHAnsi"/>
              <w:color w:val="auto"/>
              <w:kern w:val="2"/>
              <w:sz w:val="24"/>
              <w:szCs w:val="24"/>
              <w:lang w:eastAsia="en-AU"/>
              <w14:ligatures w14:val="standardContextual"/>
            </w:rPr>
          </w:pPr>
          <w:hyperlink w:anchor="_Toc241088708" w:history="1">
            <w:r w:rsidRPr="00A8744B">
              <w:rPr>
                <w:rStyle w:val="Hyperlink"/>
                <w:lang w:eastAsia="ja-JP"/>
              </w:rPr>
              <w:t>6.2</w:t>
            </w:r>
            <w:r>
              <w:rPr>
                <w:rFonts w:asciiTheme="minorHAnsi" w:eastAsiaTheme="minorEastAsia" w:hAnsiTheme="minorHAnsi"/>
                <w:color w:val="auto"/>
                <w:kern w:val="2"/>
                <w:sz w:val="24"/>
                <w:szCs w:val="24"/>
                <w:lang w:eastAsia="en-AU"/>
                <w14:ligatures w14:val="standardContextual"/>
              </w:rPr>
              <w:tab/>
            </w:r>
            <w:r w:rsidRPr="00A8744B">
              <w:rPr>
                <w:rStyle w:val="Hyperlink"/>
                <w:lang w:eastAsia="ja-JP"/>
              </w:rPr>
              <w:t>SIPS Battery Service</w:t>
            </w:r>
            <w:r>
              <w:rPr>
                <w:webHidden/>
              </w:rPr>
              <w:tab/>
            </w:r>
            <w:r>
              <w:rPr>
                <w:webHidden/>
              </w:rPr>
              <w:fldChar w:fldCharType="begin"/>
            </w:r>
            <w:r>
              <w:rPr>
                <w:webHidden/>
              </w:rPr>
              <w:instrText xml:space="preserve"> PAGEREF _Toc241088708 \h </w:instrText>
            </w:r>
            <w:r>
              <w:rPr>
                <w:webHidden/>
              </w:rPr>
            </w:r>
            <w:r>
              <w:rPr>
                <w:webHidden/>
              </w:rPr>
              <w:fldChar w:fldCharType="separate"/>
            </w:r>
            <w:r>
              <w:rPr>
                <w:webHidden/>
              </w:rPr>
              <w:t>10</w:t>
            </w:r>
            <w:r>
              <w:rPr>
                <w:webHidden/>
              </w:rPr>
              <w:fldChar w:fldCharType="end"/>
            </w:r>
          </w:hyperlink>
        </w:p>
        <w:p w14:paraId="1D56D7AE" w14:textId="0B04D340"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09" w:history="1">
            <w:r w:rsidRPr="00A8744B">
              <w:rPr>
                <w:rStyle w:val="Hyperlink"/>
              </w:rPr>
              <w:t>7</w:t>
            </w:r>
            <w:r>
              <w:rPr>
                <w:rFonts w:asciiTheme="minorHAnsi" w:eastAsiaTheme="minorEastAsia" w:hAnsiTheme="minorHAnsi"/>
                <w:b w:val="0"/>
                <w:color w:val="auto"/>
                <w:kern w:val="2"/>
                <w:sz w:val="24"/>
                <w:szCs w:val="24"/>
                <w:lang w:eastAsia="en-AU"/>
                <w14:ligatures w14:val="standardContextual"/>
              </w:rPr>
              <w:tab/>
            </w:r>
            <w:r w:rsidRPr="00A8744B">
              <w:rPr>
                <w:rStyle w:val="Hyperlink"/>
              </w:rPr>
              <w:t>Revenue adjustments</w:t>
            </w:r>
            <w:r>
              <w:rPr>
                <w:webHidden/>
              </w:rPr>
              <w:tab/>
            </w:r>
            <w:r>
              <w:rPr>
                <w:webHidden/>
              </w:rPr>
              <w:fldChar w:fldCharType="begin"/>
            </w:r>
            <w:r>
              <w:rPr>
                <w:webHidden/>
              </w:rPr>
              <w:instrText xml:space="preserve"> PAGEREF _Toc241088709 \h </w:instrText>
            </w:r>
            <w:r>
              <w:rPr>
                <w:webHidden/>
              </w:rPr>
            </w:r>
            <w:r>
              <w:rPr>
                <w:webHidden/>
              </w:rPr>
              <w:fldChar w:fldCharType="separate"/>
            </w:r>
            <w:r>
              <w:rPr>
                <w:webHidden/>
              </w:rPr>
              <w:t>13</w:t>
            </w:r>
            <w:r>
              <w:rPr>
                <w:webHidden/>
              </w:rPr>
              <w:fldChar w:fldCharType="end"/>
            </w:r>
          </w:hyperlink>
        </w:p>
        <w:p w14:paraId="279D0282" w14:textId="62BD5609" w:rsidR="00163C47" w:rsidRDefault="00163C47">
          <w:pPr>
            <w:pStyle w:val="TOC2"/>
            <w:tabs>
              <w:tab w:val="left" w:pos="1200"/>
            </w:tabs>
            <w:rPr>
              <w:rFonts w:asciiTheme="minorHAnsi" w:eastAsiaTheme="minorEastAsia" w:hAnsiTheme="minorHAnsi"/>
              <w:color w:val="auto"/>
              <w:kern w:val="2"/>
              <w:sz w:val="24"/>
              <w:szCs w:val="24"/>
              <w:lang w:eastAsia="en-AU"/>
              <w14:ligatures w14:val="standardContextual"/>
            </w:rPr>
          </w:pPr>
          <w:hyperlink w:anchor="_Toc241088710" w:history="1">
            <w:r w:rsidRPr="00A8744B">
              <w:rPr>
                <w:rStyle w:val="Hyperlink"/>
                <w:lang w:eastAsia="ja-JP"/>
              </w:rPr>
              <w:t>7.1</w:t>
            </w:r>
            <w:r>
              <w:rPr>
                <w:rFonts w:asciiTheme="minorHAnsi" w:eastAsiaTheme="minorEastAsia" w:hAnsiTheme="minorHAnsi"/>
                <w:color w:val="auto"/>
                <w:kern w:val="2"/>
                <w:sz w:val="24"/>
                <w:szCs w:val="24"/>
                <w:lang w:eastAsia="en-AU"/>
                <w14:ligatures w14:val="standardContextual"/>
              </w:rPr>
              <w:tab/>
            </w:r>
            <w:r w:rsidRPr="00A8744B">
              <w:rPr>
                <w:rStyle w:val="Hyperlink"/>
                <w:lang w:eastAsia="ja-JP"/>
              </w:rPr>
              <w:t>Paired Generation Services</w:t>
            </w:r>
            <w:r>
              <w:rPr>
                <w:webHidden/>
              </w:rPr>
              <w:tab/>
            </w:r>
            <w:r>
              <w:rPr>
                <w:webHidden/>
              </w:rPr>
              <w:fldChar w:fldCharType="begin"/>
            </w:r>
            <w:r>
              <w:rPr>
                <w:webHidden/>
              </w:rPr>
              <w:instrText xml:space="preserve"> PAGEREF _Toc241088710 \h </w:instrText>
            </w:r>
            <w:r>
              <w:rPr>
                <w:webHidden/>
              </w:rPr>
            </w:r>
            <w:r>
              <w:rPr>
                <w:webHidden/>
              </w:rPr>
              <w:fldChar w:fldCharType="separate"/>
            </w:r>
            <w:r>
              <w:rPr>
                <w:webHidden/>
              </w:rPr>
              <w:t>13</w:t>
            </w:r>
            <w:r>
              <w:rPr>
                <w:webHidden/>
              </w:rPr>
              <w:fldChar w:fldCharType="end"/>
            </w:r>
          </w:hyperlink>
        </w:p>
        <w:p w14:paraId="4D75F5F7" w14:textId="08479EED" w:rsidR="00163C47" w:rsidRDefault="00163C47">
          <w:pPr>
            <w:pStyle w:val="TOC2"/>
            <w:tabs>
              <w:tab w:val="left" w:pos="1200"/>
            </w:tabs>
            <w:rPr>
              <w:rFonts w:asciiTheme="minorHAnsi" w:eastAsiaTheme="minorEastAsia" w:hAnsiTheme="minorHAnsi"/>
              <w:color w:val="auto"/>
              <w:kern w:val="2"/>
              <w:sz w:val="24"/>
              <w:szCs w:val="24"/>
              <w:lang w:eastAsia="en-AU"/>
              <w14:ligatures w14:val="standardContextual"/>
            </w:rPr>
          </w:pPr>
          <w:hyperlink w:anchor="_Toc241088711" w:history="1">
            <w:r w:rsidRPr="00A8744B">
              <w:rPr>
                <w:rStyle w:val="Hyperlink"/>
                <w:lang w:eastAsia="ja-JP"/>
              </w:rPr>
              <w:t>7.2</w:t>
            </w:r>
            <w:r>
              <w:rPr>
                <w:rFonts w:asciiTheme="minorHAnsi" w:eastAsiaTheme="minorEastAsia" w:hAnsiTheme="minorHAnsi"/>
                <w:color w:val="auto"/>
                <w:kern w:val="2"/>
                <w:sz w:val="24"/>
                <w:szCs w:val="24"/>
                <w:lang w:eastAsia="en-AU"/>
                <w14:ligatures w14:val="standardContextual"/>
              </w:rPr>
              <w:tab/>
            </w:r>
            <w:r w:rsidRPr="00A8744B">
              <w:rPr>
                <w:rStyle w:val="Hyperlink"/>
                <w:lang w:eastAsia="ja-JP"/>
              </w:rPr>
              <w:t>SIPS Battery Services</w:t>
            </w:r>
            <w:r>
              <w:rPr>
                <w:webHidden/>
              </w:rPr>
              <w:tab/>
            </w:r>
            <w:r>
              <w:rPr>
                <w:webHidden/>
              </w:rPr>
              <w:fldChar w:fldCharType="begin"/>
            </w:r>
            <w:r>
              <w:rPr>
                <w:webHidden/>
              </w:rPr>
              <w:instrText xml:space="preserve"> PAGEREF _Toc241088711 \h </w:instrText>
            </w:r>
            <w:r>
              <w:rPr>
                <w:webHidden/>
              </w:rPr>
            </w:r>
            <w:r>
              <w:rPr>
                <w:webHidden/>
              </w:rPr>
              <w:fldChar w:fldCharType="separate"/>
            </w:r>
            <w:r>
              <w:rPr>
                <w:webHidden/>
              </w:rPr>
              <w:t>15</w:t>
            </w:r>
            <w:r>
              <w:rPr>
                <w:webHidden/>
              </w:rPr>
              <w:fldChar w:fldCharType="end"/>
            </w:r>
          </w:hyperlink>
        </w:p>
        <w:p w14:paraId="4169DC2C" w14:textId="68B43F6A" w:rsidR="00163C47" w:rsidRDefault="00163C47">
          <w:pPr>
            <w:pStyle w:val="TOC1"/>
            <w:rPr>
              <w:rFonts w:asciiTheme="minorHAnsi" w:eastAsiaTheme="minorEastAsia" w:hAnsiTheme="minorHAnsi"/>
              <w:b w:val="0"/>
              <w:color w:val="auto"/>
              <w:kern w:val="2"/>
              <w:sz w:val="24"/>
              <w:szCs w:val="24"/>
              <w:lang w:eastAsia="en-AU"/>
              <w14:ligatures w14:val="standardContextual"/>
            </w:rPr>
          </w:pPr>
          <w:hyperlink w:anchor="_Toc241088712" w:history="1">
            <w:r w:rsidRPr="00A8744B">
              <w:rPr>
                <w:rStyle w:val="Hyperlink"/>
              </w:rPr>
              <w:t>Glossary</w:t>
            </w:r>
            <w:r>
              <w:rPr>
                <w:webHidden/>
              </w:rPr>
              <w:tab/>
            </w:r>
            <w:r>
              <w:rPr>
                <w:webHidden/>
              </w:rPr>
              <w:fldChar w:fldCharType="begin"/>
            </w:r>
            <w:r>
              <w:rPr>
                <w:webHidden/>
              </w:rPr>
              <w:instrText xml:space="preserve"> PAGEREF _Toc241088712 \h </w:instrText>
            </w:r>
            <w:r>
              <w:rPr>
                <w:webHidden/>
              </w:rPr>
            </w:r>
            <w:r>
              <w:rPr>
                <w:webHidden/>
              </w:rPr>
              <w:fldChar w:fldCharType="separate"/>
            </w:r>
            <w:r>
              <w:rPr>
                <w:webHidden/>
              </w:rPr>
              <w:t>18</w:t>
            </w:r>
            <w:r>
              <w:rPr>
                <w:webHidden/>
              </w:rPr>
              <w:fldChar w:fldCharType="end"/>
            </w:r>
          </w:hyperlink>
        </w:p>
        <w:p w14:paraId="1B301581" w14:textId="4F12AD84" w:rsidR="00764D6A" w:rsidRDefault="00E91D72">
          <w:r>
            <w:rPr>
              <w:b/>
              <w:noProof/>
            </w:rPr>
            <w:fldChar w:fldCharType="end"/>
          </w:r>
        </w:p>
      </w:sdtContent>
    </w:sdt>
    <w:p w14:paraId="3BC66DEA" w14:textId="77777777" w:rsidR="001369A6" w:rsidRDefault="001369A6"/>
    <w:p w14:paraId="467379A8" w14:textId="77777777" w:rsidR="00764D6A" w:rsidRDefault="00764D6A">
      <w:pPr>
        <w:sectPr w:rsidR="00764D6A" w:rsidSect="00E20092">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709" w:left="1418" w:header="567" w:footer="567" w:gutter="0"/>
          <w:pgNumType w:fmt="lowerRoman" w:start="1"/>
          <w:cols w:space="708"/>
          <w:titlePg/>
          <w:docGrid w:linePitch="360"/>
        </w:sectPr>
      </w:pPr>
    </w:p>
    <w:p w14:paraId="570EFF17" w14:textId="303A260D" w:rsidR="00764D6A" w:rsidRDefault="0051302A">
      <w:pPr>
        <w:pStyle w:val="Heading2"/>
      </w:pPr>
      <w:bookmarkStart w:id="1" w:name="_Toc241088700"/>
      <w:r>
        <w:lastRenderedPageBreak/>
        <w:t>Overview</w:t>
      </w:r>
      <w:bookmarkEnd w:id="1"/>
    </w:p>
    <w:p w14:paraId="2B4AD5A0" w14:textId="6C99D264" w:rsidR="00B837B8" w:rsidRDefault="0051302A" w:rsidP="006476A9">
      <w:pPr>
        <w:pStyle w:val="Heading4"/>
        <w:numPr>
          <w:ilvl w:val="0"/>
          <w:numId w:val="0"/>
        </w:numPr>
        <w:ind w:left="720" w:hanging="720"/>
        <w:rPr>
          <w:lang w:eastAsia="ja-JP"/>
        </w:rPr>
      </w:pPr>
      <w:r>
        <w:rPr>
          <w:lang w:eastAsia="ja-JP"/>
        </w:rPr>
        <w:t>Waratah Super Battery Project</w:t>
      </w:r>
    </w:p>
    <w:p w14:paraId="30EFCA45" w14:textId="5A5B6E0B" w:rsidR="0051302A" w:rsidRDefault="0051302A" w:rsidP="0051302A">
      <w:pPr>
        <w:spacing w:before="240" w:after="120"/>
      </w:pPr>
      <w:r>
        <w:rPr>
          <w:lang w:eastAsia="ja-JP"/>
        </w:rPr>
        <w:t>On 14 October 2022, the NSW Minister for Energy (Minister) directed Transgrid as the Network Operator to carry out the Waratah Super Battery (WSB) project.</w:t>
      </w:r>
      <w:r>
        <w:rPr>
          <w:rStyle w:val="FootnoteReference"/>
          <w:lang w:eastAsia="ja-JP"/>
        </w:rPr>
        <w:footnoteReference w:id="2"/>
      </w:r>
      <w:r>
        <w:rPr>
          <w:lang w:eastAsia="ja-JP"/>
        </w:rPr>
        <w:t xml:space="preserve"> </w:t>
      </w:r>
      <w:r>
        <w:t>The WSB project comprises the following components:</w:t>
      </w:r>
    </w:p>
    <w:p w14:paraId="7A2F8AF6" w14:textId="71B58456" w:rsidR="0051302A" w:rsidRPr="0053303F" w:rsidRDefault="0051302A" w:rsidP="0051302A">
      <w:pPr>
        <w:pStyle w:val="ListNumber"/>
        <w:rPr>
          <w:color w:val="000000" w:themeColor="text1"/>
        </w:rPr>
      </w:pPr>
      <w:r w:rsidRPr="0053303F">
        <w:rPr>
          <w:color w:val="000000" w:themeColor="text1"/>
        </w:rPr>
        <w:t xml:space="preserve">A </w:t>
      </w:r>
      <w:r w:rsidR="00163C47" w:rsidRPr="0053303F">
        <w:rPr>
          <w:color w:val="000000" w:themeColor="text1"/>
        </w:rPr>
        <w:t xml:space="preserve">System Integrity Protection Scheme </w:t>
      </w:r>
      <w:r w:rsidR="00163C47">
        <w:rPr>
          <w:color w:val="000000" w:themeColor="text1"/>
        </w:rPr>
        <w:t>(</w:t>
      </w:r>
      <w:r w:rsidRPr="0053303F">
        <w:rPr>
          <w:color w:val="000000" w:themeColor="text1"/>
        </w:rPr>
        <w:t>SIPS</w:t>
      </w:r>
      <w:r w:rsidR="00163C47">
        <w:rPr>
          <w:color w:val="000000" w:themeColor="text1"/>
        </w:rPr>
        <w:t>)</w:t>
      </w:r>
      <w:r w:rsidRPr="0053303F">
        <w:rPr>
          <w:color w:val="000000" w:themeColor="text1"/>
        </w:rPr>
        <w:t xml:space="preserve"> </w:t>
      </w:r>
      <w:r>
        <w:rPr>
          <w:color w:val="000000" w:themeColor="text1"/>
        </w:rPr>
        <w:t xml:space="preserve">Battery </w:t>
      </w:r>
      <w:r w:rsidRPr="0053303F">
        <w:rPr>
          <w:color w:val="000000" w:themeColor="text1"/>
        </w:rPr>
        <w:t xml:space="preserve">Service with </w:t>
      </w:r>
      <w:r>
        <w:rPr>
          <w:color w:val="000000" w:themeColor="text1"/>
        </w:rPr>
        <w:t xml:space="preserve">a </w:t>
      </w:r>
      <w:r w:rsidRPr="0053303F">
        <w:rPr>
          <w:color w:val="000000" w:themeColor="text1"/>
        </w:rPr>
        <w:t xml:space="preserve">minimum capacity of 700 </w:t>
      </w:r>
      <w:r>
        <w:rPr>
          <w:color w:val="000000" w:themeColor="text1"/>
        </w:rPr>
        <w:t>megawatts (MW)</w:t>
      </w:r>
      <w:r w:rsidR="00D215FF">
        <w:rPr>
          <w:color w:val="000000" w:themeColor="text1"/>
        </w:rPr>
        <w:t xml:space="preserve"> </w:t>
      </w:r>
      <w:r w:rsidRPr="0053303F">
        <w:rPr>
          <w:color w:val="000000" w:themeColor="text1"/>
        </w:rPr>
        <w:t>/</w:t>
      </w:r>
      <w:r w:rsidR="00D215FF">
        <w:rPr>
          <w:color w:val="000000" w:themeColor="text1"/>
        </w:rPr>
        <w:t xml:space="preserve"> </w:t>
      </w:r>
      <w:r w:rsidRPr="0053303F">
        <w:rPr>
          <w:color w:val="000000" w:themeColor="text1"/>
        </w:rPr>
        <w:t>1,</w:t>
      </w:r>
      <w:r w:rsidR="00D215FF" w:rsidRPr="0053303F">
        <w:rPr>
          <w:color w:val="000000" w:themeColor="text1"/>
        </w:rPr>
        <w:t>400</w:t>
      </w:r>
      <w:r w:rsidR="00D215FF">
        <w:rPr>
          <w:color w:val="000000" w:themeColor="text1"/>
        </w:rPr>
        <w:t> </w:t>
      </w:r>
      <w:r>
        <w:rPr>
          <w:color w:val="000000" w:themeColor="text1"/>
        </w:rPr>
        <w:t>megawatt hours (</w:t>
      </w:r>
      <w:r w:rsidRPr="0053303F">
        <w:rPr>
          <w:color w:val="000000" w:themeColor="text1"/>
        </w:rPr>
        <w:t>MWh</w:t>
      </w:r>
      <w:r>
        <w:rPr>
          <w:color w:val="000000" w:themeColor="text1"/>
        </w:rPr>
        <w:t>)</w:t>
      </w:r>
      <w:r w:rsidRPr="0053303F">
        <w:rPr>
          <w:color w:val="000000" w:themeColor="text1"/>
        </w:rPr>
        <w:t xml:space="preserve"> (undertaken by a service provider competitively procured by EnergyCo).</w:t>
      </w:r>
      <w:r w:rsidRPr="00043496">
        <w:rPr>
          <w:color w:val="000000" w:themeColor="text1"/>
          <w:vertAlign w:val="superscript"/>
        </w:rPr>
        <w:t xml:space="preserve"> </w:t>
      </w:r>
      <w:r w:rsidRPr="0053303F">
        <w:rPr>
          <w:color w:val="000000" w:themeColor="text1"/>
          <w:vertAlign w:val="superscript"/>
        </w:rPr>
        <w:footnoteReference w:id="3"/>
      </w:r>
      <w:r w:rsidRPr="0053303F">
        <w:rPr>
          <w:color w:val="000000" w:themeColor="text1"/>
        </w:rPr>
        <w:t xml:space="preserve"> </w:t>
      </w:r>
    </w:p>
    <w:p w14:paraId="0CF2EDAA" w14:textId="3EB63BA0" w:rsidR="0051302A" w:rsidRDefault="0051302A" w:rsidP="0051302A">
      <w:pPr>
        <w:pStyle w:val="ListNumber"/>
        <w:rPr>
          <w:color w:val="000000" w:themeColor="text1"/>
        </w:rPr>
      </w:pPr>
      <w:r w:rsidRPr="0053303F">
        <w:rPr>
          <w:color w:val="000000" w:themeColor="text1"/>
        </w:rPr>
        <w:t>Paired Generation Services (</w:t>
      </w:r>
      <w:r w:rsidR="004B3616">
        <w:rPr>
          <w:color w:val="000000" w:themeColor="text1"/>
        </w:rPr>
        <w:t xml:space="preserve">provided by </w:t>
      </w:r>
      <w:r w:rsidRPr="0053303F">
        <w:rPr>
          <w:color w:val="000000" w:themeColor="text1"/>
        </w:rPr>
        <w:t>a portfolio of generators competitively procured by EnergyCo).</w:t>
      </w:r>
    </w:p>
    <w:p w14:paraId="5E94549E" w14:textId="6C52C564" w:rsidR="0051302A" w:rsidRPr="0053303F" w:rsidRDefault="004B4188" w:rsidP="0051302A">
      <w:pPr>
        <w:pStyle w:val="ListNumber"/>
        <w:rPr>
          <w:color w:val="000000" w:themeColor="text1"/>
        </w:rPr>
      </w:pPr>
      <w:r>
        <w:rPr>
          <w:color w:val="000000" w:themeColor="text1"/>
        </w:rPr>
        <w:t>A</w:t>
      </w:r>
      <w:r w:rsidR="0051302A" w:rsidRPr="0053303F">
        <w:rPr>
          <w:color w:val="000000" w:themeColor="text1"/>
        </w:rPr>
        <w:t xml:space="preserve">ugmentations </w:t>
      </w:r>
      <w:r w:rsidR="0051302A">
        <w:rPr>
          <w:color w:val="000000" w:themeColor="text1"/>
        </w:rPr>
        <w:t xml:space="preserve">to existing transmission network lines and substation equipment </w:t>
      </w:r>
      <w:r w:rsidR="0051302A" w:rsidRPr="0053303F">
        <w:rPr>
          <w:color w:val="000000" w:themeColor="text1"/>
        </w:rPr>
        <w:t>(undertaken by Transgrid).</w:t>
      </w:r>
    </w:p>
    <w:p w14:paraId="7B7F24A3" w14:textId="10CB4649" w:rsidR="0051302A" w:rsidRDefault="0051302A" w:rsidP="0051302A">
      <w:pPr>
        <w:pStyle w:val="ListNumber"/>
        <w:rPr>
          <w:color w:val="000000" w:themeColor="text1"/>
        </w:rPr>
      </w:pPr>
      <w:r>
        <w:rPr>
          <w:color w:val="000000" w:themeColor="text1"/>
        </w:rPr>
        <w:t>A SIPS control and communications system</w:t>
      </w:r>
      <w:r w:rsidRPr="0053303F">
        <w:rPr>
          <w:color w:val="000000" w:themeColor="text1"/>
        </w:rPr>
        <w:t xml:space="preserve"> (developed and operated by Transgrid).</w:t>
      </w:r>
    </w:p>
    <w:p w14:paraId="233F07BB" w14:textId="216BC7FD" w:rsidR="002657AF" w:rsidRPr="00DB1054" w:rsidRDefault="002657AF" w:rsidP="002657AF">
      <w:pPr>
        <w:pStyle w:val="ListNumber"/>
        <w:numPr>
          <w:ilvl w:val="0"/>
          <w:numId w:val="0"/>
        </w:numPr>
        <w:rPr>
          <w:color w:val="000000" w:themeColor="text1"/>
        </w:rPr>
      </w:pPr>
      <w:r>
        <w:t xml:space="preserve">The WSB project </w:t>
      </w:r>
      <w:r w:rsidR="00163C47">
        <w:t xml:space="preserve">is designed to maintain </w:t>
      </w:r>
      <w:r>
        <w:t>network stability</w:t>
      </w:r>
      <w:r w:rsidR="004B3616">
        <w:t>,</w:t>
      </w:r>
      <w:r>
        <w:t xml:space="preserve"> acting as a shock absorber in the event of power surges</w:t>
      </w:r>
      <w:r w:rsidRPr="008379D8">
        <w:t xml:space="preserve"> </w:t>
      </w:r>
      <w:r w:rsidR="004B3616">
        <w:t xml:space="preserve">by </w:t>
      </w:r>
      <w:r>
        <w:t xml:space="preserve">providing the </w:t>
      </w:r>
      <w:r w:rsidRPr="0053303F">
        <w:rPr>
          <w:color w:val="000000" w:themeColor="text1"/>
        </w:rPr>
        <w:t>SIPS</w:t>
      </w:r>
      <w:r>
        <w:rPr>
          <w:color w:val="000000" w:themeColor="text1"/>
        </w:rPr>
        <w:t xml:space="preserve"> services</w:t>
      </w:r>
      <w:r w:rsidR="00B66292">
        <w:t xml:space="preserve">. </w:t>
      </w:r>
    </w:p>
    <w:p w14:paraId="5B146FFB" w14:textId="77777777" w:rsidR="0051302A" w:rsidRDefault="0051302A" w:rsidP="0051302A">
      <w:pPr>
        <w:pStyle w:val="Heading4"/>
        <w:numPr>
          <w:ilvl w:val="0"/>
          <w:numId w:val="0"/>
        </w:numPr>
        <w:ind w:left="720" w:hanging="720"/>
        <w:rPr>
          <w:lang w:eastAsia="ja-JP"/>
        </w:rPr>
      </w:pPr>
      <w:r>
        <w:rPr>
          <w:lang w:eastAsia="ja-JP"/>
        </w:rPr>
        <w:t xml:space="preserve">Paired Generation Services </w:t>
      </w:r>
    </w:p>
    <w:p w14:paraId="00169A35" w14:textId="6BA13CF4" w:rsidR="002657AF" w:rsidRDefault="002657AF" w:rsidP="002657AF">
      <w:pPr>
        <w:rPr>
          <w:lang w:eastAsia="ja-JP"/>
        </w:rPr>
      </w:pPr>
      <w:r>
        <w:rPr>
          <w:lang w:eastAsia="ja-JP"/>
        </w:rPr>
        <w:t xml:space="preserve">In 2022, EnergyCo, as the Infrastructure Planner for the WSB project, began a competitive assessment process to select parties to provide the </w:t>
      </w:r>
      <w:r w:rsidR="00D338A6">
        <w:rPr>
          <w:lang w:eastAsia="ja-JP"/>
        </w:rPr>
        <w:t>Paired Generation Services</w:t>
      </w:r>
      <w:r>
        <w:rPr>
          <w:lang w:eastAsia="ja-JP"/>
        </w:rPr>
        <w:t xml:space="preserve"> to Transgrid. EnergyCo selected three providers and Transgrid contracted with two </w:t>
      </w:r>
      <w:r w:rsidR="004D47F4">
        <w:rPr>
          <w:lang w:eastAsia="ja-JP"/>
        </w:rPr>
        <w:t xml:space="preserve">of them </w:t>
      </w:r>
      <w:r>
        <w:rPr>
          <w:lang w:eastAsia="ja-JP"/>
        </w:rPr>
        <w:t>for a project term of 5.5 years. On 15 December 2023, we made a revenue determination for this component. The</w:t>
      </w:r>
      <w:r w:rsidRPr="00E32FC8">
        <w:rPr>
          <w:lang w:eastAsia="ja-JP"/>
        </w:rPr>
        <w:t xml:space="preserve"> determination </w:t>
      </w:r>
      <w:r>
        <w:rPr>
          <w:lang w:eastAsia="ja-JP"/>
        </w:rPr>
        <w:t>included</w:t>
      </w:r>
      <w:r w:rsidRPr="00E32FC8">
        <w:rPr>
          <w:lang w:eastAsia="ja-JP"/>
        </w:rPr>
        <w:t xml:space="preserve"> amounts payable to Transgrid </w:t>
      </w:r>
      <w:r w:rsidR="007C097D">
        <w:rPr>
          <w:lang w:eastAsia="ja-JP"/>
        </w:rPr>
        <w:t xml:space="preserve">to reflect payments Transgrid is required to make to </w:t>
      </w:r>
      <w:r w:rsidR="00D8507A">
        <w:rPr>
          <w:lang w:eastAsia="ja-JP"/>
        </w:rPr>
        <w:t xml:space="preserve">the service providers </w:t>
      </w:r>
      <w:r w:rsidR="007C097D">
        <w:rPr>
          <w:lang w:eastAsia="ja-JP"/>
        </w:rPr>
        <w:t>under the contracts.</w:t>
      </w:r>
      <w:r w:rsidR="00303692">
        <w:rPr>
          <w:lang w:eastAsia="ja-JP"/>
        </w:rPr>
        <w:t xml:space="preserve"> </w:t>
      </w:r>
      <w:r>
        <w:rPr>
          <w:lang w:eastAsia="ja-JP"/>
        </w:rPr>
        <w:t xml:space="preserve">It also included mechanisms to adjust payments </w:t>
      </w:r>
      <w:r w:rsidR="00500C19">
        <w:rPr>
          <w:lang w:eastAsia="ja-JP"/>
        </w:rPr>
        <w:t xml:space="preserve">to Transgrid </w:t>
      </w:r>
      <w:r>
        <w:rPr>
          <w:lang w:eastAsia="ja-JP"/>
        </w:rPr>
        <w:t>over the project term</w:t>
      </w:r>
      <w:r w:rsidR="008B6A6C">
        <w:rPr>
          <w:lang w:eastAsia="ja-JP"/>
        </w:rPr>
        <w:t xml:space="preserve"> under certain circumstances</w:t>
      </w:r>
      <w:r w:rsidR="003D22F7">
        <w:rPr>
          <w:lang w:eastAsia="ja-JP"/>
        </w:rPr>
        <w:t xml:space="preserve"> (adjustment events)</w:t>
      </w:r>
      <w:r>
        <w:rPr>
          <w:lang w:eastAsia="ja-JP"/>
        </w:rPr>
        <w:t>.</w:t>
      </w:r>
      <w:r w:rsidRPr="00E32FC8">
        <w:rPr>
          <w:lang w:eastAsia="ja-JP"/>
        </w:rPr>
        <w:t xml:space="preserve"> </w:t>
      </w:r>
    </w:p>
    <w:p w14:paraId="7E268F15" w14:textId="4A3592A8" w:rsidR="002657AF" w:rsidRDefault="002657AF" w:rsidP="002657AF">
      <w:pPr>
        <w:rPr>
          <w:lang w:eastAsia="ja-JP"/>
        </w:rPr>
      </w:pPr>
      <w:r>
        <w:rPr>
          <w:lang w:eastAsia="ja-JP"/>
        </w:rPr>
        <w:t xml:space="preserve">In March 2024, we remade </w:t>
      </w:r>
      <w:r w:rsidR="0034517D">
        <w:rPr>
          <w:lang w:eastAsia="ja-JP"/>
        </w:rPr>
        <w:t xml:space="preserve">our </w:t>
      </w:r>
      <w:r>
        <w:rPr>
          <w:lang w:eastAsia="ja-JP"/>
        </w:rPr>
        <w:t>revenue determination to include the third paired generation service provider</w:t>
      </w:r>
      <w:r w:rsidR="00500C19">
        <w:rPr>
          <w:lang w:eastAsia="ja-JP"/>
        </w:rPr>
        <w:t xml:space="preserve"> following execution of its contract with Transgrid</w:t>
      </w:r>
      <w:r>
        <w:rPr>
          <w:lang w:eastAsia="ja-JP"/>
        </w:rPr>
        <w:t xml:space="preserve">. </w:t>
      </w:r>
    </w:p>
    <w:p w14:paraId="4C47F88A" w14:textId="7BD0935C" w:rsidR="002657AF" w:rsidRDefault="002657AF" w:rsidP="002657AF">
      <w:pPr>
        <w:rPr>
          <w:lang w:eastAsia="ja-JP"/>
        </w:rPr>
      </w:pPr>
      <w:r>
        <w:rPr>
          <w:lang w:eastAsia="ja-JP"/>
        </w:rPr>
        <w:t xml:space="preserve">In May 2026, we decided to adjust </w:t>
      </w:r>
      <w:r w:rsidR="007C67B3">
        <w:rPr>
          <w:lang w:eastAsia="ja-JP"/>
        </w:rPr>
        <w:t xml:space="preserve">the amounts payable to </w:t>
      </w:r>
      <w:r>
        <w:rPr>
          <w:lang w:eastAsia="ja-JP"/>
        </w:rPr>
        <w:t>Transgrid as several adjustment events were triggered. One of the adjustment events triggered was the addition of a fourth paired generation service provider.</w:t>
      </w:r>
    </w:p>
    <w:p w14:paraId="034C72D5" w14:textId="77777777" w:rsidR="0051302A" w:rsidRDefault="0051302A" w:rsidP="0051302A">
      <w:pPr>
        <w:pStyle w:val="Heading4"/>
        <w:numPr>
          <w:ilvl w:val="0"/>
          <w:numId w:val="0"/>
        </w:numPr>
        <w:ind w:left="720" w:hanging="720"/>
        <w:rPr>
          <w:lang w:eastAsia="ja-JP"/>
        </w:rPr>
      </w:pPr>
      <w:r>
        <w:rPr>
          <w:lang w:eastAsia="ja-JP"/>
        </w:rPr>
        <w:t>SIPS Battery Service</w:t>
      </w:r>
    </w:p>
    <w:p w14:paraId="3668C15B" w14:textId="262559BF" w:rsidR="002657AF" w:rsidRDefault="002657AF" w:rsidP="002657AF">
      <w:pPr>
        <w:spacing w:before="240" w:after="120"/>
        <w:contextualSpacing/>
        <w:rPr>
          <w:lang w:eastAsia="ja-JP"/>
        </w:rPr>
      </w:pPr>
      <w:r>
        <w:rPr>
          <w:lang w:eastAsia="ja-JP"/>
        </w:rPr>
        <w:t xml:space="preserve">In 2022, EnergyCo undertook a competitive assessment process and selected Akaysha Energy (Akaysha) to provide the SIPS </w:t>
      </w:r>
      <w:r w:rsidR="00D8507A">
        <w:rPr>
          <w:lang w:eastAsia="ja-JP"/>
        </w:rPr>
        <w:t>B</w:t>
      </w:r>
      <w:r>
        <w:rPr>
          <w:lang w:eastAsia="ja-JP"/>
        </w:rPr>
        <w:t xml:space="preserve">attery </w:t>
      </w:r>
      <w:r w:rsidR="00D8507A">
        <w:rPr>
          <w:lang w:eastAsia="ja-JP"/>
        </w:rPr>
        <w:t>S</w:t>
      </w:r>
      <w:r>
        <w:rPr>
          <w:lang w:eastAsia="ja-JP"/>
        </w:rPr>
        <w:t xml:space="preserve">ervice. Transgrid contracted with Akaysha for the project term of 5.5 years. On 14 December 2022, we made a revenue determination for this component. The determination included the amounts payable to Transgrid for the </w:t>
      </w:r>
      <w:r>
        <w:rPr>
          <w:lang w:eastAsia="ja-JP"/>
        </w:rPr>
        <w:lastRenderedPageBreak/>
        <w:t xml:space="preserve">SIPS battery service </w:t>
      </w:r>
      <w:r w:rsidR="00DB469E">
        <w:rPr>
          <w:lang w:eastAsia="ja-JP"/>
        </w:rPr>
        <w:t>to reflect payments</w:t>
      </w:r>
      <w:r>
        <w:rPr>
          <w:lang w:eastAsia="ja-JP"/>
        </w:rPr>
        <w:t xml:space="preserve"> Transgrid </w:t>
      </w:r>
      <w:r w:rsidR="00DB469E">
        <w:rPr>
          <w:lang w:eastAsia="ja-JP"/>
        </w:rPr>
        <w:t>is required to make</w:t>
      </w:r>
      <w:r>
        <w:rPr>
          <w:lang w:eastAsia="ja-JP"/>
        </w:rPr>
        <w:t xml:space="preserve"> to Akaysha</w:t>
      </w:r>
      <w:r w:rsidR="00DB469E">
        <w:rPr>
          <w:lang w:eastAsia="ja-JP"/>
        </w:rPr>
        <w:t xml:space="preserve"> under the contract</w:t>
      </w:r>
      <w:r>
        <w:rPr>
          <w:lang w:eastAsia="ja-JP"/>
        </w:rPr>
        <w:t xml:space="preserve">. It also included mechanisms to adjust payments </w:t>
      </w:r>
      <w:r w:rsidR="00DB469E">
        <w:rPr>
          <w:lang w:eastAsia="ja-JP"/>
        </w:rPr>
        <w:t xml:space="preserve">to Transgrid </w:t>
      </w:r>
      <w:r>
        <w:rPr>
          <w:lang w:eastAsia="ja-JP"/>
        </w:rPr>
        <w:t>over the project term.</w:t>
      </w:r>
    </w:p>
    <w:p w14:paraId="00D3F70C" w14:textId="59225DD2" w:rsidR="0051302A" w:rsidRDefault="002657AF" w:rsidP="0051302A">
      <w:pPr>
        <w:spacing w:before="240" w:after="120"/>
        <w:rPr>
          <w:lang w:eastAsia="ja-JP"/>
        </w:rPr>
      </w:pPr>
      <w:r>
        <w:rPr>
          <w:lang w:eastAsia="ja-JP"/>
        </w:rPr>
        <w:t xml:space="preserve">In May 2025 and May 2026, we decided to adjust </w:t>
      </w:r>
      <w:r w:rsidR="00076A61">
        <w:rPr>
          <w:lang w:eastAsia="ja-JP"/>
        </w:rPr>
        <w:t xml:space="preserve">the amounts payable to </w:t>
      </w:r>
      <w:r>
        <w:rPr>
          <w:lang w:eastAsia="ja-JP"/>
        </w:rPr>
        <w:t xml:space="preserve">Transgrid under the determination following the triggering of adjustment events. </w:t>
      </w:r>
    </w:p>
    <w:p w14:paraId="171EA5EB" w14:textId="77777777" w:rsidR="00BB2DAE" w:rsidRPr="00BB2DAE" w:rsidRDefault="00BB2DAE" w:rsidP="00BB2DAE">
      <w:pPr>
        <w:pStyle w:val="Heading4"/>
        <w:numPr>
          <w:ilvl w:val="0"/>
          <w:numId w:val="0"/>
        </w:numPr>
        <w:ind w:left="720" w:hanging="720"/>
        <w:rPr>
          <w:lang w:eastAsia="ja-JP"/>
        </w:rPr>
      </w:pPr>
      <w:r w:rsidRPr="00BB2DAE">
        <w:rPr>
          <w:lang w:eastAsia="ja-JP"/>
        </w:rPr>
        <w:t xml:space="preserve">Contractual arrangements </w:t>
      </w:r>
    </w:p>
    <w:p w14:paraId="0DCFF4A7" w14:textId="434CA3B4" w:rsidR="00BB2DAE" w:rsidRPr="00F84479" w:rsidRDefault="00A91206" w:rsidP="00BB2DAE">
      <w:r w:rsidRPr="00FE2E36">
        <w:t xml:space="preserve">Transgrid must carry out the WSB project in accordance with the </w:t>
      </w:r>
      <w:r>
        <w:t xml:space="preserve">Minister’s </w:t>
      </w:r>
      <w:r w:rsidRPr="00FE2E36">
        <w:t>direction</w:t>
      </w:r>
      <w:r>
        <w:t>.</w:t>
      </w:r>
      <w:r w:rsidRPr="00FE2E36">
        <w:rPr>
          <w:vertAlign w:val="superscript"/>
        </w:rPr>
        <w:footnoteReference w:id="4"/>
      </w:r>
      <w:r>
        <w:t xml:space="preserve"> </w:t>
      </w:r>
      <w:r w:rsidR="00BB2DAE">
        <w:t xml:space="preserve">Transgrid, as the Network Operator, was directed to </w:t>
      </w:r>
      <w:proofErr w:type="gramStart"/>
      <w:r w:rsidR="00BB2DAE">
        <w:t>enter into</w:t>
      </w:r>
      <w:proofErr w:type="gramEnd"/>
      <w:r w:rsidR="00BB2DAE">
        <w:t xml:space="preserve"> the following contractual arrangements</w:t>
      </w:r>
      <w:r w:rsidR="00FD6EF4">
        <w:t xml:space="preserve"> for</w:t>
      </w:r>
      <w:r w:rsidR="00F110FF">
        <w:t xml:space="preserve"> the</w:t>
      </w:r>
      <w:r w:rsidR="00FD6EF4">
        <w:t xml:space="preserve"> Paired Generation Services and the SIPS Battery Service</w:t>
      </w:r>
      <w:r w:rsidR="00BB2DAE" w:rsidRPr="00F84479">
        <w:t>:</w:t>
      </w:r>
    </w:p>
    <w:p w14:paraId="7DE95AB2" w14:textId="45435226" w:rsidR="00BB2DAE" w:rsidRPr="00FD6EF4" w:rsidRDefault="00BB2DAE" w:rsidP="00FD6EF4">
      <w:pPr>
        <w:pStyle w:val="ListBullet"/>
      </w:pPr>
      <w:r w:rsidRPr="00FD6EF4">
        <w:t xml:space="preserve">Transgrid and EnergyCo </w:t>
      </w:r>
      <w:proofErr w:type="gramStart"/>
      <w:r w:rsidRPr="00FD6EF4">
        <w:t>entered into</w:t>
      </w:r>
      <w:proofErr w:type="gramEnd"/>
      <w:r w:rsidRPr="00FD6EF4">
        <w:t xml:space="preserve"> the </w:t>
      </w:r>
      <w:r w:rsidRPr="00EE2F75">
        <w:rPr>
          <w:b/>
          <w:bCs/>
        </w:rPr>
        <w:t>Network Operator Deed</w:t>
      </w:r>
      <w:r w:rsidRPr="00FD6EF4">
        <w:t xml:space="preserve"> </w:t>
      </w:r>
      <w:r w:rsidR="00FD6EF4" w:rsidRPr="00FD6EF4">
        <w:t>setting</w:t>
      </w:r>
      <w:r w:rsidRPr="00FD6EF4">
        <w:t xml:space="preserve"> out </w:t>
      </w:r>
      <w:r w:rsidR="00FD6EF4" w:rsidRPr="00FD6EF4">
        <w:t xml:space="preserve">the </w:t>
      </w:r>
      <w:r w:rsidRPr="00FD6EF4">
        <w:t xml:space="preserve">rights and responsibilities of each party </w:t>
      </w:r>
      <w:r w:rsidR="00ED256E">
        <w:t>in carrying</w:t>
      </w:r>
      <w:r w:rsidRPr="00FD6EF4">
        <w:t xml:space="preserve"> out the WSB project. </w:t>
      </w:r>
    </w:p>
    <w:p w14:paraId="7C49490F" w14:textId="7DD7BF07" w:rsidR="00BB2DAE" w:rsidRDefault="00BB2DAE" w:rsidP="00FD6EF4">
      <w:pPr>
        <w:pStyle w:val="ListBullet"/>
      </w:pPr>
      <w:r w:rsidRPr="00FD6EF4">
        <w:t xml:space="preserve">Transgrid </w:t>
      </w:r>
      <w:r w:rsidR="00EE2F75">
        <w:t xml:space="preserve">and </w:t>
      </w:r>
      <w:r w:rsidR="00ED256E">
        <w:t xml:space="preserve">the </w:t>
      </w:r>
      <w:r w:rsidRPr="00FD6EF4">
        <w:t xml:space="preserve">paired generation service providers entered into </w:t>
      </w:r>
      <w:r w:rsidRPr="00EE2F75">
        <w:rPr>
          <w:b/>
          <w:bCs/>
        </w:rPr>
        <w:t>Paired Generation Services Agreements</w:t>
      </w:r>
      <w:r w:rsidR="00695383">
        <w:rPr>
          <w:b/>
          <w:bCs/>
        </w:rPr>
        <w:t xml:space="preserve"> (PGSAs)</w:t>
      </w:r>
      <w:r w:rsidR="00EE2F75">
        <w:t xml:space="preserve"> which specif</w:t>
      </w:r>
      <w:r w:rsidR="00ED256E">
        <w:t>y</w:t>
      </w:r>
      <w:r w:rsidR="00EE2F75">
        <w:t xml:space="preserve"> the terms and conditions of engagement.</w:t>
      </w:r>
    </w:p>
    <w:p w14:paraId="230F731F" w14:textId="094C41D9" w:rsidR="00EE2F75" w:rsidRPr="00FD6EF4" w:rsidRDefault="00EE2F75" w:rsidP="00FD6EF4">
      <w:pPr>
        <w:pStyle w:val="ListBullet"/>
      </w:pPr>
      <w:r>
        <w:t xml:space="preserve">Transgrid and Akaysha Energy entered into </w:t>
      </w:r>
      <w:r w:rsidRPr="00EE2F75">
        <w:t xml:space="preserve">the </w:t>
      </w:r>
      <w:r w:rsidRPr="00EE2F75">
        <w:rPr>
          <w:b/>
          <w:bCs/>
        </w:rPr>
        <w:t>SIPS Service Agreement</w:t>
      </w:r>
      <w:r>
        <w:t xml:space="preserve"> which specifies the terms and conditions of engagement.</w:t>
      </w:r>
    </w:p>
    <w:p w14:paraId="67710EDB" w14:textId="5365AB6F" w:rsidR="00BB2DAE" w:rsidRDefault="00BB2DAE" w:rsidP="00FD6EF4">
      <w:pPr>
        <w:pStyle w:val="ListBullet"/>
      </w:pPr>
      <w:r w:rsidRPr="00FD6EF4">
        <w:t xml:space="preserve">Transgrid and the </w:t>
      </w:r>
      <w:r w:rsidR="00A61080">
        <w:t>Scheme Financial vehicle (</w:t>
      </w:r>
      <w:r w:rsidRPr="00FD6EF4">
        <w:t>SFV</w:t>
      </w:r>
      <w:r w:rsidR="00A61080">
        <w:t>)</w:t>
      </w:r>
      <w:r w:rsidRPr="00FD6EF4">
        <w:t xml:space="preserve"> </w:t>
      </w:r>
      <w:proofErr w:type="gramStart"/>
      <w:r w:rsidRPr="00FD6EF4">
        <w:t>entered into</w:t>
      </w:r>
      <w:proofErr w:type="gramEnd"/>
      <w:r w:rsidRPr="00FD6EF4">
        <w:t xml:space="preserve"> </w:t>
      </w:r>
      <w:r w:rsidRPr="00EE2F75">
        <w:rPr>
          <w:b/>
          <w:bCs/>
        </w:rPr>
        <w:t>Payment Deed</w:t>
      </w:r>
      <w:r w:rsidR="00B42634">
        <w:rPr>
          <w:b/>
          <w:bCs/>
        </w:rPr>
        <w:t>s</w:t>
      </w:r>
      <w:r w:rsidRPr="00FD6EF4">
        <w:t xml:space="preserve"> to facilitate payments </w:t>
      </w:r>
      <w:r w:rsidR="009765BA">
        <w:t>between</w:t>
      </w:r>
      <w:r w:rsidR="009765BA" w:rsidRPr="00FD6EF4">
        <w:t xml:space="preserve"> </w:t>
      </w:r>
      <w:r w:rsidRPr="00FD6EF4">
        <w:t xml:space="preserve">the SFV </w:t>
      </w:r>
      <w:r w:rsidR="009765BA">
        <w:t>and</w:t>
      </w:r>
      <w:r w:rsidRPr="00FD6EF4">
        <w:t xml:space="preserve"> Transgrid in accordance with </w:t>
      </w:r>
      <w:r w:rsidR="00ED256E">
        <w:t xml:space="preserve">the AER’s revenue </w:t>
      </w:r>
      <w:r w:rsidRPr="00FD6EF4">
        <w:t>determinations</w:t>
      </w:r>
      <w:r w:rsidR="00ED256E">
        <w:t xml:space="preserve">. </w:t>
      </w:r>
    </w:p>
    <w:p w14:paraId="154F193E" w14:textId="77777777" w:rsidR="00701080" w:rsidRPr="00BB2DAE" w:rsidRDefault="00701080" w:rsidP="00701080">
      <w:pPr>
        <w:pStyle w:val="Heading4"/>
        <w:numPr>
          <w:ilvl w:val="0"/>
          <w:numId w:val="0"/>
        </w:numPr>
        <w:ind w:left="720" w:hanging="720"/>
        <w:rPr>
          <w:lang w:eastAsia="ja-JP"/>
        </w:rPr>
      </w:pPr>
      <w:r>
        <w:rPr>
          <w:lang w:eastAsia="ja-JP"/>
        </w:rPr>
        <w:t>Redetermination proposal</w:t>
      </w:r>
    </w:p>
    <w:p w14:paraId="16882C07" w14:textId="05037FB6" w:rsidR="00701080" w:rsidRDefault="00701080" w:rsidP="00701080">
      <w:pPr>
        <w:rPr>
          <w:lang w:eastAsia="ja-JP"/>
        </w:rPr>
      </w:pPr>
      <w:r>
        <w:rPr>
          <w:lang w:eastAsia="ja-JP"/>
        </w:rPr>
        <w:t xml:space="preserve">On 24 August 2026, Transgrid submitted a proposal to review and remake the two contestable revenue determinations following contractual negotiations with Akaysha and EnergyCo on the SIPS </w:t>
      </w:r>
      <w:r w:rsidR="00B62E7E">
        <w:rPr>
          <w:lang w:eastAsia="ja-JP"/>
        </w:rPr>
        <w:t>B</w:t>
      </w:r>
      <w:r>
        <w:rPr>
          <w:lang w:eastAsia="ja-JP"/>
        </w:rPr>
        <w:t xml:space="preserve">attery </w:t>
      </w:r>
      <w:r w:rsidR="00B62E7E">
        <w:rPr>
          <w:lang w:eastAsia="ja-JP"/>
        </w:rPr>
        <w:t>S</w:t>
      </w:r>
      <w:r>
        <w:rPr>
          <w:lang w:eastAsia="ja-JP"/>
        </w:rPr>
        <w:t xml:space="preserve">ervice. </w:t>
      </w:r>
      <w:r w:rsidR="00E7263C">
        <w:rPr>
          <w:lang w:eastAsia="ja-JP"/>
        </w:rPr>
        <w:t>In summary</w:t>
      </w:r>
      <w:r w:rsidR="00303692">
        <w:rPr>
          <w:lang w:eastAsia="ja-JP"/>
        </w:rPr>
        <w:t>,</w:t>
      </w:r>
      <w:r w:rsidR="00E7263C">
        <w:rPr>
          <w:lang w:eastAsia="ja-JP"/>
        </w:rPr>
        <w:t xml:space="preserve"> these </w:t>
      </w:r>
      <w:r>
        <w:rPr>
          <w:lang w:eastAsia="ja-JP"/>
        </w:rPr>
        <w:t xml:space="preserve">negotiations </w:t>
      </w:r>
      <w:r w:rsidR="00E7263C">
        <w:rPr>
          <w:lang w:eastAsia="ja-JP"/>
        </w:rPr>
        <w:t>resulted in a</w:t>
      </w:r>
      <w:r>
        <w:rPr>
          <w:lang w:eastAsia="ja-JP"/>
        </w:rPr>
        <w:t xml:space="preserve"> 6-month extension to the project term and a change to </w:t>
      </w:r>
      <w:r w:rsidR="00846404">
        <w:rPr>
          <w:lang w:eastAsia="ja-JP"/>
        </w:rPr>
        <w:t xml:space="preserve">how </w:t>
      </w:r>
      <w:r>
        <w:rPr>
          <w:lang w:eastAsia="ja-JP"/>
        </w:rPr>
        <w:t xml:space="preserve">the SIPS </w:t>
      </w:r>
      <w:r w:rsidR="00303692">
        <w:rPr>
          <w:lang w:eastAsia="ja-JP"/>
        </w:rPr>
        <w:t>B</w:t>
      </w:r>
      <w:r w:rsidR="00846404">
        <w:rPr>
          <w:lang w:eastAsia="ja-JP"/>
        </w:rPr>
        <w:t xml:space="preserve">attery </w:t>
      </w:r>
      <w:r w:rsidR="00303692">
        <w:rPr>
          <w:lang w:eastAsia="ja-JP"/>
        </w:rPr>
        <w:t>S</w:t>
      </w:r>
      <w:r>
        <w:rPr>
          <w:lang w:eastAsia="ja-JP"/>
        </w:rPr>
        <w:t xml:space="preserve">ervice </w:t>
      </w:r>
      <w:r w:rsidR="00303692">
        <w:rPr>
          <w:lang w:eastAsia="ja-JP"/>
        </w:rPr>
        <w:t>can be</w:t>
      </w:r>
      <w:r w:rsidR="00846404">
        <w:rPr>
          <w:lang w:eastAsia="ja-JP"/>
        </w:rPr>
        <w:t xml:space="preserve"> </w:t>
      </w:r>
      <w:r>
        <w:rPr>
          <w:lang w:eastAsia="ja-JP"/>
        </w:rPr>
        <w:t>operat</w:t>
      </w:r>
      <w:r w:rsidR="00846404">
        <w:rPr>
          <w:lang w:eastAsia="ja-JP"/>
        </w:rPr>
        <w:t>ed</w:t>
      </w:r>
      <w:r>
        <w:rPr>
          <w:lang w:eastAsia="ja-JP"/>
        </w:rPr>
        <w:t xml:space="preserve">. </w:t>
      </w:r>
    </w:p>
    <w:p w14:paraId="010DCD7B" w14:textId="55C88046" w:rsidR="00701080" w:rsidRDefault="00701080" w:rsidP="00701080">
      <w:pPr>
        <w:rPr>
          <w:lang w:eastAsia="ja-JP"/>
        </w:rPr>
      </w:pPr>
      <w:r>
        <w:rPr>
          <w:lang w:eastAsia="ja-JP"/>
        </w:rPr>
        <w:t xml:space="preserve">On 23 September 2026, we decided that the changes could </w:t>
      </w:r>
      <w:r w:rsidR="001B6886">
        <w:rPr>
          <w:lang w:eastAsia="ja-JP"/>
        </w:rPr>
        <w:t>be reflected in the revenue determination</w:t>
      </w:r>
      <w:r w:rsidR="000D787A">
        <w:rPr>
          <w:lang w:eastAsia="ja-JP"/>
        </w:rPr>
        <w:t>s</w:t>
      </w:r>
      <w:r w:rsidR="001B6886">
        <w:rPr>
          <w:lang w:eastAsia="ja-JP"/>
        </w:rPr>
        <w:t xml:space="preserve"> because</w:t>
      </w:r>
      <w:r>
        <w:rPr>
          <w:lang w:eastAsia="ja-JP"/>
        </w:rPr>
        <w:t>:</w:t>
      </w:r>
    </w:p>
    <w:p w14:paraId="09909F5C" w14:textId="61D2E0F5" w:rsidR="00701080" w:rsidRDefault="000D787A" w:rsidP="00701080">
      <w:pPr>
        <w:pStyle w:val="ListBullet"/>
      </w:pPr>
      <w:r>
        <w:t>t</w:t>
      </w:r>
      <w:r w:rsidR="00581D5D">
        <w:t xml:space="preserve">hey are </w:t>
      </w:r>
      <w:r w:rsidR="00701080">
        <w:t xml:space="preserve">consistent with the Minister’s direction, </w:t>
      </w:r>
    </w:p>
    <w:p w14:paraId="0C3E3E54" w14:textId="1168C10C" w:rsidR="00701080" w:rsidRDefault="000D787A" w:rsidP="00701080">
      <w:pPr>
        <w:pStyle w:val="ListBullet"/>
      </w:pPr>
      <w:r>
        <w:t>t</w:t>
      </w:r>
      <w:r w:rsidR="00581D5D">
        <w:t xml:space="preserve">hey are </w:t>
      </w:r>
      <w:r w:rsidR="00701080">
        <w:t>consistent with the outcome of the competitive assessment process</w:t>
      </w:r>
      <w:r>
        <w:t>es</w:t>
      </w:r>
      <w:r w:rsidR="00701080">
        <w:t xml:space="preserve">, and </w:t>
      </w:r>
    </w:p>
    <w:p w14:paraId="4AE9DA72" w14:textId="40AE2E96" w:rsidR="00701080" w:rsidRDefault="00581D5D" w:rsidP="00701080">
      <w:pPr>
        <w:pStyle w:val="ListBullet"/>
      </w:pPr>
      <w:r>
        <w:t>they</w:t>
      </w:r>
      <w:r w:rsidR="00701080">
        <w:t xml:space="preserve"> result in consumers </w:t>
      </w:r>
      <w:r w:rsidR="00E8492C">
        <w:t>continuing to receive</w:t>
      </w:r>
      <w:r w:rsidR="00701080">
        <w:t xml:space="preserve"> the benefits of the project. </w:t>
      </w:r>
    </w:p>
    <w:p w14:paraId="086E12E8" w14:textId="0CCDA764" w:rsidR="00701080" w:rsidRDefault="00701080" w:rsidP="00701080">
      <w:pPr>
        <w:rPr>
          <w:lang w:eastAsia="ja-JP"/>
        </w:rPr>
      </w:pPr>
      <w:r>
        <w:rPr>
          <w:lang w:eastAsia="ja-JP"/>
        </w:rPr>
        <w:t xml:space="preserve">This decision required us to review and remake the revenue determinations. The remake required: </w:t>
      </w:r>
    </w:p>
    <w:p w14:paraId="01D81505" w14:textId="00F7A862" w:rsidR="00701080" w:rsidRDefault="00701080" w:rsidP="00701080">
      <w:pPr>
        <w:pStyle w:val="ListBullet"/>
      </w:pPr>
      <w:r>
        <w:t xml:space="preserve">amendments to </w:t>
      </w:r>
      <w:r w:rsidR="00E7263C">
        <w:t xml:space="preserve">some of the </w:t>
      </w:r>
      <w:r>
        <w:t>existing adjustment mechanisms,</w:t>
      </w:r>
    </w:p>
    <w:p w14:paraId="59AAFFE9" w14:textId="384DCF89" w:rsidR="00701080" w:rsidRDefault="00BE10F3" w:rsidP="00701080">
      <w:pPr>
        <w:pStyle w:val="ListBullet"/>
      </w:pPr>
      <w:r>
        <w:t xml:space="preserve">inclusion of </w:t>
      </w:r>
      <w:r w:rsidR="00701080">
        <w:t xml:space="preserve">new adjustment mechanisms, and </w:t>
      </w:r>
    </w:p>
    <w:p w14:paraId="1028761A" w14:textId="2A775097" w:rsidR="00701080" w:rsidRDefault="00701080" w:rsidP="00701080">
      <w:pPr>
        <w:pStyle w:val="ListBullet"/>
      </w:pPr>
      <w:r>
        <w:t xml:space="preserve">changes to the schedule of payments </w:t>
      </w:r>
      <w:r w:rsidR="00BE10F3">
        <w:t xml:space="preserve">for both determinations </w:t>
      </w:r>
      <w:r w:rsidR="0034667F">
        <w:t>to reflect</w:t>
      </w:r>
      <w:r>
        <w:t xml:space="preserve"> the extension of the project term.</w:t>
      </w:r>
    </w:p>
    <w:p w14:paraId="49137922" w14:textId="419ACB0A" w:rsidR="00701080" w:rsidRDefault="00701080" w:rsidP="00701080">
      <w:pPr>
        <w:pStyle w:val="ListBullet"/>
        <w:numPr>
          <w:ilvl w:val="0"/>
          <w:numId w:val="0"/>
        </w:numPr>
        <w:ind w:left="425" w:hanging="425"/>
      </w:pPr>
      <w:r>
        <w:t xml:space="preserve">This summary report sets out the reasons for </w:t>
      </w:r>
      <w:r w:rsidR="00A41E1E">
        <w:t>remaking the revenue determinations</w:t>
      </w:r>
      <w:r w:rsidR="00B66292">
        <w:t xml:space="preserve">. </w:t>
      </w:r>
    </w:p>
    <w:p w14:paraId="0FDE0048" w14:textId="556366FE" w:rsidR="0051302A" w:rsidRDefault="0051302A" w:rsidP="0051302A">
      <w:pPr>
        <w:pStyle w:val="Heading4"/>
        <w:numPr>
          <w:ilvl w:val="0"/>
          <w:numId w:val="0"/>
        </w:numPr>
        <w:ind w:left="720" w:hanging="720"/>
        <w:rPr>
          <w:lang w:eastAsia="ja-JP"/>
        </w:rPr>
      </w:pPr>
      <w:r>
        <w:rPr>
          <w:lang w:eastAsia="ja-JP"/>
        </w:rPr>
        <w:lastRenderedPageBreak/>
        <w:t xml:space="preserve">Summary </w:t>
      </w:r>
      <w:r w:rsidR="009F7FA3">
        <w:rPr>
          <w:lang w:eastAsia="ja-JP"/>
        </w:rPr>
        <w:t>report</w:t>
      </w:r>
    </w:p>
    <w:p w14:paraId="16139870" w14:textId="5A6EF3BC" w:rsidR="0051302A" w:rsidRPr="00540033" w:rsidRDefault="00ED256E" w:rsidP="0051302A">
      <w:pPr>
        <w:rPr>
          <w:lang w:eastAsia="ja-JP"/>
        </w:rPr>
      </w:pPr>
      <w:r>
        <w:rPr>
          <w:lang w:eastAsia="ja-JP"/>
        </w:rPr>
        <w:t xml:space="preserve">For both the </w:t>
      </w:r>
      <w:r w:rsidR="00044109">
        <w:rPr>
          <w:lang w:eastAsia="ja-JP"/>
        </w:rPr>
        <w:t xml:space="preserve">Paired Generation Services revenue determination and the </w:t>
      </w:r>
      <w:r>
        <w:rPr>
          <w:lang w:eastAsia="ja-JP"/>
        </w:rPr>
        <w:t>SIPS Battery Service revenue determination, t</w:t>
      </w:r>
      <w:r w:rsidR="0051302A" w:rsidRPr="00540033">
        <w:rPr>
          <w:lang w:eastAsia="ja-JP"/>
        </w:rPr>
        <w:t>h</w:t>
      </w:r>
      <w:r w:rsidR="0051302A">
        <w:rPr>
          <w:lang w:eastAsia="ja-JP"/>
        </w:rPr>
        <w:t>is summary report</w:t>
      </w:r>
      <w:r w:rsidR="0051302A" w:rsidRPr="00540033">
        <w:rPr>
          <w:lang w:eastAsia="ja-JP"/>
        </w:rPr>
        <w:t>:</w:t>
      </w:r>
    </w:p>
    <w:p w14:paraId="08CBCA92" w14:textId="59D637C9" w:rsidR="0051302A" w:rsidRDefault="0051302A" w:rsidP="00AF24FB">
      <w:pPr>
        <w:pStyle w:val="ListNumber"/>
        <w:numPr>
          <w:ilvl w:val="0"/>
          <w:numId w:val="18"/>
        </w:numPr>
        <w:rPr>
          <w:i/>
          <w:iCs/>
          <w:color w:val="000000" w:themeColor="text1"/>
        </w:rPr>
      </w:pPr>
      <w:r w:rsidRPr="0051302A">
        <w:rPr>
          <w:i/>
          <w:iCs/>
          <w:color w:val="000000" w:themeColor="text1"/>
        </w:rPr>
        <w:t xml:space="preserve">Describes the legislative framework under which </w:t>
      </w:r>
      <w:r w:rsidR="00ED256E">
        <w:rPr>
          <w:i/>
          <w:iCs/>
          <w:color w:val="000000" w:themeColor="text1"/>
        </w:rPr>
        <w:t xml:space="preserve">our determinations </w:t>
      </w:r>
      <w:r w:rsidR="00BE10F3">
        <w:rPr>
          <w:i/>
          <w:iCs/>
          <w:color w:val="000000" w:themeColor="text1"/>
        </w:rPr>
        <w:t xml:space="preserve">have been </w:t>
      </w:r>
      <w:r w:rsidRPr="0051302A">
        <w:rPr>
          <w:i/>
          <w:iCs/>
          <w:color w:val="000000" w:themeColor="text1"/>
        </w:rPr>
        <w:t>remade</w:t>
      </w:r>
    </w:p>
    <w:p w14:paraId="2DF830C9" w14:textId="33D7F264" w:rsidR="00EC3D5C" w:rsidRPr="00EC3D5C" w:rsidRDefault="00EC3D5C" w:rsidP="00EC3D5C">
      <w:pPr>
        <w:pStyle w:val="ListNumber"/>
        <w:numPr>
          <w:ilvl w:val="0"/>
          <w:numId w:val="0"/>
        </w:numPr>
        <w:ind w:left="360"/>
        <w:rPr>
          <w:color w:val="000000" w:themeColor="text1"/>
        </w:rPr>
      </w:pPr>
      <w:r>
        <w:rPr>
          <w:color w:val="000000" w:themeColor="text1"/>
        </w:rPr>
        <w:t>Th</w:t>
      </w:r>
      <w:r w:rsidR="0030327D">
        <w:rPr>
          <w:color w:val="000000" w:themeColor="text1"/>
        </w:rPr>
        <w:t xml:space="preserve">e legislative and regulatory framework is set out in Section 2. </w:t>
      </w:r>
    </w:p>
    <w:p w14:paraId="0D26FA44" w14:textId="1031EA88" w:rsidR="0051302A" w:rsidRDefault="0051302A" w:rsidP="0051302A">
      <w:pPr>
        <w:pStyle w:val="ListNumber"/>
        <w:rPr>
          <w:i/>
          <w:iCs/>
          <w:color w:val="000000" w:themeColor="text1"/>
        </w:rPr>
      </w:pPr>
      <w:r>
        <w:rPr>
          <w:i/>
          <w:iCs/>
          <w:color w:val="000000" w:themeColor="text1"/>
        </w:rPr>
        <w:t xml:space="preserve">Describes the scope of the </w:t>
      </w:r>
      <w:r w:rsidR="00940843">
        <w:rPr>
          <w:i/>
          <w:iCs/>
          <w:color w:val="000000" w:themeColor="text1"/>
        </w:rPr>
        <w:t>components</w:t>
      </w:r>
      <w:r>
        <w:rPr>
          <w:i/>
          <w:iCs/>
          <w:color w:val="000000" w:themeColor="text1"/>
        </w:rPr>
        <w:t xml:space="preserve"> </w:t>
      </w:r>
      <w:r w:rsidR="00581D5D">
        <w:rPr>
          <w:i/>
          <w:iCs/>
          <w:color w:val="000000" w:themeColor="text1"/>
        </w:rPr>
        <w:t>of the revenue determination</w:t>
      </w:r>
    </w:p>
    <w:p w14:paraId="5F6DFCB5" w14:textId="6D8996C1" w:rsidR="00471F40" w:rsidRPr="00893C61" w:rsidRDefault="00893C61" w:rsidP="00471F40">
      <w:pPr>
        <w:pStyle w:val="ListNumber"/>
        <w:numPr>
          <w:ilvl w:val="0"/>
          <w:numId w:val="0"/>
        </w:numPr>
        <w:ind w:left="360"/>
        <w:rPr>
          <w:color w:val="000000" w:themeColor="text1"/>
        </w:rPr>
      </w:pPr>
      <w:r w:rsidRPr="00893C61">
        <w:rPr>
          <w:color w:val="000000" w:themeColor="text1"/>
        </w:rPr>
        <w:t>Th</w:t>
      </w:r>
      <w:r w:rsidR="000D787A">
        <w:rPr>
          <w:color w:val="000000" w:themeColor="text1"/>
        </w:rPr>
        <w:t>e</w:t>
      </w:r>
      <w:r w:rsidRPr="00893C61">
        <w:rPr>
          <w:color w:val="000000" w:themeColor="text1"/>
        </w:rPr>
        <w:t xml:space="preserve"> components of the revenue determination </w:t>
      </w:r>
      <w:r>
        <w:rPr>
          <w:color w:val="000000" w:themeColor="text1"/>
        </w:rPr>
        <w:t>are set out</w:t>
      </w:r>
      <w:r w:rsidRPr="00893C61">
        <w:rPr>
          <w:color w:val="000000" w:themeColor="text1"/>
        </w:rPr>
        <w:t xml:space="preserve"> sections 5,</w:t>
      </w:r>
      <w:r>
        <w:rPr>
          <w:color w:val="000000" w:themeColor="text1"/>
        </w:rPr>
        <w:t xml:space="preserve"> </w:t>
      </w:r>
      <w:r w:rsidRPr="00893C61">
        <w:rPr>
          <w:color w:val="000000" w:themeColor="text1"/>
        </w:rPr>
        <w:t>6 and 7.</w:t>
      </w:r>
    </w:p>
    <w:p w14:paraId="2B5BB129" w14:textId="4F524268" w:rsidR="0051302A" w:rsidRDefault="0051302A" w:rsidP="0051302A">
      <w:pPr>
        <w:pStyle w:val="ListNumber"/>
        <w:rPr>
          <w:i/>
          <w:iCs/>
          <w:color w:val="000000" w:themeColor="text1"/>
        </w:rPr>
      </w:pPr>
      <w:r>
        <w:rPr>
          <w:i/>
          <w:iCs/>
          <w:color w:val="000000" w:themeColor="text1"/>
        </w:rPr>
        <w:t xml:space="preserve">Sets out our assessment of </w:t>
      </w:r>
      <w:proofErr w:type="spellStart"/>
      <w:r>
        <w:rPr>
          <w:i/>
          <w:iCs/>
          <w:color w:val="000000" w:themeColor="text1"/>
        </w:rPr>
        <w:t>Transgrid’s</w:t>
      </w:r>
      <w:proofErr w:type="spellEnd"/>
      <w:r>
        <w:rPr>
          <w:i/>
          <w:iCs/>
          <w:color w:val="000000" w:themeColor="text1"/>
        </w:rPr>
        <w:t xml:space="preserve"> proposal to review and remake the</w:t>
      </w:r>
      <w:r w:rsidR="00940843">
        <w:rPr>
          <w:i/>
          <w:iCs/>
          <w:color w:val="000000" w:themeColor="text1"/>
        </w:rPr>
        <w:t xml:space="preserve"> </w:t>
      </w:r>
      <w:r>
        <w:rPr>
          <w:i/>
          <w:iCs/>
          <w:color w:val="000000" w:themeColor="text1"/>
        </w:rPr>
        <w:t xml:space="preserve">determinations </w:t>
      </w:r>
    </w:p>
    <w:p w14:paraId="77A83D0B" w14:textId="728AA44D" w:rsidR="0051302A" w:rsidRDefault="0051302A" w:rsidP="00303692">
      <w:pPr>
        <w:pStyle w:val="ListNumber"/>
        <w:numPr>
          <w:ilvl w:val="0"/>
          <w:numId w:val="0"/>
        </w:numPr>
        <w:ind w:left="360"/>
        <w:rPr>
          <w:i/>
          <w:iCs/>
          <w:color w:val="000000" w:themeColor="text1"/>
        </w:rPr>
      </w:pPr>
      <w:proofErr w:type="spellStart"/>
      <w:r w:rsidRPr="00540033">
        <w:rPr>
          <w:color w:val="000000" w:themeColor="text1"/>
        </w:rPr>
        <w:t>Transgrid’s</w:t>
      </w:r>
      <w:proofErr w:type="spellEnd"/>
      <w:r w:rsidRPr="00540033">
        <w:rPr>
          <w:color w:val="000000" w:themeColor="text1"/>
        </w:rPr>
        <w:t xml:space="preserve"> </w:t>
      </w:r>
      <w:r>
        <w:rPr>
          <w:color w:val="000000" w:themeColor="text1"/>
        </w:rPr>
        <w:t>proposal i</w:t>
      </w:r>
      <w:r w:rsidRPr="00540033">
        <w:rPr>
          <w:color w:val="000000" w:themeColor="text1"/>
        </w:rPr>
        <w:t xml:space="preserve">s consistent with the </w:t>
      </w:r>
      <w:r>
        <w:rPr>
          <w:color w:val="000000" w:themeColor="text1"/>
        </w:rPr>
        <w:t xml:space="preserve">amended </w:t>
      </w:r>
      <w:r w:rsidRPr="00540033">
        <w:rPr>
          <w:color w:val="000000" w:themeColor="text1"/>
        </w:rPr>
        <w:t>contractual arrangements</w:t>
      </w:r>
      <w:r w:rsidR="00940843">
        <w:rPr>
          <w:color w:val="000000" w:themeColor="text1"/>
        </w:rPr>
        <w:t xml:space="preserve"> </w:t>
      </w:r>
      <w:r w:rsidR="00D1126E">
        <w:rPr>
          <w:color w:val="000000" w:themeColor="text1"/>
        </w:rPr>
        <w:t xml:space="preserve">agreed </w:t>
      </w:r>
      <w:r w:rsidR="00940843" w:rsidRPr="00303692">
        <w:t>between</w:t>
      </w:r>
      <w:r w:rsidR="00940843">
        <w:rPr>
          <w:color w:val="000000" w:themeColor="text1"/>
        </w:rPr>
        <w:t xml:space="preserve"> it and the service providers</w:t>
      </w:r>
      <w:r>
        <w:rPr>
          <w:color w:val="000000" w:themeColor="text1"/>
        </w:rPr>
        <w:t xml:space="preserve">. These contractual arrangements </w:t>
      </w:r>
      <w:r w:rsidR="00581D5D">
        <w:rPr>
          <w:color w:val="000000" w:themeColor="text1"/>
        </w:rPr>
        <w:t>are consistent with</w:t>
      </w:r>
      <w:r>
        <w:rPr>
          <w:color w:val="000000" w:themeColor="text1"/>
        </w:rPr>
        <w:t xml:space="preserve"> the outcome of the genuine and appropriate competitive assessment processes. </w:t>
      </w:r>
    </w:p>
    <w:p w14:paraId="0C3AD652" w14:textId="06804C76" w:rsidR="0051302A" w:rsidRDefault="00940843" w:rsidP="0051302A">
      <w:pPr>
        <w:pStyle w:val="ListNumber"/>
        <w:rPr>
          <w:i/>
          <w:iCs/>
          <w:color w:val="000000" w:themeColor="text1"/>
        </w:rPr>
      </w:pPr>
      <w:r>
        <w:rPr>
          <w:i/>
          <w:iCs/>
          <w:color w:val="000000" w:themeColor="text1"/>
        </w:rPr>
        <w:t xml:space="preserve">Sets out </w:t>
      </w:r>
      <w:r w:rsidR="005903FD">
        <w:rPr>
          <w:i/>
          <w:iCs/>
          <w:color w:val="000000" w:themeColor="text1"/>
        </w:rPr>
        <w:t xml:space="preserve">our decision on </w:t>
      </w:r>
      <w:r>
        <w:rPr>
          <w:i/>
          <w:iCs/>
          <w:color w:val="000000" w:themeColor="text1"/>
        </w:rPr>
        <w:t>the</w:t>
      </w:r>
      <w:r w:rsidR="0051302A">
        <w:rPr>
          <w:i/>
          <w:iCs/>
          <w:color w:val="000000" w:themeColor="text1"/>
        </w:rPr>
        <w:t xml:space="preserve"> operating costs and the schedule of payments </w:t>
      </w:r>
      <w:r w:rsidR="00BE6AB3">
        <w:rPr>
          <w:i/>
          <w:iCs/>
          <w:color w:val="000000" w:themeColor="text1"/>
        </w:rPr>
        <w:t xml:space="preserve">for </w:t>
      </w:r>
      <w:r w:rsidR="0051302A">
        <w:rPr>
          <w:i/>
          <w:iCs/>
          <w:color w:val="000000" w:themeColor="text1"/>
        </w:rPr>
        <w:t xml:space="preserve">the next </w:t>
      </w:r>
      <w:r w:rsidR="005903FD">
        <w:rPr>
          <w:i/>
          <w:iCs/>
          <w:color w:val="000000" w:themeColor="text1"/>
        </w:rPr>
        <w:t>5 </w:t>
      </w:r>
      <w:r w:rsidR="0051302A">
        <w:rPr>
          <w:i/>
          <w:iCs/>
          <w:color w:val="000000" w:themeColor="text1"/>
        </w:rPr>
        <w:t>years</w:t>
      </w:r>
    </w:p>
    <w:p w14:paraId="483CBD10" w14:textId="3597166C" w:rsidR="0051302A" w:rsidRDefault="0051302A" w:rsidP="0051302A">
      <w:pPr>
        <w:pStyle w:val="ListNumber"/>
        <w:numPr>
          <w:ilvl w:val="0"/>
          <w:numId w:val="0"/>
        </w:numPr>
        <w:ind w:left="360"/>
      </w:pPr>
      <w:r>
        <w:t>Due to commercial sensitivity</w:t>
      </w:r>
      <w:r w:rsidR="006F14CD">
        <w:t xml:space="preserve"> of the contractual arrangements for the SIPS </w:t>
      </w:r>
      <w:r w:rsidR="00B62E7E">
        <w:t>B</w:t>
      </w:r>
      <w:r w:rsidR="006F14CD">
        <w:t xml:space="preserve">attery </w:t>
      </w:r>
      <w:r w:rsidR="00B62E7E">
        <w:t xml:space="preserve">Service </w:t>
      </w:r>
      <w:r w:rsidR="006F14CD">
        <w:t xml:space="preserve">and </w:t>
      </w:r>
      <w:r w:rsidR="00D338A6">
        <w:t>Paired Generation Services</w:t>
      </w:r>
      <w:r>
        <w:t xml:space="preserve">, we </w:t>
      </w:r>
      <w:r w:rsidR="0030327D">
        <w:t>do not publish</w:t>
      </w:r>
      <w:r>
        <w:t xml:space="preserve"> the </w:t>
      </w:r>
      <w:r w:rsidR="0030327D">
        <w:t xml:space="preserve">operating costs </w:t>
      </w:r>
      <w:r w:rsidR="00C00EB4">
        <w:t xml:space="preserve">or the schedule of payments for each revenue determination </w:t>
      </w:r>
      <w:r>
        <w:t>in this report</w:t>
      </w:r>
      <w:r w:rsidR="006F14CD">
        <w:t>. Instead,</w:t>
      </w:r>
      <w:r>
        <w:t xml:space="preserve"> we </w:t>
      </w:r>
      <w:r w:rsidR="00F82111">
        <w:t xml:space="preserve">separately </w:t>
      </w:r>
      <w:r w:rsidR="009A1583">
        <w:t xml:space="preserve">publish </w:t>
      </w:r>
      <w:r w:rsidR="00F82111">
        <w:t xml:space="preserve">on our website </w:t>
      </w:r>
      <w:r>
        <w:t>the aggregated total</w:t>
      </w:r>
      <w:r w:rsidR="009A1583">
        <w:t xml:space="preserve"> </w:t>
      </w:r>
      <w:r w:rsidR="00F82111">
        <w:t>schedule of payments across both contestable determinations</w:t>
      </w:r>
      <w:r w:rsidR="00B62E7E">
        <w:t xml:space="preserve"> </w:t>
      </w:r>
      <w:r w:rsidR="00C04869">
        <w:t xml:space="preserve">in June of </w:t>
      </w:r>
      <w:r w:rsidR="00433AAD">
        <w:t>each year</w:t>
      </w:r>
      <w:r w:rsidR="00C04869">
        <w:t>, where relevant</w:t>
      </w:r>
      <w:r>
        <w:t xml:space="preserve">. </w:t>
      </w:r>
    </w:p>
    <w:p w14:paraId="5D2DEE45" w14:textId="7F8FD68B" w:rsidR="0051302A" w:rsidRPr="004015A3" w:rsidRDefault="0051302A" w:rsidP="0051302A">
      <w:pPr>
        <w:pStyle w:val="ListNumber"/>
        <w:rPr>
          <w:color w:val="000000" w:themeColor="text1"/>
        </w:rPr>
      </w:pPr>
      <w:r>
        <w:rPr>
          <w:i/>
          <w:iCs/>
          <w:color w:val="000000" w:themeColor="text1"/>
        </w:rPr>
        <w:t xml:space="preserve">Sets out the basis on which the schedule of payments may be adjusted </w:t>
      </w:r>
    </w:p>
    <w:p w14:paraId="461AB6A4" w14:textId="13DBC8B1" w:rsidR="0051302A" w:rsidRPr="000B4BAE" w:rsidRDefault="00F20CDC" w:rsidP="0051302A">
      <w:pPr>
        <w:pStyle w:val="Body-regular"/>
        <w:spacing w:line="276" w:lineRule="auto"/>
        <w:ind w:left="426"/>
        <w:rPr>
          <w:color w:val="000000" w:themeColor="text1"/>
        </w:rPr>
      </w:pPr>
      <w:proofErr w:type="spellStart"/>
      <w:r>
        <w:rPr>
          <w:color w:val="000000" w:themeColor="text1"/>
        </w:rPr>
        <w:t>Transgrid’s</w:t>
      </w:r>
      <w:proofErr w:type="spellEnd"/>
      <w:r>
        <w:rPr>
          <w:color w:val="000000" w:themeColor="text1"/>
        </w:rPr>
        <w:t xml:space="preserve"> </w:t>
      </w:r>
      <w:r w:rsidR="009A1583">
        <w:rPr>
          <w:color w:val="000000" w:themeColor="text1"/>
        </w:rPr>
        <w:t>schedule of payments (for both determinations)</w:t>
      </w:r>
      <w:r>
        <w:rPr>
          <w:color w:val="000000" w:themeColor="text1"/>
        </w:rPr>
        <w:t xml:space="preserve"> </w:t>
      </w:r>
      <w:r w:rsidR="0051302A" w:rsidRPr="00BC4ADC">
        <w:rPr>
          <w:color w:val="000000" w:themeColor="text1"/>
        </w:rPr>
        <w:t xml:space="preserve">is subject to adjustments that </w:t>
      </w:r>
      <w:r>
        <w:rPr>
          <w:color w:val="000000" w:themeColor="text1"/>
        </w:rPr>
        <w:t>we approve duri</w:t>
      </w:r>
      <w:r w:rsidR="0051302A" w:rsidRPr="00BC4ADC">
        <w:rPr>
          <w:color w:val="000000" w:themeColor="text1"/>
        </w:rPr>
        <w:t xml:space="preserve">ng the </w:t>
      </w:r>
      <w:r w:rsidR="009A1583">
        <w:rPr>
          <w:color w:val="000000" w:themeColor="text1"/>
        </w:rPr>
        <w:t>contract term</w:t>
      </w:r>
      <w:r w:rsidR="0051302A" w:rsidRPr="00BC4ADC">
        <w:rPr>
          <w:color w:val="000000" w:themeColor="text1"/>
        </w:rPr>
        <w:t xml:space="preserve">. </w:t>
      </w:r>
      <w:r>
        <w:rPr>
          <w:color w:val="000000" w:themeColor="text1"/>
        </w:rPr>
        <w:t xml:space="preserve">These </w:t>
      </w:r>
      <w:r w:rsidR="009A1583">
        <w:rPr>
          <w:color w:val="000000" w:themeColor="text1"/>
        </w:rPr>
        <w:t xml:space="preserve">adjustments </w:t>
      </w:r>
      <w:r>
        <w:rPr>
          <w:color w:val="000000" w:themeColor="text1"/>
        </w:rPr>
        <w:t>may affect the payment amount or</w:t>
      </w:r>
      <w:r w:rsidR="00A545AC">
        <w:rPr>
          <w:color w:val="000000" w:themeColor="text1"/>
        </w:rPr>
        <w:t xml:space="preserve"> the</w:t>
      </w:r>
      <w:r>
        <w:rPr>
          <w:color w:val="000000" w:themeColor="text1"/>
        </w:rPr>
        <w:t xml:space="preserve"> timing</w:t>
      </w:r>
      <w:r w:rsidR="009A1583">
        <w:rPr>
          <w:color w:val="000000" w:themeColor="text1"/>
        </w:rPr>
        <w:t xml:space="preserve"> of payment</w:t>
      </w:r>
      <w:r w:rsidR="00F82111">
        <w:rPr>
          <w:color w:val="000000" w:themeColor="text1"/>
        </w:rPr>
        <w:t>s</w:t>
      </w:r>
      <w:r w:rsidR="00B66292">
        <w:rPr>
          <w:color w:val="000000" w:themeColor="text1"/>
        </w:rPr>
        <w:t xml:space="preserve">. </w:t>
      </w:r>
    </w:p>
    <w:p w14:paraId="1764C4C9" w14:textId="48766A09" w:rsidR="0051302A" w:rsidRDefault="0051302A" w:rsidP="005866DF">
      <w:pPr>
        <w:ind w:left="426"/>
        <w:rPr>
          <w:lang w:eastAsia="ja-JP"/>
        </w:rPr>
      </w:pPr>
      <w:r w:rsidRPr="00643205">
        <w:rPr>
          <w:lang w:eastAsia="ja-JP"/>
        </w:rPr>
        <w:t xml:space="preserve">The SFV is required to pay Transgrid </w:t>
      </w:r>
      <w:r w:rsidR="004B70CD">
        <w:rPr>
          <w:lang w:eastAsia="ja-JP"/>
        </w:rPr>
        <w:t xml:space="preserve">the </w:t>
      </w:r>
      <w:r w:rsidRPr="00643205">
        <w:rPr>
          <w:lang w:eastAsia="ja-JP"/>
        </w:rPr>
        <w:t>amounts set out in the schedule of payments on the dates confirmed in</w:t>
      </w:r>
      <w:r w:rsidR="00560485">
        <w:rPr>
          <w:lang w:eastAsia="ja-JP"/>
        </w:rPr>
        <w:t xml:space="preserve"> our revenue determinations</w:t>
      </w:r>
      <w:r>
        <w:rPr>
          <w:lang w:eastAsia="ja-JP"/>
        </w:rPr>
        <w:t xml:space="preserve">. </w:t>
      </w:r>
      <w:r w:rsidRPr="00643205">
        <w:rPr>
          <w:lang w:eastAsia="ja-JP"/>
        </w:rPr>
        <w:t xml:space="preserve">The costs associated </w:t>
      </w:r>
      <w:r w:rsidR="00551D31">
        <w:rPr>
          <w:lang w:eastAsia="ja-JP"/>
        </w:rPr>
        <w:t xml:space="preserve">with these </w:t>
      </w:r>
      <w:r>
        <w:rPr>
          <w:lang w:eastAsia="ja-JP"/>
        </w:rPr>
        <w:t xml:space="preserve">services </w:t>
      </w:r>
      <w:r w:rsidRPr="00643205">
        <w:rPr>
          <w:lang w:eastAsia="ja-JP"/>
        </w:rPr>
        <w:t xml:space="preserve">are part of the total costs of the NSW Electricity Infrastructure Roadmap. The </w:t>
      </w:r>
      <w:proofErr w:type="gramStart"/>
      <w:r w:rsidRPr="00643205">
        <w:rPr>
          <w:lang w:eastAsia="ja-JP"/>
        </w:rPr>
        <w:t>Roadmap</w:t>
      </w:r>
      <w:proofErr w:type="gramEnd"/>
      <w:r w:rsidRPr="00643205">
        <w:rPr>
          <w:lang w:eastAsia="ja-JP"/>
        </w:rPr>
        <w:t xml:space="preserve"> is funded from amounts recovered from the NSW distributors through a jurisdictional scheme arrangement. The amounts are passed on to NSW electricity </w:t>
      </w:r>
      <w:r w:rsidRPr="00EB6C22">
        <w:rPr>
          <w:lang w:eastAsia="ja-JP"/>
        </w:rPr>
        <w:t xml:space="preserve">consumers via their electricity retail bills. </w:t>
      </w:r>
    </w:p>
    <w:p w14:paraId="3E6DB5CE" w14:textId="77777777" w:rsidR="0051302A" w:rsidRDefault="0051302A" w:rsidP="0051302A">
      <w:pPr>
        <w:pStyle w:val="Heading4"/>
        <w:numPr>
          <w:ilvl w:val="0"/>
          <w:numId w:val="0"/>
        </w:numPr>
        <w:ind w:left="720" w:hanging="720"/>
        <w:rPr>
          <w:lang w:eastAsia="ja-JP"/>
        </w:rPr>
      </w:pPr>
      <w:r>
        <w:rPr>
          <w:lang w:eastAsia="ja-JP"/>
        </w:rPr>
        <w:t>Reference documents</w:t>
      </w:r>
    </w:p>
    <w:p w14:paraId="12188F3E" w14:textId="137A38BB" w:rsidR="0051302A" w:rsidRDefault="0051302A" w:rsidP="0051302A">
      <w:r>
        <w:t>This decision document should be read alongside</w:t>
      </w:r>
      <w:r w:rsidR="00B45D72">
        <w:t xml:space="preserve"> our</w:t>
      </w:r>
      <w:r>
        <w:t>:</w:t>
      </w:r>
    </w:p>
    <w:p w14:paraId="533BEE9A" w14:textId="01CEC30D" w:rsidR="0051302A" w:rsidRDefault="00C04869" w:rsidP="00AF24FB">
      <w:pPr>
        <w:pStyle w:val="ListParagraph"/>
        <w:numPr>
          <w:ilvl w:val="0"/>
          <w:numId w:val="17"/>
        </w:numPr>
      </w:pPr>
      <w:hyperlink r:id="rId21" w:history="1">
        <w:r>
          <w:rPr>
            <w:rStyle w:val="Hyperlink"/>
          </w:rPr>
          <w:t>R</w:t>
        </w:r>
        <w:r w:rsidR="00D338A6">
          <w:rPr>
            <w:rStyle w:val="Hyperlink"/>
          </w:rPr>
          <w:t>evenue determination</w:t>
        </w:r>
        <w:r w:rsidR="0051302A" w:rsidRPr="00C754FB">
          <w:rPr>
            <w:rStyle w:val="Hyperlink"/>
          </w:rPr>
          <w:t xml:space="preserve"> guideline for NSW contestable network projects</w:t>
        </w:r>
      </w:hyperlink>
      <w:r w:rsidR="0051302A">
        <w:t>,</w:t>
      </w:r>
      <w:r w:rsidR="00A61080">
        <w:t xml:space="preserve"> and</w:t>
      </w:r>
    </w:p>
    <w:p w14:paraId="3A43A936" w14:textId="7F3A1873" w:rsidR="00AF63C5" w:rsidRDefault="00551D31" w:rsidP="00AF24FB">
      <w:pPr>
        <w:pStyle w:val="ListParagraph"/>
        <w:numPr>
          <w:ilvl w:val="0"/>
          <w:numId w:val="17"/>
        </w:numPr>
      </w:pPr>
      <w:hyperlink r:id="rId22" w:history="1">
        <w:r w:rsidRPr="00551D31">
          <w:rPr>
            <w:rStyle w:val="Hyperlink"/>
          </w:rPr>
          <w:t>Network augmentation and SIPS control system non-contestable revenue determination</w:t>
        </w:r>
      </w:hyperlink>
      <w:r w:rsidR="0051302A">
        <w:t>.</w:t>
      </w:r>
    </w:p>
    <w:p w14:paraId="2A960054" w14:textId="445F1674" w:rsidR="002A6310" w:rsidRDefault="002A6310" w:rsidP="002A6310">
      <w:pPr>
        <w:pStyle w:val="Heading2"/>
      </w:pPr>
      <w:bookmarkStart w:id="2" w:name="_Toc241088701"/>
      <w:r w:rsidRPr="002A6310">
        <w:lastRenderedPageBreak/>
        <w:t>Regulatory framework</w:t>
      </w:r>
      <w:bookmarkEnd w:id="2"/>
    </w:p>
    <w:p w14:paraId="20A05FE2" w14:textId="1434BBE8" w:rsidR="00840773" w:rsidRDefault="002A6310" w:rsidP="002A6310">
      <w:r w:rsidRPr="00283BED">
        <w:t xml:space="preserve">The AER was appointed as a Regulator under the </w:t>
      </w:r>
      <w:r w:rsidRPr="00D40414">
        <w:rPr>
          <w:i/>
          <w:iCs/>
        </w:rPr>
        <w:t>Electricity Infrastructure Investment Act 2020</w:t>
      </w:r>
      <w:r>
        <w:t xml:space="preserve"> (</w:t>
      </w:r>
      <w:r w:rsidRPr="00283BED">
        <w:t>EII Act</w:t>
      </w:r>
      <w:r>
        <w:t>)</w:t>
      </w:r>
      <w:r w:rsidRPr="00283BED">
        <w:t xml:space="preserve"> in November </w:t>
      </w:r>
      <w:r>
        <w:t>2021.</w:t>
      </w:r>
      <w:r w:rsidRPr="00283BED">
        <w:t xml:space="preserve"> </w:t>
      </w:r>
      <w:r w:rsidR="004B70CD">
        <w:t xml:space="preserve">One of the </w:t>
      </w:r>
      <w:r w:rsidR="00840773">
        <w:t xml:space="preserve">AER’s </w:t>
      </w:r>
      <w:r w:rsidRPr="00283BED">
        <w:t>key function</w:t>
      </w:r>
      <w:r w:rsidR="004B70CD">
        <w:t>s</w:t>
      </w:r>
      <w:r w:rsidRPr="00283BED">
        <w:t xml:space="preserve"> </w:t>
      </w:r>
      <w:r>
        <w:t xml:space="preserve">is to make revenue determinations </w:t>
      </w:r>
      <w:r w:rsidRPr="00283BED">
        <w:t xml:space="preserve">for </w:t>
      </w:r>
      <w:r>
        <w:t>Network Operator</w:t>
      </w:r>
      <w:r w:rsidRPr="00283BED">
        <w:t xml:space="preserve">s </w:t>
      </w:r>
      <w:r w:rsidR="00840773">
        <w:t>carrying</w:t>
      </w:r>
      <w:r w:rsidRPr="00283BED">
        <w:t xml:space="preserve"> out network infrastructure projects</w:t>
      </w:r>
      <w:r w:rsidR="00A61080">
        <w:t xml:space="preserve"> in NSW</w:t>
      </w:r>
      <w:r w:rsidRPr="00283BED">
        <w:t>.</w:t>
      </w:r>
      <w:r w:rsidR="00811915">
        <w:rPr>
          <w:rStyle w:val="FootnoteReference"/>
        </w:rPr>
        <w:footnoteReference w:id="5"/>
      </w:r>
      <w:r w:rsidR="00283DBF" w:rsidRPr="00283DBF">
        <w:t xml:space="preserve"> </w:t>
      </w:r>
    </w:p>
    <w:p w14:paraId="6D504ACF" w14:textId="36999D44" w:rsidR="001511CF" w:rsidRDefault="006D0E75" w:rsidP="002A6310">
      <w:r>
        <w:t xml:space="preserve">The Infrastructure Planner can </w:t>
      </w:r>
      <w:r w:rsidRPr="00283BED">
        <w:t>undertake a competitive assessment proce</w:t>
      </w:r>
      <w:r>
        <w:t xml:space="preserve">ss to select a Network Operator (or a person to assist a Network Operator) </w:t>
      </w:r>
      <w:r w:rsidR="002A6310">
        <w:t xml:space="preserve">to carry out </w:t>
      </w:r>
      <w:r w:rsidR="002A6310" w:rsidRPr="00283BED">
        <w:t>all or part of a network infrastructure project.</w:t>
      </w:r>
      <w:r w:rsidR="00283DBF">
        <w:t xml:space="preserve"> </w:t>
      </w:r>
      <w:r w:rsidR="002A6310">
        <w:t>Following a</w:t>
      </w:r>
      <w:r w:rsidR="002A6310" w:rsidDel="00DC6AC1">
        <w:t xml:space="preserve"> </w:t>
      </w:r>
      <w:r w:rsidR="002A6310">
        <w:t>competitive assessment process, a</w:t>
      </w:r>
      <w:r w:rsidR="002A6310" w:rsidRPr="00B268B0">
        <w:t xml:space="preserve"> Network Operator</w:t>
      </w:r>
      <w:r w:rsidR="005F6583">
        <w:t xml:space="preserve"> must</w:t>
      </w:r>
      <w:r w:rsidR="002A6310" w:rsidRPr="00B268B0">
        <w:t xml:space="preserve"> submit a revenue proposal to the AER</w:t>
      </w:r>
      <w:r w:rsidR="002A6310">
        <w:t xml:space="preserve"> setting out the amount it proposes to be paid for carrying out the network infrastructure project.</w:t>
      </w:r>
      <w:r w:rsidR="002A6310" w:rsidRPr="00B268B0">
        <w:t xml:space="preserve"> </w:t>
      </w:r>
      <w:r w:rsidR="005F6583">
        <w:t>The proposal must be consistent with the outcome of the competitive assessment process.</w:t>
      </w:r>
      <w:r>
        <w:rPr>
          <w:rStyle w:val="FootnoteReference"/>
        </w:rPr>
        <w:footnoteReference w:id="6"/>
      </w:r>
      <w:r w:rsidR="005F6583">
        <w:t xml:space="preserve"> </w:t>
      </w:r>
    </w:p>
    <w:p w14:paraId="1B686F1F" w14:textId="4A56DC0D" w:rsidR="001511CF" w:rsidRDefault="006675AA" w:rsidP="00B104A0">
      <w:pPr>
        <w:spacing w:after="0"/>
      </w:pPr>
      <w:r>
        <w:t>When making a revenue determination w</w:t>
      </w:r>
      <w:r w:rsidR="00B104A0">
        <w:t xml:space="preserve">e must </w:t>
      </w:r>
      <w:r>
        <w:t>consider</w:t>
      </w:r>
      <w:r w:rsidR="00B104A0">
        <w:t xml:space="preserve"> </w:t>
      </w:r>
      <w:r w:rsidR="00B104A0" w:rsidRPr="004D6015">
        <w:t xml:space="preserve">a number of principles, including that a Network Operator is entitled to </w:t>
      </w:r>
      <w:r w:rsidR="00B104A0">
        <w:t xml:space="preserve">the prudent, efficient and </w:t>
      </w:r>
      <w:r w:rsidR="00B104A0" w:rsidRPr="004D6015">
        <w:t>reasonable costs incurred in carrying out the infrastructure project</w:t>
      </w:r>
      <w:r w:rsidR="00B104A0">
        <w:t>.</w:t>
      </w:r>
      <w:r w:rsidR="00B104A0">
        <w:rPr>
          <w:rStyle w:val="FootnoteReference"/>
        </w:rPr>
        <w:footnoteReference w:id="7"/>
      </w:r>
      <w:r w:rsidR="00B104A0">
        <w:t xml:space="preserve"> </w:t>
      </w:r>
      <w:r w:rsidR="001511CF">
        <w:t>If</w:t>
      </w:r>
      <w:r w:rsidR="001511CF" w:rsidRPr="00B268B0">
        <w:t xml:space="preserve"> we are satisfied that the competitive assessment process was genuine and appropriate</w:t>
      </w:r>
      <w:r w:rsidR="008A54E2">
        <w:t xml:space="preserve"> and</w:t>
      </w:r>
      <w:r w:rsidR="001511CF" w:rsidRPr="00B268B0">
        <w:t xml:space="preserve"> we </w:t>
      </w:r>
      <w:r w:rsidR="009D10CB">
        <w:t>consider</w:t>
      </w:r>
      <w:r w:rsidR="001511CF" w:rsidRPr="00B268B0">
        <w:t xml:space="preserve"> th</w:t>
      </w:r>
      <w:r w:rsidR="009D10CB">
        <w:t>e</w:t>
      </w:r>
      <w:r>
        <w:t xml:space="preserve"> principles have been </w:t>
      </w:r>
      <w:r w:rsidR="001511CF" w:rsidRPr="00B268B0">
        <w:t>met</w:t>
      </w:r>
      <w:r w:rsidR="008A54E2">
        <w:t>,</w:t>
      </w:r>
      <w:r w:rsidR="001511CF" w:rsidRPr="00B268B0">
        <w:t xml:space="preserve"> we would </w:t>
      </w:r>
      <w:r>
        <w:t>make a</w:t>
      </w:r>
      <w:r w:rsidR="001511CF" w:rsidRPr="00B268B0">
        <w:t xml:space="preserve"> revenue determination consistent with the outcome</w:t>
      </w:r>
      <w:r w:rsidR="001511CF">
        <w:t>s</w:t>
      </w:r>
      <w:r w:rsidR="001511CF" w:rsidRPr="00B268B0">
        <w:t xml:space="preserve"> of the process.</w:t>
      </w:r>
      <w:r w:rsidRPr="006675AA">
        <w:t xml:space="preserve"> </w:t>
      </w:r>
      <w:r w:rsidRPr="00B268B0">
        <w:t xml:space="preserve">Once we have </w:t>
      </w:r>
      <w:proofErr w:type="gramStart"/>
      <w:r w:rsidRPr="00B268B0">
        <w:t>made a determination</w:t>
      </w:r>
      <w:proofErr w:type="gramEnd"/>
      <w:r w:rsidR="00B45D72">
        <w:t>,</w:t>
      </w:r>
      <w:r w:rsidRPr="00B268B0">
        <w:t xml:space="preserve"> the </w:t>
      </w:r>
      <w:r>
        <w:t>SFV</w:t>
      </w:r>
      <w:r w:rsidRPr="00B268B0">
        <w:t xml:space="preserve"> is required to pay the Network Operator in accordance with it</w:t>
      </w:r>
      <w:r>
        <w:t>.</w:t>
      </w:r>
      <w:r>
        <w:rPr>
          <w:rStyle w:val="FootnoteReference"/>
        </w:rPr>
        <w:footnoteReference w:id="8"/>
      </w:r>
    </w:p>
    <w:p w14:paraId="0D9E5FC9" w14:textId="72FE6508" w:rsidR="008A238E" w:rsidRPr="006476A9" w:rsidRDefault="008A238E" w:rsidP="006476A9">
      <w:pPr>
        <w:pStyle w:val="Heading4"/>
        <w:numPr>
          <w:ilvl w:val="0"/>
          <w:numId w:val="0"/>
        </w:numPr>
        <w:ind w:left="720" w:hanging="720"/>
        <w:rPr>
          <w:lang w:eastAsia="ja-JP"/>
        </w:rPr>
      </w:pPr>
      <w:r w:rsidRPr="006476A9">
        <w:rPr>
          <w:lang w:eastAsia="ja-JP"/>
        </w:rPr>
        <w:t xml:space="preserve">Review and remake of a revenue determination </w:t>
      </w:r>
    </w:p>
    <w:p w14:paraId="3806D37F" w14:textId="24567120" w:rsidR="00840773" w:rsidRDefault="006675AA" w:rsidP="006675AA">
      <w:pPr>
        <w:pStyle w:val="Normalsmall"/>
        <w:rPr>
          <w:sz w:val="22"/>
          <w:szCs w:val="22"/>
        </w:rPr>
      </w:pPr>
      <w:r>
        <w:rPr>
          <w:sz w:val="22"/>
          <w:szCs w:val="22"/>
        </w:rPr>
        <w:t>We</w:t>
      </w:r>
      <w:r w:rsidR="002A6310">
        <w:rPr>
          <w:sz w:val="22"/>
          <w:szCs w:val="22"/>
        </w:rPr>
        <w:t xml:space="preserve"> may review and remake a revenue determination at any time, subject to the regulations.</w:t>
      </w:r>
      <w:r w:rsidR="00811915">
        <w:rPr>
          <w:rStyle w:val="FootnoteReference"/>
          <w:sz w:val="22"/>
          <w:szCs w:val="22"/>
        </w:rPr>
        <w:footnoteReference w:id="9"/>
      </w:r>
      <w:r w:rsidR="002A6310">
        <w:rPr>
          <w:sz w:val="22"/>
          <w:szCs w:val="22"/>
        </w:rPr>
        <w:t xml:space="preserve"> </w:t>
      </w:r>
      <w:r w:rsidR="008D1165">
        <w:rPr>
          <w:sz w:val="22"/>
          <w:szCs w:val="22"/>
        </w:rPr>
        <w:t xml:space="preserve">The EII Regulation </w:t>
      </w:r>
      <w:r w:rsidR="008B7AF4">
        <w:rPr>
          <w:sz w:val="22"/>
          <w:szCs w:val="22"/>
        </w:rPr>
        <w:t>lists</w:t>
      </w:r>
      <w:r w:rsidR="008D1165">
        <w:rPr>
          <w:sz w:val="22"/>
          <w:szCs w:val="22"/>
        </w:rPr>
        <w:t xml:space="preserve"> several circumstances that may lead to a review and remake of a revenue determination</w:t>
      </w:r>
      <w:r w:rsidR="00C23A03">
        <w:rPr>
          <w:rStyle w:val="FootnoteReference"/>
          <w:sz w:val="22"/>
          <w:szCs w:val="22"/>
        </w:rPr>
        <w:footnoteReference w:id="10"/>
      </w:r>
      <w:r w:rsidR="00C039E4">
        <w:rPr>
          <w:sz w:val="22"/>
          <w:szCs w:val="22"/>
        </w:rPr>
        <w:t xml:space="preserve"> but our ability is</w:t>
      </w:r>
      <w:r w:rsidR="00C23A03">
        <w:rPr>
          <w:sz w:val="22"/>
          <w:szCs w:val="22"/>
        </w:rPr>
        <w:t xml:space="preserve"> not limited</w:t>
      </w:r>
      <w:r w:rsidR="008D1165">
        <w:rPr>
          <w:sz w:val="22"/>
          <w:szCs w:val="22"/>
        </w:rPr>
        <w:t xml:space="preserve"> to the</w:t>
      </w:r>
      <w:r w:rsidR="00C23A03">
        <w:rPr>
          <w:sz w:val="22"/>
          <w:szCs w:val="22"/>
        </w:rPr>
        <w:t>se</w:t>
      </w:r>
      <w:r w:rsidR="002A6310">
        <w:rPr>
          <w:sz w:val="22"/>
          <w:szCs w:val="22"/>
        </w:rPr>
        <w:t xml:space="preserve"> circumstances.</w:t>
      </w:r>
      <w:r w:rsidR="008B7AF4">
        <w:rPr>
          <w:sz w:val="22"/>
          <w:szCs w:val="22"/>
        </w:rPr>
        <w:t xml:space="preserve"> </w:t>
      </w:r>
    </w:p>
    <w:p w14:paraId="1D943DA3" w14:textId="11D9A67A" w:rsidR="009D10CB" w:rsidRPr="006675AA" w:rsidRDefault="009D10CB" w:rsidP="009D10CB">
      <w:r>
        <w:t>When reviewing and remaking a revenue determination, we will act consistently with the outcome of the revenue determination that was made following a genuine and appropriate competitive assessment process. For clarity, we do not reassess whether the competitive assessment process was genuine and appropriate when remaking the determination.</w:t>
      </w:r>
      <w:r>
        <w:rPr>
          <w:rStyle w:val="FootnoteReference"/>
        </w:rPr>
        <w:footnoteReference w:id="11"/>
      </w:r>
    </w:p>
    <w:p w14:paraId="10226415" w14:textId="1D4FCD35" w:rsidR="00840773" w:rsidRPr="006476A9" w:rsidRDefault="00840773" w:rsidP="006476A9">
      <w:pPr>
        <w:pStyle w:val="Heading4"/>
        <w:numPr>
          <w:ilvl w:val="0"/>
          <w:numId w:val="0"/>
        </w:numPr>
        <w:ind w:left="720" w:hanging="720"/>
        <w:rPr>
          <w:lang w:eastAsia="ja-JP"/>
        </w:rPr>
      </w:pPr>
      <w:r w:rsidRPr="006476A9">
        <w:rPr>
          <w:lang w:eastAsia="ja-JP"/>
        </w:rPr>
        <w:t>Publication</w:t>
      </w:r>
    </w:p>
    <w:p w14:paraId="17750419" w14:textId="412936BB" w:rsidR="002A6310" w:rsidRPr="004D6015" w:rsidRDefault="008B7AF4" w:rsidP="002A6310">
      <w:pPr>
        <w:pStyle w:val="Normalsmall"/>
        <w:rPr>
          <w:sz w:val="22"/>
          <w:szCs w:val="22"/>
        </w:rPr>
      </w:pPr>
      <w:r>
        <w:rPr>
          <w:sz w:val="22"/>
          <w:szCs w:val="22"/>
        </w:rPr>
        <w:t>W</w:t>
      </w:r>
      <w:r w:rsidR="002A6310">
        <w:rPr>
          <w:sz w:val="22"/>
          <w:szCs w:val="22"/>
        </w:rPr>
        <w:t>e must publish a notice on our website if a determination is made or remade.</w:t>
      </w:r>
      <w:r>
        <w:rPr>
          <w:rStyle w:val="FootnoteReference"/>
          <w:sz w:val="22"/>
          <w:szCs w:val="22"/>
        </w:rPr>
        <w:footnoteReference w:id="12"/>
      </w:r>
      <w:r w:rsidR="002A6310">
        <w:rPr>
          <w:sz w:val="22"/>
          <w:szCs w:val="22"/>
        </w:rPr>
        <w:t xml:space="preserve"> The notice must include</w:t>
      </w:r>
      <w:r w:rsidR="001C292B">
        <w:rPr>
          <w:sz w:val="22"/>
          <w:szCs w:val="22"/>
        </w:rPr>
        <w:t xml:space="preserve"> a summary of the revenue determination</w:t>
      </w:r>
      <w:r w:rsidR="00DD103D">
        <w:rPr>
          <w:sz w:val="22"/>
          <w:szCs w:val="22"/>
        </w:rPr>
        <w:t xml:space="preserve"> and</w:t>
      </w:r>
      <w:r w:rsidR="001C292B">
        <w:rPr>
          <w:sz w:val="22"/>
          <w:szCs w:val="22"/>
        </w:rPr>
        <w:t xml:space="preserve"> the NER equivalent capital costs</w:t>
      </w:r>
      <w:r w:rsidR="00FD0FC8">
        <w:rPr>
          <w:sz w:val="22"/>
          <w:szCs w:val="22"/>
        </w:rPr>
        <w:t xml:space="preserve"> (if relevant)</w:t>
      </w:r>
      <w:r w:rsidR="00DD103D">
        <w:rPr>
          <w:sz w:val="22"/>
          <w:szCs w:val="22"/>
        </w:rPr>
        <w:t>. We must also publish</w:t>
      </w:r>
      <w:r w:rsidR="001C292B">
        <w:rPr>
          <w:sz w:val="22"/>
          <w:szCs w:val="22"/>
        </w:rPr>
        <w:t xml:space="preserve"> the reasons for making</w:t>
      </w:r>
      <w:r w:rsidR="00DD103D">
        <w:rPr>
          <w:sz w:val="22"/>
          <w:szCs w:val="22"/>
        </w:rPr>
        <w:t xml:space="preserve"> or remaking</w:t>
      </w:r>
      <w:r w:rsidR="001C292B">
        <w:rPr>
          <w:sz w:val="22"/>
          <w:szCs w:val="22"/>
        </w:rPr>
        <w:t xml:space="preserve"> the revenue determination.</w:t>
      </w:r>
      <w:r>
        <w:rPr>
          <w:rStyle w:val="FootnoteReference"/>
          <w:sz w:val="22"/>
          <w:szCs w:val="22"/>
        </w:rPr>
        <w:footnoteReference w:id="13"/>
      </w:r>
      <w:r w:rsidR="002A6310">
        <w:rPr>
          <w:sz w:val="22"/>
          <w:szCs w:val="22"/>
        </w:rPr>
        <w:t xml:space="preserve"> </w:t>
      </w:r>
      <w:r w:rsidR="00FD0FC8">
        <w:rPr>
          <w:sz w:val="22"/>
          <w:szCs w:val="22"/>
        </w:rPr>
        <w:t xml:space="preserve">This summary report </w:t>
      </w:r>
      <w:r w:rsidR="00DD103D">
        <w:rPr>
          <w:sz w:val="22"/>
          <w:szCs w:val="22"/>
        </w:rPr>
        <w:t>has been prepared to address these publication requirements</w:t>
      </w:r>
      <w:r w:rsidR="00FD0FC8">
        <w:rPr>
          <w:sz w:val="22"/>
          <w:szCs w:val="22"/>
        </w:rPr>
        <w:t>.</w:t>
      </w:r>
    </w:p>
    <w:p w14:paraId="37BB33B4" w14:textId="2CDF381B" w:rsidR="002A6310" w:rsidRDefault="001511CF" w:rsidP="002A6310">
      <w:pPr>
        <w:pStyle w:val="Heading2"/>
      </w:pPr>
      <w:bookmarkStart w:id="3" w:name="_Toc241088702"/>
      <w:r>
        <w:lastRenderedPageBreak/>
        <w:t>Paired Generation Services</w:t>
      </w:r>
      <w:bookmarkEnd w:id="3"/>
    </w:p>
    <w:p w14:paraId="0E629823" w14:textId="2268C545" w:rsidR="008124D0" w:rsidRDefault="008124D0" w:rsidP="009F3D4C">
      <w:r w:rsidRPr="00C673A8">
        <w:t xml:space="preserve">The </w:t>
      </w:r>
      <w:r w:rsidR="005866DF">
        <w:t>P</w:t>
      </w:r>
      <w:r>
        <w:t>aired</w:t>
      </w:r>
      <w:r w:rsidR="005866DF">
        <w:t xml:space="preserve"> G</w:t>
      </w:r>
      <w:r>
        <w:t xml:space="preserve">eneration </w:t>
      </w:r>
      <w:r w:rsidR="005866DF">
        <w:t>S</w:t>
      </w:r>
      <w:r w:rsidRPr="00C673A8">
        <w:t xml:space="preserve">ervice is </w:t>
      </w:r>
      <w:r>
        <w:t xml:space="preserve">provided by </w:t>
      </w:r>
      <w:r w:rsidRPr="00C673A8">
        <w:t xml:space="preserve">a portfolio of generators that </w:t>
      </w:r>
      <w:r w:rsidR="00044109">
        <w:t xml:space="preserve">are </w:t>
      </w:r>
      <w:r w:rsidR="00B42634">
        <w:t>contracted</w:t>
      </w:r>
      <w:r w:rsidR="00044109">
        <w:t xml:space="preserve"> to </w:t>
      </w:r>
      <w:r w:rsidRPr="00C673A8">
        <w:t xml:space="preserve">rapidly reduce power output in response to a signal from the Network Operator (via the SIPS), under a contingency event. The signal </w:t>
      </w:r>
      <w:r>
        <w:t xml:space="preserve">instructs a generator to ramp down its power output, at a specified rate, until the network constraint caused by the contingency event is resolved. A generator must maintain the reduced power output for 15 minutes from the </w:t>
      </w:r>
      <w:r w:rsidR="00B42634">
        <w:t>end</w:t>
      </w:r>
      <w:r>
        <w:t xml:space="preserve"> of the SIPS ramp down signal.</w:t>
      </w:r>
    </w:p>
    <w:p w14:paraId="2C98D96E" w14:textId="42BC3D7E" w:rsidR="00094782" w:rsidRPr="006476A9" w:rsidRDefault="00094782" w:rsidP="006476A9">
      <w:pPr>
        <w:pStyle w:val="Heading4"/>
        <w:numPr>
          <w:ilvl w:val="0"/>
          <w:numId w:val="0"/>
        </w:numPr>
        <w:ind w:left="720" w:hanging="720"/>
        <w:rPr>
          <w:lang w:eastAsia="ja-JP"/>
        </w:rPr>
      </w:pPr>
      <w:r w:rsidRPr="006476A9">
        <w:rPr>
          <w:lang w:eastAsia="ja-JP"/>
        </w:rPr>
        <w:t>Competitive assessment processes</w:t>
      </w:r>
    </w:p>
    <w:p w14:paraId="5E5B34DF" w14:textId="66BC2BEB" w:rsidR="00AB22D2" w:rsidRDefault="008124D0" w:rsidP="008124D0">
      <w:r w:rsidRPr="00082BFF">
        <w:t xml:space="preserve">EnergyCo </w:t>
      </w:r>
      <w:r>
        <w:t>conducted its first competitive assessment process from August 2022 to September 2023, and three service providers were selected</w:t>
      </w:r>
      <w:r w:rsidRPr="00082BFF">
        <w:t>.</w:t>
      </w:r>
      <w:r>
        <w:t xml:space="preserve"> We </w:t>
      </w:r>
      <w:r w:rsidR="00AB22D2">
        <w:t xml:space="preserve">assessed the process as per our </w:t>
      </w:r>
      <w:r w:rsidR="005224CD">
        <w:rPr>
          <w:i/>
          <w:iCs/>
        </w:rPr>
        <w:t>R</w:t>
      </w:r>
      <w:r w:rsidR="00D338A6">
        <w:rPr>
          <w:i/>
          <w:iCs/>
        </w:rPr>
        <w:t>evenue determination</w:t>
      </w:r>
      <w:r w:rsidR="00AB22D2" w:rsidRPr="008A3267">
        <w:rPr>
          <w:i/>
          <w:iCs/>
        </w:rPr>
        <w:t xml:space="preserve"> guideline for NSW contestable network projects</w:t>
      </w:r>
      <w:r w:rsidR="00AB22D2">
        <w:t xml:space="preserve"> and </w:t>
      </w:r>
      <w:r>
        <w:t>decided the competitive assessment process was genuine and appropriate</w:t>
      </w:r>
      <w:r w:rsidR="00E351E2">
        <w:t xml:space="preserve"> in</w:t>
      </w:r>
      <w:r>
        <w:t xml:space="preserve"> 2023. </w:t>
      </w:r>
    </w:p>
    <w:p w14:paraId="61BDFA0E" w14:textId="77777777" w:rsidR="00E43833" w:rsidRDefault="00AB22D2" w:rsidP="00AB22D2">
      <w:r>
        <w:t xml:space="preserve">Consistent with the outcomes of the competitive assessment process, Transgrid contracted with </w:t>
      </w:r>
      <w:r w:rsidRPr="00E004DE">
        <w:t>FRV – Metz Solar Farm</w:t>
      </w:r>
      <w:r>
        <w:t xml:space="preserve">, </w:t>
      </w:r>
      <w:r w:rsidRPr="00E004DE">
        <w:t>Snowy Hydro – Tumut 3 Pumped Hydro Facility</w:t>
      </w:r>
      <w:r>
        <w:t xml:space="preserve"> and </w:t>
      </w:r>
      <w:r w:rsidRPr="00D525A1">
        <w:t>CWP Renewables – Sapphire Wind Farm</w:t>
      </w:r>
      <w:r>
        <w:t xml:space="preserve"> for the provision of </w:t>
      </w:r>
      <w:r w:rsidR="00D338A6">
        <w:t>Paired Generation Services</w:t>
      </w:r>
      <w:r>
        <w:t xml:space="preserve">. </w:t>
      </w:r>
    </w:p>
    <w:p w14:paraId="53D8A729" w14:textId="52DF7334" w:rsidR="00AB22D2" w:rsidRDefault="00AB22D2" w:rsidP="00AB22D2">
      <w:r>
        <w:t xml:space="preserve">Service providers must provide the </w:t>
      </w:r>
      <w:r w:rsidR="00D338A6">
        <w:t>Paired Generation Services</w:t>
      </w:r>
      <w:r>
        <w:t xml:space="preserve"> until the end of the SIPS battery service project term </w:t>
      </w:r>
      <w:r w:rsidR="00D338A6">
        <w:t>unless otherwise specified</w:t>
      </w:r>
      <w:r>
        <w:t xml:space="preserve"> in the Paired Generation Services Agreement</w:t>
      </w:r>
      <w:r w:rsidR="000906FD">
        <w:t>s</w:t>
      </w:r>
      <w:r>
        <w:t xml:space="preserve">. </w:t>
      </w:r>
    </w:p>
    <w:p w14:paraId="1EA25576" w14:textId="1B935AA1" w:rsidR="008124D0" w:rsidRDefault="008124D0" w:rsidP="008124D0">
      <w:r>
        <w:t>Transgrid submitted a revenue proposal for two of these providers on 10 November 2023. We made a revenue determination on 15 December 2023, reflecting the outcomes of th</w:t>
      </w:r>
      <w:r w:rsidR="00AB22D2">
        <w:t>e</w:t>
      </w:r>
      <w:r>
        <w:t xml:space="preserve"> competitive assessment process. </w:t>
      </w:r>
    </w:p>
    <w:p w14:paraId="63F3149B" w14:textId="460BE656" w:rsidR="0059685D" w:rsidDel="00AB22D2" w:rsidRDefault="00E351E2" w:rsidP="008124D0">
      <w:r>
        <w:t xml:space="preserve">In </w:t>
      </w:r>
      <w:r w:rsidR="008124D0">
        <w:t>February 2024, Transgrid submitted a revenue adjustment proposal to include the third provider. We remade the revenue determination in March 2024 to include this service provider and to reflect amendments to the existing adjustment mechanisms resulting</w:t>
      </w:r>
      <w:r w:rsidR="00A545AC">
        <w:t xml:space="preserve"> </w:t>
      </w:r>
      <w:r w:rsidR="008124D0">
        <w:t xml:space="preserve">from the contractual arrangements. </w:t>
      </w:r>
    </w:p>
    <w:p w14:paraId="68B7B773" w14:textId="49F2FC95" w:rsidR="005411A7" w:rsidRDefault="008124D0" w:rsidP="008124D0">
      <w:r>
        <w:t xml:space="preserve">EnergyCo commenced another competitive assessment process for further </w:t>
      </w:r>
      <w:r w:rsidR="00D338A6">
        <w:t>Paired Generation Services</w:t>
      </w:r>
      <w:r>
        <w:t xml:space="preserve"> in April 2024 and completed it in February 2025. This process procured a fourth paired generation service provider, </w:t>
      </w:r>
      <w:r w:rsidRPr="00614793">
        <w:t>White Rock Wind Farm</w:t>
      </w:r>
      <w:r>
        <w:t>. EnergyCo conducted this process to secure sufficient capacity in the</w:t>
      </w:r>
      <w:r w:rsidR="00893C61">
        <w:t xml:space="preserve"> northern</w:t>
      </w:r>
      <w:r>
        <w:t xml:space="preserve"> region</w:t>
      </w:r>
      <w:r w:rsidR="00893C61">
        <w:t xml:space="preserve"> of NSW</w:t>
      </w:r>
      <w:r>
        <w:t xml:space="preserve">. We </w:t>
      </w:r>
      <w:r w:rsidR="0059685D">
        <w:t>d</w:t>
      </w:r>
      <w:r>
        <w:t xml:space="preserve">ecided that the competitive assessment process was genuine and appropriate in December 2025. </w:t>
      </w:r>
    </w:p>
    <w:p w14:paraId="5B408D34" w14:textId="1104E604" w:rsidR="008124D0" w:rsidRDefault="005411A7" w:rsidP="008124D0">
      <w:r>
        <w:t xml:space="preserve">In March 2026, Transgrid submitted a revenue adjustment to include the amounts for the fourth provider, along with other revenue adjustments. </w:t>
      </w:r>
      <w:r w:rsidR="008124D0">
        <w:t xml:space="preserve">We adjusted the revenue determination in May 2026. </w:t>
      </w:r>
      <w:r w:rsidR="002A4513">
        <w:t xml:space="preserve">Inclusion of the fourth </w:t>
      </w:r>
      <w:r w:rsidR="00D338A6">
        <w:t>Paired Generation Provider</w:t>
      </w:r>
      <w:r w:rsidR="002A4513">
        <w:t xml:space="preserve"> did not require a review and remake of the revenue determination as it </w:t>
      </w:r>
      <w:r w:rsidR="008124D0">
        <w:t xml:space="preserve">only required </w:t>
      </w:r>
      <w:r w:rsidR="002A4513">
        <w:t xml:space="preserve">an </w:t>
      </w:r>
      <w:r w:rsidR="008124D0">
        <w:t>adjustment to the schedule of payments</w:t>
      </w:r>
      <w:r w:rsidR="002A4513">
        <w:t xml:space="preserve"> under an existing adjustment event</w:t>
      </w:r>
      <w:r w:rsidR="008124D0">
        <w:t xml:space="preserve">. </w:t>
      </w:r>
    </w:p>
    <w:p w14:paraId="181EE96F" w14:textId="2A7FCD21" w:rsidR="00AF63C5" w:rsidRDefault="00AF63C5" w:rsidP="00AF63C5">
      <w:pPr>
        <w:pStyle w:val="Heading2"/>
      </w:pPr>
      <w:bookmarkStart w:id="4" w:name="_Toc241088704"/>
      <w:r>
        <w:lastRenderedPageBreak/>
        <w:t>SIPS Battery Service</w:t>
      </w:r>
      <w:bookmarkEnd w:id="4"/>
    </w:p>
    <w:p w14:paraId="69EC57B2" w14:textId="32025082" w:rsidR="00E12267" w:rsidRDefault="00DC52CF" w:rsidP="002C594E">
      <w:r>
        <w:t>The SIPS Battery Service involve</w:t>
      </w:r>
      <w:r w:rsidR="00187FE0">
        <w:t>d</w:t>
      </w:r>
      <w:r>
        <w:t xml:space="preserve"> the construction and operation of a battery energy storage system that’s capable of supplying 700 MW</w:t>
      </w:r>
      <w:r w:rsidR="001A463A">
        <w:t xml:space="preserve"> </w:t>
      </w:r>
      <w:r>
        <w:t>/</w:t>
      </w:r>
      <w:r w:rsidR="001A463A">
        <w:t xml:space="preserve"> </w:t>
      </w:r>
      <w:r>
        <w:t xml:space="preserve">1,400 MWh. </w:t>
      </w:r>
    </w:p>
    <w:p w14:paraId="496DCABC" w14:textId="1C61B6FC" w:rsidR="00F267E7" w:rsidRDefault="00DC52CF" w:rsidP="002C594E">
      <w:r>
        <w:t xml:space="preserve">The Infrastructure Planner considered </w:t>
      </w:r>
      <w:r w:rsidR="009408B9">
        <w:t>three di</w:t>
      </w:r>
      <w:r w:rsidR="00A24D4E">
        <w:t>f</w:t>
      </w:r>
      <w:r w:rsidR="009408B9">
        <w:t>f</w:t>
      </w:r>
      <w:r w:rsidR="00A24D4E">
        <w:t>erent</w:t>
      </w:r>
      <w:r>
        <w:t xml:space="preserve"> </w:t>
      </w:r>
      <w:r w:rsidR="009408B9">
        <w:t xml:space="preserve">service </w:t>
      </w:r>
      <w:r>
        <w:t xml:space="preserve">modes </w:t>
      </w:r>
      <w:r w:rsidR="00456F8E">
        <w:t>for</w:t>
      </w:r>
      <w:r>
        <w:t xml:space="preserve"> the battery but decided that </w:t>
      </w:r>
      <w:r w:rsidR="00F90445">
        <w:t xml:space="preserve">the </w:t>
      </w:r>
      <w:r>
        <w:t>Seasonal Sculpted Core Service</w:t>
      </w:r>
      <w:r w:rsidR="00456F8E">
        <w:t xml:space="preserve"> operation</w:t>
      </w:r>
      <w:r>
        <w:t xml:space="preserve"> would deliver the highest benefit to NSW consumers. Primarily this was because</w:t>
      </w:r>
      <w:r w:rsidR="00887A2F">
        <w:t xml:space="preserve"> it would allow</w:t>
      </w:r>
      <w:r>
        <w:t xml:space="preserve"> the battery capacity </w:t>
      </w:r>
      <w:r w:rsidR="00887A2F">
        <w:t xml:space="preserve">to </w:t>
      </w:r>
      <w:r w:rsidR="001A463A">
        <w:t xml:space="preserve">be used to </w:t>
      </w:r>
      <w:r w:rsidR="008733A9">
        <w:t>supply low-cost electricity</w:t>
      </w:r>
      <w:r w:rsidR="00C873CB">
        <w:t xml:space="preserve"> to the market</w:t>
      </w:r>
      <w:r w:rsidR="008733A9">
        <w:t xml:space="preserve"> when</w:t>
      </w:r>
      <w:r w:rsidR="00887A2F">
        <w:t xml:space="preserve"> it</w:t>
      </w:r>
      <w:r w:rsidR="008733A9">
        <w:t xml:space="preserve"> </w:t>
      </w:r>
      <w:r w:rsidR="0067490B">
        <w:t>is not</w:t>
      </w:r>
      <w:r w:rsidR="008733A9">
        <w:t xml:space="preserve"> </w:t>
      </w:r>
      <w:r w:rsidR="00887A2F">
        <w:t xml:space="preserve">expected to be </w:t>
      </w:r>
      <w:r w:rsidR="008733A9">
        <w:t xml:space="preserve">needed for SIPS Battery Service purposes. </w:t>
      </w:r>
    </w:p>
    <w:p w14:paraId="6CF1807A" w14:textId="225688A6" w:rsidR="008733A9" w:rsidRDefault="008733A9" w:rsidP="002C594E">
      <w:r>
        <w:t>The Seasonal Sculpted Core Service operation during the extended summer period comprises:</w:t>
      </w:r>
    </w:p>
    <w:p w14:paraId="19A1BBDB" w14:textId="6BB59D30" w:rsidR="008733A9" w:rsidRPr="008D7D7C" w:rsidRDefault="008733A9" w:rsidP="008D7D7C">
      <w:pPr>
        <w:pStyle w:val="ListBullet"/>
      </w:pPr>
      <w:r w:rsidRPr="008D7D7C">
        <w:t>at least 700 MW and 1</w:t>
      </w:r>
      <w:r w:rsidR="00F90445">
        <w:t>,</w:t>
      </w:r>
      <w:r w:rsidRPr="008D7D7C">
        <w:t xml:space="preserve">400 MWh of battery capacity reserved for SIPS Battery Service between 5am and sunset, when power system demand and paired generation availability levels are relatively high. </w:t>
      </w:r>
    </w:p>
    <w:p w14:paraId="6CB075D5" w14:textId="5E472B92" w:rsidR="008733A9" w:rsidRPr="008D7D7C" w:rsidRDefault="008733A9" w:rsidP="008D7D7C">
      <w:pPr>
        <w:pStyle w:val="ListBullet"/>
      </w:pPr>
      <w:r w:rsidRPr="008D7D7C">
        <w:t>at least 500 MW and 1</w:t>
      </w:r>
      <w:r w:rsidR="00287F63">
        <w:t>,</w:t>
      </w:r>
      <w:r w:rsidRPr="008D7D7C">
        <w:t xml:space="preserve">000 MWh of battery capacity reserved for </w:t>
      </w:r>
      <w:r w:rsidR="00E6301A">
        <w:t>SIPS Battery Service</w:t>
      </w:r>
      <w:r w:rsidRPr="008D7D7C">
        <w:t xml:space="preserve"> between sunset and 2am, when power system demand and paired generation availability levels are relatively lower.</w:t>
      </w:r>
    </w:p>
    <w:p w14:paraId="48A54BD6" w14:textId="7987E69C" w:rsidR="008733A9" w:rsidRPr="008D7D7C" w:rsidRDefault="008733A9" w:rsidP="008D7D7C">
      <w:pPr>
        <w:pStyle w:val="ListBullet"/>
      </w:pPr>
      <w:r w:rsidRPr="008D7D7C">
        <w:t xml:space="preserve">at least 300 MW and 600 MWh of battery capacity reserved for </w:t>
      </w:r>
      <w:r w:rsidR="00E6301A">
        <w:t>SIPS Battery Service</w:t>
      </w:r>
      <w:r w:rsidRPr="008D7D7C">
        <w:t xml:space="preserve"> between 2am and 5am, when power system demand is lowest.</w:t>
      </w:r>
    </w:p>
    <w:p w14:paraId="2BD164B2" w14:textId="77777777" w:rsidR="00A24D4E" w:rsidRDefault="00F93CCA" w:rsidP="002C594E">
      <w:r>
        <w:t xml:space="preserve">Lower reserve levels apply outside of the extended summer period. </w:t>
      </w:r>
    </w:p>
    <w:p w14:paraId="25FB835A" w14:textId="3C4277F0" w:rsidR="008733A9" w:rsidRDefault="008733A9" w:rsidP="002C594E">
      <w:r>
        <w:t xml:space="preserve">EnergyCo concluded this </w:t>
      </w:r>
      <w:r w:rsidR="009408B9">
        <w:t xml:space="preserve">service </w:t>
      </w:r>
      <w:r>
        <w:t xml:space="preserve">mode </w:t>
      </w:r>
      <w:r w:rsidR="00DA45A1">
        <w:t xml:space="preserve">was </w:t>
      </w:r>
      <w:r>
        <w:t xml:space="preserve">appropriate as there </w:t>
      </w:r>
      <w:r w:rsidR="00DA45A1">
        <w:t xml:space="preserve">was </w:t>
      </w:r>
      <w:r>
        <w:t>a higher likelihood of transmission line disturbances in the summer period</w:t>
      </w:r>
      <w:r w:rsidR="00E12267">
        <w:t xml:space="preserve"> caused by events such as bushfires and storms. The remaining </w:t>
      </w:r>
      <w:r w:rsidR="00F93CCA">
        <w:t xml:space="preserve">(unreserved) </w:t>
      </w:r>
      <w:r w:rsidR="00E12267">
        <w:t xml:space="preserve">energy is free for </w:t>
      </w:r>
      <w:r w:rsidR="0034725D">
        <w:t>merchant trading</w:t>
      </w:r>
      <w:r w:rsidR="00287F63">
        <w:t xml:space="preserve"> (buying and selling energy in the wholesale market)</w:t>
      </w:r>
      <w:r w:rsidR="0034725D">
        <w:t xml:space="preserve">. </w:t>
      </w:r>
    </w:p>
    <w:p w14:paraId="09AC5DA5" w14:textId="77777777" w:rsidR="00E12267" w:rsidRPr="006476A9" w:rsidRDefault="00E12267" w:rsidP="006476A9">
      <w:pPr>
        <w:pStyle w:val="Heading4"/>
        <w:numPr>
          <w:ilvl w:val="0"/>
          <w:numId w:val="0"/>
        </w:numPr>
        <w:ind w:left="720" w:hanging="720"/>
        <w:rPr>
          <w:lang w:eastAsia="ja-JP"/>
        </w:rPr>
      </w:pPr>
      <w:r w:rsidRPr="006476A9">
        <w:rPr>
          <w:lang w:eastAsia="ja-JP"/>
        </w:rPr>
        <w:t>Competitive assessment processes</w:t>
      </w:r>
    </w:p>
    <w:p w14:paraId="42B0834B" w14:textId="1B10CD9E" w:rsidR="00777CD2" w:rsidRDefault="00543505" w:rsidP="002C594E">
      <w:r>
        <w:t xml:space="preserve">EnergyCo commenced a competitive assessment process for the SIPS Battery Service in March 2022 and completed it in October 2022. </w:t>
      </w:r>
      <w:r w:rsidR="00777CD2">
        <w:t xml:space="preserve">EnergyCo selected Akaysha </w:t>
      </w:r>
      <w:r w:rsidR="0079464A">
        <w:t>to provide the service</w:t>
      </w:r>
      <w:r w:rsidR="00777CD2" w:rsidRPr="00ED5FA0">
        <w:t xml:space="preserve">. </w:t>
      </w:r>
    </w:p>
    <w:p w14:paraId="6303E24A" w14:textId="6EACEEC7" w:rsidR="00DA4DF0" w:rsidRDefault="00543505" w:rsidP="002C594E">
      <w:r>
        <w:t>Transgrid submitted a revenue proposal</w:t>
      </w:r>
      <w:r w:rsidR="00160289">
        <w:t xml:space="preserve"> for the SIPS Battery Service</w:t>
      </w:r>
      <w:r>
        <w:t xml:space="preserve"> to the AER on 17</w:t>
      </w:r>
      <w:r w:rsidR="00D301C8">
        <w:t> </w:t>
      </w:r>
      <w:r>
        <w:t>October 2022. We made a revenue determination on 14 December 2022, reflecting the outcome of th</w:t>
      </w:r>
      <w:r w:rsidR="0079464A">
        <w:t>e</w:t>
      </w:r>
      <w:r>
        <w:t xml:space="preserve"> competitive assessment process. </w:t>
      </w:r>
    </w:p>
    <w:p w14:paraId="7F71F56A" w14:textId="16CF1654" w:rsidR="009B4AB9" w:rsidRDefault="009B4AB9" w:rsidP="002C594E">
      <w:r>
        <w:t xml:space="preserve">As a result of the process, Akaysha has constructed </w:t>
      </w:r>
      <w:r w:rsidR="00B66292">
        <w:t>an</w:t>
      </w:r>
      <w:r>
        <w:t xml:space="preserve"> </w:t>
      </w:r>
      <w:r w:rsidRPr="00ED5FA0">
        <w:t>850</w:t>
      </w:r>
      <w:r>
        <w:t xml:space="preserve"> </w:t>
      </w:r>
      <w:r w:rsidRPr="00ED5FA0">
        <w:t>MW</w:t>
      </w:r>
      <w:r w:rsidR="0079464A">
        <w:t xml:space="preserve"> </w:t>
      </w:r>
      <w:r w:rsidRPr="00ED5FA0">
        <w:t>/</w:t>
      </w:r>
      <w:r w:rsidR="0079464A">
        <w:t xml:space="preserve"> </w:t>
      </w:r>
      <w:r w:rsidRPr="00ED5FA0">
        <w:t>1,680</w:t>
      </w:r>
      <w:r>
        <w:t xml:space="preserve"> </w:t>
      </w:r>
      <w:r w:rsidRPr="00ED5FA0">
        <w:t>MWh</w:t>
      </w:r>
      <w:r>
        <w:t xml:space="preserve"> battery at the site and is responsible for the provision of the SIPS </w:t>
      </w:r>
      <w:r w:rsidR="00A24D4E">
        <w:t xml:space="preserve">Battery </w:t>
      </w:r>
      <w:r>
        <w:t xml:space="preserve">Service for a </w:t>
      </w:r>
      <w:proofErr w:type="gramStart"/>
      <w:r>
        <w:t>5.5 year</w:t>
      </w:r>
      <w:proofErr w:type="gramEnd"/>
      <w:r>
        <w:t xml:space="preserve"> term.</w:t>
      </w:r>
      <w:r w:rsidRPr="00ED5FA0">
        <w:t xml:space="preserve"> </w:t>
      </w:r>
      <w:r>
        <w:t xml:space="preserve">Akaysha is required to provide the Seasonal Sculpted Core Service, but Transgrid may, with a period of notice, require Akaysha to provide </w:t>
      </w:r>
      <w:r w:rsidR="002A4513">
        <w:t xml:space="preserve">the </w:t>
      </w:r>
      <w:r w:rsidR="006B7B54">
        <w:t>Fixed Core Service</w:t>
      </w:r>
      <w:r w:rsidR="002A4513">
        <w:t xml:space="preserve"> or </w:t>
      </w:r>
      <w:r>
        <w:t xml:space="preserve">an </w:t>
      </w:r>
      <w:r w:rsidR="006B7B54">
        <w:t>Alternative Service</w:t>
      </w:r>
      <w:r>
        <w:t xml:space="preserve"> operation a</w:t>
      </w:r>
      <w:r w:rsidR="00C873CB">
        <w:t>s</w:t>
      </w:r>
      <w:r>
        <w:t xml:space="preserve"> set out in the contractual arrangements. </w:t>
      </w:r>
    </w:p>
    <w:p w14:paraId="7D972DA8" w14:textId="77777777" w:rsidR="006C573B" w:rsidRDefault="006C573B" w:rsidP="002C594E"/>
    <w:p w14:paraId="662A53F8" w14:textId="77777777" w:rsidR="003164F1" w:rsidRDefault="003164F1" w:rsidP="002C594E"/>
    <w:p w14:paraId="65FF1B16" w14:textId="3D3AEB70" w:rsidR="003164F1" w:rsidRDefault="009B4AB9" w:rsidP="009B4AB9">
      <w:pPr>
        <w:pStyle w:val="Heading2"/>
        <w:ind w:left="709" w:hanging="709"/>
      </w:pPr>
      <w:bookmarkStart w:id="5" w:name="_Toc241088705"/>
      <w:r>
        <w:lastRenderedPageBreak/>
        <w:t>Redetermination proposal</w:t>
      </w:r>
      <w:bookmarkEnd w:id="5"/>
      <w:r>
        <w:t xml:space="preserve"> </w:t>
      </w:r>
    </w:p>
    <w:p w14:paraId="3FDC0A1D" w14:textId="63FBD369" w:rsidR="00EF0FFC" w:rsidRDefault="00F44119" w:rsidP="002C58B6">
      <w:r>
        <w:t>EnergyCo, as Infrastructure Planner</w:t>
      </w:r>
      <w:r w:rsidR="00B46984">
        <w:t>,</w:t>
      </w:r>
      <w:r>
        <w:t xml:space="preserve"> has negotiated contractual changes to the SIPS Service Agreement that impact the Paired </w:t>
      </w:r>
      <w:r w:rsidR="006B7B54">
        <w:t>G</w:t>
      </w:r>
      <w:r>
        <w:t xml:space="preserve">eneration </w:t>
      </w:r>
      <w:r w:rsidR="00D406F7">
        <w:t>S</w:t>
      </w:r>
      <w:r>
        <w:t>ervice revenue determination</w:t>
      </w:r>
      <w:r w:rsidR="007F4A53">
        <w:t xml:space="preserve"> and the SIPS </w:t>
      </w:r>
      <w:r w:rsidR="00D406F7">
        <w:t>B</w:t>
      </w:r>
      <w:r w:rsidR="007F4A53">
        <w:t xml:space="preserve">attery </w:t>
      </w:r>
      <w:r w:rsidR="00D406F7">
        <w:t>S</w:t>
      </w:r>
      <w:r w:rsidR="007F4A53">
        <w:t>ervice revenue determination</w:t>
      </w:r>
      <w:r>
        <w:t xml:space="preserve">. </w:t>
      </w:r>
    </w:p>
    <w:p w14:paraId="7F480A7F" w14:textId="05BC76E6" w:rsidR="009B7B39" w:rsidRDefault="00F44119" w:rsidP="002C58B6">
      <w:r>
        <w:t xml:space="preserve">As a result, </w:t>
      </w:r>
      <w:r w:rsidR="00431ACF">
        <w:t>o</w:t>
      </w:r>
      <w:r w:rsidR="00431ACF" w:rsidRPr="00431ACF">
        <w:t xml:space="preserve">n 24 August 2026, </w:t>
      </w:r>
      <w:r w:rsidR="00431ACF">
        <w:t xml:space="preserve">Transgrid, </w:t>
      </w:r>
      <w:r w:rsidR="00431ACF" w:rsidRPr="00431ACF">
        <w:t>as Network Operator,</w:t>
      </w:r>
      <w:r w:rsidR="00431ACF">
        <w:t xml:space="preserve"> </w:t>
      </w:r>
      <w:r w:rsidR="00431ACF" w:rsidRPr="00431ACF">
        <w:t>submitted two proposals to remake the revenue determinations to reflect amendments to the contractual arrangements and make minor administrative changes.</w:t>
      </w:r>
      <w:r w:rsidR="00431ACF">
        <w:t xml:space="preserve"> </w:t>
      </w:r>
    </w:p>
    <w:p w14:paraId="1C86E7E4" w14:textId="16741B4D" w:rsidR="007F4A53" w:rsidRDefault="007F4A53" w:rsidP="002C58B6">
      <w:r>
        <w:t>In its proposals</w:t>
      </w:r>
      <w:r w:rsidR="00B46984">
        <w:t>,</w:t>
      </w:r>
      <w:r>
        <w:t xml:space="preserve"> it requested to:</w:t>
      </w:r>
    </w:p>
    <w:p w14:paraId="2DA7A9F1" w14:textId="78F217ED" w:rsidR="007F4A53" w:rsidRDefault="00B42634" w:rsidP="007F4A53">
      <w:pPr>
        <w:pStyle w:val="ListBullet"/>
      </w:pPr>
      <w:r>
        <w:t>adjust</w:t>
      </w:r>
      <w:r w:rsidR="007F4A53">
        <w:t xml:space="preserve"> the schedule of payments for both revenue determinations</w:t>
      </w:r>
      <w:r w:rsidR="00CF3401">
        <w:t xml:space="preserve"> to reflect an extension to the project term</w:t>
      </w:r>
      <w:r w:rsidR="009B7B39">
        <w:t xml:space="preserve"> by six months</w:t>
      </w:r>
      <w:r w:rsidR="007F4A53">
        <w:t xml:space="preserve">, </w:t>
      </w:r>
    </w:p>
    <w:p w14:paraId="6B2B3F90" w14:textId="62DA903D" w:rsidR="007F4A53" w:rsidRDefault="007F4A53" w:rsidP="007F4A53">
      <w:pPr>
        <w:pStyle w:val="ListBullet"/>
      </w:pPr>
      <w:r>
        <w:t xml:space="preserve">amend three existing adjustment events and add three new adjustment events under the SIPS </w:t>
      </w:r>
      <w:r w:rsidR="009B7B39">
        <w:t>B</w:t>
      </w:r>
      <w:r>
        <w:t xml:space="preserve">attery </w:t>
      </w:r>
      <w:r w:rsidR="009B7B39">
        <w:t>S</w:t>
      </w:r>
      <w:r>
        <w:t xml:space="preserve">ervice revenue determination, and </w:t>
      </w:r>
    </w:p>
    <w:p w14:paraId="40786B82" w14:textId="743109B7" w:rsidR="007F4A53" w:rsidRDefault="007F4A53" w:rsidP="007F4A53">
      <w:pPr>
        <w:pStyle w:val="ListBullet"/>
      </w:pPr>
      <w:r>
        <w:t xml:space="preserve">amend one adjustment event and add two new adjustment events under the Paired </w:t>
      </w:r>
      <w:r w:rsidR="009B7B39">
        <w:t>G</w:t>
      </w:r>
      <w:r>
        <w:t xml:space="preserve">eneration </w:t>
      </w:r>
      <w:r w:rsidR="009B7B39">
        <w:t>S</w:t>
      </w:r>
      <w:r>
        <w:t xml:space="preserve">ervice component revenue determination. </w:t>
      </w:r>
    </w:p>
    <w:p w14:paraId="6BBF1F3A" w14:textId="3220CDA4" w:rsidR="00B46984" w:rsidRDefault="00557200" w:rsidP="00B46984">
      <w:pPr>
        <w:pStyle w:val="ListBullet"/>
        <w:numPr>
          <w:ilvl w:val="0"/>
          <w:numId w:val="0"/>
        </w:numPr>
        <w:ind w:left="425" w:hanging="425"/>
      </w:pPr>
      <w:r>
        <w:t>Our</w:t>
      </w:r>
      <w:r w:rsidR="00B46984">
        <w:t xml:space="preserve"> assessment of these changes is set out in the sections below. </w:t>
      </w:r>
    </w:p>
    <w:p w14:paraId="68C30A07" w14:textId="6980F66A" w:rsidR="003164F1" w:rsidRDefault="002C58B6" w:rsidP="002C594E">
      <w:r>
        <w:t xml:space="preserve"> </w:t>
      </w:r>
    </w:p>
    <w:p w14:paraId="39CD2FDA" w14:textId="77777777" w:rsidR="003164F1" w:rsidRDefault="003164F1" w:rsidP="002C594E"/>
    <w:p w14:paraId="2CD18F8B" w14:textId="77777777" w:rsidR="003164F1" w:rsidRDefault="003164F1" w:rsidP="002C594E"/>
    <w:p w14:paraId="0D8E3A32" w14:textId="77777777" w:rsidR="003164F1" w:rsidRDefault="003164F1" w:rsidP="002C594E"/>
    <w:p w14:paraId="5B7B450B" w14:textId="77777777" w:rsidR="003164F1" w:rsidRDefault="003164F1" w:rsidP="002C594E"/>
    <w:p w14:paraId="68B46003" w14:textId="77777777" w:rsidR="003164F1" w:rsidRDefault="003164F1" w:rsidP="002C594E"/>
    <w:p w14:paraId="6DD43E31" w14:textId="77777777" w:rsidR="003164F1" w:rsidRDefault="003164F1" w:rsidP="002C594E"/>
    <w:p w14:paraId="252826E8" w14:textId="77777777" w:rsidR="003164F1" w:rsidRDefault="003164F1" w:rsidP="002C594E"/>
    <w:p w14:paraId="34608CBA" w14:textId="77777777" w:rsidR="003164F1" w:rsidRDefault="003164F1" w:rsidP="002C594E"/>
    <w:p w14:paraId="5D824618" w14:textId="77777777" w:rsidR="003164F1" w:rsidRDefault="003164F1" w:rsidP="002C594E"/>
    <w:p w14:paraId="35E189E5" w14:textId="77777777" w:rsidR="003164F1" w:rsidRDefault="003164F1" w:rsidP="002C594E"/>
    <w:p w14:paraId="40CCCA09" w14:textId="45A0C756" w:rsidR="001758EB" w:rsidRDefault="004E56FA" w:rsidP="001758EB">
      <w:pPr>
        <w:pStyle w:val="Heading2"/>
        <w:ind w:left="709" w:hanging="709"/>
      </w:pPr>
      <w:bookmarkStart w:id="6" w:name="_Toc241088706"/>
      <w:r>
        <w:lastRenderedPageBreak/>
        <w:t>Total revenue and schedule of payments</w:t>
      </w:r>
      <w:bookmarkEnd w:id="6"/>
      <w:r>
        <w:t xml:space="preserve"> </w:t>
      </w:r>
    </w:p>
    <w:p w14:paraId="1AAD0089" w14:textId="21B11B6D" w:rsidR="003D15EA" w:rsidRDefault="00C4163C" w:rsidP="00C4163C">
      <w:r w:rsidRPr="00A11ACD">
        <w:t>The AER is required to determine the amount payable to a Network Operator subject to an authorisation</w:t>
      </w:r>
      <w:r w:rsidR="00557200">
        <w:t>.</w:t>
      </w:r>
      <w:r w:rsidR="008400F6" w:rsidRPr="00A11ACD">
        <w:rPr>
          <w:rStyle w:val="FootnoteReference"/>
        </w:rPr>
        <w:footnoteReference w:id="14"/>
      </w:r>
      <w:r w:rsidR="00B4749E">
        <w:t xml:space="preserve"> </w:t>
      </w:r>
      <w:r w:rsidRPr="00A11ACD">
        <w:rPr>
          <w:rStyle w:val="FootnoteReference"/>
        </w:rPr>
        <w:footnoteReference w:id="15"/>
      </w:r>
      <w:r w:rsidRPr="00A11ACD">
        <w:t xml:space="preserve"> The EII Regulation also require</w:t>
      </w:r>
      <w:r w:rsidR="008400F6">
        <w:t>s</w:t>
      </w:r>
      <w:r w:rsidRPr="00A11ACD">
        <w:t xml:space="preserve"> us to set out the total amount payable in a schedule of payments to a Network Operator, including the date on which each amount must be paid.</w:t>
      </w:r>
      <w:r w:rsidRPr="00A11ACD">
        <w:rPr>
          <w:rStyle w:val="FootnoteReference"/>
        </w:rPr>
        <w:footnoteReference w:id="16"/>
      </w:r>
      <w:r w:rsidRPr="00A11ACD">
        <w:t xml:space="preserve"> If the determination is being made as a result of a competitive assessment process</w:t>
      </w:r>
      <w:r w:rsidR="003D15EA">
        <w:t>,</w:t>
      </w:r>
      <w:r w:rsidRPr="00A11ACD">
        <w:t xml:space="preserve"> the schedule must correspond with the terms of the contractual arrangements that the Network Operator was required to enter into as a result of the authorisation.</w:t>
      </w:r>
      <w:r w:rsidRPr="00A11ACD">
        <w:rPr>
          <w:rStyle w:val="FootnoteReference"/>
        </w:rPr>
        <w:footnoteReference w:id="17"/>
      </w:r>
      <w:r w:rsidRPr="00A11ACD">
        <w:t xml:space="preserve"> </w:t>
      </w:r>
    </w:p>
    <w:p w14:paraId="438D1A7E" w14:textId="29C7003D" w:rsidR="00C4163C" w:rsidRDefault="00B23BF7" w:rsidP="00C4163C">
      <w:r>
        <w:t>This summary report must set out the operating costs</w:t>
      </w:r>
      <w:r>
        <w:rPr>
          <w:rStyle w:val="FootnoteReference"/>
        </w:rPr>
        <w:footnoteReference w:id="18"/>
      </w:r>
      <w:r>
        <w:t xml:space="preserve"> and the schedule of payments</w:t>
      </w:r>
      <w:r>
        <w:rPr>
          <w:rStyle w:val="FootnoteReference"/>
        </w:rPr>
        <w:footnoteReference w:id="19"/>
      </w:r>
      <w:r>
        <w:t xml:space="preserve"> to the Network Operator for the 5 years</w:t>
      </w:r>
      <w:r w:rsidR="00005A75">
        <w:t xml:space="preserve"> following the determination being made or remade</w:t>
      </w:r>
      <w:r>
        <w:t xml:space="preserve">. </w:t>
      </w:r>
      <w:r w:rsidR="009D52FB">
        <w:t xml:space="preserve">We can decide </w:t>
      </w:r>
      <w:r w:rsidR="000D32E2">
        <w:t>not to</w:t>
      </w:r>
      <w:r w:rsidR="009D52FB">
        <w:t xml:space="preserve"> publish information if </w:t>
      </w:r>
      <w:r w:rsidR="000D32E2">
        <w:t xml:space="preserve">we are </w:t>
      </w:r>
      <w:r w:rsidR="009D52FB">
        <w:t>satisfied it is</w:t>
      </w:r>
      <w:r w:rsidR="00B57FF1">
        <w:t xml:space="preserve"> not appropriate</w:t>
      </w:r>
      <w:r w:rsidR="00770A93">
        <w:t>. The</w:t>
      </w:r>
      <w:r w:rsidR="000D32E2">
        <w:t xml:space="preserve"> EII </w:t>
      </w:r>
      <w:r w:rsidR="005049BA">
        <w:t>Regulation</w:t>
      </w:r>
      <w:r w:rsidR="000D32E2">
        <w:t xml:space="preserve"> </w:t>
      </w:r>
      <w:r w:rsidR="005049BA">
        <w:t>sets out what we must consider when making this assessment</w:t>
      </w:r>
      <w:r w:rsidR="00B57FF1">
        <w:t>.</w:t>
      </w:r>
      <w:r w:rsidR="00B57FF1">
        <w:rPr>
          <w:rStyle w:val="FootnoteReference"/>
        </w:rPr>
        <w:footnoteReference w:id="20"/>
      </w:r>
      <w:r w:rsidR="009D52FB">
        <w:t xml:space="preserve"> </w:t>
      </w:r>
    </w:p>
    <w:p w14:paraId="31DB6DAD" w14:textId="7E2ED76D" w:rsidR="003D3596" w:rsidRDefault="003D3596" w:rsidP="003D3596">
      <w:pPr>
        <w:pStyle w:val="Heading3"/>
        <w:rPr>
          <w:lang w:eastAsia="ja-JP"/>
        </w:rPr>
      </w:pPr>
      <w:bookmarkStart w:id="7" w:name="_Toc241088707"/>
      <w:r>
        <w:rPr>
          <w:lang w:eastAsia="ja-JP"/>
        </w:rPr>
        <w:t>Paired Generation Services</w:t>
      </w:r>
      <w:bookmarkEnd w:id="7"/>
    </w:p>
    <w:p w14:paraId="62871118" w14:textId="671499D7" w:rsidR="00C6165C" w:rsidRDefault="00C6165C" w:rsidP="00C6165C">
      <w:pPr>
        <w:pStyle w:val="Heading4"/>
        <w:numPr>
          <w:ilvl w:val="0"/>
          <w:numId w:val="0"/>
        </w:numPr>
        <w:ind w:left="720" w:hanging="720"/>
        <w:rPr>
          <w:lang w:eastAsia="ja-JP"/>
        </w:rPr>
      </w:pPr>
      <w:bookmarkStart w:id="8" w:name="_Toc118066635"/>
      <w:bookmarkStart w:id="9" w:name="_Ref161138869"/>
      <w:bookmarkStart w:id="10" w:name="_Toc165538875"/>
      <w:proofErr w:type="spellStart"/>
      <w:r>
        <w:rPr>
          <w:lang w:eastAsia="ja-JP"/>
        </w:rPr>
        <w:t>Transgrid’s</w:t>
      </w:r>
      <w:proofErr w:type="spellEnd"/>
      <w:r>
        <w:rPr>
          <w:lang w:eastAsia="ja-JP"/>
        </w:rPr>
        <w:t xml:space="preserve"> revenue proposal</w:t>
      </w:r>
      <w:bookmarkEnd w:id="8"/>
      <w:bookmarkEnd w:id="9"/>
      <w:bookmarkEnd w:id="10"/>
    </w:p>
    <w:p w14:paraId="60B537D6" w14:textId="7246567E" w:rsidR="00C36DDD" w:rsidRDefault="00C6165C" w:rsidP="00C36DDD">
      <w:proofErr w:type="spellStart"/>
      <w:r w:rsidRPr="006D3084">
        <w:t>Transgrid’s</w:t>
      </w:r>
      <w:proofErr w:type="spellEnd"/>
      <w:r w:rsidRPr="006D3084">
        <w:t xml:space="preserve"> revenue proposal contains a total revenue (amount payable) over the term of the </w:t>
      </w:r>
      <w:r w:rsidR="00D338A6">
        <w:t>Paired Generation Services Agreement</w:t>
      </w:r>
      <w:r w:rsidR="00275E2B">
        <w:t xml:space="preserve"> (PGSA)</w:t>
      </w:r>
      <w:r w:rsidR="005049BA">
        <w:t>.</w:t>
      </w:r>
      <w:r w:rsidR="00C36DDD" w:rsidRPr="00C36DDD">
        <w:t xml:space="preserve"> </w:t>
      </w:r>
      <w:r w:rsidR="00C36DDD" w:rsidRPr="006D3084">
        <w:t xml:space="preserve">Transgrid has also included in its revenue proposal a schedule of </w:t>
      </w:r>
      <w:r w:rsidR="00C36DDD">
        <w:t xml:space="preserve">quarterly </w:t>
      </w:r>
      <w:r w:rsidR="00C36DDD" w:rsidRPr="006D3084">
        <w:t xml:space="preserve">payments it proposes to be paid over the </w:t>
      </w:r>
      <w:r w:rsidR="00893C61">
        <w:t>project term</w:t>
      </w:r>
      <w:r w:rsidR="00613480">
        <w:t xml:space="preserve"> </w:t>
      </w:r>
      <w:r w:rsidR="006B22D1">
        <w:t>that reflects the timing of payments it is required to make to the paired generation service providers under the agreements</w:t>
      </w:r>
      <w:r w:rsidR="00C36DDD" w:rsidRPr="006D3084">
        <w:t>.</w:t>
      </w:r>
      <w:r w:rsidR="00C36DDD" w:rsidRPr="00C36DDD">
        <w:t xml:space="preserve"> </w:t>
      </w:r>
      <w:r w:rsidR="00C36DDD" w:rsidRPr="00441D23">
        <w:t>It has also proposed that the schedule of payments be subject to the adjustments</w:t>
      </w:r>
      <w:r w:rsidR="00C36DDD">
        <w:t xml:space="preserve"> as </w:t>
      </w:r>
      <w:r w:rsidR="00B4749E">
        <w:t xml:space="preserve">set out in </w:t>
      </w:r>
      <w:r w:rsidR="00C36DDD">
        <w:t>section</w:t>
      </w:r>
      <w:r w:rsidR="00B4749E">
        <w:t> </w:t>
      </w:r>
      <w:r w:rsidR="00C36DDD">
        <w:fldChar w:fldCharType="begin"/>
      </w:r>
      <w:r w:rsidR="00C36DDD">
        <w:instrText xml:space="preserve"> REF _Ref233103833 \r \h </w:instrText>
      </w:r>
      <w:r w:rsidR="00C36DDD">
        <w:fldChar w:fldCharType="separate"/>
      </w:r>
      <w:r w:rsidR="00C36DDD">
        <w:t>7.1</w:t>
      </w:r>
      <w:r w:rsidR="00C36DDD">
        <w:fldChar w:fldCharType="end"/>
      </w:r>
      <w:r w:rsidR="00C36DDD">
        <w:t>.</w:t>
      </w:r>
    </w:p>
    <w:p w14:paraId="1EE5A4A3" w14:textId="6BEBB452" w:rsidR="00C6165C" w:rsidRDefault="00C36DDD" w:rsidP="00C36DDD">
      <w:pPr>
        <w:pStyle w:val="ListBullet"/>
        <w:numPr>
          <w:ilvl w:val="0"/>
          <w:numId w:val="0"/>
        </w:numPr>
      </w:pPr>
      <w:r>
        <w:t>The amount payable includes</w:t>
      </w:r>
      <w:r w:rsidR="00B46984">
        <w:t>:</w:t>
      </w:r>
    </w:p>
    <w:p w14:paraId="7D4C43CD" w14:textId="2DFE94A4" w:rsidR="005049BA" w:rsidRDefault="005049BA" w:rsidP="005049BA">
      <w:pPr>
        <w:pStyle w:val="ListBullet"/>
      </w:pPr>
      <w:r>
        <w:t xml:space="preserve">Payments to the three </w:t>
      </w:r>
      <w:r w:rsidR="00DA0626">
        <w:t>P</w:t>
      </w:r>
      <w:r>
        <w:t xml:space="preserve">aired </w:t>
      </w:r>
      <w:r w:rsidR="00DA0626">
        <w:t>G</w:t>
      </w:r>
      <w:r>
        <w:t xml:space="preserve">eneration </w:t>
      </w:r>
      <w:r w:rsidR="00DA0626">
        <w:t>S</w:t>
      </w:r>
      <w:r>
        <w:t>ervice providers in the</w:t>
      </w:r>
      <w:r w:rsidR="00DF14BE">
        <w:t xml:space="preserve"> 2024</w:t>
      </w:r>
      <w:r>
        <w:t xml:space="preserve"> revenue determination</w:t>
      </w:r>
      <w:r w:rsidR="00DF14BE">
        <w:t xml:space="preserve"> review and remake</w:t>
      </w:r>
      <w:r w:rsidR="00770A93">
        <w:t>,</w:t>
      </w:r>
      <w:r w:rsidR="00D406F7">
        <w:t xml:space="preserve"> which were adjusted in May 2026</w:t>
      </w:r>
      <w:r>
        <w:t>,</w:t>
      </w:r>
    </w:p>
    <w:p w14:paraId="2CBA4072" w14:textId="352BC4F4" w:rsidR="005049BA" w:rsidRDefault="005049BA" w:rsidP="005049BA">
      <w:pPr>
        <w:pStyle w:val="ListBullet"/>
      </w:pPr>
      <w:r>
        <w:t xml:space="preserve">Payment to the fourth </w:t>
      </w:r>
      <w:r w:rsidR="00005A75">
        <w:t>P</w:t>
      </w:r>
      <w:r>
        <w:t xml:space="preserve">aired </w:t>
      </w:r>
      <w:r w:rsidR="00005A75">
        <w:t>G</w:t>
      </w:r>
      <w:r>
        <w:t xml:space="preserve">eneration </w:t>
      </w:r>
      <w:r w:rsidR="00005A75">
        <w:t>S</w:t>
      </w:r>
      <w:r>
        <w:t xml:space="preserve">ervice provider </w:t>
      </w:r>
      <w:r w:rsidR="00CA183D">
        <w:t xml:space="preserve">which </w:t>
      </w:r>
      <w:r w:rsidR="00DF14BE">
        <w:t>we</w:t>
      </w:r>
      <w:r w:rsidR="00CA183D">
        <w:t xml:space="preserve"> approved </w:t>
      </w:r>
      <w:r w:rsidR="007C4FDF">
        <w:t xml:space="preserve">and published on our website </w:t>
      </w:r>
      <w:r w:rsidR="00CA183D">
        <w:t xml:space="preserve">as a revenue adjustment in May 2026, </w:t>
      </w:r>
      <w:r w:rsidR="00DF14BE">
        <w:t xml:space="preserve">and </w:t>
      </w:r>
    </w:p>
    <w:p w14:paraId="2325D1DF" w14:textId="4E7E683E" w:rsidR="00CA183D" w:rsidRPr="006D3084" w:rsidRDefault="00275E2B" w:rsidP="005049BA">
      <w:pPr>
        <w:pStyle w:val="ListBullet"/>
      </w:pPr>
      <w:r>
        <w:t xml:space="preserve">An extension of </w:t>
      </w:r>
      <w:r w:rsidR="00B46984">
        <w:t xml:space="preserve">payments </w:t>
      </w:r>
      <w:r w:rsidR="00B4749E">
        <w:t xml:space="preserve">to the service providers </w:t>
      </w:r>
      <w:r w:rsidR="00B46984">
        <w:t xml:space="preserve">resulting from the </w:t>
      </w:r>
      <w:r w:rsidR="00005A75">
        <w:t>6-month</w:t>
      </w:r>
      <w:r w:rsidR="00B46984">
        <w:t xml:space="preserve"> extension to the project term.</w:t>
      </w:r>
    </w:p>
    <w:p w14:paraId="3F7CA764" w14:textId="2F7024BC" w:rsidR="00A11FF6" w:rsidRDefault="00C6165C" w:rsidP="00C6165C">
      <w:r w:rsidRPr="006D3084">
        <w:t>Transgrid considers th</w:t>
      </w:r>
      <w:r w:rsidR="00B4749E">
        <w:t xml:space="preserve">e amounts payable </w:t>
      </w:r>
      <w:r w:rsidRPr="006D3084">
        <w:t xml:space="preserve">to be operating expenditure, as </w:t>
      </w:r>
      <w:r w:rsidR="004D7EEB">
        <w:t>they</w:t>
      </w:r>
      <w:r w:rsidR="004D7EEB" w:rsidRPr="006D3084">
        <w:t xml:space="preserve"> </w:t>
      </w:r>
      <w:r w:rsidRPr="006D3084">
        <w:t xml:space="preserve">relate to payments it must make to the </w:t>
      </w:r>
      <w:r w:rsidR="00005A75">
        <w:t>P</w:t>
      </w:r>
      <w:r w:rsidRPr="006D3084">
        <w:t xml:space="preserve">aired </w:t>
      </w:r>
      <w:r w:rsidR="00005A75">
        <w:t>G</w:t>
      </w:r>
      <w:r w:rsidRPr="006D3084">
        <w:t xml:space="preserve">eneration </w:t>
      </w:r>
      <w:r w:rsidR="00005A75">
        <w:t>S</w:t>
      </w:r>
      <w:r w:rsidRPr="006D3084">
        <w:t xml:space="preserve">ervice </w:t>
      </w:r>
      <w:r>
        <w:t>p</w:t>
      </w:r>
      <w:r w:rsidRPr="006D3084">
        <w:t xml:space="preserve">roviders for the provision of the </w:t>
      </w:r>
      <w:r w:rsidR="00D338A6">
        <w:t>Paired Generation Services</w:t>
      </w:r>
      <w:r w:rsidRPr="006D3084">
        <w:t xml:space="preserve">. </w:t>
      </w:r>
    </w:p>
    <w:p w14:paraId="33EEFA32" w14:textId="2C47B13C" w:rsidR="007C4FDF" w:rsidRDefault="007C4FDF" w:rsidP="00C6165C">
      <w:r>
        <w:lastRenderedPageBreak/>
        <w:t>Consistent with our previous publications on this revenue determination</w:t>
      </w:r>
      <w:r w:rsidR="00C36DDD">
        <w:t>,</w:t>
      </w:r>
      <w:r>
        <w:t xml:space="preserve"> we have </w:t>
      </w:r>
      <w:r w:rsidR="00A11FF6">
        <w:t xml:space="preserve">decided </w:t>
      </w:r>
      <w:r>
        <w:t xml:space="preserve">not to publish the </w:t>
      </w:r>
      <w:r w:rsidR="00A11FF6">
        <w:t xml:space="preserve">proposed or determined </w:t>
      </w:r>
      <w:r>
        <w:t xml:space="preserve">amounts of </w:t>
      </w:r>
      <w:r w:rsidR="007469C0">
        <w:t>this component of the WSB project</w:t>
      </w:r>
      <w:r>
        <w:t xml:space="preserve"> due to commercial sensitivity. Instead, </w:t>
      </w:r>
      <w:r w:rsidR="00D06D80">
        <w:t xml:space="preserve">the determined </w:t>
      </w:r>
      <w:r w:rsidR="007469C0">
        <w:t>amounts</w:t>
      </w:r>
      <w:r>
        <w:t xml:space="preserve"> will be aggregated with the SIPS battery service amount</w:t>
      </w:r>
      <w:r w:rsidR="007469C0">
        <w:t>s</w:t>
      </w:r>
      <w:r>
        <w:t xml:space="preserve"> and published on our website separately. </w:t>
      </w:r>
    </w:p>
    <w:p w14:paraId="097C6619" w14:textId="04CA71BE" w:rsidR="00C4163C" w:rsidRDefault="00C4163C" w:rsidP="00C4163C">
      <w:pPr>
        <w:pStyle w:val="Heading4"/>
        <w:numPr>
          <w:ilvl w:val="0"/>
          <w:numId w:val="0"/>
        </w:numPr>
        <w:ind w:left="720" w:hanging="720"/>
        <w:rPr>
          <w:lang w:eastAsia="ja-JP"/>
        </w:rPr>
      </w:pPr>
      <w:r>
        <w:rPr>
          <w:lang w:eastAsia="ja-JP"/>
        </w:rPr>
        <w:t xml:space="preserve">AER’s assessment </w:t>
      </w:r>
    </w:p>
    <w:p w14:paraId="6C54CB05" w14:textId="76288387" w:rsidR="00EF0FFC" w:rsidRDefault="00EF0FFC" w:rsidP="00EF0FFC">
      <w:r>
        <w:t xml:space="preserve">Based on our review of </w:t>
      </w:r>
      <w:proofErr w:type="spellStart"/>
      <w:r>
        <w:t>Transgrid’s</w:t>
      </w:r>
      <w:proofErr w:type="spellEnd"/>
      <w:r>
        <w:t xml:space="preserve"> proposal, we are satisfied </w:t>
      </w:r>
      <w:r w:rsidR="00695383">
        <w:t xml:space="preserve">that it </w:t>
      </w:r>
      <w:r w:rsidR="00A11FF6">
        <w:t xml:space="preserve">reflects </w:t>
      </w:r>
      <w:r w:rsidR="00695383">
        <w:t>the</w:t>
      </w:r>
      <w:r w:rsidR="00A11FF6">
        <w:t xml:space="preserve"> </w:t>
      </w:r>
      <w:r>
        <w:t>outcome of the competitive assessment process</w:t>
      </w:r>
      <w:r w:rsidR="00695383">
        <w:t>es</w:t>
      </w:r>
      <w:r>
        <w:t>.</w:t>
      </w:r>
      <w:r w:rsidR="009778EE">
        <w:t xml:space="preserve"> The PGSAs have not been amended</w:t>
      </w:r>
      <w:r w:rsidR="00482774">
        <w:t>, as they are linked to the term of the SIPS Service Agreement</w:t>
      </w:r>
      <w:r w:rsidR="009778EE">
        <w:t>.</w:t>
      </w:r>
      <w:r>
        <w:t xml:space="preserve"> </w:t>
      </w:r>
      <w:r w:rsidR="00FA1F98">
        <w:t xml:space="preserve">The </w:t>
      </w:r>
      <w:r w:rsidR="00275E2B">
        <w:t xml:space="preserve">adjusted </w:t>
      </w:r>
      <w:r w:rsidR="00FA1F98">
        <w:t xml:space="preserve">payment amount reflects a </w:t>
      </w:r>
      <w:proofErr w:type="gramStart"/>
      <w:r w:rsidR="00FA1F98">
        <w:t>6</w:t>
      </w:r>
      <w:r w:rsidR="00A9640B">
        <w:t> </w:t>
      </w:r>
      <w:r w:rsidR="00FA1F98">
        <w:t>month</w:t>
      </w:r>
      <w:proofErr w:type="gramEnd"/>
      <w:r w:rsidR="00FA1F98">
        <w:t xml:space="preserve"> extension to the payments</w:t>
      </w:r>
      <w:r w:rsidR="00D06D80">
        <w:t xml:space="preserve"> at the same rate </w:t>
      </w:r>
      <w:r w:rsidR="009821D1">
        <w:t>that</w:t>
      </w:r>
      <w:r w:rsidR="00D06D80">
        <w:t xml:space="preserve"> applied to the </w:t>
      </w:r>
      <w:r w:rsidR="00A9640B">
        <w:t xml:space="preserve">original project </w:t>
      </w:r>
      <w:r w:rsidR="00D06D80">
        <w:t>term</w:t>
      </w:r>
      <w:r w:rsidR="00FA1F98">
        <w:t>.</w:t>
      </w:r>
      <w:r w:rsidR="009778EE">
        <w:t xml:space="preserve"> </w:t>
      </w:r>
      <w:r w:rsidR="007469C0">
        <w:t xml:space="preserve">The </w:t>
      </w:r>
      <w:proofErr w:type="gramStart"/>
      <w:r>
        <w:t>6</w:t>
      </w:r>
      <w:r w:rsidR="00A9640B">
        <w:t xml:space="preserve"> </w:t>
      </w:r>
      <w:r>
        <w:t>month</w:t>
      </w:r>
      <w:proofErr w:type="gramEnd"/>
      <w:r>
        <w:t xml:space="preserve"> extension</w:t>
      </w:r>
      <w:r w:rsidR="007231AA">
        <w:t xml:space="preserve"> is </w:t>
      </w:r>
      <w:r w:rsidR="007469C0">
        <w:t>aimed at maintaining</w:t>
      </w:r>
      <w:r w:rsidR="009778EE">
        <w:t xml:space="preserve"> system </w:t>
      </w:r>
      <w:r w:rsidR="00853FBA">
        <w:t>stability</w:t>
      </w:r>
      <w:r>
        <w:t xml:space="preserve">. </w:t>
      </w:r>
    </w:p>
    <w:p w14:paraId="0BFD621A" w14:textId="3E9EF1D5" w:rsidR="00EF0FFC" w:rsidRDefault="00EF0FFC" w:rsidP="00EF0FFC">
      <w:r>
        <w:t xml:space="preserve">We consider the total amount </w:t>
      </w:r>
      <w:r w:rsidR="00644D5A">
        <w:t>payable,</w:t>
      </w:r>
      <w:r>
        <w:t xml:space="preserve"> and schedule of payments proposed by Transgrid in its revenue proposal</w:t>
      </w:r>
      <w:r w:rsidR="00D406F7">
        <w:t xml:space="preserve"> and attached financial model</w:t>
      </w:r>
      <w:r>
        <w:t xml:space="preserve"> are consistent with the contractual arrangements</w:t>
      </w:r>
      <w:r w:rsidR="00BC0BD3">
        <w:t xml:space="preserve"> (PGSAs)</w:t>
      </w:r>
      <w:r>
        <w:t xml:space="preserve">. </w:t>
      </w:r>
    </w:p>
    <w:p w14:paraId="43EDCC09" w14:textId="7F9C3444" w:rsidR="00C4163C" w:rsidRDefault="00EF0FFC" w:rsidP="003D3596">
      <w:r>
        <w:t xml:space="preserve">Given this assessment, we consider </w:t>
      </w:r>
      <w:proofErr w:type="spellStart"/>
      <w:r>
        <w:t>Transgrid’s</w:t>
      </w:r>
      <w:proofErr w:type="spellEnd"/>
      <w:r>
        <w:t xml:space="preserve"> proposal is consistent with the principles in s</w:t>
      </w:r>
      <w:r w:rsidRPr="003D50D4">
        <w:t>ection 37(1) of the EII Act</w:t>
      </w:r>
      <w:r>
        <w:t>.</w:t>
      </w:r>
    </w:p>
    <w:p w14:paraId="360BF250" w14:textId="77777777" w:rsidR="00E13679" w:rsidRPr="00710DDB" w:rsidRDefault="00E13679" w:rsidP="00E13679">
      <w:pPr>
        <w:pStyle w:val="Heading4"/>
        <w:numPr>
          <w:ilvl w:val="0"/>
          <w:numId w:val="0"/>
        </w:numPr>
        <w:ind w:left="720" w:hanging="720"/>
        <w:rPr>
          <w:lang w:eastAsia="ja-JP"/>
        </w:rPr>
      </w:pPr>
      <w:r w:rsidRPr="00710DDB">
        <w:rPr>
          <w:lang w:eastAsia="ja-JP"/>
        </w:rPr>
        <w:t>Schedule of payments and payment dates</w:t>
      </w:r>
    </w:p>
    <w:p w14:paraId="035BC09B" w14:textId="0E6875F5" w:rsidR="00E13679" w:rsidRDefault="00E13679" w:rsidP="00E13679">
      <w:r w:rsidRPr="00710DDB">
        <w:t>The</w:t>
      </w:r>
      <w:r w:rsidR="002D5884">
        <w:t xml:space="preserve"> SFV will pay Transgrid the</w:t>
      </w:r>
      <w:r w:rsidRPr="00710DDB">
        <w:t xml:space="preserve"> quarterly amounts in accordance with the dates specified in </w:t>
      </w:r>
      <w:r w:rsidRPr="00B50F48">
        <w:fldChar w:fldCharType="begin"/>
      </w:r>
      <w:r w:rsidRPr="00B50F48">
        <w:instrText xml:space="preserve"> REF _Ref149055353 \h </w:instrText>
      </w:r>
      <w:r>
        <w:instrText xml:space="preserve"> \* MERGEFORMAT </w:instrText>
      </w:r>
      <w:r w:rsidRPr="00B50F48">
        <w:fldChar w:fldCharType="separate"/>
      </w:r>
      <w:r w:rsidRPr="00710DDB">
        <w:t xml:space="preserve">Table </w:t>
      </w:r>
      <w:r w:rsidRPr="00B50F48">
        <w:fldChar w:fldCharType="end"/>
      </w:r>
      <w:r w:rsidR="00D406F7">
        <w:t>1</w:t>
      </w:r>
      <w:r w:rsidRPr="00B50F48">
        <w:t>.</w:t>
      </w:r>
      <w:r w:rsidRPr="00710DDB">
        <w:t xml:space="preserve"> </w:t>
      </w:r>
      <w:r w:rsidR="00DF14BE">
        <w:t>The amounts</w:t>
      </w:r>
      <w:r w:rsidRPr="00710DDB">
        <w:t xml:space="preserve"> to be paid to Transgrid and the dates these payments </w:t>
      </w:r>
      <w:r w:rsidR="00DF14BE">
        <w:t xml:space="preserve">must be </w:t>
      </w:r>
      <w:r w:rsidRPr="00710DDB">
        <w:t xml:space="preserve">made are consistent with </w:t>
      </w:r>
      <w:r w:rsidR="0015449A">
        <w:t xml:space="preserve">payments Transgrid is required to make to the </w:t>
      </w:r>
      <w:r w:rsidR="006F54A0">
        <w:t>P</w:t>
      </w:r>
      <w:r w:rsidR="0015449A">
        <w:t xml:space="preserve">aired </w:t>
      </w:r>
      <w:r w:rsidR="006F54A0">
        <w:t>G</w:t>
      </w:r>
      <w:r w:rsidR="0015449A">
        <w:t xml:space="preserve">eneration </w:t>
      </w:r>
      <w:r w:rsidR="006F54A0">
        <w:t>S</w:t>
      </w:r>
      <w:r w:rsidR="0015449A">
        <w:t xml:space="preserve">ervice providers </w:t>
      </w:r>
      <w:r w:rsidR="00A95F9E">
        <w:t xml:space="preserve">under </w:t>
      </w:r>
      <w:r>
        <w:t>the PGSAs</w:t>
      </w:r>
      <w:r w:rsidRPr="00710DDB">
        <w:t>.</w:t>
      </w:r>
    </w:p>
    <w:p w14:paraId="71F8B01B" w14:textId="42489E7A" w:rsidR="00E13679" w:rsidRPr="00710DDB" w:rsidRDefault="00E13679" w:rsidP="00E13679">
      <w:pPr>
        <w:pStyle w:val="Caption"/>
      </w:pPr>
      <w:bookmarkStart w:id="11" w:name="_Ref149055353"/>
      <w:r w:rsidRPr="00710DDB">
        <w:t xml:space="preserve">Table </w:t>
      </w:r>
      <w:fldSimple w:instr=" SEQ Table \* ARABIC ">
        <w:r w:rsidR="00D406F7">
          <w:rPr>
            <w:noProof/>
          </w:rPr>
          <w:t>1</w:t>
        </w:r>
      </w:fldSimple>
      <w:bookmarkEnd w:id="11"/>
      <w:r w:rsidRPr="00710DDB">
        <w:t xml:space="preserve">: Payment dates for quarterly payments to Transgrid </w:t>
      </w:r>
    </w:p>
    <w:tbl>
      <w:tblPr>
        <w:tblStyle w:val="TableGrid"/>
        <w:tblW w:w="0" w:type="auto"/>
        <w:tblLook w:val="04A0" w:firstRow="1" w:lastRow="0" w:firstColumn="1" w:lastColumn="0" w:noHBand="0" w:noVBand="1"/>
      </w:tblPr>
      <w:tblGrid>
        <w:gridCol w:w="4530"/>
        <w:gridCol w:w="4530"/>
      </w:tblGrid>
      <w:tr w:rsidR="00E13679" w:rsidRPr="00710DDB" w14:paraId="66B93EC1" w14:textId="77777777" w:rsidTr="00051E53">
        <w:tc>
          <w:tcPr>
            <w:tcW w:w="4530" w:type="dxa"/>
            <w:shd w:val="clear" w:color="auto" w:fill="303F51"/>
          </w:tcPr>
          <w:p w14:paraId="6C88E5AE" w14:textId="77777777" w:rsidR="00E13679" w:rsidRPr="00710DDB" w:rsidRDefault="00E13679" w:rsidP="00051E53">
            <w:pPr>
              <w:pStyle w:val="TableHeading"/>
            </w:pPr>
            <w:r w:rsidRPr="00710DDB">
              <w:t>Contract quarter</w:t>
            </w:r>
          </w:p>
        </w:tc>
        <w:tc>
          <w:tcPr>
            <w:tcW w:w="4530" w:type="dxa"/>
            <w:shd w:val="clear" w:color="auto" w:fill="303F51"/>
          </w:tcPr>
          <w:p w14:paraId="5AE03760" w14:textId="77777777" w:rsidR="00E13679" w:rsidRPr="00710DDB" w:rsidRDefault="00E13679" w:rsidP="00051E53">
            <w:pPr>
              <w:pStyle w:val="TableHeading"/>
            </w:pPr>
            <w:r w:rsidRPr="00710DDB">
              <w:t>Payment date</w:t>
            </w:r>
          </w:p>
        </w:tc>
      </w:tr>
      <w:tr w:rsidR="00E13679" w:rsidRPr="008C2505" w14:paraId="412CBD4F" w14:textId="77777777" w:rsidTr="00051E53">
        <w:tc>
          <w:tcPr>
            <w:tcW w:w="4530" w:type="dxa"/>
          </w:tcPr>
          <w:p w14:paraId="6BA96CFE" w14:textId="77777777" w:rsidR="00E13679" w:rsidRPr="00F52851" w:rsidRDefault="00E13679" w:rsidP="00051E53">
            <w:pPr>
              <w:pStyle w:val="TableText"/>
            </w:pPr>
            <w:r w:rsidRPr="00F52851">
              <w:t xml:space="preserve">1 July – 30 September </w:t>
            </w:r>
          </w:p>
        </w:tc>
        <w:tc>
          <w:tcPr>
            <w:tcW w:w="4530" w:type="dxa"/>
          </w:tcPr>
          <w:p w14:paraId="5DC74847" w14:textId="77777777" w:rsidR="00E13679" w:rsidRPr="00F52851" w:rsidRDefault="00E13679" w:rsidP="00051E53">
            <w:pPr>
              <w:pStyle w:val="TableText"/>
            </w:pPr>
            <w:r w:rsidRPr="00F52851">
              <w:t>3 November</w:t>
            </w:r>
          </w:p>
        </w:tc>
      </w:tr>
      <w:tr w:rsidR="00E13679" w:rsidRPr="008C2505" w14:paraId="2C2C07EA" w14:textId="77777777" w:rsidTr="00051E53">
        <w:tc>
          <w:tcPr>
            <w:tcW w:w="4530" w:type="dxa"/>
          </w:tcPr>
          <w:p w14:paraId="6C6760A7" w14:textId="77777777" w:rsidR="00E13679" w:rsidRPr="00F52851" w:rsidRDefault="00E13679" w:rsidP="00051E53">
            <w:pPr>
              <w:pStyle w:val="TableText"/>
            </w:pPr>
            <w:r w:rsidRPr="00F52851">
              <w:t xml:space="preserve">1 October – 31 December </w:t>
            </w:r>
          </w:p>
        </w:tc>
        <w:tc>
          <w:tcPr>
            <w:tcW w:w="4530" w:type="dxa"/>
          </w:tcPr>
          <w:p w14:paraId="54F3E885" w14:textId="77777777" w:rsidR="00E13679" w:rsidRPr="00F52851" w:rsidRDefault="00E13679" w:rsidP="00051E53">
            <w:pPr>
              <w:pStyle w:val="TableText"/>
            </w:pPr>
            <w:r w:rsidRPr="00F52851">
              <w:t>3 February</w:t>
            </w:r>
          </w:p>
        </w:tc>
      </w:tr>
      <w:tr w:rsidR="00E13679" w:rsidRPr="008C2505" w14:paraId="65D65613" w14:textId="77777777" w:rsidTr="00051E53">
        <w:tc>
          <w:tcPr>
            <w:tcW w:w="4530" w:type="dxa"/>
          </w:tcPr>
          <w:p w14:paraId="30386E6E" w14:textId="77777777" w:rsidR="00E13679" w:rsidRPr="00F52851" w:rsidRDefault="00E13679" w:rsidP="00051E53">
            <w:pPr>
              <w:pStyle w:val="TableText"/>
            </w:pPr>
            <w:r w:rsidRPr="00F52851">
              <w:t>1 January – 31 March</w:t>
            </w:r>
          </w:p>
        </w:tc>
        <w:tc>
          <w:tcPr>
            <w:tcW w:w="4530" w:type="dxa"/>
          </w:tcPr>
          <w:p w14:paraId="7FF1444E" w14:textId="77777777" w:rsidR="00E13679" w:rsidRPr="00F52851" w:rsidRDefault="00E13679" w:rsidP="00051E53">
            <w:pPr>
              <w:pStyle w:val="TableText"/>
            </w:pPr>
            <w:r w:rsidRPr="00F52851">
              <w:t xml:space="preserve">3 May </w:t>
            </w:r>
          </w:p>
        </w:tc>
      </w:tr>
      <w:tr w:rsidR="00E13679" w14:paraId="07AB5EF2" w14:textId="77777777" w:rsidTr="00051E53">
        <w:tc>
          <w:tcPr>
            <w:tcW w:w="4530" w:type="dxa"/>
          </w:tcPr>
          <w:p w14:paraId="6AB10CEA" w14:textId="77777777" w:rsidR="00E13679" w:rsidRPr="00F52851" w:rsidRDefault="00E13679" w:rsidP="00051E53">
            <w:pPr>
              <w:pStyle w:val="TableText"/>
            </w:pPr>
            <w:r w:rsidRPr="00F52851">
              <w:t>1 April – 30 June</w:t>
            </w:r>
          </w:p>
        </w:tc>
        <w:tc>
          <w:tcPr>
            <w:tcW w:w="4530" w:type="dxa"/>
          </w:tcPr>
          <w:p w14:paraId="25494A12" w14:textId="77777777" w:rsidR="00E13679" w:rsidRPr="00F52851" w:rsidRDefault="00E13679" w:rsidP="00051E53">
            <w:pPr>
              <w:pStyle w:val="TableText"/>
            </w:pPr>
            <w:r w:rsidRPr="00F52851">
              <w:t>3 August</w:t>
            </w:r>
          </w:p>
        </w:tc>
      </w:tr>
    </w:tbl>
    <w:p w14:paraId="23D6297C" w14:textId="3526A5E4" w:rsidR="006D126E" w:rsidRPr="006D126E" w:rsidRDefault="006D126E" w:rsidP="004718E9">
      <w:pPr>
        <w:pStyle w:val="Heading3"/>
        <w:spacing w:before="240"/>
        <w:ind w:left="578" w:hanging="578"/>
        <w:rPr>
          <w:lang w:eastAsia="ja-JP"/>
        </w:rPr>
      </w:pPr>
      <w:bookmarkStart w:id="12" w:name="_Toc241088708"/>
      <w:r>
        <w:rPr>
          <w:lang w:eastAsia="ja-JP"/>
        </w:rPr>
        <w:t>SIPS Battery Service</w:t>
      </w:r>
      <w:bookmarkEnd w:id="12"/>
      <w:r>
        <w:rPr>
          <w:lang w:eastAsia="ja-JP"/>
        </w:rPr>
        <w:t xml:space="preserve"> </w:t>
      </w:r>
    </w:p>
    <w:p w14:paraId="74B55004" w14:textId="77777777" w:rsidR="006D126E" w:rsidRDefault="006D126E" w:rsidP="006D126E">
      <w:pPr>
        <w:pStyle w:val="Heading4"/>
        <w:numPr>
          <w:ilvl w:val="0"/>
          <w:numId w:val="0"/>
        </w:numPr>
        <w:ind w:left="720" w:hanging="720"/>
        <w:rPr>
          <w:lang w:eastAsia="ja-JP"/>
        </w:rPr>
      </w:pPr>
      <w:proofErr w:type="spellStart"/>
      <w:r>
        <w:rPr>
          <w:lang w:eastAsia="ja-JP"/>
        </w:rPr>
        <w:t>Transgrid’s</w:t>
      </w:r>
      <w:proofErr w:type="spellEnd"/>
      <w:r>
        <w:rPr>
          <w:lang w:eastAsia="ja-JP"/>
        </w:rPr>
        <w:t xml:space="preserve"> revenue proposal</w:t>
      </w:r>
    </w:p>
    <w:p w14:paraId="09CC96A4" w14:textId="77A0F5E7" w:rsidR="00341B17" w:rsidRDefault="00341B17" w:rsidP="00341B17">
      <w:proofErr w:type="spellStart"/>
      <w:r>
        <w:t>Transgrid’s</w:t>
      </w:r>
      <w:proofErr w:type="spellEnd"/>
      <w:r>
        <w:t xml:space="preserve"> revenue proposal </w:t>
      </w:r>
      <w:r w:rsidR="00471F40">
        <w:t>sets out the total</w:t>
      </w:r>
      <w:r w:rsidR="007C02BB">
        <w:t xml:space="preserve"> </w:t>
      </w:r>
      <w:r w:rsidR="00471F40">
        <w:t xml:space="preserve">revenue amount </w:t>
      </w:r>
      <w:r w:rsidR="007C02BB">
        <w:t>and a schedule of payments</w:t>
      </w:r>
      <w:r>
        <w:t xml:space="preserve"> over the period covered by the SIPS Service Agreement</w:t>
      </w:r>
      <w:r w:rsidR="00471F40">
        <w:t xml:space="preserve"> (2024–2031)</w:t>
      </w:r>
      <w:r>
        <w:t xml:space="preserve">. </w:t>
      </w:r>
      <w:r w:rsidR="007C02BB">
        <w:t xml:space="preserve">This revenue is based on Akaysha providing the </w:t>
      </w:r>
      <w:r w:rsidR="006B7B54">
        <w:t>Seasonal Sculpted Core Service</w:t>
      </w:r>
      <w:r w:rsidR="007C02BB">
        <w:t>, consistent with our previous revenue determination.</w:t>
      </w:r>
      <w:r w:rsidR="007C02BB">
        <w:rPr>
          <w:rStyle w:val="FootnoteReference"/>
        </w:rPr>
        <w:footnoteReference w:id="21"/>
      </w:r>
      <w:r w:rsidR="007C02BB">
        <w:t xml:space="preserve"> Transgrid has proposed an increase to the total revenue and schedule of payments </w:t>
      </w:r>
      <w:r w:rsidR="00DE1C36">
        <w:t>to reflect</w:t>
      </w:r>
      <w:r w:rsidR="00644D5A">
        <w:t xml:space="preserve"> the </w:t>
      </w:r>
      <w:r w:rsidR="006F54A0">
        <w:t>6-month</w:t>
      </w:r>
      <w:r w:rsidR="00644D5A">
        <w:t xml:space="preserve"> extension to the project term. </w:t>
      </w:r>
    </w:p>
    <w:p w14:paraId="03BB5766" w14:textId="4A0796DA" w:rsidR="00341B17" w:rsidRDefault="00341B17" w:rsidP="00341B17">
      <w:r>
        <w:lastRenderedPageBreak/>
        <w:t>Transgrid considers th</w:t>
      </w:r>
      <w:r w:rsidR="007C02BB">
        <w:t>e</w:t>
      </w:r>
      <w:r>
        <w:t xml:space="preserve"> amount to be operating expenditure, as it relates to payments it must make to Akaysha for the provision of the </w:t>
      </w:r>
      <w:r w:rsidR="00E6301A">
        <w:t>SIPS Battery Service</w:t>
      </w:r>
      <w:r w:rsidRPr="00EB72F3">
        <w:t xml:space="preserve">. </w:t>
      </w:r>
      <w:r w:rsidR="005F5F45">
        <w:t xml:space="preserve">It has also </w:t>
      </w:r>
      <w:r>
        <w:t>proposed that the schedule of payments be subject to the adjustments noted</w:t>
      </w:r>
      <w:r w:rsidRPr="006D5F17">
        <w:t xml:space="preserve"> in section </w:t>
      </w:r>
      <w:r w:rsidR="00464F4E">
        <w:fldChar w:fldCharType="begin"/>
      </w:r>
      <w:r w:rsidR="00464F4E">
        <w:instrText xml:space="preserve"> REF _Ref233104862 \r \h </w:instrText>
      </w:r>
      <w:r w:rsidR="00464F4E">
        <w:fldChar w:fldCharType="separate"/>
      </w:r>
      <w:r w:rsidR="00464F4E">
        <w:t>7.2</w:t>
      </w:r>
      <w:r w:rsidR="00464F4E">
        <w:fldChar w:fldCharType="end"/>
      </w:r>
      <w:r w:rsidRPr="006D5F17">
        <w:t xml:space="preserve"> of</w:t>
      </w:r>
      <w:r>
        <w:t xml:space="preserve"> this document.</w:t>
      </w:r>
    </w:p>
    <w:p w14:paraId="4514950F" w14:textId="05C2436C" w:rsidR="00341B17" w:rsidRDefault="003C719E" w:rsidP="00341B17">
      <w:r>
        <w:t>Consistent with our previous revenue determination</w:t>
      </w:r>
      <w:r w:rsidR="004248E2">
        <w:t>,</w:t>
      </w:r>
      <w:r>
        <w:t xml:space="preserve"> we included </w:t>
      </w:r>
      <w:r w:rsidR="00352F09">
        <w:t xml:space="preserve">in our remade determination </w:t>
      </w:r>
      <w:r>
        <w:t xml:space="preserve">a schedule of payments for the </w:t>
      </w:r>
      <w:r w:rsidR="006B7B54">
        <w:t>Fixed Core Service</w:t>
      </w:r>
      <w:r>
        <w:t xml:space="preserve"> as Transgrid may, during the service period, request Akaysha </w:t>
      </w:r>
      <w:r w:rsidR="00196275">
        <w:t>to switch between seasonal sculpted and fixed core</w:t>
      </w:r>
      <w:r>
        <w:t xml:space="preserve"> service mode</w:t>
      </w:r>
      <w:r w:rsidR="00196275">
        <w:t>s</w:t>
      </w:r>
      <w:r w:rsidR="009F2317">
        <w:t>. The</w:t>
      </w:r>
      <w:r w:rsidR="00341B17">
        <w:t xml:space="preserve"> schedule of payments for </w:t>
      </w:r>
      <w:r w:rsidR="00196275">
        <w:t>the</w:t>
      </w:r>
      <w:r w:rsidR="00341B17">
        <w:t xml:space="preserve"> </w:t>
      </w:r>
      <w:r w:rsidR="006B7B54">
        <w:t>Fixed Core Service</w:t>
      </w:r>
      <w:r w:rsidR="009F2317">
        <w:t xml:space="preserve"> </w:t>
      </w:r>
      <w:r w:rsidR="00196275">
        <w:t xml:space="preserve">reflects </w:t>
      </w:r>
      <w:r w:rsidR="00341B17">
        <w:t xml:space="preserve">a higher annual service charge. </w:t>
      </w:r>
    </w:p>
    <w:p w14:paraId="41A73259" w14:textId="76812F5E" w:rsidR="00341B17" w:rsidRDefault="00C15B9D" w:rsidP="00341B17">
      <w:r>
        <w:t xml:space="preserve">If </w:t>
      </w:r>
      <w:r w:rsidR="00341B17">
        <w:t xml:space="preserve">Transgrid </w:t>
      </w:r>
      <w:r w:rsidR="002507C7">
        <w:t xml:space="preserve">notifies </w:t>
      </w:r>
      <w:r w:rsidR="00341B17">
        <w:t xml:space="preserve">the </w:t>
      </w:r>
      <w:r w:rsidR="00E6301A">
        <w:t>SIPS Battery Service</w:t>
      </w:r>
      <w:r w:rsidR="00341B17">
        <w:t xml:space="preserve"> provider </w:t>
      </w:r>
      <w:r w:rsidR="00352F09">
        <w:t xml:space="preserve">to </w:t>
      </w:r>
      <w:r w:rsidR="002507C7">
        <w:t xml:space="preserve">change </w:t>
      </w:r>
      <w:r>
        <w:t xml:space="preserve">its </w:t>
      </w:r>
      <w:r w:rsidR="00341B17">
        <w:t>service</w:t>
      </w:r>
      <w:r>
        <w:t xml:space="preserve"> mode, it</w:t>
      </w:r>
      <w:r w:rsidR="00341B17">
        <w:t xml:space="preserve"> will constitute an adjustment </w:t>
      </w:r>
      <w:r w:rsidR="00BB2DAE">
        <w:t>event,</w:t>
      </w:r>
      <w:r w:rsidR="00341B17">
        <w:t xml:space="preserve"> and the schedule of payments would be adjusted to reflect the quarterly amounts payable from the date of the change.</w:t>
      </w:r>
      <w:r w:rsidR="009F2317">
        <w:t xml:space="preserve"> </w:t>
      </w:r>
    </w:p>
    <w:p w14:paraId="27B0FA93" w14:textId="5993C0A0" w:rsidR="00634871" w:rsidRDefault="00634871" w:rsidP="00341B17">
      <w:r>
        <w:t xml:space="preserve">Consistent with our previous publications on this revenue determination, we have </w:t>
      </w:r>
      <w:r w:rsidR="00C6320E">
        <w:t xml:space="preserve">decided </w:t>
      </w:r>
      <w:r>
        <w:t xml:space="preserve">not to publish the </w:t>
      </w:r>
      <w:r w:rsidR="00C6320E">
        <w:t xml:space="preserve">proposed or determined </w:t>
      </w:r>
      <w:r w:rsidR="00352F09">
        <w:t xml:space="preserve">total and annual </w:t>
      </w:r>
      <w:r>
        <w:t xml:space="preserve">amounts due to commercial sensitivity. Instead, </w:t>
      </w:r>
      <w:r w:rsidR="007231AA">
        <w:t xml:space="preserve">the </w:t>
      </w:r>
      <w:r w:rsidR="00C6320E">
        <w:t xml:space="preserve">determined </w:t>
      </w:r>
      <w:r w:rsidR="00E6301A">
        <w:t>SIPS Battery Service</w:t>
      </w:r>
      <w:r w:rsidR="007231AA">
        <w:t xml:space="preserve"> </w:t>
      </w:r>
      <w:r w:rsidR="00C6320E">
        <w:t xml:space="preserve">amounts </w:t>
      </w:r>
      <w:r>
        <w:t xml:space="preserve">will be aggregated with the </w:t>
      </w:r>
      <w:r w:rsidR="002D5884">
        <w:t>P</w:t>
      </w:r>
      <w:r>
        <w:t xml:space="preserve">aired </w:t>
      </w:r>
      <w:r w:rsidR="002D5884">
        <w:t>G</w:t>
      </w:r>
      <w:r>
        <w:t xml:space="preserve">eneration </w:t>
      </w:r>
      <w:r w:rsidR="002D5884">
        <w:t>S</w:t>
      </w:r>
      <w:r>
        <w:t>ervice amount</w:t>
      </w:r>
      <w:r w:rsidR="00C6320E">
        <w:t>s</w:t>
      </w:r>
      <w:r>
        <w:t xml:space="preserve"> and published on our website separately.</w:t>
      </w:r>
    </w:p>
    <w:p w14:paraId="1205F277" w14:textId="77777777" w:rsidR="006D126E" w:rsidRDefault="006D126E" w:rsidP="006D126E">
      <w:pPr>
        <w:pStyle w:val="Heading4"/>
        <w:numPr>
          <w:ilvl w:val="0"/>
          <w:numId w:val="0"/>
        </w:numPr>
        <w:ind w:left="720" w:hanging="720"/>
        <w:rPr>
          <w:lang w:eastAsia="ja-JP"/>
        </w:rPr>
      </w:pPr>
      <w:r>
        <w:rPr>
          <w:lang w:eastAsia="ja-JP"/>
        </w:rPr>
        <w:t xml:space="preserve">AER’s assessment </w:t>
      </w:r>
    </w:p>
    <w:p w14:paraId="7A3CE658" w14:textId="12C5A3C0" w:rsidR="00634871" w:rsidRDefault="00634871" w:rsidP="00634871">
      <w:r>
        <w:t xml:space="preserve">Based on our review of </w:t>
      </w:r>
      <w:proofErr w:type="spellStart"/>
      <w:r>
        <w:t>Transgrid’s</w:t>
      </w:r>
      <w:proofErr w:type="spellEnd"/>
      <w:r>
        <w:t xml:space="preserve"> proposal and the amended contractual terms</w:t>
      </w:r>
      <w:r w:rsidR="00C6320E">
        <w:t>,</w:t>
      </w:r>
      <w:r>
        <w:t xml:space="preserve"> we are satisfied the </w:t>
      </w:r>
      <w:r w:rsidR="00BC0BD3">
        <w:t>proposal reflects</w:t>
      </w:r>
      <w:r>
        <w:t xml:space="preserve"> </w:t>
      </w:r>
      <w:r w:rsidR="007231AA">
        <w:t>the outcome</w:t>
      </w:r>
      <w:r>
        <w:t xml:space="preserve"> of the competitive assessment process. The </w:t>
      </w:r>
      <w:r w:rsidR="00FA1F98">
        <w:t xml:space="preserve">additional </w:t>
      </w:r>
      <w:r>
        <w:t xml:space="preserve">payment amount </w:t>
      </w:r>
      <w:r w:rsidR="00FA1F98">
        <w:t xml:space="preserve">reflects a </w:t>
      </w:r>
      <w:r w:rsidR="006F54A0">
        <w:t>6-month</w:t>
      </w:r>
      <w:r w:rsidR="00FA1F98">
        <w:t xml:space="preserve"> extension to the </w:t>
      </w:r>
      <w:r w:rsidR="00BC0BD3">
        <w:t>contract term</w:t>
      </w:r>
      <w:r>
        <w:t xml:space="preserve"> </w:t>
      </w:r>
      <w:r w:rsidR="007231AA">
        <w:t>aimed at maintaining</w:t>
      </w:r>
      <w:r>
        <w:t xml:space="preserve"> </w:t>
      </w:r>
      <w:r w:rsidR="002D5884">
        <w:t xml:space="preserve">network </w:t>
      </w:r>
      <w:r w:rsidR="00853FBA">
        <w:t>stability</w:t>
      </w:r>
      <w:r>
        <w:t>.</w:t>
      </w:r>
    </w:p>
    <w:p w14:paraId="0D5DB4CF" w14:textId="174D1D09" w:rsidR="00634871" w:rsidRDefault="00634871" w:rsidP="00634871">
      <w:r>
        <w:t>We consider the total amount payable, and schedule of payments proposed by Transgrid in its revenue proposal</w:t>
      </w:r>
      <w:r w:rsidR="00BC0BD3">
        <w:t>,</w:t>
      </w:r>
      <w:r>
        <w:t xml:space="preserve"> are consistent with the amended contractual arrangements.</w:t>
      </w:r>
    </w:p>
    <w:p w14:paraId="704D64D4" w14:textId="03047304" w:rsidR="00634871" w:rsidRDefault="00634871" w:rsidP="00634871">
      <w:r>
        <w:t xml:space="preserve">We conducted a thorough review of the contractual arrangements to ensure they were accurately reflected in </w:t>
      </w:r>
      <w:proofErr w:type="spellStart"/>
      <w:r>
        <w:t>Transgrid’s</w:t>
      </w:r>
      <w:proofErr w:type="spellEnd"/>
      <w:r>
        <w:t xml:space="preserve"> proposal and this determination. We </w:t>
      </w:r>
      <w:r w:rsidR="007231AA">
        <w:t xml:space="preserve">also </w:t>
      </w:r>
      <w:r>
        <w:t xml:space="preserve">reviewed the amounts in the schedule of payments and the total amounts payable against the financial model. We are satisfied </w:t>
      </w:r>
      <w:r w:rsidR="005F5F45">
        <w:t xml:space="preserve">that </w:t>
      </w:r>
      <w:proofErr w:type="spellStart"/>
      <w:r w:rsidR="005F5F45">
        <w:t>Transgrid’s</w:t>
      </w:r>
      <w:proofErr w:type="spellEnd"/>
      <w:r>
        <w:t xml:space="preserve"> proposal accurately reflects the amendments to the contractual arrangements. Given this assessment, we consider </w:t>
      </w:r>
      <w:proofErr w:type="spellStart"/>
      <w:r>
        <w:t>Transgrid’s</w:t>
      </w:r>
      <w:proofErr w:type="spellEnd"/>
      <w:r>
        <w:t xml:space="preserve"> proposal is consistent with the principles in s</w:t>
      </w:r>
      <w:r w:rsidRPr="003D50D4">
        <w:t>ection 37(1) of the EII Act</w:t>
      </w:r>
      <w:r>
        <w:t>.</w:t>
      </w:r>
    </w:p>
    <w:p w14:paraId="181A4087" w14:textId="77777777" w:rsidR="006D126E" w:rsidRPr="00710DDB" w:rsidRDefault="006D126E" w:rsidP="006D126E">
      <w:pPr>
        <w:pStyle w:val="Heading4"/>
        <w:numPr>
          <w:ilvl w:val="0"/>
          <w:numId w:val="0"/>
        </w:numPr>
        <w:ind w:left="720" w:hanging="720"/>
        <w:rPr>
          <w:lang w:eastAsia="ja-JP"/>
        </w:rPr>
      </w:pPr>
      <w:r w:rsidRPr="00710DDB">
        <w:rPr>
          <w:lang w:eastAsia="ja-JP"/>
        </w:rPr>
        <w:t>Schedule of payments and payment dates</w:t>
      </w:r>
    </w:p>
    <w:p w14:paraId="55B70001" w14:textId="6E2C37EF" w:rsidR="003164F1" w:rsidRDefault="00634871" w:rsidP="002C594E">
      <w:r w:rsidRPr="00710DDB">
        <w:t xml:space="preserve">The quarterly amounts are to be paid to Transgrid by the SFV in accordance with the dates specified in </w:t>
      </w:r>
      <w:r w:rsidRPr="00B50F48">
        <w:fldChar w:fldCharType="begin"/>
      </w:r>
      <w:r w:rsidRPr="00B50F48">
        <w:instrText xml:space="preserve"> REF _Ref149055353 \h </w:instrText>
      </w:r>
      <w:r>
        <w:instrText xml:space="preserve"> \* MERGEFORMAT </w:instrText>
      </w:r>
      <w:r w:rsidRPr="00B50F48">
        <w:fldChar w:fldCharType="separate"/>
      </w:r>
      <w:r w:rsidRPr="00710DDB">
        <w:t xml:space="preserve">Table </w:t>
      </w:r>
      <w:r w:rsidRPr="00B50F48">
        <w:fldChar w:fldCharType="end"/>
      </w:r>
      <w:r w:rsidR="006F115F">
        <w:t>1</w:t>
      </w:r>
      <w:r w:rsidRPr="00B50F48">
        <w:t>.</w:t>
      </w:r>
      <w:r w:rsidRPr="00710DDB">
        <w:t xml:space="preserve"> </w:t>
      </w:r>
      <w:r>
        <w:t>The amounts</w:t>
      </w:r>
      <w:r w:rsidRPr="00710DDB">
        <w:t xml:space="preserve"> to be paid to Transgrid and the dates these payments </w:t>
      </w:r>
      <w:r>
        <w:t xml:space="preserve">must be </w:t>
      </w:r>
      <w:r w:rsidRPr="00710DDB">
        <w:t xml:space="preserve">made are consistent with the </w:t>
      </w:r>
      <w:r>
        <w:t>contractual arrangements in the amended SIPS Service Agreement</w:t>
      </w:r>
      <w:r w:rsidRPr="00710DDB">
        <w:t>.</w:t>
      </w:r>
      <w:r w:rsidR="00893C61">
        <w:t xml:space="preserve"> </w:t>
      </w:r>
    </w:p>
    <w:p w14:paraId="61886DBB" w14:textId="16160AEC" w:rsidR="001758EB" w:rsidRDefault="004E56FA" w:rsidP="001758EB">
      <w:pPr>
        <w:pStyle w:val="Heading2"/>
        <w:ind w:left="709" w:hanging="709"/>
      </w:pPr>
      <w:bookmarkStart w:id="13" w:name="_Toc241088709"/>
      <w:r>
        <w:lastRenderedPageBreak/>
        <w:t>Revenue adjustments</w:t>
      </w:r>
      <w:bookmarkEnd w:id="13"/>
      <w:r>
        <w:t xml:space="preserve"> </w:t>
      </w:r>
    </w:p>
    <w:p w14:paraId="3958EE15" w14:textId="1BC4674F" w:rsidR="00C4163C" w:rsidRDefault="00C4163C" w:rsidP="00C4163C">
      <w:pPr>
        <w:rPr>
          <w:lang w:eastAsia="ja-JP"/>
        </w:rPr>
      </w:pPr>
      <w:r>
        <w:rPr>
          <w:lang w:eastAsia="ja-JP"/>
        </w:rPr>
        <w:t>Our revenue determination</w:t>
      </w:r>
      <w:r w:rsidR="00C9580C">
        <w:rPr>
          <w:lang w:eastAsia="ja-JP"/>
        </w:rPr>
        <w:t>s</w:t>
      </w:r>
      <w:r>
        <w:rPr>
          <w:lang w:eastAsia="ja-JP"/>
        </w:rPr>
        <w:t xml:space="preserve"> </w:t>
      </w:r>
      <w:r w:rsidRPr="0038293D">
        <w:rPr>
          <w:lang w:eastAsia="ja-JP"/>
        </w:rPr>
        <w:t>may include</w:t>
      </w:r>
      <w:r w:rsidR="005A277D">
        <w:rPr>
          <w:lang w:eastAsia="ja-JP"/>
        </w:rPr>
        <w:t xml:space="preserve"> provisions</w:t>
      </w:r>
      <w:r w:rsidR="00CA0814" w:rsidRPr="00CA0814">
        <w:rPr>
          <w:lang w:eastAsia="ja-JP"/>
        </w:rPr>
        <w:t xml:space="preserve"> </w:t>
      </w:r>
      <w:r w:rsidR="00CA0814">
        <w:rPr>
          <w:lang w:eastAsia="ja-JP"/>
        </w:rPr>
        <w:t>to adjust payment amounts or timing</w:t>
      </w:r>
      <w:r w:rsidR="005A277D">
        <w:rPr>
          <w:lang w:eastAsia="ja-JP"/>
        </w:rPr>
        <w:t xml:space="preserve">. These provisions </w:t>
      </w:r>
      <w:r w:rsidR="006467D4">
        <w:rPr>
          <w:lang w:eastAsia="ja-JP"/>
        </w:rPr>
        <w:t>must specify when an adjustment can be carried out</w:t>
      </w:r>
      <w:r w:rsidRPr="0038293D">
        <w:rPr>
          <w:lang w:eastAsia="ja-JP"/>
        </w:rPr>
        <w:t>.</w:t>
      </w:r>
      <w:r>
        <w:rPr>
          <w:rStyle w:val="FootnoteReference"/>
          <w:lang w:eastAsia="ja-JP"/>
        </w:rPr>
        <w:footnoteReference w:id="22"/>
      </w:r>
      <w:r>
        <w:rPr>
          <w:lang w:eastAsia="ja-JP"/>
        </w:rPr>
        <w:t xml:space="preserve"> All adjustments must be carried out in accordance with our Guideline and, for a revenue determination </w:t>
      </w:r>
      <w:r w:rsidRPr="00B20B04">
        <w:rPr>
          <w:lang w:eastAsia="ja-JP"/>
        </w:rPr>
        <w:t>made as a result of a competitive assessment process</w:t>
      </w:r>
      <w:r>
        <w:rPr>
          <w:lang w:eastAsia="ja-JP"/>
        </w:rPr>
        <w:t xml:space="preserve">, any adjustment provisions must be consistent with </w:t>
      </w:r>
      <w:r w:rsidRPr="00B20B04">
        <w:rPr>
          <w:lang w:eastAsia="ja-JP"/>
        </w:rPr>
        <w:t xml:space="preserve">the contractual arrangements the </w:t>
      </w:r>
      <w:r>
        <w:rPr>
          <w:lang w:eastAsia="ja-JP"/>
        </w:rPr>
        <w:t>Network Operator</w:t>
      </w:r>
      <w:r w:rsidRPr="00B20B04">
        <w:rPr>
          <w:lang w:eastAsia="ja-JP"/>
        </w:rPr>
        <w:t xml:space="preserve"> entered into as required under the relevant authorisation.</w:t>
      </w:r>
      <w:r>
        <w:rPr>
          <w:rStyle w:val="FootnoteReference"/>
          <w:lang w:eastAsia="ja-JP"/>
        </w:rPr>
        <w:footnoteReference w:id="23"/>
      </w:r>
      <w:r>
        <w:rPr>
          <w:lang w:eastAsia="ja-JP"/>
        </w:rPr>
        <w:t xml:space="preserve"> </w:t>
      </w:r>
      <w:r w:rsidR="00305563">
        <w:rPr>
          <w:lang w:eastAsia="ja-JP"/>
        </w:rPr>
        <w:t>Section 3.4 of our Guideline also states that any adjustment mechanisms to reflect the outcome of the competitive assessment process must be clearly specified so that they can be applied by us</w:t>
      </w:r>
      <w:r w:rsidR="009F58EB">
        <w:rPr>
          <w:lang w:eastAsia="ja-JP"/>
        </w:rPr>
        <w:t xml:space="preserve"> in the revenue determination</w:t>
      </w:r>
      <w:r w:rsidR="00305563">
        <w:rPr>
          <w:lang w:eastAsia="ja-JP"/>
        </w:rPr>
        <w:t>.</w:t>
      </w:r>
    </w:p>
    <w:p w14:paraId="23B2697B" w14:textId="650FD218" w:rsidR="00C4163C" w:rsidRDefault="00C4163C" w:rsidP="00C4163C">
      <w:pPr>
        <w:rPr>
          <w:lang w:eastAsia="ja-JP"/>
        </w:rPr>
      </w:pPr>
      <w:r>
        <w:rPr>
          <w:lang w:eastAsia="ja-JP"/>
        </w:rPr>
        <w:t xml:space="preserve">Our Guideline sets out our process for assessing annual adjustment proposals from a Network Operator. </w:t>
      </w:r>
      <w:r w:rsidR="00BC01D3">
        <w:rPr>
          <w:lang w:eastAsia="ja-JP"/>
        </w:rPr>
        <w:t>An a</w:t>
      </w:r>
      <w:r w:rsidR="008A71D7">
        <w:rPr>
          <w:lang w:eastAsia="ja-JP"/>
        </w:rPr>
        <w:t>djustment mechanism</w:t>
      </w:r>
      <w:r w:rsidR="00BC01D3">
        <w:rPr>
          <w:lang w:eastAsia="ja-JP"/>
        </w:rPr>
        <w:t xml:space="preserve"> </w:t>
      </w:r>
      <w:r w:rsidR="008A71D7">
        <w:rPr>
          <w:lang w:eastAsia="ja-JP"/>
        </w:rPr>
        <w:t xml:space="preserve">may require a review and remake of a revenue </w:t>
      </w:r>
      <w:r w:rsidR="00BC01D3">
        <w:rPr>
          <w:lang w:eastAsia="ja-JP"/>
        </w:rPr>
        <w:t>determination,</w:t>
      </w:r>
      <w:r w:rsidR="008A71D7">
        <w:rPr>
          <w:lang w:eastAsia="ja-JP"/>
        </w:rPr>
        <w:t xml:space="preserve"> but this is </w:t>
      </w:r>
      <w:r w:rsidR="00BC01D3">
        <w:rPr>
          <w:lang w:eastAsia="ja-JP"/>
        </w:rPr>
        <w:t xml:space="preserve">at </w:t>
      </w:r>
      <w:r w:rsidR="008A71D7">
        <w:rPr>
          <w:lang w:eastAsia="ja-JP"/>
        </w:rPr>
        <w:t>our discretion.</w:t>
      </w:r>
      <w:r w:rsidR="00BC01D3">
        <w:rPr>
          <w:rStyle w:val="FootnoteReference"/>
          <w:lang w:eastAsia="ja-JP"/>
        </w:rPr>
        <w:footnoteReference w:id="24"/>
      </w:r>
      <w:r w:rsidR="008A71D7">
        <w:rPr>
          <w:lang w:eastAsia="ja-JP"/>
        </w:rPr>
        <w:t xml:space="preserve"> </w:t>
      </w:r>
      <w:r w:rsidR="007E18E0" w:rsidRPr="00166DDA">
        <w:rPr>
          <w:lang w:eastAsia="ja-JP"/>
        </w:rPr>
        <w:t xml:space="preserve">As part of our review of a </w:t>
      </w:r>
      <w:r w:rsidR="007E18E0">
        <w:rPr>
          <w:lang w:eastAsia="ja-JP"/>
        </w:rPr>
        <w:t>r</w:t>
      </w:r>
      <w:r w:rsidR="007E18E0" w:rsidRPr="00166DDA">
        <w:rPr>
          <w:lang w:eastAsia="ja-JP"/>
        </w:rPr>
        <w:t xml:space="preserve">evenue </w:t>
      </w:r>
      <w:r w:rsidR="007E18E0">
        <w:rPr>
          <w:lang w:eastAsia="ja-JP"/>
        </w:rPr>
        <w:t>a</w:t>
      </w:r>
      <w:r w:rsidR="007E18E0" w:rsidRPr="00166DDA">
        <w:rPr>
          <w:lang w:eastAsia="ja-JP"/>
        </w:rPr>
        <w:t xml:space="preserve">djustment </w:t>
      </w:r>
      <w:r w:rsidR="007E18E0">
        <w:rPr>
          <w:lang w:eastAsia="ja-JP"/>
        </w:rPr>
        <w:t>p</w:t>
      </w:r>
      <w:r w:rsidR="007E18E0" w:rsidRPr="00166DDA">
        <w:rPr>
          <w:lang w:eastAsia="ja-JP"/>
        </w:rPr>
        <w:t>roposal</w:t>
      </w:r>
      <w:r w:rsidR="007E18E0">
        <w:rPr>
          <w:lang w:eastAsia="ja-JP"/>
        </w:rPr>
        <w:t xml:space="preserve">, </w:t>
      </w:r>
      <w:r w:rsidR="007E18E0" w:rsidRPr="00166DDA">
        <w:rPr>
          <w:lang w:eastAsia="ja-JP"/>
        </w:rPr>
        <w:t xml:space="preserve">we will develop a revised schedule of payments. </w:t>
      </w:r>
    </w:p>
    <w:p w14:paraId="43CA72CC" w14:textId="3988C28F" w:rsidR="00341B17" w:rsidRDefault="00341B17" w:rsidP="00341B17">
      <w:pPr>
        <w:pStyle w:val="Heading3"/>
        <w:rPr>
          <w:lang w:eastAsia="ja-JP"/>
        </w:rPr>
      </w:pPr>
      <w:bookmarkStart w:id="14" w:name="_Ref233103833"/>
      <w:bookmarkStart w:id="15" w:name="_Toc241088710"/>
      <w:r>
        <w:rPr>
          <w:lang w:eastAsia="ja-JP"/>
        </w:rPr>
        <w:t>Paired Generation Services</w:t>
      </w:r>
      <w:bookmarkEnd w:id="14"/>
      <w:bookmarkEnd w:id="15"/>
    </w:p>
    <w:p w14:paraId="56A3DB22" w14:textId="2099B53C" w:rsidR="00C4163C" w:rsidRDefault="00C4163C" w:rsidP="00C4163C">
      <w:pPr>
        <w:pStyle w:val="Heading4"/>
        <w:numPr>
          <w:ilvl w:val="0"/>
          <w:numId w:val="0"/>
        </w:numPr>
        <w:ind w:left="720" w:hanging="720"/>
        <w:rPr>
          <w:lang w:eastAsia="ja-JP"/>
        </w:rPr>
      </w:pPr>
      <w:r>
        <w:rPr>
          <w:lang w:eastAsia="ja-JP"/>
        </w:rPr>
        <w:t>Existing revenue adjustments</w:t>
      </w:r>
    </w:p>
    <w:p w14:paraId="3CD7FA6A" w14:textId="7DDEFF3E" w:rsidR="00B41B44" w:rsidRDefault="00B41B44" w:rsidP="00C4163C">
      <w:pPr>
        <w:rPr>
          <w:lang w:eastAsia="ja-JP"/>
        </w:rPr>
      </w:pPr>
      <w:r>
        <w:rPr>
          <w:lang w:eastAsia="ja-JP"/>
        </w:rPr>
        <w:t xml:space="preserve">Our </w:t>
      </w:r>
      <w:r w:rsidR="00A56BD3">
        <w:rPr>
          <w:lang w:eastAsia="ja-JP"/>
        </w:rPr>
        <w:t xml:space="preserve">previous </w:t>
      </w:r>
      <w:r>
        <w:rPr>
          <w:lang w:eastAsia="ja-JP"/>
        </w:rPr>
        <w:t xml:space="preserve">revenue determination </w:t>
      </w:r>
      <w:r w:rsidR="00A56BD3">
        <w:rPr>
          <w:lang w:eastAsia="ja-JP"/>
        </w:rPr>
        <w:t xml:space="preserve">for the Paired Generation Services </w:t>
      </w:r>
      <w:r>
        <w:rPr>
          <w:lang w:eastAsia="ja-JP"/>
        </w:rPr>
        <w:t xml:space="preserve">included </w:t>
      </w:r>
      <w:proofErr w:type="gramStart"/>
      <w:r>
        <w:rPr>
          <w:lang w:eastAsia="ja-JP"/>
        </w:rPr>
        <w:t>a number of</w:t>
      </w:r>
      <w:proofErr w:type="gramEnd"/>
      <w:r>
        <w:rPr>
          <w:lang w:eastAsia="ja-JP"/>
        </w:rPr>
        <w:t xml:space="preserve"> adjustment mechanisms </w:t>
      </w:r>
      <w:r w:rsidR="009F58EB">
        <w:rPr>
          <w:lang w:eastAsia="ja-JP"/>
        </w:rPr>
        <w:t>to reflect changes in</w:t>
      </w:r>
      <w:r>
        <w:rPr>
          <w:lang w:eastAsia="ja-JP"/>
        </w:rPr>
        <w:t xml:space="preserve"> the amount Transgrid </w:t>
      </w:r>
      <w:r w:rsidR="009F58EB">
        <w:rPr>
          <w:lang w:eastAsia="ja-JP"/>
        </w:rPr>
        <w:t xml:space="preserve">is required to </w:t>
      </w:r>
      <w:r>
        <w:rPr>
          <w:lang w:eastAsia="ja-JP"/>
        </w:rPr>
        <w:t xml:space="preserve">pay to the </w:t>
      </w:r>
      <w:r w:rsidR="00A56BD3">
        <w:rPr>
          <w:lang w:eastAsia="ja-JP"/>
        </w:rPr>
        <w:t>providers</w:t>
      </w:r>
      <w:r w:rsidR="009F58EB">
        <w:rPr>
          <w:lang w:eastAsia="ja-JP"/>
        </w:rPr>
        <w:t xml:space="preserve"> under the PGSAs</w:t>
      </w:r>
      <w:r>
        <w:rPr>
          <w:lang w:eastAsia="ja-JP"/>
        </w:rPr>
        <w:t xml:space="preserve">. </w:t>
      </w:r>
    </w:p>
    <w:p w14:paraId="749C91B9" w14:textId="2468CF14" w:rsidR="00C4163C" w:rsidRDefault="00B41B44" w:rsidP="00C4163C">
      <w:pPr>
        <w:rPr>
          <w:lang w:eastAsia="ja-JP"/>
        </w:rPr>
      </w:pPr>
      <w:r>
        <w:rPr>
          <w:lang w:eastAsia="ja-JP"/>
        </w:rPr>
        <w:t xml:space="preserve">The </w:t>
      </w:r>
      <w:r w:rsidR="00695383">
        <w:rPr>
          <w:lang w:eastAsia="ja-JP"/>
        </w:rPr>
        <w:t>PGSA</w:t>
      </w:r>
      <w:r w:rsidRPr="00700375">
        <w:rPr>
          <w:lang w:eastAsia="ja-JP"/>
        </w:rPr>
        <w:t xml:space="preserve"> common terms </w:t>
      </w:r>
      <w:r w:rsidR="00CD3768">
        <w:rPr>
          <w:lang w:eastAsia="ja-JP"/>
        </w:rPr>
        <w:t xml:space="preserve">set out the following </w:t>
      </w:r>
      <w:r w:rsidR="009F58EB">
        <w:rPr>
          <w:lang w:eastAsia="ja-JP"/>
        </w:rPr>
        <w:t xml:space="preserve">events that </w:t>
      </w:r>
      <w:r w:rsidR="003E4405">
        <w:rPr>
          <w:lang w:eastAsia="ja-JP"/>
        </w:rPr>
        <w:t xml:space="preserve">would trigger </w:t>
      </w:r>
      <w:r w:rsidR="00996106">
        <w:rPr>
          <w:lang w:eastAsia="ja-JP"/>
        </w:rPr>
        <w:t xml:space="preserve">changes in the amounts payable to the </w:t>
      </w:r>
      <w:r w:rsidR="00C9580C">
        <w:rPr>
          <w:lang w:eastAsia="ja-JP"/>
        </w:rPr>
        <w:t>P</w:t>
      </w:r>
      <w:r w:rsidR="00996106">
        <w:rPr>
          <w:lang w:eastAsia="ja-JP"/>
        </w:rPr>
        <w:t xml:space="preserve">aired </w:t>
      </w:r>
      <w:r w:rsidR="00C9580C">
        <w:rPr>
          <w:lang w:eastAsia="ja-JP"/>
        </w:rPr>
        <w:t>G</w:t>
      </w:r>
      <w:r w:rsidR="00996106">
        <w:rPr>
          <w:lang w:eastAsia="ja-JP"/>
        </w:rPr>
        <w:t xml:space="preserve">eneration </w:t>
      </w:r>
      <w:r w:rsidR="00C9580C">
        <w:rPr>
          <w:lang w:eastAsia="ja-JP"/>
        </w:rPr>
        <w:t>S</w:t>
      </w:r>
      <w:r w:rsidR="00996106">
        <w:rPr>
          <w:lang w:eastAsia="ja-JP"/>
        </w:rPr>
        <w:t>ervice providers</w:t>
      </w:r>
      <w:r w:rsidRPr="00700375">
        <w:rPr>
          <w:lang w:eastAsia="ja-JP"/>
        </w:rPr>
        <w:t>:</w:t>
      </w:r>
    </w:p>
    <w:p w14:paraId="19DEFC54" w14:textId="77777777" w:rsidR="00B41B44" w:rsidRPr="00700375" w:rsidRDefault="00B41B44" w:rsidP="00AF24FB">
      <w:pPr>
        <w:pStyle w:val="Body-regular"/>
        <w:numPr>
          <w:ilvl w:val="0"/>
          <w:numId w:val="21"/>
        </w:numPr>
        <w:spacing w:line="276" w:lineRule="auto"/>
        <w:ind w:left="567" w:hanging="567"/>
        <w:rPr>
          <w:b/>
          <w:color w:val="auto"/>
        </w:rPr>
      </w:pPr>
      <w:r w:rsidRPr="00700375">
        <w:rPr>
          <w:b/>
          <w:color w:val="auto"/>
        </w:rPr>
        <w:t>Availability Charge Rebate</w:t>
      </w:r>
      <w:r w:rsidRPr="00700375" w:rsidDel="00172179">
        <w:rPr>
          <w:b/>
          <w:color w:val="auto"/>
        </w:rPr>
        <w:t xml:space="preserve"> </w:t>
      </w:r>
    </w:p>
    <w:p w14:paraId="1A82DA0A" w14:textId="77777777" w:rsidR="00B41B44" w:rsidRPr="00700375" w:rsidRDefault="00B41B44" w:rsidP="00B41B44">
      <w:pPr>
        <w:pStyle w:val="Body-regular"/>
        <w:spacing w:line="276" w:lineRule="auto"/>
        <w:ind w:left="567"/>
        <w:rPr>
          <w:color w:val="auto"/>
        </w:rPr>
      </w:pPr>
      <w:r w:rsidRPr="00700375">
        <w:rPr>
          <w:color w:val="auto"/>
        </w:rPr>
        <w:t xml:space="preserve">Payment amounts will be decreased in the Contract Year following any Contract Year in which a Paired Generation Provider fails to meet the Availability Guarantee, by calculation and deduction of a PG Availability Charge Rebate. </w:t>
      </w:r>
    </w:p>
    <w:p w14:paraId="28F37BF7" w14:textId="77777777" w:rsidR="00B41B44" w:rsidRPr="00700375" w:rsidRDefault="00B41B44" w:rsidP="00AF24FB">
      <w:pPr>
        <w:pStyle w:val="Body-regular"/>
        <w:numPr>
          <w:ilvl w:val="0"/>
          <w:numId w:val="21"/>
        </w:numPr>
        <w:spacing w:line="276" w:lineRule="auto"/>
        <w:ind w:left="567" w:hanging="567"/>
        <w:rPr>
          <w:color w:val="auto"/>
          <w:lang w:eastAsia="ja-JP"/>
        </w:rPr>
      </w:pPr>
      <w:r w:rsidRPr="00700375">
        <w:rPr>
          <w:b/>
          <w:color w:val="auto"/>
        </w:rPr>
        <w:t>PG Event</w:t>
      </w:r>
      <w:r w:rsidRPr="00700375">
        <w:rPr>
          <w:color w:val="auto"/>
          <w:lang w:eastAsia="ja-JP"/>
        </w:rPr>
        <w:t xml:space="preserve"> </w:t>
      </w:r>
    </w:p>
    <w:p w14:paraId="1FE76D67" w14:textId="77777777" w:rsidR="00B41B44" w:rsidRPr="00700375" w:rsidRDefault="00B41B44" w:rsidP="00B41B44">
      <w:pPr>
        <w:pStyle w:val="Body-regular"/>
        <w:spacing w:line="276" w:lineRule="auto"/>
        <w:ind w:left="567"/>
        <w:rPr>
          <w:color w:val="auto"/>
          <w:lang w:eastAsia="ja-JP"/>
        </w:rPr>
      </w:pPr>
      <w:r w:rsidRPr="00700375">
        <w:rPr>
          <w:color w:val="auto"/>
          <w:lang w:eastAsia="ja-JP"/>
        </w:rPr>
        <w:t xml:space="preserve">A PG Event Charge payable to a Paired Generation Provider during the PG Service Period in consideration for the Paired Generation Provider performing any PG Event Response. </w:t>
      </w:r>
    </w:p>
    <w:p w14:paraId="0C5CC484" w14:textId="77777777" w:rsidR="00B41B44" w:rsidRPr="00700375" w:rsidRDefault="00B41B44" w:rsidP="00AF24FB">
      <w:pPr>
        <w:pStyle w:val="Body-regular"/>
        <w:numPr>
          <w:ilvl w:val="0"/>
          <w:numId w:val="21"/>
        </w:numPr>
        <w:spacing w:line="276" w:lineRule="auto"/>
        <w:ind w:left="567" w:hanging="567"/>
        <w:rPr>
          <w:color w:val="auto"/>
          <w:lang w:eastAsia="ja-JP"/>
        </w:rPr>
      </w:pPr>
      <w:bookmarkStart w:id="16" w:name="_Hlk120804247"/>
      <w:r w:rsidRPr="00700375">
        <w:rPr>
          <w:b/>
          <w:color w:val="auto"/>
        </w:rPr>
        <w:t>PG Test</w:t>
      </w:r>
    </w:p>
    <w:p w14:paraId="5DEBA2FD" w14:textId="77777777" w:rsidR="00B41B44" w:rsidRPr="00700375" w:rsidRDefault="00B41B44" w:rsidP="00B41B44">
      <w:pPr>
        <w:pStyle w:val="Body-regular"/>
        <w:spacing w:line="276" w:lineRule="auto"/>
        <w:ind w:left="567"/>
        <w:rPr>
          <w:color w:val="auto"/>
          <w:lang w:eastAsia="ja-JP"/>
        </w:rPr>
      </w:pPr>
      <w:r w:rsidRPr="00700375">
        <w:rPr>
          <w:color w:val="auto"/>
          <w:lang w:eastAsia="ja-JP"/>
        </w:rPr>
        <w:t>A PG Test Charge payable to a Paired Generation Provider in consideration for the Paired Generation Provider passing any Network Test or Performance Test (including during the testing and commissioning of the paired generation control and communications system)</w:t>
      </w:r>
      <w:r w:rsidRPr="00700375">
        <w:rPr>
          <w:color w:val="auto"/>
        </w:rPr>
        <w:t>.</w:t>
      </w:r>
    </w:p>
    <w:p w14:paraId="33D8B61A" w14:textId="77777777" w:rsidR="00B41B44" w:rsidRPr="00700375" w:rsidRDefault="00B41B44" w:rsidP="00AF24FB">
      <w:pPr>
        <w:pStyle w:val="Body-regular"/>
        <w:numPr>
          <w:ilvl w:val="0"/>
          <w:numId w:val="21"/>
        </w:numPr>
        <w:spacing w:line="276" w:lineRule="auto"/>
        <w:ind w:left="567" w:hanging="567"/>
        <w:rPr>
          <w:color w:val="auto"/>
        </w:rPr>
      </w:pPr>
      <w:r w:rsidRPr="00700375">
        <w:rPr>
          <w:b/>
          <w:color w:val="auto"/>
        </w:rPr>
        <w:t>PG Disconnection Event</w:t>
      </w:r>
    </w:p>
    <w:p w14:paraId="1BCED665" w14:textId="11C91E7B" w:rsidR="00B41B44" w:rsidRPr="00700375" w:rsidRDefault="00B41B44" w:rsidP="00B41B44">
      <w:pPr>
        <w:pStyle w:val="Body-regular"/>
        <w:spacing w:line="276" w:lineRule="auto"/>
        <w:ind w:left="567"/>
        <w:rPr>
          <w:color w:val="auto"/>
        </w:rPr>
      </w:pPr>
      <w:r w:rsidRPr="00700375">
        <w:rPr>
          <w:color w:val="auto"/>
          <w:lang w:eastAsia="ja-JP"/>
        </w:rPr>
        <w:lastRenderedPageBreak/>
        <w:t>A PG Disconnection Event Charge payable to a Paired Generation Provider if Transgrid, in operating the SIPS Control System in</w:t>
      </w:r>
      <w:r w:rsidRPr="00700375" w:rsidDel="00C41F24">
        <w:rPr>
          <w:color w:val="auto"/>
          <w:lang w:eastAsia="ja-JP"/>
        </w:rPr>
        <w:t xml:space="preserve"> </w:t>
      </w:r>
      <w:r w:rsidRPr="00700375">
        <w:rPr>
          <w:color w:val="auto"/>
          <w:lang w:eastAsia="ja-JP"/>
        </w:rPr>
        <w:t xml:space="preserve">its capacity as the Network Operator solely with respect to the WSB </w:t>
      </w:r>
      <w:r w:rsidR="00B661C7">
        <w:rPr>
          <w:color w:val="auto"/>
          <w:lang w:eastAsia="ja-JP"/>
        </w:rPr>
        <w:t>project</w:t>
      </w:r>
      <w:r w:rsidRPr="00700375">
        <w:rPr>
          <w:color w:val="auto"/>
          <w:lang w:eastAsia="ja-JP"/>
        </w:rPr>
        <w:t>, disconnects the PG Facility from the Network due to a failure by the Paired Generation Provider to provide the PG Event Response.</w:t>
      </w:r>
    </w:p>
    <w:bookmarkEnd w:id="16"/>
    <w:p w14:paraId="69039716" w14:textId="77777777" w:rsidR="00B41B44" w:rsidRPr="00700375" w:rsidRDefault="00B41B44" w:rsidP="00AF24FB">
      <w:pPr>
        <w:pStyle w:val="Body-regular"/>
        <w:numPr>
          <w:ilvl w:val="0"/>
          <w:numId w:val="21"/>
        </w:numPr>
        <w:spacing w:line="276" w:lineRule="auto"/>
        <w:ind w:left="567" w:hanging="567"/>
        <w:rPr>
          <w:b/>
          <w:color w:val="auto"/>
        </w:rPr>
      </w:pPr>
      <w:r w:rsidRPr="00700375">
        <w:rPr>
          <w:b/>
          <w:color w:val="auto"/>
        </w:rPr>
        <w:t>Change in Law</w:t>
      </w:r>
    </w:p>
    <w:p w14:paraId="49C82240" w14:textId="77777777" w:rsidR="00B41B44" w:rsidRPr="00700375" w:rsidRDefault="00B41B44" w:rsidP="00B41B44">
      <w:pPr>
        <w:pStyle w:val="Body-regular"/>
        <w:spacing w:line="276" w:lineRule="auto"/>
        <w:ind w:left="567"/>
        <w:rPr>
          <w:color w:val="auto"/>
        </w:rPr>
      </w:pPr>
      <w:r w:rsidRPr="00700375">
        <w:rPr>
          <w:color w:val="auto"/>
          <w:lang w:eastAsia="ja-JP"/>
        </w:rPr>
        <w:t>Payment amounts will be adjusted</w:t>
      </w:r>
      <w:r w:rsidRPr="00700375">
        <w:rPr>
          <w:color w:val="auto"/>
        </w:rPr>
        <w:t xml:space="preserve"> to reflect a Change in Law that results in a Net Financial Effect greater than a specified percentage of the service charge.</w:t>
      </w:r>
    </w:p>
    <w:p w14:paraId="70FB8B71" w14:textId="77777777" w:rsidR="00B41B44" w:rsidRPr="0083541E" w:rsidRDefault="00B41B44" w:rsidP="00AF24FB">
      <w:pPr>
        <w:pStyle w:val="Body-regular"/>
        <w:numPr>
          <w:ilvl w:val="0"/>
          <w:numId w:val="21"/>
        </w:numPr>
        <w:spacing w:line="276" w:lineRule="auto"/>
        <w:ind w:left="567" w:hanging="567"/>
        <w:rPr>
          <w:b/>
          <w:color w:val="auto"/>
        </w:rPr>
      </w:pPr>
      <w:r w:rsidRPr="0083541E">
        <w:rPr>
          <w:b/>
          <w:color w:val="auto"/>
        </w:rPr>
        <w:t>Delay in commencing the PG Service Period</w:t>
      </w:r>
    </w:p>
    <w:p w14:paraId="7D2157C5" w14:textId="77777777" w:rsidR="00B41B44" w:rsidRPr="0083541E" w:rsidRDefault="00B41B44" w:rsidP="00B41B44">
      <w:pPr>
        <w:pStyle w:val="Body-regular"/>
        <w:spacing w:line="276" w:lineRule="auto"/>
        <w:ind w:left="567"/>
        <w:rPr>
          <w:color w:val="auto"/>
          <w:lang w:eastAsia="ja-JP"/>
        </w:rPr>
      </w:pPr>
      <w:r w:rsidRPr="0083541E">
        <w:rPr>
          <w:color w:val="auto"/>
          <w:lang w:eastAsia="ja-JP"/>
        </w:rPr>
        <w:t>Payment amounts corresponding to the Availability Charge will be reduced to match the updated number of days in each quarter which are also in the PG Service Period. This is also subject to the effects of timing of payments and escalation.</w:t>
      </w:r>
    </w:p>
    <w:p w14:paraId="03312C29" w14:textId="77777777" w:rsidR="00B41B44" w:rsidRPr="0083541E" w:rsidRDefault="00B41B44" w:rsidP="00AF24FB">
      <w:pPr>
        <w:pStyle w:val="Body-regular"/>
        <w:keepNext/>
        <w:numPr>
          <w:ilvl w:val="0"/>
          <w:numId w:val="21"/>
        </w:numPr>
        <w:spacing w:line="276" w:lineRule="auto"/>
        <w:ind w:left="567" w:hanging="567"/>
        <w:rPr>
          <w:b/>
          <w:color w:val="auto"/>
        </w:rPr>
      </w:pPr>
      <w:r w:rsidRPr="0083541E">
        <w:rPr>
          <w:b/>
          <w:color w:val="auto"/>
        </w:rPr>
        <w:t>Additional Paired Generation Provider</w:t>
      </w:r>
    </w:p>
    <w:p w14:paraId="1077E3A9" w14:textId="4D71DD7D" w:rsidR="00B41B44" w:rsidRPr="0083541E" w:rsidRDefault="00B41B44" w:rsidP="00B41B44">
      <w:pPr>
        <w:pStyle w:val="Body-regular"/>
        <w:spacing w:line="276" w:lineRule="auto"/>
        <w:ind w:left="567"/>
        <w:rPr>
          <w:color w:val="auto"/>
          <w:lang w:eastAsia="ja-JP"/>
        </w:rPr>
      </w:pPr>
      <w:r w:rsidRPr="0083541E">
        <w:rPr>
          <w:color w:val="auto"/>
          <w:lang w:eastAsia="ja-JP"/>
        </w:rPr>
        <w:t xml:space="preserve">When a </w:t>
      </w:r>
      <w:r w:rsidR="00695383">
        <w:rPr>
          <w:color w:val="auto"/>
          <w:lang w:eastAsia="ja-JP"/>
        </w:rPr>
        <w:t>PGSA</w:t>
      </w:r>
      <w:r w:rsidRPr="0083541E">
        <w:rPr>
          <w:color w:val="auto"/>
          <w:lang w:eastAsia="ja-JP"/>
        </w:rPr>
        <w:t xml:space="preserve"> is executed, the revenue and schedule of payments </w:t>
      </w:r>
      <w:r w:rsidR="00CE51A3">
        <w:rPr>
          <w:color w:val="auto"/>
          <w:lang w:eastAsia="ja-JP"/>
        </w:rPr>
        <w:t xml:space="preserve">in the revenue determination </w:t>
      </w:r>
      <w:r w:rsidRPr="0083541E">
        <w:rPr>
          <w:color w:val="auto"/>
          <w:lang w:eastAsia="ja-JP"/>
        </w:rPr>
        <w:t>are updated to include the PG Preparatory Works Payment and PG Availability Charge resulting from that agreement.</w:t>
      </w:r>
    </w:p>
    <w:p w14:paraId="626577CD" w14:textId="77777777" w:rsidR="00B41B44" w:rsidRPr="0083541E" w:rsidRDefault="00B41B44" w:rsidP="00AF24FB">
      <w:pPr>
        <w:pStyle w:val="Body-regular"/>
        <w:keepNext/>
        <w:numPr>
          <w:ilvl w:val="0"/>
          <w:numId w:val="21"/>
        </w:numPr>
        <w:spacing w:line="276" w:lineRule="auto"/>
        <w:ind w:left="567" w:hanging="567"/>
        <w:rPr>
          <w:b/>
          <w:color w:val="auto"/>
        </w:rPr>
      </w:pPr>
      <w:r w:rsidRPr="0083541E">
        <w:rPr>
          <w:b/>
          <w:color w:val="auto"/>
        </w:rPr>
        <w:t>Termination</w:t>
      </w:r>
    </w:p>
    <w:p w14:paraId="69B1E729" w14:textId="0F64846F" w:rsidR="00B41B44" w:rsidRDefault="00B41B44" w:rsidP="00B41B44">
      <w:pPr>
        <w:pStyle w:val="Body-regular"/>
        <w:spacing w:line="276" w:lineRule="auto"/>
        <w:ind w:left="567"/>
        <w:rPr>
          <w:color w:val="auto"/>
        </w:rPr>
      </w:pPr>
      <w:r w:rsidRPr="0083541E">
        <w:rPr>
          <w:color w:val="auto"/>
        </w:rPr>
        <w:t xml:space="preserve">Payment </w:t>
      </w:r>
      <w:r w:rsidRPr="0083541E">
        <w:rPr>
          <w:color w:val="auto"/>
          <w:lang w:eastAsia="ja-JP"/>
        </w:rPr>
        <w:t>amounts</w:t>
      </w:r>
      <w:r w:rsidRPr="0083541E">
        <w:rPr>
          <w:color w:val="auto"/>
        </w:rPr>
        <w:t xml:space="preserve"> will be reduced from the date of termination of a </w:t>
      </w:r>
      <w:r w:rsidR="00695383">
        <w:rPr>
          <w:color w:val="auto"/>
        </w:rPr>
        <w:t>PGSA</w:t>
      </w:r>
      <w:r w:rsidRPr="0083541E">
        <w:rPr>
          <w:color w:val="auto"/>
        </w:rPr>
        <w:t>. Some payment obligations survive termination.</w:t>
      </w:r>
    </w:p>
    <w:p w14:paraId="230B6C28" w14:textId="3ED6C128" w:rsidR="000E073E" w:rsidRDefault="002C077F" w:rsidP="00FB3D29">
      <w:pPr>
        <w:rPr>
          <w:lang w:eastAsia="ja-JP"/>
        </w:rPr>
      </w:pPr>
      <w:r>
        <w:rPr>
          <w:lang w:eastAsia="ja-JP"/>
        </w:rPr>
        <w:t>All</w:t>
      </w:r>
      <w:r w:rsidR="000E073E">
        <w:rPr>
          <w:lang w:eastAsia="ja-JP"/>
        </w:rPr>
        <w:t xml:space="preserve"> </w:t>
      </w:r>
      <w:r w:rsidR="003E4405">
        <w:rPr>
          <w:lang w:eastAsia="ja-JP"/>
        </w:rPr>
        <w:t xml:space="preserve">adjustment </w:t>
      </w:r>
      <w:r w:rsidR="000E073E">
        <w:rPr>
          <w:lang w:eastAsia="ja-JP"/>
        </w:rPr>
        <w:t xml:space="preserve">mechanisms </w:t>
      </w:r>
      <w:r w:rsidR="00996106">
        <w:rPr>
          <w:lang w:eastAsia="ja-JP"/>
        </w:rPr>
        <w:t xml:space="preserve">in our previous revenue determination </w:t>
      </w:r>
      <w:r w:rsidR="000E073E">
        <w:rPr>
          <w:lang w:eastAsia="ja-JP"/>
        </w:rPr>
        <w:t xml:space="preserve">were consistent with the </w:t>
      </w:r>
      <w:r w:rsidR="00996106">
        <w:rPr>
          <w:lang w:eastAsia="ja-JP"/>
        </w:rPr>
        <w:t xml:space="preserve">above events in the </w:t>
      </w:r>
      <w:r w:rsidR="007C200D">
        <w:rPr>
          <w:lang w:eastAsia="ja-JP"/>
        </w:rPr>
        <w:t>PGSA</w:t>
      </w:r>
      <w:r w:rsidR="000E073E">
        <w:rPr>
          <w:lang w:eastAsia="ja-JP"/>
        </w:rPr>
        <w:t xml:space="preserve">s. </w:t>
      </w:r>
    </w:p>
    <w:p w14:paraId="0E8562F6" w14:textId="77777777" w:rsidR="00C4163C" w:rsidRDefault="00C4163C" w:rsidP="00C4163C">
      <w:pPr>
        <w:pStyle w:val="Heading4"/>
        <w:numPr>
          <w:ilvl w:val="0"/>
          <w:numId w:val="0"/>
        </w:numPr>
        <w:ind w:left="720" w:hanging="720"/>
        <w:rPr>
          <w:lang w:eastAsia="ja-JP"/>
        </w:rPr>
      </w:pPr>
      <w:bookmarkStart w:id="17" w:name="_Toc165538881"/>
      <w:proofErr w:type="spellStart"/>
      <w:r>
        <w:rPr>
          <w:lang w:eastAsia="ja-JP"/>
        </w:rPr>
        <w:t>Transgrid’s</w:t>
      </w:r>
      <w:proofErr w:type="spellEnd"/>
      <w:r>
        <w:rPr>
          <w:lang w:eastAsia="ja-JP"/>
        </w:rPr>
        <w:t xml:space="preserve"> revenue proposal</w:t>
      </w:r>
      <w:bookmarkEnd w:id="17"/>
    </w:p>
    <w:p w14:paraId="0647AE44" w14:textId="72759C9D" w:rsidR="002C077F" w:rsidRDefault="002C077F" w:rsidP="002C077F">
      <w:r>
        <w:rPr>
          <w:lang w:eastAsia="ja-JP"/>
        </w:rPr>
        <w:t xml:space="preserve">Transgrid has proposed to amend existing adjustment mechanisms and add new mechanisms to better reflect the </w:t>
      </w:r>
      <w:r w:rsidR="00853FBA">
        <w:rPr>
          <w:lang w:eastAsia="ja-JP"/>
        </w:rPr>
        <w:t xml:space="preserve">existing </w:t>
      </w:r>
      <w:r>
        <w:rPr>
          <w:lang w:eastAsia="ja-JP"/>
        </w:rPr>
        <w:t xml:space="preserve">contractual arrangements. </w:t>
      </w:r>
    </w:p>
    <w:p w14:paraId="234CFDA2" w14:textId="77777777" w:rsidR="002C077F" w:rsidRDefault="002C077F" w:rsidP="002C077F">
      <w:pPr>
        <w:pStyle w:val="Heading4"/>
        <w:numPr>
          <w:ilvl w:val="0"/>
          <w:numId w:val="0"/>
        </w:numPr>
        <w:ind w:left="720" w:hanging="720"/>
        <w:rPr>
          <w:lang w:eastAsia="ja-JP"/>
        </w:rPr>
      </w:pPr>
      <w:r>
        <w:rPr>
          <w:lang w:eastAsia="ja-JP"/>
        </w:rPr>
        <w:t xml:space="preserve">AER’s assessment </w:t>
      </w:r>
    </w:p>
    <w:p w14:paraId="496C3652" w14:textId="759F4B89" w:rsidR="002C077F" w:rsidRDefault="006F115F" w:rsidP="002C077F">
      <w:pPr>
        <w:tabs>
          <w:tab w:val="left" w:pos="1249"/>
        </w:tabs>
        <w:rPr>
          <w:lang w:eastAsia="ja-JP"/>
        </w:rPr>
      </w:pPr>
      <w:r w:rsidRPr="00986000">
        <w:rPr>
          <w:lang w:eastAsia="ja-JP"/>
        </w:rPr>
        <w:t xml:space="preserve">We reviewed the </w:t>
      </w:r>
      <w:r>
        <w:rPr>
          <w:lang w:eastAsia="ja-JP"/>
        </w:rPr>
        <w:t xml:space="preserve">proposed </w:t>
      </w:r>
      <w:r w:rsidRPr="00986000">
        <w:rPr>
          <w:lang w:eastAsia="ja-JP"/>
        </w:rPr>
        <w:t xml:space="preserve">adjustment mechanisms set out in </w:t>
      </w:r>
      <w:proofErr w:type="spellStart"/>
      <w:r w:rsidRPr="00986000">
        <w:rPr>
          <w:lang w:eastAsia="ja-JP"/>
        </w:rPr>
        <w:t>Transgrid’s</w:t>
      </w:r>
      <w:proofErr w:type="spellEnd"/>
      <w:r w:rsidRPr="00986000">
        <w:rPr>
          <w:lang w:eastAsia="ja-JP"/>
        </w:rPr>
        <w:t xml:space="preserve"> proposal and found them to be consistent with the </w:t>
      </w:r>
      <w:r>
        <w:rPr>
          <w:lang w:eastAsia="ja-JP"/>
        </w:rPr>
        <w:t xml:space="preserve">relevant events </w:t>
      </w:r>
      <w:r w:rsidRPr="00986000">
        <w:rPr>
          <w:lang w:eastAsia="ja-JP"/>
        </w:rPr>
        <w:t>in the</w:t>
      </w:r>
      <w:r w:rsidR="00853FBA">
        <w:rPr>
          <w:lang w:eastAsia="ja-JP"/>
        </w:rPr>
        <w:t xml:space="preserve"> PGSAs</w:t>
      </w:r>
      <w:r>
        <w:rPr>
          <w:lang w:eastAsia="ja-JP"/>
        </w:rPr>
        <w:t xml:space="preserve">. </w:t>
      </w:r>
      <w:r w:rsidR="002C077F" w:rsidRPr="00117C00">
        <w:rPr>
          <w:lang w:eastAsia="ja-JP"/>
        </w:rPr>
        <w:t xml:space="preserve">We </w:t>
      </w:r>
      <w:r w:rsidR="00AC1B34">
        <w:rPr>
          <w:lang w:eastAsia="ja-JP"/>
        </w:rPr>
        <w:t xml:space="preserve">consider </w:t>
      </w:r>
      <w:proofErr w:type="spellStart"/>
      <w:r w:rsidR="00AC1B34">
        <w:rPr>
          <w:lang w:eastAsia="ja-JP"/>
        </w:rPr>
        <w:t>Transgrid’s</w:t>
      </w:r>
      <w:proofErr w:type="spellEnd"/>
      <w:r w:rsidR="00AC1B34">
        <w:rPr>
          <w:lang w:eastAsia="ja-JP"/>
        </w:rPr>
        <w:t xml:space="preserve"> proposal</w:t>
      </w:r>
      <w:r w:rsidR="002C077F" w:rsidRPr="00117C00">
        <w:rPr>
          <w:lang w:eastAsia="ja-JP"/>
        </w:rPr>
        <w:t xml:space="preserve"> provided sufficient </w:t>
      </w:r>
      <w:r w:rsidR="002C077F">
        <w:rPr>
          <w:lang w:eastAsia="ja-JP"/>
        </w:rPr>
        <w:t xml:space="preserve">evidence to amend the adjustment mechanisms in </w:t>
      </w:r>
      <w:r w:rsidR="00CE51A3">
        <w:rPr>
          <w:lang w:eastAsia="ja-JP"/>
        </w:rPr>
        <w:t xml:space="preserve">our </w:t>
      </w:r>
      <w:r w:rsidR="002C077F">
        <w:rPr>
          <w:lang w:eastAsia="ja-JP"/>
        </w:rPr>
        <w:t xml:space="preserve">revenue determination. </w:t>
      </w:r>
      <w:r w:rsidR="002C077F" w:rsidRPr="00117C00">
        <w:rPr>
          <w:lang w:eastAsia="ja-JP"/>
        </w:rPr>
        <w:t xml:space="preserve">The adjustment mechanisms set out in </w:t>
      </w:r>
      <w:proofErr w:type="spellStart"/>
      <w:r w:rsidR="002C077F" w:rsidRPr="00117C00">
        <w:rPr>
          <w:lang w:eastAsia="ja-JP"/>
        </w:rPr>
        <w:t>Transgrid’s</w:t>
      </w:r>
      <w:proofErr w:type="spellEnd"/>
      <w:r w:rsidR="002C077F" w:rsidRPr="00117C00">
        <w:rPr>
          <w:lang w:eastAsia="ja-JP"/>
        </w:rPr>
        <w:t xml:space="preserve"> proposal have been included in our </w:t>
      </w:r>
      <w:r w:rsidR="003E0CF6">
        <w:rPr>
          <w:lang w:eastAsia="ja-JP"/>
        </w:rPr>
        <w:t xml:space="preserve">remade </w:t>
      </w:r>
      <w:r w:rsidR="002C077F" w:rsidRPr="00117C00">
        <w:rPr>
          <w:lang w:eastAsia="ja-JP"/>
        </w:rPr>
        <w:t xml:space="preserve">revenue determination. </w:t>
      </w:r>
    </w:p>
    <w:p w14:paraId="0613050F" w14:textId="77777777" w:rsidR="002C077F" w:rsidRPr="00E87F9E" w:rsidRDefault="002C077F" w:rsidP="002C077F">
      <w:pPr>
        <w:rPr>
          <w:lang w:eastAsia="ja-JP"/>
        </w:rPr>
      </w:pPr>
      <w:r w:rsidRPr="00E87F9E">
        <w:rPr>
          <w:lang w:eastAsia="ja-JP"/>
        </w:rPr>
        <w:t xml:space="preserve">The following adjustment mechanisms have been </w:t>
      </w:r>
      <w:r>
        <w:rPr>
          <w:lang w:eastAsia="ja-JP"/>
        </w:rPr>
        <w:t>amended</w:t>
      </w:r>
      <w:r w:rsidRPr="00E87F9E">
        <w:rPr>
          <w:lang w:eastAsia="ja-JP"/>
        </w:rPr>
        <w:t>:</w:t>
      </w:r>
    </w:p>
    <w:p w14:paraId="22B5CD4B" w14:textId="77777777" w:rsidR="002C077F" w:rsidRPr="00AD0BF6" w:rsidRDefault="002C077F" w:rsidP="002C077F">
      <w:pPr>
        <w:pStyle w:val="ListParagraph"/>
        <w:numPr>
          <w:ilvl w:val="0"/>
          <w:numId w:val="24"/>
        </w:numPr>
        <w:rPr>
          <w:rFonts w:cs="Arial"/>
          <w:b/>
          <w:bCs/>
        </w:rPr>
      </w:pPr>
      <w:r w:rsidRPr="00AD0BF6">
        <w:rPr>
          <w:rFonts w:cs="Arial"/>
          <w:b/>
          <w:bCs/>
        </w:rPr>
        <w:t>Delay in commencing the PG Service Period</w:t>
      </w:r>
    </w:p>
    <w:p w14:paraId="65DA6A96" w14:textId="05880510" w:rsidR="00C741B6" w:rsidRPr="00C741B6" w:rsidRDefault="00C741B6" w:rsidP="00C741B6">
      <w:pPr>
        <w:pStyle w:val="ListParagraph"/>
        <w:ind w:left="360"/>
        <w:rPr>
          <w:rFonts w:cs="Arial"/>
        </w:rPr>
      </w:pPr>
      <w:r>
        <w:rPr>
          <w:rFonts w:cs="Arial"/>
        </w:rPr>
        <w:t xml:space="preserve">Minor wording amendment to reference the new </w:t>
      </w:r>
      <w:r w:rsidR="003E0CF6">
        <w:rPr>
          <w:rFonts w:cs="Arial"/>
        </w:rPr>
        <w:t>‘</w:t>
      </w:r>
      <w:r>
        <w:rPr>
          <w:rFonts w:cs="Arial"/>
        </w:rPr>
        <w:t>held interest</w:t>
      </w:r>
      <w:r w:rsidR="003E0CF6">
        <w:rPr>
          <w:rFonts w:cs="Arial"/>
        </w:rPr>
        <w:t>’</w:t>
      </w:r>
      <w:r>
        <w:rPr>
          <w:rFonts w:cs="Arial"/>
        </w:rPr>
        <w:t xml:space="preserve"> adjustment event. </w:t>
      </w:r>
    </w:p>
    <w:p w14:paraId="33917C9B" w14:textId="77777777" w:rsidR="002C077F" w:rsidRDefault="002C077F" w:rsidP="002C077F">
      <w:pPr>
        <w:rPr>
          <w:lang w:eastAsia="ja-JP"/>
        </w:rPr>
      </w:pPr>
      <w:r>
        <w:rPr>
          <w:lang w:eastAsia="ja-JP"/>
        </w:rPr>
        <w:t>The following adjustment events have been added:</w:t>
      </w:r>
    </w:p>
    <w:p w14:paraId="6F660F49" w14:textId="77777777" w:rsidR="002C077F" w:rsidRPr="00AD0BF6" w:rsidRDefault="002C077F" w:rsidP="002C077F">
      <w:pPr>
        <w:pStyle w:val="ListParagraph"/>
        <w:numPr>
          <w:ilvl w:val="0"/>
          <w:numId w:val="26"/>
        </w:numPr>
        <w:rPr>
          <w:b/>
          <w:bCs/>
        </w:rPr>
      </w:pPr>
      <w:r w:rsidRPr="00AD0BF6">
        <w:rPr>
          <w:rFonts w:cs="Arial"/>
          <w:b/>
          <w:bCs/>
        </w:rPr>
        <w:t xml:space="preserve">Extension to the Service Period End Date </w:t>
      </w:r>
    </w:p>
    <w:p w14:paraId="197963D7" w14:textId="4E53DF9E" w:rsidR="002C077F" w:rsidRDefault="002C077F" w:rsidP="002C077F">
      <w:pPr>
        <w:pStyle w:val="ListParagraph"/>
        <w:ind w:left="360"/>
        <w:rPr>
          <w:rFonts w:cs="Arial"/>
        </w:rPr>
      </w:pPr>
      <w:r>
        <w:rPr>
          <w:rFonts w:cs="Arial"/>
        </w:rPr>
        <w:t xml:space="preserve">Transgrid may direct Akaysha </w:t>
      </w:r>
      <w:r w:rsidR="00B50C29">
        <w:rPr>
          <w:rFonts w:cs="Arial"/>
        </w:rPr>
        <w:t xml:space="preserve">to extend the project term and continue to </w:t>
      </w:r>
      <w:r>
        <w:rPr>
          <w:rFonts w:cs="Arial"/>
        </w:rPr>
        <w:t xml:space="preserve">provide the </w:t>
      </w:r>
      <w:r w:rsidR="00E6301A">
        <w:rPr>
          <w:rFonts w:cs="Arial"/>
        </w:rPr>
        <w:t>SIPS Battery Service</w:t>
      </w:r>
      <w:r>
        <w:rPr>
          <w:rFonts w:cs="Arial"/>
        </w:rPr>
        <w:t xml:space="preserve"> </w:t>
      </w:r>
      <w:r w:rsidR="00853FBA">
        <w:rPr>
          <w:rFonts w:cs="Arial"/>
        </w:rPr>
        <w:t>if it’s required for network stability</w:t>
      </w:r>
      <w:r w:rsidR="00C741B6">
        <w:rPr>
          <w:rFonts w:cs="Arial"/>
        </w:rPr>
        <w:t xml:space="preserve">. The PGSA terms are linked to the </w:t>
      </w:r>
      <w:r w:rsidR="00E6301A">
        <w:rPr>
          <w:rFonts w:cs="Arial"/>
        </w:rPr>
        <w:t>SIPS Battery Service</w:t>
      </w:r>
      <w:r w:rsidR="00C741B6">
        <w:rPr>
          <w:rFonts w:cs="Arial"/>
        </w:rPr>
        <w:t xml:space="preserve"> period which means the PGSA project term will also be </w:t>
      </w:r>
      <w:r w:rsidR="00C741B6">
        <w:rPr>
          <w:rFonts w:cs="Arial"/>
        </w:rPr>
        <w:lastRenderedPageBreak/>
        <w:t xml:space="preserve">extended. Payment amounts will be </w:t>
      </w:r>
      <w:r w:rsidR="0008528C">
        <w:rPr>
          <w:rFonts w:cs="Arial"/>
        </w:rPr>
        <w:t xml:space="preserve">included </w:t>
      </w:r>
      <w:r w:rsidR="00C741B6">
        <w:rPr>
          <w:rFonts w:cs="Arial"/>
        </w:rPr>
        <w:t xml:space="preserve">to reflect the extension to the </w:t>
      </w:r>
      <w:r w:rsidR="00E6301A">
        <w:rPr>
          <w:rFonts w:cs="Arial"/>
        </w:rPr>
        <w:t>SIPS Battery Service</w:t>
      </w:r>
      <w:r w:rsidR="00C741B6">
        <w:rPr>
          <w:rFonts w:cs="Arial"/>
        </w:rPr>
        <w:t xml:space="preserve"> period end date.</w:t>
      </w:r>
    </w:p>
    <w:p w14:paraId="3197042D" w14:textId="77777777" w:rsidR="00B50C29" w:rsidRPr="002C077F" w:rsidRDefault="00B50C29" w:rsidP="002C077F">
      <w:pPr>
        <w:pStyle w:val="ListParagraph"/>
        <w:ind w:left="360"/>
      </w:pPr>
    </w:p>
    <w:p w14:paraId="39656093" w14:textId="77777777" w:rsidR="002C077F" w:rsidRPr="00AD0BF6" w:rsidRDefault="002C077F" w:rsidP="002C077F">
      <w:pPr>
        <w:pStyle w:val="ListParagraph"/>
        <w:numPr>
          <w:ilvl w:val="0"/>
          <w:numId w:val="26"/>
        </w:numPr>
        <w:rPr>
          <w:b/>
          <w:bCs/>
        </w:rPr>
      </w:pPr>
      <w:r w:rsidRPr="00AD0BF6">
        <w:rPr>
          <w:rFonts w:cs="Arial"/>
          <w:b/>
          <w:bCs/>
        </w:rPr>
        <w:t xml:space="preserve">Held interest </w:t>
      </w:r>
    </w:p>
    <w:p w14:paraId="4E7021F7" w14:textId="24881042" w:rsidR="000158E7" w:rsidRDefault="00AD0BF6" w:rsidP="00AD0BF6">
      <w:pPr>
        <w:pStyle w:val="ListParagraph"/>
        <w:ind w:left="360"/>
      </w:pPr>
      <w:r>
        <w:rPr>
          <w:rFonts w:cs="Arial"/>
        </w:rPr>
        <w:t xml:space="preserve">This </w:t>
      </w:r>
      <w:r w:rsidR="003E0CF6">
        <w:rPr>
          <w:rFonts w:cs="Arial"/>
        </w:rPr>
        <w:t xml:space="preserve">adjustment </w:t>
      </w:r>
      <w:r>
        <w:rPr>
          <w:rFonts w:cs="Arial"/>
        </w:rPr>
        <w:t xml:space="preserve">serves as a true-up mechanism </w:t>
      </w:r>
      <w:r w:rsidR="00781574">
        <w:rPr>
          <w:rFonts w:cs="Arial"/>
        </w:rPr>
        <w:t>and is in response to</w:t>
      </w:r>
      <w:r>
        <w:rPr>
          <w:rFonts w:cs="Arial"/>
        </w:rPr>
        <w:t xml:space="preserve"> previous AER feedback. </w:t>
      </w:r>
      <w:r w:rsidR="000158E7">
        <w:rPr>
          <w:rFonts w:cs="Arial"/>
        </w:rPr>
        <w:t>Payment amounts to Transgrid will be reduced retrospectively by the actual interest Transgrid earns on any amounts it receives from the SFV that it does not pass on to the service providers at the required payment date.</w:t>
      </w:r>
    </w:p>
    <w:p w14:paraId="05B1F281" w14:textId="27D7AFE7" w:rsidR="00341B17" w:rsidRDefault="00341B17" w:rsidP="00341B17">
      <w:pPr>
        <w:pStyle w:val="Heading3"/>
        <w:rPr>
          <w:lang w:eastAsia="ja-JP"/>
        </w:rPr>
      </w:pPr>
      <w:bookmarkStart w:id="18" w:name="_Ref233104862"/>
      <w:bookmarkStart w:id="19" w:name="_Toc241088711"/>
      <w:r>
        <w:rPr>
          <w:lang w:eastAsia="ja-JP"/>
        </w:rPr>
        <w:t>SIPS Battery Services</w:t>
      </w:r>
      <w:bookmarkEnd w:id="18"/>
      <w:bookmarkEnd w:id="19"/>
      <w:r>
        <w:rPr>
          <w:lang w:eastAsia="ja-JP"/>
        </w:rPr>
        <w:t xml:space="preserve"> </w:t>
      </w:r>
    </w:p>
    <w:p w14:paraId="16B0EDB3" w14:textId="77777777" w:rsidR="00341B17" w:rsidRDefault="00341B17" w:rsidP="00341B17">
      <w:pPr>
        <w:pStyle w:val="Heading4"/>
        <w:numPr>
          <w:ilvl w:val="0"/>
          <w:numId w:val="0"/>
        </w:numPr>
        <w:ind w:left="720" w:hanging="720"/>
        <w:rPr>
          <w:lang w:eastAsia="ja-JP"/>
        </w:rPr>
      </w:pPr>
      <w:r>
        <w:rPr>
          <w:lang w:eastAsia="ja-JP"/>
        </w:rPr>
        <w:t>Existing revenue adjustments</w:t>
      </w:r>
    </w:p>
    <w:p w14:paraId="5C9271D9" w14:textId="2FD51D2E" w:rsidR="00314EF3" w:rsidRDefault="00A56BD3" w:rsidP="00A56BD3">
      <w:pPr>
        <w:rPr>
          <w:lang w:eastAsia="ja-JP"/>
        </w:rPr>
      </w:pPr>
      <w:r>
        <w:rPr>
          <w:lang w:eastAsia="ja-JP"/>
        </w:rPr>
        <w:t xml:space="preserve">Our previous revenue determination for the SIPS Battery Service included </w:t>
      </w:r>
      <w:proofErr w:type="gramStart"/>
      <w:r>
        <w:rPr>
          <w:lang w:eastAsia="ja-JP"/>
        </w:rPr>
        <w:t>a number of</w:t>
      </w:r>
      <w:proofErr w:type="gramEnd"/>
      <w:r>
        <w:rPr>
          <w:lang w:eastAsia="ja-JP"/>
        </w:rPr>
        <w:t xml:space="preserve"> adjustment mechanisms </w:t>
      </w:r>
      <w:r w:rsidR="00314EF3">
        <w:rPr>
          <w:lang w:eastAsia="ja-JP"/>
        </w:rPr>
        <w:t>to reflect changes in</w:t>
      </w:r>
      <w:r>
        <w:rPr>
          <w:lang w:eastAsia="ja-JP"/>
        </w:rPr>
        <w:t xml:space="preserve"> the amount Transgrid </w:t>
      </w:r>
      <w:r w:rsidR="00314EF3">
        <w:rPr>
          <w:lang w:eastAsia="ja-JP"/>
        </w:rPr>
        <w:t xml:space="preserve">is required to </w:t>
      </w:r>
      <w:r>
        <w:rPr>
          <w:lang w:eastAsia="ja-JP"/>
        </w:rPr>
        <w:t xml:space="preserve">pay to </w:t>
      </w:r>
      <w:r w:rsidR="00CD3768">
        <w:rPr>
          <w:lang w:eastAsia="ja-JP"/>
        </w:rPr>
        <w:t>Akaysha Energy</w:t>
      </w:r>
      <w:r w:rsidR="007D7043">
        <w:rPr>
          <w:lang w:eastAsia="ja-JP"/>
        </w:rPr>
        <w:t xml:space="preserve"> under the SIPS Service Agreement</w:t>
      </w:r>
      <w:r>
        <w:rPr>
          <w:lang w:eastAsia="ja-JP"/>
        </w:rPr>
        <w:t xml:space="preserve">. </w:t>
      </w:r>
    </w:p>
    <w:p w14:paraId="49978241" w14:textId="12DBE6C5" w:rsidR="00A56BD3" w:rsidRDefault="00A56BD3" w:rsidP="00A56BD3">
      <w:pPr>
        <w:rPr>
          <w:lang w:eastAsia="ja-JP"/>
        </w:rPr>
      </w:pPr>
      <w:r>
        <w:rPr>
          <w:lang w:eastAsia="ja-JP"/>
        </w:rPr>
        <w:t xml:space="preserve">The </w:t>
      </w:r>
      <w:r w:rsidR="00CD3768" w:rsidRPr="00CD3768">
        <w:rPr>
          <w:lang w:eastAsia="ja-JP"/>
        </w:rPr>
        <w:t xml:space="preserve">SIPS Service Agreement </w:t>
      </w:r>
      <w:r w:rsidR="00CD3768">
        <w:rPr>
          <w:lang w:eastAsia="ja-JP"/>
        </w:rPr>
        <w:t xml:space="preserve">sets out the following </w:t>
      </w:r>
      <w:r w:rsidR="007D7043">
        <w:rPr>
          <w:lang w:eastAsia="ja-JP"/>
        </w:rPr>
        <w:t>events that would trigger changes in the amounts payable to Akaysha</w:t>
      </w:r>
      <w:r w:rsidRPr="00700375">
        <w:rPr>
          <w:lang w:eastAsia="ja-JP"/>
        </w:rPr>
        <w:t>:</w:t>
      </w:r>
    </w:p>
    <w:p w14:paraId="6D191FD5" w14:textId="77777777" w:rsidR="0039020E" w:rsidRPr="00B41410" w:rsidRDefault="0039020E" w:rsidP="00AD0BF6">
      <w:pPr>
        <w:pStyle w:val="Body-regular"/>
        <w:numPr>
          <w:ilvl w:val="0"/>
          <w:numId w:val="22"/>
        </w:numPr>
        <w:spacing w:line="276" w:lineRule="auto"/>
        <w:ind w:left="567" w:hanging="567"/>
        <w:rPr>
          <w:b/>
          <w:bCs/>
          <w:color w:val="auto"/>
        </w:rPr>
      </w:pPr>
      <w:r w:rsidRPr="00B41410">
        <w:rPr>
          <w:b/>
          <w:bCs/>
          <w:color w:val="auto"/>
        </w:rPr>
        <w:t xml:space="preserve">Change in foreign </w:t>
      </w:r>
      <w:r w:rsidRPr="00B41410">
        <w:rPr>
          <w:b/>
          <w:bCs/>
          <w:color w:val="auto"/>
          <w:lang w:eastAsia="ja-JP"/>
        </w:rPr>
        <w:t>exchange</w:t>
      </w:r>
      <w:r w:rsidRPr="00B41410">
        <w:rPr>
          <w:b/>
          <w:bCs/>
          <w:color w:val="auto"/>
        </w:rPr>
        <w:t xml:space="preserve"> rate – </w:t>
      </w:r>
    </w:p>
    <w:p w14:paraId="77E7322D" w14:textId="77777777" w:rsidR="0039020E" w:rsidRPr="00B41410" w:rsidRDefault="0039020E" w:rsidP="0039020E">
      <w:pPr>
        <w:pStyle w:val="Body-regular"/>
        <w:spacing w:line="276" w:lineRule="auto"/>
        <w:ind w:left="567"/>
        <w:rPr>
          <w:color w:val="auto"/>
        </w:rPr>
      </w:pPr>
      <w:r w:rsidRPr="00B41410">
        <w:rPr>
          <w:color w:val="auto"/>
        </w:rPr>
        <w:t>Payment</w:t>
      </w:r>
      <w:r w:rsidRPr="00B41410">
        <w:rPr>
          <w:color w:val="auto"/>
          <w:lang w:eastAsia="ja-JP"/>
        </w:rPr>
        <w:t xml:space="preserve"> amounts will be</w:t>
      </w:r>
      <w:r w:rsidRPr="00B41410">
        <w:rPr>
          <w:color w:val="auto"/>
        </w:rPr>
        <w:t xml:space="preserve"> adjusted to reflect any difference between the AUD</w:t>
      </w:r>
      <w:r>
        <w:rPr>
          <w:color w:val="auto"/>
        </w:rPr>
        <w:t>/USD</w:t>
      </w:r>
      <w:r w:rsidRPr="00B41410">
        <w:rPr>
          <w:color w:val="auto"/>
        </w:rPr>
        <w:t xml:space="preserve"> exchange rate at the date of Contract Close and the forecast exchange rate included in the contractual arrangements. </w:t>
      </w:r>
    </w:p>
    <w:p w14:paraId="7B7CD5AA" w14:textId="77777777" w:rsidR="0039020E" w:rsidRPr="00B41410" w:rsidRDefault="0039020E" w:rsidP="00AF24FB">
      <w:pPr>
        <w:pStyle w:val="Body-regular"/>
        <w:numPr>
          <w:ilvl w:val="0"/>
          <w:numId w:val="22"/>
        </w:numPr>
        <w:spacing w:line="276" w:lineRule="auto"/>
        <w:ind w:left="567" w:hanging="567"/>
        <w:rPr>
          <w:color w:val="auto"/>
          <w:lang w:eastAsia="ja-JP"/>
        </w:rPr>
      </w:pPr>
      <w:r w:rsidRPr="00B41410">
        <w:rPr>
          <w:b/>
          <w:bCs/>
          <w:color w:val="auto"/>
        </w:rPr>
        <w:t>Alternative</w:t>
      </w:r>
      <w:r w:rsidRPr="00B41410">
        <w:rPr>
          <w:b/>
          <w:bCs/>
          <w:color w:val="auto"/>
          <w:lang w:eastAsia="ja-JP"/>
        </w:rPr>
        <w:t xml:space="preserve"> Service Period Reduction</w:t>
      </w:r>
      <w:r w:rsidRPr="00B41410">
        <w:rPr>
          <w:color w:val="auto"/>
          <w:lang w:eastAsia="ja-JP"/>
        </w:rPr>
        <w:t xml:space="preserve"> – </w:t>
      </w:r>
    </w:p>
    <w:p w14:paraId="7F1DDB8E" w14:textId="1930D954" w:rsidR="0039020E" w:rsidRPr="00B41410" w:rsidRDefault="0039020E" w:rsidP="0039020E">
      <w:pPr>
        <w:pStyle w:val="Body-regular"/>
        <w:spacing w:line="276" w:lineRule="auto"/>
        <w:ind w:left="567"/>
        <w:rPr>
          <w:color w:val="auto"/>
          <w:lang w:eastAsia="ja-JP"/>
        </w:rPr>
      </w:pPr>
      <w:r>
        <w:rPr>
          <w:color w:val="auto"/>
          <w:lang w:eastAsia="ja-JP"/>
        </w:rPr>
        <w:t>P</w:t>
      </w:r>
      <w:r w:rsidRPr="00B41410">
        <w:rPr>
          <w:color w:val="auto"/>
          <w:lang w:eastAsia="ja-JP"/>
        </w:rPr>
        <w:t>ayment amount</w:t>
      </w:r>
      <w:r>
        <w:rPr>
          <w:color w:val="auto"/>
          <w:lang w:eastAsia="ja-JP"/>
        </w:rPr>
        <w:t>s</w:t>
      </w:r>
      <w:r w:rsidRPr="00B41410">
        <w:rPr>
          <w:color w:val="auto"/>
          <w:lang w:eastAsia="ja-JP"/>
        </w:rPr>
        <w:t xml:space="preserve"> will be reduced by an amount equal to </w:t>
      </w:r>
      <w:r>
        <w:rPr>
          <w:color w:val="auto"/>
          <w:lang w:eastAsia="ja-JP"/>
        </w:rPr>
        <w:t xml:space="preserve">a specified percentage </w:t>
      </w:r>
      <w:r w:rsidRPr="00B41410">
        <w:rPr>
          <w:color w:val="auto"/>
          <w:lang w:eastAsia="ja-JP"/>
        </w:rPr>
        <w:t xml:space="preserve">of </w:t>
      </w:r>
      <w:r>
        <w:rPr>
          <w:color w:val="auto"/>
          <w:lang w:eastAsia="ja-JP"/>
        </w:rPr>
        <w:t>any</w:t>
      </w:r>
      <w:r w:rsidRPr="00B41410">
        <w:rPr>
          <w:color w:val="auto"/>
          <w:lang w:eastAsia="ja-JP"/>
        </w:rPr>
        <w:t xml:space="preserve"> Net Operating Surplus</w:t>
      </w:r>
      <w:r>
        <w:rPr>
          <w:color w:val="auto"/>
          <w:lang w:eastAsia="ja-JP"/>
        </w:rPr>
        <w:t xml:space="preserve"> earned during </w:t>
      </w:r>
      <w:r w:rsidRPr="00B41410">
        <w:rPr>
          <w:color w:val="auto"/>
        </w:rPr>
        <w:t>an</w:t>
      </w:r>
      <w:r w:rsidRPr="00B41410">
        <w:rPr>
          <w:color w:val="auto"/>
          <w:lang w:eastAsia="ja-JP"/>
        </w:rPr>
        <w:t xml:space="preserve"> Alternative Service Period where the </w:t>
      </w:r>
      <w:r w:rsidR="00E6301A">
        <w:rPr>
          <w:color w:val="auto"/>
          <w:lang w:eastAsia="ja-JP"/>
        </w:rPr>
        <w:t>SIPS Battery Service</w:t>
      </w:r>
      <w:r w:rsidRPr="00B41410">
        <w:rPr>
          <w:color w:val="auto"/>
          <w:lang w:eastAsia="ja-JP"/>
        </w:rPr>
        <w:t xml:space="preserve"> is operating on a merchant basis.</w:t>
      </w:r>
      <w:r w:rsidR="00481ED8">
        <w:rPr>
          <w:color w:val="auto"/>
          <w:lang w:eastAsia="ja-JP"/>
        </w:rPr>
        <w:t xml:space="preserve"> The Alternative Service could only be delivered before the interim commercial operation date at the request of Transgrid. </w:t>
      </w:r>
    </w:p>
    <w:p w14:paraId="377CE015" w14:textId="77777777" w:rsidR="0039020E" w:rsidRPr="00B41410" w:rsidRDefault="0039020E" w:rsidP="00AF24FB">
      <w:pPr>
        <w:pStyle w:val="Body-regular"/>
        <w:numPr>
          <w:ilvl w:val="0"/>
          <w:numId w:val="22"/>
        </w:numPr>
        <w:spacing w:line="276" w:lineRule="auto"/>
        <w:ind w:left="567" w:hanging="567"/>
        <w:rPr>
          <w:color w:val="auto"/>
          <w:lang w:eastAsia="ja-JP"/>
        </w:rPr>
      </w:pPr>
      <w:r w:rsidRPr="00B41410">
        <w:rPr>
          <w:b/>
          <w:bCs/>
          <w:color w:val="auto"/>
        </w:rPr>
        <w:t>Performance</w:t>
      </w:r>
      <w:r w:rsidRPr="00B41410">
        <w:rPr>
          <w:b/>
          <w:bCs/>
          <w:color w:val="auto"/>
          <w:lang w:eastAsia="ja-JP"/>
        </w:rPr>
        <w:t xml:space="preserve"> Guarantees not met</w:t>
      </w:r>
      <w:r w:rsidRPr="00B41410">
        <w:rPr>
          <w:color w:val="auto"/>
          <w:lang w:eastAsia="ja-JP"/>
        </w:rPr>
        <w:t xml:space="preserve"> – </w:t>
      </w:r>
    </w:p>
    <w:p w14:paraId="4CAD4518" w14:textId="020E231E" w:rsidR="0039020E" w:rsidRPr="00DD169A" w:rsidRDefault="0039020E" w:rsidP="0039020E">
      <w:pPr>
        <w:pStyle w:val="Body-regular"/>
        <w:spacing w:line="276" w:lineRule="auto"/>
        <w:ind w:left="567"/>
        <w:rPr>
          <w:color w:val="auto"/>
          <w:lang w:eastAsia="ja-JP"/>
        </w:rPr>
      </w:pPr>
      <w:r w:rsidRPr="00DD169A">
        <w:rPr>
          <w:color w:val="auto"/>
          <w:lang w:eastAsia="ja-JP"/>
        </w:rPr>
        <w:t xml:space="preserve">Payment amounts will be reduced if the </w:t>
      </w:r>
      <w:r w:rsidR="00E6301A">
        <w:rPr>
          <w:color w:val="auto"/>
          <w:lang w:eastAsia="ja-JP"/>
        </w:rPr>
        <w:t>SIPS Battery Service</w:t>
      </w:r>
      <w:r w:rsidRPr="00DD169A">
        <w:rPr>
          <w:color w:val="auto"/>
          <w:lang w:eastAsia="ja-JP"/>
        </w:rPr>
        <w:t xml:space="preserve"> provider fails to meet a Performance Guarantee for a Contract Year. Performance guarantees relate to p</w:t>
      </w:r>
      <w:r w:rsidRPr="00DD169A">
        <w:rPr>
          <w:color w:val="auto"/>
        </w:rPr>
        <w:t>ower and storage capacity targets, and the provision of energy when requested by Transgrid.</w:t>
      </w:r>
    </w:p>
    <w:p w14:paraId="2E407DCA" w14:textId="77777777" w:rsidR="0039020E" w:rsidRPr="00B41410" w:rsidRDefault="0039020E" w:rsidP="00AF24FB">
      <w:pPr>
        <w:pStyle w:val="Body-regular"/>
        <w:numPr>
          <w:ilvl w:val="0"/>
          <w:numId w:val="22"/>
        </w:numPr>
        <w:spacing w:line="276" w:lineRule="auto"/>
        <w:ind w:left="567" w:hanging="567"/>
        <w:rPr>
          <w:color w:val="auto"/>
        </w:rPr>
      </w:pPr>
      <w:r w:rsidRPr="00B41410">
        <w:rPr>
          <w:b/>
          <w:bCs/>
          <w:color w:val="auto"/>
        </w:rPr>
        <w:t>Failed Performance Test</w:t>
      </w:r>
      <w:r w:rsidRPr="00B41410">
        <w:rPr>
          <w:color w:val="auto"/>
        </w:rPr>
        <w:t xml:space="preserve"> – </w:t>
      </w:r>
    </w:p>
    <w:p w14:paraId="7B268093" w14:textId="77777777" w:rsidR="0039020E" w:rsidRPr="00DD169A" w:rsidRDefault="0039020E" w:rsidP="0039020E">
      <w:pPr>
        <w:pStyle w:val="Body-regular"/>
        <w:spacing w:line="276" w:lineRule="auto"/>
        <w:ind w:left="567"/>
        <w:rPr>
          <w:color w:val="auto"/>
        </w:rPr>
      </w:pPr>
      <w:r w:rsidRPr="00DD169A">
        <w:rPr>
          <w:color w:val="auto"/>
          <w:lang w:eastAsia="ja-JP"/>
        </w:rPr>
        <w:t>Payment amounts may be reduced if</w:t>
      </w:r>
      <w:r w:rsidRPr="00DD169A">
        <w:rPr>
          <w:color w:val="auto"/>
        </w:rPr>
        <w:t xml:space="preserve"> a Performance Test relating to Guaranteed Power and Storage Capacity is failed on multiple occasions, indicating the guaranteed service levels cannot be provided. </w:t>
      </w:r>
    </w:p>
    <w:p w14:paraId="0F1F9193" w14:textId="77777777" w:rsidR="0039020E" w:rsidRPr="00B41410" w:rsidRDefault="0039020E" w:rsidP="00AF24FB">
      <w:pPr>
        <w:pStyle w:val="Body-regular"/>
        <w:numPr>
          <w:ilvl w:val="0"/>
          <w:numId w:val="22"/>
        </w:numPr>
        <w:spacing w:line="276" w:lineRule="auto"/>
        <w:ind w:left="567" w:hanging="567"/>
        <w:rPr>
          <w:color w:val="auto"/>
        </w:rPr>
      </w:pPr>
      <w:r w:rsidRPr="00B41410">
        <w:rPr>
          <w:b/>
          <w:bCs/>
          <w:color w:val="auto"/>
        </w:rPr>
        <w:t xml:space="preserve">Material Impairment Event </w:t>
      </w:r>
      <w:r w:rsidRPr="00B41410">
        <w:rPr>
          <w:color w:val="auto"/>
        </w:rPr>
        <w:t xml:space="preserve">– </w:t>
      </w:r>
    </w:p>
    <w:p w14:paraId="492065C8" w14:textId="77777777" w:rsidR="0039020E" w:rsidRPr="00B41410" w:rsidRDefault="0039020E" w:rsidP="0039020E">
      <w:pPr>
        <w:pStyle w:val="Body-regular"/>
        <w:spacing w:line="276" w:lineRule="auto"/>
        <w:ind w:left="567"/>
        <w:rPr>
          <w:color w:val="auto"/>
        </w:rPr>
      </w:pPr>
      <w:r w:rsidRPr="00B41410">
        <w:rPr>
          <w:color w:val="auto"/>
          <w:lang w:eastAsia="ja-JP"/>
        </w:rPr>
        <w:t xml:space="preserve">Payment amounts </w:t>
      </w:r>
      <w:r>
        <w:rPr>
          <w:color w:val="auto"/>
          <w:lang w:eastAsia="ja-JP"/>
        </w:rPr>
        <w:t>may</w:t>
      </w:r>
      <w:r w:rsidRPr="00B41410">
        <w:rPr>
          <w:color w:val="auto"/>
          <w:lang w:eastAsia="ja-JP"/>
        </w:rPr>
        <w:t xml:space="preserve"> be reduced if</w:t>
      </w:r>
      <w:r w:rsidRPr="00B41410">
        <w:rPr>
          <w:color w:val="auto"/>
        </w:rPr>
        <w:t xml:space="preserve"> there is a Material Impairment Event that results in less than</w:t>
      </w:r>
      <w:r>
        <w:rPr>
          <w:color w:val="auto"/>
        </w:rPr>
        <w:t xml:space="preserve"> a specified percentage</w:t>
      </w:r>
      <w:r w:rsidRPr="00B41410">
        <w:rPr>
          <w:color w:val="auto"/>
        </w:rPr>
        <w:t xml:space="preserve"> of the Guaranteed Power and Storage Capacity being available. </w:t>
      </w:r>
    </w:p>
    <w:p w14:paraId="7AED7807" w14:textId="77777777" w:rsidR="0039020E" w:rsidRPr="00B41410" w:rsidRDefault="0039020E" w:rsidP="00AF24FB">
      <w:pPr>
        <w:pStyle w:val="Body-regular"/>
        <w:numPr>
          <w:ilvl w:val="0"/>
          <w:numId w:val="22"/>
        </w:numPr>
        <w:spacing w:line="276" w:lineRule="auto"/>
        <w:ind w:left="567" w:hanging="567"/>
        <w:rPr>
          <w:color w:val="auto"/>
        </w:rPr>
      </w:pPr>
      <w:r w:rsidRPr="00B41410">
        <w:rPr>
          <w:b/>
          <w:bCs/>
          <w:color w:val="auto"/>
        </w:rPr>
        <w:t>Capacity reinstated</w:t>
      </w:r>
      <w:r w:rsidRPr="00B41410">
        <w:rPr>
          <w:color w:val="auto"/>
        </w:rPr>
        <w:t xml:space="preserve"> – </w:t>
      </w:r>
    </w:p>
    <w:p w14:paraId="0322A499" w14:textId="278A5EAA" w:rsidR="0039020E" w:rsidRPr="00B41410" w:rsidRDefault="0039020E" w:rsidP="0039020E">
      <w:pPr>
        <w:pStyle w:val="Body-regular"/>
        <w:spacing w:line="276" w:lineRule="auto"/>
        <w:ind w:left="567"/>
        <w:rPr>
          <w:color w:val="auto"/>
        </w:rPr>
      </w:pPr>
      <w:r w:rsidRPr="00B41410">
        <w:rPr>
          <w:color w:val="auto"/>
        </w:rPr>
        <w:t xml:space="preserve">If </w:t>
      </w:r>
      <w:r w:rsidRPr="00F6270F">
        <w:rPr>
          <w:color w:val="auto"/>
          <w:lang w:eastAsia="ja-JP"/>
        </w:rPr>
        <w:t>payment</w:t>
      </w:r>
      <w:r w:rsidRPr="00F6270F">
        <w:rPr>
          <w:color w:val="auto"/>
        </w:rPr>
        <w:t xml:space="preserve"> amounts have been reduced due to the failure of multiple Performance Tests (</w:t>
      </w:r>
      <w:r w:rsidRPr="00F6270F">
        <w:rPr>
          <w:color w:val="auto"/>
          <w:lang w:eastAsia="ja-JP"/>
        </w:rPr>
        <w:t>Service Charge Variation Event</w:t>
      </w:r>
      <w:r w:rsidRPr="00F6270F">
        <w:rPr>
          <w:color w:val="auto"/>
        </w:rPr>
        <w:t xml:space="preserve"> 4) or due to a Material Impairment Event </w:t>
      </w:r>
      <w:r w:rsidRPr="00F6270F">
        <w:rPr>
          <w:color w:val="auto"/>
          <w:lang w:eastAsia="ja-JP"/>
        </w:rPr>
        <w:lastRenderedPageBreak/>
        <w:t>(Service Charge Variation Event 5)</w:t>
      </w:r>
      <w:r w:rsidRPr="00F6270F">
        <w:rPr>
          <w:color w:val="auto"/>
        </w:rPr>
        <w:t xml:space="preserve">, the full payment amount will be reinstated from the date the </w:t>
      </w:r>
      <w:r w:rsidR="00E6301A">
        <w:rPr>
          <w:color w:val="auto"/>
        </w:rPr>
        <w:t>SIPS Battery Service</w:t>
      </w:r>
      <w:r w:rsidRPr="00F6270F">
        <w:rPr>
          <w:color w:val="auto"/>
        </w:rPr>
        <w:t xml:space="preserve"> provider shows evidence that the Guaranteed Power and Storage Capacity requirements</w:t>
      </w:r>
      <w:r>
        <w:rPr>
          <w:color w:val="auto"/>
        </w:rPr>
        <w:t xml:space="preserve"> are</w:t>
      </w:r>
      <w:r w:rsidRPr="00B41410">
        <w:rPr>
          <w:color w:val="auto"/>
        </w:rPr>
        <w:t xml:space="preserve"> being met. </w:t>
      </w:r>
    </w:p>
    <w:p w14:paraId="63114564" w14:textId="77777777" w:rsidR="0039020E" w:rsidRPr="00B41410" w:rsidRDefault="0039020E" w:rsidP="00AF24FB">
      <w:pPr>
        <w:pStyle w:val="Body-regular"/>
        <w:numPr>
          <w:ilvl w:val="0"/>
          <w:numId w:val="22"/>
        </w:numPr>
        <w:spacing w:line="276" w:lineRule="auto"/>
        <w:ind w:left="567" w:hanging="567"/>
        <w:rPr>
          <w:color w:val="auto"/>
        </w:rPr>
      </w:pPr>
      <w:r w:rsidRPr="00B41410">
        <w:rPr>
          <w:b/>
          <w:bCs/>
          <w:color w:val="auto"/>
        </w:rPr>
        <w:t>Agreed Modification</w:t>
      </w:r>
      <w:r w:rsidRPr="00B41410">
        <w:rPr>
          <w:color w:val="auto"/>
        </w:rPr>
        <w:t xml:space="preserve"> – </w:t>
      </w:r>
    </w:p>
    <w:p w14:paraId="289FF5EF" w14:textId="2B844082" w:rsidR="0039020E" w:rsidRPr="00B41410" w:rsidRDefault="0039020E" w:rsidP="0039020E">
      <w:pPr>
        <w:pStyle w:val="Body-regular"/>
        <w:spacing w:line="276" w:lineRule="auto"/>
        <w:ind w:left="567"/>
        <w:rPr>
          <w:color w:val="auto"/>
        </w:rPr>
      </w:pPr>
      <w:r w:rsidRPr="00B41410">
        <w:rPr>
          <w:color w:val="auto"/>
          <w:lang w:eastAsia="ja-JP"/>
        </w:rPr>
        <w:t>Payment amounts will be increased or reduced</w:t>
      </w:r>
      <w:r w:rsidRPr="00B41410">
        <w:rPr>
          <w:color w:val="auto"/>
        </w:rPr>
        <w:t xml:space="preserve"> to reflect any costs or savings from a </w:t>
      </w:r>
      <w:r>
        <w:rPr>
          <w:color w:val="auto"/>
        </w:rPr>
        <w:t>m</w:t>
      </w:r>
      <w:r w:rsidRPr="00B41410">
        <w:rPr>
          <w:color w:val="auto"/>
        </w:rPr>
        <w:t xml:space="preserve">odification agreed between Transgrid and the </w:t>
      </w:r>
      <w:r w:rsidR="00E6301A">
        <w:rPr>
          <w:color w:val="auto"/>
        </w:rPr>
        <w:t>SIPS Battery Service</w:t>
      </w:r>
      <w:r w:rsidRPr="00B41410">
        <w:rPr>
          <w:color w:val="auto"/>
        </w:rPr>
        <w:t xml:space="preserve"> provider.</w:t>
      </w:r>
    </w:p>
    <w:p w14:paraId="1BAA8BD2" w14:textId="77777777" w:rsidR="0039020E" w:rsidRPr="00B41410" w:rsidRDefault="0039020E" w:rsidP="00AF24FB">
      <w:pPr>
        <w:pStyle w:val="Body-regular"/>
        <w:numPr>
          <w:ilvl w:val="0"/>
          <w:numId w:val="22"/>
        </w:numPr>
        <w:spacing w:line="276" w:lineRule="auto"/>
        <w:ind w:left="567" w:hanging="567"/>
        <w:rPr>
          <w:b/>
          <w:bCs/>
          <w:color w:val="auto"/>
        </w:rPr>
      </w:pPr>
      <w:r w:rsidRPr="00B41410">
        <w:rPr>
          <w:b/>
          <w:bCs/>
          <w:color w:val="auto"/>
        </w:rPr>
        <w:t xml:space="preserve">Change in Law – </w:t>
      </w:r>
    </w:p>
    <w:p w14:paraId="78C2C164" w14:textId="77777777" w:rsidR="0039020E" w:rsidRPr="00B41410" w:rsidRDefault="0039020E" w:rsidP="0039020E">
      <w:pPr>
        <w:pStyle w:val="Body-regular"/>
        <w:spacing w:line="276" w:lineRule="auto"/>
        <w:ind w:left="567"/>
        <w:rPr>
          <w:color w:val="auto"/>
        </w:rPr>
      </w:pPr>
      <w:r w:rsidRPr="00B41410">
        <w:rPr>
          <w:color w:val="auto"/>
          <w:lang w:eastAsia="ja-JP"/>
        </w:rPr>
        <w:t>Payment amounts will be increased or reduced</w:t>
      </w:r>
      <w:r w:rsidRPr="00B41410">
        <w:rPr>
          <w:color w:val="auto"/>
        </w:rPr>
        <w:t xml:space="preserve"> to reflect a Change in Law that results in a Net Financial Effect greater than </w:t>
      </w:r>
      <w:r>
        <w:rPr>
          <w:color w:val="auto"/>
        </w:rPr>
        <w:t>a specified percentage</w:t>
      </w:r>
      <w:r w:rsidRPr="00B41410">
        <w:rPr>
          <w:color w:val="auto"/>
        </w:rPr>
        <w:t xml:space="preserve"> of the </w:t>
      </w:r>
      <w:r>
        <w:rPr>
          <w:color w:val="auto"/>
        </w:rPr>
        <w:t>service charge</w:t>
      </w:r>
      <w:r w:rsidRPr="00B41410">
        <w:rPr>
          <w:color w:val="auto"/>
        </w:rPr>
        <w:t>.</w:t>
      </w:r>
    </w:p>
    <w:p w14:paraId="62820BD1" w14:textId="77777777" w:rsidR="0039020E" w:rsidRPr="00B41410" w:rsidRDefault="0039020E" w:rsidP="00AF24FB">
      <w:pPr>
        <w:pStyle w:val="Body-regular"/>
        <w:numPr>
          <w:ilvl w:val="0"/>
          <w:numId w:val="22"/>
        </w:numPr>
        <w:spacing w:line="276" w:lineRule="auto"/>
        <w:ind w:left="567" w:hanging="567"/>
        <w:rPr>
          <w:color w:val="auto"/>
          <w:lang w:eastAsia="ja-JP"/>
        </w:rPr>
      </w:pPr>
      <w:r w:rsidRPr="00B41410">
        <w:rPr>
          <w:b/>
          <w:bCs/>
          <w:color w:val="auto"/>
        </w:rPr>
        <w:t>Force Majeure Event</w:t>
      </w:r>
      <w:r w:rsidRPr="00B41410">
        <w:rPr>
          <w:color w:val="auto"/>
        </w:rPr>
        <w:t xml:space="preserve"> – </w:t>
      </w:r>
    </w:p>
    <w:p w14:paraId="320C3FBF" w14:textId="2739A12C" w:rsidR="0039020E" w:rsidRPr="00B41410" w:rsidRDefault="0039020E" w:rsidP="0039020E">
      <w:pPr>
        <w:pStyle w:val="Body-regular"/>
        <w:spacing w:line="276" w:lineRule="auto"/>
        <w:ind w:left="567"/>
        <w:rPr>
          <w:color w:val="auto"/>
        </w:rPr>
      </w:pPr>
      <w:r w:rsidRPr="00B41410">
        <w:rPr>
          <w:color w:val="auto"/>
          <w:lang w:eastAsia="ja-JP"/>
        </w:rPr>
        <w:t>Payment amounts will be reduced if</w:t>
      </w:r>
      <w:r w:rsidRPr="00B41410">
        <w:rPr>
          <w:color w:val="auto"/>
        </w:rPr>
        <w:t xml:space="preserve"> a Force Majeure Event totally or partially prevents the </w:t>
      </w:r>
      <w:r w:rsidR="00E6301A">
        <w:rPr>
          <w:color w:val="auto"/>
        </w:rPr>
        <w:t>SIPS Battery Service</w:t>
      </w:r>
      <w:r w:rsidRPr="00B41410">
        <w:rPr>
          <w:color w:val="auto"/>
        </w:rPr>
        <w:t xml:space="preserve"> provider from providing the Service.</w:t>
      </w:r>
    </w:p>
    <w:p w14:paraId="7634A626" w14:textId="77777777" w:rsidR="0039020E" w:rsidRPr="00B41410" w:rsidRDefault="0039020E" w:rsidP="00AF24FB">
      <w:pPr>
        <w:pStyle w:val="Body-regular"/>
        <w:numPr>
          <w:ilvl w:val="0"/>
          <w:numId w:val="22"/>
        </w:numPr>
        <w:spacing w:line="276" w:lineRule="auto"/>
        <w:ind w:left="567" w:hanging="567"/>
        <w:rPr>
          <w:color w:val="auto"/>
        </w:rPr>
      </w:pPr>
      <w:r w:rsidRPr="00B41410">
        <w:rPr>
          <w:b/>
          <w:bCs/>
          <w:color w:val="auto"/>
        </w:rPr>
        <w:t>Change to Fixed Core Services</w:t>
      </w:r>
      <w:r w:rsidRPr="00B41410">
        <w:rPr>
          <w:color w:val="auto"/>
        </w:rPr>
        <w:t xml:space="preserve"> – </w:t>
      </w:r>
    </w:p>
    <w:p w14:paraId="5CD6EA34" w14:textId="682215D4" w:rsidR="0039020E" w:rsidRPr="00B41410" w:rsidRDefault="0039020E" w:rsidP="0039020E">
      <w:pPr>
        <w:pStyle w:val="Body-regular"/>
        <w:spacing w:line="276" w:lineRule="auto"/>
        <w:ind w:left="567"/>
        <w:rPr>
          <w:color w:val="auto"/>
        </w:rPr>
      </w:pPr>
      <w:r w:rsidRPr="00B41410">
        <w:rPr>
          <w:color w:val="auto"/>
          <w:lang w:eastAsia="ja-JP"/>
        </w:rPr>
        <w:t>Payment amounts will be</w:t>
      </w:r>
      <w:r w:rsidRPr="00B41410">
        <w:rPr>
          <w:color w:val="auto"/>
        </w:rPr>
        <w:t xml:space="preserve"> adjusted to reflect a change from a </w:t>
      </w:r>
      <w:r w:rsidR="006B7B54">
        <w:rPr>
          <w:color w:val="auto"/>
        </w:rPr>
        <w:t>Seasonal Sculpted Core Service</w:t>
      </w:r>
      <w:r w:rsidRPr="00B41410">
        <w:rPr>
          <w:color w:val="auto"/>
        </w:rPr>
        <w:t xml:space="preserve"> to a </w:t>
      </w:r>
      <w:r w:rsidR="006B7B54">
        <w:rPr>
          <w:color w:val="auto"/>
        </w:rPr>
        <w:t>Fixed Core Service</w:t>
      </w:r>
      <w:r w:rsidRPr="00B41410">
        <w:rPr>
          <w:color w:val="auto"/>
        </w:rPr>
        <w:t>.</w:t>
      </w:r>
      <w:r w:rsidR="00AC1B34">
        <w:rPr>
          <w:color w:val="auto"/>
        </w:rPr>
        <w:t xml:space="preserve"> </w:t>
      </w:r>
    </w:p>
    <w:p w14:paraId="3BE3A408" w14:textId="77777777" w:rsidR="0039020E" w:rsidRPr="00B41410" w:rsidRDefault="0039020E" w:rsidP="00AF24FB">
      <w:pPr>
        <w:pStyle w:val="Body-regular"/>
        <w:numPr>
          <w:ilvl w:val="0"/>
          <w:numId w:val="22"/>
        </w:numPr>
        <w:spacing w:line="276" w:lineRule="auto"/>
        <w:ind w:left="567" w:hanging="567"/>
        <w:rPr>
          <w:color w:val="auto"/>
        </w:rPr>
      </w:pPr>
      <w:r w:rsidRPr="00B41410">
        <w:rPr>
          <w:b/>
          <w:bCs/>
          <w:color w:val="auto"/>
        </w:rPr>
        <w:t>Delay in achieving Commercial Operation</w:t>
      </w:r>
      <w:r w:rsidRPr="00B41410">
        <w:rPr>
          <w:color w:val="auto"/>
        </w:rPr>
        <w:t xml:space="preserve"> – </w:t>
      </w:r>
    </w:p>
    <w:p w14:paraId="2718AA43" w14:textId="77777777" w:rsidR="0039020E" w:rsidRPr="00B41410" w:rsidRDefault="0039020E" w:rsidP="0039020E">
      <w:pPr>
        <w:pStyle w:val="Body-regular"/>
        <w:spacing w:line="276" w:lineRule="auto"/>
        <w:ind w:left="567"/>
        <w:rPr>
          <w:color w:val="auto"/>
        </w:rPr>
      </w:pPr>
      <w:r w:rsidRPr="00B41410">
        <w:rPr>
          <w:color w:val="auto"/>
        </w:rPr>
        <w:t xml:space="preserve">Payment </w:t>
      </w:r>
      <w:r w:rsidRPr="00B41410">
        <w:rPr>
          <w:color w:val="auto"/>
          <w:lang w:eastAsia="ja-JP"/>
        </w:rPr>
        <w:t>amounts</w:t>
      </w:r>
      <w:r w:rsidRPr="00B41410">
        <w:rPr>
          <w:color w:val="auto"/>
        </w:rPr>
        <w:t xml:space="preserve"> will be reduced if there is a delay in achieving Interim Commercial Operation or Commercial Operation.</w:t>
      </w:r>
    </w:p>
    <w:p w14:paraId="7848A0A2" w14:textId="77777777" w:rsidR="0039020E" w:rsidRPr="00B41410" w:rsidRDefault="0039020E" w:rsidP="00AF24FB">
      <w:pPr>
        <w:pStyle w:val="Body-regular"/>
        <w:numPr>
          <w:ilvl w:val="0"/>
          <w:numId w:val="22"/>
        </w:numPr>
        <w:spacing w:line="276" w:lineRule="auto"/>
        <w:ind w:left="567" w:hanging="567"/>
        <w:rPr>
          <w:color w:val="auto"/>
          <w:lang w:eastAsia="ja-JP"/>
        </w:rPr>
      </w:pPr>
      <w:r w:rsidRPr="00B41410">
        <w:rPr>
          <w:b/>
          <w:bCs/>
          <w:color w:val="auto"/>
        </w:rPr>
        <w:t>Extension of the Service Period End Date for a Munmorah Site Delay</w:t>
      </w:r>
      <w:r w:rsidRPr="00B41410">
        <w:rPr>
          <w:color w:val="auto"/>
        </w:rPr>
        <w:t xml:space="preserve"> – </w:t>
      </w:r>
    </w:p>
    <w:p w14:paraId="15474DF5" w14:textId="77777777" w:rsidR="0039020E" w:rsidRDefault="0039020E" w:rsidP="0039020E">
      <w:pPr>
        <w:pStyle w:val="Body-regular"/>
        <w:spacing w:line="276" w:lineRule="auto"/>
        <w:ind w:left="567"/>
        <w:rPr>
          <w:color w:val="auto"/>
        </w:rPr>
      </w:pPr>
      <w:r w:rsidRPr="00B41410">
        <w:rPr>
          <w:color w:val="auto"/>
        </w:rPr>
        <w:t xml:space="preserve">Payments </w:t>
      </w:r>
      <w:r w:rsidRPr="00B41410">
        <w:rPr>
          <w:color w:val="auto"/>
          <w:lang w:eastAsia="ja-JP"/>
        </w:rPr>
        <w:t>amounts</w:t>
      </w:r>
      <w:r w:rsidRPr="00B41410">
        <w:rPr>
          <w:color w:val="auto"/>
        </w:rPr>
        <w:t xml:space="preserve"> will be </w:t>
      </w:r>
      <w:r>
        <w:rPr>
          <w:color w:val="auto"/>
        </w:rPr>
        <w:t>extended</w:t>
      </w:r>
      <w:r w:rsidRPr="00B41410">
        <w:rPr>
          <w:color w:val="auto"/>
        </w:rPr>
        <w:t xml:space="preserve"> to reflect an extension of the Service Period End Date resulting from a Munmorah Site Delay that constitutes an Extension Event.</w:t>
      </w:r>
    </w:p>
    <w:p w14:paraId="1C9BA44B" w14:textId="6D968302" w:rsidR="00341B17" w:rsidRDefault="007C200D" w:rsidP="00341B17">
      <w:pPr>
        <w:rPr>
          <w:lang w:eastAsia="ja-JP"/>
        </w:rPr>
      </w:pPr>
      <w:r>
        <w:rPr>
          <w:lang w:eastAsia="ja-JP"/>
        </w:rPr>
        <w:t>All adjustment mechanisms in our previous revenue determination were consistent with the above events in the SIPS Service Agreement</w:t>
      </w:r>
      <w:r w:rsidR="000E073E">
        <w:rPr>
          <w:lang w:eastAsia="ja-JP"/>
        </w:rPr>
        <w:t xml:space="preserve">. </w:t>
      </w:r>
    </w:p>
    <w:p w14:paraId="19FA8549" w14:textId="77777777" w:rsidR="00341B17" w:rsidRDefault="00341B17" w:rsidP="00341B17">
      <w:pPr>
        <w:pStyle w:val="Heading4"/>
        <w:numPr>
          <w:ilvl w:val="0"/>
          <w:numId w:val="0"/>
        </w:numPr>
        <w:ind w:left="720" w:hanging="720"/>
        <w:rPr>
          <w:lang w:eastAsia="ja-JP"/>
        </w:rPr>
      </w:pPr>
      <w:proofErr w:type="spellStart"/>
      <w:r>
        <w:rPr>
          <w:lang w:eastAsia="ja-JP"/>
        </w:rPr>
        <w:t>Transgrid’s</w:t>
      </w:r>
      <w:proofErr w:type="spellEnd"/>
      <w:r>
        <w:rPr>
          <w:lang w:eastAsia="ja-JP"/>
        </w:rPr>
        <w:t xml:space="preserve"> revenue proposal</w:t>
      </w:r>
    </w:p>
    <w:p w14:paraId="09F33EA9" w14:textId="01680B85" w:rsidR="00AD0BF6" w:rsidRDefault="00AD0BF6" w:rsidP="00AD0BF6">
      <w:r>
        <w:rPr>
          <w:lang w:eastAsia="ja-JP"/>
        </w:rPr>
        <w:t xml:space="preserve">Transgrid has proposed to amend existing adjustment mechanisms and add new mechanisms to reflect the amended </w:t>
      </w:r>
      <w:r w:rsidR="00AF1273">
        <w:rPr>
          <w:lang w:eastAsia="ja-JP"/>
        </w:rPr>
        <w:t xml:space="preserve">SIPS Service Agreement. </w:t>
      </w:r>
      <w:r>
        <w:rPr>
          <w:lang w:eastAsia="ja-JP"/>
        </w:rPr>
        <w:t xml:space="preserve"> </w:t>
      </w:r>
    </w:p>
    <w:p w14:paraId="3169C5A1" w14:textId="77777777" w:rsidR="00AD0BF6" w:rsidRDefault="00AD0BF6" w:rsidP="00AD0BF6">
      <w:pPr>
        <w:pStyle w:val="Heading4"/>
        <w:numPr>
          <w:ilvl w:val="0"/>
          <w:numId w:val="0"/>
        </w:numPr>
        <w:ind w:left="720" w:hanging="720"/>
        <w:rPr>
          <w:lang w:eastAsia="ja-JP"/>
        </w:rPr>
      </w:pPr>
      <w:r>
        <w:rPr>
          <w:lang w:eastAsia="ja-JP"/>
        </w:rPr>
        <w:t xml:space="preserve">AER’s assessment </w:t>
      </w:r>
    </w:p>
    <w:p w14:paraId="471E71C4" w14:textId="0F8EADAF" w:rsidR="00693AEB" w:rsidRDefault="00AC1B34" w:rsidP="00693AEB">
      <w:pPr>
        <w:tabs>
          <w:tab w:val="left" w:pos="1249"/>
        </w:tabs>
        <w:rPr>
          <w:lang w:eastAsia="ja-JP"/>
        </w:rPr>
      </w:pPr>
      <w:r w:rsidRPr="00986000">
        <w:rPr>
          <w:lang w:eastAsia="ja-JP"/>
        </w:rPr>
        <w:t xml:space="preserve">We reviewed the adjustment mechanisms set out in </w:t>
      </w:r>
      <w:proofErr w:type="spellStart"/>
      <w:r w:rsidRPr="00986000">
        <w:rPr>
          <w:lang w:eastAsia="ja-JP"/>
        </w:rPr>
        <w:t>Transgrid’s</w:t>
      </w:r>
      <w:proofErr w:type="spellEnd"/>
      <w:r w:rsidRPr="00986000">
        <w:rPr>
          <w:lang w:eastAsia="ja-JP"/>
        </w:rPr>
        <w:t xml:space="preserve"> proposal and found them to be consistent with the</w:t>
      </w:r>
      <w:r>
        <w:rPr>
          <w:lang w:eastAsia="ja-JP"/>
        </w:rPr>
        <w:t xml:space="preserve"> relevant events</w:t>
      </w:r>
      <w:r w:rsidRPr="00986000">
        <w:rPr>
          <w:lang w:eastAsia="ja-JP"/>
        </w:rPr>
        <w:t xml:space="preserve"> in the </w:t>
      </w:r>
      <w:r>
        <w:rPr>
          <w:lang w:eastAsia="ja-JP"/>
        </w:rPr>
        <w:t xml:space="preserve">amended </w:t>
      </w:r>
      <w:r w:rsidRPr="00986000">
        <w:rPr>
          <w:lang w:eastAsia="ja-JP"/>
        </w:rPr>
        <w:t>contractual arrangements</w:t>
      </w:r>
      <w:r>
        <w:rPr>
          <w:lang w:eastAsia="ja-JP"/>
        </w:rPr>
        <w:t xml:space="preserve">. We consider </w:t>
      </w:r>
      <w:proofErr w:type="spellStart"/>
      <w:r>
        <w:rPr>
          <w:lang w:eastAsia="ja-JP"/>
        </w:rPr>
        <w:t>Transgrid’s</w:t>
      </w:r>
      <w:proofErr w:type="spellEnd"/>
      <w:r>
        <w:rPr>
          <w:lang w:eastAsia="ja-JP"/>
        </w:rPr>
        <w:t xml:space="preserve"> proposal </w:t>
      </w:r>
      <w:r w:rsidR="00693AEB" w:rsidRPr="00117C00">
        <w:rPr>
          <w:lang w:eastAsia="ja-JP"/>
        </w:rPr>
        <w:t xml:space="preserve">provided sufficient </w:t>
      </w:r>
      <w:r w:rsidR="00693AEB">
        <w:rPr>
          <w:lang w:eastAsia="ja-JP"/>
        </w:rPr>
        <w:t xml:space="preserve">evidence to amend the adjustment mechanisms in the revenue determination. </w:t>
      </w:r>
      <w:r w:rsidR="00693AEB" w:rsidRPr="00117C00">
        <w:rPr>
          <w:lang w:eastAsia="ja-JP"/>
        </w:rPr>
        <w:t xml:space="preserve">The adjustment mechanisms set out in </w:t>
      </w:r>
      <w:proofErr w:type="spellStart"/>
      <w:r w:rsidR="00693AEB" w:rsidRPr="00117C00">
        <w:rPr>
          <w:lang w:eastAsia="ja-JP"/>
        </w:rPr>
        <w:t>Transgrid’s</w:t>
      </w:r>
      <w:proofErr w:type="spellEnd"/>
      <w:r w:rsidR="00693AEB" w:rsidRPr="00117C00">
        <w:rPr>
          <w:lang w:eastAsia="ja-JP"/>
        </w:rPr>
        <w:t xml:space="preserve"> proposal have been included in our revenue determination. </w:t>
      </w:r>
    </w:p>
    <w:p w14:paraId="479BC622" w14:textId="77777777" w:rsidR="00693AEB" w:rsidRPr="00E87F9E" w:rsidRDefault="00693AEB" w:rsidP="00693AEB">
      <w:pPr>
        <w:rPr>
          <w:lang w:eastAsia="ja-JP"/>
        </w:rPr>
      </w:pPr>
      <w:r w:rsidRPr="00E87F9E">
        <w:rPr>
          <w:lang w:eastAsia="ja-JP"/>
        </w:rPr>
        <w:t>The following adjustment mechanisms have been updated:</w:t>
      </w:r>
    </w:p>
    <w:p w14:paraId="3E0CECEE" w14:textId="77777777" w:rsidR="00693AEB" w:rsidRPr="00354AC6" w:rsidRDefault="00693AEB" w:rsidP="00693AEB">
      <w:pPr>
        <w:pStyle w:val="Body-regular"/>
        <w:numPr>
          <w:ilvl w:val="0"/>
          <w:numId w:val="28"/>
        </w:numPr>
        <w:spacing w:line="276" w:lineRule="auto"/>
        <w:rPr>
          <w:b/>
          <w:bCs/>
          <w:color w:val="auto"/>
          <w:lang w:eastAsia="ja-JP"/>
        </w:rPr>
      </w:pPr>
      <w:r w:rsidRPr="00354AC6">
        <w:rPr>
          <w:b/>
          <w:bCs/>
          <w:color w:val="auto"/>
        </w:rPr>
        <w:t>Alternative</w:t>
      </w:r>
      <w:r w:rsidRPr="00354AC6">
        <w:rPr>
          <w:b/>
          <w:bCs/>
          <w:color w:val="auto"/>
          <w:lang w:eastAsia="ja-JP"/>
        </w:rPr>
        <w:t xml:space="preserve"> Service Period Reduction</w:t>
      </w:r>
    </w:p>
    <w:p w14:paraId="5E7FA51C" w14:textId="1F5519A4" w:rsidR="00907C60" w:rsidRDefault="00693AEB" w:rsidP="00693AEB">
      <w:pPr>
        <w:pStyle w:val="Body-regular"/>
        <w:spacing w:line="276" w:lineRule="auto"/>
        <w:ind w:left="360"/>
        <w:rPr>
          <w:color w:val="auto"/>
          <w:lang w:eastAsia="ja-JP"/>
        </w:rPr>
      </w:pPr>
      <w:r>
        <w:rPr>
          <w:color w:val="auto"/>
          <w:lang w:eastAsia="ja-JP"/>
        </w:rPr>
        <w:t xml:space="preserve">This adjustment event has been broadened </w:t>
      </w:r>
      <w:r w:rsidR="005B6C72">
        <w:rPr>
          <w:color w:val="auto"/>
          <w:lang w:eastAsia="ja-JP"/>
        </w:rPr>
        <w:t>so Transgrid can now request Akaysha provide the Alternative Service at any time</w:t>
      </w:r>
      <w:r w:rsidR="00D733E4">
        <w:rPr>
          <w:color w:val="auto"/>
          <w:lang w:eastAsia="ja-JP"/>
        </w:rPr>
        <w:t xml:space="preserve"> during the project term</w:t>
      </w:r>
      <w:r w:rsidR="005B6C72">
        <w:rPr>
          <w:color w:val="auto"/>
          <w:lang w:eastAsia="ja-JP"/>
        </w:rPr>
        <w:t xml:space="preserve">. </w:t>
      </w:r>
      <w:r w:rsidR="00D733E4">
        <w:rPr>
          <w:color w:val="auto"/>
          <w:lang w:eastAsia="ja-JP"/>
        </w:rPr>
        <w:t xml:space="preserve">When Akaysha is providing the Alternative Service, it </w:t>
      </w:r>
      <w:r w:rsidR="009D1CE5">
        <w:rPr>
          <w:color w:val="auto"/>
          <w:lang w:eastAsia="ja-JP"/>
        </w:rPr>
        <w:t xml:space="preserve">will be able to merchant trade the reserved battery capacity but </w:t>
      </w:r>
      <w:r w:rsidR="00D733E4">
        <w:rPr>
          <w:color w:val="auto"/>
          <w:lang w:eastAsia="ja-JP"/>
        </w:rPr>
        <w:t>will</w:t>
      </w:r>
      <w:r w:rsidR="00AF1273">
        <w:rPr>
          <w:color w:val="auto"/>
          <w:lang w:eastAsia="ja-JP"/>
        </w:rPr>
        <w:t xml:space="preserve"> also be able to provide the SIPS Battery Service when requested. </w:t>
      </w:r>
      <w:r w:rsidR="00D733E4">
        <w:rPr>
          <w:color w:val="auto"/>
          <w:lang w:eastAsia="ja-JP"/>
        </w:rPr>
        <w:t xml:space="preserve"> </w:t>
      </w:r>
    </w:p>
    <w:p w14:paraId="63FCDAEF" w14:textId="7B41D614" w:rsidR="00907C60" w:rsidRDefault="00AF1273" w:rsidP="00907C60">
      <w:pPr>
        <w:pStyle w:val="Body-regular"/>
        <w:spacing w:line="276" w:lineRule="auto"/>
        <w:ind w:left="360"/>
        <w:rPr>
          <w:color w:val="auto"/>
          <w:lang w:eastAsia="ja-JP"/>
        </w:rPr>
      </w:pPr>
      <w:r>
        <w:rPr>
          <w:color w:val="auto"/>
          <w:lang w:eastAsia="ja-JP"/>
        </w:rPr>
        <w:lastRenderedPageBreak/>
        <w:t xml:space="preserve">If Akaysha is providing the Alternative Service, the service payments under the revenue determination will be reduced by a portion of the revenue Akaysha earns merchant trading, </w:t>
      </w:r>
      <w:r w:rsidR="00907C60">
        <w:rPr>
          <w:color w:val="auto"/>
          <w:lang w:eastAsia="ja-JP"/>
        </w:rPr>
        <w:t xml:space="preserve">as per the SIPS Service Agreement. </w:t>
      </w:r>
    </w:p>
    <w:p w14:paraId="681CAF6F" w14:textId="1EC57455" w:rsidR="00693AEB" w:rsidRPr="002570CD" w:rsidRDefault="00907C60" w:rsidP="00907C60">
      <w:pPr>
        <w:pStyle w:val="Body-regular"/>
        <w:spacing w:line="276" w:lineRule="auto"/>
        <w:ind w:left="360"/>
        <w:rPr>
          <w:color w:val="auto"/>
          <w:lang w:eastAsia="ja-JP"/>
        </w:rPr>
      </w:pPr>
      <w:r>
        <w:rPr>
          <w:color w:val="auto"/>
          <w:lang w:eastAsia="ja-JP"/>
        </w:rPr>
        <w:t xml:space="preserve">The </w:t>
      </w:r>
      <w:r w:rsidR="00AF1273">
        <w:rPr>
          <w:color w:val="auto"/>
          <w:lang w:eastAsia="ja-JP"/>
        </w:rPr>
        <w:t xml:space="preserve">contractual </w:t>
      </w:r>
      <w:r>
        <w:rPr>
          <w:color w:val="auto"/>
          <w:lang w:eastAsia="ja-JP"/>
        </w:rPr>
        <w:t xml:space="preserve">amendments </w:t>
      </w:r>
      <w:r w:rsidR="009D1CE5">
        <w:rPr>
          <w:color w:val="auto"/>
          <w:lang w:eastAsia="ja-JP"/>
        </w:rPr>
        <w:t xml:space="preserve">to the Alternative Service, </w:t>
      </w:r>
      <w:r>
        <w:rPr>
          <w:color w:val="auto"/>
          <w:lang w:eastAsia="ja-JP"/>
        </w:rPr>
        <w:t xml:space="preserve">allow </w:t>
      </w:r>
      <w:r w:rsidR="009D1CE5">
        <w:rPr>
          <w:color w:val="auto"/>
          <w:lang w:eastAsia="ja-JP"/>
        </w:rPr>
        <w:t>consumers to receive the benefit of the</w:t>
      </w:r>
      <w:r w:rsidR="00354AC6">
        <w:rPr>
          <w:color w:val="auto"/>
          <w:lang w:eastAsia="ja-JP"/>
        </w:rPr>
        <w:t xml:space="preserve"> </w:t>
      </w:r>
      <w:r w:rsidR="006B7B54">
        <w:rPr>
          <w:color w:val="auto"/>
          <w:lang w:eastAsia="ja-JP"/>
        </w:rPr>
        <w:t>SIPS Battery Service</w:t>
      </w:r>
      <w:r>
        <w:rPr>
          <w:color w:val="auto"/>
          <w:lang w:eastAsia="ja-JP"/>
        </w:rPr>
        <w:t xml:space="preserve"> when it</w:t>
      </w:r>
      <w:r w:rsidR="00080EC7">
        <w:rPr>
          <w:color w:val="auto"/>
          <w:lang w:eastAsia="ja-JP"/>
        </w:rPr>
        <w:t xml:space="preserve"> i</w:t>
      </w:r>
      <w:r>
        <w:rPr>
          <w:color w:val="auto"/>
          <w:lang w:eastAsia="ja-JP"/>
        </w:rPr>
        <w:t xml:space="preserve">s most critical </w:t>
      </w:r>
      <w:r w:rsidR="0031041B">
        <w:rPr>
          <w:color w:val="auto"/>
          <w:lang w:eastAsia="ja-JP"/>
        </w:rPr>
        <w:t xml:space="preserve">for </w:t>
      </w:r>
      <w:r w:rsidR="00D22CB3">
        <w:rPr>
          <w:color w:val="auto"/>
          <w:lang w:eastAsia="ja-JP"/>
        </w:rPr>
        <w:t>network</w:t>
      </w:r>
      <w:r w:rsidR="00D733E4">
        <w:rPr>
          <w:color w:val="auto"/>
          <w:lang w:eastAsia="ja-JP"/>
        </w:rPr>
        <w:t xml:space="preserve"> </w:t>
      </w:r>
      <w:r w:rsidR="0031041B">
        <w:rPr>
          <w:color w:val="auto"/>
          <w:lang w:eastAsia="ja-JP"/>
        </w:rPr>
        <w:t>stability but</w:t>
      </w:r>
      <w:r w:rsidR="00354AC6">
        <w:rPr>
          <w:color w:val="auto"/>
          <w:lang w:eastAsia="ja-JP"/>
        </w:rPr>
        <w:t xml:space="preserve"> reduce</w:t>
      </w:r>
      <w:r w:rsidR="00080EC7">
        <w:rPr>
          <w:color w:val="auto"/>
          <w:lang w:eastAsia="ja-JP"/>
        </w:rPr>
        <w:t xml:space="preserve"> the overall cost of the </w:t>
      </w:r>
      <w:r w:rsidR="009D1CE5">
        <w:rPr>
          <w:color w:val="auto"/>
          <w:lang w:eastAsia="ja-JP"/>
        </w:rPr>
        <w:t xml:space="preserve">SIPS Battery Service </w:t>
      </w:r>
      <w:r w:rsidR="00080EC7">
        <w:rPr>
          <w:color w:val="auto"/>
          <w:lang w:eastAsia="ja-JP"/>
        </w:rPr>
        <w:t>to NSW electricity customers</w:t>
      </w:r>
      <w:r w:rsidR="009D1CE5">
        <w:rPr>
          <w:color w:val="auto"/>
          <w:lang w:eastAsia="ja-JP"/>
        </w:rPr>
        <w:t xml:space="preserve">. </w:t>
      </w:r>
    </w:p>
    <w:p w14:paraId="38936A5C" w14:textId="77777777" w:rsidR="00354AC6" w:rsidRPr="00354AC6" w:rsidRDefault="00693AEB" w:rsidP="00693AEB">
      <w:pPr>
        <w:pStyle w:val="Body-regular"/>
        <w:numPr>
          <w:ilvl w:val="0"/>
          <w:numId w:val="29"/>
        </w:numPr>
        <w:spacing w:line="276" w:lineRule="auto"/>
        <w:rPr>
          <w:b/>
          <w:bCs/>
          <w:color w:val="auto"/>
        </w:rPr>
      </w:pPr>
      <w:r w:rsidRPr="00354AC6">
        <w:rPr>
          <w:b/>
          <w:bCs/>
          <w:color w:val="auto"/>
        </w:rPr>
        <w:t>Change to Fixed Core Services</w:t>
      </w:r>
    </w:p>
    <w:p w14:paraId="10EA337E" w14:textId="4460B05D" w:rsidR="00693AEB" w:rsidRPr="002570CD" w:rsidRDefault="006D1E05" w:rsidP="00354AC6">
      <w:pPr>
        <w:pStyle w:val="Body-regular"/>
        <w:spacing w:line="276" w:lineRule="auto"/>
        <w:ind w:left="360"/>
        <w:rPr>
          <w:color w:val="auto"/>
        </w:rPr>
      </w:pPr>
      <w:r>
        <w:rPr>
          <w:color w:val="auto"/>
        </w:rPr>
        <w:t xml:space="preserve">This adjustment event has been broadened so </w:t>
      </w:r>
      <w:r w:rsidR="00354AC6">
        <w:rPr>
          <w:color w:val="auto"/>
        </w:rPr>
        <w:t xml:space="preserve">Transgrid can now request Akaysha provide </w:t>
      </w:r>
      <w:r w:rsidR="00531913">
        <w:rPr>
          <w:color w:val="auto"/>
        </w:rPr>
        <w:t xml:space="preserve">either </w:t>
      </w:r>
      <w:r w:rsidR="00354AC6">
        <w:rPr>
          <w:color w:val="auto"/>
        </w:rPr>
        <w:t xml:space="preserve">the </w:t>
      </w:r>
      <w:r w:rsidR="006B7B54">
        <w:rPr>
          <w:color w:val="auto"/>
        </w:rPr>
        <w:t>Fixed Core Service</w:t>
      </w:r>
      <w:r w:rsidR="00354AC6">
        <w:rPr>
          <w:color w:val="auto"/>
        </w:rPr>
        <w:t xml:space="preserve">s or the </w:t>
      </w:r>
      <w:r w:rsidR="006B7B54">
        <w:rPr>
          <w:color w:val="auto"/>
        </w:rPr>
        <w:t>Seasonal Sculpted Core Service</w:t>
      </w:r>
      <w:r w:rsidR="00354AC6">
        <w:rPr>
          <w:color w:val="auto"/>
        </w:rPr>
        <w:t xml:space="preserve">s </w:t>
      </w:r>
      <w:r w:rsidR="00531913">
        <w:rPr>
          <w:color w:val="auto"/>
        </w:rPr>
        <w:t xml:space="preserve">at any time </w:t>
      </w:r>
      <w:r w:rsidR="00354AC6">
        <w:rPr>
          <w:color w:val="auto"/>
        </w:rPr>
        <w:t xml:space="preserve">during the project term. </w:t>
      </w:r>
      <w:r>
        <w:rPr>
          <w:color w:val="auto"/>
        </w:rPr>
        <w:t xml:space="preserve">This creates more flexibility, allowing Transgrid to switch between the two service modes. </w:t>
      </w:r>
      <w:r w:rsidR="00354AC6">
        <w:rPr>
          <w:color w:val="auto"/>
        </w:rPr>
        <w:t xml:space="preserve">The payment amounts will be adjusted to reflect the service mode requested. </w:t>
      </w:r>
      <w:r w:rsidR="00693AEB" w:rsidRPr="002570CD">
        <w:rPr>
          <w:color w:val="auto"/>
        </w:rPr>
        <w:t xml:space="preserve"> </w:t>
      </w:r>
    </w:p>
    <w:p w14:paraId="03C611C3" w14:textId="77777777" w:rsidR="00693AEB" w:rsidRPr="00531913" w:rsidRDefault="00693AEB" w:rsidP="00693AEB">
      <w:pPr>
        <w:pStyle w:val="Body-regular"/>
        <w:numPr>
          <w:ilvl w:val="0"/>
          <w:numId w:val="29"/>
        </w:numPr>
        <w:spacing w:line="276" w:lineRule="auto"/>
        <w:rPr>
          <w:b/>
          <w:bCs/>
          <w:color w:val="auto"/>
        </w:rPr>
      </w:pPr>
      <w:r w:rsidRPr="00531913">
        <w:rPr>
          <w:b/>
          <w:bCs/>
          <w:color w:val="auto"/>
        </w:rPr>
        <w:t xml:space="preserve">Delay in achieving Commercial Operation </w:t>
      </w:r>
    </w:p>
    <w:p w14:paraId="490A96AA" w14:textId="3F72A025" w:rsidR="00354AC6" w:rsidRPr="00531913" w:rsidRDefault="00531913" w:rsidP="00531913">
      <w:pPr>
        <w:pStyle w:val="ListParagraph"/>
        <w:ind w:left="360"/>
        <w:rPr>
          <w:rFonts w:cs="Arial"/>
        </w:rPr>
      </w:pPr>
      <w:r>
        <w:rPr>
          <w:rFonts w:cs="Arial"/>
        </w:rPr>
        <w:t xml:space="preserve">Minor wording amendment to reference the new held interest adjustment event. </w:t>
      </w:r>
    </w:p>
    <w:p w14:paraId="60A42707" w14:textId="77777777" w:rsidR="00693AEB" w:rsidRPr="002570CD" w:rsidRDefault="00693AEB" w:rsidP="00693AEB">
      <w:pPr>
        <w:rPr>
          <w:lang w:eastAsia="ja-JP"/>
        </w:rPr>
      </w:pPr>
      <w:r w:rsidRPr="002570CD">
        <w:rPr>
          <w:lang w:eastAsia="ja-JP"/>
        </w:rPr>
        <w:t>The following adjustment events have been added:</w:t>
      </w:r>
    </w:p>
    <w:p w14:paraId="147A126F" w14:textId="213BBCAC" w:rsidR="00693AEB" w:rsidRPr="001C7D79" w:rsidRDefault="00693AEB" w:rsidP="00B86183">
      <w:pPr>
        <w:pStyle w:val="Body-regular"/>
        <w:numPr>
          <w:ilvl w:val="0"/>
          <w:numId w:val="29"/>
        </w:numPr>
        <w:spacing w:line="276" w:lineRule="auto"/>
        <w:rPr>
          <w:b/>
          <w:bCs/>
          <w:color w:val="auto"/>
        </w:rPr>
      </w:pPr>
      <w:r w:rsidRPr="001C7D79">
        <w:rPr>
          <w:b/>
          <w:bCs/>
          <w:color w:val="auto"/>
        </w:rPr>
        <w:t>Final adjustment</w:t>
      </w:r>
    </w:p>
    <w:p w14:paraId="7CE9AC91" w14:textId="1FA4E1CD" w:rsidR="00531913" w:rsidRPr="00531913" w:rsidRDefault="00531913" w:rsidP="00531913">
      <w:pPr>
        <w:pStyle w:val="Body-regular"/>
        <w:spacing w:line="276" w:lineRule="auto"/>
        <w:ind w:left="360"/>
        <w:rPr>
          <w:color w:val="auto"/>
        </w:rPr>
      </w:pPr>
      <w:r w:rsidRPr="00531913">
        <w:rPr>
          <w:color w:val="auto"/>
        </w:rPr>
        <w:t>This serves as a true-up mechanism</w:t>
      </w:r>
      <w:r>
        <w:rPr>
          <w:color w:val="auto"/>
        </w:rPr>
        <w:t xml:space="preserve"> for any </w:t>
      </w:r>
      <w:r w:rsidR="001C7D79">
        <w:rPr>
          <w:color w:val="auto"/>
        </w:rPr>
        <w:t xml:space="preserve">adjustments that occurred during the final contract year. This adjustment applies after the contract term and may result in </w:t>
      </w:r>
      <w:r w:rsidR="00B42634">
        <w:rPr>
          <w:color w:val="auto"/>
        </w:rPr>
        <w:t xml:space="preserve">payments either by </w:t>
      </w:r>
      <w:r w:rsidR="001C7D79">
        <w:rPr>
          <w:color w:val="auto"/>
        </w:rPr>
        <w:t xml:space="preserve">Transgrid </w:t>
      </w:r>
      <w:r w:rsidR="00B42634">
        <w:rPr>
          <w:color w:val="auto"/>
        </w:rPr>
        <w:t>to the</w:t>
      </w:r>
      <w:r w:rsidR="001C7D79">
        <w:rPr>
          <w:color w:val="auto"/>
        </w:rPr>
        <w:t xml:space="preserve"> SFV</w:t>
      </w:r>
      <w:r w:rsidR="003505A5">
        <w:rPr>
          <w:color w:val="auto"/>
        </w:rPr>
        <w:t xml:space="preserve"> </w:t>
      </w:r>
      <w:r w:rsidR="00B42634">
        <w:rPr>
          <w:color w:val="auto"/>
        </w:rPr>
        <w:t>or vice versa.</w:t>
      </w:r>
    </w:p>
    <w:p w14:paraId="2A21EC77" w14:textId="1265107B" w:rsidR="00693AEB" w:rsidRPr="001C7D79" w:rsidRDefault="00693AEB" w:rsidP="00B86183">
      <w:pPr>
        <w:pStyle w:val="Body-regular"/>
        <w:numPr>
          <w:ilvl w:val="0"/>
          <w:numId w:val="29"/>
        </w:numPr>
        <w:spacing w:line="276" w:lineRule="auto"/>
        <w:rPr>
          <w:b/>
          <w:bCs/>
          <w:color w:val="auto"/>
        </w:rPr>
      </w:pPr>
      <w:r w:rsidRPr="001C7D79">
        <w:rPr>
          <w:b/>
          <w:bCs/>
          <w:color w:val="auto"/>
        </w:rPr>
        <w:t xml:space="preserve">Option to extend the service period end date </w:t>
      </w:r>
    </w:p>
    <w:p w14:paraId="664CA33D" w14:textId="7F9495DE" w:rsidR="001C7D79" w:rsidRPr="001C7D79" w:rsidRDefault="001472A5" w:rsidP="001C7D79">
      <w:pPr>
        <w:pStyle w:val="ListParagraph"/>
        <w:ind w:left="360"/>
      </w:pPr>
      <w:r>
        <w:rPr>
          <w:rFonts w:cs="Arial"/>
        </w:rPr>
        <w:t xml:space="preserve">Transgrid may direct Akaysha to extend the project term and continue to provide the SIPS Battery Service if it’s required for network stability. </w:t>
      </w:r>
      <w:r w:rsidR="001C7D79">
        <w:rPr>
          <w:rFonts w:cs="Arial"/>
        </w:rPr>
        <w:t xml:space="preserve">Payment amounts </w:t>
      </w:r>
      <w:r w:rsidR="0081033F">
        <w:rPr>
          <w:rFonts w:cs="Arial"/>
        </w:rPr>
        <w:t xml:space="preserve">would </w:t>
      </w:r>
      <w:r w:rsidR="001C7D79">
        <w:rPr>
          <w:rFonts w:cs="Arial"/>
        </w:rPr>
        <w:t xml:space="preserve">be </w:t>
      </w:r>
      <w:r w:rsidR="00925B0F">
        <w:rPr>
          <w:rFonts w:cs="Arial"/>
        </w:rPr>
        <w:t xml:space="preserve">included </w:t>
      </w:r>
      <w:r w:rsidR="001C7D79">
        <w:rPr>
          <w:rFonts w:cs="Arial"/>
        </w:rPr>
        <w:t xml:space="preserve">to reflect the extension to the </w:t>
      </w:r>
      <w:r w:rsidR="006B7B54">
        <w:rPr>
          <w:rFonts w:cs="Arial"/>
        </w:rPr>
        <w:t>SIPS Battery Service</w:t>
      </w:r>
      <w:r w:rsidR="001C7D79">
        <w:rPr>
          <w:rFonts w:cs="Arial"/>
        </w:rPr>
        <w:t xml:space="preserve"> period end date.</w:t>
      </w:r>
    </w:p>
    <w:p w14:paraId="72795749" w14:textId="77777777" w:rsidR="00693AEB" w:rsidRPr="001C7D79" w:rsidRDefault="00693AEB" w:rsidP="00B86183">
      <w:pPr>
        <w:pStyle w:val="Body-regular"/>
        <w:numPr>
          <w:ilvl w:val="0"/>
          <w:numId w:val="29"/>
        </w:numPr>
        <w:spacing w:line="276" w:lineRule="auto"/>
        <w:rPr>
          <w:b/>
          <w:bCs/>
          <w:color w:val="auto"/>
        </w:rPr>
      </w:pPr>
      <w:r w:rsidRPr="001C7D79">
        <w:rPr>
          <w:b/>
          <w:bCs/>
          <w:color w:val="auto"/>
        </w:rPr>
        <w:t>Held interest</w:t>
      </w:r>
    </w:p>
    <w:p w14:paraId="38C76987" w14:textId="20EEBC20" w:rsidR="00504F54" w:rsidRDefault="00504F54" w:rsidP="00504F54">
      <w:pPr>
        <w:pStyle w:val="ListParagraph"/>
        <w:ind w:left="360"/>
      </w:pPr>
      <w:r>
        <w:rPr>
          <w:rFonts w:cs="Arial"/>
        </w:rPr>
        <w:t xml:space="preserve">This serves as a true-up mechanism based on previous AER feedback. Payment amounts </w:t>
      </w:r>
      <w:r w:rsidR="003505A5">
        <w:rPr>
          <w:rFonts w:cs="Arial"/>
        </w:rPr>
        <w:t xml:space="preserve">to Transgrid </w:t>
      </w:r>
      <w:r>
        <w:rPr>
          <w:rFonts w:cs="Arial"/>
        </w:rPr>
        <w:t xml:space="preserve">will be reduced retrospectively by the actual interest Transgrid earns on any amounts it </w:t>
      </w:r>
      <w:r w:rsidR="003505A5">
        <w:rPr>
          <w:rFonts w:cs="Arial"/>
        </w:rPr>
        <w:t xml:space="preserve">receives from the SFV </w:t>
      </w:r>
      <w:r w:rsidR="000158E7">
        <w:rPr>
          <w:rFonts w:cs="Arial"/>
        </w:rPr>
        <w:t xml:space="preserve">that </w:t>
      </w:r>
      <w:r w:rsidR="0015513E">
        <w:rPr>
          <w:rFonts w:cs="Arial"/>
        </w:rPr>
        <w:t>were not required to be passed on to a service provider by the intended payment date</w:t>
      </w:r>
      <w:r w:rsidR="000158E7">
        <w:rPr>
          <w:rFonts w:cs="Arial"/>
        </w:rPr>
        <w:t xml:space="preserve">. </w:t>
      </w:r>
    </w:p>
    <w:p w14:paraId="6F5B780D" w14:textId="77777777" w:rsidR="00341B17" w:rsidRDefault="00341B17" w:rsidP="002C594E"/>
    <w:p w14:paraId="23DE656A" w14:textId="77777777" w:rsidR="00764D6A" w:rsidRDefault="00E91D72" w:rsidP="008840DB">
      <w:pPr>
        <w:pStyle w:val="Heading2"/>
        <w:numPr>
          <w:ilvl w:val="0"/>
          <w:numId w:val="0"/>
        </w:numPr>
      </w:pPr>
      <w:bookmarkStart w:id="20" w:name="_Toc430782161"/>
      <w:bookmarkStart w:id="21" w:name="_Toc241088712"/>
      <w:r w:rsidRPr="00070E96">
        <w:lastRenderedPageBreak/>
        <w:t>Glossary</w:t>
      </w:r>
      <w:bookmarkEnd w:id="20"/>
      <w:bookmarkEnd w:id="21"/>
    </w:p>
    <w:tbl>
      <w:tblPr>
        <w:tblStyle w:val="AERtableleftalign"/>
        <w:tblW w:w="5000" w:type="pct"/>
        <w:tblLook w:val="04A0" w:firstRow="1" w:lastRow="0" w:firstColumn="1" w:lastColumn="0" w:noHBand="0" w:noVBand="1"/>
      </w:tblPr>
      <w:tblGrid>
        <w:gridCol w:w="2266"/>
        <w:gridCol w:w="6804"/>
      </w:tblGrid>
      <w:tr w:rsidR="00764D6A" w:rsidRPr="001369A6" w14:paraId="4DBAAF75" w14:textId="77777777" w:rsidTr="00BE0F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25E552D3" w14:textId="77777777" w:rsidR="00764D6A" w:rsidRPr="001369A6" w:rsidRDefault="001369A6" w:rsidP="007A019B">
            <w:pPr>
              <w:pStyle w:val="TableHeading"/>
            </w:pPr>
            <w:r>
              <w:t>Term</w:t>
            </w:r>
          </w:p>
        </w:tc>
        <w:tc>
          <w:tcPr>
            <w:tcW w:w="3751" w:type="pct"/>
          </w:tcPr>
          <w:p w14:paraId="69A72EC8" w14:textId="77777777" w:rsidR="00764D6A" w:rsidRPr="001369A6" w:rsidRDefault="00E91D72" w:rsidP="007A019B">
            <w:pPr>
              <w:pStyle w:val="TableHeading"/>
              <w:cnfStyle w:val="100000000000" w:firstRow="1" w:lastRow="0" w:firstColumn="0" w:lastColumn="0" w:oddVBand="0" w:evenVBand="0" w:oddHBand="0" w:evenHBand="0" w:firstRowFirstColumn="0" w:firstRowLastColumn="0" w:lastRowFirstColumn="0" w:lastRowLastColumn="0"/>
            </w:pPr>
            <w:r w:rsidRPr="001369A6">
              <w:t>Definition</w:t>
            </w:r>
          </w:p>
        </w:tc>
      </w:tr>
      <w:tr w:rsidR="00504F54" w:rsidRPr="001369A6" w14:paraId="4CC4C987"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18C15928" w14:textId="06E81E9B" w:rsidR="00504F54" w:rsidRPr="00AF1E05" w:rsidRDefault="00504F54" w:rsidP="00504F54">
            <w:pPr>
              <w:pStyle w:val="TableHeading"/>
              <w:rPr>
                <w:b w:val="0"/>
                <w:bCs/>
                <w:color w:val="auto"/>
              </w:rPr>
            </w:pPr>
            <w:r w:rsidRPr="00AF1E05">
              <w:rPr>
                <w:b w:val="0"/>
                <w:bCs/>
                <w:color w:val="auto"/>
              </w:rPr>
              <w:t>AEMO</w:t>
            </w:r>
          </w:p>
        </w:tc>
        <w:tc>
          <w:tcPr>
            <w:tcW w:w="3751" w:type="pct"/>
          </w:tcPr>
          <w:p w14:paraId="4C8606EE" w14:textId="11EAE1B9" w:rsidR="00504F54" w:rsidRPr="00AF1E05" w:rsidRDefault="00504F54" w:rsidP="00504F54">
            <w:pPr>
              <w:pStyle w:val="TableHeading"/>
              <w:cnfStyle w:val="000000000000" w:firstRow="0" w:lastRow="0" w:firstColumn="0" w:lastColumn="0" w:oddVBand="0" w:evenVBand="0" w:oddHBand="0" w:evenHBand="0" w:firstRowFirstColumn="0" w:firstRowLastColumn="0" w:lastRowFirstColumn="0" w:lastRowLastColumn="0"/>
              <w:rPr>
                <w:b w:val="0"/>
                <w:bCs/>
                <w:color w:val="auto"/>
              </w:rPr>
            </w:pPr>
            <w:r w:rsidRPr="00AF1E05">
              <w:rPr>
                <w:b w:val="0"/>
                <w:bCs/>
                <w:color w:val="auto"/>
              </w:rPr>
              <w:t>Australian Energy Market Operator</w:t>
            </w:r>
          </w:p>
        </w:tc>
      </w:tr>
      <w:tr w:rsidR="00504F54" w:rsidRPr="001369A6" w14:paraId="60FAA349"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3F0AD053" w14:textId="7AE23FA2" w:rsidR="00504F54" w:rsidRPr="00AF1E05" w:rsidRDefault="00504F54" w:rsidP="00504F54">
            <w:pPr>
              <w:pStyle w:val="TableHeading"/>
              <w:rPr>
                <w:b w:val="0"/>
                <w:bCs/>
                <w:color w:val="auto"/>
              </w:rPr>
            </w:pPr>
            <w:r w:rsidRPr="00AF1E05">
              <w:rPr>
                <w:b w:val="0"/>
                <w:bCs/>
                <w:color w:val="auto"/>
              </w:rPr>
              <w:t>AER</w:t>
            </w:r>
          </w:p>
        </w:tc>
        <w:tc>
          <w:tcPr>
            <w:tcW w:w="3751" w:type="pct"/>
          </w:tcPr>
          <w:p w14:paraId="1CE6E562" w14:textId="54B02A5A" w:rsidR="00504F54" w:rsidRPr="00AF1E05" w:rsidRDefault="00504F54" w:rsidP="00504F54">
            <w:pPr>
              <w:pStyle w:val="TableHeading"/>
              <w:cnfStyle w:val="000000000000" w:firstRow="0" w:lastRow="0" w:firstColumn="0" w:lastColumn="0" w:oddVBand="0" w:evenVBand="0" w:oddHBand="0" w:evenHBand="0" w:firstRowFirstColumn="0" w:firstRowLastColumn="0" w:lastRowFirstColumn="0" w:lastRowLastColumn="0"/>
              <w:rPr>
                <w:b w:val="0"/>
                <w:bCs/>
                <w:color w:val="auto"/>
              </w:rPr>
            </w:pPr>
            <w:r w:rsidRPr="00AF1E05">
              <w:rPr>
                <w:b w:val="0"/>
                <w:bCs/>
                <w:color w:val="auto"/>
              </w:rPr>
              <w:t>Australian Energy Regulator.</w:t>
            </w:r>
          </w:p>
        </w:tc>
      </w:tr>
      <w:tr w:rsidR="00504F54" w:rsidRPr="001369A6" w14:paraId="1E8A68D6"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2AF1D174" w14:textId="0555AC52" w:rsidR="00504F54" w:rsidRPr="00AF1E05" w:rsidRDefault="00504F54" w:rsidP="00504F54">
            <w:pPr>
              <w:pStyle w:val="TableHeading"/>
              <w:rPr>
                <w:b w:val="0"/>
                <w:bCs/>
                <w:color w:val="auto"/>
              </w:rPr>
            </w:pPr>
            <w:r w:rsidRPr="00AF1E05">
              <w:rPr>
                <w:b w:val="0"/>
                <w:bCs/>
                <w:color w:val="auto"/>
              </w:rPr>
              <w:t>Competitive assessment process</w:t>
            </w:r>
          </w:p>
        </w:tc>
        <w:tc>
          <w:tcPr>
            <w:tcW w:w="3751" w:type="pct"/>
          </w:tcPr>
          <w:p w14:paraId="19FD1E91" w14:textId="42C06F4D" w:rsidR="00504F54" w:rsidRPr="00AF1E05" w:rsidRDefault="00504F54" w:rsidP="00504F54">
            <w:pPr>
              <w:pStyle w:val="TableHeading"/>
              <w:cnfStyle w:val="000000000000" w:firstRow="0" w:lastRow="0" w:firstColumn="0" w:lastColumn="0" w:oddVBand="0" w:evenVBand="0" w:oddHBand="0" w:evenHBand="0" w:firstRowFirstColumn="0" w:firstRowLastColumn="0" w:lastRowFirstColumn="0" w:lastRowLastColumn="0"/>
              <w:rPr>
                <w:b w:val="0"/>
                <w:bCs/>
                <w:color w:val="auto"/>
              </w:rPr>
            </w:pPr>
            <w:r w:rsidRPr="00AF1E05">
              <w:rPr>
                <w:b w:val="0"/>
                <w:bCs/>
                <w:color w:val="auto"/>
              </w:rPr>
              <w:t>The contestable process undertaken by the Infrastructure Planner to select a Network Operator for a Project or to select a person who will assist a Network Operator in carrying out all or part of a Project.</w:t>
            </w:r>
          </w:p>
        </w:tc>
      </w:tr>
      <w:tr w:rsidR="00504F54" w14:paraId="7212DCF6"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509E4F42" w14:textId="6F130EF5" w:rsidR="00504F54" w:rsidRDefault="00504F54" w:rsidP="00504F54">
            <w:pPr>
              <w:pStyle w:val="TableText"/>
            </w:pPr>
            <w:r>
              <w:t>Contractual arrangement</w:t>
            </w:r>
          </w:p>
        </w:tc>
        <w:tc>
          <w:tcPr>
            <w:tcW w:w="3751" w:type="pct"/>
          </w:tcPr>
          <w:p w14:paraId="64537DED" w14:textId="43BB1F5B"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 xml:space="preserve">Contracts that the Network Operator </w:t>
            </w:r>
            <w:proofErr w:type="gramStart"/>
            <w:r>
              <w:t>enters into</w:t>
            </w:r>
            <w:proofErr w:type="gramEnd"/>
            <w:r>
              <w:t xml:space="preserve"> as required under the Minister’s direction. This includes contracts made between the Infrastructure Planner and the Network Operator for carrying out a network infrastructure project under section 63(4)(a) of the EII Act. Contractual arrangements may also encompass any contracts between the Network Operator and a service provider selected by the Infrastructure Planner through a competitive assessment process to assist the Network Operator to carry out all or part of a Project.</w:t>
            </w:r>
          </w:p>
        </w:tc>
      </w:tr>
      <w:tr w:rsidR="00504F54" w14:paraId="3D6AB9E7"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58B3D0D6" w14:textId="15B1668E" w:rsidR="00504F54" w:rsidRDefault="00504F54" w:rsidP="00504F54">
            <w:pPr>
              <w:pStyle w:val="TableText"/>
            </w:pPr>
            <w:r>
              <w:t>EII Act</w:t>
            </w:r>
          </w:p>
        </w:tc>
        <w:tc>
          <w:tcPr>
            <w:tcW w:w="3751" w:type="pct"/>
          </w:tcPr>
          <w:p w14:paraId="055F8B2C" w14:textId="51B80B16"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rsidRPr="001206BC">
              <w:rPr>
                <w:i/>
                <w:iCs/>
              </w:rPr>
              <w:t>Electricity Infrastructure Investment Act 2020</w:t>
            </w:r>
            <w:r>
              <w:t xml:space="preserve"> (NSW).</w:t>
            </w:r>
          </w:p>
        </w:tc>
      </w:tr>
      <w:tr w:rsidR="00504F54" w14:paraId="05D02319"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426A9F1F" w14:textId="1C8E18FF" w:rsidR="00504F54" w:rsidRDefault="00504F54" w:rsidP="00504F54">
            <w:pPr>
              <w:pStyle w:val="TableText"/>
            </w:pPr>
            <w:r>
              <w:t>EII framework</w:t>
            </w:r>
          </w:p>
        </w:tc>
        <w:tc>
          <w:tcPr>
            <w:tcW w:w="3751" w:type="pct"/>
          </w:tcPr>
          <w:p w14:paraId="0F6737B0" w14:textId="1261A57D"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The EII Act and any regulations made under it.</w:t>
            </w:r>
          </w:p>
        </w:tc>
      </w:tr>
      <w:tr w:rsidR="00504F54" w14:paraId="6624CBA2"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1CDF267D" w14:textId="7CAECCDC" w:rsidR="00504F54" w:rsidRDefault="00504F54" w:rsidP="00504F54">
            <w:pPr>
              <w:pStyle w:val="TableText"/>
            </w:pPr>
            <w:r>
              <w:t>EII Regulation</w:t>
            </w:r>
          </w:p>
        </w:tc>
        <w:tc>
          <w:tcPr>
            <w:tcW w:w="3751" w:type="pct"/>
          </w:tcPr>
          <w:p w14:paraId="37D449ED" w14:textId="355D569C"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rPr>
                <w:rFonts w:eastAsia="Times New Roman" w:cs="Arial"/>
                <w:color w:val="000000"/>
                <w:lang w:eastAsia="en-AU"/>
              </w:rPr>
              <w:t>Any r</w:t>
            </w:r>
            <w:r w:rsidRPr="0043280A">
              <w:rPr>
                <w:rFonts w:eastAsia="Times New Roman" w:cs="Arial"/>
                <w:color w:val="000000"/>
                <w:lang w:eastAsia="en-AU"/>
              </w:rPr>
              <w:t>egulation made under the</w:t>
            </w:r>
            <w:r w:rsidRPr="006F696B">
              <w:rPr>
                <w:rFonts w:eastAsia="Times New Roman" w:cs="Arial"/>
                <w:i/>
                <w:iCs/>
                <w:color w:val="000000"/>
                <w:lang w:eastAsia="en-AU"/>
              </w:rPr>
              <w:t xml:space="preserve"> </w:t>
            </w:r>
            <w:r w:rsidRPr="005651DA">
              <w:rPr>
                <w:rFonts w:eastAsia="Times New Roman" w:cs="Arial"/>
                <w:color w:val="000000"/>
                <w:lang w:eastAsia="en-AU"/>
              </w:rPr>
              <w:t>EII Act.</w:t>
            </w:r>
          </w:p>
        </w:tc>
      </w:tr>
      <w:tr w:rsidR="00504F54" w14:paraId="3E4AC1A6"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245A80E1" w14:textId="5B7C18A4" w:rsidR="00504F54" w:rsidRDefault="00504F54" w:rsidP="00504F54">
            <w:pPr>
              <w:pStyle w:val="TableText"/>
            </w:pPr>
            <w:r>
              <w:t xml:space="preserve">Guideline </w:t>
            </w:r>
          </w:p>
        </w:tc>
        <w:tc>
          <w:tcPr>
            <w:tcW w:w="3751" w:type="pct"/>
          </w:tcPr>
          <w:p w14:paraId="3F0F054A" w14:textId="2BDEE9D4"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 xml:space="preserve">The </w:t>
            </w:r>
            <w:bookmarkStart w:id="22" w:name="_Hlk113369996"/>
            <w:r w:rsidRPr="00BA5AEC">
              <w:rPr>
                <w:i/>
                <w:iCs/>
              </w:rPr>
              <w:t>Revenue Determination Guideline for NSW contestable network projects</w:t>
            </w:r>
            <w:bookmarkEnd w:id="22"/>
            <w:r>
              <w:rPr>
                <w:i/>
                <w:iCs/>
              </w:rPr>
              <w:t xml:space="preserve"> </w:t>
            </w:r>
            <w:r>
              <w:rPr>
                <w:rFonts w:eastAsia="Times New Roman" w:cs="Arial"/>
                <w:color w:val="000000"/>
                <w:lang w:eastAsia="en-AU"/>
              </w:rPr>
              <w:t xml:space="preserve">prepared and published by the </w:t>
            </w:r>
            <w:r w:rsidRPr="00E55F38">
              <w:rPr>
                <w:rFonts w:eastAsia="Times New Roman" w:cs="Arial"/>
                <w:i/>
                <w:iCs/>
                <w:color w:val="000000"/>
                <w:lang w:eastAsia="en-AU"/>
              </w:rPr>
              <w:t xml:space="preserve">AER </w:t>
            </w:r>
            <w:r w:rsidRPr="001D6E36">
              <w:rPr>
                <w:rFonts w:eastAsia="Times New Roman" w:cs="Arial"/>
                <w:color w:val="000000"/>
                <w:lang w:eastAsia="en-AU"/>
              </w:rPr>
              <w:t>in August 2022</w:t>
            </w:r>
            <w:r>
              <w:rPr>
                <w:rFonts w:eastAsia="Times New Roman" w:cs="Arial"/>
                <w:i/>
                <w:iCs/>
                <w:color w:val="000000"/>
                <w:lang w:eastAsia="en-AU"/>
              </w:rPr>
              <w:t xml:space="preserve"> </w:t>
            </w:r>
            <w:r>
              <w:rPr>
                <w:rFonts w:eastAsia="Times New Roman" w:cs="Arial"/>
                <w:color w:val="000000"/>
                <w:lang w:eastAsia="en-AU"/>
              </w:rPr>
              <w:t>as updated from time to time.</w:t>
            </w:r>
          </w:p>
        </w:tc>
      </w:tr>
      <w:tr w:rsidR="00504F54" w14:paraId="492A3C03"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54F3C802" w14:textId="623AD253" w:rsidR="00504F54" w:rsidRDefault="00504F54" w:rsidP="00504F54">
            <w:pPr>
              <w:pStyle w:val="TableText"/>
            </w:pPr>
            <w:r>
              <w:t>Infrastructure Planner</w:t>
            </w:r>
          </w:p>
        </w:tc>
        <w:tc>
          <w:tcPr>
            <w:tcW w:w="3751" w:type="pct"/>
          </w:tcPr>
          <w:p w14:paraId="274CD23D" w14:textId="58D05D89"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 xml:space="preserve">A person authorised to exercise the functions of an </w:t>
            </w:r>
            <w:r w:rsidR="00D338A6">
              <w:t>Infrastructure Planner</w:t>
            </w:r>
            <w:r>
              <w:t xml:space="preserve"> under section 63 of the EII Act. The Infrastructure Planner performs a range of planning and contracting functions. The Energy Corporation of NSW has been appointed to undertake this role </w:t>
            </w:r>
            <w:r w:rsidR="00701751">
              <w:t>in relation to the Waratah Super Battery project</w:t>
            </w:r>
            <w:r>
              <w:t xml:space="preserve">. </w:t>
            </w:r>
          </w:p>
        </w:tc>
      </w:tr>
      <w:tr w:rsidR="00504F54" w14:paraId="2C3870C4"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0374D915" w14:textId="1811AFD8" w:rsidR="00504F54" w:rsidRDefault="00504F54" w:rsidP="00504F54">
            <w:pPr>
              <w:pStyle w:val="TableText"/>
            </w:pPr>
            <w:r>
              <w:t>Minister</w:t>
            </w:r>
          </w:p>
        </w:tc>
        <w:tc>
          <w:tcPr>
            <w:tcW w:w="3751" w:type="pct"/>
          </w:tcPr>
          <w:p w14:paraId="34B8AFAE" w14:textId="7993A996"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The New South Wales Minister for Energy</w:t>
            </w:r>
          </w:p>
        </w:tc>
      </w:tr>
      <w:tr w:rsidR="00504F54" w14:paraId="3DF7E4C7"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7E261650" w14:textId="30DDE192" w:rsidR="00504F54" w:rsidRDefault="00504F54" w:rsidP="00504F54">
            <w:pPr>
              <w:pStyle w:val="TableText"/>
            </w:pPr>
            <w:r>
              <w:t>Network Operator</w:t>
            </w:r>
          </w:p>
        </w:tc>
        <w:tc>
          <w:tcPr>
            <w:tcW w:w="3751" w:type="pct"/>
          </w:tcPr>
          <w:p w14:paraId="1633029C" w14:textId="4B235E1A"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M</w:t>
            </w:r>
            <w:r w:rsidRPr="00485C1B">
              <w:t>eans a person who owns, controls or operates, or proposes to own, control or operate, network infrastructure</w:t>
            </w:r>
            <w:r>
              <w:t xml:space="preserve"> under the EII Act</w:t>
            </w:r>
            <w:r w:rsidRPr="00485C1B">
              <w:t>.</w:t>
            </w:r>
          </w:p>
        </w:tc>
      </w:tr>
      <w:tr w:rsidR="00504F54" w14:paraId="4E687499"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0B50DBB3" w14:textId="6D4E895E" w:rsidR="00504F54" w:rsidRDefault="00504F54" w:rsidP="00504F54">
            <w:pPr>
              <w:pStyle w:val="TableText"/>
            </w:pPr>
            <w:r>
              <w:t>Project, network infrastructure project</w:t>
            </w:r>
          </w:p>
        </w:tc>
        <w:tc>
          <w:tcPr>
            <w:tcW w:w="3751" w:type="pct"/>
          </w:tcPr>
          <w:p w14:paraId="38090DF0" w14:textId="252D944F"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 xml:space="preserve">A REZ Network Infrastructure Project or Priority </w:t>
            </w:r>
            <w:r w:rsidR="00701751">
              <w:t xml:space="preserve">Network </w:t>
            </w:r>
            <w:r>
              <w:t>Infrastructure Project as defined under the EII Act.</w:t>
            </w:r>
          </w:p>
        </w:tc>
      </w:tr>
      <w:tr w:rsidR="00504F54" w14:paraId="6F09E20F"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7290CBBE" w14:textId="7986112B" w:rsidR="00504F54" w:rsidRDefault="00504F54" w:rsidP="00504F54">
            <w:pPr>
              <w:pStyle w:val="TableText"/>
            </w:pPr>
            <w:r>
              <w:t>REZ</w:t>
            </w:r>
          </w:p>
        </w:tc>
        <w:tc>
          <w:tcPr>
            <w:tcW w:w="3751" w:type="pct"/>
          </w:tcPr>
          <w:p w14:paraId="37E53408" w14:textId="274DA438"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 xml:space="preserve">Renewable Energy Zone, being </w:t>
            </w:r>
            <w:r w:rsidRPr="002E3786">
              <w:t xml:space="preserve">the geographical area of </w:t>
            </w:r>
            <w:r>
              <w:t>NSW</w:t>
            </w:r>
            <w:r w:rsidRPr="002E3786">
              <w:t xml:space="preserve"> and the infrastructure specified in a declaration by the Minister under section 19</w:t>
            </w:r>
            <w:r>
              <w:t xml:space="preserve"> of the EII Act.</w:t>
            </w:r>
          </w:p>
        </w:tc>
      </w:tr>
      <w:tr w:rsidR="00504F54" w14:paraId="2F7B8093"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20797F55" w14:textId="68A1CD16" w:rsidR="00504F54" w:rsidRDefault="00504F54" w:rsidP="00504F54">
            <w:pPr>
              <w:pStyle w:val="TableText"/>
            </w:pPr>
            <w:r>
              <w:t>SFV (Scheme Financial Vehicle)</w:t>
            </w:r>
          </w:p>
        </w:tc>
        <w:tc>
          <w:tcPr>
            <w:tcW w:w="3751" w:type="pct"/>
          </w:tcPr>
          <w:p w14:paraId="7016A316" w14:textId="2245AF8B"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A person or body authorised under section 62 of the EII Act to exercise the functions of the Scheme Financial Vehicle.</w:t>
            </w:r>
          </w:p>
        </w:tc>
      </w:tr>
      <w:tr w:rsidR="00504F54" w14:paraId="7F0DFC91"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48DCE47B" w14:textId="74271C83" w:rsidR="00504F54" w:rsidRDefault="00504F54" w:rsidP="00504F54">
            <w:pPr>
              <w:pStyle w:val="TableText"/>
            </w:pPr>
            <w:r>
              <w:t>SIPS</w:t>
            </w:r>
          </w:p>
        </w:tc>
        <w:tc>
          <w:tcPr>
            <w:tcW w:w="3751" w:type="pct"/>
          </w:tcPr>
          <w:p w14:paraId="5D36169A" w14:textId="1B7DC507"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t>System Integrity Protection Scheme</w:t>
            </w:r>
          </w:p>
        </w:tc>
      </w:tr>
      <w:tr w:rsidR="00504F54" w14:paraId="62180588" w14:textId="77777777" w:rsidTr="00BE0FE4">
        <w:tc>
          <w:tcPr>
            <w:cnfStyle w:val="001000000000" w:firstRow="0" w:lastRow="0" w:firstColumn="1" w:lastColumn="0" w:oddVBand="0" w:evenVBand="0" w:oddHBand="0" w:evenHBand="0" w:firstRowFirstColumn="0" w:firstRowLastColumn="0" w:lastRowFirstColumn="0" w:lastRowLastColumn="0"/>
            <w:tcW w:w="1249" w:type="pct"/>
          </w:tcPr>
          <w:p w14:paraId="571ECBB0" w14:textId="7983CA88" w:rsidR="00504F54" w:rsidRDefault="006B7B54" w:rsidP="00504F54">
            <w:pPr>
              <w:pStyle w:val="TableText"/>
            </w:pPr>
            <w:r>
              <w:lastRenderedPageBreak/>
              <w:t>SIPS Battery Service</w:t>
            </w:r>
          </w:p>
        </w:tc>
        <w:tc>
          <w:tcPr>
            <w:tcW w:w="3751" w:type="pct"/>
          </w:tcPr>
          <w:p w14:paraId="5378F33B" w14:textId="67D65ACB" w:rsidR="00504F54" w:rsidRPr="00701751" w:rsidRDefault="00504F54" w:rsidP="00504F54">
            <w:pPr>
              <w:pStyle w:val="TableText"/>
              <w:cnfStyle w:val="000000000000" w:firstRow="0" w:lastRow="0" w:firstColumn="0" w:lastColumn="0" w:oddVBand="0" w:evenVBand="0" w:oddHBand="0" w:evenHBand="0" w:firstRowFirstColumn="0" w:firstRowLastColumn="0" w:lastRowFirstColumn="0" w:lastRowLastColumn="0"/>
              <w:rPr>
                <w:szCs w:val="20"/>
              </w:rPr>
            </w:pPr>
            <w:r w:rsidRPr="00701751">
              <w:rPr>
                <w:szCs w:val="20"/>
              </w:rPr>
              <w:t>A service capable of providing a guaranteed continuous active power capacity of at least 700 MW and a guaranteed useable energy storage capacity of at least 1400 MWh.</w:t>
            </w:r>
          </w:p>
        </w:tc>
      </w:tr>
      <w:tr w:rsidR="00504F54" w14:paraId="67331BB5" w14:textId="77777777" w:rsidTr="00B5096E">
        <w:tc>
          <w:tcPr>
            <w:cnfStyle w:val="001000000000" w:firstRow="0" w:lastRow="0" w:firstColumn="1" w:lastColumn="0" w:oddVBand="0" w:evenVBand="0" w:oddHBand="0" w:evenHBand="0" w:firstRowFirstColumn="0" w:firstRowLastColumn="0" w:lastRowFirstColumn="0" w:lastRowLastColumn="0"/>
            <w:tcW w:w="1249" w:type="pct"/>
          </w:tcPr>
          <w:p w14:paraId="7B29DAA9" w14:textId="1573A8A0" w:rsidR="00504F54" w:rsidRDefault="00504F54" w:rsidP="00504F54">
            <w:pPr>
              <w:pStyle w:val="TableText"/>
            </w:pPr>
            <w:r>
              <w:t>Transgrid</w:t>
            </w:r>
          </w:p>
        </w:tc>
        <w:tc>
          <w:tcPr>
            <w:tcW w:w="3751" w:type="pct"/>
            <w:vAlign w:val="center"/>
          </w:tcPr>
          <w:p w14:paraId="0FB67F02" w14:textId="1118C4D0"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rPr>
                <w:rFonts w:cs="Arial"/>
                <w:lang w:val="en-GB" w:eastAsia="en-AU"/>
              </w:rPr>
              <w:t xml:space="preserve">NSW Electricity Network Operations Pty Limited (ACN 609 169 959) as trustee for </w:t>
            </w:r>
            <w:r w:rsidRPr="00E23014">
              <w:rPr>
                <w:rFonts w:cs="Arial"/>
                <w:lang w:val="en-GB" w:eastAsia="en-AU"/>
              </w:rPr>
              <w:t>NSW Electricity Networks Operations Trust (ABN 70 250 995 390)</w:t>
            </w:r>
            <w:r>
              <w:rPr>
                <w:rFonts w:cs="Arial"/>
                <w:lang w:val="en-GB" w:eastAsia="en-AU"/>
              </w:rPr>
              <w:t>, trading as Transgrid the Network Operator for the WSB project</w:t>
            </w:r>
          </w:p>
        </w:tc>
      </w:tr>
      <w:tr w:rsidR="00504F54" w14:paraId="4EF39993" w14:textId="77777777" w:rsidTr="00B5096E">
        <w:tc>
          <w:tcPr>
            <w:cnfStyle w:val="001000000000" w:firstRow="0" w:lastRow="0" w:firstColumn="1" w:lastColumn="0" w:oddVBand="0" w:evenVBand="0" w:oddHBand="0" w:evenHBand="0" w:firstRowFirstColumn="0" w:firstRowLastColumn="0" w:lastRowFirstColumn="0" w:lastRowLastColumn="0"/>
            <w:tcW w:w="1249" w:type="pct"/>
          </w:tcPr>
          <w:p w14:paraId="77BA3756" w14:textId="7E432C5C" w:rsidR="00504F54" w:rsidRDefault="00504F54" w:rsidP="00504F54">
            <w:pPr>
              <w:pStyle w:val="TableText"/>
            </w:pPr>
            <w:r>
              <w:t>Waratah Super Battery (WSB) project</w:t>
            </w:r>
          </w:p>
        </w:tc>
        <w:tc>
          <w:tcPr>
            <w:tcW w:w="3751" w:type="pct"/>
            <w:vAlign w:val="center"/>
          </w:tcPr>
          <w:p w14:paraId="3DE9D740" w14:textId="4FFDB17A" w:rsidR="00504F54" w:rsidRDefault="00504F54" w:rsidP="00504F54">
            <w:pPr>
              <w:pStyle w:val="TableText"/>
              <w:cnfStyle w:val="000000000000" w:firstRow="0" w:lastRow="0" w:firstColumn="0" w:lastColumn="0" w:oddVBand="0" w:evenVBand="0" w:oddHBand="0" w:evenHBand="0" w:firstRowFirstColumn="0" w:firstRowLastColumn="0" w:lastRowFirstColumn="0" w:lastRowLastColumn="0"/>
            </w:pPr>
            <w:r>
              <w:rPr>
                <w:rFonts w:eastAsia="Times New Roman" w:cs="Arial"/>
                <w:color w:val="000000"/>
                <w:lang w:eastAsia="en-AU"/>
              </w:rPr>
              <w:t>The Waratah Super Battery project comprising contestable components (</w:t>
            </w:r>
            <w:r w:rsidR="006B7B54">
              <w:rPr>
                <w:rFonts w:eastAsia="Times New Roman" w:cs="Arial"/>
                <w:color w:val="000000"/>
                <w:lang w:eastAsia="en-AU"/>
              </w:rPr>
              <w:t>SIPS Battery Service</w:t>
            </w:r>
            <w:r>
              <w:rPr>
                <w:rFonts w:eastAsia="Times New Roman" w:cs="Arial"/>
                <w:color w:val="000000"/>
                <w:lang w:eastAsia="en-AU"/>
              </w:rPr>
              <w:t xml:space="preserve"> and P</w:t>
            </w:r>
            <w:r w:rsidRPr="00DA0DC6">
              <w:rPr>
                <w:rFonts w:eastAsia="Times New Roman" w:cs="Arial"/>
                <w:color w:val="000000"/>
                <w:lang w:eastAsia="en-AU"/>
              </w:rPr>
              <w:t xml:space="preserve">aired </w:t>
            </w:r>
            <w:r>
              <w:rPr>
                <w:rFonts w:eastAsia="Times New Roman" w:cs="Arial"/>
                <w:color w:val="000000"/>
                <w:lang w:eastAsia="en-AU"/>
              </w:rPr>
              <w:t>G</w:t>
            </w:r>
            <w:r w:rsidRPr="00DA0DC6">
              <w:rPr>
                <w:rFonts w:eastAsia="Times New Roman" w:cs="Arial"/>
                <w:color w:val="000000"/>
                <w:lang w:eastAsia="en-AU"/>
              </w:rPr>
              <w:t xml:space="preserve">eneration </w:t>
            </w:r>
            <w:r>
              <w:rPr>
                <w:rFonts w:eastAsia="Times New Roman" w:cs="Arial"/>
                <w:color w:val="000000"/>
                <w:lang w:eastAsia="en-AU"/>
              </w:rPr>
              <w:t>S</w:t>
            </w:r>
            <w:r w:rsidRPr="00DA0DC6">
              <w:rPr>
                <w:rFonts w:eastAsia="Times New Roman" w:cs="Arial"/>
                <w:color w:val="000000"/>
                <w:lang w:eastAsia="en-AU"/>
              </w:rPr>
              <w:t>ervices</w:t>
            </w:r>
            <w:r>
              <w:rPr>
                <w:rFonts w:eastAsia="Times New Roman" w:cs="Arial"/>
                <w:color w:val="000000"/>
                <w:lang w:eastAsia="en-AU"/>
              </w:rPr>
              <w:t>) and non</w:t>
            </w:r>
            <w:r>
              <w:rPr>
                <w:rFonts w:eastAsia="Times New Roman" w:cs="Arial"/>
                <w:color w:val="000000"/>
                <w:lang w:eastAsia="en-AU"/>
              </w:rPr>
              <w:noBreakHyphen/>
              <w:t>contestable components (the SIPS control and communications system and network augmentations).</w:t>
            </w:r>
            <w:r>
              <w:rPr>
                <w:rFonts w:eastAsia="Calibri"/>
              </w:rPr>
              <w:t xml:space="preserve"> </w:t>
            </w:r>
          </w:p>
        </w:tc>
      </w:tr>
    </w:tbl>
    <w:p w14:paraId="0C4ADEC8" w14:textId="4CC64A47" w:rsidR="007E18E0" w:rsidRDefault="007E18E0" w:rsidP="00070E96"/>
    <w:p w14:paraId="0AC9BA2D" w14:textId="77777777" w:rsidR="00AF1E05" w:rsidRDefault="00AF1E05">
      <w:pPr>
        <w:spacing w:after="0" w:line="240" w:lineRule="auto"/>
      </w:pPr>
    </w:p>
    <w:p w14:paraId="0207D832" w14:textId="77777777" w:rsidR="00AF1E05" w:rsidRPr="00AF1E05" w:rsidRDefault="00AF1E05" w:rsidP="00AF1E05"/>
    <w:p w14:paraId="7DCEAE51" w14:textId="77777777" w:rsidR="00AF1E05" w:rsidRPr="00AF1E05" w:rsidRDefault="00AF1E05" w:rsidP="00AF1E05"/>
    <w:p w14:paraId="5AABA20A" w14:textId="77777777" w:rsidR="00AF1E05" w:rsidRPr="00AF1E05" w:rsidRDefault="00AF1E05" w:rsidP="00AF1E05"/>
    <w:p w14:paraId="59B8CEA8" w14:textId="77777777" w:rsidR="00AF1E05" w:rsidRDefault="00AF1E05">
      <w:pPr>
        <w:spacing w:after="0" w:line="240" w:lineRule="auto"/>
      </w:pPr>
    </w:p>
    <w:p w14:paraId="33BE49E8" w14:textId="77777777" w:rsidR="00AF1E05" w:rsidRDefault="00AF1E05">
      <w:pPr>
        <w:spacing w:after="0" w:line="240" w:lineRule="auto"/>
      </w:pPr>
    </w:p>
    <w:p w14:paraId="1CCB5437" w14:textId="77777777" w:rsidR="00AF1E05" w:rsidRDefault="00AF1E05">
      <w:pPr>
        <w:spacing w:after="0" w:line="240" w:lineRule="auto"/>
      </w:pPr>
    </w:p>
    <w:p w14:paraId="6E1C5CC8" w14:textId="0535586E" w:rsidR="007E18E0" w:rsidRDefault="007E18E0">
      <w:pPr>
        <w:spacing w:after="0" w:line="240" w:lineRule="auto"/>
      </w:pPr>
    </w:p>
    <w:sectPr w:rsidR="007E18E0" w:rsidSect="00303692">
      <w:pgSz w:w="11906" w:h="16838"/>
      <w:pgMar w:top="1418" w:right="1418" w:bottom="1418" w:left="1418" w:header="567" w:footer="567" w:gutter="0"/>
      <w:pgNumType w:start="1"/>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B369C" w14:textId="77777777" w:rsidR="00983A19" w:rsidRDefault="00983A19">
      <w:r>
        <w:separator/>
      </w:r>
    </w:p>
    <w:p w14:paraId="0A7ADD9C" w14:textId="77777777" w:rsidR="00983A19" w:rsidRDefault="00983A19"/>
    <w:p w14:paraId="26946278" w14:textId="77777777" w:rsidR="00983A19" w:rsidRDefault="00983A19"/>
  </w:endnote>
  <w:endnote w:type="continuationSeparator" w:id="0">
    <w:p w14:paraId="7BF81BF2" w14:textId="77777777" w:rsidR="00983A19" w:rsidRDefault="00983A19">
      <w:r>
        <w:continuationSeparator/>
      </w:r>
    </w:p>
    <w:p w14:paraId="7854FBBC" w14:textId="77777777" w:rsidR="00983A19" w:rsidRDefault="00983A19"/>
    <w:p w14:paraId="6F4A5FFE" w14:textId="77777777" w:rsidR="00983A19" w:rsidRDefault="00983A19"/>
  </w:endnote>
  <w:endnote w:type="continuationNotice" w:id="1">
    <w:p w14:paraId="39C795C3" w14:textId="77777777" w:rsidR="00983A19" w:rsidRDefault="00983A19" w:rsidP="00F556A4">
      <w:pPr>
        <w:pStyle w:val="Footer"/>
      </w:pPr>
    </w:p>
    <w:p w14:paraId="38C91B07" w14:textId="77777777" w:rsidR="00983A19" w:rsidRDefault="00983A19"/>
    <w:p w14:paraId="161EB66F" w14:textId="77777777" w:rsidR="00983A19" w:rsidRDefault="00983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5261A" w14:textId="77777777" w:rsidR="00D04635" w:rsidRDefault="00D04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09422"/>
      <w:docPartObj>
        <w:docPartGallery w:val="Page Numbers (Bottom of Page)"/>
        <w:docPartUnique/>
      </w:docPartObj>
    </w:sdtPr>
    <w:sdtEndPr>
      <w:rPr>
        <w:noProof/>
      </w:rPr>
    </w:sdtEndPr>
    <w:sdtContent>
      <w:p w14:paraId="62A6D63F" w14:textId="77777777" w:rsidR="00935E6C" w:rsidRPr="004C7999" w:rsidRDefault="00A877BF" w:rsidP="00A877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513B" w14:textId="77777777" w:rsidR="00D04635" w:rsidRDefault="00D0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4471" w14:textId="77777777" w:rsidR="00983A19" w:rsidRPr="00EC72C2" w:rsidRDefault="00983A19">
      <w:pPr>
        <w:rPr>
          <w:color w:val="3886A8"/>
        </w:rPr>
      </w:pPr>
      <w:r w:rsidRPr="00EC72C2">
        <w:rPr>
          <w:color w:val="3886A8"/>
        </w:rPr>
        <w:separator/>
      </w:r>
    </w:p>
  </w:footnote>
  <w:footnote w:type="continuationSeparator" w:id="0">
    <w:p w14:paraId="701D83C9" w14:textId="77777777" w:rsidR="00983A19" w:rsidRDefault="00983A19">
      <w:r>
        <w:continuationSeparator/>
      </w:r>
    </w:p>
    <w:p w14:paraId="3755A8F6" w14:textId="77777777" w:rsidR="00983A19" w:rsidRDefault="00983A19"/>
    <w:p w14:paraId="6C3FB16B" w14:textId="77777777" w:rsidR="00983A19" w:rsidRDefault="00983A19"/>
  </w:footnote>
  <w:footnote w:type="continuationNotice" w:id="1">
    <w:p w14:paraId="52FAB2C1" w14:textId="77777777" w:rsidR="00983A19" w:rsidRDefault="00983A19" w:rsidP="00F556A4">
      <w:pPr>
        <w:pStyle w:val="Footer"/>
      </w:pPr>
    </w:p>
    <w:p w14:paraId="76A87A11" w14:textId="77777777" w:rsidR="00983A19" w:rsidRDefault="00983A19"/>
    <w:p w14:paraId="385FC3DB" w14:textId="77777777" w:rsidR="00983A19" w:rsidRDefault="00983A19"/>
  </w:footnote>
  <w:footnote w:id="2">
    <w:p w14:paraId="32A1A1C7" w14:textId="64D442DD" w:rsidR="0051302A" w:rsidRDefault="0051302A" w:rsidP="0051302A">
      <w:pPr>
        <w:pStyle w:val="FootnoteText"/>
      </w:pPr>
      <w:r>
        <w:rPr>
          <w:rStyle w:val="FootnoteReference"/>
        </w:rPr>
        <w:footnoteRef/>
      </w:r>
      <w:r>
        <w:t xml:space="preserve"> </w:t>
      </w:r>
      <w:r w:rsidR="00BA09CE">
        <w:tab/>
      </w:r>
      <w:r w:rsidR="002203FA">
        <w:t xml:space="preserve">The Ministerial order was published in the NSW Government Gazette on 14 October 2022 - see  </w:t>
      </w:r>
      <w:hyperlink r:id="rId1" w:history="1">
        <w:r w:rsidR="002203FA" w:rsidRPr="007E7FC9">
          <w:rPr>
            <w:rStyle w:val="Hyperlink"/>
          </w:rPr>
          <w:t>https://gazette.legislation.nsw.gov.au/so/download.w3p?id=Gazette_2022_2022-473.pdf</w:t>
        </w:r>
      </w:hyperlink>
    </w:p>
  </w:footnote>
  <w:footnote w:id="3">
    <w:p w14:paraId="7DC83066" w14:textId="256CF71A" w:rsidR="0051302A" w:rsidRDefault="0051302A" w:rsidP="0051302A">
      <w:pPr>
        <w:pStyle w:val="FootnoteText"/>
      </w:pPr>
      <w:r>
        <w:rPr>
          <w:rStyle w:val="FootnoteReference"/>
        </w:rPr>
        <w:footnoteRef/>
      </w:r>
      <w:r>
        <w:t xml:space="preserve"> </w:t>
      </w:r>
      <w:r w:rsidR="00BA09CE">
        <w:tab/>
      </w:r>
      <w:r>
        <w:rPr>
          <w:rFonts w:cs="Arial"/>
          <w:color w:val="22272B"/>
          <w:shd w:val="clear" w:color="auto" w:fill="FFFFFF"/>
        </w:rPr>
        <w:t>EnergyCo is a corporation constituted under the </w:t>
      </w:r>
      <w:r>
        <w:rPr>
          <w:rStyle w:val="Emphasis"/>
          <w:rFonts w:cs="Arial"/>
          <w:color w:val="22272B"/>
          <w:shd w:val="clear" w:color="auto" w:fill="FFFFFF"/>
        </w:rPr>
        <w:t>Energy and Utilities Administration Act 1987 (NSW) </w:t>
      </w:r>
      <w:r>
        <w:rPr>
          <w:rFonts w:cs="Arial"/>
          <w:color w:val="22272B"/>
          <w:shd w:val="clear" w:color="auto" w:fill="FFFFFF"/>
        </w:rPr>
        <w:t>and is responsible for</w:t>
      </w:r>
      <w:r>
        <w:rPr>
          <w:rStyle w:val="Emphasis"/>
          <w:rFonts w:cs="Arial"/>
          <w:color w:val="22272B"/>
          <w:shd w:val="clear" w:color="auto" w:fill="FFFFFF"/>
        </w:rPr>
        <w:t> </w:t>
      </w:r>
      <w:r>
        <w:rPr>
          <w:rFonts w:cs="Arial"/>
          <w:color w:val="22272B"/>
          <w:shd w:val="clear" w:color="auto" w:fill="FFFFFF"/>
        </w:rPr>
        <w:t>leading the delivery of Renewable Energy Zones (REZs) as part of the NSW Government’s Electricity Infrastructure Roadmap.</w:t>
      </w:r>
    </w:p>
  </w:footnote>
  <w:footnote w:id="4">
    <w:p w14:paraId="6E3106B5" w14:textId="0D19A923" w:rsidR="00A91206" w:rsidRPr="00885DE1" w:rsidRDefault="00A91206" w:rsidP="00A91206">
      <w:pPr>
        <w:pStyle w:val="FootnoteText"/>
      </w:pPr>
      <w:r>
        <w:rPr>
          <w:rStyle w:val="FootnoteReference"/>
        </w:rPr>
        <w:footnoteRef/>
      </w:r>
      <w:r>
        <w:t xml:space="preserve"> </w:t>
      </w:r>
      <w:r w:rsidR="00F8723E">
        <w:tab/>
      </w:r>
      <w:r>
        <w:t xml:space="preserve">The Ministerial order was published in the NSW Government Gazette on 14 October 2022 - see  </w:t>
      </w:r>
      <w:hyperlink r:id="rId2" w:history="1">
        <w:r w:rsidRPr="007E7FC9">
          <w:rPr>
            <w:rStyle w:val="Hyperlink"/>
          </w:rPr>
          <w:t>https://gazette.legislation.nsw.gov.au/so/download.w3p?id=Gazette_2022_2022-473.pdf</w:t>
        </w:r>
      </w:hyperlink>
    </w:p>
  </w:footnote>
  <w:footnote w:id="5">
    <w:p w14:paraId="35E63BF0" w14:textId="66731823" w:rsidR="00811915" w:rsidRPr="00217472" w:rsidRDefault="00811915">
      <w:pPr>
        <w:pStyle w:val="FootnoteText"/>
        <w:rPr>
          <w:highlight w:val="yellow"/>
          <w:lang w:val="en-US"/>
        </w:rPr>
      </w:pPr>
      <w:r>
        <w:rPr>
          <w:rStyle w:val="FootnoteReference"/>
        </w:rPr>
        <w:footnoteRef/>
      </w:r>
      <w:r>
        <w:t xml:space="preserve"> </w:t>
      </w:r>
      <w:r w:rsidRPr="009D10CB">
        <w:t>Under Division 3 of Part 5 of the EII Act</w:t>
      </w:r>
    </w:p>
  </w:footnote>
  <w:footnote w:id="6">
    <w:p w14:paraId="3E3304A2" w14:textId="11B461E0" w:rsidR="006D0E75" w:rsidRPr="009D10CB" w:rsidRDefault="006D0E75">
      <w:pPr>
        <w:pStyle w:val="FootnoteText"/>
        <w:rPr>
          <w:lang w:val="en-US"/>
        </w:rPr>
      </w:pPr>
      <w:r w:rsidRPr="009D10CB">
        <w:rPr>
          <w:rStyle w:val="FootnoteReference"/>
        </w:rPr>
        <w:footnoteRef/>
      </w:r>
      <w:r w:rsidRPr="009D10CB">
        <w:t xml:space="preserve"> </w:t>
      </w:r>
      <w:r w:rsidR="009D10CB" w:rsidRPr="009D10CB">
        <w:t xml:space="preserve">Clause 48, </w:t>
      </w:r>
      <w:r w:rsidRPr="009D10CB">
        <w:rPr>
          <w:lang w:val="en-US"/>
        </w:rPr>
        <w:t>EII Regulation</w:t>
      </w:r>
    </w:p>
  </w:footnote>
  <w:footnote w:id="7">
    <w:p w14:paraId="0234C9A9" w14:textId="30D3C63E" w:rsidR="00B104A0" w:rsidRPr="009D10CB" w:rsidRDefault="00B104A0">
      <w:pPr>
        <w:pStyle w:val="FootnoteText"/>
        <w:rPr>
          <w:lang w:val="en-US"/>
        </w:rPr>
      </w:pPr>
      <w:r w:rsidRPr="009D10CB">
        <w:rPr>
          <w:rStyle w:val="FootnoteReference"/>
        </w:rPr>
        <w:footnoteRef/>
      </w:r>
      <w:r w:rsidRPr="009D10CB">
        <w:t xml:space="preserve"> Section 37</w:t>
      </w:r>
      <w:r w:rsidR="009D10CB" w:rsidRPr="009D10CB">
        <w:t xml:space="preserve">, </w:t>
      </w:r>
      <w:r w:rsidRPr="009D10CB">
        <w:t xml:space="preserve">EII Act </w:t>
      </w:r>
    </w:p>
  </w:footnote>
  <w:footnote w:id="8">
    <w:p w14:paraId="2F5BBED0" w14:textId="5D3CAC82" w:rsidR="006675AA" w:rsidRPr="009D10CB" w:rsidRDefault="006675AA" w:rsidP="006675AA">
      <w:pPr>
        <w:pStyle w:val="FootnoteText"/>
      </w:pPr>
      <w:r w:rsidRPr="009D10CB">
        <w:rPr>
          <w:rStyle w:val="FootnoteReference"/>
        </w:rPr>
        <w:footnoteRef/>
      </w:r>
      <w:r w:rsidRPr="009D10CB">
        <w:t xml:space="preserve"> </w:t>
      </w:r>
      <w:r w:rsidR="009D10CB" w:rsidRPr="009D10CB">
        <w:t xml:space="preserve">Section 39(1), </w:t>
      </w:r>
      <w:r w:rsidRPr="009D10CB">
        <w:t>EII Act</w:t>
      </w:r>
    </w:p>
  </w:footnote>
  <w:footnote w:id="9">
    <w:p w14:paraId="4CD45B87" w14:textId="427F2BD8" w:rsidR="00811915" w:rsidRPr="009D10CB" w:rsidRDefault="00811915">
      <w:pPr>
        <w:pStyle w:val="FootnoteText"/>
        <w:rPr>
          <w:lang w:val="en-US"/>
        </w:rPr>
      </w:pPr>
      <w:r w:rsidRPr="009D10CB">
        <w:rPr>
          <w:rStyle w:val="FootnoteReference"/>
        </w:rPr>
        <w:footnoteRef/>
      </w:r>
      <w:r w:rsidRPr="009D10CB">
        <w:t xml:space="preserve"> Section 40(2)</w:t>
      </w:r>
      <w:r w:rsidR="009D10CB" w:rsidRPr="009D10CB">
        <w:t xml:space="preserve">, </w:t>
      </w:r>
      <w:r w:rsidRPr="009D10CB">
        <w:t xml:space="preserve">EII Act </w:t>
      </w:r>
    </w:p>
  </w:footnote>
  <w:footnote w:id="10">
    <w:p w14:paraId="47C1D13F" w14:textId="41984CD0" w:rsidR="00C23A03" w:rsidRPr="00217472" w:rsidRDefault="00C23A03">
      <w:pPr>
        <w:pStyle w:val="FootnoteText"/>
        <w:rPr>
          <w:highlight w:val="yellow"/>
          <w:lang w:val="en-US"/>
        </w:rPr>
      </w:pPr>
      <w:r w:rsidRPr="009D10CB">
        <w:rPr>
          <w:rStyle w:val="FootnoteReference"/>
        </w:rPr>
        <w:footnoteRef/>
      </w:r>
      <w:r w:rsidRPr="009D10CB">
        <w:t xml:space="preserve"> </w:t>
      </w:r>
      <w:r w:rsidRPr="009D10CB">
        <w:rPr>
          <w:lang w:val="en-US"/>
        </w:rPr>
        <w:t>Clause 51(2)(b)</w:t>
      </w:r>
      <w:r w:rsidR="009D10CB" w:rsidRPr="009D10CB">
        <w:rPr>
          <w:lang w:val="en-US"/>
        </w:rPr>
        <w:t xml:space="preserve">, </w:t>
      </w:r>
      <w:r w:rsidRPr="009D10CB">
        <w:rPr>
          <w:lang w:val="en-US"/>
        </w:rPr>
        <w:t>clause 54 and clause 54AA</w:t>
      </w:r>
      <w:r w:rsidR="009D10CB" w:rsidRPr="009D10CB">
        <w:rPr>
          <w:lang w:val="en-US"/>
        </w:rPr>
        <w:t xml:space="preserve">, </w:t>
      </w:r>
      <w:r w:rsidRPr="009D10CB">
        <w:rPr>
          <w:lang w:val="en-US"/>
        </w:rPr>
        <w:t>EII Regulation</w:t>
      </w:r>
    </w:p>
  </w:footnote>
  <w:footnote w:id="11">
    <w:p w14:paraId="2AFAA564" w14:textId="77777777" w:rsidR="009D10CB" w:rsidRPr="004C378F" w:rsidRDefault="009D10CB" w:rsidP="009D10CB">
      <w:pPr>
        <w:pStyle w:val="FootnoteText"/>
        <w:rPr>
          <w:lang w:val="en-US"/>
        </w:rPr>
      </w:pPr>
      <w:r>
        <w:rPr>
          <w:rStyle w:val="FootnoteReference"/>
        </w:rPr>
        <w:footnoteRef/>
      </w:r>
      <w:r>
        <w:t xml:space="preserve"> </w:t>
      </w:r>
      <w:r>
        <w:rPr>
          <w:lang w:val="en-US"/>
        </w:rPr>
        <w:t xml:space="preserve">Section 6.6, </w:t>
      </w:r>
      <w:r w:rsidRPr="00D93B61">
        <w:t>Revenue determination guideline for NSW contestable network projects</w:t>
      </w:r>
    </w:p>
  </w:footnote>
  <w:footnote w:id="12">
    <w:p w14:paraId="0463FD48" w14:textId="18A30DB1" w:rsidR="008B7AF4" w:rsidRPr="008B7AF4" w:rsidRDefault="008B7AF4">
      <w:pPr>
        <w:pStyle w:val="FootnoteText"/>
        <w:rPr>
          <w:lang w:val="en-US"/>
        </w:rPr>
      </w:pPr>
      <w:r w:rsidRPr="009D10CB">
        <w:rPr>
          <w:rStyle w:val="FootnoteReference"/>
        </w:rPr>
        <w:footnoteRef/>
      </w:r>
      <w:r w:rsidRPr="009D10CB">
        <w:t xml:space="preserve"> Clause 53</w:t>
      </w:r>
      <w:r w:rsidR="009D10CB" w:rsidRPr="009D10CB">
        <w:t xml:space="preserve">, </w:t>
      </w:r>
      <w:r w:rsidRPr="009D10CB">
        <w:t>EII Regulation</w:t>
      </w:r>
    </w:p>
  </w:footnote>
  <w:footnote w:id="13">
    <w:p w14:paraId="52706FCF" w14:textId="43370F8D" w:rsidR="008B7AF4" w:rsidRPr="008B7AF4" w:rsidRDefault="008B7AF4">
      <w:pPr>
        <w:pStyle w:val="FootnoteText"/>
        <w:rPr>
          <w:lang w:val="en-US"/>
        </w:rPr>
      </w:pPr>
      <w:r>
        <w:rPr>
          <w:rStyle w:val="FootnoteReference"/>
        </w:rPr>
        <w:footnoteRef/>
      </w:r>
      <w:r>
        <w:t xml:space="preserve"> </w:t>
      </w:r>
      <w:r>
        <w:rPr>
          <w:lang w:val="en-US"/>
        </w:rPr>
        <w:t>Clause 53(1)(a)</w:t>
      </w:r>
      <w:r w:rsidR="009D10CB">
        <w:rPr>
          <w:lang w:val="en-US"/>
        </w:rPr>
        <w:t xml:space="preserve">, </w:t>
      </w:r>
      <w:r>
        <w:rPr>
          <w:lang w:val="en-US"/>
        </w:rPr>
        <w:t>EII Regulation</w:t>
      </w:r>
    </w:p>
  </w:footnote>
  <w:footnote w:id="14">
    <w:p w14:paraId="738A7BB2" w14:textId="76F3CE60" w:rsidR="008400F6" w:rsidRDefault="008400F6" w:rsidP="008400F6">
      <w:pPr>
        <w:pStyle w:val="FootnoteText"/>
      </w:pPr>
      <w:r>
        <w:rPr>
          <w:rStyle w:val="FootnoteReference"/>
        </w:rPr>
        <w:footnoteRef/>
      </w:r>
      <w:r>
        <w:t xml:space="preserve"> An ‘authorisation’ is defined in section 36A of the EII Act and includes a direction given by the Minister under section 32 to carry out a </w:t>
      </w:r>
      <w:r w:rsidR="00B661C7">
        <w:t>Priority Network Infrastructure Project</w:t>
      </w:r>
      <w:r>
        <w:t>.</w:t>
      </w:r>
    </w:p>
  </w:footnote>
  <w:footnote w:id="15">
    <w:p w14:paraId="6E3E2720" w14:textId="77777777" w:rsidR="00C4163C" w:rsidRDefault="00C4163C" w:rsidP="00C4163C">
      <w:pPr>
        <w:pStyle w:val="FootnoteText"/>
      </w:pPr>
      <w:r>
        <w:rPr>
          <w:rStyle w:val="FootnoteReference"/>
        </w:rPr>
        <w:footnoteRef/>
      </w:r>
      <w:r>
        <w:t xml:space="preserve"> Sections 38(1) and (2).</w:t>
      </w:r>
    </w:p>
  </w:footnote>
  <w:footnote w:id="16">
    <w:p w14:paraId="616FECEF" w14:textId="77777777" w:rsidR="00C4163C" w:rsidRDefault="00C4163C" w:rsidP="00C4163C">
      <w:pPr>
        <w:pStyle w:val="FootnoteText"/>
      </w:pPr>
      <w:r>
        <w:rPr>
          <w:rStyle w:val="FootnoteReference"/>
        </w:rPr>
        <w:footnoteRef/>
      </w:r>
      <w:r>
        <w:t xml:space="preserve"> EII Regulation 52(1).</w:t>
      </w:r>
    </w:p>
  </w:footnote>
  <w:footnote w:id="17">
    <w:p w14:paraId="1DE185D6" w14:textId="77777777" w:rsidR="00C4163C" w:rsidRDefault="00C4163C" w:rsidP="00C4163C">
      <w:pPr>
        <w:pStyle w:val="FootnoteText"/>
      </w:pPr>
      <w:r>
        <w:rPr>
          <w:rStyle w:val="FootnoteReference"/>
        </w:rPr>
        <w:footnoteRef/>
      </w:r>
      <w:r>
        <w:t xml:space="preserve"> EII Regulation 52.</w:t>
      </w:r>
    </w:p>
  </w:footnote>
  <w:footnote w:id="18">
    <w:p w14:paraId="378AB9E4" w14:textId="77777777" w:rsidR="00B23BF7" w:rsidRPr="009D52FB" w:rsidRDefault="00B23BF7" w:rsidP="00B23BF7">
      <w:pPr>
        <w:pStyle w:val="FootnoteText"/>
        <w:rPr>
          <w:lang w:val="en-US"/>
        </w:rPr>
      </w:pPr>
      <w:r>
        <w:rPr>
          <w:rStyle w:val="FootnoteReference"/>
        </w:rPr>
        <w:footnoteRef/>
      </w:r>
      <w:r>
        <w:t xml:space="preserve"> </w:t>
      </w:r>
      <w:r>
        <w:rPr>
          <w:lang w:val="en-US"/>
        </w:rPr>
        <w:t>EII Regulation 53(3)(c).</w:t>
      </w:r>
    </w:p>
  </w:footnote>
  <w:footnote w:id="19">
    <w:p w14:paraId="22D7D985" w14:textId="77777777" w:rsidR="00B23BF7" w:rsidRPr="009D52FB" w:rsidRDefault="00B23BF7" w:rsidP="00B23BF7">
      <w:pPr>
        <w:pStyle w:val="FootnoteText"/>
        <w:rPr>
          <w:lang w:val="en-US"/>
        </w:rPr>
      </w:pPr>
      <w:r>
        <w:rPr>
          <w:rStyle w:val="FootnoteReference"/>
        </w:rPr>
        <w:footnoteRef/>
      </w:r>
      <w:r>
        <w:t xml:space="preserve"> </w:t>
      </w:r>
      <w:r>
        <w:rPr>
          <w:lang w:val="en-US"/>
        </w:rPr>
        <w:t>EII Regulation 53(3)(d).</w:t>
      </w:r>
    </w:p>
  </w:footnote>
  <w:footnote w:id="20">
    <w:p w14:paraId="0441F491" w14:textId="57764D49" w:rsidR="00B57FF1" w:rsidRPr="00B57FF1" w:rsidRDefault="00B57FF1">
      <w:pPr>
        <w:pStyle w:val="FootnoteText"/>
        <w:rPr>
          <w:lang w:val="en-US"/>
        </w:rPr>
      </w:pPr>
      <w:r>
        <w:rPr>
          <w:rStyle w:val="FootnoteReference"/>
        </w:rPr>
        <w:footnoteRef/>
      </w:r>
      <w:r>
        <w:t xml:space="preserve"> </w:t>
      </w:r>
      <w:r>
        <w:rPr>
          <w:lang w:val="en-US"/>
        </w:rPr>
        <w:t>EII Regulation 53(6).</w:t>
      </w:r>
    </w:p>
  </w:footnote>
  <w:footnote w:id="21">
    <w:p w14:paraId="77A3B5D4" w14:textId="77777777" w:rsidR="007C02BB" w:rsidRDefault="007C02BB" w:rsidP="007C02BB">
      <w:pPr>
        <w:pStyle w:val="FootnoteText"/>
      </w:pPr>
      <w:r w:rsidRPr="00893C61">
        <w:rPr>
          <w:rStyle w:val="FootnoteReference"/>
        </w:rPr>
        <w:footnoteRef/>
      </w:r>
      <w:r w:rsidRPr="00893C61">
        <w:t xml:space="preserve"> Transgrid, </w:t>
      </w:r>
      <w:r w:rsidRPr="00893C61">
        <w:rPr>
          <w:i/>
          <w:iCs/>
        </w:rPr>
        <w:t>Waratah Super Battery Project 2023-2028, Revenue Proposal, System Integrity Protection Scheme (SIPS) Service</w:t>
      </w:r>
      <w:r w:rsidRPr="00893C61">
        <w:t>, Revised - 23 November 2022, table 9, p 30.</w:t>
      </w:r>
    </w:p>
  </w:footnote>
  <w:footnote w:id="22">
    <w:p w14:paraId="2E323196" w14:textId="77777777" w:rsidR="00C4163C" w:rsidRDefault="00C4163C" w:rsidP="00C4163C">
      <w:pPr>
        <w:pStyle w:val="FootnoteText"/>
      </w:pPr>
      <w:r>
        <w:rPr>
          <w:rStyle w:val="FootnoteReference"/>
        </w:rPr>
        <w:footnoteRef/>
      </w:r>
      <w:r>
        <w:t xml:space="preserve"> EII Regulation 51(1</w:t>
      </w:r>
      <w:proofErr w:type="gramStart"/>
      <w:r>
        <w:t>),(</w:t>
      </w:r>
      <w:proofErr w:type="gramEnd"/>
      <w:r>
        <w:t>2)(a).</w:t>
      </w:r>
    </w:p>
  </w:footnote>
  <w:footnote w:id="23">
    <w:p w14:paraId="56A52680" w14:textId="77777777" w:rsidR="00C4163C" w:rsidRDefault="00C4163C" w:rsidP="00C4163C">
      <w:pPr>
        <w:pStyle w:val="FootnoteText"/>
      </w:pPr>
      <w:r>
        <w:rPr>
          <w:rStyle w:val="FootnoteReference"/>
        </w:rPr>
        <w:footnoteRef/>
      </w:r>
      <w:r>
        <w:t xml:space="preserve"> EII Regulation 51(2</w:t>
      </w:r>
      <w:proofErr w:type="gramStart"/>
      <w:r>
        <w:t>),(</w:t>
      </w:r>
      <w:proofErr w:type="gramEnd"/>
      <w:r>
        <w:t>3).</w:t>
      </w:r>
    </w:p>
  </w:footnote>
  <w:footnote w:id="24">
    <w:p w14:paraId="4A4079F7" w14:textId="10715422" w:rsidR="00BC01D3" w:rsidRPr="00BC01D3" w:rsidRDefault="00BC01D3">
      <w:pPr>
        <w:pStyle w:val="FootnoteText"/>
        <w:rPr>
          <w:lang w:val="en-US"/>
        </w:rPr>
      </w:pPr>
      <w:r>
        <w:rPr>
          <w:rStyle w:val="FootnoteReference"/>
        </w:rPr>
        <w:footnoteRef/>
      </w:r>
      <w:r>
        <w:t xml:space="preserve"> </w:t>
      </w:r>
      <w:r>
        <w:rPr>
          <w:lang w:val="en-US"/>
        </w:rPr>
        <w:t>EII regulation 51(2)(b)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AFA3" w14:textId="4161EE01" w:rsidR="008A238E" w:rsidRDefault="00AE0A9F">
    <w:pPr>
      <w:pStyle w:val="Header"/>
    </w:pPr>
    <w:r>
      <w:rPr>
        <w:noProof/>
      </w:rPr>
      <mc:AlternateContent>
        <mc:Choice Requires="wps">
          <w:drawing>
            <wp:anchor distT="0" distB="0" distL="0" distR="0" simplePos="0" relativeHeight="251659264" behindDoc="0" locked="0" layoutInCell="1" allowOverlap="1" wp14:anchorId="64F46172" wp14:editId="49C2425B">
              <wp:simplePos x="635" y="635"/>
              <wp:positionH relativeFrom="page">
                <wp:align>center</wp:align>
              </wp:positionH>
              <wp:positionV relativeFrom="page">
                <wp:align>top</wp:align>
              </wp:positionV>
              <wp:extent cx="1120775" cy="368935"/>
              <wp:effectExtent l="0" t="0" r="3175" b="12065"/>
              <wp:wrapNone/>
              <wp:docPr id="275874303"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20775" cy="368935"/>
                      </a:xfrm>
                      <a:prstGeom prst="rect">
                        <a:avLst/>
                      </a:prstGeom>
                      <a:noFill/>
                      <a:ln>
                        <a:noFill/>
                      </a:ln>
                    </wps:spPr>
                    <wps:txbx>
                      <w:txbxContent>
                        <w:p w14:paraId="16956274" w14:textId="7BEEB203" w:rsidR="00AE0A9F" w:rsidRPr="00AE0A9F" w:rsidRDefault="00AE0A9F" w:rsidP="00AE0A9F">
                          <w:pPr>
                            <w:spacing w:after="0"/>
                            <w:rPr>
                              <w:rFonts w:ascii="Aptos" w:eastAsia="Aptos" w:hAnsi="Aptos" w:cs="Aptos"/>
                              <w:noProof/>
                              <w:color w:val="FF0000"/>
                              <w:sz w:val="20"/>
                              <w:szCs w:val="20"/>
                            </w:rPr>
                          </w:pPr>
                          <w:r w:rsidRPr="00AE0A9F">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46172" id="_x0000_t202" coordsize="21600,21600" o:spt="202" path="m,l,21600r21600,l21600,xe">
              <v:stroke joinstyle="miter"/>
              <v:path gradientshapeok="t" o:connecttype="rect"/>
            </v:shapetype>
            <v:shape id="Text Box 2" o:spid="_x0000_s1026" type="#_x0000_t202" alt="OFFICIAL SENSITIVE" style="position:absolute;left:0;text-align:left;margin-left:0;margin-top:0;width:88.2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re4CwIAABYEAAAOAAAAZHJzL2Uyb0RvYy54bWysU01v2zAMvQ/YfxB0X+ykSD+MOEXWIsOA&#10;oC2QDj0rshQbkERBUmJnv36UbCddt9Owi0yT1CP5+LS477QiR+F8A6ak00lOiTAcqsbsS/rjdf3l&#10;lhIfmKmYAiNKehKe3i8/f1q0thAzqEFVwhEEMb5obUnrEGyRZZ7XQjM/ASsMBiU4zQL+un1WOdYi&#10;ulbZLM+vsxZcZR1w4T16H/sgXSZ8KQUPz1J6EYgqKfYW0unSuYtntlywYu+YrRs+tMH+oQvNGoNF&#10;z1CPLDBycM0fULrhDjzIMOGgM5Cy4SLNgNNM8w/TbGtmRZoFyfH2TJP/f7D86bi1L46E7it0uMBI&#10;SGt94dEZ5+mk0/GLnRKMI4WnM22iC4THS9NZfnMzp4Rj7Or69u5qHmGyy23rfPgmQJNolNThWhJb&#10;7LjxoU8dU2IxA+tGqbQaZX5zIGb0ZJcWoxW6XTf0vYPqhOM46DftLV83WHPDfHhhDleLE6BcwzMe&#10;UkFbUhgsSmpwP//mj/nIOEYpaVEqJTWoZUrUd4ObiKpKxvQun+f450b3bjTMQT8ACnCKb8HyZMa8&#10;oEZTOtBvKORVLIQhZjiWK2kYzYfQaxYfAherVUpCAVkWNmZreYSOPEUSX7s35uzAdMAdPcGoI1Z8&#10;ILzPjTe9XR0C0p62ETntiRyoRvGlfQ4PJar7/X/Kujzn5S8AAAD//wMAUEsDBBQABgAIAAAAIQDm&#10;6TcV2gAAAAQBAAAPAAAAZHJzL2Rvd25yZXYueG1sTI/NTsMwEITvSLyDtUjcqGOklCpkU1VIPfRW&#10;ys/ZjZckEO9GsduGPj0uF7isNJrRzLflcvK9OtIYOmEEM8tAEdfiOm4QXl/WdwtQIVp2thcmhG8K&#10;sKyur0pbODnxMx13sVGphENhEdoYh0LrULfkbZjJQJy8Dxm9jUmOjXajPaVy3+v7LJtrbztOC60d&#10;6Kml+mt38AhdvpJo6G2z/nz3Rsx5u8nPW8Tbm2n1CCrSFP/CcMFP6FAlpr0c2AXVI6RH4u+9eA/z&#10;HNQeIV8Y0FWp/8NXPwAAAP//AwBQSwECLQAUAAYACAAAACEAtoM4kv4AAADhAQAAEwAAAAAAAAAA&#10;AAAAAAAAAAAAW0NvbnRlbnRfVHlwZXNdLnhtbFBLAQItABQABgAIAAAAIQA4/SH/1gAAAJQBAAAL&#10;AAAAAAAAAAAAAAAAAC8BAABfcmVscy8ucmVsc1BLAQItABQABgAIAAAAIQAqZre4CwIAABYEAAAO&#10;AAAAAAAAAAAAAAAAAC4CAABkcnMvZTJvRG9jLnhtbFBLAQItABQABgAIAAAAIQDm6TcV2gAAAAQB&#10;AAAPAAAAAAAAAAAAAAAAAGUEAABkcnMvZG93bnJldi54bWxQSwUGAAAAAAQABADzAAAAbAUAAAAA&#10;" filled="f" stroked="f">
              <v:textbox style="mso-fit-shape-to-text:t" inset="0,15pt,0,0">
                <w:txbxContent>
                  <w:p w14:paraId="16956274" w14:textId="7BEEB203" w:rsidR="00AE0A9F" w:rsidRPr="00AE0A9F" w:rsidRDefault="00AE0A9F" w:rsidP="00AE0A9F">
                    <w:pPr>
                      <w:spacing w:after="0"/>
                      <w:rPr>
                        <w:rFonts w:ascii="Aptos" w:eastAsia="Aptos" w:hAnsi="Aptos" w:cs="Aptos"/>
                        <w:noProof/>
                        <w:color w:val="FF0000"/>
                        <w:sz w:val="20"/>
                        <w:szCs w:val="20"/>
                      </w:rPr>
                    </w:pPr>
                    <w:r w:rsidRPr="00AE0A9F">
                      <w:rPr>
                        <w:rFonts w:ascii="Aptos" w:eastAsia="Aptos" w:hAnsi="Aptos" w:cs="Aptos"/>
                        <w:noProof/>
                        <w:color w:val="FF0000"/>
                        <w:sz w:val="20"/>
                        <w:szCs w:val="20"/>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0C9C" w14:textId="79FCEB24" w:rsidR="00935E6C" w:rsidRPr="0051302A" w:rsidRDefault="0051302A" w:rsidP="0051302A">
    <w:pPr>
      <w:pStyle w:val="Header"/>
    </w:pPr>
    <w:r>
      <w:rPr>
        <w:lang w:val="en-US"/>
      </w:rPr>
      <w:t xml:space="preserve">Revenue </w:t>
    </w:r>
    <w:r>
      <w:t xml:space="preserve">Determination (Contestable) </w:t>
    </w:r>
    <w:r w:rsidR="001C292B">
      <w:t xml:space="preserve">Summary Report </w:t>
    </w:r>
    <w:r>
      <w:t>– Transgrid – Waratah Super Battery (Paired Generation Services component</w:t>
    </w:r>
    <w:r w:rsidR="001C292B">
      <w:t xml:space="preserve"> and SIPS Battery Service</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FEA2C" w14:textId="6FC0429E" w:rsidR="00935E6C" w:rsidRDefault="00AE0A9F">
    <w:pPr>
      <w:pStyle w:val="Header"/>
      <w:jc w:val="left"/>
    </w:pPr>
    <w:r>
      <w:rPr>
        <w:noProof/>
      </w:rPr>
      <mc:AlternateContent>
        <mc:Choice Requires="wps">
          <w:drawing>
            <wp:anchor distT="0" distB="0" distL="0" distR="0" simplePos="0" relativeHeight="251658240" behindDoc="0" locked="0" layoutInCell="1" allowOverlap="1" wp14:anchorId="3DC8A5A7" wp14:editId="6D1BF950">
              <wp:simplePos x="635" y="635"/>
              <wp:positionH relativeFrom="page">
                <wp:align>center</wp:align>
              </wp:positionH>
              <wp:positionV relativeFrom="page">
                <wp:align>top</wp:align>
              </wp:positionV>
              <wp:extent cx="1120775" cy="368935"/>
              <wp:effectExtent l="0" t="0" r="3175" b="12065"/>
              <wp:wrapNone/>
              <wp:docPr id="79277833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20775" cy="368935"/>
                      </a:xfrm>
                      <a:prstGeom prst="rect">
                        <a:avLst/>
                      </a:prstGeom>
                      <a:noFill/>
                      <a:ln>
                        <a:noFill/>
                      </a:ln>
                    </wps:spPr>
                    <wps:txbx>
                      <w:txbxContent>
                        <w:p w14:paraId="427D163A" w14:textId="53CA8A08" w:rsidR="00AE0A9F" w:rsidRPr="00AE0A9F" w:rsidRDefault="00AE0A9F" w:rsidP="00AE0A9F">
                          <w:pPr>
                            <w:spacing w:after="0"/>
                            <w:rPr>
                              <w:rFonts w:ascii="Aptos" w:eastAsia="Aptos" w:hAnsi="Aptos" w:cs="Aptos"/>
                              <w:noProof/>
                              <w:color w:val="FF0000"/>
                              <w:sz w:val="20"/>
                              <w:szCs w:val="20"/>
                            </w:rPr>
                          </w:pPr>
                          <w:r w:rsidRPr="00AE0A9F">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C8A5A7" id="_x0000_t202" coordsize="21600,21600" o:spt="202" path="m,l,21600r21600,l21600,xe">
              <v:stroke joinstyle="miter"/>
              <v:path gradientshapeok="t" o:connecttype="rect"/>
            </v:shapetype>
            <v:shape id="Text Box 1" o:spid="_x0000_s1027" type="#_x0000_t202" alt="OFFICIAL SENSITIVE" style="position:absolute;margin-left:0;margin-top:0;width:88.2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M/DQIAAB0EAAAOAAAAZHJzL2Uyb0RvYy54bWysU01v2zAMvQ/YfxB0X+ykSD+MOEXWIsOA&#10;oC2QDj0rshQbkERBUmJnv36UbCddt9Owi0yT1CP5+LS477QiR+F8A6ak00lOiTAcqsbsS/rjdf3l&#10;lhIfmKmYAiNKehKe3i8/f1q0thAzqEFVwhEEMb5obUnrEGyRZZ7XQjM/ASsMBiU4zQL+un1WOdYi&#10;ulbZLM+vsxZcZR1w4T16H/sgXSZ8KQUPz1J6EYgqKfYW0unSuYtntlywYu+YrRs+tMH+oQvNGoNF&#10;z1CPLDBycM0fULrhDjzIMOGgM5Cy4SLNgNNM8w/TbGtmRZoFyfH2TJP/f7D86bi1L46E7it0uMBI&#10;SGt94dEZ5+mk0/GLnRKMI4WnM22iC4THS9NZfnMzp4Rj7Or69u5qHmGyy23rfPgmQJNolNThWhJb&#10;7LjxoU8dU2IxA+tGqbQaZX5zIGb0ZJcWoxW6XUea6l37O6hOOJWDfuHe8nWDpTfMhxfmcMM4CKo2&#10;POMhFbQlhcGipAb382/+mI/EY5SSFhVTUoOSpkR9N7iQKK5kTO/yeY5/bnTvRsMc9AOgDqf4JCxP&#10;ZswLajSlA/2Gel7FQhhihmO5kobRfAi9dPE9cLFapSTUkWVhY7aWR+hIV+TytXtjzg6EB1zVE4xy&#10;YsUH3vvceNPb1SEg+2kpkdqeyIFx1GBa6/Beosjf/6esy6te/gIAAP//AwBQSwMEFAAGAAgAAAAh&#10;AObpNxXaAAAABAEAAA8AAABkcnMvZG93bnJldi54bWxMj81OwzAQhO9IvIO1SNyoY6SUKmRTVUg9&#10;9FbKz9mNlyQQ70ax24Y+PS4XuKw0mtHMt+Vy8r060hg6YQQzy0AR1+I6bhBeX9Z3C1AhWna2FyaE&#10;bwqwrK6vSls4OfEzHXexUamEQ2ER2hiHQutQt+RtmMlAnLwPGb2NSY6NdqM9pXLf6/ssm2tvO04L&#10;rR3oqaX6a3fwCF2+kmjobbP+fPdGzHm7yc9bxNubafUIKtIU/8JwwU/oUCWmvRzYBdUjpEfi7714&#10;D/Mc1B4hXxjQVan/w1c/AAAA//8DAFBLAQItABQABgAIAAAAIQC2gziS/gAAAOEBAAATAAAAAAAA&#10;AAAAAAAAAAAAAABbQ29udGVudF9UeXBlc10ueG1sUEsBAi0AFAAGAAgAAAAhADj9If/WAAAAlAEA&#10;AAsAAAAAAAAAAAAAAAAALwEAAF9yZWxzLy5yZWxzUEsBAi0AFAAGAAgAAAAhAA55Mz8NAgAAHQQA&#10;AA4AAAAAAAAAAAAAAAAALgIAAGRycy9lMm9Eb2MueG1sUEsBAi0AFAAGAAgAAAAhAObpNxXaAAAA&#10;BAEAAA8AAAAAAAAAAAAAAAAAZwQAAGRycy9kb3ducmV2LnhtbFBLBQYAAAAABAAEAPMAAABuBQAA&#10;AAA=&#10;" filled="f" stroked="f">
              <v:textbox style="mso-fit-shape-to-text:t" inset="0,15pt,0,0">
                <w:txbxContent>
                  <w:p w14:paraId="427D163A" w14:textId="53CA8A08" w:rsidR="00AE0A9F" w:rsidRPr="00AE0A9F" w:rsidRDefault="00AE0A9F" w:rsidP="00AE0A9F">
                    <w:pPr>
                      <w:spacing w:after="0"/>
                      <w:rPr>
                        <w:rFonts w:ascii="Aptos" w:eastAsia="Aptos" w:hAnsi="Aptos" w:cs="Aptos"/>
                        <w:noProof/>
                        <w:color w:val="FF0000"/>
                        <w:sz w:val="20"/>
                        <w:szCs w:val="20"/>
                      </w:rPr>
                    </w:pPr>
                    <w:r w:rsidRPr="00AE0A9F">
                      <w:rPr>
                        <w:rFonts w:ascii="Aptos" w:eastAsia="Aptos" w:hAnsi="Aptos" w:cs="Aptos"/>
                        <w:noProof/>
                        <w:color w:val="FF0000"/>
                        <w:sz w:val="20"/>
                        <w:szCs w:val="20"/>
                      </w:rPr>
                      <w:t>OFFICIAL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430"/>
    <w:multiLevelType w:val="hybridMultilevel"/>
    <w:tmpl w:val="1FDECE56"/>
    <w:lvl w:ilvl="0" w:tplc="AB5A3FD6">
      <w:start w:val="1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1F530A"/>
    <w:multiLevelType w:val="multilevel"/>
    <w:tmpl w:val="5AA624E8"/>
    <w:lvl w:ilvl="0">
      <w:start w:val="1"/>
      <w:numFmt w:val="decimal"/>
      <w:pStyle w:val="Heading2"/>
      <w:lvlText w:val="%1"/>
      <w:lvlJc w:val="left"/>
      <w:pPr>
        <w:ind w:left="432" w:hanging="432"/>
      </w:pPr>
      <w:rPr>
        <w:rFonts w:hint="default"/>
      </w:rPr>
    </w:lvl>
    <w:lvl w:ilvl="1">
      <w:start w:val="1"/>
      <w:numFmt w:val="decimal"/>
      <w:pStyle w:val="Heading3"/>
      <w:lvlText w:val="%1.%2"/>
      <w:lvlJc w:val="left"/>
      <w:pPr>
        <w:ind w:left="576" w:hanging="576"/>
      </w:pPr>
      <w:rPr>
        <w:rFonts w:hint="default"/>
      </w:rPr>
    </w:lvl>
    <w:lvl w:ilvl="2">
      <w:start w:val="1"/>
      <w:numFmt w:val="decimal"/>
      <w:pStyle w:val="Heading4"/>
      <w:lvlText w:val="%1.%2.%3"/>
      <w:lvlJc w:val="left"/>
      <w:pPr>
        <w:ind w:left="4123" w:hanging="720"/>
      </w:pPr>
      <w:rPr>
        <w:rFonts w:hint="default"/>
      </w:rPr>
    </w:lvl>
    <w:lvl w:ilvl="3">
      <w:start w:val="1"/>
      <w:numFmt w:val="decimal"/>
      <w:pStyle w:val="Heading5"/>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7F44B3D"/>
    <w:multiLevelType w:val="hybridMultilevel"/>
    <w:tmpl w:val="4EC42508"/>
    <w:lvl w:ilvl="0" w:tplc="0EE4B618">
      <w:start w:val="10"/>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2007A1"/>
    <w:multiLevelType w:val="multilevel"/>
    <w:tmpl w:val="5750EDF0"/>
    <w:lvl w:ilvl="0">
      <w:start w:val="1"/>
      <w:numFmt w:val="decimal"/>
      <w:pStyle w:val="BoxText2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0A7B4F"/>
    <w:multiLevelType w:val="hybridMultilevel"/>
    <w:tmpl w:val="CC825578"/>
    <w:lvl w:ilvl="0" w:tplc="3BC8D3C8">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C13E93"/>
    <w:multiLevelType w:val="multilevel"/>
    <w:tmpl w:val="D70EB092"/>
    <w:lvl w:ilvl="0">
      <w:start w:val="1"/>
      <w:numFmt w:val="decimal"/>
      <w:pStyle w:val="ListNumber"/>
      <w:lvlText w:val="%1."/>
      <w:lvlJc w:val="left"/>
      <w:pPr>
        <w:ind w:left="360" w:hanging="360"/>
      </w:pPr>
      <w:rPr>
        <w:rFonts w:ascii="Arial" w:hAnsi="Arial" w:hint="default"/>
        <w:color w:val="0C5B88"/>
      </w:rPr>
    </w:lvl>
    <w:lvl w:ilvl="1">
      <w:start w:val="1"/>
      <w:numFmt w:val="lowerLetter"/>
      <w:pStyle w:val="ListNumber2"/>
      <w:lvlText w:val="%2)"/>
      <w:lvlJc w:val="left"/>
      <w:pPr>
        <w:ind w:left="1080" w:hanging="360"/>
      </w:pPr>
      <w:rPr>
        <w:rFonts w:ascii="Arial" w:hAnsi="Arial" w:hint="default"/>
        <w:color w:val="auto"/>
      </w:rPr>
    </w:lvl>
    <w:lvl w:ilvl="2">
      <w:start w:val="1"/>
      <w:numFmt w:val="lowerRoman"/>
      <w:pStyle w:val="ListNumber3"/>
      <w:lvlText w:val="%3)"/>
      <w:lvlJc w:val="right"/>
      <w:pPr>
        <w:ind w:left="1800" w:hanging="180"/>
      </w:pPr>
      <w:rPr>
        <w:rFonts w:ascii="Arial" w:hAnsi="Arial" w:hint="default"/>
        <w:color w:val="auto"/>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8" w15:restartNumberingAfterBreak="0">
    <w:nsid w:val="210904A4"/>
    <w:multiLevelType w:val="hybridMultilevel"/>
    <w:tmpl w:val="DE5272C2"/>
    <w:lvl w:ilvl="0" w:tplc="D0C226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B1F70DB"/>
    <w:multiLevelType w:val="hybridMultilevel"/>
    <w:tmpl w:val="EE141DF6"/>
    <w:lvl w:ilvl="0" w:tplc="FFFFFFFF">
      <w:start w:val="1"/>
      <w:numFmt w:val="decimal"/>
      <w:lvlText w:val="%1."/>
      <w:lvlJc w:val="left"/>
      <w:pPr>
        <w:ind w:left="360" w:hanging="360"/>
      </w:pPr>
      <w:rPr>
        <w:rFonts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BCC6567"/>
    <w:multiLevelType w:val="hybridMultilevel"/>
    <w:tmpl w:val="EB1406F0"/>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2" w15:restartNumberingAfterBreak="0">
    <w:nsid w:val="2C8F2FA8"/>
    <w:multiLevelType w:val="hybridMultilevel"/>
    <w:tmpl w:val="34A28382"/>
    <w:lvl w:ilvl="0" w:tplc="9C40C1A8">
      <w:start w:val="1"/>
      <w:numFmt w:val="bullet"/>
      <w:pStyle w:val="BoxText2Bullet"/>
      <w:lvlText w:val=""/>
      <w:lvlJc w:val="left"/>
      <w:pPr>
        <w:ind w:left="720" w:hanging="360"/>
      </w:pPr>
      <w:rPr>
        <w:rFonts w:ascii="Symbol" w:hAnsi="Symbol" w:hint="default"/>
        <w:color w:val="0C5B8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BF24AE"/>
    <w:multiLevelType w:val="multilevel"/>
    <w:tmpl w:val="24FE6778"/>
    <w:lvl w:ilvl="0">
      <w:start w:val="1"/>
      <w:numFmt w:val="upperLetter"/>
      <w:pStyle w:val="Appendixheading1"/>
      <w:lvlText w:val="%1"/>
      <w:lvlJc w:val="left"/>
      <w:pPr>
        <w:ind w:left="360" w:hanging="360"/>
      </w:pPr>
      <w:rPr>
        <w:rFonts w:hint="default"/>
      </w:rPr>
    </w:lvl>
    <w:lvl w:ilvl="1">
      <w:start w:val="1"/>
      <w:numFmt w:val="decimal"/>
      <w:pStyle w:val="Appendixheading2"/>
      <w:lvlText w:val="%1.%2"/>
      <w:lvlJc w:val="left"/>
      <w:pPr>
        <w:ind w:left="720" w:hanging="720"/>
      </w:pPr>
      <w:rPr>
        <w:rFonts w:hint="default"/>
      </w:rPr>
    </w:lvl>
    <w:lvl w:ilvl="2">
      <w:start w:val="1"/>
      <w:numFmt w:val="decimal"/>
      <w:pStyle w:val="Appendixheading3"/>
      <w:lvlText w:val="%1.%2.%3"/>
      <w:lvlJc w:val="left"/>
      <w:pPr>
        <w:ind w:left="1080" w:hanging="1080"/>
      </w:pPr>
      <w:rPr>
        <w:rFonts w:hint="default"/>
      </w:rPr>
    </w:lvl>
    <w:lvl w:ilvl="3">
      <w:start w:val="1"/>
      <w:numFmt w:val="decimal"/>
      <w:pStyle w:val="Appendixheading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8A7648E"/>
    <w:multiLevelType w:val="hybridMultilevel"/>
    <w:tmpl w:val="0E32D74A"/>
    <w:lvl w:ilvl="0" w:tplc="C4A6CA72">
      <w:start w:val="1"/>
      <w:numFmt w:val="decimal"/>
      <w:lvlText w:val="%1."/>
      <w:lvlJc w:val="left"/>
      <w:pPr>
        <w:ind w:left="360" w:hanging="360"/>
      </w:pPr>
      <w:rPr>
        <w:rFonts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8DE2E4A"/>
    <w:multiLevelType w:val="hybridMultilevel"/>
    <w:tmpl w:val="EC4EF906"/>
    <w:lvl w:ilvl="0" w:tplc="2624BA5E">
      <w:start w:val="1"/>
      <w:numFmt w:val="bullet"/>
      <w:pStyle w:val="BoxText1Bullet"/>
      <w:lvlText w:val=""/>
      <w:lvlJc w:val="left"/>
      <w:pPr>
        <w:ind w:left="720" w:hanging="360"/>
      </w:pPr>
      <w:rPr>
        <w:rFonts w:ascii="Symbol" w:hAnsi="Symbol" w:hint="default"/>
        <w:color w:val="0C5B88"/>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6"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CF77161"/>
    <w:multiLevelType w:val="hybridMultilevel"/>
    <w:tmpl w:val="D98EDEAC"/>
    <w:lvl w:ilvl="0" w:tplc="87740C90">
      <w:start w:val="13"/>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D3C4EA2"/>
    <w:multiLevelType w:val="hybridMultilevel"/>
    <w:tmpl w:val="AF18BFDE"/>
    <w:lvl w:ilvl="0" w:tplc="5734C0B6">
      <w:start w:val="6"/>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0" w15:restartNumberingAfterBreak="0">
    <w:nsid w:val="5AA12966"/>
    <w:multiLevelType w:val="multilevel"/>
    <w:tmpl w:val="BE9634FC"/>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1" w15:restartNumberingAfterBreak="0">
    <w:nsid w:val="5B8F3B04"/>
    <w:multiLevelType w:val="multilevel"/>
    <w:tmpl w:val="8AB83AA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2" w15:restartNumberingAfterBreak="0">
    <w:nsid w:val="5F187001"/>
    <w:multiLevelType w:val="hybridMultilevel"/>
    <w:tmpl w:val="57168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1">
    <w:nsid w:val="61124A8F"/>
    <w:multiLevelType w:val="hybridMultilevel"/>
    <w:tmpl w:val="6A54A400"/>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56F2534"/>
    <w:multiLevelType w:val="hybridMultilevel"/>
    <w:tmpl w:val="74404D4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32B14CD"/>
    <w:multiLevelType w:val="multilevel"/>
    <w:tmpl w:val="C7AC8810"/>
    <w:lvl w:ilvl="0">
      <w:start w:val="1"/>
      <w:numFmt w:val="decimal"/>
      <w:pStyle w:val="BoxText1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E2819EC"/>
    <w:multiLevelType w:val="multilevel"/>
    <w:tmpl w:val="1250F310"/>
    <w:lvl w:ilvl="0">
      <w:start w:val="1"/>
      <w:numFmt w:val="bullet"/>
      <w:pStyle w:val="Bulletpoint"/>
      <w:lvlText w:val=""/>
      <w:lvlJc w:val="left"/>
      <w:pPr>
        <w:ind w:left="1380" w:hanging="360"/>
      </w:pPr>
      <w:rPr>
        <w:rFonts w:ascii="Symbol" w:hAnsi="Symbol" w:hint="default"/>
      </w:rPr>
    </w:lvl>
    <w:lvl w:ilvl="1">
      <w:start w:val="1"/>
      <w:numFmt w:val="decimal"/>
      <w:lvlText w:val="%1.%2."/>
      <w:lvlJc w:val="left"/>
      <w:pPr>
        <w:ind w:left="1812" w:hanging="432"/>
      </w:pPr>
      <w:rPr>
        <w:rFonts w:hint="default"/>
      </w:rPr>
    </w:lvl>
    <w:lvl w:ilvl="2">
      <w:start w:val="1"/>
      <w:numFmt w:val="decimal"/>
      <w:lvlText w:val="%1.%2.%3."/>
      <w:lvlJc w:val="left"/>
      <w:pPr>
        <w:ind w:left="2244" w:hanging="504"/>
      </w:pPr>
      <w:rPr>
        <w:rFonts w:hint="default"/>
      </w:rPr>
    </w:lvl>
    <w:lvl w:ilvl="3">
      <w:start w:val="1"/>
      <w:numFmt w:val="decimal"/>
      <w:lvlText w:val="%1.%2.%3.%4."/>
      <w:lvlJc w:val="left"/>
      <w:pPr>
        <w:ind w:left="2748" w:hanging="648"/>
      </w:pPr>
      <w:rPr>
        <w:rFonts w:hint="default"/>
      </w:rPr>
    </w:lvl>
    <w:lvl w:ilvl="4">
      <w:start w:val="1"/>
      <w:numFmt w:val="decimal"/>
      <w:lvlText w:val="%1.%2.%3.%4.%5."/>
      <w:lvlJc w:val="left"/>
      <w:pPr>
        <w:ind w:left="3252" w:hanging="792"/>
      </w:pPr>
      <w:rPr>
        <w:rFonts w:hint="default"/>
      </w:rPr>
    </w:lvl>
    <w:lvl w:ilvl="5">
      <w:start w:val="1"/>
      <w:numFmt w:val="decimal"/>
      <w:lvlText w:val="%1.%2.%3.%4.%5.%6."/>
      <w:lvlJc w:val="left"/>
      <w:pPr>
        <w:ind w:left="3756" w:hanging="936"/>
      </w:pPr>
      <w:rPr>
        <w:rFonts w:hint="default"/>
      </w:rPr>
    </w:lvl>
    <w:lvl w:ilvl="6">
      <w:start w:val="1"/>
      <w:numFmt w:val="decimal"/>
      <w:lvlText w:val="%1.%2.%3.%4.%5.%6.%7."/>
      <w:lvlJc w:val="left"/>
      <w:pPr>
        <w:ind w:left="4260" w:hanging="1080"/>
      </w:pPr>
      <w:rPr>
        <w:rFonts w:hint="default"/>
      </w:rPr>
    </w:lvl>
    <w:lvl w:ilvl="7">
      <w:start w:val="1"/>
      <w:numFmt w:val="decimal"/>
      <w:lvlText w:val="%1.%2.%3.%4.%5.%6.%7.%8."/>
      <w:lvlJc w:val="left"/>
      <w:pPr>
        <w:ind w:left="4764" w:hanging="1224"/>
      </w:pPr>
      <w:rPr>
        <w:rFonts w:hint="default"/>
      </w:rPr>
    </w:lvl>
    <w:lvl w:ilvl="8">
      <w:start w:val="1"/>
      <w:numFmt w:val="decimal"/>
      <w:lvlText w:val="%1.%2.%3.%4.%5.%6.%7.%8.%9."/>
      <w:lvlJc w:val="left"/>
      <w:pPr>
        <w:ind w:left="5340" w:hanging="1440"/>
      </w:pPr>
      <w:rPr>
        <w:rFonts w:hint="default"/>
      </w:rPr>
    </w:lvl>
  </w:abstractNum>
  <w:num w:numId="1" w16cid:durableId="8217928">
    <w:abstractNumId w:val="15"/>
  </w:num>
  <w:num w:numId="2" w16cid:durableId="1180117611">
    <w:abstractNumId w:val="7"/>
  </w:num>
  <w:num w:numId="3" w16cid:durableId="915672358">
    <w:abstractNumId w:val="20"/>
    <w:lvlOverride w:ilvl="0">
      <w:lvl w:ilvl="0">
        <w:start w:val="1"/>
        <w:numFmt w:val="bullet"/>
        <w:pStyle w:val="ListBullet"/>
        <w:lvlText w:val=""/>
        <w:lvlJc w:val="left"/>
        <w:pPr>
          <w:ind w:left="425" w:hanging="425"/>
        </w:pPr>
        <w:rPr>
          <w:rFonts w:ascii="Symbol" w:hAnsi="Symbol" w:hint="default"/>
          <w:color w:val="0C5B88"/>
        </w:rPr>
      </w:lvl>
    </w:lvlOverride>
  </w:num>
  <w:num w:numId="4" w16cid:durableId="1618099587">
    <w:abstractNumId w:val="21"/>
  </w:num>
  <w:num w:numId="5" w16cid:durableId="415631065">
    <w:abstractNumId w:val="9"/>
  </w:num>
  <w:num w:numId="6" w16cid:durableId="745882423">
    <w:abstractNumId w:val="19"/>
  </w:num>
  <w:num w:numId="7" w16cid:durableId="383408984">
    <w:abstractNumId w:val="16"/>
  </w:num>
  <w:num w:numId="8" w16cid:durableId="860433877">
    <w:abstractNumId w:val="6"/>
  </w:num>
  <w:num w:numId="9" w16cid:durableId="1315572879">
    <w:abstractNumId w:val="20"/>
  </w:num>
  <w:num w:numId="10" w16cid:durableId="681669827">
    <w:abstractNumId w:val="12"/>
  </w:num>
  <w:num w:numId="11" w16cid:durableId="386416668">
    <w:abstractNumId w:val="1"/>
  </w:num>
  <w:num w:numId="12" w16cid:durableId="573007958">
    <w:abstractNumId w:val="5"/>
  </w:num>
  <w:num w:numId="13" w16cid:durableId="836189410">
    <w:abstractNumId w:val="25"/>
  </w:num>
  <w:num w:numId="14" w16cid:durableId="1717586154">
    <w:abstractNumId w:val="3"/>
  </w:num>
  <w:num w:numId="15" w16cid:durableId="1557083644">
    <w:abstractNumId w:val="13"/>
  </w:num>
  <w:num w:numId="16" w16cid:durableId="1266691603">
    <w:abstractNumId w:val="26"/>
  </w:num>
  <w:num w:numId="17" w16cid:durableId="1314333242">
    <w:abstractNumId w:val="22"/>
  </w:num>
  <w:num w:numId="18" w16cid:durableId="3212781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5258852">
    <w:abstractNumId w:val="20"/>
    <w:lvlOverride w:ilvl="0">
      <w:lvl w:ilvl="0">
        <w:start w:val="1"/>
        <w:numFmt w:val="bullet"/>
        <w:pStyle w:val="ListBullet"/>
        <w:lvlText w:val=""/>
        <w:lvlJc w:val="left"/>
        <w:pPr>
          <w:ind w:left="425" w:hanging="425"/>
        </w:pPr>
        <w:rPr>
          <w:rFonts w:ascii="Symbol" w:hAnsi="Symbol" w:hint="default"/>
          <w:color w:val="003150"/>
        </w:rPr>
      </w:lvl>
    </w:lvlOverride>
    <w:lvlOverride w:ilvl="1">
      <w:lvl w:ilvl="1">
        <w:start w:val="1"/>
        <w:numFmt w:val="bullet"/>
        <w:pStyle w:val="ListBullet2"/>
        <w:lvlText w:val=""/>
        <w:lvlJc w:val="left"/>
        <w:pPr>
          <w:ind w:left="851" w:hanging="426"/>
        </w:pPr>
        <w:rPr>
          <w:rFonts w:ascii="Symbol" w:hAnsi="Symbol" w:hint="default"/>
          <w:color w:val="auto"/>
        </w:rPr>
      </w:lvl>
    </w:lvlOverride>
    <w:lvlOverride w:ilvl="2">
      <w:lvl w:ilvl="2">
        <w:start w:val="1"/>
        <w:numFmt w:val="bullet"/>
        <w:pStyle w:val="ListBullet3"/>
        <w:lvlText w:val="­"/>
        <w:lvlJc w:val="left"/>
        <w:pPr>
          <w:ind w:left="1276" w:hanging="425"/>
        </w:pPr>
        <w:rPr>
          <w:rFonts w:ascii="Cambria" w:hAnsi="Cambria" w:hint="default"/>
        </w:rPr>
      </w:lvl>
    </w:lvlOverride>
    <w:lvlOverride w:ilvl="3">
      <w:lvl w:ilvl="3">
        <w:start w:val="1"/>
        <w:numFmt w:val="bullet"/>
        <w:lvlText w:val=""/>
        <w:lvlJc w:val="left"/>
        <w:pPr>
          <w:ind w:left="2925" w:hanging="360"/>
        </w:pPr>
        <w:rPr>
          <w:rFonts w:ascii="Symbol" w:hAnsi="Symbol" w:hint="default"/>
        </w:rPr>
      </w:lvl>
    </w:lvlOverride>
    <w:lvlOverride w:ilvl="4">
      <w:lvl w:ilvl="4">
        <w:start w:val="1"/>
        <w:numFmt w:val="bullet"/>
        <w:lvlText w:val="o"/>
        <w:lvlJc w:val="left"/>
        <w:pPr>
          <w:ind w:left="3645" w:hanging="360"/>
        </w:pPr>
        <w:rPr>
          <w:rFonts w:ascii="Courier New" w:hAnsi="Courier New" w:cs="Courier New" w:hint="default"/>
        </w:rPr>
      </w:lvl>
    </w:lvlOverride>
    <w:lvlOverride w:ilvl="5">
      <w:lvl w:ilvl="5">
        <w:start w:val="1"/>
        <w:numFmt w:val="bullet"/>
        <w:lvlText w:val=""/>
        <w:lvlJc w:val="left"/>
        <w:pPr>
          <w:ind w:left="4365" w:hanging="360"/>
        </w:pPr>
        <w:rPr>
          <w:rFonts w:ascii="Wingdings" w:hAnsi="Wingdings" w:hint="default"/>
        </w:rPr>
      </w:lvl>
    </w:lvlOverride>
    <w:lvlOverride w:ilvl="6">
      <w:lvl w:ilvl="6">
        <w:start w:val="1"/>
        <w:numFmt w:val="bullet"/>
        <w:lvlText w:val=""/>
        <w:lvlJc w:val="left"/>
        <w:pPr>
          <w:ind w:left="5085" w:hanging="360"/>
        </w:pPr>
        <w:rPr>
          <w:rFonts w:ascii="Symbol" w:hAnsi="Symbol" w:hint="default"/>
        </w:rPr>
      </w:lvl>
    </w:lvlOverride>
    <w:lvlOverride w:ilvl="7">
      <w:lvl w:ilvl="7">
        <w:start w:val="1"/>
        <w:numFmt w:val="bullet"/>
        <w:lvlText w:val="o"/>
        <w:lvlJc w:val="left"/>
        <w:pPr>
          <w:ind w:left="5805" w:hanging="360"/>
        </w:pPr>
        <w:rPr>
          <w:rFonts w:ascii="Courier New" w:hAnsi="Courier New" w:cs="Courier New" w:hint="default"/>
        </w:rPr>
      </w:lvl>
    </w:lvlOverride>
    <w:lvlOverride w:ilvl="8">
      <w:lvl w:ilvl="8">
        <w:start w:val="1"/>
        <w:numFmt w:val="bullet"/>
        <w:lvlText w:val=""/>
        <w:lvlJc w:val="left"/>
        <w:pPr>
          <w:ind w:left="6525" w:hanging="360"/>
        </w:pPr>
        <w:rPr>
          <w:rFonts w:ascii="Wingdings" w:hAnsi="Wingdings" w:hint="default"/>
        </w:rPr>
      </w:lvl>
    </w:lvlOverride>
  </w:num>
  <w:num w:numId="20" w16cid:durableId="1017581524">
    <w:abstractNumId w:val="8"/>
  </w:num>
  <w:num w:numId="21" w16cid:durableId="1478454939">
    <w:abstractNumId w:val="14"/>
  </w:num>
  <w:num w:numId="22" w16cid:durableId="1433625197">
    <w:abstractNumId w:val="10"/>
  </w:num>
  <w:num w:numId="23" w16cid:durableId="1267690117">
    <w:abstractNumId w:val="11"/>
  </w:num>
  <w:num w:numId="24" w16cid:durableId="1038430769">
    <w:abstractNumId w:val="18"/>
  </w:num>
  <w:num w:numId="25" w16cid:durableId="872302870">
    <w:abstractNumId w:val="0"/>
  </w:num>
  <w:num w:numId="26" w16cid:durableId="1842156396">
    <w:abstractNumId w:val="24"/>
  </w:num>
  <w:num w:numId="27" w16cid:durableId="715590558">
    <w:abstractNumId w:val="17"/>
  </w:num>
  <w:num w:numId="28" w16cid:durableId="282806023">
    <w:abstractNumId w:val="4"/>
  </w:num>
  <w:num w:numId="29" w16cid:durableId="367680598">
    <w:abstractNumId w:val="2"/>
  </w:num>
  <w:num w:numId="30" w16cid:durableId="868108718">
    <w:abstractNumId w:val="23"/>
  </w:num>
  <w:num w:numId="31" w16cid:durableId="1986275664">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s-ES" w:vendorID="64" w:dllVersion="6" w:nlCheck="1" w:checkStyle="0"/>
  <w:activeWritingStyle w:appName="MSWord" w:lang="en-AU" w:vendorID="64" w:dllVersion="6" w:nlCheck="1" w:checkStyle="1"/>
  <w:activeWritingStyle w:appName="MSWord" w:lang="en-AU" w:vendorID="64" w:dllVersion="0" w:nlCheck="1" w:checkStyle="0"/>
  <w:activeWritingStyle w:appName="MSWord" w:lang="en-AU"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02A"/>
    <w:rsid w:val="000025CC"/>
    <w:rsid w:val="00005A75"/>
    <w:rsid w:val="000069CC"/>
    <w:rsid w:val="000158E7"/>
    <w:rsid w:val="0002165A"/>
    <w:rsid w:val="000220C9"/>
    <w:rsid w:val="000307F6"/>
    <w:rsid w:val="00033DF1"/>
    <w:rsid w:val="000344FC"/>
    <w:rsid w:val="000368E6"/>
    <w:rsid w:val="00044109"/>
    <w:rsid w:val="00070E96"/>
    <w:rsid w:val="000724D2"/>
    <w:rsid w:val="00076A61"/>
    <w:rsid w:val="00080EC7"/>
    <w:rsid w:val="00081115"/>
    <w:rsid w:val="00081B15"/>
    <w:rsid w:val="00082160"/>
    <w:rsid w:val="00083E4F"/>
    <w:rsid w:val="0008528C"/>
    <w:rsid w:val="000869AB"/>
    <w:rsid w:val="000906FD"/>
    <w:rsid w:val="00090CBD"/>
    <w:rsid w:val="00094782"/>
    <w:rsid w:val="00094AF3"/>
    <w:rsid w:val="00097FA8"/>
    <w:rsid w:val="000A2F01"/>
    <w:rsid w:val="000A488A"/>
    <w:rsid w:val="000A7AAF"/>
    <w:rsid w:val="000B61D4"/>
    <w:rsid w:val="000C0FF2"/>
    <w:rsid w:val="000C35DA"/>
    <w:rsid w:val="000D32E2"/>
    <w:rsid w:val="000D4069"/>
    <w:rsid w:val="000D787A"/>
    <w:rsid w:val="000E073E"/>
    <w:rsid w:val="000E42DF"/>
    <w:rsid w:val="000E6996"/>
    <w:rsid w:val="000E7222"/>
    <w:rsid w:val="000F443A"/>
    <w:rsid w:val="000F725F"/>
    <w:rsid w:val="00104237"/>
    <w:rsid w:val="001078C2"/>
    <w:rsid w:val="00111F64"/>
    <w:rsid w:val="00117401"/>
    <w:rsid w:val="00121968"/>
    <w:rsid w:val="00121D9B"/>
    <w:rsid w:val="00132F5B"/>
    <w:rsid w:val="00136946"/>
    <w:rsid w:val="001369A6"/>
    <w:rsid w:val="0014176D"/>
    <w:rsid w:val="0014382D"/>
    <w:rsid w:val="001452A3"/>
    <w:rsid w:val="001472A5"/>
    <w:rsid w:val="001511CF"/>
    <w:rsid w:val="0015449A"/>
    <w:rsid w:val="0015513E"/>
    <w:rsid w:val="00155593"/>
    <w:rsid w:val="001561A1"/>
    <w:rsid w:val="00160289"/>
    <w:rsid w:val="00163C47"/>
    <w:rsid w:val="001758EB"/>
    <w:rsid w:val="0017699C"/>
    <w:rsid w:val="001775AB"/>
    <w:rsid w:val="00180EBD"/>
    <w:rsid w:val="00184773"/>
    <w:rsid w:val="0018499F"/>
    <w:rsid w:val="00187FE0"/>
    <w:rsid w:val="00195636"/>
    <w:rsid w:val="00196275"/>
    <w:rsid w:val="001A125A"/>
    <w:rsid w:val="001A36EC"/>
    <w:rsid w:val="001A463A"/>
    <w:rsid w:val="001A5639"/>
    <w:rsid w:val="001A769B"/>
    <w:rsid w:val="001B6886"/>
    <w:rsid w:val="001B7794"/>
    <w:rsid w:val="001C1A3E"/>
    <w:rsid w:val="001C292B"/>
    <w:rsid w:val="001C2CF4"/>
    <w:rsid w:val="001C7D79"/>
    <w:rsid w:val="001D077C"/>
    <w:rsid w:val="001D6B7A"/>
    <w:rsid w:val="001D7A62"/>
    <w:rsid w:val="001F42F6"/>
    <w:rsid w:val="001F5AAA"/>
    <w:rsid w:val="001F7ABA"/>
    <w:rsid w:val="002026A8"/>
    <w:rsid w:val="002068CD"/>
    <w:rsid w:val="002104F2"/>
    <w:rsid w:val="00211BCA"/>
    <w:rsid w:val="00213299"/>
    <w:rsid w:val="00217472"/>
    <w:rsid w:val="002203FA"/>
    <w:rsid w:val="0022163C"/>
    <w:rsid w:val="00222137"/>
    <w:rsid w:val="002377C0"/>
    <w:rsid w:val="002403D6"/>
    <w:rsid w:val="002507C7"/>
    <w:rsid w:val="0025106F"/>
    <w:rsid w:val="002657AF"/>
    <w:rsid w:val="002679AE"/>
    <w:rsid w:val="00275E2B"/>
    <w:rsid w:val="002764F9"/>
    <w:rsid w:val="00281BB6"/>
    <w:rsid w:val="00283DBF"/>
    <w:rsid w:val="00284C08"/>
    <w:rsid w:val="00284D14"/>
    <w:rsid w:val="00286307"/>
    <w:rsid w:val="00287F63"/>
    <w:rsid w:val="00294B21"/>
    <w:rsid w:val="002A0E1F"/>
    <w:rsid w:val="002A4513"/>
    <w:rsid w:val="002A6310"/>
    <w:rsid w:val="002B47B4"/>
    <w:rsid w:val="002C077F"/>
    <w:rsid w:val="002C2B93"/>
    <w:rsid w:val="002C549B"/>
    <w:rsid w:val="002C58B6"/>
    <w:rsid w:val="002C594E"/>
    <w:rsid w:val="002D136B"/>
    <w:rsid w:val="002D5884"/>
    <w:rsid w:val="002E1133"/>
    <w:rsid w:val="002E22A5"/>
    <w:rsid w:val="002E5160"/>
    <w:rsid w:val="002E73C0"/>
    <w:rsid w:val="002F365B"/>
    <w:rsid w:val="003024BD"/>
    <w:rsid w:val="0030327D"/>
    <w:rsid w:val="00303692"/>
    <w:rsid w:val="00304559"/>
    <w:rsid w:val="00305563"/>
    <w:rsid w:val="0031041B"/>
    <w:rsid w:val="003119F5"/>
    <w:rsid w:val="00314EF3"/>
    <w:rsid w:val="003164F1"/>
    <w:rsid w:val="003246E9"/>
    <w:rsid w:val="003311DF"/>
    <w:rsid w:val="00332A87"/>
    <w:rsid w:val="00336470"/>
    <w:rsid w:val="00341B17"/>
    <w:rsid w:val="0034517D"/>
    <w:rsid w:val="0034667F"/>
    <w:rsid w:val="0034725D"/>
    <w:rsid w:val="003505A5"/>
    <w:rsid w:val="00352F09"/>
    <w:rsid w:val="00354AC6"/>
    <w:rsid w:val="00363799"/>
    <w:rsid w:val="00363F2E"/>
    <w:rsid w:val="003646DF"/>
    <w:rsid w:val="00364D1B"/>
    <w:rsid w:val="003831E8"/>
    <w:rsid w:val="0039020E"/>
    <w:rsid w:val="00391219"/>
    <w:rsid w:val="003A2D45"/>
    <w:rsid w:val="003B0300"/>
    <w:rsid w:val="003B7467"/>
    <w:rsid w:val="003C1084"/>
    <w:rsid w:val="003C2B7C"/>
    <w:rsid w:val="003C690D"/>
    <w:rsid w:val="003C719E"/>
    <w:rsid w:val="003D15EA"/>
    <w:rsid w:val="003D22F7"/>
    <w:rsid w:val="003D3596"/>
    <w:rsid w:val="003E0CF6"/>
    <w:rsid w:val="003E158E"/>
    <w:rsid w:val="003E4405"/>
    <w:rsid w:val="003F0B24"/>
    <w:rsid w:val="003F1C33"/>
    <w:rsid w:val="00400EE3"/>
    <w:rsid w:val="0040454C"/>
    <w:rsid w:val="00410B27"/>
    <w:rsid w:val="004119A5"/>
    <w:rsid w:val="00413DCE"/>
    <w:rsid w:val="004248E2"/>
    <w:rsid w:val="004258A6"/>
    <w:rsid w:val="00431ACF"/>
    <w:rsid w:val="00433AAD"/>
    <w:rsid w:val="00435364"/>
    <w:rsid w:val="00444662"/>
    <w:rsid w:val="00450AF0"/>
    <w:rsid w:val="00456F8E"/>
    <w:rsid w:val="0046275E"/>
    <w:rsid w:val="00463606"/>
    <w:rsid w:val="00464F4E"/>
    <w:rsid w:val="004718E9"/>
    <w:rsid w:val="00471F40"/>
    <w:rsid w:val="00481ED8"/>
    <w:rsid w:val="00482774"/>
    <w:rsid w:val="00485E3F"/>
    <w:rsid w:val="00491E5F"/>
    <w:rsid w:val="00494938"/>
    <w:rsid w:val="004951FC"/>
    <w:rsid w:val="0049534B"/>
    <w:rsid w:val="00495DE9"/>
    <w:rsid w:val="004B1D54"/>
    <w:rsid w:val="004B3616"/>
    <w:rsid w:val="004B4188"/>
    <w:rsid w:val="004B70CD"/>
    <w:rsid w:val="004C343C"/>
    <w:rsid w:val="004C7999"/>
    <w:rsid w:val="004D43C0"/>
    <w:rsid w:val="004D47F4"/>
    <w:rsid w:val="004D7EEB"/>
    <w:rsid w:val="004E25B9"/>
    <w:rsid w:val="004E56FA"/>
    <w:rsid w:val="00500C19"/>
    <w:rsid w:val="005043EB"/>
    <w:rsid w:val="005049BA"/>
    <w:rsid w:val="00504F54"/>
    <w:rsid w:val="00505C6F"/>
    <w:rsid w:val="0051302A"/>
    <w:rsid w:val="005140ED"/>
    <w:rsid w:val="005146E6"/>
    <w:rsid w:val="005224CD"/>
    <w:rsid w:val="005307F1"/>
    <w:rsid w:val="00531913"/>
    <w:rsid w:val="005320E3"/>
    <w:rsid w:val="00534D10"/>
    <w:rsid w:val="005411A7"/>
    <w:rsid w:val="00543505"/>
    <w:rsid w:val="00551D31"/>
    <w:rsid w:val="005535CF"/>
    <w:rsid w:val="00557200"/>
    <w:rsid w:val="00560485"/>
    <w:rsid w:val="0057002C"/>
    <w:rsid w:val="00573763"/>
    <w:rsid w:val="005754C5"/>
    <w:rsid w:val="00581D5D"/>
    <w:rsid w:val="005866DF"/>
    <w:rsid w:val="00586813"/>
    <w:rsid w:val="005903FD"/>
    <w:rsid w:val="0059685D"/>
    <w:rsid w:val="005A005F"/>
    <w:rsid w:val="005A277D"/>
    <w:rsid w:val="005A6BAF"/>
    <w:rsid w:val="005B2943"/>
    <w:rsid w:val="005B6C72"/>
    <w:rsid w:val="005B6D89"/>
    <w:rsid w:val="005B7B27"/>
    <w:rsid w:val="005D1D72"/>
    <w:rsid w:val="005E1BB8"/>
    <w:rsid w:val="005E25BD"/>
    <w:rsid w:val="005E28EE"/>
    <w:rsid w:val="005F5F45"/>
    <w:rsid w:val="005F6583"/>
    <w:rsid w:val="00606788"/>
    <w:rsid w:val="00606F03"/>
    <w:rsid w:val="00613480"/>
    <w:rsid w:val="006138D1"/>
    <w:rsid w:val="00614793"/>
    <w:rsid w:val="006322B1"/>
    <w:rsid w:val="00634871"/>
    <w:rsid w:val="00644D5A"/>
    <w:rsid w:val="00645737"/>
    <w:rsid w:val="0064620A"/>
    <w:rsid w:val="006467D4"/>
    <w:rsid w:val="006476A9"/>
    <w:rsid w:val="006524F8"/>
    <w:rsid w:val="00656B27"/>
    <w:rsid w:val="00661432"/>
    <w:rsid w:val="006675AA"/>
    <w:rsid w:val="0067490B"/>
    <w:rsid w:val="00680625"/>
    <w:rsid w:val="006904ED"/>
    <w:rsid w:val="006938D0"/>
    <w:rsid w:val="00693AEB"/>
    <w:rsid w:val="00694BF5"/>
    <w:rsid w:val="00695383"/>
    <w:rsid w:val="006975A6"/>
    <w:rsid w:val="006B22D1"/>
    <w:rsid w:val="006B3040"/>
    <w:rsid w:val="006B7B54"/>
    <w:rsid w:val="006C16FF"/>
    <w:rsid w:val="006C5145"/>
    <w:rsid w:val="006C573B"/>
    <w:rsid w:val="006D01BB"/>
    <w:rsid w:val="006D0E75"/>
    <w:rsid w:val="006D126E"/>
    <w:rsid w:val="006D1CC8"/>
    <w:rsid w:val="006D1E05"/>
    <w:rsid w:val="006E3517"/>
    <w:rsid w:val="006E648F"/>
    <w:rsid w:val="006E7741"/>
    <w:rsid w:val="006F115F"/>
    <w:rsid w:val="006F14CD"/>
    <w:rsid w:val="006F54A0"/>
    <w:rsid w:val="00701080"/>
    <w:rsid w:val="00701751"/>
    <w:rsid w:val="0070649D"/>
    <w:rsid w:val="00706D01"/>
    <w:rsid w:val="0071217C"/>
    <w:rsid w:val="00722159"/>
    <w:rsid w:val="00722EBB"/>
    <w:rsid w:val="007231AA"/>
    <w:rsid w:val="007368BD"/>
    <w:rsid w:val="00740F3B"/>
    <w:rsid w:val="007469C0"/>
    <w:rsid w:val="0075370B"/>
    <w:rsid w:val="00764A36"/>
    <w:rsid w:val="00764D6A"/>
    <w:rsid w:val="00770A93"/>
    <w:rsid w:val="00773056"/>
    <w:rsid w:val="00773978"/>
    <w:rsid w:val="00777CD2"/>
    <w:rsid w:val="00781574"/>
    <w:rsid w:val="00785D31"/>
    <w:rsid w:val="00786234"/>
    <w:rsid w:val="00786437"/>
    <w:rsid w:val="0078794B"/>
    <w:rsid w:val="0079464A"/>
    <w:rsid w:val="007A019B"/>
    <w:rsid w:val="007B463A"/>
    <w:rsid w:val="007C02BB"/>
    <w:rsid w:val="007C097D"/>
    <w:rsid w:val="007C200D"/>
    <w:rsid w:val="007C3128"/>
    <w:rsid w:val="007C32A8"/>
    <w:rsid w:val="007C358A"/>
    <w:rsid w:val="007C45B6"/>
    <w:rsid w:val="007C4FDF"/>
    <w:rsid w:val="007C67B3"/>
    <w:rsid w:val="007D144C"/>
    <w:rsid w:val="007D37DC"/>
    <w:rsid w:val="007D60CC"/>
    <w:rsid w:val="007D702B"/>
    <w:rsid w:val="007D7043"/>
    <w:rsid w:val="007E18E0"/>
    <w:rsid w:val="007E65A3"/>
    <w:rsid w:val="007F2B0A"/>
    <w:rsid w:val="007F4A53"/>
    <w:rsid w:val="007F4AD2"/>
    <w:rsid w:val="0081033F"/>
    <w:rsid w:val="00811915"/>
    <w:rsid w:val="008124D0"/>
    <w:rsid w:val="0081336B"/>
    <w:rsid w:val="00814503"/>
    <w:rsid w:val="008177AE"/>
    <w:rsid w:val="008261A0"/>
    <w:rsid w:val="0083131E"/>
    <w:rsid w:val="008379D8"/>
    <w:rsid w:val="008400F6"/>
    <w:rsid w:val="00840773"/>
    <w:rsid w:val="00844CBB"/>
    <w:rsid w:val="00846404"/>
    <w:rsid w:val="00853FBA"/>
    <w:rsid w:val="008728BB"/>
    <w:rsid w:val="008733A9"/>
    <w:rsid w:val="00875620"/>
    <w:rsid w:val="008765CC"/>
    <w:rsid w:val="008840DB"/>
    <w:rsid w:val="00884FBF"/>
    <w:rsid w:val="00887A2F"/>
    <w:rsid w:val="00893C61"/>
    <w:rsid w:val="008A238E"/>
    <w:rsid w:val="008A3267"/>
    <w:rsid w:val="008A54E2"/>
    <w:rsid w:val="008A71D7"/>
    <w:rsid w:val="008B058D"/>
    <w:rsid w:val="008B15B2"/>
    <w:rsid w:val="008B55FA"/>
    <w:rsid w:val="008B6A6C"/>
    <w:rsid w:val="008B7AF4"/>
    <w:rsid w:val="008C215C"/>
    <w:rsid w:val="008C3677"/>
    <w:rsid w:val="008C47AB"/>
    <w:rsid w:val="008D1165"/>
    <w:rsid w:val="008D4F75"/>
    <w:rsid w:val="008D619B"/>
    <w:rsid w:val="008D7D7C"/>
    <w:rsid w:val="008E5484"/>
    <w:rsid w:val="00907C60"/>
    <w:rsid w:val="009164E0"/>
    <w:rsid w:val="00925B0F"/>
    <w:rsid w:val="009266E2"/>
    <w:rsid w:val="00926FE4"/>
    <w:rsid w:val="00933198"/>
    <w:rsid w:val="00935E6C"/>
    <w:rsid w:val="00940843"/>
    <w:rsid w:val="009408B9"/>
    <w:rsid w:val="00940A6C"/>
    <w:rsid w:val="00942871"/>
    <w:rsid w:val="00953299"/>
    <w:rsid w:val="00953892"/>
    <w:rsid w:val="00972961"/>
    <w:rsid w:val="009765BA"/>
    <w:rsid w:val="009778EE"/>
    <w:rsid w:val="009821D1"/>
    <w:rsid w:val="009822AD"/>
    <w:rsid w:val="00983A19"/>
    <w:rsid w:val="00996106"/>
    <w:rsid w:val="009A1583"/>
    <w:rsid w:val="009A2553"/>
    <w:rsid w:val="009B2243"/>
    <w:rsid w:val="009B4AB9"/>
    <w:rsid w:val="009B4FBA"/>
    <w:rsid w:val="009B7B39"/>
    <w:rsid w:val="009C48C5"/>
    <w:rsid w:val="009D04AE"/>
    <w:rsid w:val="009D10CB"/>
    <w:rsid w:val="009D1CE5"/>
    <w:rsid w:val="009D47F2"/>
    <w:rsid w:val="009D5007"/>
    <w:rsid w:val="009D52FB"/>
    <w:rsid w:val="009E3885"/>
    <w:rsid w:val="009E3DF1"/>
    <w:rsid w:val="009F2317"/>
    <w:rsid w:val="009F3D4C"/>
    <w:rsid w:val="009F58EB"/>
    <w:rsid w:val="009F7FA3"/>
    <w:rsid w:val="00A025F4"/>
    <w:rsid w:val="00A03A0B"/>
    <w:rsid w:val="00A11FF6"/>
    <w:rsid w:val="00A131BE"/>
    <w:rsid w:val="00A14504"/>
    <w:rsid w:val="00A238DD"/>
    <w:rsid w:val="00A24D4E"/>
    <w:rsid w:val="00A35A3E"/>
    <w:rsid w:val="00A40918"/>
    <w:rsid w:val="00A41E1E"/>
    <w:rsid w:val="00A4546C"/>
    <w:rsid w:val="00A47BCF"/>
    <w:rsid w:val="00A545AC"/>
    <w:rsid w:val="00A56BD3"/>
    <w:rsid w:val="00A56D2A"/>
    <w:rsid w:val="00A61080"/>
    <w:rsid w:val="00A635F9"/>
    <w:rsid w:val="00A773F0"/>
    <w:rsid w:val="00A8669F"/>
    <w:rsid w:val="00A877BF"/>
    <w:rsid w:val="00A91206"/>
    <w:rsid w:val="00A94F1E"/>
    <w:rsid w:val="00A95F9E"/>
    <w:rsid w:val="00A9640B"/>
    <w:rsid w:val="00AA3503"/>
    <w:rsid w:val="00AA4FFF"/>
    <w:rsid w:val="00AB03BE"/>
    <w:rsid w:val="00AB22D2"/>
    <w:rsid w:val="00AB49AC"/>
    <w:rsid w:val="00AC04CA"/>
    <w:rsid w:val="00AC1B34"/>
    <w:rsid w:val="00AC35F5"/>
    <w:rsid w:val="00AD0141"/>
    <w:rsid w:val="00AD0BF6"/>
    <w:rsid w:val="00AD0D9E"/>
    <w:rsid w:val="00AD3556"/>
    <w:rsid w:val="00AD5958"/>
    <w:rsid w:val="00AE0A9F"/>
    <w:rsid w:val="00AE4237"/>
    <w:rsid w:val="00AE5925"/>
    <w:rsid w:val="00AE75FF"/>
    <w:rsid w:val="00AF1273"/>
    <w:rsid w:val="00AF1E05"/>
    <w:rsid w:val="00AF24FB"/>
    <w:rsid w:val="00AF63C5"/>
    <w:rsid w:val="00B02F37"/>
    <w:rsid w:val="00B042EC"/>
    <w:rsid w:val="00B104A0"/>
    <w:rsid w:val="00B14DEF"/>
    <w:rsid w:val="00B229B3"/>
    <w:rsid w:val="00B23BF7"/>
    <w:rsid w:val="00B35B14"/>
    <w:rsid w:val="00B41B44"/>
    <w:rsid w:val="00B42634"/>
    <w:rsid w:val="00B4285E"/>
    <w:rsid w:val="00B43179"/>
    <w:rsid w:val="00B45B00"/>
    <w:rsid w:val="00B45D72"/>
    <w:rsid w:val="00B46984"/>
    <w:rsid w:val="00B4749E"/>
    <w:rsid w:val="00B50362"/>
    <w:rsid w:val="00B50C29"/>
    <w:rsid w:val="00B53159"/>
    <w:rsid w:val="00B5740E"/>
    <w:rsid w:val="00B57FF1"/>
    <w:rsid w:val="00B62E7E"/>
    <w:rsid w:val="00B661C7"/>
    <w:rsid w:val="00B66292"/>
    <w:rsid w:val="00B837B8"/>
    <w:rsid w:val="00B86183"/>
    <w:rsid w:val="00B861B4"/>
    <w:rsid w:val="00B97A71"/>
    <w:rsid w:val="00B97E61"/>
    <w:rsid w:val="00BA09CE"/>
    <w:rsid w:val="00BA4C2E"/>
    <w:rsid w:val="00BB2DAE"/>
    <w:rsid w:val="00BB5EF1"/>
    <w:rsid w:val="00BB7658"/>
    <w:rsid w:val="00BC01D3"/>
    <w:rsid w:val="00BC0BD3"/>
    <w:rsid w:val="00BC1616"/>
    <w:rsid w:val="00BC4A54"/>
    <w:rsid w:val="00BE0FE4"/>
    <w:rsid w:val="00BE10F3"/>
    <w:rsid w:val="00BE561A"/>
    <w:rsid w:val="00BE5657"/>
    <w:rsid w:val="00BE68AA"/>
    <w:rsid w:val="00BE6AB3"/>
    <w:rsid w:val="00C003C5"/>
    <w:rsid w:val="00C00EB4"/>
    <w:rsid w:val="00C02519"/>
    <w:rsid w:val="00C039E4"/>
    <w:rsid w:val="00C0463B"/>
    <w:rsid w:val="00C04869"/>
    <w:rsid w:val="00C12ACE"/>
    <w:rsid w:val="00C15B9D"/>
    <w:rsid w:val="00C172C8"/>
    <w:rsid w:val="00C23A03"/>
    <w:rsid w:val="00C30F74"/>
    <w:rsid w:val="00C33358"/>
    <w:rsid w:val="00C36DDD"/>
    <w:rsid w:val="00C4163C"/>
    <w:rsid w:val="00C416EC"/>
    <w:rsid w:val="00C54DBA"/>
    <w:rsid w:val="00C56951"/>
    <w:rsid w:val="00C6165C"/>
    <w:rsid w:val="00C631CD"/>
    <w:rsid w:val="00C6320E"/>
    <w:rsid w:val="00C741B6"/>
    <w:rsid w:val="00C76009"/>
    <w:rsid w:val="00C774BD"/>
    <w:rsid w:val="00C8128A"/>
    <w:rsid w:val="00C84567"/>
    <w:rsid w:val="00C85C62"/>
    <w:rsid w:val="00C870DD"/>
    <w:rsid w:val="00C873CB"/>
    <w:rsid w:val="00C91A80"/>
    <w:rsid w:val="00C9580C"/>
    <w:rsid w:val="00CA0814"/>
    <w:rsid w:val="00CA183D"/>
    <w:rsid w:val="00CA37DC"/>
    <w:rsid w:val="00CB358B"/>
    <w:rsid w:val="00CB3F01"/>
    <w:rsid w:val="00CC244B"/>
    <w:rsid w:val="00CC281E"/>
    <w:rsid w:val="00CC4113"/>
    <w:rsid w:val="00CD3768"/>
    <w:rsid w:val="00CE38C3"/>
    <w:rsid w:val="00CE51A3"/>
    <w:rsid w:val="00CE664D"/>
    <w:rsid w:val="00CF0615"/>
    <w:rsid w:val="00CF2BDE"/>
    <w:rsid w:val="00CF3401"/>
    <w:rsid w:val="00CF3F3A"/>
    <w:rsid w:val="00D00952"/>
    <w:rsid w:val="00D04635"/>
    <w:rsid w:val="00D06D80"/>
    <w:rsid w:val="00D1126E"/>
    <w:rsid w:val="00D14388"/>
    <w:rsid w:val="00D204FF"/>
    <w:rsid w:val="00D215FF"/>
    <w:rsid w:val="00D22CB3"/>
    <w:rsid w:val="00D245A3"/>
    <w:rsid w:val="00D301C8"/>
    <w:rsid w:val="00D338A6"/>
    <w:rsid w:val="00D37CE0"/>
    <w:rsid w:val="00D406F7"/>
    <w:rsid w:val="00D43F33"/>
    <w:rsid w:val="00D47121"/>
    <w:rsid w:val="00D52E1A"/>
    <w:rsid w:val="00D61B3F"/>
    <w:rsid w:val="00D6626A"/>
    <w:rsid w:val="00D70CA3"/>
    <w:rsid w:val="00D733E4"/>
    <w:rsid w:val="00D75305"/>
    <w:rsid w:val="00D8472B"/>
    <w:rsid w:val="00D8507A"/>
    <w:rsid w:val="00D85997"/>
    <w:rsid w:val="00D95856"/>
    <w:rsid w:val="00DA0626"/>
    <w:rsid w:val="00DA45A1"/>
    <w:rsid w:val="00DA4B0B"/>
    <w:rsid w:val="00DA4DF0"/>
    <w:rsid w:val="00DA625E"/>
    <w:rsid w:val="00DB02F9"/>
    <w:rsid w:val="00DB2ECC"/>
    <w:rsid w:val="00DB469E"/>
    <w:rsid w:val="00DC2C38"/>
    <w:rsid w:val="00DC52CF"/>
    <w:rsid w:val="00DC66FB"/>
    <w:rsid w:val="00DD103D"/>
    <w:rsid w:val="00DD7AB1"/>
    <w:rsid w:val="00DE1C36"/>
    <w:rsid w:val="00DE3C9F"/>
    <w:rsid w:val="00DE600C"/>
    <w:rsid w:val="00DF14BE"/>
    <w:rsid w:val="00E017F3"/>
    <w:rsid w:val="00E0229B"/>
    <w:rsid w:val="00E04499"/>
    <w:rsid w:val="00E12267"/>
    <w:rsid w:val="00E124C6"/>
    <w:rsid w:val="00E13679"/>
    <w:rsid w:val="00E14834"/>
    <w:rsid w:val="00E14E64"/>
    <w:rsid w:val="00E14EBC"/>
    <w:rsid w:val="00E20092"/>
    <w:rsid w:val="00E20810"/>
    <w:rsid w:val="00E20E13"/>
    <w:rsid w:val="00E26F8B"/>
    <w:rsid w:val="00E31B51"/>
    <w:rsid w:val="00E351E2"/>
    <w:rsid w:val="00E3612D"/>
    <w:rsid w:val="00E43833"/>
    <w:rsid w:val="00E47C8D"/>
    <w:rsid w:val="00E62CFA"/>
    <w:rsid w:val="00E6301A"/>
    <w:rsid w:val="00E65360"/>
    <w:rsid w:val="00E7000A"/>
    <w:rsid w:val="00E7263C"/>
    <w:rsid w:val="00E73122"/>
    <w:rsid w:val="00E76A60"/>
    <w:rsid w:val="00E83904"/>
    <w:rsid w:val="00E8492C"/>
    <w:rsid w:val="00E8637E"/>
    <w:rsid w:val="00E91D72"/>
    <w:rsid w:val="00EC3D5C"/>
    <w:rsid w:val="00EC72C2"/>
    <w:rsid w:val="00EC7FF3"/>
    <w:rsid w:val="00ED256E"/>
    <w:rsid w:val="00EE0817"/>
    <w:rsid w:val="00EE2F75"/>
    <w:rsid w:val="00EF0FFC"/>
    <w:rsid w:val="00EF4D45"/>
    <w:rsid w:val="00EF55CC"/>
    <w:rsid w:val="00EF7278"/>
    <w:rsid w:val="00F00322"/>
    <w:rsid w:val="00F04729"/>
    <w:rsid w:val="00F110FF"/>
    <w:rsid w:val="00F20CDC"/>
    <w:rsid w:val="00F267E7"/>
    <w:rsid w:val="00F411C5"/>
    <w:rsid w:val="00F44119"/>
    <w:rsid w:val="00F556A4"/>
    <w:rsid w:val="00F67EB8"/>
    <w:rsid w:val="00F81111"/>
    <w:rsid w:val="00F82111"/>
    <w:rsid w:val="00F8723E"/>
    <w:rsid w:val="00F90445"/>
    <w:rsid w:val="00F93CCA"/>
    <w:rsid w:val="00FA1EB6"/>
    <w:rsid w:val="00FA1F98"/>
    <w:rsid w:val="00FA209D"/>
    <w:rsid w:val="00FA2743"/>
    <w:rsid w:val="00FA2BCB"/>
    <w:rsid w:val="00FA4FE0"/>
    <w:rsid w:val="00FB3D29"/>
    <w:rsid w:val="00FB53C6"/>
    <w:rsid w:val="00FC1759"/>
    <w:rsid w:val="00FD06B2"/>
    <w:rsid w:val="00FD08AF"/>
    <w:rsid w:val="00FD0FC8"/>
    <w:rsid w:val="00FD2366"/>
    <w:rsid w:val="00FD2D6B"/>
    <w:rsid w:val="00FD6EF4"/>
    <w:rsid w:val="00FD7ECC"/>
    <w:rsid w:val="00FE274C"/>
    <w:rsid w:val="00FF4FC8"/>
    <w:rsid w:val="00FF62BE"/>
    <w:rsid w:val="00FF6C5C"/>
    <w:rsid w:val="00FF74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A2AAD"/>
  <w15:docId w15:val="{59F0CE32-7160-4126-83CE-F6513682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0" w:unhideWhenUsed="1" w:qFormat="1"/>
    <w:lsdException w:name="heading 5" w:semiHidden="1" w:uiPriority="2" w:unhideWhenUsed="1" w:qFormat="1"/>
    <w:lsdException w:name="heading 6" w:semiHidden="1" w:uiPriority="2"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qFormat="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locked="1" w:uiPriority="21" w:qFormat="1"/>
    <w:lsdException w:name="Subtle Reference" w:semiHidden="1" w:uiPriority="31" w:unhideWhenUsed="1" w:qFormat="1"/>
    <w:lsdException w:name="Intense Reference" w:locked="1" w:semiHidden="1"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BDE"/>
    <w:pPr>
      <w:spacing w:after="200" w:line="276" w:lineRule="auto"/>
    </w:pPr>
    <w:rPr>
      <w:rFonts w:ascii="Arial" w:eastAsiaTheme="minorHAnsi" w:hAnsi="Arial" w:cstheme="minorBidi"/>
      <w:sz w:val="22"/>
      <w:szCs w:val="22"/>
      <w:lang w:eastAsia="en-US"/>
    </w:rPr>
  </w:style>
  <w:style w:type="paragraph" w:styleId="Heading1">
    <w:name w:val="heading 1"/>
    <w:next w:val="Normal"/>
    <w:link w:val="Heading1Char"/>
    <w:uiPriority w:val="1"/>
    <w:qFormat/>
    <w:rsid w:val="00195636"/>
    <w:pPr>
      <w:widowControl w:val="0"/>
      <w:spacing w:before="3240" w:after="480"/>
      <w:contextualSpacing/>
      <w:outlineLvl w:val="0"/>
    </w:pPr>
    <w:rPr>
      <w:rFonts w:ascii="Arial" w:eastAsiaTheme="minorHAnsi" w:hAnsi="Arial" w:cstheme="minorBidi"/>
      <w:b/>
      <w:bCs/>
      <w:color w:val="FFFFFF" w:themeColor="background1"/>
      <w:spacing w:val="5"/>
      <w:kern w:val="28"/>
      <w:sz w:val="96"/>
      <w:szCs w:val="28"/>
      <w:lang w:eastAsia="en-US"/>
    </w:rPr>
  </w:style>
  <w:style w:type="paragraph" w:styleId="Heading2">
    <w:name w:val="heading 2"/>
    <w:basedOn w:val="Normal"/>
    <w:next w:val="Normal"/>
    <w:link w:val="Heading2Char"/>
    <w:uiPriority w:val="3"/>
    <w:rsid w:val="00BE0FE4"/>
    <w:pPr>
      <w:pageBreakBefore/>
      <w:numPr>
        <w:numId w:val="11"/>
      </w:numPr>
      <w:spacing w:after="240"/>
      <w:outlineLvl w:val="1"/>
    </w:pPr>
    <w:rPr>
      <w:rFonts w:eastAsiaTheme="minorEastAsia"/>
      <w:b/>
      <w:bCs/>
      <w:color w:val="0C5B88"/>
      <w:sz w:val="44"/>
      <w:szCs w:val="28"/>
      <w:lang w:eastAsia="ja-JP"/>
    </w:rPr>
  </w:style>
  <w:style w:type="paragraph" w:styleId="Heading3">
    <w:name w:val="heading 3"/>
    <w:next w:val="Normal"/>
    <w:link w:val="Heading3Char"/>
    <w:uiPriority w:val="4"/>
    <w:qFormat/>
    <w:rsid w:val="00BE0FE4"/>
    <w:pPr>
      <w:keepNext/>
      <w:keepLines/>
      <w:numPr>
        <w:ilvl w:val="1"/>
        <w:numId w:val="11"/>
      </w:numPr>
      <w:spacing w:after="60"/>
      <w:outlineLvl w:val="2"/>
    </w:pPr>
    <w:rPr>
      <w:rFonts w:ascii="Arial" w:eastAsia="Times New Roman" w:hAnsi="Arial"/>
      <w:b/>
      <w:bCs/>
      <w:color w:val="0C5B88"/>
      <w:sz w:val="36"/>
      <w:szCs w:val="24"/>
      <w:lang w:eastAsia="en-US"/>
    </w:rPr>
  </w:style>
  <w:style w:type="paragraph" w:styleId="Heading4">
    <w:name w:val="heading 4"/>
    <w:basedOn w:val="Normal"/>
    <w:next w:val="Normal"/>
    <w:link w:val="Heading4Char"/>
    <w:rsid w:val="00BE0FE4"/>
    <w:pPr>
      <w:keepNext/>
      <w:numPr>
        <w:ilvl w:val="2"/>
        <w:numId w:val="11"/>
      </w:numPr>
      <w:tabs>
        <w:tab w:val="left" w:pos="1021"/>
      </w:tabs>
      <w:spacing w:before="120" w:after="60"/>
      <w:outlineLvl w:val="3"/>
    </w:pPr>
    <w:rPr>
      <w:rFonts w:eastAsiaTheme="majorEastAsia" w:cstheme="majorBidi"/>
      <w:b/>
      <w:bCs/>
      <w:iCs/>
      <w:color w:val="0C5B88"/>
      <w:sz w:val="28"/>
    </w:rPr>
  </w:style>
  <w:style w:type="paragraph" w:styleId="Heading5">
    <w:name w:val="heading 5"/>
    <w:next w:val="Normal"/>
    <w:link w:val="Heading5Char"/>
    <w:uiPriority w:val="2"/>
    <w:qFormat/>
    <w:rsid w:val="00BE0FE4"/>
    <w:pPr>
      <w:keepNext/>
      <w:numPr>
        <w:ilvl w:val="3"/>
        <w:numId w:val="11"/>
      </w:numPr>
      <w:tabs>
        <w:tab w:val="left" w:pos="1361"/>
      </w:tabs>
      <w:spacing w:before="100" w:after="100" w:line="240" w:lineRule="atLeast"/>
      <w:ind w:left="862" w:hanging="862"/>
      <w:outlineLvl w:val="4"/>
    </w:pPr>
    <w:rPr>
      <w:rFonts w:ascii="Arial" w:eastAsiaTheme="majorEastAsia" w:hAnsi="Arial" w:cstheme="majorBidi"/>
      <w:b/>
      <w:color w:val="0C5B88"/>
      <w:sz w:val="24"/>
      <w:szCs w:val="22"/>
      <w:lang w:eastAsia="en-US"/>
    </w:rPr>
  </w:style>
  <w:style w:type="paragraph" w:styleId="Heading6">
    <w:name w:val="heading 6"/>
    <w:basedOn w:val="Normal"/>
    <w:next w:val="Normal"/>
    <w:link w:val="Heading6Char"/>
    <w:uiPriority w:val="2"/>
    <w:qFormat/>
    <w:rsid w:val="006E7741"/>
    <w:pPr>
      <w:keepNext/>
      <w:tabs>
        <w:tab w:val="left" w:pos="1361"/>
      </w:tabs>
      <w:spacing w:before="120" w:after="100"/>
      <w:ind w:left="1009" w:hanging="1009"/>
      <w:outlineLvl w:val="5"/>
    </w:pPr>
    <w:rPr>
      <w:rFonts w:eastAsiaTheme="majorEastAsia" w:cstheme="majorBidi"/>
      <w:b/>
      <w:iCs/>
      <w:color w:val="0C5B88"/>
    </w:rPr>
  </w:style>
  <w:style w:type="paragraph" w:styleId="Heading7">
    <w:name w:val="heading 7"/>
    <w:basedOn w:val="Normal"/>
    <w:next w:val="Normal"/>
    <w:link w:val="Heading7Char"/>
    <w:uiPriority w:val="9"/>
    <w:qFormat/>
    <w:rsid w:val="00CF2BDE"/>
    <w:pPr>
      <w:keepNext/>
      <w:keepLines/>
      <w:spacing w:before="40" w:after="0"/>
      <w:outlineLvl w:val="6"/>
    </w:pPr>
    <w:rPr>
      <w:rFonts w:eastAsiaTheme="majorEastAsia" w:cs="Arial"/>
      <w:b/>
      <w:bCs/>
      <w:color w:val="0C5B88"/>
      <w:sz w:val="21"/>
      <w:szCs w:val="21"/>
      <w:lang w:eastAsia="ja-JP"/>
    </w:rPr>
  </w:style>
  <w:style w:type="paragraph" w:styleId="Heading8">
    <w:name w:val="heading 8"/>
    <w:basedOn w:val="Normal"/>
    <w:next w:val="Normal"/>
    <w:link w:val="Heading8Char"/>
    <w:uiPriority w:val="9"/>
    <w:qFormat/>
    <w:rsid w:val="00CF2BDE"/>
    <w:pPr>
      <w:keepNext/>
      <w:keepLines/>
      <w:spacing w:before="40" w:after="0"/>
      <w:outlineLvl w:val="7"/>
    </w:pPr>
    <w:rPr>
      <w:rFonts w:eastAsiaTheme="majorEastAsia" w:cs="Arial"/>
      <w:color w:val="272727" w:themeColor="text1" w:themeTint="D8"/>
      <w:sz w:val="20"/>
      <w:szCs w:val="20"/>
    </w:rPr>
  </w:style>
  <w:style w:type="paragraph" w:styleId="Heading9">
    <w:name w:val="heading 9"/>
    <w:basedOn w:val="Normal"/>
    <w:next w:val="Normal"/>
    <w:link w:val="Heading9Char"/>
    <w:uiPriority w:val="9"/>
    <w:qFormat/>
    <w:rsid w:val="00CF2BDE"/>
    <w:pPr>
      <w:keepNext/>
      <w:keepLines/>
      <w:spacing w:before="40" w:after="0"/>
      <w:outlineLvl w:val="8"/>
    </w:pPr>
    <w:rPr>
      <w:rFonts w:eastAsiaTheme="majorEastAsia" w:cs="Arial"/>
      <w:i/>
      <w:iCs/>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rsid w:val="00A877BF"/>
    <w:pPr>
      <w:spacing w:after="0" w:line="240" w:lineRule="auto"/>
    </w:pPr>
    <w:rPr>
      <w:rFonts w:cs="Arial"/>
      <w:sz w:val="18"/>
      <w:szCs w:val="18"/>
    </w:rPr>
  </w:style>
  <w:style w:type="character" w:customStyle="1" w:styleId="FooterChar">
    <w:name w:val="Footer Char"/>
    <w:basedOn w:val="DefaultParagraphFont"/>
    <w:link w:val="Footer"/>
    <w:uiPriority w:val="99"/>
    <w:rsid w:val="00A877BF"/>
    <w:rPr>
      <w:rFonts w:ascii="Arial" w:eastAsiaTheme="minorHAnsi" w:hAnsi="Arial" w:cs="Arial"/>
      <w:sz w:val="18"/>
      <w:szCs w:val="18"/>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rsid w:val="0064620A"/>
    <w:pPr>
      <w:spacing w:before="60" w:after="60" w:line="720" w:lineRule="auto"/>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oxText2">
    <w:name w:val="Box Text 2"/>
    <w:basedOn w:val="BoxText1"/>
    <w:qFormat/>
    <w:rsid w:val="00213299"/>
    <w:pPr>
      <w:pBdr>
        <w:top w:val="single" w:sz="12" w:space="10" w:color="3886A8"/>
        <w:left w:val="single" w:sz="12" w:space="10" w:color="3886A8"/>
        <w:bottom w:val="single" w:sz="12" w:space="10" w:color="3886A8"/>
        <w:right w:val="single" w:sz="12" w:space="10" w:color="3886A8"/>
      </w:pBdr>
      <w:shd w:val="clear" w:color="auto" w:fill="auto"/>
    </w:pPr>
  </w:style>
  <w:style w:type="character" w:customStyle="1" w:styleId="Heading1Char">
    <w:name w:val="Heading 1 Char"/>
    <w:basedOn w:val="DefaultParagraphFont"/>
    <w:link w:val="Heading1"/>
    <w:uiPriority w:val="1"/>
    <w:rsid w:val="00195636"/>
    <w:rPr>
      <w:rFonts w:ascii="Arial" w:eastAsiaTheme="minorHAnsi" w:hAnsi="Arial" w:cstheme="minorBidi"/>
      <w:b/>
      <w:bCs/>
      <w:color w:val="FFFFFF" w:themeColor="background1"/>
      <w:spacing w:val="5"/>
      <w:kern w:val="28"/>
      <w:sz w:val="96"/>
      <w:szCs w:val="28"/>
      <w:lang w:eastAsia="en-US"/>
    </w:rPr>
  </w:style>
  <w:style w:type="character" w:customStyle="1" w:styleId="Heading2Char">
    <w:name w:val="Heading 2 Char"/>
    <w:basedOn w:val="DefaultParagraphFont"/>
    <w:link w:val="Heading2"/>
    <w:uiPriority w:val="3"/>
    <w:rsid w:val="00BE0FE4"/>
    <w:rPr>
      <w:rFonts w:ascii="Arial" w:eastAsiaTheme="minorEastAsia" w:hAnsi="Arial" w:cstheme="minorBidi"/>
      <w:b/>
      <w:bCs/>
      <w:color w:val="0C5B88"/>
      <w:sz w:val="44"/>
      <w:szCs w:val="28"/>
      <w:lang w:eastAsia="ja-JP"/>
    </w:rPr>
  </w:style>
  <w:style w:type="character" w:customStyle="1" w:styleId="Heading3Char">
    <w:name w:val="Heading 3 Char"/>
    <w:basedOn w:val="DefaultParagraphFont"/>
    <w:link w:val="Heading3"/>
    <w:uiPriority w:val="4"/>
    <w:rsid w:val="00BE0FE4"/>
    <w:rPr>
      <w:rFonts w:ascii="Arial" w:eastAsia="Times New Roman" w:hAnsi="Arial"/>
      <w:b/>
      <w:bCs/>
      <w:color w:val="0C5B88"/>
      <w:sz w:val="36"/>
      <w:szCs w:val="24"/>
      <w:lang w:eastAsia="en-US"/>
    </w:rPr>
  </w:style>
  <w:style w:type="character" w:customStyle="1" w:styleId="Heading4Char">
    <w:name w:val="Heading 4 Char"/>
    <w:basedOn w:val="DefaultParagraphFont"/>
    <w:link w:val="Heading4"/>
    <w:rsid w:val="00BE0FE4"/>
    <w:rPr>
      <w:rFonts w:ascii="Arial" w:eastAsiaTheme="majorEastAsia" w:hAnsi="Arial" w:cstheme="majorBidi"/>
      <w:b/>
      <w:bCs/>
      <w:iCs/>
      <w:color w:val="0C5B88"/>
      <w:sz w:val="28"/>
      <w:szCs w:val="22"/>
      <w:lang w:eastAsia="en-US"/>
    </w:rPr>
  </w:style>
  <w:style w:type="character" w:customStyle="1" w:styleId="Heading5Char">
    <w:name w:val="Heading 5 Char"/>
    <w:basedOn w:val="DefaultParagraphFont"/>
    <w:link w:val="Heading5"/>
    <w:uiPriority w:val="2"/>
    <w:rsid w:val="00BE0FE4"/>
    <w:rPr>
      <w:rFonts w:ascii="Arial" w:eastAsiaTheme="majorEastAsia" w:hAnsi="Arial" w:cstheme="majorBidi"/>
      <w:b/>
      <w:color w:val="0C5B88"/>
      <w:sz w:val="24"/>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1">
    <w:name w:val="Box Text 1"/>
    <w:basedOn w:val="Normal"/>
    <w:uiPriority w:val="19"/>
    <w:qFormat/>
    <w:rsid w:val="00BE0FE4"/>
    <w:pPr>
      <w:pBdr>
        <w:top w:val="single" w:sz="4" w:space="10" w:color="F3F1EB"/>
        <w:left w:val="single" w:sz="4" w:space="10" w:color="F3F1EB"/>
        <w:bottom w:val="single" w:sz="4" w:space="10" w:color="F3F1EB"/>
        <w:right w:val="single" w:sz="4" w:space="10" w:color="F3F1EB"/>
      </w:pBdr>
      <w:shd w:val="solid" w:color="F3F1EB" w:fill="auto"/>
      <w:spacing w:before="120" w:after="120"/>
    </w:pPr>
    <w:rPr>
      <w:lang w:eastAsia="ja-JP"/>
    </w:rPr>
  </w:style>
  <w:style w:type="paragraph" w:styleId="Caption">
    <w:name w:val="caption"/>
    <w:basedOn w:val="Normal"/>
    <w:next w:val="Normal"/>
    <w:uiPriority w:val="12"/>
    <w:qFormat/>
    <w:rsid w:val="00722EBB"/>
    <w:pPr>
      <w:keepNext/>
      <w:spacing w:before="120" w:after="120" w:line="240" w:lineRule="auto"/>
    </w:pPr>
    <w:rPr>
      <w:b/>
      <w:bCs/>
      <w:color w:val="303F51" w:themeColor="text2"/>
      <w:szCs w:val="18"/>
    </w:rPr>
  </w:style>
  <w:style w:type="paragraph" w:customStyle="1" w:styleId="FigureTableNoteSource">
    <w:name w:val="Figure/Table Note/Source"/>
    <w:basedOn w:val="Normal"/>
    <w:next w:val="Normal"/>
    <w:uiPriority w:val="16"/>
    <w:qFormat/>
    <w:rsid w:val="000344FC"/>
    <w:pPr>
      <w:spacing w:before="120" w:line="264" w:lineRule="auto"/>
      <w:contextualSpacing/>
    </w:pPr>
    <w:rPr>
      <w:sz w:val="18"/>
    </w:rPr>
  </w:style>
  <w:style w:type="paragraph" w:styleId="Subtitle">
    <w:name w:val="Subtitle"/>
    <w:basedOn w:val="Heading1"/>
    <w:next w:val="Normal"/>
    <w:link w:val="SubtitleChar"/>
    <w:uiPriority w:val="23"/>
    <w:qFormat/>
    <w:rsid w:val="00094AF3"/>
    <w:pPr>
      <w:spacing w:before="120"/>
    </w:pPr>
    <w:rPr>
      <w:b w:val="0"/>
      <w:sz w:val="40"/>
      <w:szCs w:val="56"/>
    </w:rPr>
  </w:style>
  <w:style w:type="character" w:customStyle="1" w:styleId="SubtitleChar">
    <w:name w:val="Subtitle Char"/>
    <w:basedOn w:val="DefaultParagraphFont"/>
    <w:link w:val="Subtitle"/>
    <w:uiPriority w:val="23"/>
    <w:rsid w:val="00094AF3"/>
    <w:rPr>
      <w:rFonts w:ascii="Arial" w:eastAsiaTheme="minorHAnsi" w:hAnsi="Arial" w:cstheme="minorBidi"/>
      <w:bCs/>
      <w:color w:val="FFFFFF" w:themeColor="background1"/>
      <w:spacing w:val="5"/>
      <w:kern w:val="28"/>
      <w:sz w:val="40"/>
      <w:szCs w:val="56"/>
      <w:lang w:eastAsia="en-US"/>
    </w:rPr>
  </w:style>
  <w:style w:type="paragraph" w:styleId="TOCHeading">
    <w:name w:val="TOC Heading"/>
    <w:next w:val="Normal"/>
    <w:uiPriority w:val="39"/>
    <w:qFormat/>
    <w:rsid w:val="00BE5657"/>
    <w:pPr>
      <w:spacing w:before="480" w:after="120" w:line="276" w:lineRule="auto"/>
    </w:pPr>
    <w:rPr>
      <w:rFonts w:ascii="Arial" w:eastAsiaTheme="minorEastAsia" w:hAnsi="Arial" w:cstheme="minorBidi"/>
      <w:b/>
      <w:bCs/>
      <w:color w:val="0C5B88"/>
      <w:sz w:val="36"/>
      <w:szCs w:val="28"/>
      <w:lang w:eastAsia="ja-JP"/>
    </w:rPr>
  </w:style>
  <w:style w:type="paragraph" w:styleId="TOC1">
    <w:name w:val="toc 1"/>
    <w:basedOn w:val="Normal"/>
    <w:next w:val="Normal"/>
    <w:uiPriority w:val="39"/>
    <w:unhideWhenUsed/>
    <w:qFormat/>
    <w:rsid w:val="000344FC"/>
    <w:pPr>
      <w:tabs>
        <w:tab w:val="left" w:pos="426"/>
        <w:tab w:val="right" w:leader="dot" w:pos="9072"/>
      </w:tabs>
      <w:spacing w:before="120" w:after="120" w:line="240" w:lineRule="auto"/>
    </w:pPr>
    <w:rPr>
      <w:b/>
      <w:noProof/>
      <w:color w:val="303F51"/>
    </w:rPr>
  </w:style>
  <w:style w:type="paragraph" w:styleId="TOC2">
    <w:name w:val="toc 2"/>
    <w:basedOn w:val="Normal"/>
    <w:next w:val="Normal"/>
    <w:uiPriority w:val="39"/>
    <w:unhideWhenUsed/>
    <w:qFormat/>
    <w:rsid w:val="000344FC"/>
    <w:pPr>
      <w:tabs>
        <w:tab w:val="right" w:leader="dot" w:pos="9060"/>
      </w:tabs>
      <w:spacing w:before="120" w:after="120" w:line="240" w:lineRule="auto"/>
      <w:ind w:firstLine="425"/>
    </w:pPr>
    <w:rPr>
      <w:noProof/>
      <w:color w:val="303F51"/>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83131E"/>
    <w:pPr>
      <w:numPr>
        <w:numId w:val="3"/>
      </w:numPr>
      <w:spacing w:before="120" w:after="120"/>
    </w:pPr>
    <w:rPr>
      <w:lang w:eastAsia="ja-JP"/>
    </w:r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3"/>
      </w:numPr>
      <w:spacing w:before="120" w:after="120"/>
      <w:contextualSpacing/>
    </w:pPr>
  </w:style>
  <w:style w:type="paragraph" w:styleId="ListNumber">
    <w:name w:val="List Number"/>
    <w:basedOn w:val="Normal"/>
    <w:uiPriority w:val="99"/>
    <w:rsid w:val="00722EBB"/>
    <w:pPr>
      <w:numPr>
        <w:numId w:val="12"/>
      </w:numPr>
      <w:spacing w:before="120" w:after="120" w:line="240" w:lineRule="auto"/>
    </w:pPr>
    <w:rPr>
      <w:color w:val="000000" w:themeColor="text1" w:themeShade="BF"/>
      <w:lang w:eastAsia="ja-JP"/>
    </w:rPr>
  </w:style>
  <w:style w:type="paragraph" w:styleId="ListNumber2">
    <w:name w:val="List Number 2"/>
    <w:uiPriority w:val="10"/>
    <w:qFormat/>
    <w:rsid w:val="00132F5B"/>
    <w:pPr>
      <w:numPr>
        <w:ilvl w:val="1"/>
        <w:numId w:val="12"/>
      </w:numPr>
      <w:tabs>
        <w:tab w:val="left" w:pos="567"/>
      </w:tabs>
      <w:spacing w:before="120" w:after="120" w:line="264" w:lineRule="auto"/>
      <w:ind w:left="850" w:hanging="425"/>
    </w:pPr>
    <w:rPr>
      <w:rFonts w:ascii="Arial" w:eastAsia="Times New Roman" w:hAnsi="Arial"/>
      <w:sz w:val="22"/>
      <w:szCs w:val="24"/>
      <w:lang w:eastAsia="en-US"/>
    </w:rPr>
  </w:style>
  <w:style w:type="paragraph" w:styleId="ListNumber3">
    <w:name w:val="List Number 3"/>
    <w:uiPriority w:val="11"/>
    <w:qFormat/>
    <w:rsid w:val="00132F5B"/>
    <w:pPr>
      <w:numPr>
        <w:ilvl w:val="2"/>
        <w:numId w:val="12"/>
      </w:numPr>
      <w:spacing w:before="120" w:after="120" w:line="264" w:lineRule="auto"/>
      <w:ind w:left="1276" w:hanging="283"/>
    </w:pPr>
    <w:rPr>
      <w:rFonts w:ascii="Arial" w:eastAsia="Times New Roman" w:hAnsi="Arial"/>
      <w:sz w:val="22"/>
      <w:szCs w:val="24"/>
      <w:lang w:eastAsia="ja-JP"/>
    </w:rPr>
  </w:style>
  <w:style w:type="paragraph" w:styleId="Revision">
    <w:name w:val="Revision"/>
    <w:hidden/>
    <w:uiPriority w:val="99"/>
    <w:semiHidden/>
    <w:rsid w:val="008840DB"/>
    <w:rPr>
      <w:rFonts w:ascii="Arial" w:eastAsiaTheme="minorHAnsi" w:hAnsi="Arial" w:cstheme="minorBidi"/>
      <w:sz w:val="22"/>
      <w:szCs w:val="22"/>
      <w:lang w:eastAsia="en-US"/>
    </w:r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7A019B"/>
    <w:pPr>
      <w:spacing w:before="120" w:after="60"/>
    </w:pPr>
    <w:rPr>
      <w:sz w:val="20"/>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7A019B"/>
    <w:pPr>
      <w:keepNext/>
    </w:pPr>
    <w:rPr>
      <w:b/>
      <w:color w:val="FFFFFF" w:themeColor="background1"/>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20"/>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1Bullet">
    <w:name w:val="Box Text 1 Bullet"/>
    <w:basedOn w:val="BoxText1"/>
    <w:uiPriority w:val="21"/>
    <w:qFormat/>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1"/>
    <w:uiPriority w:val="20"/>
    <w:qFormat/>
    <w:rsid w:val="0083131E"/>
    <w:pPr>
      <w:spacing w:line="240" w:lineRule="auto"/>
    </w:pPr>
    <w:rPr>
      <w:b/>
      <w:color w:val="0C5B88"/>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aliases w:val="Footnote"/>
    <w:basedOn w:val="Normal"/>
    <w:link w:val="FootnoteTextChar"/>
    <w:uiPriority w:val="99"/>
    <w:unhideWhenUsed/>
    <w:qFormat/>
    <w:rsid w:val="005B7B27"/>
    <w:pPr>
      <w:tabs>
        <w:tab w:val="left" w:pos="454"/>
        <w:tab w:val="left" w:pos="567"/>
      </w:tabs>
      <w:spacing w:after="60" w:line="264" w:lineRule="auto"/>
      <w:ind w:left="454" w:hanging="454"/>
    </w:pPr>
    <w:rPr>
      <w:sz w:val="18"/>
      <w:szCs w:val="20"/>
    </w:rPr>
  </w:style>
  <w:style w:type="character" w:customStyle="1" w:styleId="FootnoteTextChar">
    <w:name w:val="Footnote Text Char"/>
    <w:aliases w:val="Footnote Char"/>
    <w:basedOn w:val="DefaultParagraphFont"/>
    <w:link w:val="FootnoteText"/>
    <w:uiPriority w:val="99"/>
    <w:rsid w:val="005B7B27"/>
    <w:rPr>
      <w:rFonts w:ascii="Arial" w:eastAsiaTheme="minorHAnsi" w:hAnsi="Arial" w:cstheme="minorBidi"/>
      <w:sz w:val="18"/>
      <w:lang w:eastAsia="en-US"/>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9"/>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rsid w:val="008D4F75"/>
    <w:pPr>
      <w:spacing w:after="120" w:line="276" w:lineRule="auto"/>
    </w:pPr>
    <w:rPr>
      <w:rFonts w:ascii="Arial" w:eastAsiaTheme="minorHAnsi" w:hAnsi="Arial" w:cstheme="minorBidi"/>
      <w:szCs w:val="18"/>
      <w:lang w:eastAsia="en-US"/>
    </w:rPr>
  </w:style>
  <w:style w:type="paragraph" w:styleId="ListBullet3">
    <w:name w:val="List Bullet 3"/>
    <w:basedOn w:val="Normal"/>
    <w:uiPriority w:val="99"/>
    <w:pPr>
      <w:numPr>
        <w:ilvl w:val="2"/>
        <w:numId w:val="3"/>
      </w:numPr>
      <w:contextualSpacing/>
    </w:pPr>
  </w:style>
  <w:style w:type="table" w:customStyle="1" w:styleId="AERtableleftrightalign">
    <w:name w:val="AER table (left/right align)"/>
    <w:basedOn w:val="TableNormal"/>
    <w:uiPriority w:val="99"/>
    <w:rsid w:val="003C1084"/>
    <w:pPr>
      <w:spacing w:before="120" w:after="120" w:line="276" w:lineRule="auto"/>
      <w:jc w:val="right"/>
    </w:pPr>
    <w:rPr>
      <w:rFonts w:ascii="Arial" w:eastAsia="Calibri" w:hAnsi="Arial"/>
    </w:rPr>
    <w:tblPr>
      <w:tblBorders>
        <w:bottom w:val="single" w:sz="4" w:space="0" w:color="9A928E"/>
        <w:insideH w:val="single" w:sz="4" w:space="0" w:color="9A928E"/>
      </w:tblBorders>
    </w:tblPr>
    <w:tblStylePr w:type="firstRow">
      <w:rPr>
        <w:rFonts w:ascii="Arial" w:hAnsi="Arial"/>
        <w:b w:val="0"/>
        <w:color w:val="FFFFFF" w:themeColor="background1"/>
        <w:sz w:val="20"/>
      </w:rPr>
      <w:tblPr/>
      <w:tcPr>
        <w:tcBorders>
          <w:top w:val="nil"/>
          <w:left w:val="nil"/>
          <w:bottom w:val="nil"/>
          <w:right w:val="nil"/>
          <w:insideH w:val="nil"/>
          <w:insideV w:val="nil"/>
          <w:tl2br w:val="nil"/>
          <w:tr2bl w:val="nil"/>
        </w:tcBorders>
        <w:shd w:val="clear" w:color="auto" w:fill="0C5B88"/>
      </w:tcPr>
    </w:tblStylePr>
    <w:tblStylePr w:type="firstCol">
      <w:pPr>
        <w:wordWrap/>
        <w:jc w:val="left"/>
      </w:pPr>
    </w:tblStylePr>
  </w:style>
  <w:style w:type="table" w:customStyle="1" w:styleId="AERtableleftalign">
    <w:name w:val="AER table (left align)"/>
    <w:basedOn w:val="TableNormal"/>
    <w:uiPriority w:val="99"/>
    <w:rsid w:val="000E42DF"/>
    <w:pPr>
      <w:spacing w:before="120" w:after="120" w:line="276" w:lineRule="auto"/>
    </w:pPr>
    <w:rPr>
      <w:rFonts w:ascii="Arial" w:eastAsia="Calibri" w:hAnsi="Arial"/>
    </w:rPr>
    <w:tblPr>
      <w:tblBorders>
        <w:bottom w:val="single" w:sz="4" w:space="0" w:color="9A928E"/>
        <w:insideH w:val="single" w:sz="4" w:space="0" w:color="9A928E"/>
      </w:tblBorders>
    </w:tblPr>
    <w:tblStylePr w:type="firstRow">
      <w:rPr>
        <w:rFonts w:ascii="Arial" w:hAnsi="Arial"/>
        <w:b w:val="0"/>
        <w:color w:val="FFFFFF" w:themeColor="background1"/>
        <w:sz w:val="20"/>
      </w:rPr>
      <w:tblPr/>
      <w:tcPr>
        <w:tcBorders>
          <w:top w:val="nil"/>
          <w:left w:val="nil"/>
          <w:bottom w:val="nil"/>
          <w:right w:val="nil"/>
          <w:insideH w:val="nil"/>
          <w:insideV w:val="nil"/>
          <w:tl2br w:val="nil"/>
          <w:tr2bl w:val="nil"/>
        </w:tcBorders>
        <w:shd w:val="clear" w:color="auto" w:fill="0C5B88"/>
      </w:tcPr>
    </w:tblStylePr>
    <w:tblStylePr w:type="firstCol">
      <w:pPr>
        <w:wordWrap/>
        <w:jc w:val="left"/>
      </w:pPr>
    </w:tblStylePr>
  </w:style>
  <w:style w:type="paragraph" w:customStyle="1" w:styleId="Tablenumberedlist">
    <w:name w:val="Table numbered list"/>
    <w:uiPriority w:val="99"/>
    <w:qFormat/>
    <w:rsid w:val="000F443A"/>
    <w:pPr>
      <w:numPr>
        <w:numId w:val="6"/>
      </w:numPr>
      <w:spacing w:before="60" w:after="60"/>
      <w:ind w:left="403"/>
      <w:contextualSpacing/>
    </w:pPr>
    <w:rPr>
      <w:rFonts w:ascii="Arial" w:eastAsia="Calibri" w:hAnsi="Arial"/>
      <w:color w:val="000000" w:themeColor="text1"/>
      <w:szCs w:val="22"/>
      <w:lang w:eastAsia="en-US"/>
    </w:rPr>
  </w:style>
  <w:style w:type="character" w:styleId="IntenseEmphasis">
    <w:name w:val="Intense Emphasis"/>
    <w:basedOn w:val="DefaultParagraphFont"/>
    <w:uiPriority w:val="21"/>
    <w:semiHidden/>
    <w:qFormat/>
    <w:locked/>
    <w:rPr>
      <w:i/>
      <w:iCs/>
      <w:color w:val="E0601F" w:themeColor="accent1"/>
    </w:rPr>
  </w:style>
  <w:style w:type="paragraph" w:customStyle="1" w:styleId="TableBullet2">
    <w:name w:val="Table Bullet 2"/>
    <w:basedOn w:val="TableBullet1"/>
    <w:qFormat/>
    <w:pPr>
      <w:numPr>
        <w:numId w:val="8"/>
      </w:numPr>
      <w:tabs>
        <w:tab w:val="num" w:pos="284"/>
      </w:tabs>
      <w:ind w:left="568" w:hanging="284"/>
    </w:pPr>
  </w:style>
  <w:style w:type="numbering" w:customStyle="1" w:styleId="TableBulletlist">
    <w:name w:val="Table Bullet list"/>
    <w:uiPriority w:val="99"/>
    <w:pPr>
      <w:numPr>
        <w:numId w:val="7"/>
      </w:numPr>
    </w:pPr>
  </w:style>
  <w:style w:type="paragraph" w:styleId="Date">
    <w:name w:val="Date"/>
    <w:basedOn w:val="Normal"/>
    <w:next w:val="Normal"/>
    <w:link w:val="DateChar"/>
    <w:uiPriority w:val="99"/>
    <w:unhideWhenUsed/>
    <w:rsid w:val="00A4546C"/>
    <w:rPr>
      <w:color w:val="FFFFFF" w:themeColor="background1"/>
      <w:sz w:val="28"/>
    </w:rPr>
  </w:style>
  <w:style w:type="character" w:customStyle="1" w:styleId="DateChar">
    <w:name w:val="Date Char"/>
    <w:basedOn w:val="DefaultParagraphFont"/>
    <w:link w:val="Date"/>
    <w:uiPriority w:val="99"/>
    <w:rsid w:val="00A4546C"/>
    <w:rPr>
      <w:rFonts w:ascii="Arial" w:eastAsiaTheme="minorHAnsi" w:hAnsi="Arial" w:cstheme="minorBidi"/>
      <w:color w:val="FFFFFF" w:themeColor="background1"/>
      <w:sz w:val="28"/>
      <w:szCs w:val="22"/>
      <w:lang w:eastAsia="en-US"/>
    </w:rPr>
  </w:style>
  <w:style w:type="paragraph" w:styleId="ListParagraph">
    <w:name w:val="List Paragraph"/>
    <w:aliases w:val="List Bullet Paragraph,SM List Paragraph,Bullet List Paragraph,M1M2 Heading 2,List Paragraph JF,Heading x,Bullet Paragraph,List 1 Paragraph,Paragraph,Resume Title,Citation List,List Paragraph Char Char,List Paragraph1,Number_1,new,lp1,L"/>
    <w:basedOn w:val="Normal"/>
    <w:link w:val="ListParagraphChar"/>
    <w:uiPriority w:val="34"/>
    <w:unhideWhenUsed/>
    <w:qFormat/>
    <w:rsid w:val="00606F03"/>
    <w:pPr>
      <w:ind w:left="720"/>
      <w:contextualSpacing/>
    </w:pPr>
  </w:style>
  <w:style w:type="character" w:customStyle="1" w:styleId="Heading6Char">
    <w:name w:val="Heading 6 Char"/>
    <w:basedOn w:val="DefaultParagraphFont"/>
    <w:link w:val="Heading6"/>
    <w:uiPriority w:val="2"/>
    <w:rsid w:val="006E7741"/>
    <w:rPr>
      <w:rFonts w:ascii="Arial" w:eastAsiaTheme="majorEastAsia" w:hAnsi="Arial" w:cstheme="majorBidi"/>
      <w:b/>
      <w:iCs/>
      <w:color w:val="0C5B88"/>
      <w:sz w:val="22"/>
      <w:szCs w:val="22"/>
      <w:lang w:eastAsia="en-US"/>
    </w:rPr>
  </w:style>
  <w:style w:type="paragraph" w:customStyle="1" w:styleId="BoxText2Bullet">
    <w:name w:val="Box Text 2 Bullet"/>
    <w:basedOn w:val="BoxText2"/>
    <w:qFormat/>
    <w:rsid w:val="004258A6"/>
    <w:pPr>
      <w:numPr>
        <w:numId w:val="10"/>
      </w:numPr>
      <w:ind w:left="357" w:hanging="357"/>
    </w:pPr>
  </w:style>
  <w:style w:type="paragraph" w:customStyle="1" w:styleId="BoxHeading2">
    <w:name w:val="Box Heading 2"/>
    <w:basedOn w:val="BoxText2"/>
    <w:next w:val="BoxText2"/>
    <w:qFormat/>
    <w:rsid w:val="0083131E"/>
    <w:rPr>
      <w:b/>
      <w:color w:val="0C5B88"/>
    </w:rPr>
  </w:style>
  <w:style w:type="paragraph" w:customStyle="1" w:styleId="PullQuote">
    <w:name w:val="Pull Quote"/>
    <w:basedOn w:val="Quote"/>
    <w:next w:val="Normal"/>
    <w:qFormat/>
    <w:rsid w:val="009E3DF1"/>
    <w:rPr>
      <w:color w:val="629DD1"/>
      <w:sz w:val="28"/>
      <w:szCs w:val="28"/>
      <w:lang w:eastAsia="ja-JP"/>
    </w:rPr>
  </w:style>
  <w:style w:type="paragraph" w:customStyle="1" w:styleId="BoxText1Number">
    <w:name w:val="Box Text 1 Number"/>
    <w:basedOn w:val="BoxText1"/>
    <w:qFormat/>
    <w:rsid w:val="00BA4C2E"/>
    <w:pPr>
      <w:numPr>
        <w:numId w:val="13"/>
      </w:numPr>
    </w:pPr>
  </w:style>
  <w:style w:type="paragraph" w:customStyle="1" w:styleId="BoxText2Number">
    <w:name w:val="Box Text 2 Number"/>
    <w:basedOn w:val="BoxText2"/>
    <w:qFormat/>
    <w:rsid w:val="00926FE4"/>
    <w:pPr>
      <w:numPr>
        <w:numId w:val="14"/>
      </w:numPr>
    </w:pPr>
  </w:style>
  <w:style w:type="character" w:styleId="UnresolvedMention">
    <w:name w:val="Unresolved Mention"/>
    <w:basedOn w:val="DefaultParagraphFont"/>
    <w:uiPriority w:val="99"/>
    <w:semiHidden/>
    <w:unhideWhenUsed/>
    <w:rsid w:val="001F42F6"/>
    <w:rPr>
      <w:color w:val="605E5C"/>
      <w:shd w:val="clear" w:color="auto" w:fill="E1DFDD"/>
    </w:rPr>
  </w:style>
  <w:style w:type="paragraph" w:customStyle="1" w:styleId="Appendixheading1">
    <w:name w:val="Appendix heading 1"/>
    <w:basedOn w:val="Heading2"/>
    <w:next w:val="Normal"/>
    <w:qFormat/>
    <w:rsid w:val="00450AF0"/>
    <w:pPr>
      <w:numPr>
        <w:numId w:val="15"/>
      </w:numPr>
      <w:ind w:left="709" w:hanging="709"/>
    </w:pPr>
  </w:style>
  <w:style w:type="paragraph" w:customStyle="1" w:styleId="Appendixheading2">
    <w:name w:val="Appendix heading 2"/>
    <w:basedOn w:val="Heading3"/>
    <w:next w:val="Normal"/>
    <w:qFormat/>
    <w:rsid w:val="00450AF0"/>
    <w:pPr>
      <w:numPr>
        <w:numId w:val="15"/>
      </w:numPr>
    </w:pPr>
    <w:rPr>
      <w:lang w:eastAsia="ja-JP"/>
    </w:rPr>
  </w:style>
  <w:style w:type="paragraph" w:customStyle="1" w:styleId="Appendixheading3">
    <w:name w:val="Appendix heading 3"/>
    <w:basedOn w:val="Appendixheading2"/>
    <w:next w:val="Normal"/>
    <w:qFormat/>
    <w:rsid w:val="00450AF0"/>
    <w:pPr>
      <w:numPr>
        <w:ilvl w:val="2"/>
      </w:numPr>
      <w:spacing w:before="120"/>
    </w:pPr>
    <w:rPr>
      <w:sz w:val="28"/>
    </w:rPr>
  </w:style>
  <w:style w:type="paragraph" w:customStyle="1" w:styleId="Appendixheading4">
    <w:name w:val="Appendix heading 4"/>
    <w:basedOn w:val="Appendixheading3"/>
    <w:next w:val="Normal"/>
    <w:qFormat/>
    <w:rsid w:val="00450AF0"/>
    <w:pPr>
      <w:numPr>
        <w:ilvl w:val="3"/>
      </w:numPr>
      <w:ind w:left="1276" w:hanging="1276"/>
    </w:pPr>
    <w:rPr>
      <w:sz w:val="24"/>
    </w:rPr>
  </w:style>
  <w:style w:type="character" w:customStyle="1" w:styleId="Heading7Char">
    <w:name w:val="Heading 7 Char"/>
    <w:basedOn w:val="DefaultParagraphFont"/>
    <w:link w:val="Heading7"/>
    <w:uiPriority w:val="9"/>
    <w:rsid w:val="00CF2BDE"/>
    <w:rPr>
      <w:rFonts w:ascii="Arial" w:eastAsiaTheme="majorEastAsia" w:hAnsi="Arial" w:cs="Arial"/>
      <w:b/>
      <w:bCs/>
      <w:color w:val="0C5B88"/>
      <w:sz w:val="21"/>
      <w:szCs w:val="21"/>
      <w:lang w:eastAsia="ja-JP"/>
    </w:rPr>
  </w:style>
  <w:style w:type="character" w:customStyle="1" w:styleId="Heading8Char">
    <w:name w:val="Heading 8 Char"/>
    <w:basedOn w:val="DefaultParagraphFont"/>
    <w:link w:val="Heading8"/>
    <w:uiPriority w:val="9"/>
    <w:rsid w:val="00CF2BDE"/>
    <w:rPr>
      <w:rFonts w:ascii="Arial" w:eastAsiaTheme="majorEastAsia" w:hAnsi="Arial" w:cs="Arial"/>
      <w:color w:val="272727" w:themeColor="text1" w:themeTint="D8"/>
      <w:lang w:eastAsia="en-US"/>
    </w:rPr>
  </w:style>
  <w:style w:type="character" w:customStyle="1" w:styleId="Heading9Char">
    <w:name w:val="Heading 9 Char"/>
    <w:basedOn w:val="DefaultParagraphFont"/>
    <w:link w:val="Heading9"/>
    <w:uiPriority w:val="9"/>
    <w:rsid w:val="00CF2BDE"/>
    <w:rPr>
      <w:rFonts w:ascii="Arial" w:eastAsiaTheme="majorEastAsia" w:hAnsi="Arial" w:cs="Arial"/>
      <w:i/>
      <w:iCs/>
      <w:lang w:eastAsia="ja-JP"/>
    </w:rPr>
  </w:style>
  <w:style w:type="paragraph" w:customStyle="1" w:styleId="Body-regular">
    <w:name w:val="Body-regular"/>
    <w:qFormat/>
    <w:rsid w:val="0051302A"/>
    <w:pPr>
      <w:spacing w:after="120"/>
    </w:pPr>
    <w:rPr>
      <w:rFonts w:ascii="Arial" w:eastAsiaTheme="minorHAnsi" w:hAnsi="Arial" w:cs="Arial"/>
      <w:color w:val="2F3F51"/>
      <w:sz w:val="22"/>
      <w:szCs w:val="22"/>
      <w:lang w:eastAsia="en-US"/>
    </w:rPr>
  </w:style>
  <w:style w:type="paragraph" w:customStyle="1" w:styleId="Bulletpoint">
    <w:name w:val="Bullet point"/>
    <w:basedOn w:val="ListBullet"/>
    <w:qFormat/>
    <w:rsid w:val="0051302A"/>
    <w:pPr>
      <w:numPr>
        <w:numId w:val="16"/>
      </w:numPr>
      <w:tabs>
        <w:tab w:val="left" w:pos="340"/>
      </w:tabs>
      <w:spacing w:after="0" w:line="240" w:lineRule="auto"/>
    </w:pPr>
    <w:rPr>
      <w:rFonts w:cs="Times New Roman"/>
      <w:lang w:eastAsia="en-US"/>
    </w:rPr>
  </w:style>
  <w:style w:type="character" w:customStyle="1" w:styleId="ListParagraphChar">
    <w:name w:val="List Paragraph Char"/>
    <w:aliases w:val="List Bullet Paragraph Char,SM List Paragraph Char,Bullet List Paragraph Char,M1M2 Heading 2 Char,List Paragraph JF Char,Heading x Char,Bullet Paragraph Char,List 1 Paragraph Char,Paragraph Char,Resume Title Char,Citation List Char"/>
    <w:basedOn w:val="DefaultParagraphFont"/>
    <w:link w:val="ListParagraph"/>
    <w:uiPriority w:val="34"/>
    <w:rsid w:val="0051302A"/>
    <w:rPr>
      <w:rFonts w:ascii="Arial" w:eastAsiaTheme="minorHAnsi" w:hAnsi="Arial" w:cstheme="minorBidi"/>
      <w:sz w:val="22"/>
      <w:szCs w:val="22"/>
      <w:lang w:eastAsia="en-US"/>
    </w:rPr>
  </w:style>
  <w:style w:type="paragraph" w:customStyle="1" w:styleId="Listalphabet">
    <w:name w:val="List alphabet"/>
    <w:qFormat/>
    <w:rsid w:val="00504F54"/>
    <w:pPr>
      <w:numPr>
        <w:numId w:val="30"/>
      </w:numPr>
      <w:tabs>
        <w:tab w:val="left" w:pos="340"/>
      </w:tabs>
      <w:spacing w:before="120"/>
    </w:pPr>
    <w:rPr>
      <w:rFonts w:ascii="Arial" w:eastAsia="Calibri"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cc.gov.au/about-us/accc-role-and-structure/governance-and-accountability/artificial-intelligence-ai-transparency-statemen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er.gov.au/networks-pipelines/guidelines-schemes-models-reviews/revenue-determination-guideline-for-nsw-contestable-network-projects"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erinquiry@aer.gov.au" TargetMode="External"/><Relationship Id="rId22" Type="http://schemas.openxmlformats.org/officeDocument/2006/relationships/hyperlink" Target="https://www.aer.gov.au/industry/registers/determinations/waratah-super-battery-network-augmentation-and-sips-control-system/updat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gazette.legislation.nsw.gov.au/so/download.w3p?id=Gazette_2022_2022-473.pdf" TargetMode="External"/><Relationship Id="rId1" Type="http://schemas.openxmlformats.org/officeDocument/2006/relationships/hyperlink" Target="https://gazette.legislation.nsw.gov.au/so/download.w3p?id=Gazette_2022_2022-47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brfs013.accc.local\data\Apps\TEMPLATE\AER\AER%20report%20template.dotx" TargetMode="External"/></Relationships>
</file>

<file path=word/theme/theme1.xml><?xml version="1.0" encoding="utf-8"?>
<a:theme xmlns:a="http://schemas.openxmlformats.org/drawingml/2006/main" name="AER_colour theme">
  <a:themeElements>
    <a:clrScheme name="AER Colour theme">
      <a:dk1>
        <a:sysClr val="windowText" lastClr="000000"/>
      </a:dk1>
      <a:lt1>
        <a:sysClr val="window" lastClr="FFFFFF"/>
      </a:lt1>
      <a:dk2>
        <a:srgbClr val="303F51"/>
      </a:dk2>
      <a:lt2>
        <a:srgbClr val="E7E6E6"/>
      </a:lt2>
      <a:accent1>
        <a:srgbClr val="E0601F"/>
      </a:accent1>
      <a:accent2>
        <a:srgbClr val="554741"/>
      </a:accent2>
      <a:accent3>
        <a:srgbClr val="303F51"/>
      </a:accent3>
      <a:accent4>
        <a:srgbClr val="89B3CE"/>
      </a:accent4>
      <a:accent5>
        <a:srgbClr val="5F9E88"/>
      </a:accent5>
      <a:accent6>
        <a:srgbClr val="FBAA26"/>
      </a:accent6>
      <a:hlink>
        <a:srgbClr val="00B0F0"/>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7FB25C6BD88945B43274A2B55CC893" ma:contentTypeVersion="8" ma:contentTypeDescription="Create a new document." ma:contentTypeScope="" ma:versionID="66fa147d1a090996fdbfbd07790f31d0">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b4c7fdbaab2653067f148b97a858fdeb"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Topic" minOccurs="0"/>
                <xsd:element ref="ns2:Display_x0020_as" minOccurs="0"/>
                <xsd:element ref="ns2:bb374297174b4bdba831a078c8472ed4"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Topic" ma:index="10" nillable="true" ma:displayName="Topic" ma:format="Dropdown" ma:internalName="Topic">
      <xsd:simpleType>
        <xsd:restriction base="dms:Choice">
          <xsd:enumeration value="About the Department"/>
          <xsd:enumeration value="AAIs"/>
          <xsd:enumeration value="Administrative design"/>
          <xsd:enumeration value="Awards and recognition"/>
          <xsd:enumeration value="Budget and Annual Report"/>
          <xsd:enumeration value="Building access"/>
          <xsd:enumeration value="Business Continuity"/>
          <xsd:enumeration value="Business improvement"/>
          <xsd:enumeration value="Canberra Facilities"/>
          <xsd:enumeration value="Car parking"/>
          <xsd:enumeration value="Committees and Networks"/>
          <xsd:enumeration value="Conduct and behavior"/>
          <xsd:enumeration value="Contacts"/>
          <xsd:enumeration value="Corporate and Business Plans"/>
          <xsd:enumeration value="Delegations"/>
          <xsd:enumeration value="Emergency"/>
          <xsd:enumeration value="Enterprise Agreement"/>
          <xsd:enumeration value="FaBS Service Centre"/>
          <xsd:enumeration value="Finance"/>
          <xsd:enumeration value="Finance Training"/>
          <xsd:enumeration value="FOI and Privacy"/>
          <xsd:enumeration value="Fraud and Security"/>
          <xsd:enumeration value="Grants Management"/>
          <xsd:enumeration value="Health and safety"/>
          <xsd:enumeration value="IML"/>
          <xsd:enumeration value="Information/Records Management"/>
          <xsd:enumeration value="IT Services"/>
          <xsd:enumeration value="Learning and development"/>
          <xsd:enumeration value="Leave"/>
          <xsd:enumeration value="Legal"/>
          <xsd:enumeration value="Legislation, regulation and regulatory reform"/>
          <xsd:enumeration value="Mail and Freight"/>
          <xsd:enumeration value="Media and speeches"/>
          <xsd:enumeration value="Minister"/>
          <xsd:enumeration value="Ministerial and parliamentary"/>
          <xsd:enumeration value="News and Events"/>
          <xsd:enumeration value="Office supplies"/>
          <xsd:enumeration value="Online publishing"/>
          <xsd:enumeration value="Performance Management"/>
          <xsd:enumeration value="Program and Project Management"/>
          <xsd:enumeration value="Properties, facilities and supplies"/>
          <xsd:enumeration value="Publications"/>
          <xsd:enumeration value="Recruitment"/>
          <xsd:enumeration value="Risk Management"/>
          <xsd:enumeration value="Salary"/>
          <xsd:enumeration value="Secretary and Executive"/>
          <xsd:enumeration value="Service Delivery"/>
          <xsd:enumeration value="Service Delivery Modernisation"/>
          <xsd:enumeration value="Social"/>
          <xsd:enumeration value="Social Media"/>
          <xsd:enumeration value="Staff Surveys"/>
          <xsd:enumeration value="Structure"/>
          <xsd:enumeration value="Style guides and writing"/>
          <xsd:enumeration value="Tools and Systems"/>
          <xsd:enumeration value="Travel"/>
          <xsd:enumeration value="Vehicles - Fleet"/>
          <xsd:enumeration value="Working arrangements"/>
          <xsd:enumeration value="Worklife balance"/>
          <xsd:enumeration value="Workplace diversity"/>
        </xsd:restriction>
      </xsd:simpleType>
    </xsd:element>
    <xsd:element name="Display_x0020_as" ma:index="11" nillable="true" ma:displayName="Display as" ma:default="N/A" ma:description="for identifying policies procedures, forms and templates" ma:internalName="Display_x0020_as">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N/A"/>
                  </xsd:restriction>
                </xsd:simpleType>
              </xsd:element>
            </xsd:sequence>
          </xsd:extension>
        </xsd:complexContent>
      </xsd:complexType>
    </xsd:element>
    <xsd:element name="bb374297174b4bdba831a078c8472ed4" ma:index="12" nillable="true" ma:taxonomy="true" ma:internalName="bb374297174b4bdba831a078c8472ed4" ma:taxonomyFieldName="Document_x0020_Type" ma:displayName="Document Type" ma:default="" ma:fieldId="{bb374297-174b-4bdb-a831-a078c8472ed4}" ma:sspId="09220d36-2b40-42d2-98de-701753724435" ma:termSetId="4ce58473-0306-406e-a93f-f5dd13a02506" ma:anchorId="38d06e9b-17d5-490d-973f-9a1f4cecc264" ma:open="false" ma:isKeyword="false">
      <xsd:complexType>
        <xsd:sequence>
          <xsd:element ref="pc:Terms" minOccurs="0" maxOccurs="1"/>
        </xsd:sequence>
      </xsd:complexType>
    </xsd:element>
    <xsd:element name="TaxCatchAll" ma:index="13" nillable="true" ma:displayName="Taxonomy Catch All Column" ma:hidden="true" ma:list="{d6f63d10-0b52-4490-b9e7-721c0b21adac}" ma:internalName="TaxCatchAll" ma:showField="CatchAllData" ma:web="7cf0e0db-f490-4122-abae-21917392c748">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d6f63d10-0b52-4490-b9e7-721c0b21adac}" ma:internalName="TaxCatchAllLabel" ma:readOnly="true" ma:showField="CatchAllDataLabel" ma:web="7cf0e0db-f490-4122-abae-21917392c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p:properties xmlns:p="http://schemas.microsoft.com/office/2006/metadata/properties" xmlns:xsi="http://www.w3.org/2001/XMLSchema-instance" xmlns:pc="http://schemas.microsoft.com/office/infopath/2007/PartnerControls">
  <documentManagement>
    <Topic xmlns="7cf0e0db-f490-4122-abae-21917392c748">Style guides and writing</Topic>
    <PublishingExpirationDate xmlns="http://schemas.microsoft.com/sharepoint/v3" xsi:nil="true"/>
    <PublishingStartDate xmlns="http://schemas.microsoft.com/sharepoint/v3" xsi:nil="true"/>
    <Display_x0020_as xmlns="7cf0e0db-f490-4122-abae-21917392c748">
      <Value>Template</Value>
    </Display_x0020_as>
    <bb374297174b4bdba831a078c8472ed4 xmlns="7cf0e0db-f490-4122-abae-21917392c748">
      <Terms xmlns="http://schemas.microsoft.com/office/infopath/2007/PartnerControls"/>
    </bb374297174b4bdba831a078c8472ed4>
    <TaxCatchAll xmlns="7cf0e0db-f490-4122-abae-21917392c748"/>
  </documentManagement>
</p:propertie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6DCF07A3-2ED5-4901-97F9-F2B2E221F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D0D68-0104-4842-8F42-2A7A91AAD54C}">
  <ds:schemaRefs>
    <ds:schemaRef ds:uri="http://schemas.openxmlformats.org/officeDocument/2006/bibliography"/>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AER report template</Template>
  <TotalTime>217</TotalTime>
  <Pages>20</Pages>
  <Words>6202</Words>
  <Characters>34174</Characters>
  <Application>Microsoft Office Word</Application>
  <DocSecurity>0</DocSecurity>
  <Lines>697</Lines>
  <Paragraphs>363</Paragraphs>
  <ScaleCrop>false</ScaleCrop>
  <HeadingPairs>
    <vt:vector size="2" baseType="variant">
      <vt:variant>
        <vt:lpstr>Title</vt:lpstr>
      </vt:variant>
      <vt:variant>
        <vt:i4>1</vt:i4>
      </vt:variant>
    </vt:vector>
  </HeadingPairs>
  <TitlesOfParts>
    <vt:vector size="1" baseType="lpstr">
      <vt:lpstr>Report template</vt:lpstr>
    </vt:vector>
  </TitlesOfParts>
  <Company/>
  <LinksUpToDate>false</LinksUpToDate>
  <CharactersWithSpaces>40013</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creator>Laura Pickering</dc:creator>
  <cp:lastModifiedBy>Sean MULLINS</cp:lastModifiedBy>
  <cp:revision>12</cp:revision>
  <cp:lastPrinted>2026-09-17T02:45:00Z</cp:lastPrinted>
  <dcterms:created xsi:type="dcterms:W3CDTF">2026-09-24T02:08:00Z</dcterms:created>
  <dcterms:modified xsi:type="dcterms:W3CDTF">2026-10-04T03:12:00Z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0x0101004A7FB25C6BD88945B43274A2B55CC893</vt:lpwstr>
  </property>
  <property fmtid="{D5CDD505-2E9C-101B-9397-08002B2CF9AE}" pid="3" name="ClassificationContentMarkingHeaderShapeIds">
    <vt:lpwstr>2f40d65a,107181ff,25df287f</vt:lpwstr>
  </property>
  <property fmtid="{D5CDD505-2E9C-101B-9397-08002B2CF9AE}" pid="4" name="ClassificationContentMarkingHeaderFontProps">
    <vt:lpwstr>#ff0000,10,Aptos</vt:lpwstr>
  </property>
  <property fmtid="{D5CDD505-2E9C-101B-9397-08002B2CF9AE}" pid="5" name="ClassificationContentMarkingHeaderText">
    <vt:lpwstr>OFFICIAL SENSITIVE</vt:lpwstr>
  </property>
  <property fmtid="{D5CDD505-2E9C-101B-9397-08002B2CF9AE}" pid="6" name="MSIP_Label_492334f6-a23d-4b18-9492-9ceed8f6bede_Enabled">
    <vt:lpwstr>true</vt:lpwstr>
  </property>
  <property fmtid="{D5CDD505-2E9C-101B-9397-08002B2CF9AE}" pid="7" name="MSIP_Label_492334f6-a23d-4b18-9492-9ceed8f6bede_SetDate">
    <vt:lpwstr>2026-06-18T01:12:07Z</vt:lpwstr>
  </property>
  <property fmtid="{D5CDD505-2E9C-101B-9397-08002B2CF9AE}" pid="8" name="MSIP_Label_492334f6-a23d-4b18-9492-9ceed8f6bede_Method">
    <vt:lpwstr>Privileged</vt:lpwstr>
  </property>
  <property fmtid="{D5CDD505-2E9C-101B-9397-08002B2CF9AE}" pid="9" name="MSIP_Label_492334f6-a23d-4b18-9492-9ceed8f6bede_Name">
    <vt:lpwstr>OFFICIAL Sensitive - no DLM</vt:lpwstr>
  </property>
  <property fmtid="{D5CDD505-2E9C-101B-9397-08002B2CF9AE}" pid="10" name="MSIP_Label_492334f6-a23d-4b18-9492-9ceed8f6bede_SiteId">
    <vt:lpwstr>b33e9e1a-e443-4edd-9789-24bed26d38d6</vt:lpwstr>
  </property>
  <property fmtid="{D5CDD505-2E9C-101B-9397-08002B2CF9AE}" pid="11" name="MSIP_Label_492334f6-a23d-4b18-9492-9ceed8f6bede_ActionId">
    <vt:lpwstr>06e1e3a0-a49c-44a6-a38c-3ce332f66d26</vt:lpwstr>
  </property>
  <property fmtid="{D5CDD505-2E9C-101B-9397-08002B2CF9AE}" pid="12" name="MSIP_Label_492334f6-a23d-4b18-9492-9ceed8f6bede_ContentBits">
    <vt:lpwstr>1</vt:lpwstr>
  </property>
  <property fmtid="{D5CDD505-2E9C-101B-9397-08002B2CF9AE}" pid="13" name="MSIP_Label_492334f6-a23d-4b18-9492-9ceed8f6bede_Tag">
    <vt:lpwstr>10, 0, 1, 1</vt:lpwstr>
  </property>
</Properties>
</file>