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4C050B">
      <w:pPr>
        <w:pStyle w:val="AERbodytextnospace"/>
        <w:numPr>
          <w:ilvl w:val="0"/>
          <w:numId w:val="6"/>
        </w:numPr>
      </w:pPr>
      <w:bookmarkStart w:id="0" w:name="_GoBack"/>
      <w:bookmarkEnd w:id="0"/>
      <w:r w:rsidRPr="00824CC8">
        <w:rPr>
          <w:noProof/>
          <w:lang w:eastAsia="en-AU"/>
        </w:rPr>
        <w:drawing>
          <wp:anchor distT="0" distB="0" distL="114300" distR="114300" simplePos="0" relativeHeight="251663360" behindDoc="1" locked="0" layoutInCell="1" allowOverlap="1" wp14:anchorId="6F788DBE" wp14:editId="7EE29959">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486606" w:rsidRDefault="001C64C6" w:rsidP="005F6082">
      <w:pPr>
        <w:pStyle w:val="AERtitle1"/>
      </w:pPr>
      <w:r w:rsidRPr="001C64C6">
        <w:t>Efficiency Benefit Sharing Scheme</w:t>
      </w:r>
      <w:r w:rsidR="00285909">
        <w:t xml:space="preserve"> </w:t>
      </w:r>
      <w:r w:rsidR="00285909">
        <w:br/>
        <w:t>for Electricity Network Service Providers</w:t>
      </w: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4C050B">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4C050B">
      <w:pPr>
        <w:pStyle w:val="AERbodytextnospace"/>
        <w:numPr>
          <w:ilvl w:val="0"/>
          <w:numId w:val="6"/>
        </w:numPr>
      </w:pPr>
      <w:r>
        <w:t>Australian Energy Regulator</w:t>
      </w:r>
    </w:p>
    <w:p w:rsidR="005F6082" w:rsidRDefault="005F6082" w:rsidP="004C050B">
      <w:pPr>
        <w:pStyle w:val="AERbodytextnospace"/>
        <w:numPr>
          <w:ilvl w:val="0"/>
          <w:numId w:val="6"/>
        </w:numPr>
      </w:pPr>
      <w:r>
        <w:t>GPO Box 520</w:t>
      </w:r>
    </w:p>
    <w:p w:rsidR="005F6082" w:rsidRDefault="005F6082" w:rsidP="004C050B">
      <w:pPr>
        <w:pStyle w:val="AERbodytextnospace"/>
        <w:numPr>
          <w:ilvl w:val="0"/>
          <w:numId w:val="6"/>
        </w:numPr>
      </w:pPr>
      <w:r>
        <w:t>Melbourne  Vic  3001</w:t>
      </w:r>
    </w:p>
    <w:p w:rsidR="005F6082" w:rsidRDefault="005F6082" w:rsidP="004C050B">
      <w:pPr>
        <w:pStyle w:val="AERbodytextnospace"/>
        <w:numPr>
          <w:ilvl w:val="0"/>
          <w:numId w:val="6"/>
        </w:numPr>
      </w:pPr>
      <w:r>
        <w:t>Tel: (03) 9290 1444</w:t>
      </w:r>
    </w:p>
    <w:p w:rsidR="005F6082" w:rsidRDefault="005F6082" w:rsidP="004C050B">
      <w:pPr>
        <w:pStyle w:val="AERbodytextnospace"/>
        <w:numPr>
          <w:ilvl w:val="0"/>
          <w:numId w:val="6"/>
        </w:numPr>
      </w:pPr>
      <w:r>
        <w:t>Fax: (03) 9290 1457</w:t>
      </w:r>
    </w:p>
    <w:p w:rsidR="005F6082" w:rsidRDefault="005F6082" w:rsidP="004C050B">
      <w:pPr>
        <w:pStyle w:val="AERbodytextnospace"/>
        <w:numPr>
          <w:ilvl w:val="0"/>
          <w:numId w:val="6"/>
        </w:numPr>
      </w:pPr>
      <w:r>
        <w:t xml:space="preserve">Email: </w:t>
      </w:r>
      <w:hyperlink r:id="rId10" w:history="1">
        <w:r w:rsidRPr="003E184A">
          <w:rPr>
            <w:rStyle w:val="Hyperlink"/>
          </w:rPr>
          <w:t>AERInquiry@aer.gov.au</w:t>
        </w:r>
      </w:hyperlink>
    </w:p>
    <w:p w:rsidR="00486606" w:rsidRDefault="00486606" w:rsidP="004C050B">
      <w:pPr>
        <w:pStyle w:val="AERbodytext"/>
        <w:numPr>
          <w:ilvl w:val="0"/>
          <w:numId w:val="6"/>
        </w:numPr>
      </w:pPr>
    </w:p>
    <w:p w:rsidR="00486606" w:rsidRPr="00F66980" w:rsidRDefault="00486606" w:rsidP="004C050B">
      <w:pPr>
        <w:pStyle w:val="AERbodytext"/>
        <w:numPr>
          <w:ilvl w:val="0"/>
          <w:numId w:val="6"/>
        </w:numPr>
        <w:rPr>
          <w:rStyle w:val="AERtexthighlight"/>
        </w:rPr>
      </w:pPr>
      <w:r w:rsidRPr="00020884">
        <w:t xml:space="preserve">AER reference:   </w:t>
      </w:r>
      <w:r w:rsidR="007810A4" w:rsidRPr="003A603F">
        <w:t>50390</w:t>
      </w:r>
    </w:p>
    <w:p w:rsidR="00486606" w:rsidRPr="008F1A4A" w:rsidRDefault="00486606" w:rsidP="004C050B">
      <w:pPr>
        <w:pStyle w:val="AERbodytextnospace"/>
        <w:numPr>
          <w:ilvl w:val="0"/>
          <w:numId w:val="6"/>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264"/>
        <w:gridCol w:w="4264"/>
      </w:tblGrid>
      <w:tr w:rsidR="00486606" w:rsidTr="00486606">
        <w:trPr>
          <w:cnfStyle w:val="100000000000" w:firstRow="1" w:lastRow="0" w:firstColumn="0" w:lastColumn="0" w:oddVBand="0" w:evenVBand="0" w:oddHBand="0" w:evenHBand="0" w:firstRowFirstColumn="0" w:firstRowLastColumn="0" w:lastRowFirstColumn="0" w:lastRowLastColumn="0"/>
        </w:trPr>
        <w:tc>
          <w:tcPr>
            <w:tcW w:w="2500" w:type="pct"/>
          </w:tcPr>
          <w:p w:rsidR="00486606" w:rsidRPr="00486606" w:rsidRDefault="00486606" w:rsidP="00486606">
            <w:pPr>
              <w:pStyle w:val="AERtabletextleft"/>
            </w:pPr>
            <w:r w:rsidRPr="008F1A4A">
              <w:t>Version</w:t>
            </w:r>
          </w:p>
        </w:tc>
        <w:tc>
          <w:tcPr>
            <w:tcW w:w="2500" w:type="pct"/>
          </w:tcPr>
          <w:p w:rsidR="00486606" w:rsidRPr="00486606" w:rsidRDefault="00486606" w:rsidP="00486606">
            <w:pPr>
              <w:pStyle w:val="AERtabletextleft"/>
            </w:pPr>
            <w:r w:rsidRPr="008F1A4A">
              <w:t>Date</w:t>
            </w:r>
          </w:p>
        </w:tc>
      </w:tr>
      <w:tr w:rsidR="003A603F" w:rsidTr="003A603F">
        <w:tc>
          <w:tcPr>
            <w:tcW w:w="2500" w:type="pct"/>
            <w:vAlign w:val="top"/>
          </w:tcPr>
          <w:p w:rsidR="003A603F" w:rsidRPr="003A603F" w:rsidRDefault="003A603F" w:rsidP="0062675B">
            <w:r w:rsidRPr="003A603F">
              <w:t>01</w:t>
            </w:r>
            <w:r w:rsidR="0062675B">
              <w:t>—</w:t>
            </w:r>
            <w:r w:rsidRPr="003A603F">
              <w:t>EBSS for TNSPs</w:t>
            </w:r>
          </w:p>
        </w:tc>
        <w:tc>
          <w:tcPr>
            <w:tcW w:w="2500" w:type="pct"/>
            <w:vAlign w:val="top"/>
          </w:tcPr>
          <w:p w:rsidR="003A603F" w:rsidRPr="003A603F" w:rsidRDefault="003A603F" w:rsidP="003A603F">
            <w:r w:rsidRPr="003A603F">
              <w:t>30 September 2007</w:t>
            </w:r>
          </w:p>
        </w:tc>
      </w:tr>
      <w:tr w:rsidR="003A603F" w:rsidTr="003A603F">
        <w:trPr>
          <w:cnfStyle w:val="000000010000" w:firstRow="0" w:lastRow="0" w:firstColumn="0" w:lastColumn="0" w:oddVBand="0" w:evenVBand="0" w:oddHBand="0" w:evenHBand="1" w:firstRowFirstColumn="0" w:firstRowLastColumn="0" w:lastRowFirstColumn="0" w:lastRowLastColumn="0"/>
        </w:trPr>
        <w:tc>
          <w:tcPr>
            <w:tcW w:w="2500" w:type="pct"/>
            <w:vAlign w:val="top"/>
          </w:tcPr>
          <w:p w:rsidR="003A603F" w:rsidRPr="003A603F" w:rsidRDefault="003A603F" w:rsidP="0062675B">
            <w:r w:rsidRPr="003A603F">
              <w:t>01</w:t>
            </w:r>
            <w:r w:rsidR="0062675B">
              <w:t>—</w:t>
            </w:r>
            <w:r w:rsidRPr="003A603F">
              <w:t>EBSS for DNSPs</w:t>
            </w:r>
          </w:p>
        </w:tc>
        <w:tc>
          <w:tcPr>
            <w:tcW w:w="2500" w:type="pct"/>
            <w:vAlign w:val="top"/>
          </w:tcPr>
          <w:p w:rsidR="003A603F" w:rsidRPr="003A603F" w:rsidRDefault="003A603F" w:rsidP="003A603F">
            <w:r w:rsidRPr="003A603F">
              <w:t>26 June 2008</w:t>
            </w:r>
          </w:p>
        </w:tc>
      </w:tr>
      <w:tr w:rsidR="00486606" w:rsidTr="00486606">
        <w:tc>
          <w:tcPr>
            <w:tcW w:w="2500" w:type="pct"/>
          </w:tcPr>
          <w:p w:rsidR="00486606" w:rsidRPr="00486606" w:rsidRDefault="003A603F" w:rsidP="00486606">
            <w:pPr>
              <w:pStyle w:val="AERtabletextleft"/>
            </w:pPr>
            <w:r>
              <w:t>02</w:t>
            </w:r>
          </w:p>
        </w:tc>
        <w:tc>
          <w:tcPr>
            <w:tcW w:w="2500" w:type="pct"/>
          </w:tcPr>
          <w:p w:rsidR="00486606" w:rsidRPr="003A603F" w:rsidRDefault="003A603F" w:rsidP="00486606">
            <w:pPr>
              <w:pStyle w:val="AERtabletextleft"/>
            </w:pPr>
            <w:r w:rsidRPr="003A603F">
              <w:t>29 November 2013</w:t>
            </w:r>
          </w:p>
        </w:tc>
      </w:tr>
    </w:tbl>
    <w:p w:rsidR="00486606" w:rsidRPr="003324F7" w:rsidRDefault="00486606" w:rsidP="004C050B">
      <w:pPr>
        <w:pStyle w:val="AERbodytext"/>
        <w:numPr>
          <w:ilvl w:val="0"/>
          <w:numId w:val="6"/>
        </w:numPr>
      </w:pPr>
    </w:p>
    <w:p w:rsidR="005F6082" w:rsidRPr="003324F7" w:rsidRDefault="005F6082" w:rsidP="004C050B">
      <w:pPr>
        <w:pStyle w:val="AERbodytext"/>
        <w:numPr>
          <w:ilvl w:val="0"/>
          <w:numId w:val="6"/>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AF3E95" w:rsidRDefault="00AF3E95" w:rsidP="004C050B">
      <w:pPr>
        <w:pStyle w:val="UnnumberedHeading"/>
        <w:numPr>
          <w:ilvl w:val="0"/>
          <w:numId w:val="1"/>
        </w:numPr>
      </w:pPr>
      <w:bookmarkStart w:id="1" w:name="_Toc360023682"/>
      <w:bookmarkStart w:id="2" w:name="_Toc360024843"/>
      <w:bookmarkStart w:id="3" w:name="_Toc373311113"/>
      <w:r>
        <w:lastRenderedPageBreak/>
        <w:t>Contents</w:t>
      </w:r>
      <w:bookmarkEnd w:id="1"/>
      <w:bookmarkEnd w:id="2"/>
      <w:bookmarkEnd w:id="3"/>
    </w:p>
    <w:p w:rsidR="009D75AC"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p>
    <w:p w:rsidR="009D75AC" w:rsidRDefault="008866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11114" w:history="1">
        <w:r w:rsidR="009D75AC" w:rsidRPr="00552014">
          <w:rPr>
            <w:rStyle w:val="Hyperlink"/>
            <w:noProof/>
          </w:rPr>
          <w:t>1</w:t>
        </w:r>
        <w:r w:rsidR="009D75AC">
          <w:rPr>
            <w:rFonts w:asciiTheme="minorHAnsi" w:eastAsiaTheme="minorEastAsia" w:hAnsiTheme="minorHAnsi" w:cstheme="minorBidi"/>
            <w:b w:val="0"/>
            <w:bCs w:val="0"/>
            <w:noProof/>
            <w:sz w:val="22"/>
            <w:szCs w:val="22"/>
            <w:lang w:eastAsia="en-AU"/>
          </w:rPr>
          <w:tab/>
        </w:r>
        <w:r w:rsidR="009D75AC" w:rsidRPr="00552014">
          <w:rPr>
            <w:rStyle w:val="Hyperlink"/>
            <w:noProof/>
          </w:rPr>
          <w:t>Efficiency benefit sharing scheme</w:t>
        </w:r>
        <w:r w:rsidR="009D75AC">
          <w:rPr>
            <w:noProof/>
            <w:webHidden/>
          </w:rPr>
          <w:tab/>
        </w:r>
        <w:r w:rsidR="009D75AC">
          <w:rPr>
            <w:noProof/>
            <w:webHidden/>
          </w:rPr>
          <w:fldChar w:fldCharType="begin"/>
        </w:r>
        <w:r w:rsidR="009D75AC">
          <w:rPr>
            <w:noProof/>
            <w:webHidden/>
          </w:rPr>
          <w:instrText xml:space="preserve"> PAGEREF _Toc373311114 \h </w:instrText>
        </w:r>
        <w:r w:rsidR="009D75AC">
          <w:rPr>
            <w:noProof/>
            <w:webHidden/>
          </w:rPr>
        </w:r>
        <w:r w:rsidR="009D75AC">
          <w:rPr>
            <w:noProof/>
            <w:webHidden/>
          </w:rPr>
          <w:fldChar w:fldCharType="separate"/>
        </w:r>
        <w:r w:rsidR="00052DD2">
          <w:rPr>
            <w:noProof/>
            <w:webHidden/>
          </w:rPr>
          <w:t>4</w:t>
        </w:r>
        <w:r w:rsidR="009D75AC">
          <w:rPr>
            <w:noProof/>
            <w:webHidden/>
          </w:rPr>
          <w:fldChar w:fldCharType="end"/>
        </w:r>
      </w:hyperlink>
    </w:p>
    <w:p w:rsidR="009D75AC" w:rsidRDefault="008866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11115" w:history="1">
        <w:r w:rsidR="009D75AC" w:rsidRPr="00552014">
          <w:rPr>
            <w:rStyle w:val="Hyperlink"/>
            <w:noProof/>
          </w:rPr>
          <w:t>1.1</w:t>
        </w:r>
        <w:r w:rsidR="009D75AC">
          <w:rPr>
            <w:rFonts w:asciiTheme="minorHAnsi" w:eastAsiaTheme="minorEastAsia" w:hAnsiTheme="minorHAnsi" w:cstheme="minorBidi"/>
            <w:iCs w:val="0"/>
            <w:noProof/>
            <w:sz w:val="22"/>
            <w:szCs w:val="22"/>
            <w:lang w:eastAsia="en-AU"/>
          </w:rPr>
          <w:tab/>
        </w:r>
        <w:r w:rsidR="009D75AC" w:rsidRPr="00552014">
          <w:rPr>
            <w:rStyle w:val="Hyperlink"/>
            <w:noProof/>
          </w:rPr>
          <w:t>Objective</w:t>
        </w:r>
        <w:r w:rsidR="009D75AC">
          <w:rPr>
            <w:noProof/>
            <w:webHidden/>
          </w:rPr>
          <w:tab/>
        </w:r>
        <w:r w:rsidR="009D75AC">
          <w:rPr>
            <w:noProof/>
            <w:webHidden/>
          </w:rPr>
          <w:fldChar w:fldCharType="begin"/>
        </w:r>
        <w:r w:rsidR="009D75AC">
          <w:rPr>
            <w:noProof/>
            <w:webHidden/>
          </w:rPr>
          <w:instrText xml:space="preserve"> PAGEREF _Toc373311115 \h </w:instrText>
        </w:r>
        <w:r w:rsidR="009D75AC">
          <w:rPr>
            <w:noProof/>
            <w:webHidden/>
          </w:rPr>
        </w:r>
        <w:r w:rsidR="009D75AC">
          <w:rPr>
            <w:noProof/>
            <w:webHidden/>
          </w:rPr>
          <w:fldChar w:fldCharType="separate"/>
        </w:r>
        <w:r w:rsidR="00052DD2">
          <w:rPr>
            <w:noProof/>
            <w:webHidden/>
          </w:rPr>
          <w:t>4</w:t>
        </w:r>
        <w:r w:rsidR="009D75AC">
          <w:rPr>
            <w:noProof/>
            <w:webHidden/>
          </w:rPr>
          <w:fldChar w:fldCharType="end"/>
        </w:r>
      </w:hyperlink>
    </w:p>
    <w:p w:rsidR="009D75AC" w:rsidRDefault="008866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11116" w:history="1">
        <w:r w:rsidR="009D75AC" w:rsidRPr="00552014">
          <w:rPr>
            <w:rStyle w:val="Hyperlink"/>
            <w:noProof/>
          </w:rPr>
          <w:t>1.2</w:t>
        </w:r>
        <w:r w:rsidR="009D75AC">
          <w:rPr>
            <w:rFonts w:asciiTheme="minorHAnsi" w:eastAsiaTheme="minorEastAsia" w:hAnsiTheme="minorHAnsi" w:cstheme="minorBidi"/>
            <w:iCs w:val="0"/>
            <w:noProof/>
            <w:sz w:val="22"/>
            <w:szCs w:val="22"/>
            <w:lang w:eastAsia="en-AU"/>
          </w:rPr>
          <w:tab/>
        </w:r>
        <w:r w:rsidR="009D75AC" w:rsidRPr="00552014">
          <w:rPr>
            <w:rStyle w:val="Hyperlink"/>
            <w:noProof/>
          </w:rPr>
          <w:t>Rule requirements</w:t>
        </w:r>
        <w:r w:rsidR="009D75AC">
          <w:rPr>
            <w:noProof/>
            <w:webHidden/>
          </w:rPr>
          <w:tab/>
        </w:r>
        <w:r w:rsidR="009D75AC">
          <w:rPr>
            <w:noProof/>
            <w:webHidden/>
          </w:rPr>
          <w:fldChar w:fldCharType="begin"/>
        </w:r>
        <w:r w:rsidR="009D75AC">
          <w:rPr>
            <w:noProof/>
            <w:webHidden/>
          </w:rPr>
          <w:instrText xml:space="preserve"> PAGEREF _Toc373311116 \h </w:instrText>
        </w:r>
        <w:r w:rsidR="009D75AC">
          <w:rPr>
            <w:noProof/>
            <w:webHidden/>
          </w:rPr>
        </w:r>
        <w:r w:rsidR="009D75AC">
          <w:rPr>
            <w:noProof/>
            <w:webHidden/>
          </w:rPr>
          <w:fldChar w:fldCharType="separate"/>
        </w:r>
        <w:r w:rsidR="00052DD2">
          <w:rPr>
            <w:noProof/>
            <w:webHidden/>
          </w:rPr>
          <w:t>4</w:t>
        </w:r>
        <w:r w:rsidR="009D75AC">
          <w:rPr>
            <w:noProof/>
            <w:webHidden/>
          </w:rPr>
          <w:fldChar w:fldCharType="end"/>
        </w:r>
      </w:hyperlink>
    </w:p>
    <w:p w:rsidR="009D75AC" w:rsidRDefault="008866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11117" w:history="1">
        <w:r w:rsidR="009D75AC" w:rsidRPr="00552014">
          <w:rPr>
            <w:rStyle w:val="Hyperlink"/>
            <w:noProof/>
          </w:rPr>
          <w:t>1.3</w:t>
        </w:r>
        <w:r w:rsidR="009D75AC">
          <w:rPr>
            <w:rFonts w:asciiTheme="minorHAnsi" w:eastAsiaTheme="minorEastAsia" w:hAnsiTheme="minorHAnsi" w:cstheme="minorBidi"/>
            <w:iCs w:val="0"/>
            <w:noProof/>
            <w:sz w:val="22"/>
            <w:szCs w:val="22"/>
            <w:lang w:eastAsia="en-AU"/>
          </w:rPr>
          <w:tab/>
        </w:r>
        <w:r w:rsidR="009D75AC" w:rsidRPr="00552014">
          <w:rPr>
            <w:rStyle w:val="Hyperlink"/>
            <w:noProof/>
          </w:rPr>
          <w:t>Application of the EBSS</w:t>
        </w:r>
        <w:r w:rsidR="009D75AC">
          <w:rPr>
            <w:noProof/>
            <w:webHidden/>
          </w:rPr>
          <w:tab/>
        </w:r>
        <w:r w:rsidR="009D75AC">
          <w:rPr>
            <w:noProof/>
            <w:webHidden/>
          </w:rPr>
          <w:fldChar w:fldCharType="begin"/>
        </w:r>
        <w:r w:rsidR="009D75AC">
          <w:rPr>
            <w:noProof/>
            <w:webHidden/>
          </w:rPr>
          <w:instrText xml:space="preserve"> PAGEREF _Toc373311117 \h </w:instrText>
        </w:r>
        <w:r w:rsidR="009D75AC">
          <w:rPr>
            <w:noProof/>
            <w:webHidden/>
          </w:rPr>
        </w:r>
        <w:r w:rsidR="009D75AC">
          <w:rPr>
            <w:noProof/>
            <w:webHidden/>
          </w:rPr>
          <w:fldChar w:fldCharType="separate"/>
        </w:r>
        <w:r w:rsidR="00052DD2">
          <w:rPr>
            <w:noProof/>
            <w:webHidden/>
          </w:rPr>
          <w:t>4</w:t>
        </w:r>
        <w:r w:rsidR="009D75AC">
          <w:rPr>
            <w:noProof/>
            <w:webHidden/>
          </w:rPr>
          <w:fldChar w:fldCharType="end"/>
        </w:r>
      </w:hyperlink>
    </w:p>
    <w:p w:rsidR="009D75AC" w:rsidRDefault="008866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11118" w:history="1">
        <w:r w:rsidR="009D75AC" w:rsidRPr="00552014">
          <w:rPr>
            <w:rStyle w:val="Hyperlink"/>
            <w:noProof/>
          </w:rPr>
          <w:t>1.4</w:t>
        </w:r>
        <w:r w:rsidR="009D75AC">
          <w:rPr>
            <w:rFonts w:asciiTheme="minorHAnsi" w:eastAsiaTheme="minorEastAsia" w:hAnsiTheme="minorHAnsi" w:cstheme="minorBidi"/>
            <w:iCs w:val="0"/>
            <w:noProof/>
            <w:sz w:val="22"/>
            <w:szCs w:val="22"/>
            <w:lang w:eastAsia="en-AU"/>
          </w:rPr>
          <w:tab/>
        </w:r>
        <w:r w:rsidR="009D75AC" w:rsidRPr="00552014">
          <w:rPr>
            <w:rStyle w:val="Hyperlink"/>
            <w:noProof/>
          </w:rPr>
          <w:t>Adjustments to forecast or actual opex when calculating carryover amounts</w:t>
        </w:r>
        <w:r w:rsidR="009D75AC">
          <w:rPr>
            <w:noProof/>
            <w:webHidden/>
          </w:rPr>
          <w:tab/>
        </w:r>
        <w:r w:rsidR="009D75AC">
          <w:rPr>
            <w:noProof/>
            <w:webHidden/>
          </w:rPr>
          <w:fldChar w:fldCharType="begin"/>
        </w:r>
        <w:r w:rsidR="009D75AC">
          <w:rPr>
            <w:noProof/>
            <w:webHidden/>
          </w:rPr>
          <w:instrText xml:space="preserve"> PAGEREF _Toc373311118 \h </w:instrText>
        </w:r>
        <w:r w:rsidR="009D75AC">
          <w:rPr>
            <w:noProof/>
            <w:webHidden/>
          </w:rPr>
        </w:r>
        <w:r w:rsidR="009D75AC">
          <w:rPr>
            <w:noProof/>
            <w:webHidden/>
          </w:rPr>
          <w:fldChar w:fldCharType="separate"/>
        </w:r>
        <w:r w:rsidR="00052DD2">
          <w:rPr>
            <w:noProof/>
            <w:webHidden/>
          </w:rPr>
          <w:t>7</w:t>
        </w:r>
        <w:r w:rsidR="009D75AC">
          <w:rPr>
            <w:noProof/>
            <w:webHidden/>
          </w:rPr>
          <w:fldChar w:fldCharType="end"/>
        </w:r>
      </w:hyperlink>
    </w:p>
    <w:p w:rsidR="009D75AC" w:rsidRDefault="0088664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11119" w:history="1">
        <w:r w:rsidR="009D75AC" w:rsidRPr="00552014">
          <w:rPr>
            <w:rStyle w:val="Hyperlink"/>
            <w:noProof/>
          </w:rPr>
          <w:t>Glossary</w:t>
        </w:r>
        <w:r w:rsidR="009D75AC">
          <w:rPr>
            <w:noProof/>
            <w:webHidden/>
          </w:rPr>
          <w:tab/>
        </w:r>
        <w:r w:rsidR="009D75AC">
          <w:rPr>
            <w:noProof/>
            <w:webHidden/>
          </w:rPr>
          <w:fldChar w:fldCharType="begin"/>
        </w:r>
        <w:r w:rsidR="009D75AC">
          <w:rPr>
            <w:noProof/>
            <w:webHidden/>
          </w:rPr>
          <w:instrText xml:space="preserve"> PAGEREF _Toc373311119 \h </w:instrText>
        </w:r>
        <w:r w:rsidR="009D75AC">
          <w:rPr>
            <w:noProof/>
            <w:webHidden/>
          </w:rPr>
        </w:r>
        <w:r w:rsidR="009D75AC">
          <w:rPr>
            <w:noProof/>
            <w:webHidden/>
          </w:rPr>
          <w:fldChar w:fldCharType="separate"/>
        </w:r>
        <w:r w:rsidR="00052DD2">
          <w:rPr>
            <w:noProof/>
            <w:webHidden/>
          </w:rPr>
          <w:t>8</w:t>
        </w:r>
        <w:r w:rsidR="009D75AC">
          <w:rPr>
            <w:noProof/>
            <w:webHidden/>
          </w:rPr>
          <w:fldChar w:fldCharType="end"/>
        </w:r>
      </w:hyperlink>
    </w:p>
    <w:p w:rsidR="00381E3E" w:rsidRPr="00381E3E" w:rsidRDefault="00824CC8" w:rsidP="00830635">
      <w:pPr>
        <w:pStyle w:val="Heading1"/>
      </w:pPr>
      <w:r w:rsidRPr="00AC1B94">
        <w:lastRenderedPageBreak/>
        <w:fldChar w:fldCharType="end"/>
      </w:r>
      <w:bookmarkStart w:id="4" w:name="_Toc371005080"/>
      <w:bookmarkStart w:id="5" w:name="_Toc371005081"/>
      <w:bookmarkStart w:id="6" w:name="_Toc371005082"/>
      <w:bookmarkStart w:id="7" w:name="_Toc371005083"/>
      <w:bookmarkStart w:id="8" w:name="_Toc371005084"/>
      <w:bookmarkStart w:id="9" w:name="_Toc371005085"/>
      <w:bookmarkStart w:id="10" w:name="_Toc373311114"/>
      <w:bookmarkEnd w:id="4"/>
      <w:bookmarkEnd w:id="5"/>
      <w:bookmarkEnd w:id="6"/>
      <w:bookmarkEnd w:id="7"/>
      <w:bookmarkEnd w:id="8"/>
      <w:bookmarkEnd w:id="9"/>
      <w:r w:rsidR="00381E3E" w:rsidRPr="00381E3E">
        <w:t>Ef</w:t>
      </w:r>
      <w:r w:rsidR="00381E3E">
        <w:t>ficiency benefit sharing scheme</w:t>
      </w:r>
      <w:bookmarkEnd w:id="10"/>
    </w:p>
    <w:p w:rsidR="00381E3E" w:rsidRPr="00381E3E" w:rsidRDefault="00830635" w:rsidP="00381E3E">
      <w:pPr>
        <w:pStyle w:val="AERbodytext"/>
        <w:numPr>
          <w:ilvl w:val="0"/>
          <w:numId w:val="6"/>
        </w:numPr>
      </w:pPr>
      <w:r>
        <w:t xml:space="preserve">We are required to develop an Efficiency Benefit Sharing Scheme (EBSS) for </w:t>
      </w:r>
      <w:r w:rsidRPr="00381E3E">
        <w:t xml:space="preserve">Distribution Network Service Providers (DNSPs) </w:t>
      </w:r>
      <w:r>
        <w:t>and Transmission Network Providers (TNSPs). The EBSS should provide for a fair sharing between NSPs and network users of efficiency gains and efficiency losses.</w:t>
      </w:r>
    </w:p>
    <w:p w:rsidR="00381E3E" w:rsidRPr="00381E3E" w:rsidRDefault="00381E3E" w:rsidP="00A41F24">
      <w:pPr>
        <w:pStyle w:val="Heading2"/>
      </w:pPr>
      <w:bookmarkStart w:id="11" w:name="_Toc373311115"/>
      <w:r w:rsidRPr="00381E3E">
        <w:t>Objective</w:t>
      </w:r>
      <w:bookmarkEnd w:id="11"/>
    </w:p>
    <w:p w:rsidR="00381E3E" w:rsidRPr="00381E3E" w:rsidRDefault="00381E3E" w:rsidP="00381E3E">
      <w:pPr>
        <w:pStyle w:val="AERbodytext"/>
        <w:numPr>
          <w:ilvl w:val="0"/>
          <w:numId w:val="6"/>
        </w:numPr>
      </w:pPr>
      <w:r w:rsidRPr="00381E3E">
        <w:t>The EBSS must provide for a fair sharing between NSPs and network users of efficiency gains and losses made during a regulatory control period.</w:t>
      </w:r>
    </w:p>
    <w:p w:rsidR="00381E3E" w:rsidRPr="00381E3E" w:rsidRDefault="00381E3E" w:rsidP="00381E3E">
      <w:pPr>
        <w:pStyle w:val="AERbodytext"/>
        <w:numPr>
          <w:ilvl w:val="0"/>
          <w:numId w:val="6"/>
        </w:numPr>
      </w:pPr>
      <w:r w:rsidRPr="00381E3E">
        <w:t>In accordance with clauses 6.5.8(a) and 6A.6.5(a) of the NER, an efficiency gain is where actual</w:t>
      </w:r>
      <w:r w:rsidR="00420A43">
        <w:t xml:space="preserve"> operating expenditure</w:t>
      </w:r>
      <w:r w:rsidRPr="00381E3E">
        <w:t xml:space="preserve"> </w:t>
      </w:r>
      <w:r w:rsidR="00420A43">
        <w:t>(</w:t>
      </w:r>
      <w:r w:rsidRPr="00381E3E">
        <w:t>opex</w:t>
      </w:r>
      <w:r w:rsidR="00420A43">
        <w:t>)</w:t>
      </w:r>
      <w:r w:rsidRPr="00381E3E">
        <w:t xml:space="preserve"> incurred by a NSP in a regulatory control period is less than the forecast opex set by the AER for that period. An efficiency loss is where a NSP's actual opex in a regulatory control period is more than the forecast opex set by the AER for that period.</w:t>
      </w:r>
    </w:p>
    <w:p w:rsidR="00381E3E" w:rsidRPr="00381E3E" w:rsidRDefault="00381E3E" w:rsidP="00A41F24">
      <w:pPr>
        <w:pStyle w:val="Heading2"/>
      </w:pPr>
      <w:bookmarkStart w:id="12" w:name="_Toc373311116"/>
      <w:r w:rsidRPr="00381E3E">
        <w:t>Rule requirements</w:t>
      </w:r>
      <w:bookmarkEnd w:id="12"/>
    </w:p>
    <w:p w:rsidR="00381E3E" w:rsidRPr="00381E3E" w:rsidRDefault="00381E3E" w:rsidP="00381E3E">
      <w:pPr>
        <w:pStyle w:val="AERbodytext"/>
        <w:numPr>
          <w:ilvl w:val="0"/>
          <w:numId w:val="6"/>
        </w:numPr>
      </w:pPr>
      <w:r w:rsidRPr="00381E3E">
        <w:t xml:space="preserve">Clauses 6.5.8(c) and 6A.6.5(b) of the NER </w:t>
      </w:r>
      <w:r w:rsidR="00A27E9B">
        <w:t xml:space="preserve">apply to </w:t>
      </w:r>
      <w:r w:rsidR="00A27E9B" w:rsidRPr="00381E3E">
        <w:t xml:space="preserve">DNSPs </w:t>
      </w:r>
      <w:r w:rsidR="00A27E9B">
        <w:t xml:space="preserve">and TNSPs respectively. They </w:t>
      </w:r>
      <w:r w:rsidRPr="00381E3E">
        <w:t>require that the AER, in developing and implementing an EBSS for NSPs, must have regard to:</w:t>
      </w:r>
    </w:p>
    <w:p w:rsidR="00381E3E" w:rsidRPr="00381E3E" w:rsidRDefault="00381E3E" w:rsidP="00A41F24">
      <w:pPr>
        <w:pStyle w:val="AERbulletlistfirststyle"/>
      </w:pPr>
      <w:r w:rsidRPr="00381E3E">
        <w:t xml:space="preserve">the need to provide NSPs with a continuous incentive to reduce opex </w:t>
      </w:r>
    </w:p>
    <w:p w:rsidR="00381E3E" w:rsidRPr="00381E3E" w:rsidRDefault="00381E3E" w:rsidP="00A41F24">
      <w:pPr>
        <w:pStyle w:val="AERbulletlistfirststyle"/>
      </w:pPr>
      <w:r w:rsidRPr="00381E3E">
        <w:t>the desirability of both rewarding NSPs for efficiency gains and penalising NSPs for efficiency losses</w:t>
      </w:r>
    </w:p>
    <w:p w:rsidR="00381E3E" w:rsidRPr="00381E3E" w:rsidRDefault="00381E3E" w:rsidP="00A41F24">
      <w:pPr>
        <w:pStyle w:val="AERbulletlistfirststyle"/>
      </w:pPr>
      <w:r w:rsidRPr="00381E3E">
        <w:t>any incentives that NSPs may have to capitalise expenditure</w:t>
      </w:r>
    </w:p>
    <w:p w:rsidR="00381E3E" w:rsidRPr="00381E3E" w:rsidRDefault="00381E3E" w:rsidP="00A41F24">
      <w:pPr>
        <w:pStyle w:val="AERbulletlistfirststyle"/>
      </w:pPr>
      <w:r w:rsidRPr="00381E3E">
        <w:t>the possible effects of the scheme on incentives for the implementation of non-network alternatives.</w:t>
      </w:r>
    </w:p>
    <w:p w:rsidR="00381E3E" w:rsidRPr="00381E3E" w:rsidRDefault="00381E3E" w:rsidP="00381E3E">
      <w:pPr>
        <w:pStyle w:val="AERbodytext"/>
        <w:numPr>
          <w:ilvl w:val="0"/>
          <w:numId w:val="6"/>
        </w:numPr>
      </w:pPr>
      <w:r w:rsidRPr="00381E3E">
        <w:t>In addition, clause 6.5.8(c)(1) of the NER requires that in developing an EBSS for DNSPs the AER must have regard to the need to ensure that benefits to electricity consumers likely to result from the scheme are sufficient to warrant any reward or penalty under the scheme for DNSPs.</w:t>
      </w:r>
    </w:p>
    <w:p w:rsidR="00381E3E" w:rsidRPr="00381E3E" w:rsidRDefault="00381E3E" w:rsidP="00A41F24">
      <w:pPr>
        <w:pStyle w:val="Heading2"/>
      </w:pPr>
      <w:bookmarkStart w:id="13" w:name="_Toc373311117"/>
      <w:r w:rsidRPr="00381E3E">
        <w:t>Application of the EBSS</w:t>
      </w:r>
      <w:bookmarkEnd w:id="13"/>
    </w:p>
    <w:p w:rsidR="002663D2" w:rsidRPr="002663D2" w:rsidRDefault="002663D2" w:rsidP="002663D2">
      <w:pPr>
        <w:pStyle w:val="AERbodytext"/>
        <w:numPr>
          <w:ilvl w:val="0"/>
          <w:numId w:val="6"/>
        </w:numPr>
      </w:pPr>
      <w:r w:rsidRPr="002663D2">
        <w:t>The EBS</w:t>
      </w:r>
      <w:r>
        <w:t>S is intrinsically linked to the</w:t>
      </w:r>
      <w:r w:rsidRPr="002663D2">
        <w:t xml:space="preserve"> forecasting approach for opex. When forecasting opex we typically use one year of actual opex to forecast future opex (typically the penultimate year of the current regulatory control period). We then make changes for factors such as </w:t>
      </w:r>
      <w:r w:rsidR="00A34D19">
        <w:t>output</w:t>
      </w:r>
      <w:r w:rsidR="00A34D19" w:rsidRPr="002663D2">
        <w:t xml:space="preserve"> </w:t>
      </w:r>
      <w:r w:rsidRPr="002663D2">
        <w:t>growth, real price changes</w:t>
      </w:r>
      <w:r w:rsidR="00A34D19">
        <w:t>,</w:t>
      </w:r>
      <w:r w:rsidRPr="002663D2">
        <w:t xml:space="preserve"> </w:t>
      </w:r>
      <w:r w:rsidR="00A34D19">
        <w:t>productivity growth and any other efficient cost changes</w:t>
      </w:r>
      <w:r w:rsidRPr="002663D2">
        <w:t xml:space="preserve">. This is known as the revealed cost </w:t>
      </w:r>
      <w:r w:rsidR="00A34D19">
        <w:t>base-step-trend</w:t>
      </w:r>
      <w:r w:rsidRPr="002663D2">
        <w:t xml:space="preserve"> forecasting approach.</w:t>
      </w:r>
    </w:p>
    <w:p w:rsidR="002663D2" w:rsidRPr="002663D2" w:rsidRDefault="002663D2" w:rsidP="00A27010">
      <w:pPr>
        <w:pStyle w:val="AERbodytext"/>
      </w:pPr>
      <w:r w:rsidRPr="002663D2">
        <w:t>There are two potential incentive problems with this forecasting approach</w:t>
      </w:r>
      <w:r w:rsidR="00315744">
        <w:t xml:space="preserve"> </w:t>
      </w:r>
      <w:r w:rsidR="00A27010" w:rsidRPr="00A27010">
        <w:t>when an EBSS is not in place</w:t>
      </w:r>
      <w:r w:rsidRPr="002663D2">
        <w:t>:</w:t>
      </w:r>
    </w:p>
    <w:p w:rsidR="002663D2" w:rsidRPr="002663D2" w:rsidRDefault="002663D2" w:rsidP="00830635">
      <w:pPr>
        <w:pStyle w:val="AERnumberedlistfirststyle"/>
      </w:pPr>
      <w:r w:rsidRPr="002663D2">
        <w:t>A NSP has an incentive to increase opex in the expected 'base year' to increase its forecast opex allowance for the following regulatory control period.</w:t>
      </w:r>
    </w:p>
    <w:p w:rsidR="002663D2" w:rsidRPr="002663D2" w:rsidRDefault="00285909" w:rsidP="00830635">
      <w:pPr>
        <w:pStyle w:val="AERnumberedlistfirststyle"/>
      </w:pPr>
      <w:r w:rsidRPr="00B00C52">
        <w:t xml:space="preserve">A NSP's incentive to </w:t>
      </w:r>
      <w:r>
        <w:t>make sustainable change</w:t>
      </w:r>
      <w:r w:rsidR="00A34D19">
        <w:t>s</w:t>
      </w:r>
      <w:r>
        <w:t xml:space="preserve"> to its practices, and </w:t>
      </w:r>
      <w:r w:rsidRPr="00B00C52">
        <w:t xml:space="preserve">reduce </w:t>
      </w:r>
      <w:r>
        <w:t xml:space="preserve">its recurrent </w:t>
      </w:r>
      <w:r w:rsidRPr="00B00C52">
        <w:t>opex</w:t>
      </w:r>
      <w:r>
        <w:t>,</w:t>
      </w:r>
      <w:r w:rsidRPr="00B00C52">
        <w:t xml:space="preserve"> declines as the regulatory control period progresses</w:t>
      </w:r>
      <w:r>
        <w:t>. It</w:t>
      </w:r>
      <w:r w:rsidRPr="00B00C52">
        <w:t xml:space="preserve"> then increases again </w:t>
      </w:r>
      <w:r>
        <w:t>after</w:t>
      </w:r>
      <w:r w:rsidRPr="00B00C52">
        <w:t xml:space="preserve"> the </w:t>
      </w:r>
      <w:r>
        <w:t>base</w:t>
      </w:r>
      <w:r w:rsidRPr="00B00C52">
        <w:t xml:space="preserve"> year </w:t>
      </w:r>
      <w:r>
        <w:t>used to forecast opex for the following regulatory control period</w:t>
      </w:r>
      <w:r w:rsidRPr="00B00C52">
        <w:t xml:space="preserve">. </w:t>
      </w:r>
      <w:r>
        <w:t xml:space="preserve">By deferring these ongoing </w:t>
      </w:r>
      <w:r>
        <w:lastRenderedPageBreak/>
        <w:t>efficiency gains until after the base year the NSP can retain the benefits of doing so for longer because they won't be reflected in the opex forecasts for the following period.</w:t>
      </w:r>
    </w:p>
    <w:p w:rsidR="002663D2" w:rsidRDefault="007D1C0A" w:rsidP="00A27010">
      <w:pPr>
        <w:pStyle w:val="AERbodytext"/>
        <w:numPr>
          <w:ilvl w:val="0"/>
          <w:numId w:val="0"/>
        </w:numPr>
      </w:pPr>
      <w:r>
        <w:t xml:space="preserve">These issues are </w:t>
      </w:r>
      <w:r w:rsidR="002663D2" w:rsidRPr="002663D2">
        <w:t>address</w:t>
      </w:r>
      <w:r>
        <w:t>ed</w:t>
      </w:r>
      <w:r w:rsidR="002663D2" w:rsidRPr="002663D2">
        <w:t xml:space="preserve"> by applying an EBSS in combination with a revealed cost base</w:t>
      </w:r>
      <w:r w:rsidR="00A34D19">
        <w:noBreakHyphen/>
      </w:r>
      <w:r w:rsidR="002663D2" w:rsidRPr="002663D2">
        <w:t>step</w:t>
      </w:r>
      <w:r w:rsidR="00A34D19">
        <w:noBreakHyphen/>
      </w:r>
      <w:r w:rsidR="002663D2" w:rsidRPr="002663D2">
        <w:t>trend forecasting approach. This provides NSPs the same reward for an underspend and the same penalty for an overspend in each year of</w:t>
      </w:r>
      <w:r w:rsidR="002663D2">
        <w:t xml:space="preserve"> the regulatory control period.</w:t>
      </w:r>
    </w:p>
    <w:p w:rsidR="002663D2" w:rsidRPr="002663D2" w:rsidRDefault="002663D2" w:rsidP="002663D2">
      <w:pPr>
        <w:pStyle w:val="AERbodytext"/>
        <w:numPr>
          <w:ilvl w:val="0"/>
          <w:numId w:val="6"/>
        </w:numPr>
      </w:pPr>
      <w:r>
        <w:t>The</w:t>
      </w:r>
      <w:r w:rsidRPr="002663D2">
        <w:t xml:space="preserve"> EBSS works as follows:</w:t>
      </w:r>
    </w:p>
    <w:p w:rsidR="002663D2" w:rsidRPr="002663D2" w:rsidRDefault="002663D2" w:rsidP="00A27010">
      <w:pPr>
        <w:pStyle w:val="AERbulletlistfirststyle"/>
      </w:pPr>
      <w:r w:rsidRPr="002663D2">
        <w:t xml:space="preserve">The regulatory regime provides for ex ante opex forecasts. The NSP keeps the benefit (or incurs the cost) of delivering actual opex lower (higher) than forecast opex in each year of a regulatory control period.   </w:t>
      </w:r>
    </w:p>
    <w:p w:rsidR="00A27010" w:rsidRPr="00A27010" w:rsidRDefault="00A27010" w:rsidP="00A27010">
      <w:pPr>
        <w:pStyle w:val="AERbulletlistfirststyle"/>
      </w:pPr>
      <w:r w:rsidRPr="00A27010">
        <w:t>The EBSS carries forward a NSP</w:t>
      </w:r>
      <w:r w:rsidR="00C94174">
        <w:t>'</w:t>
      </w:r>
      <w:r w:rsidRPr="00A27010">
        <w:t xml:space="preserve">s </w:t>
      </w:r>
      <w:r w:rsidR="002D2D3B">
        <w:t>incremental</w:t>
      </w:r>
      <w:r w:rsidR="00A34D19" w:rsidRPr="00A27010">
        <w:t xml:space="preserve"> </w:t>
      </w:r>
      <w:r w:rsidRPr="00A27010">
        <w:t xml:space="preserve">efficiency gains for the length of the carryover period. This carryover period length will typically be five years for a five year regulatory control period. </w:t>
      </w:r>
    </w:p>
    <w:p w:rsidR="002663D2" w:rsidRPr="002663D2" w:rsidRDefault="00A27010" w:rsidP="00A27010">
      <w:pPr>
        <w:pStyle w:val="AERbulletlistfirststyle"/>
      </w:pPr>
      <w:r>
        <w:t>The c</w:t>
      </w:r>
      <w:r w:rsidRPr="00381E3E">
        <w:t xml:space="preserve">arryover amounts </w:t>
      </w:r>
      <w:r>
        <w:t xml:space="preserve">accrued in year </w:t>
      </w:r>
      <w:proofErr w:type="spellStart"/>
      <w:r>
        <w:t>i</w:t>
      </w:r>
      <w:proofErr w:type="spellEnd"/>
      <w:r>
        <w:t xml:space="preserve"> of period n + 1 will be the summation of the </w:t>
      </w:r>
      <w:r w:rsidR="00A34D19">
        <w:t xml:space="preserve">incremental </w:t>
      </w:r>
      <w:r>
        <w:t xml:space="preserve">efficiency gains in period n that are carried forward into year </w:t>
      </w:r>
      <w:proofErr w:type="spellStart"/>
      <w:r>
        <w:t>i</w:t>
      </w:r>
      <w:proofErr w:type="spellEnd"/>
      <w:r>
        <w:t xml:space="preserve">. </w:t>
      </w:r>
      <w:r w:rsidR="002663D2" w:rsidRPr="002663D2">
        <w:t xml:space="preserve"> </w:t>
      </w:r>
    </w:p>
    <w:p w:rsidR="002663D2" w:rsidRPr="002663D2" w:rsidRDefault="002663D2" w:rsidP="00A27010">
      <w:pPr>
        <w:pStyle w:val="AERbulletlistfirststyle"/>
      </w:pPr>
      <w:r w:rsidRPr="002663D2">
        <w:t>We add the carryover amounts as an additional 'building block' when setting the NSP's regulated revenue for the period</w:t>
      </w:r>
      <w:r w:rsidR="00F53768">
        <w:t xml:space="preserve"> n + 1</w:t>
      </w:r>
      <w:r w:rsidRPr="002663D2">
        <w:t>.</w:t>
      </w:r>
    </w:p>
    <w:p w:rsidR="002663D2" w:rsidRPr="002663D2" w:rsidRDefault="002663D2" w:rsidP="00A27010">
      <w:pPr>
        <w:pStyle w:val="AERbulletlistfirststyle"/>
      </w:pPr>
      <w:r w:rsidRPr="002663D2">
        <w:t xml:space="preserve">The actual opex incurred in the base year is used as the starting point for forecasting opex </w:t>
      </w:r>
      <w:r w:rsidR="00F53768">
        <w:t>for</w:t>
      </w:r>
      <w:r w:rsidRPr="002663D2">
        <w:t xml:space="preserve"> period</w:t>
      </w:r>
      <w:r w:rsidR="00F53768">
        <w:t xml:space="preserve"> n + 1</w:t>
      </w:r>
      <w:r w:rsidRPr="002663D2">
        <w:t xml:space="preserve">. </w:t>
      </w:r>
    </w:p>
    <w:p w:rsidR="002663D2" w:rsidRPr="002663D2" w:rsidRDefault="002663D2" w:rsidP="00A27010">
      <w:pPr>
        <w:pStyle w:val="AERbulletlistfirststyle"/>
      </w:pPr>
      <w:r w:rsidRPr="002663D2">
        <w:t>Under this approach, the benefits of any increase or decrease in opex is shared approximately 30:70 between NSPs and consumers.</w:t>
      </w:r>
    </w:p>
    <w:p w:rsidR="00381E3E" w:rsidRPr="00381E3E" w:rsidRDefault="001D6833" w:rsidP="00A27010">
      <w:pPr>
        <w:pStyle w:val="AERbodytext"/>
        <w:numPr>
          <w:ilvl w:val="0"/>
          <w:numId w:val="6"/>
        </w:numPr>
      </w:pPr>
      <w:r>
        <w:t xml:space="preserve">Section </w:t>
      </w:r>
      <w:r>
        <w:fldChar w:fldCharType="begin"/>
      </w:r>
      <w:r>
        <w:instrText xml:space="preserve"> REF _Ref370482326 \r \h </w:instrText>
      </w:r>
      <w:r>
        <w:fldChar w:fldCharType="separate"/>
      </w:r>
      <w:r w:rsidR="00CF7A73">
        <w:t>1.3.1</w:t>
      </w:r>
      <w:r>
        <w:fldChar w:fldCharType="end"/>
      </w:r>
      <w:r>
        <w:t xml:space="preserve"> sets out how the carryover period length will be determined. </w:t>
      </w:r>
      <w:r w:rsidR="00381E3E" w:rsidRPr="00381E3E">
        <w:t xml:space="preserve">Sections </w:t>
      </w:r>
      <w:r>
        <w:fldChar w:fldCharType="begin"/>
      </w:r>
      <w:r>
        <w:instrText xml:space="preserve"> REF _Ref370482360 \r \h </w:instrText>
      </w:r>
      <w:r>
        <w:fldChar w:fldCharType="separate"/>
      </w:r>
      <w:r w:rsidR="00CF7A73">
        <w:t>1.3.2</w:t>
      </w:r>
      <w:r>
        <w:fldChar w:fldCharType="end"/>
      </w:r>
      <w:r>
        <w:t xml:space="preserve"> to </w:t>
      </w:r>
      <w:r>
        <w:fldChar w:fldCharType="begin"/>
      </w:r>
      <w:r>
        <w:instrText xml:space="preserve"> REF _Ref369599651 \r \h </w:instrText>
      </w:r>
      <w:r>
        <w:fldChar w:fldCharType="separate"/>
      </w:r>
      <w:r w:rsidR="00CF7A73">
        <w:t>1.3.4</w:t>
      </w:r>
      <w:r>
        <w:fldChar w:fldCharType="end"/>
      </w:r>
      <w:r w:rsidR="00381E3E" w:rsidRPr="00381E3E">
        <w:t xml:space="preserve"> explain how the AER will calculate </w:t>
      </w:r>
      <w:r w:rsidR="002D2D3B">
        <w:t>incremental efficiency gain</w:t>
      </w:r>
      <w:r w:rsidR="00381E3E" w:rsidRPr="00381E3E">
        <w:t>s in each year.</w:t>
      </w:r>
    </w:p>
    <w:p w:rsidR="00C957C5" w:rsidRDefault="00C957C5" w:rsidP="00C957C5">
      <w:pPr>
        <w:pStyle w:val="Heading3"/>
      </w:pPr>
      <w:bookmarkStart w:id="14" w:name="_Ref370482326"/>
      <w:r>
        <w:t>Carryover period length</w:t>
      </w:r>
      <w:bookmarkEnd w:id="14"/>
      <w:r w:rsidRPr="00C957C5">
        <w:t xml:space="preserve"> </w:t>
      </w:r>
    </w:p>
    <w:p w:rsidR="002E50B1" w:rsidRPr="002E50B1" w:rsidRDefault="002E50B1" w:rsidP="002E50B1">
      <w:pPr>
        <w:pStyle w:val="AERbodytext"/>
        <w:numPr>
          <w:ilvl w:val="0"/>
          <w:numId w:val="6"/>
        </w:numPr>
      </w:pPr>
      <w:r w:rsidRPr="002E50B1">
        <w:t xml:space="preserve">The carryover period length </w:t>
      </w:r>
      <w:r w:rsidR="00830635">
        <w:t xml:space="preserve">to apply for regulatory control period n </w:t>
      </w:r>
      <w:r w:rsidRPr="002E50B1">
        <w:t>will be determined at the final determination prior to the commencement of regulatory control period</w:t>
      </w:r>
      <w:r w:rsidR="00830635">
        <w:t xml:space="preserve"> n</w:t>
      </w:r>
      <w:r w:rsidRPr="002E50B1">
        <w:t xml:space="preserve">. </w:t>
      </w:r>
      <w:r w:rsidR="00830635">
        <w:t xml:space="preserve">The carryover period length will be five years unless the length of regulatory period n, or regulatory control period n+1, is not five years. </w:t>
      </w:r>
      <w:r w:rsidR="001D37F7">
        <w:t xml:space="preserve">If the length of regulatory period n, or regulatory control period n+1, is not five years we may determine a different carryover period length. </w:t>
      </w:r>
      <w:r w:rsidRPr="002E50B1">
        <w:t>In determining the carryover period length</w:t>
      </w:r>
      <w:r w:rsidR="0028285D">
        <w:t>,</w:t>
      </w:r>
      <w:r w:rsidRPr="002E50B1">
        <w:t xml:space="preserve"> we will have regard to </w:t>
      </w:r>
      <w:r w:rsidR="002D2D3B">
        <w:t xml:space="preserve">the </w:t>
      </w:r>
      <w:r w:rsidRPr="002E50B1">
        <w:t>matters we are required to under the NEL and the NER including, but not limited to:</w:t>
      </w:r>
    </w:p>
    <w:p w:rsidR="002E50B1" w:rsidRPr="002E50B1" w:rsidRDefault="002E50B1" w:rsidP="002E50B1">
      <w:pPr>
        <w:pStyle w:val="AERbulletlistfirststyle"/>
      </w:pPr>
      <w:r w:rsidRPr="002E50B1">
        <w:t>the length of regulatory control period</w:t>
      </w:r>
      <w:r w:rsidR="009D75AC">
        <w:t>s n and n+1</w:t>
      </w:r>
      <w:r w:rsidRPr="002E50B1">
        <w:t xml:space="preserve"> </w:t>
      </w:r>
    </w:p>
    <w:p w:rsidR="00C957C5" w:rsidRPr="00C957C5" w:rsidRDefault="002E50B1" w:rsidP="00C957C5">
      <w:pPr>
        <w:pStyle w:val="AERbulletlistfirststyle"/>
      </w:pPr>
      <w:r w:rsidRPr="002E50B1">
        <w:t xml:space="preserve">the balance of incentives provided by the EBSS, </w:t>
      </w:r>
      <w:r>
        <w:t>capital expenditure sharing scheme</w:t>
      </w:r>
      <w:r w:rsidRPr="002E50B1">
        <w:t xml:space="preserve"> and </w:t>
      </w:r>
      <w:r>
        <w:t>the service target performance incentive scheme</w:t>
      </w:r>
      <w:r w:rsidRPr="002E50B1">
        <w:t>.</w:t>
      </w:r>
    </w:p>
    <w:p w:rsidR="00381E3E" w:rsidRPr="00381E3E" w:rsidRDefault="002D2D3B" w:rsidP="00A41F24">
      <w:pPr>
        <w:pStyle w:val="Heading3"/>
      </w:pPr>
      <w:bookmarkStart w:id="15" w:name="_Ref371001396"/>
      <w:bookmarkStart w:id="16" w:name="_Ref370482360"/>
      <w:r>
        <w:t>Incremental efficiency gain</w:t>
      </w:r>
      <w:r w:rsidR="00381E3E" w:rsidRPr="00381E3E">
        <w:t>s in the first regulatory year</w:t>
      </w:r>
      <w:bookmarkEnd w:id="15"/>
      <w:r w:rsidR="00381E3E" w:rsidRPr="00381E3E">
        <w:t xml:space="preserve"> </w:t>
      </w:r>
      <w:bookmarkEnd w:id="16"/>
    </w:p>
    <w:p w:rsidR="00381E3E" w:rsidRPr="00381E3E" w:rsidRDefault="00381E3E" w:rsidP="00381E3E">
      <w:pPr>
        <w:pStyle w:val="AERbodytext"/>
        <w:numPr>
          <w:ilvl w:val="0"/>
          <w:numId w:val="6"/>
        </w:numPr>
      </w:pPr>
      <w:r w:rsidRPr="00381E3E">
        <w:t>Forecast opex reflects our forecast of efficient opex at the time of a regulatory determination. For the purposes of the EBSS, the difference between actual opex and forecast opex at any time reflects an efficiency gain relative to forecast opex.</w:t>
      </w:r>
      <w:r w:rsidR="0057138C">
        <w:rPr>
          <w:rStyle w:val="FootnoteReference"/>
        </w:rPr>
        <w:footnoteReference w:id="1"/>
      </w:r>
      <w:r w:rsidRPr="00381E3E">
        <w:t xml:space="preserve"> Therefore, the difference between forecast opex and actual </w:t>
      </w:r>
      <w:r w:rsidRPr="00381E3E">
        <w:lastRenderedPageBreak/>
        <w:t xml:space="preserve">opex in the first year of a regulatory control period reflects </w:t>
      </w:r>
      <w:r w:rsidR="002D2D3B">
        <w:t>incremental efficiency gain</w:t>
      </w:r>
      <w:r w:rsidRPr="00381E3E">
        <w:t xml:space="preserve">s made by the NSP since the </w:t>
      </w:r>
      <w:r w:rsidR="00EE78CD">
        <w:t>base year plus any non-recurrent efficiency gains removed from base opex when forecasting opex</w:t>
      </w:r>
      <w:r w:rsidRPr="00381E3E">
        <w:t>.</w:t>
      </w:r>
      <w:r w:rsidR="00EE78CD">
        <w:t xml:space="preserve"> </w:t>
      </w:r>
    </w:p>
    <w:p w:rsidR="00040241" w:rsidRDefault="00381E3E" w:rsidP="00040241">
      <w:pPr>
        <w:pStyle w:val="AERbodytext"/>
        <w:numPr>
          <w:ilvl w:val="0"/>
          <w:numId w:val="6"/>
        </w:numPr>
      </w:pPr>
      <w:r w:rsidRPr="00381E3E">
        <w:t xml:space="preserve">To ensure the carryover amount in the first year of a regulatory control period is only for </w:t>
      </w:r>
      <w:r w:rsidR="002D2D3B">
        <w:t>incremental efficiency gain</w:t>
      </w:r>
      <w:r w:rsidRPr="00381E3E">
        <w:t xml:space="preserve">s made in that year, we will subtract any </w:t>
      </w:r>
      <w:r w:rsidR="002D2D3B">
        <w:t>incremental efficiency gain</w:t>
      </w:r>
      <w:r w:rsidRPr="00381E3E">
        <w:t xml:space="preserve"> made in the previous regulatory control period after the </w:t>
      </w:r>
      <w:r w:rsidR="00EE78CD">
        <w:t>base year</w:t>
      </w:r>
      <w:r w:rsidR="00EE78CD" w:rsidRPr="00381E3E">
        <w:t xml:space="preserve"> </w:t>
      </w:r>
      <w:r w:rsidRPr="00381E3E">
        <w:t>from the difference between actual opex and forecast opex in the first year of the new period</w:t>
      </w:r>
      <w:r w:rsidR="002D2D3B">
        <w:t>, Similarly, we will subtract any non-recurrent efficiency gain that was added back to base year opex when forecasting opex</w:t>
      </w:r>
      <w:r w:rsidRPr="00381E3E">
        <w:t>:</w:t>
      </w:r>
      <w:r w:rsidR="00040241" w:rsidRPr="00040241">
        <w:t xml:space="preserve"> </w:t>
      </w:r>
    </w:p>
    <w:p w:rsidR="00040241" w:rsidRPr="00CF1F2B" w:rsidRDefault="00886643" w:rsidP="00040241">
      <w:pPr>
        <w:pStyle w:val="AERbodytextindent1"/>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m:t>
              </m:r>
              <m:r>
                <w:rPr>
                  <w:rFonts w:ascii="Cambria Math" w:hAnsi="Cambria Math"/>
                </w:rPr>
                <m:t>n</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-1</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b</m:t>
                      </m:r>
                      <m:r>
                        <m:rPr>
                          <m:sty m:val="p"/>
                        </m:rPr>
                        <w:rPr>
                          <w:rFonts w:ascii="Cambria Math" w:hAnsi="Cambria Math"/>
                        </w:rPr>
                        <m:t>,</m:t>
                      </m:r>
                      <m:r>
                        <w:rPr>
                          <w:rFonts w:ascii="Cambria Math" w:hAnsi="Cambria Math"/>
                        </w:rPr>
                        <m:t>n</m:t>
                      </m:r>
                      <m:r>
                        <m:rPr>
                          <m:sty m:val="p"/>
                        </m:rPr>
                        <w:rPr>
                          <w:rFonts w:ascii="Cambria Math" w:hAnsi="Cambria Math"/>
                        </w:rPr>
                        <m:t>-1</m:t>
                      </m:r>
                    </m:sub>
                  </m:sSub>
                </m:e>
              </m:d>
            </m:e>
          </m:d>
          <m:r>
            <w:rPr>
              <w:rFonts w:ascii="Cambria Math" w:hAnsi="Cambria Math"/>
            </w:rPr>
            <m:t xml:space="preserve">- </m:t>
          </m:r>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b,n-1</m:t>
              </m:r>
            </m:sub>
          </m:sSub>
        </m:oMath>
      </m:oMathPara>
    </w:p>
    <w:p w:rsidR="00381E3E" w:rsidRDefault="00381E3E" w:rsidP="00381E3E">
      <w:pPr>
        <w:pStyle w:val="AERbodytext"/>
        <w:numPr>
          <w:ilvl w:val="0"/>
          <w:numId w:val="6"/>
        </w:numPr>
      </w:pPr>
      <w:r w:rsidRPr="00381E3E">
        <w:t>Where:</w:t>
      </w:r>
    </w:p>
    <w:p w:rsidR="002E50B1" w:rsidRPr="00381E3E" w:rsidRDefault="00886643" w:rsidP="00381E3E">
      <w:pPr>
        <w:pStyle w:val="AERbodytext"/>
        <w:numPr>
          <w:ilvl w:val="0"/>
          <w:numId w:val="6"/>
        </w:numPr>
      </w:pPr>
      <m:oMath>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m:rPr>
            <m:nor/>
          </m:rPr>
          <m:t>is the incremental efficiency gain in year</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m:rPr>
            <m:nor/>
          </m:rPr>
          <m:t>of period</m:t>
        </m:r>
        <m:r>
          <m:rPr>
            <m:sty m:val="p"/>
          </m:rPr>
          <w:rPr>
            <w:rFonts w:ascii="Cambria Math" w:hAnsi="Cambria Math"/>
          </w:rPr>
          <m:t xml:space="preserve"> </m:t>
        </m:r>
        <m:r>
          <w:rPr>
            <w:rFonts w:ascii="Cambria Math" w:hAnsi="Cambria Math"/>
          </w:rPr>
          <m:t>n</m:t>
        </m:r>
      </m:oMath>
    </w:p>
    <w:p w:rsidR="00A41F24" w:rsidRPr="00A41F24" w:rsidRDefault="00886643" w:rsidP="00A41F24">
      <w:pPr>
        <w:pStyle w:val="AERbodytext"/>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1,n</m:t>
            </m:r>
          </m:sub>
        </m:sSub>
        <m:r>
          <w:rPr>
            <w:rStyle w:val="AERbody"/>
            <w:rFonts w:ascii="Cambria Math" w:hAnsi="Cambria Math"/>
          </w:rPr>
          <m:t xml:space="preserve"> </m:t>
        </m:r>
        <m:r>
          <m:rPr>
            <m:nor/>
          </m:rPr>
          <w:rPr>
            <w:rStyle w:val="AERbody"/>
          </w:rPr>
          <m:t>is forecast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year 1 of period</m:t>
        </m:r>
        <m:r>
          <w:rPr>
            <w:rStyle w:val="AERbody"/>
            <w:rFonts w:ascii="Cambria Math" w:hAnsi="Cambria Math"/>
          </w:rPr>
          <m:t xml:space="preserve"> n</m:t>
        </m:r>
      </m:oMath>
      <w:r w:rsidR="00A41F24" w:rsidRPr="00A41F24">
        <w:rPr>
          <w:rStyle w:val="AERbody"/>
        </w:rPr>
        <w:t xml:space="preserve"> </w:t>
      </w:r>
    </w:p>
    <w:p w:rsidR="00A41F24" w:rsidRPr="00A41F24" w:rsidRDefault="00886643" w:rsidP="00A41F24">
      <w:pPr>
        <w:pStyle w:val="AERbodytext"/>
        <w:rPr>
          <w:rStyle w:val="AERbody"/>
        </w:rPr>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1,n</m:t>
            </m:r>
          </m:sub>
        </m:sSub>
        <m:r>
          <w:rPr>
            <w:rStyle w:val="AERbody"/>
            <w:rFonts w:ascii="Cambria Math" w:hAnsi="Cambria Math"/>
          </w:rPr>
          <m:t xml:space="preserve"> </m:t>
        </m:r>
        <m:r>
          <m:rPr>
            <m:nor/>
          </m:rPr>
          <w:rPr>
            <w:rStyle w:val="AERbody"/>
          </w:rPr>
          <m:t>is actual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year 1 of period</m:t>
        </m:r>
        <m:r>
          <w:rPr>
            <w:rStyle w:val="AERbody"/>
            <w:rFonts w:ascii="Cambria Math" w:hAnsi="Cambria Math"/>
          </w:rPr>
          <m:t xml:space="preserve"> n</m:t>
        </m:r>
      </m:oMath>
    </w:p>
    <w:p w:rsidR="00A41F24" w:rsidRPr="00444D01" w:rsidRDefault="00886643" w:rsidP="00A41F24">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f,n-1</m:t>
            </m:r>
          </m:sub>
        </m:sSub>
        <m:r>
          <w:rPr>
            <w:rStyle w:val="AERbody"/>
            <w:rFonts w:ascii="Cambria Math" w:hAnsi="Cambria Math"/>
          </w:rPr>
          <m:t xml:space="preserve"> </m:t>
        </m:r>
        <m:r>
          <m:rPr>
            <m:nor/>
          </m:rPr>
          <w:rPr>
            <w:rStyle w:val="AERbody"/>
          </w:rPr>
          <m:t>is forecast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final year of period</m:t>
        </m:r>
        <m:r>
          <w:rPr>
            <w:rStyle w:val="AERbody"/>
            <w:rFonts w:ascii="Cambria Math" w:hAnsi="Cambria Math"/>
          </w:rPr>
          <m:t xml:space="preserve"> n-1</m:t>
        </m:r>
      </m:oMath>
      <w:r w:rsidR="00A41F24" w:rsidRPr="00444D01">
        <w:rPr>
          <w:rStyle w:val="AERbody"/>
        </w:rPr>
        <w:t xml:space="preserve"> </w:t>
      </w:r>
    </w:p>
    <w:p w:rsidR="00A41F24" w:rsidRPr="00444D01" w:rsidRDefault="00886643" w:rsidP="00A41F24">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f,n-1</m:t>
            </m:r>
          </m:sub>
        </m:sSub>
        <m:r>
          <w:rPr>
            <w:rStyle w:val="AERbody"/>
            <w:rFonts w:ascii="Cambria Math" w:hAnsi="Cambria Math"/>
          </w:rPr>
          <m:t xml:space="preserve"> </m:t>
        </m:r>
        <m:r>
          <m:rPr>
            <m:nor/>
          </m:rPr>
          <w:rPr>
            <w:rStyle w:val="AERbody"/>
          </w:rPr>
          <m:t>is actual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final year of period</m:t>
        </m:r>
        <m:r>
          <w:rPr>
            <w:rStyle w:val="AERbody"/>
            <w:rFonts w:ascii="Cambria Math" w:hAnsi="Cambria Math"/>
          </w:rPr>
          <m:t xml:space="preserve"> n-1</m:t>
        </m:r>
      </m:oMath>
    </w:p>
    <w:p w:rsidR="00A41F24" w:rsidRDefault="00886643" w:rsidP="00A41F24">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b,n-1</m:t>
            </m:r>
          </m:sub>
        </m:sSub>
        <m:r>
          <w:rPr>
            <w:rStyle w:val="AERbody"/>
            <w:rFonts w:ascii="Cambria Math" w:hAnsi="Cambria Math"/>
          </w:rPr>
          <m:t xml:space="preserve"> </m:t>
        </m:r>
        <m:r>
          <m:rPr>
            <m:nor/>
          </m:rPr>
          <w:rPr>
            <w:rStyle w:val="AERbody"/>
          </w:rPr>
          <m:t>is forecast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base year of period</m:t>
        </m:r>
        <m:r>
          <w:rPr>
            <w:rStyle w:val="AERbody"/>
            <w:rFonts w:ascii="Cambria Math" w:hAnsi="Cambria Math"/>
          </w:rPr>
          <m:t xml:space="preserve"> n-1</m:t>
        </m:r>
      </m:oMath>
      <w:r w:rsidR="00A41F24" w:rsidRPr="00CF1F2B">
        <w:rPr>
          <w:rStyle w:val="AERbody"/>
        </w:rPr>
        <w:t xml:space="preserve"> </w:t>
      </w:r>
    </w:p>
    <w:p w:rsidR="00A41F24" w:rsidRDefault="00886643" w:rsidP="00A41F24">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b,n-1</m:t>
            </m:r>
          </m:sub>
        </m:sSub>
        <m:r>
          <w:rPr>
            <w:rStyle w:val="AERbody"/>
            <w:rFonts w:ascii="Cambria Math" w:hAnsi="Cambria Math"/>
          </w:rPr>
          <m:t xml:space="preserve"> </m:t>
        </m:r>
        <m:r>
          <m:rPr>
            <m:nor/>
          </m:rPr>
          <w:rPr>
            <w:rStyle w:val="AERbody"/>
          </w:rPr>
          <m:t>is actual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base year of period</m:t>
        </m:r>
        <m:r>
          <w:rPr>
            <w:rStyle w:val="AERbody"/>
            <w:rFonts w:ascii="Cambria Math" w:hAnsi="Cambria Math"/>
          </w:rPr>
          <m:t xml:space="preserve"> n-1</m:t>
        </m:r>
      </m:oMath>
    </w:p>
    <w:p w:rsidR="0028285D" w:rsidRDefault="00886643" w:rsidP="0028285D">
      <w:pPr>
        <w:pStyle w:val="AERbodytext"/>
      </w:pPr>
      <m:oMath>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b,n-1</m:t>
            </m:r>
          </m:sub>
        </m:sSub>
        <m:r>
          <m:rPr>
            <m:nor/>
          </m:rPr>
          <m:t xml:space="preserve"> is the adjustment made to base year opex used to forecast opex </m:t>
        </m:r>
        <m:r>
          <m:rPr>
            <m:nor/>
          </m:rPr>
          <w:br/>
        </m:r>
      </m:oMath>
      <w:r w:rsidR="00DB10BC">
        <w:t xml:space="preserve">for period </w:t>
      </w:r>
      <m:oMath>
        <m:r>
          <w:rPr>
            <w:rStyle w:val="AERbody"/>
            <w:rFonts w:ascii="Cambria Math" w:hAnsi="Cambria Math"/>
          </w:rPr>
          <m:t>n</m:t>
        </m:r>
      </m:oMath>
      <w:r w:rsidR="00DB10BC">
        <w:t xml:space="preserve"> </w:t>
      </w:r>
      <w:r w:rsidR="0028285D">
        <w:t xml:space="preserve">to account </w:t>
      </w:r>
      <w:r w:rsidR="0028285D" w:rsidRPr="0028285D">
        <w:t xml:space="preserve">for opex </w:t>
      </w:r>
      <w:r w:rsidR="0028285D">
        <w:t>associated with one-off factors</w:t>
      </w:r>
    </w:p>
    <w:p w:rsidR="0028285D" w:rsidRDefault="0028285D" w:rsidP="0028285D">
      <w:pPr>
        <w:pStyle w:val="AERbodytext"/>
        <w:numPr>
          <w:ilvl w:val="0"/>
          <w:numId w:val="6"/>
        </w:numPr>
      </w:pPr>
      <m:oMath>
        <m:r>
          <w:rPr>
            <w:rFonts w:ascii="Cambria Math" w:hAnsi="Cambria Math"/>
          </w:rPr>
          <m:t>f</m:t>
        </m:r>
        <m:r>
          <m:rPr>
            <m:sty m:val="p"/>
          </m:rPr>
          <w:rPr>
            <w:rFonts w:ascii="Cambria Math" w:hAnsi="Cambria Math"/>
          </w:rPr>
          <m:t xml:space="preserve"> </m:t>
        </m:r>
        <m:r>
          <m:rPr>
            <m:nor/>
          </m:rPr>
          <m:t>is the length of period</m:t>
        </m:r>
        <m:r>
          <m:rPr>
            <m:sty m:val="p"/>
          </m:rPr>
          <w:rPr>
            <w:rFonts w:ascii="Cambria Math" w:hAnsi="Cambria Math"/>
          </w:rPr>
          <m:t xml:space="preserve"> </m:t>
        </m:r>
        <m:r>
          <w:rPr>
            <w:rFonts w:ascii="Cambria Math" w:hAnsi="Cambria Math"/>
          </w:rPr>
          <m:t>n</m:t>
        </m:r>
        <m:r>
          <m:rPr>
            <m:sty m:val="p"/>
          </m:rPr>
          <w:rPr>
            <w:rFonts w:ascii="Cambria Math" w:hAnsi="Cambria Math"/>
          </w:rPr>
          <m:t xml:space="preserve"> </m:t>
        </m:r>
        <m:r>
          <m:rPr>
            <m:nor/>
          </m:rPr>
          <m:t>in years</m:t>
        </m:r>
      </m:oMath>
    </w:p>
    <w:p w:rsidR="002E50B1" w:rsidRPr="00A41F24" w:rsidRDefault="002E50B1" w:rsidP="002E50B1">
      <w:pPr>
        <w:pStyle w:val="AERbodytext"/>
        <w:numPr>
          <w:ilvl w:val="0"/>
          <w:numId w:val="6"/>
        </w:numPr>
      </w:pPr>
      <m:oMath>
        <m:r>
          <w:rPr>
            <w:rFonts w:ascii="Cambria Math" w:hAnsi="Cambria Math"/>
          </w:rPr>
          <m:t>b</m:t>
        </m:r>
        <m:r>
          <m:rPr>
            <m:sty m:val="p"/>
          </m:rPr>
          <w:rPr>
            <w:rFonts w:ascii="Cambria Math" w:hAnsi="Cambria Math"/>
          </w:rPr>
          <m:t xml:space="preserve"> </m:t>
        </m:r>
        <m:r>
          <m:rPr>
            <m:nor/>
          </m:rPr>
          <m:t>is the year of actual opex in period</m:t>
        </m:r>
        <m:r>
          <m:rPr>
            <m:sty m:val="p"/>
          </m:rPr>
          <w:rPr>
            <w:rFonts w:ascii="Cambria Math" w:hAnsi="Cambria Math"/>
          </w:rPr>
          <m:t xml:space="preserve"> </m:t>
        </m:r>
        <m:r>
          <w:rPr>
            <w:rFonts w:ascii="Cambria Math" w:hAnsi="Cambria Math"/>
          </w:rPr>
          <m:t>n –1</m:t>
        </m:r>
        <m:r>
          <m:rPr>
            <m:nor/>
          </m:rPr>
          <m:t xml:space="preserve"> used as the basis to set forecast opex for period </m:t>
        </m:r>
        <m:r>
          <w:rPr>
            <w:rFonts w:ascii="Cambria Math" w:hAnsi="Cambria Math"/>
          </w:rPr>
          <m:t>n.</m:t>
        </m:r>
      </m:oMath>
    </w:p>
    <w:p w:rsidR="00381E3E" w:rsidRPr="00381E3E" w:rsidRDefault="002D2D3B" w:rsidP="00A41F24">
      <w:pPr>
        <w:pStyle w:val="Heading3"/>
      </w:pPr>
      <w:bookmarkStart w:id="17" w:name="_Ref369599603"/>
      <w:r>
        <w:t>Incremental efficiency gain</w:t>
      </w:r>
      <w:r w:rsidR="00381E3E" w:rsidRPr="00381E3E">
        <w:t>s in the second regulatory year to the penultimate regulatory year</w:t>
      </w:r>
      <w:bookmarkEnd w:id="17"/>
    </w:p>
    <w:p w:rsidR="00040241" w:rsidRDefault="00381E3E" w:rsidP="00040241">
      <w:pPr>
        <w:pStyle w:val="AERbodytext"/>
        <w:numPr>
          <w:ilvl w:val="0"/>
          <w:numId w:val="6"/>
        </w:numPr>
      </w:pPr>
      <w:r w:rsidRPr="00381E3E">
        <w:t xml:space="preserve">For each year of a regulatory control period from the second regulatory year to the penultimate regulatory year, the </w:t>
      </w:r>
      <w:r w:rsidR="002D2D3B">
        <w:t>incremental efficiency gain</w:t>
      </w:r>
      <w:r w:rsidRPr="00381E3E">
        <w:t xml:space="preserve"> is the underspend in the relevant year less the underspend in the previous year:</w:t>
      </w:r>
      <w:r w:rsidR="00040241" w:rsidRPr="00040241">
        <w:t xml:space="preserve"> </w:t>
      </w:r>
    </w:p>
    <w:p w:rsidR="00040241" w:rsidRPr="00E30405" w:rsidRDefault="00886643" w:rsidP="00040241">
      <w:pPr>
        <w:pStyle w:val="AERbodytextindent2"/>
      </w:pPr>
      <m:oMathPara>
        <m:oMath>
          <m:sSub>
            <m:sSubPr>
              <m:ctrlPr>
                <w:rPr>
                  <w:rFonts w:ascii="Cambria Math" w:hAnsi="Cambria Math"/>
                </w:rPr>
              </m:ctrlPr>
            </m:sSubPr>
            <m:e>
              <m:r>
                <w:rPr>
                  <w:rFonts w:ascii="Cambria Math" w:hAnsi="Cambria Math"/>
                </w:rPr>
                <m:t>I</m:t>
              </m:r>
            </m:e>
            <m:sub>
              <m:r>
                <w:rPr>
                  <w:rFonts w:ascii="Cambria Math" w:hAnsi="Cambria Math"/>
                </w:rPr>
                <m:t>i,n</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i,n</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i-1, 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i-1,n</m:t>
                  </m:r>
                </m:sub>
              </m:sSub>
            </m:e>
          </m:d>
        </m:oMath>
      </m:oMathPara>
    </w:p>
    <w:p w:rsidR="00381E3E" w:rsidRPr="00381E3E" w:rsidRDefault="00381E3E" w:rsidP="00A41F24">
      <w:pPr>
        <w:pStyle w:val="Heading3"/>
      </w:pPr>
      <w:bookmarkStart w:id="18" w:name="_Ref369599651"/>
      <w:r w:rsidRPr="00381E3E">
        <w:t xml:space="preserve">Estimated </w:t>
      </w:r>
      <w:r w:rsidR="002D2D3B">
        <w:t>incremental efficiency gain</w:t>
      </w:r>
      <w:r w:rsidRPr="00381E3E">
        <w:t xml:space="preserve"> in the final regulatory year</w:t>
      </w:r>
      <w:bookmarkEnd w:id="18"/>
    </w:p>
    <w:p w:rsidR="00381E3E" w:rsidRDefault="00381E3E" w:rsidP="00381E3E">
      <w:pPr>
        <w:pStyle w:val="AERbodytext"/>
        <w:numPr>
          <w:ilvl w:val="0"/>
          <w:numId w:val="6"/>
        </w:numPr>
      </w:pPr>
      <w:r w:rsidRPr="00381E3E">
        <w:t xml:space="preserve">At the time of a regulatory determination we typically do not know actual opex in the final regulatory year. Therefore, for the purposes of calculating the estimated </w:t>
      </w:r>
      <w:r w:rsidR="002D2D3B">
        <w:t>incremental efficiency gain</w:t>
      </w:r>
      <w:r w:rsidRPr="00381E3E">
        <w:t xml:space="preserve"> in that year, we must </w:t>
      </w:r>
      <w:r w:rsidR="00EE78CD">
        <w:t>estimate</w:t>
      </w:r>
      <w:r w:rsidRPr="00381E3E">
        <w:t xml:space="preserve"> final year opex. </w:t>
      </w:r>
      <w:r w:rsidR="00DA1B7F">
        <w:t xml:space="preserve">This </w:t>
      </w:r>
      <w:r w:rsidR="00EE78CD">
        <w:t xml:space="preserve">estimate </w:t>
      </w:r>
      <w:r w:rsidR="00DA1B7F">
        <w:t xml:space="preserve">should be consistent with the </w:t>
      </w:r>
      <w:r w:rsidR="00EE78CD">
        <w:t xml:space="preserve">estimate </w:t>
      </w:r>
      <w:r w:rsidR="00DA1B7F">
        <w:t>made when forecasting opex for the following period.</w:t>
      </w:r>
    </w:p>
    <w:p w:rsidR="002D2D3B" w:rsidRPr="00381E3E" w:rsidRDefault="002D2D3B" w:rsidP="00381E3E">
      <w:pPr>
        <w:pStyle w:val="AERbodytext"/>
        <w:numPr>
          <w:ilvl w:val="0"/>
          <w:numId w:val="6"/>
        </w:numPr>
      </w:pPr>
    </w:p>
    <w:p w:rsidR="00381E3E" w:rsidRPr="00381E3E" w:rsidRDefault="00381E3E" w:rsidP="00381E3E">
      <w:pPr>
        <w:pStyle w:val="AERbodytext"/>
        <w:numPr>
          <w:ilvl w:val="0"/>
          <w:numId w:val="6"/>
        </w:numPr>
      </w:pPr>
      <w:r w:rsidRPr="00381E3E">
        <w:lastRenderedPageBreak/>
        <w:t xml:space="preserve">This means for the final regulatory year, we will calculate the estimated </w:t>
      </w:r>
      <w:r w:rsidR="002D2D3B">
        <w:t>incremental efficiency gain</w:t>
      </w:r>
      <w:r w:rsidRPr="00381E3E">
        <w:t xml:space="preserve"> as:</w:t>
      </w:r>
    </w:p>
    <w:p w:rsidR="00A41F24" w:rsidRPr="002B5F1D" w:rsidRDefault="00886643" w:rsidP="00A41F24">
      <w:pPr>
        <w:pStyle w:val="AERbodytextindent2"/>
        <w:rPr>
          <w:rStyle w:val="AERsubscript"/>
        </w:rPr>
      </w:pPr>
      <m:oMathPara>
        <m:oMath>
          <m:sSub>
            <m:sSubPr>
              <m:ctrlPr>
                <w:rPr>
                  <w:rFonts w:ascii="Cambria Math" w:hAnsi="Cambria Math"/>
                </w:rPr>
              </m:ctrlPr>
            </m:sSubPr>
            <m:e>
              <m:r>
                <w:rPr>
                  <w:rFonts w:ascii="Cambria Math" w:hAnsi="Cambria Math"/>
                </w:rPr>
                <m:t>I</m:t>
              </m:r>
            </m:e>
            <m:sub>
              <m:r>
                <w:rPr>
                  <w:rFonts w:ascii="Cambria Math" w:hAnsi="Cambria Math"/>
                </w:rPr>
                <m:t>f,n</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f,n</m:t>
                  </m:r>
                </m:sub>
              </m:sSub>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f,n</m:t>
                  </m:r>
                </m:sub>
                <m:sup>
                  <m:r>
                    <w:rPr>
                      <w:rFonts w:ascii="Cambria Math" w:hAnsi="Cambria Math"/>
                    </w:rPr>
                    <m:t>*</m:t>
                  </m:r>
                </m:sup>
              </m:sSubSup>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f-1,  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f-1,n</m:t>
                  </m:r>
                </m:sub>
              </m:sSub>
            </m:e>
          </m:d>
        </m:oMath>
      </m:oMathPara>
    </w:p>
    <w:p w:rsidR="00A41F24" w:rsidRPr="00012F9D" w:rsidRDefault="00886643" w:rsidP="00A41F24">
      <w:pPr>
        <w:pStyle w:val="AERbodytext"/>
        <w:numPr>
          <w:ilvl w:val="0"/>
          <w:numId w:val="6"/>
        </w:numPr>
      </w:pPr>
      <m:oMath>
        <m:sSubSup>
          <m:sSubSupPr>
            <m:ctrlPr>
              <w:rPr>
                <w:rStyle w:val="AERsubscript"/>
                <w:rFonts w:ascii="Cambria Math" w:hAnsi="Cambria Math"/>
              </w:rPr>
            </m:ctrlPr>
          </m:sSubSupPr>
          <m:e>
            <m:r>
              <m:rPr>
                <m:nor/>
              </m:rPr>
              <m:t>Where</m:t>
            </m:r>
            <m:r>
              <w:rPr>
                <w:rFonts w:ascii="Cambria Math" w:hAnsi="Cambria Math"/>
              </w:rPr>
              <m:t xml:space="preserve"> </m:t>
            </m:r>
            <m:r>
              <w:rPr>
                <w:rStyle w:val="AERsubscript"/>
                <w:rFonts w:ascii="Cambria Math" w:hAnsi="Cambria Math"/>
              </w:rPr>
              <m:t>A</m:t>
            </m:r>
          </m:e>
          <m:sub>
            <m:r>
              <w:rPr>
                <w:rStyle w:val="AERsubscript"/>
                <w:rFonts w:ascii="Cambria Math" w:hAnsi="Cambria Math"/>
              </w:rPr>
              <m:t>f</m:t>
            </m:r>
          </m:sub>
          <m:sup>
            <m:r>
              <w:rPr>
                <w:rStyle w:val="AERsubscript"/>
                <w:rFonts w:ascii="Cambria Math" w:hAnsi="Cambria Math"/>
              </w:rPr>
              <m:t>*</m:t>
            </m:r>
          </m:sup>
        </m:sSubSup>
        <m:r>
          <m:rPr>
            <m:sty m:val="p"/>
          </m:rPr>
          <w:rPr>
            <w:rStyle w:val="AERsubscript"/>
            <w:rFonts w:ascii="Cambria Math" w:hAnsi="Cambria Math"/>
          </w:rPr>
          <m:t xml:space="preserve"> </m:t>
        </m:r>
        <m:r>
          <m:rPr>
            <m:nor/>
          </m:rPr>
          <w:rPr>
            <w:rStyle w:val="AERbody"/>
          </w:rPr>
          <m:t>is the estimated actual opex for the final regulatory year, which will be calculated as:</m:t>
        </m:r>
      </m:oMath>
    </w:p>
    <w:p w:rsidR="00A41F24" w:rsidRPr="00A05548" w:rsidRDefault="00886643" w:rsidP="00A41F24">
      <w:pPr>
        <w:pStyle w:val="AERbodytextindent2"/>
      </w:pPr>
      <m:oMathPara>
        <m:oMath>
          <m:sSubSup>
            <m:sSubSupPr>
              <m:ctrlPr>
                <w:rPr>
                  <w:rFonts w:ascii="Cambria Math" w:hAnsi="Cambria Math"/>
                </w:rPr>
              </m:ctrlPr>
            </m:sSubSupPr>
            <m:e>
              <m:r>
                <w:rPr>
                  <w:rFonts w:ascii="Cambria Math" w:hAnsi="Cambria Math"/>
                </w:rPr>
                <m:t>A</m:t>
              </m:r>
            </m:e>
            <m:sub>
              <m:r>
                <w:rPr>
                  <w:rFonts w:ascii="Cambria Math" w:hAnsi="Cambria Math"/>
                </w:rPr>
                <m:t>f,n</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f,n</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b,n</m:t>
                  </m:r>
                </m:sub>
              </m:sSub>
            </m:e>
          </m:d>
          <m:r>
            <w:rPr>
              <w:rFonts w:ascii="Cambria Math" w:hAnsi="Cambria Math"/>
            </w:rPr>
            <m:t xml:space="preserve">+ </m:t>
          </m:r>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m:t>
              </m:r>
            </m:sub>
          </m:sSub>
        </m:oMath>
      </m:oMathPara>
    </w:p>
    <w:p w:rsidR="00381E3E" w:rsidRPr="00381E3E" w:rsidRDefault="00381E3E" w:rsidP="00A41F24">
      <w:pPr>
        <w:pStyle w:val="Heading2"/>
      </w:pPr>
      <w:bookmarkStart w:id="19" w:name="_Toc373311118"/>
      <w:r w:rsidRPr="00381E3E">
        <w:t>Adjustments to forecast or actual opex when calculating carryover amounts</w:t>
      </w:r>
      <w:bookmarkEnd w:id="19"/>
    </w:p>
    <w:p w:rsidR="00381E3E" w:rsidRPr="00381E3E" w:rsidRDefault="00381E3E" w:rsidP="00381E3E">
      <w:pPr>
        <w:pStyle w:val="AERbodytext"/>
        <w:numPr>
          <w:ilvl w:val="0"/>
          <w:numId w:val="6"/>
        </w:numPr>
      </w:pPr>
      <w:r w:rsidRPr="00381E3E">
        <w:t xml:space="preserve">To calculate the carryover amounts accrued in </w:t>
      </w:r>
      <w:r w:rsidR="007605EA">
        <w:t xml:space="preserve">regulatory control </w:t>
      </w:r>
      <w:r w:rsidRPr="00381E3E">
        <w:t xml:space="preserve">period n, and applied in </w:t>
      </w:r>
      <w:r w:rsidR="007605EA">
        <w:t xml:space="preserve">regulatory control </w:t>
      </w:r>
      <w:r w:rsidRPr="00381E3E">
        <w:t>period n</w:t>
      </w:r>
      <w:r w:rsidR="00513B8C">
        <w:t xml:space="preserve"> </w:t>
      </w:r>
      <w:r w:rsidRPr="00381E3E">
        <w:t>+</w:t>
      </w:r>
      <w:r w:rsidR="00513B8C">
        <w:t xml:space="preserve"> </w:t>
      </w:r>
      <w:r w:rsidRPr="00381E3E">
        <w:t>1, we will:</w:t>
      </w:r>
    </w:p>
    <w:p w:rsidR="00381E3E" w:rsidRPr="00381E3E" w:rsidRDefault="00381E3E" w:rsidP="00040241">
      <w:pPr>
        <w:pStyle w:val="AERbulletlistfirststyle"/>
      </w:pPr>
      <w:r w:rsidRPr="00381E3E">
        <w:t xml:space="preserve">Adjust forecast opex to add any approved revenue increments or subtract any approved revenue decrements made after the initial regulatory determination for </w:t>
      </w:r>
      <w:r w:rsidR="007605EA">
        <w:t xml:space="preserve">regulatory control </w:t>
      </w:r>
      <w:r w:rsidRPr="00381E3E">
        <w:t>period n. This may include approved pass through amounts or opex for contingent projects.</w:t>
      </w:r>
    </w:p>
    <w:p w:rsidR="00381E3E" w:rsidRPr="00381E3E" w:rsidRDefault="00381E3E" w:rsidP="00040241">
      <w:pPr>
        <w:pStyle w:val="AERbulletlistfirststyle"/>
      </w:pPr>
      <w:r w:rsidRPr="00381E3E">
        <w:t xml:space="preserve">Adjust actual opex incurred in </w:t>
      </w:r>
      <w:r w:rsidR="003718B4">
        <w:t xml:space="preserve">regulatory control </w:t>
      </w:r>
      <w:r w:rsidRPr="00381E3E">
        <w:t>period n to add capitalised opex that has been excluded from the Regulatory Asset Base.</w:t>
      </w:r>
    </w:p>
    <w:p w:rsidR="00DA1B7F" w:rsidRDefault="00DA1B7F" w:rsidP="00DA1B7F">
      <w:pPr>
        <w:pStyle w:val="AERbulletlistfirststyle"/>
      </w:pPr>
      <w:r>
        <w:t xml:space="preserve">Exclude </w:t>
      </w:r>
      <w:r w:rsidRPr="00DA1B7F">
        <w:t xml:space="preserve">categories of opex not forecast using a single year revealed cost approach </w:t>
      </w:r>
      <w:r>
        <w:t xml:space="preserve">for the </w:t>
      </w:r>
      <w:r w:rsidR="003718B4">
        <w:t xml:space="preserve">regulatory control </w:t>
      </w:r>
      <w:r>
        <w:t>period n + 1</w:t>
      </w:r>
      <w:r w:rsidRPr="00DA1B7F">
        <w:t xml:space="preserve"> </w:t>
      </w:r>
      <w:r>
        <w:t>where</w:t>
      </w:r>
      <w:r w:rsidRPr="00DA1B7F">
        <w:t xml:space="preserve"> doing so better achieves the requirements of clauses 6.5.8 and 6A.6.5 of the NER.</w:t>
      </w:r>
    </w:p>
    <w:p w:rsidR="007605EA" w:rsidRDefault="00381E3E" w:rsidP="00040241">
      <w:pPr>
        <w:pStyle w:val="AERbulletlistfirststyle"/>
      </w:pPr>
      <w:r w:rsidRPr="00381E3E">
        <w:t xml:space="preserve">Adjust forecast opex and/or actual opex in </w:t>
      </w:r>
      <w:r w:rsidR="003718B4">
        <w:t xml:space="preserve">regulatory control </w:t>
      </w:r>
      <w:r w:rsidRPr="00381E3E">
        <w:t xml:space="preserve">period n for inflation so that the real value of the carryover amounts is consistent with the real value of the other components of the NSP's regulated revenue in </w:t>
      </w:r>
      <w:r w:rsidR="003718B4">
        <w:t xml:space="preserve">regulatory control </w:t>
      </w:r>
      <w:r w:rsidRPr="00381E3E">
        <w:t>period n</w:t>
      </w:r>
      <w:r w:rsidR="00513B8C">
        <w:t xml:space="preserve"> </w:t>
      </w:r>
      <w:r w:rsidRPr="00381E3E">
        <w:t>+</w:t>
      </w:r>
      <w:r w:rsidR="00513B8C">
        <w:t xml:space="preserve"> </w:t>
      </w:r>
      <w:r w:rsidRPr="00381E3E">
        <w:t>1</w:t>
      </w:r>
    </w:p>
    <w:p w:rsidR="007F0893" w:rsidRPr="00381E3E" w:rsidRDefault="007F0893" w:rsidP="007F0893">
      <w:pPr>
        <w:pStyle w:val="AERbodytext"/>
        <w:numPr>
          <w:ilvl w:val="0"/>
          <w:numId w:val="6"/>
        </w:numPr>
      </w:pPr>
      <w:r>
        <w:t xml:space="preserve">If we determine </w:t>
      </w:r>
      <w:r w:rsidR="00420A43">
        <w:t xml:space="preserve">that </w:t>
      </w:r>
      <w:r>
        <w:t>any of the above adjustments or exclusions will be required prior to the commencement of period n we will list the relevant cost categories in our final determination</w:t>
      </w:r>
      <w:r w:rsidR="009D75AC">
        <w:t xml:space="preserve"> for period n</w:t>
      </w:r>
      <w:r>
        <w:t>.</w:t>
      </w:r>
    </w:p>
    <w:p w:rsidR="00381E3E" w:rsidRPr="00381E3E" w:rsidRDefault="00381E3E" w:rsidP="00381E3E">
      <w:pPr>
        <w:pStyle w:val="AERbodytext"/>
      </w:pPr>
    </w:p>
    <w:p w:rsidR="00486606" w:rsidRDefault="00486606" w:rsidP="004C050B">
      <w:pPr>
        <w:pStyle w:val="UnnumberedHeading"/>
        <w:numPr>
          <w:ilvl w:val="0"/>
          <w:numId w:val="1"/>
        </w:numPr>
      </w:pPr>
      <w:bookmarkStart w:id="20" w:name="_Toc356398583"/>
      <w:bookmarkStart w:id="21" w:name="_Toc373311119"/>
      <w:r>
        <w:lastRenderedPageBreak/>
        <w:t>Glossary</w:t>
      </w:r>
      <w:bookmarkEnd w:id="20"/>
      <w:bookmarkEnd w:id="21"/>
    </w:p>
    <w:p w:rsidR="00486606" w:rsidRDefault="00486606" w:rsidP="004C050B">
      <w:pPr>
        <w:pStyle w:val="AERbodytext"/>
        <w:numPr>
          <w:ilvl w:val="0"/>
          <w:numId w:val="6"/>
        </w:numPr>
      </w:pPr>
      <w:r>
        <w:t xml:space="preserve">This </w:t>
      </w:r>
      <w:r w:rsidR="00A41F24">
        <w:rPr>
          <w:rStyle w:val="AERbody"/>
        </w:rPr>
        <w:t>scheme</w:t>
      </w:r>
      <w:r>
        <w:t xml:space="preserve"> uses the following definitions</w:t>
      </w:r>
    </w:p>
    <w:tbl>
      <w:tblPr>
        <w:tblStyle w:val="AERtable-text"/>
        <w:tblW w:w="0" w:type="auto"/>
        <w:tblLook w:val="04A0" w:firstRow="1" w:lastRow="0" w:firstColumn="1" w:lastColumn="0" w:noHBand="0" w:noVBand="1"/>
      </w:tblPr>
      <w:tblGrid>
        <w:gridCol w:w="3510"/>
        <w:gridCol w:w="5732"/>
      </w:tblGrid>
      <w:tr w:rsidR="00486606" w:rsidTr="001C64C6">
        <w:trPr>
          <w:cnfStyle w:val="100000000000" w:firstRow="1" w:lastRow="0" w:firstColumn="0" w:lastColumn="0" w:oddVBand="0" w:evenVBand="0" w:oddHBand="0" w:evenHBand="0" w:firstRowFirstColumn="0" w:firstRowLastColumn="0" w:lastRowFirstColumn="0" w:lastRowLastColumn="0"/>
        </w:trPr>
        <w:tc>
          <w:tcPr>
            <w:tcW w:w="3510" w:type="dxa"/>
          </w:tcPr>
          <w:p w:rsidR="00486606" w:rsidRPr="00486606" w:rsidRDefault="00486606" w:rsidP="00486606">
            <w:pPr>
              <w:pStyle w:val="AERtabletextleft"/>
            </w:pPr>
            <w:r>
              <w:t>Term</w:t>
            </w:r>
          </w:p>
        </w:tc>
        <w:tc>
          <w:tcPr>
            <w:tcW w:w="5732" w:type="dxa"/>
          </w:tcPr>
          <w:p w:rsidR="00486606" w:rsidRPr="00486606" w:rsidRDefault="00486606" w:rsidP="00486606">
            <w:pPr>
              <w:pStyle w:val="AERtabletextleft"/>
            </w:pPr>
            <w:r>
              <w:t>Definition</w:t>
            </w:r>
          </w:p>
        </w:tc>
      </w:tr>
      <w:tr w:rsidR="00A41F24" w:rsidTr="00A41F24">
        <w:tc>
          <w:tcPr>
            <w:tcW w:w="3510" w:type="dxa"/>
            <w:vAlign w:val="top"/>
          </w:tcPr>
          <w:p w:rsidR="00A41F24" w:rsidRPr="00A41F24" w:rsidRDefault="00A41F24" w:rsidP="00A41F24">
            <w:pPr>
              <w:pStyle w:val="AERtabletextleft"/>
            </w:pPr>
            <w:r w:rsidRPr="00A41F24">
              <w:t>AER</w:t>
            </w:r>
          </w:p>
        </w:tc>
        <w:tc>
          <w:tcPr>
            <w:tcW w:w="5732" w:type="dxa"/>
            <w:vAlign w:val="top"/>
          </w:tcPr>
          <w:p w:rsidR="00A41F24" w:rsidRPr="00A41F24" w:rsidRDefault="00A41F24" w:rsidP="00A41F24">
            <w:pPr>
              <w:tabs>
                <w:tab w:val="center" w:pos="2758"/>
              </w:tabs>
            </w:pPr>
            <w:r w:rsidRPr="00A41F24">
              <w:t>Australian Energy Regulator</w:t>
            </w:r>
            <w:r>
              <w:tab/>
            </w:r>
          </w:p>
        </w:tc>
      </w:tr>
      <w:tr w:rsidR="00A41F24" w:rsidTr="00A41F24">
        <w:trPr>
          <w:cnfStyle w:val="000000010000" w:firstRow="0" w:lastRow="0" w:firstColumn="0" w:lastColumn="0" w:oddVBand="0" w:evenVBand="0" w:oddHBand="0" w:evenHBand="1" w:firstRowFirstColumn="0" w:firstRowLastColumn="0" w:lastRowFirstColumn="0" w:lastRowLastColumn="0"/>
        </w:trPr>
        <w:tc>
          <w:tcPr>
            <w:tcW w:w="3510" w:type="dxa"/>
            <w:vAlign w:val="top"/>
          </w:tcPr>
          <w:p w:rsidR="00A41F24" w:rsidRPr="00A41F24" w:rsidRDefault="00A41F24" w:rsidP="00A41F24">
            <w:pPr>
              <w:pStyle w:val="AERtabletextleft"/>
            </w:pPr>
            <w:r w:rsidRPr="00A41F24">
              <w:t>EBSS</w:t>
            </w:r>
          </w:p>
        </w:tc>
        <w:tc>
          <w:tcPr>
            <w:tcW w:w="5732" w:type="dxa"/>
            <w:vAlign w:val="top"/>
          </w:tcPr>
          <w:p w:rsidR="00A41F24" w:rsidRPr="00A41F24" w:rsidRDefault="00A41F24" w:rsidP="00A41F24">
            <w:r w:rsidRPr="00A41F24">
              <w:t>Efficiency Benefit Sharing Scheme</w:t>
            </w:r>
          </w:p>
        </w:tc>
      </w:tr>
      <w:tr w:rsidR="00A41F24" w:rsidTr="00A41F24">
        <w:tc>
          <w:tcPr>
            <w:tcW w:w="3510" w:type="dxa"/>
            <w:vAlign w:val="top"/>
          </w:tcPr>
          <w:p w:rsidR="00A41F24" w:rsidRPr="00A41F24" w:rsidRDefault="00A41F24" w:rsidP="00A41F24">
            <w:pPr>
              <w:pStyle w:val="AERtabletextleft"/>
            </w:pPr>
            <w:r w:rsidRPr="00A41F24">
              <w:t>National Electricity Rules (NER)</w:t>
            </w:r>
          </w:p>
        </w:tc>
        <w:tc>
          <w:tcPr>
            <w:tcW w:w="5732" w:type="dxa"/>
            <w:vAlign w:val="top"/>
          </w:tcPr>
          <w:p w:rsidR="00A41F24" w:rsidRPr="00A41F24" w:rsidRDefault="00A41F24" w:rsidP="00A41F24">
            <w:r w:rsidRPr="00A41F24">
              <w:t>The rules as defined in the National Electricity Law.</w:t>
            </w:r>
          </w:p>
        </w:tc>
      </w:tr>
      <w:tr w:rsidR="00A41F24" w:rsidTr="00A41F24">
        <w:trPr>
          <w:cnfStyle w:val="000000010000" w:firstRow="0" w:lastRow="0" w:firstColumn="0" w:lastColumn="0" w:oddVBand="0" w:evenVBand="0" w:oddHBand="0" w:evenHBand="1" w:firstRowFirstColumn="0" w:firstRowLastColumn="0" w:lastRowFirstColumn="0" w:lastRowLastColumn="0"/>
        </w:trPr>
        <w:tc>
          <w:tcPr>
            <w:tcW w:w="3510" w:type="dxa"/>
            <w:vAlign w:val="top"/>
          </w:tcPr>
          <w:p w:rsidR="00A41F24" w:rsidRPr="00A41F24" w:rsidRDefault="00A41F24" w:rsidP="00A41F24">
            <w:pPr>
              <w:pStyle w:val="AERtabletextleft"/>
            </w:pPr>
            <w:r w:rsidRPr="00A41F24">
              <w:t>DNSP</w:t>
            </w:r>
          </w:p>
        </w:tc>
        <w:tc>
          <w:tcPr>
            <w:tcW w:w="5732" w:type="dxa"/>
            <w:vAlign w:val="top"/>
          </w:tcPr>
          <w:p w:rsidR="00A41F24" w:rsidRPr="00A41F24" w:rsidRDefault="00A41F24" w:rsidP="00A41F24">
            <w:r w:rsidRPr="00A41F24">
              <w:t>Distribution Network Service Provider</w:t>
            </w:r>
          </w:p>
        </w:tc>
      </w:tr>
      <w:tr w:rsidR="00A41F24" w:rsidTr="00A41F24">
        <w:tc>
          <w:tcPr>
            <w:tcW w:w="3510" w:type="dxa"/>
            <w:vAlign w:val="top"/>
          </w:tcPr>
          <w:p w:rsidR="00A41F24" w:rsidRPr="00A41F24" w:rsidRDefault="00A41F24" w:rsidP="00A41F24">
            <w:pPr>
              <w:pStyle w:val="AERtabletextleft"/>
            </w:pPr>
            <w:r w:rsidRPr="00A41F24">
              <w:t>TNSP</w:t>
            </w:r>
          </w:p>
        </w:tc>
        <w:tc>
          <w:tcPr>
            <w:tcW w:w="5732" w:type="dxa"/>
            <w:vAlign w:val="top"/>
          </w:tcPr>
          <w:p w:rsidR="00A41F24" w:rsidRPr="00A41F24" w:rsidRDefault="00A41F24" w:rsidP="00A41F24">
            <w:r w:rsidRPr="00A41F24">
              <w:t>Transmission Network Service Provider</w:t>
            </w:r>
          </w:p>
        </w:tc>
      </w:tr>
      <w:tr w:rsidR="00A41F24" w:rsidTr="00A41F24">
        <w:trPr>
          <w:cnfStyle w:val="000000010000" w:firstRow="0" w:lastRow="0" w:firstColumn="0" w:lastColumn="0" w:oddVBand="0" w:evenVBand="0" w:oddHBand="0" w:evenHBand="1" w:firstRowFirstColumn="0" w:firstRowLastColumn="0" w:lastRowFirstColumn="0" w:lastRowLastColumn="0"/>
        </w:trPr>
        <w:tc>
          <w:tcPr>
            <w:tcW w:w="3510" w:type="dxa"/>
            <w:vAlign w:val="top"/>
          </w:tcPr>
          <w:p w:rsidR="00A41F24" w:rsidRPr="00A41F24" w:rsidRDefault="00A41F24" w:rsidP="00A41F24">
            <w:pPr>
              <w:pStyle w:val="AERtabletextleft"/>
            </w:pPr>
            <w:r w:rsidRPr="00A41F24">
              <w:t>NSP</w:t>
            </w:r>
          </w:p>
        </w:tc>
        <w:tc>
          <w:tcPr>
            <w:tcW w:w="5732" w:type="dxa"/>
            <w:vAlign w:val="top"/>
          </w:tcPr>
          <w:p w:rsidR="00A41F24" w:rsidRPr="00A41F24" w:rsidRDefault="00A41F24" w:rsidP="00A41F24">
            <w:r w:rsidRPr="00A41F24">
              <w:t>Network Service Provider</w:t>
            </w:r>
          </w:p>
        </w:tc>
      </w:tr>
      <w:tr w:rsidR="00A41F24" w:rsidTr="00A41F24">
        <w:tc>
          <w:tcPr>
            <w:tcW w:w="3510" w:type="dxa"/>
            <w:vAlign w:val="top"/>
          </w:tcPr>
          <w:p w:rsidR="00A41F24" w:rsidRPr="00A41F24" w:rsidRDefault="00A41F24" w:rsidP="00A41F24">
            <w:pPr>
              <w:pStyle w:val="AERtabletextleft"/>
            </w:pPr>
            <w:r w:rsidRPr="00A41F24">
              <w:t>opex</w:t>
            </w:r>
          </w:p>
        </w:tc>
        <w:tc>
          <w:tcPr>
            <w:tcW w:w="5732" w:type="dxa"/>
            <w:vAlign w:val="top"/>
          </w:tcPr>
          <w:p w:rsidR="00A41F24" w:rsidRPr="00A41F24" w:rsidRDefault="00A41F24" w:rsidP="00A41F24">
            <w:r w:rsidRPr="00A41F24">
              <w:t>Operating expenditure</w:t>
            </w:r>
          </w:p>
        </w:tc>
      </w:tr>
    </w:tbl>
    <w:p w:rsidR="00486606" w:rsidRDefault="00486606" w:rsidP="00486606">
      <w:pPr>
        <w:pStyle w:val="AERbodytext"/>
      </w:pPr>
    </w:p>
    <w:p w:rsidR="00486606" w:rsidRDefault="000C1781" w:rsidP="000C1781">
      <w:pPr>
        <w:pStyle w:val="Heading7"/>
      </w:pPr>
      <w:r w:rsidRPr="000C1781">
        <w:lastRenderedPageBreak/>
        <w:t>Example EBSS calculation</w:t>
      </w:r>
    </w:p>
    <w:tbl>
      <w:tblPr>
        <w:tblStyle w:val="AERtable-numbers"/>
        <w:tblW w:w="5000" w:type="pct"/>
        <w:tblLook w:val="04A0" w:firstRow="1" w:lastRow="0" w:firstColumn="1" w:lastColumn="0" w:noHBand="0" w:noVBand="1"/>
      </w:tblPr>
      <w:tblGrid>
        <w:gridCol w:w="2750"/>
        <w:gridCol w:w="599"/>
        <w:gridCol w:w="599"/>
        <w:gridCol w:w="529"/>
        <w:gridCol w:w="529"/>
        <w:gridCol w:w="530"/>
        <w:gridCol w:w="529"/>
        <w:gridCol w:w="530"/>
        <w:gridCol w:w="529"/>
        <w:gridCol w:w="529"/>
        <w:gridCol w:w="530"/>
        <w:gridCol w:w="529"/>
        <w:gridCol w:w="530"/>
      </w:tblGrid>
      <w:tr w:rsidR="00532C0B" w:rsidRPr="00B82227" w:rsidTr="00695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p>
        </w:tc>
        <w:tc>
          <w:tcPr>
            <w:tcW w:w="648" w:type="pct"/>
            <w:gridSpan w:val="2"/>
          </w:tcPr>
          <w:p w:rsidR="00532C0B" w:rsidRPr="00B82227" w:rsidRDefault="00532C0B" w:rsidP="00532C0B">
            <w:pPr>
              <w:pStyle w:val="AERtabletextright"/>
              <w:cnfStyle w:val="100000000000" w:firstRow="1" w:lastRow="0" w:firstColumn="0" w:lastColumn="0" w:oddVBand="0" w:evenVBand="0" w:oddHBand="0" w:evenHBand="0" w:firstRowFirstColumn="0" w:firstRowLastColumn="0" w:lastRowFirstColumn="0" w:lastRowLastColumn="0"/>
            </w:pPr>
            <w:r>
              <w:t>P</w:t>
            </w:r>
            <w:r w:rsidRPr="00B82227">
              <w:t>eriod 0</w:t>
            </w:r>
          </w:p>
        </w:tc>
        <w:tc>
          <w:tcPr>
            <w:tcW w:w="1432" w:type="pct"/>
            <w:gridSpan w:val="5"/>
          </w:tcPr>
          <w:p w:rsidR="00532C0B" w:rsidRPr="00B82227" w:rsidRDefault="00532C0B" w:rsidP="00532C0B">
            <w:pPr>
              <w:pStyle w:val="AERtabletextright"/>
              <w:cnfStyle w:val="100000000000" w:firstRow="1" w:lastRow="0" w:firstColumn="0" w:lastColumn="0" w:oddVBand="0" w:evenVBand="0" w:oddHBand="0" w:evenHBand="0" w:firstRowFirstColumn="0" w:firstRowLastColumn="0" w:lastRowFirstColumn="0" w:lastRowLastColumn="0"/>
            </w:pPr>
            <w:r>
              <w:t>P</w:t>
            </w:r>
            <w:r w:rsidRPr="00B82227">
              <w:t>eriod 1</w:t>
            </w:r>
          </w:p>
        </w:tc>
        <w:tc>
          <w:tcPr>
            <w:tcW w:w="1432" w:type="pct"/>
            <w:gridSpan w:val="5"/>
          </w:tcPr>
          <w:p w:rsidR="00532C0B" w:rsidRPr="00B82227" w:rsidRDefault="00532C0B" w:rsidP="00532C0B">
            <w:pPr>
              <w:pStyle w:val="AERtabletextright"/>
              <w:cnfStyle w:val="100000000000" w:firstRow="1" w:lastRow="0" w:firstColumn="0" w:lastColumn="0" w:oddVBand="0" w:evenVBand="0" w:oddHBand="0" w:evenHBand="0" w:firstRowFirstColumn="0" w:firstRowLastColumn="0" w:lastRowFirstColumn="0" w:lastRowLastColumn="0"/>
            </w:pPr>
            <w:r>
              <w:t>P</w:t>
            </w:r>
            <w:r w:rsidRPr="00B82227">
              <w:t>eriod 2</w:t>
            </w: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532C0B" w:rsidRDefault="00532C0B" w:rsidP="00532C0B">
            <w:pPr>
              <w:pStyle w:val="AERtabletextleft"/>
              <w:rPr>
                <w:rStyle w:val="AERtextbold"/>
              </w:rPr>
            </w:pPr>
            <w:r w:rsidRPr="00532C0B">
              <w:rPr>
                <w:rStyle w:val="AERtextbold"/>
              </w:rPr>
              <w:t>Year</w:t>
            </w:r>
          </w:p>
        </w:tc>
        <w:tc>
          <w:tcPr>
            <w:tcW w:w="324"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w:t>
            </w:r>
            <w:r w:rsidRPr="00532C0B">
              <w:rPr>
                <w:rStyle w:val="AERtextbold"/>
              </w:rPr>
              <w:t>1</w:t>
            </w:r>
          </w:p>
        </w:tc>
        <w:tc>
          <w:tcPr>
            <w:tcW w:w="324"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0</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1</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2</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3</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4</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5</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6</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7</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8</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9</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10</w:t>
            </w:r>
          </w:p>
        </w:tc>
      </w:tr>
      <w:tr w:rsidR="00532C0B" w:rsidRPr="00B82227" w:rsidTr="00695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Forecast opex</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100</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102</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100</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102</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104</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106</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108</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Actual opex</w:t>
            </w: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96</w:t>
            </w: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97</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99</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102</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97</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97</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99</w:t>
            </w:r>
            <w:r w:rsidRPr="00532C0B">
              <w:rPr>
                <w:rStyle w:val="AERsuperscript"/>
              </w:rPr>
              <w:t>(c)</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r>
      <w:tr w:rsidR="00532C0B" w:rsidRPr="00B82227" w:rsidTr="00695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Underspend</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4</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5</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1</w:t>
            </w:r>
            <w:r w:rsidRPr="00532C0B">
              <w:rPr>
                <w:rStyle w:val="AERsuperscript"/>
              </w:rPr>
              <w:t>(a)</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7</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9</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9</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2D2D3B" w:rsidP="00532C0B">
            <w:pPr>
              <w:pStyle w:val="AERtabletextleft"/>
            </w:pPr>
            <w:r>
              <w:t>Incremental efficiency gain</w:t>
            </w:r>
            <w:r w:rsidR="00532C0B" w:rsidRPr="00B82227">
              <w:t>/loss</w:t>
            </w: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1</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0</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t>–</w:t>
            </w:r>
            <w:r w:rsidRPr="00B82227">
              <w:t>1</w:t>
            </w:r>
            <w:r w:rsidRPr="00532C0B">
              <w:rPr>
                <w:rStyle w:val="AERsuperscript"/>
              </w:rPr>
              <w:t>(b)</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7</w:t>
            </w:r>
            <w:r w:rsidRPr="00532C0B">
              <w:rPr>
                <w:rStyle w:val="AERsuperscript"/>
              </w:rPr>
              <w:t>(b)</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2</w:t>
            </w:r>
            <w:r w:rsidRPr="00532C0B">
              <w:rPr>
                <w:rStyle w:val="AERsuperscript"/>
              </w:rPr>
              <w:t>(b)</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0</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r>
      <w:tr w:rsidR="00532C0B" w:rsidRPr="00B82227" w:rsidTr="00695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Carryover in Year 1</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Carryover in Year 2</w:t>
            </w: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t>–</w:t>
            </w:r>
            <w:r w:rsidRPr="00B82227">
              <w:t>1</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t>–</w:t>
            </w:r>
            <w:r w:rsidRPr="00B82227">
              <w:t>1</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r>
      <w:tr w:rsidR="00532C0B" w:rsidRPr="00B82227" w:rsidTr="00695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Carryover in Year 3</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7</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7</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7</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Carryover in Year 4</w:t>
            </w: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324"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2</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2</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2</w:t>
            </w:r>
          </w:p>
        </w:tc>
        <w:tc>
          <w:tcPr>
            <w:tcW w:w="286"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r w:rsidRPr="00B82227">
              <w:t>2</w:t>
            </w:r>
          </w:p>
        </w:tc>
        <w:tc>
          <w:tcPr>
            <w:tcW w:w="287" w:type="pct"/>
          </w:tcPr>
          <w:p w:rsidR="00532C0B" w:rsidRPr="00B82227" w:rsidRDefault="00532C0B" w:rsidP="00532C0B">
            <w:pPr>
              <w:pStyle w:val="AERtabletextright"/>
              <w:cnfStyle w:val="000000000000" w:firstRow="0" w:lastRow="0" w:firstColumn="0" w:lastColumn="0" w:oddVBand="0" w:evenVBand="0" w:oddHBand="0" w:evenHBand="0" w:firstRowFirstColumn="0" w:firstRowLastColumn="0" w:lastRowFirstColumn="0" w:lastRowLastColumn="0"/>
            </w:pPr>
          </w:p>
        </w:tc>
      </w:tr>
      <w:tr w:rsidR="00532C0B" w:rsidRPr="00B82227" w:rsidTr="006955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pct"/>
          </w:tcPr>
          <w:p w:rsidR="00532C0B" w:rsidRPr="00B82227" w:rsidRDefault="00532C0B" w:rsidP="00532C0B">
            <w:pPr>
              <w:pStyle w:val="AERtabletextleft"/>
            </w:pPr>
            <w:r w:rsidRPr="00B82227">
              <w:t>Carryover in Year 5</w:t>
            </w: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324"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6"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c>
          <w:tcPr>
            <w:tcW w:w="287" w:type="pct"/>
          </w:tcPr>
          <w:p w:rsidR="00532C0B" w:rsidRPr="00B82227" w:rsidRDefault="00532C0B" w:rsidP="00532C0B">
            <w:pPr>
              <w:pStyle w:val="AERtabletextright"/>
              <w:cnfStyle w:val="000000010000" w:firstRow="0" w:lastRow="0" w:firstColumn="0" w:lastColumn="0" w:oddVBand="0" w:evenVBand="0" w:oddHBand="0" w:evenHBand="1" w:firstRowFirstColumn="0" w:firstRowLastColumn="0" w:lastRowFirstColumn="0" w:lastRowLastColumn="0"/>
            </w:pPr>
            <w:r w:rsidRPr="00B82227">
              <w:t>0</w:t>
            </w:r>
          </w:p>
        </w:tc>
      </w:tr>
      <w:tr w:rsidR="00532C0B" w:rsidRPr="00B82227" w:rsidTr="00532C0B">
        <w:tc>
          <w:tcPr>
            <w:cnfStyle w:val="001000000000" w:firstRow="0" w:lastRow="0" w:firstColumn="1" w:lastColumn="0" w:oddVBand="0" w:evenVBand="0" w:oddHBand="0" w:evenHBand="0" w:firstRowFirstColumn="0" w:firstRowLastColumn="0" w:lastRowFirstColumn="0" w:lastRowLastColumn="0"/>
            <w:tcW w:w="1488" w:type="pct"/>
          </w:tcPr>
          <w:p w:rsidR="00532C0B" w:rsidRPr="00532C0B" w:rsidRDefault="00532C0B" w:rsidP="00532C0B">
            <w:pPr>
              <w:pStyle w:val="AERtabletextleft"/>
              <w:rPr>
                <w:rStyle w:val="AERtextbold"/>
              </w:rPr>
            </w:pPr>
            <w:r w:rsidRPr="00532C0B">
              <w:rPr>
                <w:rStyle w:val="AERtextbold"/>
              </w:rPr>
              <w:t>Total carryover</w:t>
            </w:r>
          </w:p>
        </w:tc>
        <w:tc>
          <w:tcPr>
            <w:tcW w:w="324"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324"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8</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8</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9</w:t>
            </w:r>
          </w:p>
        </w:tc>
        <w:tc>
          <w:tcPr>
            <w:tcW w:w="286"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2</w:t>
            </w:r>
          </w:p>
        </w:tc>
        <w:tc>
          <w:tcPr>
            <w:tcW w:w="287" w:type="pct"/>
          </w:tcPr>
          <w:p w:rsidR="00532C0B" w:rsidRPr="00532C0B" w:rsidRDefault="00532C0B" w:rsidP="00532C0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532C0B">
              <w:rPr>
                <w:rStyle w:val="AERtextbold"/>
              </w:rPr>
              <w:t>0</w:t>
            </w:r>
          </w:p>
        </w:tc>
      </w:tr>
    </w:tbl>
    <w:p w:rsidR="000C1781" w:rsidRPr="000C1781" w:rsidRDefault="000C1781" w:rsidP="00F82CD6">
      <w:pPr>
        <w:pStyle w:val="AERtablesource"/>
      </w:pPr>
      <w:r w:rsidRPr="000C1781">
        <w:t xml:space="preserve">Note: </w:t>
      </w:r>
      <w:r w:rsidR="00F82CD6">
        <w:tab/>
      </w:r>
      <w:r w:rsidRPr="000C1781">
        <w:t>All figures are in real terms</w:t>
      </w:r>
    </w:p>
    <w:p w:rsidR="000C1781" w:rsidRPr="000C1781" w:rsidRDefault="000C1781" w:rsidP="00F82CD6">
      <w:pPr>
        <w:pStyle w:val="AERtablesource"/>
      </w:pPr>
      <w:r w:rsidRPr="000C1781">
        <w:t xml:space="preserve">(a) </w:t>
      </w:r>
      <w:r w:rsidR="00F82CD6">
        <w:tab/>
      </w:r>
      <w:r w:rsidR="00532C0B">
        <w:t>Assumes year –1 has been used to forecast opex for regulatory period 1.</w:t>
      </w:r>
      <w:r w:rsidR="006955CF">
        <w:t xml:space="preserve"> See section </w:t>
      </w:r>
      <w:r w:rsidR="006955CF">
        <w:fldChar w:fldCharType="begin"/>
      </w:r>
      <w:r w:rsidR="006955CF">
        <w:instrText xml:space="preserve"> REF _Ref371001396 \r \h </w:instrText>
      </w:r>
      <w:r w:rsidR="006955CF">
        <w:fldChar w:fldCharType="separate"/>
      </w:r>
      <w:r w:rsidR="00CF7A73">
        <w:t>1.3.2</w:t>
      </w:r>
      <w:r w:rsidR="006955CF">
        <w:fldChar w:fldCharType="end"/>
      </w:r>
      <w:r w:rsidR="006955CF">
        <w:t xml:space="preserve"> for further details.</w:t>
      </w:r>
    </w:p>
    <w:p w:rsidR="000C1781" w:rsidRPr="000C1781" w:rsidRDefault="000C1781" w:rsidP="00F82CD6">
      <w:pPr>
        <w:pStyle w:val="AERtablesource"/>
      </w:pPr>
      <w:r w:rsidRPr="000C1781">
        <w:t xml:space="preserve">(b) </w:t>
      </w:r>
      <w:r w:rsidR="00F82CD6">
        <w:tab/>
      </w:r>
      <w:r w:rsidRPr="000C1781">
        <w:t>Equal to the difference between the underspend in this year less the underspend in</w:t>
      </w:r>
      <w:r w:rsidR="00AE3A47">
        <w:t xml:space="preserve"> the previous year. See section </w:t>
      </w:r>
      <w:r w:rsidR="00AE3A47">
        <w:fldChar w:fldCharType="begin"/>
      </w:r>
      <w:r w:rsidR="00AE3A47">
        <w:instrText xml:space="preserve"> REF _Ref369599603 \r \h </w:instrText>
      </w:r>
      <w:r w:rsidR="00AE3A47">
        <w:fldChar w:fldCharType="separate"/>
      </w:r>
      <w:r w:rsidR="00CF7A73">
        <w:t>1.3.3</w:t>
      </w:r>
      <w:r w:rsidR="00AE3A47">
        <w:fldChar w:fldCharType="end"/>
      </w:r>
      <w:r w:rsidRPr="000C1781">
        <w:t xml:space="preserve"> for further details.</w:t>
      </w:r>
    </w:p>
    <w:p w:rsidR="000C1781" w:rsidRPr="000C1781" w:rsidRDefault="000C1781" w:rsidP="00F82CD6">
      <w:pPr>
        <w:pStyle w:val="AERtablesource"/>
      </w:pPr>
      <w:r w:rsidRPr="000C1781">
        <w:t xml:space="preserve">(c) </w:t>
      </w:r>
      <w:r w:rsidR="00F82CD6">
        <w:tab/>
      </w:r>
      <w:r w:rsidRPr="000C1781">
        <w:t xml:space="preserve">This is the </w:t>
      </w:r>
      <w:r w:rsidR="00532C0B">
        <w:t>estimated</w:t>
      </w:r>
      <w:r w:rsidR="00532C0B" w:rsidRPr="000C1781">
        <w:t xml:space="preserve"> </w:t>
      </w:r>
      <w:r w:rsidRPr="000C1781">
        <w:t xml:space="preserve">opex amount since we do not typically know actual opex in the final year. See section </w:t>
      </w:r>
      <w:r w:rsidR="00AE3A47">
        <w:fldChar w:fldCharType="begin"/>
      </w:r>
      <w:r w:rsidR="00AE3A47">
        <w:instrText xml:space="preserve"> REF _Ref369599651 \r \h </w:instrText>
      </w:r>
      <w:r w:rsidR="00AE3A47">
        <w:fldChar w:fldCharType="separate"/>
      </w:r>
      <w:r w:rsidR="00CF7A73">
        <w:t>1.3.4</w:t>
      </w:r>
      <w:r w:rsidR="00AE3A47">
        <w:fldChar w:fldCharType="end"/>
      </w:r>
      <w:r w:rsidR="00AE3A47">
        <w:t xml:space="preserve"> </w:t>
      </w:r>
      <w:r w:rsidRPr="000C1781">
        <w:t>for further details.</w:t>
      </w:r>
      <w:r w:rsidR="00532C0B">
        <w:t xml:space="preserve"> Assumes year 4 is used as the base year for forecasting opex for regulatory period 2, and there are no non-recurrent efficiency gains in year 4.</w:t>
      </w:r>
    </w:p>
    <w:p w:rsidR="00486606" w:rsidRPr="003324F7" w:rsidRDefault="00486606" w:rsidP="00486606">
      <w:pPr>
        <w:pStyle w:val="AERbodytext"/>
      </w:pPr>
    </w:p>
    <w:sectPr w:rsidR="00486606" w:rsidRPr="003324F7" w:rsidSect="0045608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3B" w:rsidRPr="00AB4345" w:rsidRDefault="002D2D3B" w:rsidP="00AB4345">
      <w:r>
        <w:separator/>
      </w:r>
    </w:p>
  </w:endnote>
  <w:endnote w:type="continuationSeparator" w:id="0">
    <w:p w:rsidR="002D2D3B" w:rsidRPr="00AB4345" w:rsidRDefault="002D2D3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3B" w:rsidRDefault="002D2D3B"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886643">
      <w:rPr>
        <w:rStyle w:val="PageNumber"/>
        <w:noProof/>
      </w:rPr>
      <w:t>1</w:t>
    </w:r>
    <w:r>
      <w:rPr>
        <w:rStyle w:val="PageNumber"/>
      </w:rPr>
      <w:fldChar w:fldCharType="end"/>
    </w:r>
  </w:p>
  <w:p w:rsidR="002D2D3B" w:rsidRDefault="002D2D3B"/>
  <w:p w:rsidR="002D2D3B" w:rsidRDefault="002D2D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D2D3B" w:rsidRPr="003A603F" w:rsidRDefault="002D2D3B" w:rsidP="004F06CF">
        <w:pPr>
          <w:pStyle w:val="Footer"/>
          <w:tabs>
            <w:tab w:val="clear" w:pos="4513"/>
            <w:tab w:val="clear" w:pos="9026"/>
            <w:tab w:val="right" w:pos="9027"/>
          </w:tabs>
        </w:pPr>
        <w:r w:rsidRPr="003A603F">
          <w:fldChar w:fldCharType="begin"/>
        </w:r>
        <w:r w:rsidRPr="003A603F">
          <w:instrText xml:space="preserve"> PAGE   \* MERGEFORMAT </w:instrText>
        </w:r>
        <w:r w:rsidRPr="003A603F">
          <w:fldChar w:fldCharType="separate"/>
        </w:r>
        <w:r w:rsidR="00886643">
          <w:rPr>
            <w:noProof/>
          </w:rPr>
          <w:t>4</w:t>
        </w:r>
        <w:r w:rsidRPr="003A603F">
          <w:fldChar w:fldCharType="end"/>
        </w:r>
        <w:r>
          <w:tab/>
        </w:r>
        <w:r w:rsidRPr="00052DD2">
          <w:rPr>
            <w:rStyle w:val="AERtextblue"/>
          </w:rPr>
          <w:t>Better Regulation |</w:t>
        </w:r>
        <w:r w:rsidRPr="003A603F">
          <w:t xml:space="preserve"> </w:t>
        </w:r>
        <w:r w:rsidRPr="00052DD2">
          <w:rPr>
            <w:rStyle w:val="AERtextorange"/>
          </w:rPr>
          <w:t>Efficiency Benefit Sharing Scheme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3B" w:rsidRPr="00824CC8" w:rsidRDefault="002D2D3B" w:rsidP="00824CC8">
    <w:pPr>
      <w:pStyle w:val="Footer"/>
      <w:rPr>
        <w:rStyle w:val="AERbody"/>
      </w:rPr>
    </w:pPr>
    <w:r w:rsidRPr="006D686F">
      <w:rPr>
        <w:rStyle w:val="AERtextblue"/>
      </w:rPr>
      <w:t>Better Regulation |</w:t>
    </w:r>
    <w:r w:rsidRPr="00210880">
      <w:rPr>
        <w:rStyle w:val="AERbody"/>
      </w:rPr>
      <w:t xml:space="preserve"> </w:t>
    </w:r>
    <w:r w:rsidRPr="006D686F">
      <w:rPr>
        <w:rStyle w:val="AERtextorange"/>
      </w:rPr>
      <w:t>Efficiency Benefit Sharing Scheme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86643">
      <w:rPr>
        <w:rStyle w:val="AERbody"/>
        <w:noProof/>
      </w:rPr>
      <w:t>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3B" w:rsidRPr="00AB4345" w:rsidRDefault="002D2D3B" w:rsidP="00AB4345">
      <w:r>
        <w:separator/>
      </w:r>
    </w:p>
  </w:footnote>
  <w:footnote w:type="continuationSeparator" w:id="0">
    <w:p w:rsidR="002D2D3B" w:rsidRPr="00AB4345" w:rsidRDefault="002D2D3B" w:rsidP="00AB4345">
      <w:r>
        <w:continuationSeparator/>
      </w:r>
    </w:p>
  </w:footnote>
  <w:footnote w:id="1">
    <w:p w:rsidR="002D2D3B" w:rsidRDefault="002D2D3B">
      <w:pPr>
        <w:pStyle w:val="FootnoteText"/>
      </w:pPr>
      <w:r>
        <w:rPr>
          <w:rStyle w:val="FootnoteReference"/>
        </w:rPr>
        <w:footnoteRef/>
      </w:r>
      <w:r>
        <w:t xml:space="preserve"> </w:t>
      </w:r>
      <w:r>
        <w:tab/>
      </w:r>
      <w:proofErr w:type="gramStart"/>
      <w:r w:rsidR="00C94174">
        <w:t xml:space="preserve">NER, </w:t>
      </w:r>
      <w:r w:rsidRPr="0057138C">
        <w:t>Cl</w:t>
      </w:r>
      <w:r w:rsidR="00C94174">
        <w:t>.</w:t>
      </w:r>
      <w:r w:rsidRPr="0057138C">
        <w:t xml:space="preserve"> 6.5.8 and 6A.6.5.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7"/>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188\D13 143697  Better Regulation - Efficiency Benefit Sharing Scheme - Version 2 - Final - 2013 11.DOCX"/>
  </w:docVars>
  <w:rsids>
    <w:rsidRoot w:val="000C052F"/>
    <w:rsid w:val="00011129"/>
    <w:rsid w:val="00022606"/>
    <w:rsid w:val="00040241"/>
    <w:rsid w:val="00040599"/>
    <w:rsid w:val="00040749"/>
    <w:rsid w:val="00052DD2"/>
    <w:rsid w:val="000574BE"/>
    <w:rsid w:val="000A1CC2"/>
    <w:rsid w:val="000A5342"/>
    <w:rsid w:val="000B15CA"/>
    <w:rsid w:val="000C052F"/>
    <w:rsid w:val="000C1781"/>
    <w:rsid w:val="000C3430"/>
    <w:rsid w:val="000D03C2"/>
    <w:rsid w:val="000D04B1"/>
    <w:rsid w:val="000D401F"/>
    <w:rsid w:val="000D5A09"/>
    <w:rsid w:val="000E1A25"/>
    <w:rsid w:val="000F3A6A"/>
    <w:rsid w:val="001033B3"/>
    <w:rsid w:val="00105636"/>
    <w:rsid w:val="00140E44"/>
    <w:rsid w:val="001543D2"/>
    <w:rsid w:val="00174026"/>
    <w:rsid w:val="001856EE"/>
    <w:rsid w:val="00194C3C"/>
    <w:rsid w:val="001C12E5"/>
    <w:rsid w:val="001C64C6"/>
    <w:rsid w:val="001D37F7"/>
    <w:rsid w:val="001D6833"/>
    <w:rsid w:val="0020711E"/>
    <w:rsid w:val="00210880"/>
    <w:rsid w:val="002257B9"/>
    <w:rsid w:val="0023137D"/>
    <w:rsid w:val="002663D2"/>
    <w:rsid w:val="00266710"/>
    <w:rsid w:val="002805B8"/>
    <w:rsid w:val="0028285D"/>
    <w:rsid w:val="00285909"/>
    <w:rsid w:val="002938CE"/>
    <w:rsid w:val="002A720B"/>
    <w:rsid w:val="002B6640"/>
    <w:rsid w:val="002D2D3B"/>
    <w:rsid w:val="002D38F3"/>
    <w:rsid w:val="002D61AC"/>
    <w:rsid w:val="002E4720"/>
    <w:rsid w:val="002E50B1"/>
    <w:rsid w:val="00303452"/>
    <w:rsid w:val="00315744"/>
    <w:rsid w:val="003324F7"/>
    <w:rsid w:val="00334F88"/>
    <w:rsid w:val="003407F6"/>
    <w:rsid w:val="003707DB"/>
    <w:rsid w:val="003718B4"/>
    <w:rsid w:val="00375740"/>
    <w:rsid w:val="00375AEC"/>
    <w:rsid w:val="00376236"/>
    <w:rsid w:val="0037652C"/>
    <w:rsid w:val="003800E4"/>
    <w:rsid w:val="00380FF5"/>
    <w:rsid w:val="00381E3E"/>
    <w:rsid w:val="003A603F"/>
    <w:rsid w:val="003A6174"/>
    <w:rsid w:val="003E7336"/>
    <w:rsid w:val="004030AB"/>
    <w:rsid w:val="00412282"/>
    <w:rsid w:val="00420A43"/>
    <w:rsid w:val="004256BA"/>
    <w:rsid w:val="00431999"/>
    <w:rsid w:val="00435682"/>
    <w:rsid w:val="00456081"/>
    <w:rsid w:val="00464F5D"/>
    <w:rsid w:val="00474FBD"/>
    <w:rsid w:val="00486606"/>
    <w:rsid w:val="00491D7D"/>
    <w:rsid w:val="004C050B"/>
    <w:rsid w:val="004C3F45"/>
    <w:rsid w:val="004E40EF"/>
    <w:rsid w:val="004E73F7"/>
    <w:rsid w:val="004F06CF"/>
    <w:rsid w:val="004F76A0"/>
    <w:rsid w:val="00500E7F"/>
    <w:rsid w:val="00513B8C"/>
    <w:rsid w:val="0052179D"/>
    <w:rsid w:val="00532C0B"/>
    <w:rsid w:val="005456A9"/>
    <w:rsid w:val="00555D52"/>
    <w:rsid w:val="005566D7"/>
    <w:rsid w:val="00561F7F"/>
    <w:rsid w:val="00566B35"/>
    <w:rsid w:val="0057138C"/>
    <w:rsid w:val="005732CC"/>
    <w:rsid w:val="00575422"/>
    <w:rsid w:val="005938C6"/>
    <w:rsid w:val="005A0431"/>
    <w:rsid w:val="005B3752"/>
    <w:rsid w:val="005B61C2"/>
    <w:rsid w:val="005C4161"/>
    <w:rsid w:val="005D26B7"/>
    <w:rsid w:val="005D4AA1"/>
    <w:rsid w:val="005F6082"/>
    <w:rsid w:val="0060146C"/>
    <w:rsid w:val="0060207D"/>
    <w:rsid w:val="006039F2"/>
    <w:rsid w:val="006061B0"/>
    <w:rsid w:val="0060732E"/>
    <w:rsid w:val="006076A9"/>
    <w:rsid w:val="0062675B"/>
    <w:rsid w:val="006544EA"/>
    <w:rsid w:val="0066569F"/>
    <w:rsid w:val="0069004B"/>
    <w:rsid w:val="006955CF"/>
    <w:rsid w:val="006B08EB"/>
    <w:rsid w:val="006B481F"/>
    <w:rsid w:val="006D1269"/>
    <w:rsid w:val="006D3FA0"/>
    <w:rsid w:val="006D686F"/>
    <w:rsid w:val="006F638E"/>
    <w:rsid w:val="00703E42"/>
    <w:rsid w:val="007368AD"/>
    <w:rsid w:val="00751D2A"/>
    <w:rsid w:val="00755095"/>
    <w:rsid w:val="007605EA"/>
    <w:rsid w:val="007662A5"/>
    <w:rsid w:val="007810A4"/>
    <w:rsid w:val="00796A07"/>
    <w:rsid w:val="007D1C0A"/>
    <w:rsid w:val="007F0893"/>
    <w:rsid w:val="007F10E3"/>
    <w:rsid w:val="007F2C0E"/>
    <w:rsid w:val="008044EC"/>
    <w:rsid w:val="00804AEB"/>
    <w:rsid w:val="00806555"/>
    <w:rsid w:val="00824CC8"/>
    <w:rsid w:val="00830635"/>
    <w:rsid w:val="00836D17"/>
    <w:rsid w:val="00840A55"/>
    <w:rsid w:val="00841E25"/>
    <w:rsid w:val="008464CD"/>
    <w:rsid w:val="008515EE"/>
    <w:rsid w:val="0085273A"/>
    <w:rsid w:val="00856044"/>
    <w:rsid w:val="00861C4E"/>
    <w:rsid w:val="00866D21"/>
    <w:rsid w:val="00872D85"/>
    <w:rsid w:val="00876D26"/>
    <w:rsid w:val="00883DDA"/>
    <w:rsid w:val="00886643"/>
    <w:rsid w:val="00891FF9"/>
    <w:rsid w:val="00893367"/>
    <w:rsid w:val="008B7956"/>
    <w:rsid w:val="008C1B39"/>
    <w:rsid w:val="008C3B67"/>
    <w:rsid w:val="008C3F48"/>
    <w:rsid w:val="008D49B4"/>
    <w:rsid w:val="008D7498"/>
    <w:rsid w:val="008E1A37"/>
    <w:rsid w:val="00932E96"/>
    <w:rsid w:val="009418E6"/>
    <w:rsid w:val="0094235F"/>
    <w:rsid w:val="0094279F"/>
    <w:rsid w:val="00946B98"/>
    <w:rsid w:val="0095052A"/>
    <w:rsid w:val="009658F0"/>
    <w:rsid w:val="00971655"/>
    <w:rsid w:val="00971C63"/>
    <w:rsid w:val="009A4AE9"/>
    <w:rsid w:val="009C71D5"/>
    <w:rsid w:val="009D3414"/>
    <w:rsid w:val="009D75AC"/>
    <w:rsid w:val="009F7CE4"/>
    <w:rsid w:val="00A11162"/>
    <w:rsid w:val="00A27010"/>
    <w:rsid w:val="00A27E9B"/>
    <w:rsid w:val="00A34D19"/>
    <w:rsid w:val="00A41AA9"/>
    <w:rsid w:val="00A41F24"/>
    <w:rsid w:val="00A43227"/>
    <w:rsid w:val="00A46CCD"/>
    <w:rsid w:val="00A55C1F"/>
    <w:rsid w:val="00A65133"/>
    <w:rsid w:val="00A652C5"/>
    <w:rsid w:val="00A85C5A"/>
    <w:rsid w:val="00A96A08"/>
    <w:rsid w:val="00AA0161"/>
    <w:rsid w:val="00AB1D08"/>
    <w:rsid w:val="00AB4345"/>
    <w:rsid w:val="00AB5BD7"/>
    <w:rsid w:val="00AB5CE9"/>
    <w:rsid w:val="00AC0135"/>
    <w:rsid w:val="00AC070D"/>
    <w:rsid w:val="00AC1B94"/>
    <w:rsid w:val="00AD0616"/>
    <w:rsid w:val="00AD34FF"/>
    <w:rsid w:val="00AD4DE6"/>
    <w:rsid w:val="00AE3A47"/>
    <w:rsid w:val="00AE6DBC"/>
    <w:rsid w:val="00AF3E95"/>
    <w:rsid w:val="00AF7C67"/>
    <w:rsid w:val="00B02D13"/>
    <w:rsid w:val="00B15FE9"/>
    <w:rsid w:val="00B51883"/>
    <w:rsid w:val="00B61FD4"/>
    <w:rsid w:val="00B674DB"/>
    <w:rsid w:val="00B82E8D"/>
    <w:rsid w:val="00B9264D"/>
    <w:rsid w:val="00B94D99"/>
    <w:rsid w:val="00BB3FA1"/>
    <w:rsid w:val="00BB62BB"/>
    <w:rsid w:val="00BC05C5"/>
    <w:rsid w:val="00BD04BE"/>
    <w:rsid w:val="00BE6F28"/>
    <w:rsid w:val="00BF29FA"/>
    <w:rsid w:val="00C04D2B"/>
    <w:rsid w:val="00C106B4"/>
    <w:rsid w:val="00C737C5"/>
    <w:rsid w:val="00C94174"/>
    <w:rsid w:val="00C957C5"/>
    <w:rsid w:val="00CA3540"/>
    <w:rsid w:val="00CA6DED"/>
    <w:rsid w:val="00CA799F"/>
    <w:rsid w:val="00CC49D4"/>
    <w:rsid w:val="00CE6F5A"/>
    <w:rsid w:val="00CF42CF"/>
    <w:rsid w:val="00CF7A73"/>
    <w:rsid w:val="00D102E9"/>
    <w:rsid w:val="00D1688F"/>
    <w:rsid w:val="00D2117F"/>
    <w:rsid w:val="00D25317"/>
    <w:rsid w:val="00D66E8B"/>
    <w:rsid w:val="00D85715"/>
    <w:rsid w:val="00D8706C"/>
    <w:rsid w:val="00D90BD1"/>
    <w:rsid w:val="00DA1B7F"/>
    <w:rsid w:val="00DA4C62"/>
    <w:rsid w:val="00DB10BC"/>
    <w:rsid w:val="00DB6A17"/>
    <w:rsid w:val="00DD5520"/>
    <w:rsid w:val="00DF16C2"/>
    <w:rsid w:val="00E00F76"/>
    <w:rsid w:val="00E21E75"/>
    <w:rsid w:val="00E36F01"/>
    <w:rsid w:val="00E519DC"/>
    <w:rsid w:val="00E55422"/>
    <w:rsid w:val="00E807DA"/>
    <w:rsid w:val="00E84E3A"/>
    <w:rsid w:val="00EA05AF"/>
    <w:rsid w:val="00EB65C6"/>
    <w:rsid w:val="00EC43B9"/>
    <w:rsid w:val="00ED4D69"/>
    <w:rsid w:val="00EE362F"/>
    <w:rsid w:val="00EE78CD"/>
    <w:rsid w:val="00EF0E19"/>
    <w:rsid w:val="00F114AE"/>
    <w:rsid w:val="00F43CA0"/>
    <w:rsid w:val="00F53768"/>
    <w:rsid w:val="00F55030"/>
    <w:rsid w:val="00F7696F"/>
    <w:rsid w:val="00F8209B"/>
    <w:rsid w:val="00F82CD6"/>
    <w:rsid w:val="00F97CD9"/>
    <w:rsid w:val="00FA0576"/>
    <w:rsid w:val="00FB50B4"/>
    <w:rsid w:val="00FC3481"/>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4C050B"/>
    <w:pPr>
      <w:numPr>
        <w:ilvl w:val="4"/>
      </w:numPr>
    </w:pPr>
  </w:style>
  <w:style w:type="paragraph" w:customStyle="1" w:styleId="AERnumberedlist2second">
    <w:name w:val="AER numbered list 2 second"/>
    <w:basedOn w:val="AERnumberedlist2first"/>
    <w:qFormat/>
    <w:rsid w:val="004C050B"/>
    <w:pPr>
      <w:numPr>
        <w:ilvl w:val="5"/>
      </w:numPr>
    </w:pPr>
  </w:style>
  <w:style w:type="paragraph" w:customStyle="1" w:styleId="AERnumberedlist2third">
    <w:name w:val="AER numbered list 2 third"/>
    <w:basedOn w:val="AERnumberedlist2second"/>
    <w:qFormat/>
    <w:rsid w:val="004C050B"/>
    <w:pPr>
      <w:numPr>
        <w:ilvl w:val="6"/>
      </w:numPr>
    </w:pPr>
  </w:style>
  <w:style w:type="paragraph" w:customStyle="1" w:styleId="HeadingBoldBlue">
    <w:name w:val="Heading Bold Blue"/>
    <w:basedOn w:val="AERbodytext"/>
    <w:next w:val="AERbodytext"/>
    <w:link w:val="HeadingBoldBlueChar"/>
    <w:qFormat/>
    <w:rsid w:val="004C050B"/>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4C050B"/>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4C050B"/>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4C050B"/>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centre">
    <w:name w:val="AER body text centre"/>
    <w:basedOn w:val="AERbodytext"/>
    <w:qFormat/>
    <w:rsid w:val="004C050B"/>
    <w:pPr>
      <w:numPr>
        <w:numId w:val="0"/>
      </w:numPr>
      <w:jc w:val="center"/>
    </w:pPr>
  </w:style>
  <w:style w:type="paragraph" w:customStyle="1" w:styleId="AERbodytextleftalign">
    <w:name w:val="AER body text left align"/>
    <w:basedOn w:val="AERbodytext"/>
    <w:qFormat/>
    <w:rsid w:val="004C050B"/>
    <w:pPr>
      <w:numPr>
        <w:numId w:val="0"/>
      </w:numPr>
      <w:jc w:val="left"/>
    </w:pPr>
  </w:style>
  <w:style w:type="paragraph" w:customStyle="1" w:styleId="AERbodytextnospacecentre">
    <w:name w:val="AER body text no space centre"/>
    <w:basedOn w:val="AERbodytextnospace"/>
    <w:qFormat/>
    <w:rsid w:val="004C050B"/>
    <w:pPr>
      <w:numPr>
        <w:numId w:val="0"/>
      </w:numPr>
      <w:jc w:val="center"/>
    </w:pPr>
  </w:style>
  <w:style w:type="paragraph" w:customStyle="1" w:styleId="AERbodytextnospaceleftalign">
    <w:name w:val="AER body text no space left align"/>
    <w:basedOn w:val="AERbodytextnospace"/>
    <w:qFormat/>
    <w:rsid w:val="004C050B"/>
    <w:pPr>
      <w:numPr>
        <w:numId w:val="0"/>
      </w:numPr>
      <w:tabs>
        <w:tab w:val="num" w:pos="0"/>
      </w:tabs>
      <w:jc w:val="left"/>
    </w:pPr>
  </w:style>
  <w:style w:type="paragraph" w:customStyle="1" w:styleId="HeadingOrange">
    <w:name w:val="Heading Orange"/>
    <w:basedOn w:val="HeadingBoldItalic"/>
    <w:qFormat/>
    <w:rsid w:val="004C050B"/>
    <w:rPr>
      <w:i w:val="0"/>
      <w:sz w:val="20"/>
    </w:rPr>
  </w:style>
  <w:style w:type="paragraph" w:styleId="Revision">
    <w:name w:val="Revision"/>
    <w:hidden/>
    <w:uiPriority w:val="99"/>
    <w:semiHidden/>
    <w:rsid w:val="00A2701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654F-6577-4530-914B-C2A20EAD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1914</Words>
  <Characters>10911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efficiency benefit sharing scheme</dc:title>
  <dc:subject/>
  <dc:creator/>
  <cp:keywords/>
  <cp:lastModifiedBy/>
  <cp:revision>1</cp:revision>
  <dcterms:created xsi:type="dcterms:W3CDTF">2013-11-28T05:23:00Z</dcterms:created>
  <dcterms:modified xsi:type="dcterms:W3CDTF">2013-11-28T05:23:00Z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H:\TRIMDATA\TRIM\TEMP\HPTRIM.3188\D13 143697  Better Regulation - Efficiency Benefit Sharing Scheme - Version 2 - Final - 2013 11.DOCX</vt:lpwstr>
  </property>
</Properties>
</file>