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F8C" w:rsidRDefault="001F4F59" w:rsidP="00BC50D5">
      <w:r>
        <w:rPr>
          <w:noProof/>
          <w:lang w:eastAsia="en-AU"/>
        </w:rPr>
        <mc:AlternateContent>
          <mc:Choice Requires="wpg">
            <w:drawing>
              <wp:anchor distT="0" distB="0" distL="114300" distR="114300" simplePos="0" relativeHeight="251661312" behindDoc="0" locked="0" layoutInCell="1" allowOverlap="1" wp14:anchorId="43648546" wp14:editId="0259AEDE">
                <wp:simplePos x="0" y="0"/>
                <wp:positionH relativeFrom="column">
                  <wp:posOffset>-57150</wp:posOffset>
                </wp:positionH>
                <wp:positionV relativeFrom="paragraph">
                  <wp:posOffset>257175</wp:posOffset>
                </wp:positionV>
                <wp:extent cx="5067300" cy="609600"/>
                <wp:effectExtent l="0" t="0" r="0" b="0"/>
                <wp:wrapNone/>
                <wp:docPr id="9" name="Group 9"/>
                <wp:cNvGraphicFramePr/>
                <a:graphic xmlns:a="http://schemas.openxmlformats.org/drawingml/2006/main">
                  <a:graphicData uri="http://schemas.microsoft.com/office/word/2010/wordprocessingGroup">
                    <wpg:wgp>
                      <wpg:cNvGrpSpPr/>
                      <wpg:grpSpPr>
                        <a:xfrm>
                          <a:off x="0" y="0"/>
                          <a:ext cx="5067300" cy="609600"/>
                          <a:chOff x="0" y="0"/>
                          <a:chExt cx="5067300" cy="609600"/>
                        </a:xfrm>
                      </wpg:grpSpPr>
                      <pic:pic xmlns:pic="http://schemas.openxmlformats.org/drawingml/2006/picture">
                        <pic:nvPicPr>
                          <pic:cNvPr id="2" name="Picture 2" title="ACCC Logo"/>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24150" cy="609600"/>
                          </a:xfrm>
                          <a:prstGeom prst="rect">
                            <a:avLst/>
                          </a:prstGeom>
                        </pic:spPr>
                      </pic:pic>
                      <pic:pic xmlns:pic="http://schemas.openxmlformats.org/drawingml/2006/picture">
                        <pic:nvPicPr>
                          <pic:cNvPr id="7" name="Picture 7" title="AER logo"/>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3057525" y="114300"/>
                            <a:ext cx="2009775" cy="495300"/>
                          </a:xfrm>
                          <a:prstGeom prst="rect">
                            <a:avLst/>
                          </a:prstGeom>
                        </pic:spPr>
                      </pic:pic>
                    </wpg:wgp>
                  </a:graphicData>
                </a:graphic>
              </wp:anchor>
            </w:drawing>
          </mc:Choice>
          <mc:Fallback>
            <w:pict>
              <v:group id="Group 9" o:spid="_x0000_s1026" style="position:absolute;margin-left:-4.5pt;margin-top:20.25pt;width:399pt;height:48pt;z-index:251661312" coordsize="50673,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27241;height:6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t86jEAAAA2gAAAA8AAABkcnMvZG93bnJldi54bWxEj0FrwkAUhO9C/8PyCl5K3SjSxjQbaQWh&#10;B0W09f6afU3SZN+G7NbEf+8KgsdhZr5h0uVgGnGizlWWFUwnEQji3OqKCwXfX+vnGITzyBoby6Tg&#10;TA6W2cMoxUTbnvd0OvhCBAi7BBWU3reJlC4vyaCb2JY4eL+2M+iD7AqpO+wD3DRyFkUv0mDFYaHE&#10;llYl5fXh3wTKot/8+Kf568e63u2m9V98jLe5UuPH4f0NhKfB38O39qdWMIPrlXADZHY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zt86jEAAAA2gAAAA8AAAAAAAAAAAAAAAAA&#10;nwIAAGRycy9kb3ducmV2LnhtbFBLBQYAAAAABAAEAPcAAACQAwAAAAA=&#10;">
                  <v:imagedata r:id="rId12" o:title=""/>
                  <v:path arrowok="t"/>
                </v:shape>
                <v:shape id="Picture 7" o:spid="_x0000_s1028" type="#_x0000_t75" style="position:absolute;left:30575;top:1143;width:20098;height:4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cbPHDAAAA2gAAAA8AAABkcnMvZG93bnJldi54bWxEj0GLwjAUhO+C/yE8wYtoqgsq1SgiKF52&#10;Ya3o9dk822rzUppYu/9+s7DgcZiZb5jlujWlaKh2hWUF41EEgji1uuBMwSnZDecgnEfWWFomBT/k&#10;YL3qdpYYa/vib2qOPhMBwi5GBbn3VSylS3My6Ea2Ig7ezdYGfZB1JnWNrwA3pZxE0VQaLDgs5FjR&#10;Nqf0cXwaBc/mUjX66s/J7m7MYP/xdf28DJTq99rNAoSn1r/D/+2DVjCDvyvhBsjV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Fxs8cMAAADaAAAADwAAAAAAAAAAAAAAAACf&#10;AgAAZHJzL2Rvd25yZXYueG1sUEsFBgAAAAAEAAQA9wAAAI8DAAAAAA==&#10;">
                  <v:imagedata r:id="rId13" o:title=""/>
                  <v:path arrowok="t"/>
                </v:shape>
              </v:group>
            </w:pict>
          </mc:Fallback>
        </mc:AlternateContent>
      </w:r>
      <w:r w:rsidR="00BB3F8C">
        <w:rPr>
          <w:noProof/>
          <w:lang w:eastAsia="en-AU"/>
        </w:rPr>
        <mc:AlternateContent>
          <mc:Choice Requires="wps">
            <w:drawing>
              <wp:anchor distT="0" distB="0" distL="114300" distR="114300" simplePos="0" relativeHeight="251659264" behindDoc="1" locked="0" layoutInCell="1" allowOverlap="1" wp14:anchorId="4596255C" wp14:editId="2C24026F">
                <wp:simplePos x="0" y="0"/>
                <wp:positionH relativeFrom="column">
                  <wp:posOffset>-657225</wp:posOffset>
                </wp:positionH>
                <wp:positionV relativeFrom="paragraph">
                  <wp:posOffset>-559435</wp:posOffset>
                </wp:positionV>
                <wp:extent cx="7058025" cy="10163175"/>
                <wp:effectExtent l="0" t="0" r="9525" b="9525"/>
                <wp:wrapNone/>
                <wp:docPr id="3" name="Rectangle 3"/>
                <wp:cNvGraphicFramePr/>
                <a:graphic xmlns:a="http://schemas.openxmlformats.org/drawingml/2006/main">
                  <a:graphicData uri="http://schemas.microsoft.com/office/word/2010/wordprocessingShape">
                    <wps:wsp>
                      <wps:cNvSpPr/>
                      <wps:spPr>
                        <a:xfrm>
                          <a:off x="0" y="0"/>
                          <a:ext cx="7058025" cy="1016317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6" style="position:absolute;margin-left:-51.75pt;margin-top:-44.05pt;width:555.75pt;height:800.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" fillcolor="#d5d6d2 [3214]" stroked="f" strokeweight="2pt"/>
            </w:pict>
          </mc:Fallback>
        </mc:AlternateContent>
      </w:r>
    </w:p>
    <w:p w:rsidR="00BB3F8C" w:rsidRPr="005E6C0E" w:rsidRDefault="00BB3F8C" w:rsidP="00BC50D5"/>
    <w:tbl>
      <w:tblPr>
        <w:tblStyle w:val="TableGrid"/>
        <w:tblW w:w="0" w:type="auto"/>
        <w:tblBorders>
          <w:top w:val="none" w:sz="0" w:space="0" w:color="auto"/>
          <w:bottom w:val="none" w:sz="0" w:space="0" w:color="auto"/>
        </w:tblBorders>
        <w:tblLook w:val="0400" w:firstRow="0" w:lastRow="0" w:firstColumn="0" w:lastColumn="0" w:noHBand="0" w:noVBand="1"/>
      </w:tblPr>
      <w:tblGrid>
        <w:gridCol w:w="9242"/>
      </w:tblGrid>
      <w:tr w:rsidR="00BB3F8C" w:rsidRPr="00C755AD" w:rsidTr="00BC50D5">
        <w:trPr>
          <w:trHeight w:val="3135"/>
        </w:trPr>
        <w:tc>
          <w:tcPr>
            <w:tcW w:w="9242" w:type="dxa"/>
          </w:tcPr>
          <w:p w:rsidR="00BB3F8C" w:rsidRPr="00C755AD" w:rsidRDefault="00BB3F8C" w:rsidP="00BC50D5">
            <w:pPr>
              <w:spacing w:before="720"/>
              <w:contextualSpacing/>
              <w:outlineLvl w:val="0"/>
              <w:rPr>
                <w:rFonts w:asciiTheme="majorHAnsi" w:eastAsiaTheme="majorEastAsia" w:hAnsiTheme="majorHAnsi" w:cstheme="majorBidi"/>
                <w:color w:val="4F2D7D" w:themeColor="accent2"/>
                <w:spacing w:val="5"/>
                <w:kern w:val="28"/>
                <w:sz w:val="72"/>
                <w:szCs w:val="52"/>
              </w:rPr>
            </w:pPr>
          </w:p>
        </w:tc>
      </w:tr>
      <w:tr w:rsidR="00BB3F8C" w:rsidRPr="00C755AD" w:rsidTr="00BC50D5">
        <w:tc>
          <w:tcPr>
            <w:tcW w:w="9242" w:type="dxa"/>
          </w:tcPr>
          <w:p w:rsidR="00BB3F8C" w:rsidRPr="00C755AD" w:rsidRDefault="00BB3F8C" w:rsidP="00BB3F8C">
            <w:pPr>
              <w:pStyle w:val="Title"/>
            </w:pPr>
            <w:r w:rsidRPr="00FD5D8A">
              <w:t>ACCC and AER Corporate Plan</w:t>
            </w:r>
          </w:p>
        </w:tc>
      </w:tr>
      <w:tr w:rsidR="00BB3F8C" w:rsidRPr="00C755AD" w:rsidTr="00BC50D5">
        <w:tc>
          <w:tcPr>
            <w:tcW w:w="9242" w:type="dxa"/>
          </w:tcPr>
          <w:p w:rsidR="00BB3F8C" w:rsidRPr="00C755AD" w:rsidRDefault="00BB3F8C" w:rsidP="00BC50D5">
            <w:pPr>
              <w:pStyle w:val="Subtitle"/>
            </w:pPr>
            <w:r>
              <w:t>2015–16</w:t>
            </w:r>
          </w:p>
        </w:tc>
      </w:tr>
      <w:tr w:rsidR="00BB3F8C" w:rsidRPr="00C755AD" w:rsidTr="00BC50D5">
        <w:tc>
          <w:tcPr>
            <w:tcW w:w="9242" w:type="dxa"/>
          </w:tcPr>
          <w:p w:rsidR="00BB3F8C" w:rsidRPr="00C755AD" w:rsidRDefault="00BB3F8C" w:rsidP="00BC50D5"/>
          <w:p w:rsidR="00BB3F8C" w:rsidRPr="00C755AD" w:rsidRDefault="00D42281" w:rsidP="00D42281">
            <w:pPr>
              <w:pStyle w:val="CoverDate"/>
            </w:pPr>
            <w:r>
              <w:t xml:space="preserve">Independent / Expert / Strategic / Trustworthy </w:t>
            </w:r>
          </w:p>
        </w:tc>
      </w:tr>
    </w:tbl>
    <w:p w:rsidR="00BB3F8C" w:rsidRPr="003B5A70" w:rsidRDefault="00BB3F8C" w:rsidP="00BC50D5">
      <w:pPr>
        <w:tabs>
          <w:tab w:val="left" w:pos="340"/>
          <w:tab w:val="left" w:pos="680"/>
          <w:tab w:val="left" w:pos="1021"/>
          <w:tab w:val="left" w:pos="1361"/>
        </w:tabs>
      </w:pPr>
    </w:p>
    <w:p w:rsidR="00BB3F8C" w:rsidRDefault="00BB3F8C">
      <w:r>
        <w:br w:type="page"/>
      </w:r>
    </w:p>
    <w:p w:rsidR="00475E76" w:rsidRDefault="00475E76" w:rsidP="00B36F78">
      <w:pPr>
        <w:pStyle w:val="Numbered1"/>
        <w:sectPr w:rsidR="00475E76" w:rsidSect="00FC0D8A">
          <w:footerReference w:type="default" r:id="rId14"/>
          <w:footerReference w:type="first" r:id="rId15"/>
          <w:pgSz w:w="11906" w:h="16838"/>
          <w:pgMar w:top="1440" w:right="1440" w:bottom="1135" w:left="1440" w:header="708" w:footer="168" w:gutter="0"/>
          <w:cols w:space="708"/>
          <w:titlePg/>
          <w:docGrid w:linePitch="360"/>
        </w:sectPr>
      </w:pPr>
    </w:p>
    <w:p w:rsidR="00D1503A" w:rsidRPr="00D1503A" w:rsidRDefault="008C0FE5" w:rsidP="00B36F78">
      <w:pPr>
        <w:pStyle w:val="Numbered1"/>
      </w:pPr>
      <w:r>
        <w:lastRenderedPageBreak/>
        <w:t>Overview</w:t>
      </w:r>
    </w:p>
    <w:p w:rsidR="00FC799A" w:rsidRDefault="00FC799A" w:rsidP="00C157A0">
      <w:pPr>
        <w:pStyle w:val="Heading2"/>
        <w:rPr>
          <w:rFonts w:eastAsiaTheme="minorHAnsi" w:cstheme="minorBidi"/>
          <w:b w:val="0"/>
          <w:bCs w:val="0"/>
          <w:color w:val="auto"/>
          <w:sz w:val="22"/>
          <w:szCs w:val="22"/>
        </w:rPr>
      </w:pPr>
      <w:r w:rsidRPr="00FC799A">
        <w:rPr>
          <w:rFonts w:eastAsiaTheme="minorHAnsi" w:cstheme="minorBidi"/>
          <w:b w:val="0"/>
          <w:bCs w:val="0"/>
          <w:color w:val="auto"/>
          <w:sz w:val="22"/>
          <w:szCs w:val="22"/>
        </w:rPr>
        <w:t xml:space="preserve">The </w:t>
      </w:r>
      <w:r w:rsidRPr="00FC799A">
        <w:rPr>
          <w:rFonts w:eastAsiaTheme="minorHAnsi" w:cstheme="minorBidi"/>
          <w:b w:val="0"/>
          <w:bCs w:val="0"/>
          <w:i/>
          <w:color w:val="auto"/>
          <w:sz w:val="22"/>
          <w:szCs w:val="22"/>
        </w:rPr>
        <w:t xml:space="preserve">ACCC and AER Corporate Plan </w:t>
      </w:r>
      <w:r w:rsidR="00A817A5">
        <w:rPr>
          <w:rFonts w:eastAsiaTheme="minorHAnsi" w:cstheme="minorBidi"/>
          <w:b w:val="0"/>
          <w:bCs w:val="0"/>
          <w:i/>
          <w:color w:val="auto"/>
          <w:sz w:val="22"/>
          <w:szCs w:val="22"/>
        </w:rPr>
        <w:t>2015–16</w:t>
      </w:r>
      <w:r w:rsidRPr="00FC799A">
        <w:rPr>
          <w:rFonts w:eastAsiaTheme="minorHAnsi" w:cstheme="minorBidi"/>
          <w:b w:val="0"/>
          <w:bCs w:val="0"/>
          <w:color w:val="auto"/>
          <w:sz w:val="22"/>
          <w:szCs w:val="22"/>
        </w:rPr>
        <w:t xml:space="preserve"> outlines the key strategies, performan</w:t>
      </w:r>
      <w:r>
        <w:rPr>
          <w:rFonts w:eastAsiaTheme="minorHAnsi" w:cstheme="minorBidi"/>
          <w:b w:val="0"/>
          <w:bCs w:val="0"/>
          <w:color w:val="auto"/>
          <w:sz w:val="22"/>
          <w:szCs w:val="22"/>
        </w:rPr>
        <w:t>ce measures and capabilities the Australian Competition and Consumer Commission (ACCC) and the Australian Energy Regulator (AER)</w:t>
      </w:r>
      <w:r w:rsidR="00630E20">
        <w:rPr>
          <w:rFonts w:eastAsiaTheme="minorHAnsi" w:cstheme="minorBidi"/>
          <w:b w:val="0"/>
          <w:bCs w:val="0"/>
          <w:color w:val="auto"/>
          <w:sz w:val="22"/>
          <w:szCs w:val="22"/>
        </w:rPr>
        <w:t xml:space="preserve">, as a coordinated agency, </w:t>
      </w:r>
      <w:r w:rsidRPr="00FC799A">
        <w:rPr>
          <w:rFonts w:eastAsiaTheme="minorHAnsi" w:cstheme="minorBidi"/>
          <w:b w:val="0"/>
          <w:bCs w:val="0"/>
          <w:color w:val="auto"/>
          <w:sz w:val="22"/>
          <w:szCs w:val="22"/>
        </w:rPr>
        <w:t>w</w:t>
      </w:r>
      <w:r>
        <w:rPr>
          <w:rFonts w:eastAsiaTheme="minorHAnsi" w:cstheme="minorBidi"/>
          <w:b w:val="0"/>
          <w:bCs w:val="0"/>
          <w:color w:val="auto"/>
          <w:sz w:val="22"/>
          <w:szCs w:val="22"/>
        </w:rPr>
        <w:t>ill employ</w:t>
      </w:r>
      <w:r w:rsidR="000B75A6">
        <w:rPr>
          <w:rFonts w:eastAsiaTheme="minorHAnsi" w:cstheme="minorBidi"/>
          <w:b w:val="0"/>
          <w:bCs w:val="0"/>
          <w:color w:val="auto"/>
          <w:sz w:val="22"/>
          <w:szCs w:val="22"/>
        </w:rPr>
        <w:t xml:space="preserve"> over the next four years</w:t>
      </w:r>
      <w:r w:rsidR="00630E20">
        <w:rPr>
          <w:rFonts w:eastAsiaTheme="minorHAnsi" w:cstheme="minorBidi"/>
          <w:b w:val="0"/>
          <w:bCs w:val="0"/>
          <w:color w:val="auto"/>
          <w:sz w:val="22"/>
          <w:szCs w:val="22"/>
        </w:rPr>
        <w:t xml:space="preserve"> </w:t>
      </w:r>
      <w:r>
        <w:rPr>
          <w:rFonts w:eastAsiaTheme="minorHAnsi" w:cstheme="minorBidi"/>
          <w:b w:val="0"/>
          <w:bCs w:val="0"/>
          <w:color w:val="auto"/>
          <w:sz w:val="22"/>
          <w:szCs w:val="22"/>
        </w:rPr>
        <w:t>to support our core purposes</w:t>
      </w:r>
      <w:r w:rsidRPr="00FC799A">
        <w:rPr>
          <w:rFonts w:eastAsiaTheme="minorHAnsi" w:cstheme="minorBidi"/>
          <w:b w:val="0"/>
          <w:bCs w:val="0"/>
          <w:color w:val="auto"/>
          <w:sz w:val="22"/>
          <w:szCs w:val="22"/>
        </w:rPr>
        <w:t>.</w:t>
      </w:r>
    </w:p>
    <w:p w:rsidR="00C157A0" w:rsidRPr="00C157A0" w:rsidRDefault="00C157A0" w:rsidP="00C157A0">
      <w:pPr>
        <w:pStyle w:val="Heading2"/>
        <w:rPr>
          <w:rFonts w:eastAsiaTheme="minorHAnsi" w:cstheme="minorBidi"/>
          <w:b w:val="0"/>
          <w:bCs w:val="0"/>
          <w:color w:val="auto"/>
          <w:sz w:val="22"/>
          <w:szCs w:val="22"/>
        </w:rPr>
      </w:pPr>
      <w:r w:rsidRPr="00C157A0">
        <w:rPr>
          <w:rFonts w:eastAsiaTheme="minorHAnsi" w:cstheme="minorBidi"/>
          <w:b w:val="0"/>
          <w:bCs w:val="0"/>
          <w:color w:val="auto"/>
          <w:sz w:val="22"/>
          <w:szCs w:val="22"/>
        </w:rPr>
        <w:t xml:space="preserve">The ACCC is an independent Commonwealth statutory authority whose role is to enforce the </w:t>
      </w:r>
      <w:r w:rsidRPr="004F3A99">
        <w:rPr>
          <w:rFonts w:eastAsiaTheme="minorHAnsi" w:cstheme="minorBidi"/>
          <w:b w:val="0"/>
          <w:bCs w:val="0"/>
          <w:i/>
          <w:color w:val="auto"/>
          <w:sz w:val="22"/>
          <w:szCs w:val="22"/>
        </w:rPr>
        <w:t>Competition and Consumer Act 2010</w:t>
      </w:r>
      <w:r w:rsidRPr="00C157A0">
        <w:rPr>
          <w:rFonts w:eastAsiaTheme="minorHAnsi" w:cstheme="minorBidi"/>
          <w:b w:val="0"/>
          <w:bCs w:val="0"/>
          <w:color w:val="auto"/>
          <w:sz w:val="22"/>
          <w:szCs w:val="22"/>
        </w:rPr>
        <w:t xml:space="preserve"> and a range of additional legislation, promoting competition, fair trading and regulating national infrastructure for the benefit of all Australians.</w:t>
      </w:r>
    </w:p>
    <w:p w:rsidR="00BE281D" w:rsidRDefault="00BE281D" w:rsidP="00DC3460">
      <w:pPr>
        <w:pStyle w:val="Heading2"/>
        <w:rPr>
          <w:rFonts w:eastAsiaTheme="minorHAnsi" w:cstheme="minorBidi"/>
          <w:b w:val="0"/>
          <w:bCs w:val="0"/>
          <w:color w:val="auto"/>
          <w:sz w:val="22"/>
          <w:szCs w:val="22"/>
        </w:rPr>
      </w:pPr>
      <w:r w:rsidRPr="00BE281D">
        <w:rPr>
          <w:rFonts w:eastAsiaTheme="minorHAnsi" w:cstheme="minorBidi"/>
          <w:b w:val="0"/>
          <w:bCs w:val="0"/>
          <w:color w:val="auto"/>
          <w:sz w:val="22"/>
          <w:szCs w:val="22"/>
        </w:rPr>
        <w:t>The AER is an independent decision making body responsible for regulating energy markets and networks under national legislation and rules. The AER has its o</w:t>
      </w:r>
      <w:r>
        <w:rPr>
          <w:rFonts w:eastAsiaTheme="minorHAnsi" w:cstheme="minorBidi"/>
          <w:b w:val="0"/>
          <w:bCs w:val="0"/>
          <w:color w:val="auto"/>
          <w:sz w:val="22"/>
          <w:szCs w:val="22"/>
        </w:rPr>
        <w:t xml:space="preserve">wn Board, which is supported by </w:t>
      </w:r>
      <w:proofErr w:type="gramStart"/>
      <w:r w:rsidRPr="00BE281D">
        <w:rPr>
          <w:rFonts w:eastAsiaTheme="minorHAnsi" w:cstheme="minorBidi"/>
          <w:b w:val="0"/>
          <w:bCs w:val="0"/>
          <w:color w:val="auto"/>
          <w:sz w:val="22"/>
          <w:szCs w:val="22"/>
        </w:rPr>
        <w:t>staff who are</w:t>
      </w:r>
      <w:proofErr w:type="gramEnd"/>
      <w:r w:rsidRPr="00BE281D">
        <w:rPr>
          <w:rFonts w:eastAsiaTheme="minorHAnsi" w:cstheme="minorBidi"/>
          <w:b w:val="0"/>
          <w:bCs w:val="0"/>
          <w:color w:val="auto"/>
          <w:sz w:val="22"/>
          <w:szCs w:val="22"/>
        </w:rPr>
        <w:t xml:space="preserve"> engaged exclusively on energy matters and also has access to specialist legal and economic staff, which it shares with the ACCC.</w:t>
      </w:r>
    </w:p>
    <w:p w:rsidR="00DC3460" w:rsidRPr="00DC3460" w:rsidRDefault="00DC3460" w:rsidP="00DC3460">
      <w:pPr>
        <w:pStyle w:val="Heading2"/>
      </w:pPr>
      <w:r w:rsidRPr="00DC3460">
        <w:t>Message from the ACCC Chair</w:t>
      </w:r>
    </w:p>
    <w:p w:rsidR="00672996" w:rsidRDefault="00C157A0" w:rsidP="00B36F78">
      <w:r>
        <w:t>The ACCC</w:t>
      </w:r>
      <w:r w:rsidR="00672996" w:rsidRPr="00DC3460">
        <w:t xml:space="preserve"> is about making markets work</w:t>
      </w:r>
      <w:r w:rsidR="00936D9B">
        <w:t xml:space="preserve"> for the benefit of all </w:t>
      </w:r>
      <w:r w:rsidR="00BD7B17">
        <w:t>Australians. The</w:t>
      </w:r>
      <w:r w:rsidR="00936D9B" w:rsidRPr="00936D9B">
        <w:t xml:space="preserve"> ACCC is</w:t>
      </w:r>
      <w:r w:rsidR="00936D9B">
        <w:t xml:space="preserve"> the national regulator </w:t>
      </w:r>
      <w:r w:rsidR="00936D9B" w:rsidRPr="00936D9B">
        <w:t>responsible for competition law, consumer protection and economic regulation.</w:t>
      </w:r>
      <w:r w:rsidR="00936D9B">
        <w:t xml:space="preserve"> These are</w:t>
      </w:r>
      <w:r w:rsidR="002646F8">
        <w:t xml:space="preserve"> </w:t>
      </w:r>
      <w:r w:rsidR="00672996" w:rsidRPr="00DC3460">
        <w:t>fundamental role</w:t>
      </w:r>
      <w:r w:rsidR="00936D9B">
        <w:t>s</w:t>
      </w:r>
      <w:r w:rsidR="00672996" w:rsidRPr="00DC3460">
        <w:t xml:space="preserve"> in our market economy. Competition brings innovation, efficiency and dynamic ways to meet consumers</w:t>
      </w:r>
      <w:r w:rsidR="0099658B">
        <w:t>’</w:t>
      </w:r>
      <w:r w:rsidR="00672996" w:rsidRPr="00DC3460">
        <w:t xml:space="preserve"> needs, but it needs the well-defined boundaries on commercial behaviour provided by competition and consumer laws.</w:t>
      </w:r>
      <w:r w:rsidR="00F64C2A">
        <w:t xml:space="preserve"> The ACCC will continue to </w:t>
      </w:r>
      <w:r w:rsidR="00F64C2A" w:rsidRPr="00F64C2A">
        <w:t>focus its compliance and enforcement activities on those circumstances that will, or have the potential to, harm the competitive process or result in widespread consumer detriment.</w:t>
      </w:r>
    </w:p>
    <w:p w:rsidR="00936D9B" w:rsidRPr="00DC3460" w:rsidRDefault="005432E2" w:rsidP="00B36F78">
      <w:r w:rsidRPr="005432E2">
        <w:t xml:space="preserve">The Australian competition law framework </w:t>
      </w:r>
      <w:r w:rsidR="00EC7A4E">
        <w:t xml:space="preserve">could </w:t>
      </w:r>
      <w:r w:rsidRPr="005432E2">
        <w:t>change over the next four years, as a result of the</w:t>
      </w:r>
      <w:r w:rsidR="00233813">
        <w:t xml:space="preserve"> final</w:t>
      </w:r>
      <w:r w:rsidRPr="005432E2">
        <w:t xml:space="preserve"> recommendations of the recently completed Competition Policy Review.</w:t>
      </w:r>
      <w:r>
        <w:t xml:space="preserve"> This</w:t>
      </w:r>
      <w:r w:rsidRPr="005432E2">
        <w:t xml:space="preserve"> is a very important report. It sets out many pro-competitive reforms which, if adopted, could significantly enhance economic productivity over the years ahead</w:t>
      </w:r>
      <w:r w:rsidR="004F3A99">
        <w:t>.</w:t>
      </w:r>
      <w:r w:rsidR="00EB129C">
        <w:t xml:space="preserve"> </w:t>
      </w:r>
      <w:r w:rsidR="00936D9B">
        <w:t xml:space="preserve"> </w:t>
      </w:r>
    </w:p>
    <w:p w:rsidR="00A058D6" w:rsidRPr="00DC3460" w:rsidRDefault="00A058D6" w:rsidP="00B36F78">
      <w:r w:rsidRPr="00DC3460">
        <w:t>Playing such an important role in our market economy</w:t>
      </w:r>
      <w:r w:rsidR="000A1E5C" w:rsidRPr="00DC3460">
        <w:t>,</w:t>
      </w:r>
      <w:r w:rsidRPr="00DC3460">
        <w:t xml:space="preserve"> we must remain a high performing agency and so continue to impr</w:t>
      </w:r>
      <w:r w:rsidR="00133E79" w:rsidRPr="00DC3460">
        <w:t>ove our performance. W</w:t>
      </w:r>
      <w:r w:rsidRPr="00DC3460">
        <w:t>e will</w:t>
      </w:r>
      <w:r w:rsidR="00CE3413" w:rsidRPr="00DC3460">
        <w:t xml:space="preserve"> continue to</w:t>
      </w:r>
      <w:r w:rsidRPr="00DC3460">
        <w:t xml:space="preserve"> concentrate on our efficiency, our governance, our financial performance and making the best use of our expert staff. We will deliver results by developing our people and improving our processes to remain an effective agency working to benefit the Australian community.</w:t>
      </w:r>
    </w:p>
    <w:p w:rsidR="00D1503A" w:rsidRDefault="0075510C" w:rsidP="00B36F78">
      <w:r w:rsidRPr="00DC3460">
        <w:t>A</w:t>
      </w:r>
      <w:r w:rsidR="00D1503A" w:rsidRPr="00DC3460">
        <w:t>s the accountable a</w:t>
      </w:r>
      <w:r w:rsidR="00D972D1" w:rsidRPr="00DC3460">
        <w:t>uthority of the ACCC</w:t>
      </w:r>
      <w:r w:rsidR="00A058D6" w:rsidRPr="00DC3460">
        <w:t xml:space="preserve">, I present the </w:t>
      </w:r>
      <w:r w:rsidR="00702859" w:rsidRPr="00DC3460">
        <w:rPr>
          <w:i/>
        </w:rPr>
        <w:t>ACCC a</w:t>
      </w:r>
      <w:r w:rsidR="00A058D6" w:rsidRPr="00DC3460">
        <w:rPr>
          <w:i/>
        </w:rPr>
        <w:t>nd AER Corporate P</w:t>
      </w:r>
      <w:r w:rsidR="00D1503A" w:rsidRPr="00DC3460">
        <w:rPr>
          <w:i/>
        </w:rPr>
        <w:t>lan</w:t>
      </w:r>
      <w:r w:rsidR="009C3C0D" w:rsidRPr="00DC3460">
        <w:rPr>
          <w:i/>
        </w:rPr>
        <w:t xml:space="preserve"> </w:t>
      </w:r>
      <w:r w:rsidR="00A817A5">
        <w:rPr>
          <w:i/>
        </w:rPr>
        <w:t>2015–16</w:t>
      </w:r>
      <w:r w:rsidR="00D1503A" w:rsidRPr="00DC3460">
        <w:t>,</w:t>
      </w:r>
      <w:r w:rsidR="00814C73" w:rsidRPr="00DC3460">
        <w:t xml:space="preserve"> which covers the periods of </w:t>
      </w:r>
      <w:r w:rsidR="00A817A5">
        <w:t>2015–16</w:t>
      </w:r>
      <w:r w:rsidR="00814C73" w:rsidRPr="00DC3460">
        <w:t xml:space="preserve"> to </w:t>
      </w:r>
      <w:r w:rsidR="00A817A5">
        <w:t>2018–19</w:t>
      </w:r>
      <w:r w:rsidR="00814C73" w:rsidRPr="00DC3460">
        <w:t>,</w:t>
      </w:r>
      <w:r w:rsidR="00D1503A" w:rsidRPr="00DC3460">
        <w:t xml:space="preserve"> as required under paragraph 35(1</w:t>
      </w:r>
      <w:proofErr w:type="gramStart"/>
      <w:r w:rsidR="00D1503A" w:rsidRPr="00DC3460">
        <w:t>)(</w:t>
      </w:r>
      <w:proofErr w:type="gramEnd"/>
      <w:r w:rsidR="00D1503A" w:rsidRPr="00DC3460">
        <w:t xml:space="preserve">b) of the </w:t>
      </w:r>
      <w:r w:rsidR="00D1503A" w:rsidRPr="00DC3460">
        <w:rPr>
          <w:i/>
        </w:rPr>
        <w:t>Public Governance, Performance and Accountability Act 2013</w:t>
      </w:r>
      <w:r w:rsidR="00D1503A" w:rsidRPr="00DC3460">
        <w:t>.</w:t>
      </w:r>
      <w:r w:rsidR="00D1503A">
        <w:t xml:space="preserve"> </w:t>
      </w:r>
    </w:p>
    <w:p w:rsidR="00702859" w:rsidRPr="001C36EF" w:rsidRDefault="0075510C" w:rsidP="00B36F78">
      <w:pPr>
        <w:pStyle w:val="Charttitle"/>
      </w:pPr>
      <w:r w:rsidRPr="001C36EF">
        <w:t>Rod Sims, Chair</w:t>
      </w:r>
      <w:r w:rsidR="00D1503A" w:rsidRPr="001C36EF">
        <w:t xml:space="preserve"> of the ACCC</w:t>
      </w:r>
    </w:p>
    <w:p w:rsidR="0075510C" w:rsidRDefault="00DC3460" w:rsidP="00DC3460">
      <w:pPr>
        <w:pStyle w:val="Heading2"/>
      </w:pPr>
      <w:r w:rsidRPr="005432E2">
        <w:t>Message from the AER Chair</w:t>
      </w:r>
    </w:p>
    <w:p w:rsidR="006E422A" w:rsidRPr="006E422A" w:rsidRDefault="006E422A" w:rsidP="006E422A">
      <w:r w:rsidRPr="006E422A">
        <w:t>The work of the AER encompasses oversight of wholesale and retail electricity and gas markets and regulation of energy network infrastructure. In carrying out its functions, the AER is directed by the objectives of national energy legislation: to promote efficient investment in, and efficient operation and use of, energy services for the long term interests of energy consumers with respect to price, quality, safety, reliability and security of supply.</w:t>
      </w:r>
    </w:p>
    <w:p w:rsidR="006E422A" w:rsidRPr="006E422A" w:rsidRDefault="006E422A" w:rsidP="006E422A">
      <w:r w:rsidRPr="006E422A">
        <w:t xml:space="preserve">One of our key functions is to regulate energy networks that transport energy to consumers (electricity poles and wires and gas pipelines) in accordance with energy laws and the National Electricity and Gas Rules. There have been significant reforms to energy network </w:t>
      </w:r>
      <w:r w:rsidRPr="006E422A">
        <w:lastRenderedPageBreak/>
        <w:t xml:space="preserve">regulation in the last few years to promote these objectives. We published the Better Regulation network guidelines in 2013 to explain how we will apply the new energy reforms. </w:t>
      </w:r>
    </w:p>
    <w:p w:rsidR="006E422A" w:rsidRPr="006E422A" w:rsidRDefault="006E422A" w:rsidP="006E422A">
      <w:r w:rsidRPr="006E422A">
        <w:t xml:space="preserve">We have just completed the first </w:t>
      </w:r>
      <w:r w:rsidR="002462C9">
        <w:t xml:space="preserve">revenue review </w:t>
      </w:r>
      <w:r w:rsidRPr="006E422A">
        <w:t>reset processes to incorporate the Better Regul</w:t>
      </w:r>
      <w:r w:rsidR="002462C9">
        <w:t>ation guidelines and also for t</w:t>
      </w:r>
      <w:r w:rsidRPr="006E422A">
        <w:t xml:space="preserve">he first time the AER’s Consumer Challenge Panel (CCP) has been involved to ensure decisions on network costs properly incorporate consumers’ interests. </w:t>
      </w:r>
      <w:r w:rsidR="00F24A0B">
        <w:t xml:space="preserve">We are also preparing for the application of the National Electricity Law in the Northern Territory. </w:t>
      </w:r>
    </w:p>
    <w:p w:rsidR="006E422A" w:rsidRPr="006E422A" w:rsidRDefault="006E422A" w:rsidP="006E422A">
      <w:r w:rsidRPr="006E422A">
        <w:t xml:space="preserve">In retail markets we will be supporting the </w:t>
      </w:r>
      <w:r w:rsidR="00816277">
        <w:t xml:space="preserve">application </w:t>
      </w:r>
      <w:r w:rsidRPr="006E422A">
        <w:t xml:space="preserve">of the National Energy Retail Law in Queensland </w:t>
      </w:r>
      <w:r w:rsidR="002462C9">
        <w:t xml:space="preserve">which </w:t>
      </w:r>
      <w:r w:rsidR="00F24A0B">
        <w:t>will begin</w:t>
      </w:r>
      <w:r w:rsidR="002462C9">
        <w:t xml:space="preserve"> </w:t>
      </w:r>
      <w:r w:rsidR="00A817A5">
        <w:t>on 1 July 2015.</w:t>
      </w:r>
      <w:r w:rsidRPr="006E422A">
        <w:t xml:space="preserve"> We will focus on building consumer confidence in retail energy markets through our compliance and enforcement programs, engagement with customer groups and refinements to the Energy Made Easy website.</w:t>
      </w:r>
    </w:p>
    <w:p w:rsidR="006E422A" w:rsidRPr="006E422A" w:rsidRDefault="006E422A" w:rsidP="006E422A">
      <w:r w:rsidRPr="006E422A">
        <w:t xml:space="preserve">Our ongoing work program covers the regulation of annual charges and reporting of the efficiency of energy networks; monitoring compliance and reporting on performance in retail and wholesale energy markets and other publications on the state of the energy market. These wider ongoing functions remain critically important and continue to account for a significant portion of our strategic analysis and operating activity. The experience and intelligence we develop while undertaking these functions allows us to contribute to policy development and the efficient operation of energy markets. </w:t>
      </w:r>
    </w:p>
    <w:p w:rsidR="00E4677D" w:rsidRDefault="0075510C" w:rsidP="00191E89">
      <w:pPr>
        <w:pStyle w:val="Charttitle"/>
      </w:pPr>
      <w:r w:rsidRPr="005432E2">
        <w:t xml:space="preserve">Paula </w:t>
      </w:r>
      <w:proofErr w:type="spellStart"/>
      <w:r w:rsidRPr="005432E2">
        <w:t>Conb</w:t>
      </w:r>
      <w:r w:rsidR="001C0AA7" w:rsidRPr="005432E2">
        <w:t>o</w:t>
      </w:r>
      <w:r w:rsidRPr="005432E2">
        <w:t>y</w:t>
      </w:r>
      <w:proofErr w:type="spellEnd"/>
      <w:r w:rsidRPr="005432E2">
        <w:t>, Chair of the AER</w:t>
      </w:r>
    </w:p>
    <w:p w:rsidR="00AC32F7" w:rsidRDefault="00AC32F7" w:rsidP="00AC32F7">
      <w:pPr>
        <w:pStyle w:val="Heading2"/>
      </w:pPr>
      <w:r>
        <w:t>Our values</w:t>
      </w:r>
    </w:p>
    <w:p w:rsidR="00AC32F7" w:rsidRDefault="00AC32F7" w:rsidP="00AC32F7">
      <w:r>
        <w:t>We appreciate and uphold the APS Values of Impartial, Committed to service, Accountable, Respectful and Ethical (ICARE), and hold these additional complementary values as unique and meaningful to our work.</w:t>
      </w:r>
    </w:p>
    <w:p w:rsidR="00AC32F7" w:rsidRDefault="00AC32F7" w:rsidP="00AC32F7">
      <w:r w:rsidRPr="00D10244">
        <w:rPr>
          <w:b/>
          <w:color w:val="DC5034" w:themeColor="accent6"/>
        </w:rPr>
        <w:t>Independent:</w:t>
      </w:r>
      <w:r>
        <w:t xml:space="preserve"> We pursue the interests of the Australian community, objectively and transparently. </w:t>
      </w:r>
    </w:p>
    <w:p w:rsidR="00AC32F7" w:rsidRDefault="00AC32F7" w:rsidP="00AC32F7">
      <w:r w:rsidRPr="00D10244">
        <w:rPr>
          <w:b/>
          <w:color w:val="DC5034" w:themeColor="accent6"/>
        </w:rPr>
        <w:t xml:space="preserve">Expert: </w:t>
      </w:r>
      <w:r>
        <w:t xml:space="preserve">We make timely decisions based on evidence and rigorous analysis. </w:t>
      </w:r>
    </w:p>
    <w:p w:rsidR="00AC32F7" w:rsidRDefault="00AC32F7" w:rsidP="00AC32F7">
      <w:r w:rsidRPr="00D10244">
        <w:rPr>
          <w:b/>
          <w:color w:val="DC5034" w:themeColor="accent6"/>
        </w:rPr>
        <w:t>Strategic:</w:t>
      </w:r>
      <w:r>
        <w:t xml:space="preserve"> We make best use of our resources by taking considered and targeted action. </w:t>
      </w:r>
    </w:p>
    <w:p w:rsidR="00AC32F7" w:rsidRDefault="00AC32F7" w:rsidP="00AC32F7">
      <w:r w:rsidRPr="00D10244">
        <w:rPr>
          <w:b/>
          <w:color w:val="DC5034" w:themeColor="accent6"/>
        </w:rPr>
        <w:t xml:space="preserve">Trustworthy: </w:t>
      </w:r>
      <w:r>
        <w:t>We communicate honestly and directly and act respectfully.</w:t>
      </w:r>
    </w:p>
    <w:p w:rsidR="00702859" w:rsidRDefault="00D1503A" w:rsidP="00B36F78">
      <w:pPr>
        <w:pStyle w:val="Numbered1"/>
      </w:pPr>
      <w:r w:rsidRPr="00702859">
        <w:t>Purpose</w:t>
      </w:r>
      <w:r w:rsidR="00495F34">
        <w:t>s</w:t>
      </w:r>
    </w:p>
    <w:p w:rsidR="00B0572A" w:rsidRDefault="00B0572A" w:rsidP="00B36F78">
      <w:r w:rsidRPr="00B0572A">
        <w:t>Competitive markets increase the prosperity and welfare of Australian consumers. Our role is to protect, strengthen and supplement the way competition works in Australian markets and industries to improve the efficiency of the economy and to increase the welfare of Australians.</w:t>
      </w:r>
    </w:p>
    <w:p w:rsidR="00B0572A" w:rsidRDefault="00B0572A" w:rsidP="00B36F78">
      <w:r w:rsidRPr="00B0572A">
        <w:t>This means we will take action where this improves consumer welfare, protects competition or stops conduct that is anti-competitive or harmful to consumers, and promotes the proper functioning of Australian markets.</w:t>
      </w:r>
    </w:p>
    <w:p w:rsidR="007A4314" w:rsidRDefault="007A4314" w:rsidP="00B36F78">
      <w:r>
        <w:t>During the period</w:t>
      </w:r>
      <w:r w:rsidR="00094011">
        <w:t xml:space="preserve"> from</w:t>
      </w:r>
      <w:r>
        <w:t xml:space="preserve"> </w:t>
      </w:r>
      <w:r w:rsidR="00A817A5">
        <w:t>2015–16</w:t>
      </w:r>
      <w:r>
        <w:t xml:space="preserve"> to </w:t>
      </w:r>
      <w:r w:rsidR="00A817A5">
        <w:t>2018–19</w:t>
      </w:r>
      <w:r>
        <w:t>, the key strategies the ACCC and AER will pursue are:</w:t>
      </w:r>
    </w:p>
    <w:p w:rsidR="007A4314" w:rsidRDefault="007A4314" w:rsidP="00B36F78">
      <w:pPr>
        <w:pStyle w:val="Bulletpoint"/>
      </w:pPr>
      <w:r>
        <w:t xml:space="preserve">maintain and promote competition </w:t>
      </w:r>
    </w:p>
    <w:p w:rsidR="007A4314" w:rsidRDefault="007A4314" w:rsidP="00B36F78">
      <w:pPr>
        <w:pStyle w:val="Bulletpoint"/>
      </w:pPr>
      <w:r>
        <w:t>protect the interests and safety of consumers, and support fair trading in markets affecting consumers and small business</w:t>
      </w:r>
    </w:p>
    <w:p w:rsidR="007A4314" w:rsidRDefault="007A4314" w:rsidP="00B36F78">
      <w:pPr>
        <w:pStyle w:val="Bulletpoint"/>
      </w:pPr>
      <w:r>
        <w:lastRenderedPageBreak/>
        <w:t>promote the economically efficient operation of, use of, and investment in infrastructure; and</w:t>
      </w:r>
      <w:r w:rsidR="005F16A1">
        <w:t xml:space="preserve"> identify </w:t>
      </w:r>
      <w:r>
        <w:t>market failure, and</w:t>
      </w:r>
    </w:p>
    <w:p w:rsidR="007A4314" w:rsidRPr="00D01DBD" w:rsidRDefault="007A4314" w:rsidP="00B36F78">
      <w:pPr>
        <w:pStyle w:val="Bulletpoint"/>
      </w:pPr>
      <w:proofErr w:type="gramStart"/>
      <w:r>
        <w:t>promote</w:t>
      </w:r>
      <w:proofErr w:type="gramEnd"/>
      <w:r>
        <w:t xml:space="preserve"> efficient investment in, and efficient operation and use of, energy services for the long term interests of consumers with respect to price, quality, safety, reliability and security.</w:t>
      </w:r>
    </w:p>
    <w:p w:rsidR="00D01DBD" w:rsidRDefault="00D01DBD" w:rsidP="00D01DBD">
      <w:r w:rsidRPr="00D01DBD">
        <w:t xml:space="preserve">As Australia’s peak consumer protection and competition agency, the ACCC has a number of enduring compliance and enforcement priorities: </w:t>
      </w:r>
    </w:p>
    <w:p w:rsidR="00D01DBD" w:rsidRDefault="00D01DBD" w:rsidP="00B36F78">
      <w:pPr>
        <w:pStyle w:val="Bulletpoint"/>
      </w:pPr>
      <w:r>
        <w:t>cartel conduct</w:t>
      </w:r>
      <w:r w:rsidRPr="00D01DBD">
        <w:t xml:space="preserve"> </w:t>
      </w:r>
    </w:p>
    <w:p w:rsidR="00D01DBD" w:rsidRDefault="00754315" w:rsidP="00B36F78">
      <w:pPr>
        <w:pStyle w:val="Bulletpoint"/>
      </w:pPr>
      <w:r>
        <w:t xml:space="preserve">anti-competitive </w:t>
      </w:r>
      <w:r w:rsidR="00D01DBD" w:rsidRPr="00D01DBD">
        <w:t>agreements</w:t>
      </w:r>
      <w:r>
        <w:t xml:space="preserve"> and practices, and</w:t>
      </w:r>
      <w:r w:rsidR="00D01DBD" w:rsidRPr="00D01DBD">
        <w:t xml:space="preserve"> </w:t>
      </w:r>
    </w:p>
    <w:p w:rsidR="00D01DBD" w:rsidRDefault="00D01DBD" w:rsidP="00B36F78">
      <w:pPr>
        <w:pStyle w:val="Bulletpoint"/>
      </w:pPr>
      <w:proofErr w:type="gramStart"/>
      <w:r>
        <w:t>the</w:t>
      </w:r>
      <w:proofErr w:type="gramEnd"/>
      <w:r>
        <w:t xml:space="preserve"> misuse of market power</w:t>
      </w:r>
      <w:r w:rsidR="00754315">
        <w:t>.</w:t>
      </w:r>
      <w:r w:rsidRPr="00D01DBD">
        <w:t xml:space="preserve"> </w:t>
      </w:r>
    </w:p>
    <w:p w:rsidR="00876C47" w:rsidRDefault="00876C47" w:rsidP="005862D3">
      <w:pPr>
        <w:rPr>
          <w:lang w:val="en-GB"/>
        </w:rPr>
      </w:pPr>
      <w:r w:rsidRPr="00450CC9">
        <w:rPr>
          <w:lang w:val="en-GB"/>
        </w:rPr>
        <w:t xml:space="preserve">The ACCC will also always prioritise the assessment of product safety issues which have the potential to cause serious harm to consumers. </w:t>
      </w:r>
      <w:r w:rsidRPr="00C7109E" w:rsidDel="006E51A3">
        <w:rPr>
          <w:lang w:val="en-GB"/>
        </w:rPr>
        <w:t xml:space="preserve"> </w:t>
      </w:r>
    </w:p>
    <w:p w:rsidR="00D01BBF" w:rsidRDefault="00D01BBF" w:rsidP="00B36F78">
      <w:r w:rsidRPr="00D01BBF">
        <w:t xml:space="preserve">The ACCC cannot pursue all the complaints it receives or matters that come to its attention and rarely becomes involved in individual disputes. While considering </w:t>
      </w:r>
      <w:r>
        <w:t>all matter</w:t>
      </w:r>
      <w:r w:rsidR="00F011DD">
        <w:t>s</w:t>
      </w:r>
      <w:r>
        <w:t xml:space="preserve"> carefully, the ACCC</w:t>
      </w:r>
      <w:r w:rsidRPr="00D01BBF">
        <w:t xml:space="preserve"> seeks to focus its compliance and enforcement activities on those circumstances that will, or have the potential to, harm the competitive process or result in widespread consumer detriment. The ACCC therefore exercises its discretion to direct resources to the investigation and resolution of matters that provide the greatest overall benefit for competition and consumers including through focused enforcement actions which deliver broader deterrence and compliance effect</w:t>
      </w:r>
      <w:r w:rsidR="00F011DD">
        <w:t>s</w:t>
      </w:r>
      <w:r w:rsidRPr="00D01BBF">
        <w:t xml:space="preserve"> across industries and the economy.</w:t>
      </w:r>
    </w:p>
    <w:p w:rsidR="00D01DBD" w:rsidRPr="00D01DBD" w:rsidRDefault="0075510C" w:rsidP="00B36F78">
      <w:r>
        <w:t>The</w:t>
      </w:r>
      <w:r w:rsidR="00D01DBD">
        <w:t xml:space="preserve"> ACCC</w:t>
      </w:r>
      <w:r>
        <w:t xml:space="preserve"> will </w:t>
      </w:r>
      <w:r w:rsidR="000A1E5C">
        <w:t xml:space="preserve">continue to </w:t>
      </w:r>
      <w:r>
        <w:t>publish its</w:t>
      </w:r>
      <w:r w:rsidR="00D01DBD">
        <w:t xml:space="preserve"> </w:t>
      </w:r>
      <w:r w:rsidR="00D01DBD">
        <w:rPr>
          <w:i/>
        </w:rPr>
        <w:t>Compliance and Enforcement Policy</w:t>
      </w:r>
      <w:r>
        <w:rPr>
          <w:i/>
        </w:rPr>
        <w:t xml:space="preserve"> </w:t>
      </w:r>
      <w:r>
        <w:t>annually, which</w:t>
      </w:r>
      <w:r w:rsidR="00D01DBD">
        <w:rPr>
          <w:i/>
        </w:rPr>
        <w:t xml:space="preserve"> </w:t>
      </w:r>
      <w:r w:rsidR="00D01DBD">
        <w:t>outlines its key priorities</w:t>
      </w:r>
      <w:r w:rsidR="00D01BBF">
        <w:t>, priority factors</w:t>
      </w:r>
      <w:r w:rsidR="00D01DBD">
        <w:t xml:space="preserve"> and strategies to achieve compliance with </w:t>
      </w:r>
      <w:r w:rsidR="002646F8">
        <w:t>competition and consumer</w:t>
      </w:r>
      <w:r w:rsidR="00D01DBD">
        <w:t xml:space="preserve"> law. </w:t>
      </w:r>
    </w:p>
    <w:p w:rsidR="00D01DBD" w:rsidRPr="00D01DBD" w:rsidRDefault="00D01DBD" w:rsidP="00B36F78">
      <w:r w:rsidRPr="00D01DBD">
        <w:t>The ACCC will continue to assess and review mergers to prevent structural changes that substantially lessen competition with a particular focus on concentrated markets and</w:t>
      </w:r>
      <w:r w:rsidR="007C171D">
        <w:t xml:space="preserve"> in the near term</w:t>
      </w:r>
      <w:r w:rsidRPr="00D01DBD">
        <w:t xml:space="preserve"> proposed acquisitions arising through privatisation of public sector assets.</w:t>
      </w:r>
    </w:p>
    <w:p w:rsidR="00D01DBD" w:rsidRPr="00D01DBD" w:rsidRDefault="00D01DBD" w:rsidP="00B36F78">
      <w:r w:rsidRPr="00D01DBD">
        <w:t>The ACCC will</w:t>
      </w:r>
      <w:r w:rsidR="00345615">
        <w:t xml:space="preserve"> also</w:t>
      </w:r>
      <w:r w:rsidRPr="00D01DBD">
        <w:t xml:space="preserve"> continue to assess and make decisions about applications for authorisation and notification of certain anti-competitive conduct evaluating if such arrangements or conduct may result in a net public benefit and warrant exemption from the </w:t>
      </w:r>
      <w:r w:rsidR="004B2134">
        <w:t>Competition and Consumer Act</w:t>
      </w:r>
      <w:r w:rsidRPr="00D01DBD">
        <w:t>.</w:t>
      </w:r>
    </w:p>
    <w:p w:rsidR="00D01DBD" w:rsidRPr="00D01DBD" w:rsidRDefault="006868BC" w:rsidP="00B36F78">
      <w:r>
        <w:t>In addition to consumer protection and competition</w:t>
      </w:r>
      <w:r w:rsidR="00CD27E9">
        <w:t xml:space="preserve"> responsibilities, t</w:t>
      </w:r>
      <w:r w:rsidR="00D01DBD" w:rsidRPr="00D01DBD">
        <w:t>he ACCC is the national regulator of natural monopoly infrastructure facilities in communication, bulk water, post and transport industries (energy sector regulation is undertaken by the AER). Fostering efficient infrastructure provision through industry specific regulation and access conditions</w:t>
      </w:r>
      <w:r w:rsidR="00A817A5">
        <w:t>—</w:t>
      </w:r>
      <w:r w:rsidR="00D01DBD" w:rsidRPr="00D01DBD">
        <w:t>under the umbrella of the long term interest of end users</w:t>
      </w:r>
      <w:r w:rsidR="00A817A5">
        <w:t>—</w:t>
      </w:r>
      <w:r w:rsidR="00D01DBD" w:rsidRPr="00D01DBD">
        <w:t>is the major focus of the economic regulatory role. Access conditions that promote competition in upstream and downstream markets can increase the efficiency and productivity of the overall economy.</w:t>
      </w:r>
    </w:p>
    <w:p w:rsidR="002462C9" w:rsidRDefault="007A4314" w:rsidP="00B36F78">
      <w:r w:rsidRPr="00A058D6">
        <w:t>The AER regulates energy markets and networks under national energy market legislation and rules.</w:t>
      </w:r>
      <w:r w:rsidR="006E422A" w:rsidRPr="006E422A">
        <w:t xml:space="preserve"> The AER has a diverse work program that is directed by the objectives of national energy legislation: to promote efficient investment in, and efficient operation and use of, energy services for the long term interests of energy consumers with respect to price, quality, safety, reliability and security of supply.</w:t>
      </w:r>
      <w:r w:rsidRPr="00A058D6">
        <w:t xml:space="preserve"> </w:t>
      </w:r>
    </w:p>
    <w:p w:rsidR="007A4314" w:rsidRPr="00A058D6" w:rsidRDefault="002462C9" w:rsidP="00B36F78">
      <w:r>
        <w:t xml:space="preserve">The AER’s </w:t>
      </w:r>
      <w:r w:rsidR="007A4314" w:rsidRPr="00A058D6">
        <w:t>functions, which mostly relate to energy markets in eastern and southern Australia, include:</w:t>
      </w:r>
    </w:p>
    <w:p w:rsidR="007A4314" w:rsidRPr="00A058D6" w:rsidRDefault="007A4314" w:rsidP="00B36F78">
      <w:pPr>
        <w:pStyle w:val="Bulletpoint"/>
      </w:pPr>
      <w:r w:rsidRPr="00A058D6">
        <w:t>monitoring wholesale electricity and gas markets</w:t>
      </w:r>
      <w:r w:rsidR="002462C9" w:rsidRPr="002462C9">
        <w:rPr>
          <w:rFonts w:cstheme="minorBidi"/>
        </w:rPr>
        <w:t xml:space="preserve"> </w:t>
      </w:r>
      <w:r w:rsidR="002462C9" w:rsidRPr="002462C9">
        <w:t>to ensure energy businesses comply with the legislation and rules, and taking enforcement action where necessary</w:t>
      </w:r>
    </w:p>
    <w:p w:rsidR="007A4314" w:rsidRPr="00A058D6" w:rsidRDefault="007A4314" w:rsidP="00B36F78">
      <w:pPr>
        <w:pStyle w:val="Bulletpoint"/>
      </w:pPr>
      <w:r w:rsidRPr="00A058D6">
        <w:lastRenderedPageBreak/>
        <w:t>setting the prices charged for using energy networks (electricity poles and wires and gas pipelines) to transport energy to customers</w:t>
      </w:r>
    </w:p>
    <w:p w:rsidR="00D13983" w:rsidRDefault="007A4314" w:rsidP="00D13983">
      <w:pPr>
        <w:pStyle w:val="Bulletpoint"/>
      </w:pPr>
      <w:r w:rsidRPr="00A058D6">
        <w:t xml:space="preserve">regulating retail energy markets in </w:t>
      </w:r>
      <w:r w:rsidR="002462C9">
        <w:t xml:space="preserve">Queensland, </w:t>
      </w:r>
      <w:r w:rsidRPr="00A058D6">
        <w:t>the A</w:t>
      </w:r>
      <w:r w:rsidR="006868BC">
        <w:t xml:space="preserve">ustralian </w:t>
      </w:r>
      <w:r w:rsidRPr="00A058D6">
        <w:t>C</w:t>
      </w:r>
      <w:r w:rsidR="006868BC">
        <w:t xml:space="preserve">apital </w:t>
      </w:r>
      <w:r w:rsidRPr="00A058D6">
        <w:t>T</w:t>
      </w:r>
      <w:r w:rsidR="006868BC">
        <w:t>erritory</w:t>
      </w:r>
      <w:r w:rsidRPr="00A058D6">
        <w:t>, South Australia, Tasmania (electricity only) and New South Wales,</w:t>
      </w:r>
      <w:r w:rsidR="00D13983" w:rsidRPr="00D13983">
        <w:t xml:space="preserve"> </w:t>
      </w:r>
    </w:p>
    <w:p w:rsidR="00D13983" w:rsidRPr="00D13983" w:rsidRDefault="00D13983" w:rsidP="00D13983">
      <w:pPr>
        <w:pStyle w:val="Bulletpoint"/>
      </w:pPr>
      <w:r w:rsidRPr="00D13983">
        <w:t xml:space="preserve">operating the Energy Made Easy website, which provides a retail price comparator and other information for energy consumers and </w:t>
      </w:r>
    </w:p>
    <w:p w:rsidR="00D13983" w:rsidRPr="00D13983" w:rsidRDefault="00D13983" w:rsidP="00D13983">
      <w:pPr>
        <w:pStyle w:val="Bulletpoint"/>
      </w:pPr>
      <w:proofErr w:type="gramStart"/>
      <w:r w:rsidRPr="00D13983">
        <w:t>publishing</w:t>
      </w:r>
      <w:proofErr w:type="gramEnd"/>
      <w:r w:rsidRPr="00D13983">
        <w:t xml:space="preserve"> information on energy markets, including the annual </w:t>
      </w:r>
      <w:r w:rsidRPr="00D13983">
        <w:rPr>
          <w:i/>
          <w:iCs/>
        </w:rPr>
        <w:t>State of the energy market</w:t>
      </w:r>
      <w:r w:rsidRPr="00D13983">
        <w:t xml:space="preserve"> report, to assist participants and the wider community.</w:t>
      </w:r>
    </w:p>
    <w:p w:rsidR="007A4314" w:rsidRPr="00A058D6" w:rsidRDefault="002462C9" w:rsidP="002462C9">
      <w:pPr>
        <w:pStyle w:val="Bulletpoint"/>
        <w:numPr>
          <w:ilvl w:val="0"/>
          <w:numId w:val="0"/>
        </w:numPr>
      </w:pPr>
      <w:r>
        <w:t xml:space="preserve">The AER also </w:t>
      </w:r>
      <w:r w:rsidRPr="00A058D6">
        <w:t>assist</w:t>
      </w:r>
      <w:r>
        <w:t xml:space="preserve">s </w:t>
      </w:r>
      <w:r w:rsidR="007A4314" w:rsidRPr="00A058D6">
        <w:t>the ACCC with energy-related issues arising under the C</w:t>
      </w:r>
      <w:r w:rsidR="004B2134">
        <w:t xml:space="preserve">ompetition and </w:t>
      </w:r>
      <w:r w:rsidR="007A4314" w:rsidRPr="00A058D6">
        <w:t>C</w:t>
      </w:r>
      <w:r w:rsidR="004B2134">
        <w:t xml:space="preserve">onsumer </w:t>
      </w:r>
      <w:r w:rsidR="007A4314" w:rsidRPr="00A058D6">
        <w:t>A</w:t>
      </w:r>
      <w:r w:rsidR="004B2134">
        <w:t>ct</w:t>
      </w:r>
      <w:r w:rsidR="007A4314" w:rsidRPr="00A058D6">
        <w:t>, including enforcement, mergers and authorisations.</w:t>
      </w:r>
    </w:p>
    <w:p w:rsidR="00702859" w:rsidRDefault="00D1503A" w:rsidP="00B36F78">
      <w:pPr>
        <w:pStyle w:val="Numbered1"/>
      </w:pPr>
      <w:r w:rsidRPr="00702859">
        <w:t>Environment</w:t>
      </w:r>
    </w:p>
    <w:p w:rsidR="00906200" w:rsidRDefault="00C907AE" w:rsidP="00B36F78">
      <w:r>
        <w:t>Our</w:t>
      </w:r>
      <w:r w:rsidR="00A103E4">
        <w:t xml:space="preserve"> </w:t>
      </w:r>
      <w:r w:rsidR="00F011DD">
        <w:t xml:space="preserve">agency </w:t>
      </w:r>
      <w:r w:rsidR="00282287">
        <w:t>operate</w:t>
      </w:r>
      <w:r w:rsidR="00F011DD">
        <w:t>s</w:t>
      </w:r>
      <w:r w:rsidR="00282287">
        <w:t xml:space="preserve"> in a complex and </w:t>
      </w:r>
      <w:r w:rsidR="000A1E5C">
        <w:t xml:space="preserve">constantly </w:t>
      </w:r>
      <w:r w:rsidR="00282287">
        <w:t>evolving</w:t>
      </w:r>
      <w:r w:rsidR="00A103E4">
        <w:t xml:space="preserve"> economy-wide environment. This requires us to remain abreast of best</w:t>
      </w:r>
      <w:r w:rsidR="00191183">
        <w:t xml:space="preserve"> internation</w:t>
      </w:r>
      <w:r w:rsidR="00BB5BA6">
        <w:t xml:space="preserve">al </w:t>
      </w:r>
      <w:r w:rsidR="00191183">
        <w:t>practice</w:t>
      </w:r>
      <w:r w:rsidR="00BB5BA6">
        <w:t xml:space="preserve"> in regulation</w:t>
      </w:r>
      <w:r w:rsidR="00A103E4">
        <w:t>, and the associated legal and economic fields.</w:t>
      </w:r>
      <w:r w:rsidR="00AC6C55">
        <w:t xml:space="preserve"> We also maintain</w:t>
      </w:r>
      <w:r w:rsidR="00AC6C55" w:rsidRPr="00AC6C55">
        <w:t xml:space="preserve"> cl</w:t>
      </w:r>
      <w:r w:rsidR="00AC6C55">
        <w:t>ose ties with Commonwealth and state and territory agencies and our</w:t>
      </w:r>
      <w:r w:rsidR="00AC6C55" w:rsidRPr="00AC6C55">
        <w:t xml:space="preserve"> overseas counterparts</w:t>
      </w:r>
      <w:r w:rsidR="00195BD5">
        <w:t xml:space="preserve"> to ensure we understand the inte</w:t>
      </w:r>
      <w:r w:rsidR="009A630A">
        <w:t>rnational and local contexts</w:t>
      </w:r>
      <w:r w:rsidR="00195BD5">
        <w:t xml:space="preserve"> we are operating in</w:t>
      </w:r>
      <w:r w:rsidR="00AC6C55" w:rsidRPr="00AC6C55">
        <w:t>.</w:t>
      </w:r>
      <w:r w:rsidR="00906200">
        <w:t xml:space="preserve"> </w:t>
      </w:r>
    </w:p>
    <w:p w:rsidR="00A103E4" w:rsidRPr="00A103E4" w:rsidRDefault="00906200" w:rsidP="00B36F78">
      <w:r>
        <w:t xml:space="preserve">Below are some of the key environmental factors </w:t>
      </w:r>
      <w:r w:rsidR="008E17FE">
        <w:t>that will</w:t>
      </w:r>
      <w:r>
        <w:t xml:space="preserve"> influence the way we operate over the next four years. </w:t>
      </w:r>
    </w:p>
    <w:p w:rsidR="00495F34" w:rsidRDefault="00A103E4" w:rsidP="00B36F78">
      <w:pPr>
        <w:pStyle w:val="Heading2"/>
      </w:pPr>
      <w:r>
        <w:t xml:space="preserve">Being responsive </w:t>
      </w:r>
      <w:r w:rsidR="00EC6DF2">
        <w:t>to changes to the competition law framework</w:t>
      </w:r>
    </w:p>
    <w:p w:rsidR="000B4EA5" w:rsidRDefault="000B4EA5" w:rsidP="00B36F78">
      <w:r>
        <w:t xml:space="preserve">The Australian competition law </w:t>
      </w:r>
      <w:r w:rsidR="00F07682">
        <w:t>framework could</w:t>
      </w:r>
      <w:r>
        <w:t xml:space="preserve"> change over the next four years, as a result of the recommendations of the recently completed Competition Policy Review. Any changes</w:t>
      </w:r>
      <w:r w:rsidR="009E0AF2">
        <w:t xml:space="preserve"> will</w:t>
      </w:r>
      <w:r>
        <w:t xml:space="preserve"> obviously have implications for the way in which </w:t>
      </w:r>
      <w:r w:rsidR="006763D3">
        <w:t>the ACCC and AER</w:t>
      </w:r>
      <w:r w:rsidR="009E0AF2">
        <w:t xml:space="preserve"> undertake our </w:t>
      </w:r>
      <w:r>
        <w:t>responsibilities in the Australian economy.</w:t>
      </w:r>
    </w:p>
    <w:p w:rsidR="000B4EA5" w:rsidRDefault="00041B1B" w:rsidP="00B36F78">
      <w:r>
        <w:t>On 31 March 2015, the Competition Policy Review</w:t>
      </w:r>
      <w:r w:rsidR="000B4EA5">
        <w:t xml:space="preserve"> Panel’s final r</w:t>
      </w:r>
      <w:r>
        <w:t>eport was released. The review panel, chaired by Professor Ian Harper, undertook a stocktake of the competition policy framework across the Australian economy.</w:t>
      </w:r>
      <w:r w:rsidR="000D714B">
        <w:t xml:space="preserve"> </w:t>
      </w:r>
    </w:p>
    <w:p w:rsidR="00FE73E7" w:rsidRDefault="00A628A5" w:rsidP="00B36F78">
      <w:r>
        <w:t xml:space="preserve">The </w:t>
      </w:r>
      <w:r w:rsidR="00552BAA">
        <w:t>agency</w:t>
      </w:r>
      <w:r w:rsidR="007B4BFD">
        <w:t xml:space="preserve"> </w:t>
      </w:r>
      <w:r>
        <w:t>actively engaged</w:t>
      </w:r>
      <w:r w:rsidR="00FE73E7">
        <w:t xml:space="preserve"> with the review panel during</w:t>
      </w:r>
      <w:r>
        <w:t xml:space="preserve"> the consultation process</w:t>
      </w:r>
      <w:r w:rsidR="00FE73E7">
        <w:t xml:space="preserve">, providing detailed submissions that outlined suggestions on how Australia’s competition policy could be reinvigorated. </w:t>
      </w:r>
    </w:p>
    <w:p w:rsidR="00041B1B" w:rsidRDefault="00567967" w:rsidP="00B36F78">
      <w:r>
        <w:t>T</w:t>
      </w:r>
      <w:r w:rsidR="007F31E3">
        <w:t>he final r</w:t>
      </w:r>
      <w:r w:rsidR="000D714B">
        <w:t>eport</w:t>
      </w:r>
      <w:r w:rsidR="000D714B" w:rsidRPr="000D714B">
        <w:t xml:space="preserve"> sets out many pro-competitive reforms which, if adopted, could significantly enhance economic productivity over the years ahead</w:t>
      </w:r>
      <w:r w:rsidR="000D714B">
        <w:t>.</w:t>
      </w:r>
    </w:p>
    <w:p w:rsidR="00041B1B" w:rsidRDefault="000D714B" w:rsidP="00B36F78">
      <w:r w:rsidRPr="000D714B">
        <w:t xml:space="preserve">A full response from the Government will be formulated in the second half of 2015 with the view to engaging </w:t>
      </w:r>
      <w:r w:rsidR="00A817A5">
        <w:t>states and t</w:t>
      </w:r>
      <w:r w:rsidRPr="000D714B">
        <w:t>erritories in this area of co-regulation to develop a response action plan by the end of the year.</w:t>
      </w:r>
    </w:p>
    <w:p w:rsidR="00FE73E7" w:rsidRDefault="00FE73E7" w:rsidP="00B36F78">
      <w:r>
        <w:t>The ACCC</w:t>
      </w:r>
      <w:r w:rsidR="00103B8A">
        <w:t xml:space="preserve"> and the AER</w:t>
      </w:r>
      <w:r>
        <w:t xml:space="preserve"> will work constructively with the Government while it develops its response action plan</w:t>
      </w:r>
      <w:r w:rsidR="008E17FE">
        <w:t>, and then</w:t>
      </w:r>
      <w:r w:rsidR="000A57AF">
        <w:t xml:space="preserve"> during the implementation stage</w:t>
      </w:r>
      <w:r>
        <w:t>.</w:t>
      </w:r>
    </w:p>
    <w:p w:rsidR="001664B9" w:rsidRDefault="003731F6" w:rsidP="001664B9">
      <w:pPr>
        <w:pStyle w:val="Heading2"/>
      </w:pPr>
      <w:r>
        <w:t>Review of</w:t>
      </w:r>
      <w:r w:rsidR="001664B9">
        <w:t xml:space="preserve"> the Australian Consumer Law</w:t>
      </w:r>
      <w:r>
        <w:t xml:space="preserve"> on the horizon</w:t>
      </w:r>
    </w:p>
    <w:p w:rsidR="002B7E25" w:rsidRDefault="00B85F39" w:rsidP="003731F6">
      <w:r w:rsidRPr="00B85F39">
        <w:t>On 1 January 2011</w:t>
      </w:r>
      <w:r>
        <w:t>,</w:t>
      </w:r>
      <w:r w:rsidRPr="00B85F39">
        <w:t xml:space="preserve"> the Australian Consumer Law (ACL) commenced.</w:t>
      </w:r>
      <w:r>
        <w:t xml:space="preserve"> </w:t>
      </w:r>
      <w:r w:rsidRPr="00B85F39">
        <w:t>The ACL</w:t>
      </w:r>
      <w:r w:rsidR="00A817A5">
        <w:t xml:space="preserve"> applies nationally and in all states and t</w:t>
      </w:r>
      <w:r w:rsidRPr="00B85F39">
        <w:t>erritories, a</w:t>
      </w:r>
      <w:r w:rsidR="002B7E25">
        <w:t>nd to all Australian businesses.</w:t>
      </w:r>
      <w:r w:rsidR="009A5768">
        <w:t xml:space="preserve"> </w:t>
      </w:r>
      <w:r w:rsidR="002B7E25" w:rsidRPr="002B7E25">
        <w:t>The ACL has proven to be excellent. It has taken consumer protection to new levels in terms of the laws that underpin it, awareness and recognition among consumers and businesses, and the way in which regulators act to deliver compliance.</w:t>
      </w:r>
      <w:r w:rsidR="002B7E25">
        <w:t xml:space="preserve"> </w:t>
      </w:r>
    </w:p>
    <w:p w:rsidR="00D219F4" w:rsidRDefault="000C058E" w:rsidP="004409B1">
      <w:r>
        <w:lastRenderedPageBreak/>
        <w:t>In June 2015,</w:t>
      </w:r>
      <w:r w:rsidR="009952D9">
        <w:t xml:space="preserve"> </w:t>
      </w:r>
      <w:r w:rsidRPr="000C058E">
        <w:t>Consumer Affairs Ministers</w:t>
      </w:r>
      <w:r>
        <w:t xml:space="preserve"> </w:t>
      </w:r>
      <w:r w:rsidRPr="000C058E">
        <w:t>agreed</w:t>
      </w:r>
      <w:r w:rsidR="009952D9">
        <w:t xml:space="preserve"> to the</w:t>
      </w:r>
      <w:r w:rsidRPr="000C058E">
        <w:t xml:space="preserve"> Terms of Reference for the</w:t>
      </w:r>
      <w:r>
        <w:t xml:space="preserve"> </w:t>
      </w:r>
      <w:r w:rsidR="00E30C91">
        <w:t xml:space="preserve">planned </w:t>
      </w:r>
      <w:r>
        <w:t>implementation</w:t>
      </w:r>
      <w:r w:rsidRPr="000C058E">
        <w:t xml:space="preserve"> review </w:t>
      </w:r>
      <w:r>
        <w:t>of the ACL,</w:t>
      </w:r>
      <w:r w:rsidRPr="000C058E">
        <w:t xml:space="preserve"> which will commence in 2016. </w:t>
      </w:r>
      <w:r w:rsidR="004409B1">
        <w:t>The ACL review will be conducted by Consumer Affairs A</w:t>
      </w:r>
      <w:r>
        <w:t>ustralia</w:t>
      </w:r>
      <w:r w:rsidR="004409B1">
        <w:t xml:space="preserve"> and New Zealand with a final report to be provided to responsible</w:t>
      </w:r>
      <w:r>
        <w:t xml:space="preserve"> m</w:t>
      </w:r>
      <w:r w:rsidR="004409B1">
        <w:t xml:space="preserve">inisters by March 2017. </w:t>
      </w:r>
      <w:r>
        <w:t>M</w:t>
      </w:r>
      <w:r w:rsidR="004409B1">
        <w:t xml:space="preserve">inisters have agreed that the review will consider the effectiveness of the ACL and the extent to which the national consumer policy framework has met the objectives agreed by </w:t>
      </w:r>
      <w:r w:rsidR="00D219F4">
        <w:t xml:space="preserve">the </w:t>
      </w:r>
      <w:r w:rsidR="004409B1">
        <w:t>C</w:t>
      </w:r>
      <w:r w:rsidR="00D219F4">
        <w:t xml:space="preserve">ouncil of </w:t>
      </w:r>
      <w:r w:rsidR="004409B1">
        <w:t>A</w:t>
      </w:r>
      <w:r w:rsidR="00D219F4">
        <w:t xml:space="preserve">ustralian </w:t>
      </w:r>
      <w:r w:rsidR="004409B1">
        <w:t>G</w:t>
      </w:r>
      <w:r w:rsidR="00D219F4">
        <w:t>overnments</w:t>
      </w:r>
      <w:r w:rsidR="004409B1">
        <w:t xml:space="preserve">.  </w:t>
      </w:r>
    </w:p>
    <w:p w:rsidR="008F0FE3" w:rsidRDefault="008F0FE3" w:rsidP="003731F6">
      <w:r>
        <w:t xml:space="preserve">As </w:t>
      </w:r>
      <w:r w:rsidR="00F07682">
        <w:t>occurred</w:t>
      </w:r>
      <w:r>
        <w:t xml:space="preserve"> with the Competition Policy Review, the ACCC will be proactive in </w:t>
      </w:r>
      <w:r w:rsidR="00E22D0E">
        <w:t xml:space="preserve">developing constructive proposals that can be considered in the context of </w:t>
      </w:r>
      <w:r>
        <w:t>the ACL review</w:t>
      </w:r>
      <w:r w:rsidR="009A5768">
        <w:t xml:space="preserve">. </w:t>
      </w:r>
    </w:p>
    <w:p w:rsidR="00B46BF9" w:rsidRPr="00967D87" w:rsidRDefault="00967D87" w:rsidP="00FC0D8A">
      <w:pPr>
        <w:keepNext/>
        <w:rPr>
          <w:rFonts w:eastAsiaTheme="majorEastAsia" w:cstheme="majorBidi"/>
          <w:b/>
          <w:bCs/>
          <w:color w:val="51626F"/>
          <w:sz w:val="28"/>
          <w:szCs w:val="26"/>
        </w:rPr>
      </w:pPr>
      <w:r w:rsidRPr="00967D87">
        <w:rPr>
          <w:rFonts w:eastAsiaTheme="majorEastAsia" w:cstheme="majorBidi"/>
          <w:b/>
          <w:bCs/>
          <w:color w:val="51626F"/>
          <w:sz w:val="28"/>
          <w:szCs w:val="26"/>
        </w:rPr>
        <w:t>Increasing value of market monitoring and market studies</w:t>
      </w:r>
    </w:p>
    <w:p w:rsidR="00BB7325" w:rsidRPr="007022C2" w:rsidRDefault="00BB7325" w:rsidP="00B46BF9">
      <w:r w:rsidRPr="007022C2">
        <w:t xml:space="preserve">Responsible ministers </w:t>
      </w:r>
      <w:r w:rsidR="00B46BF9" w:rsidRPr="007022C2">
        <w:t>may direct the ACCC</w:t>
      </w:r>
      <w:r w:rsidRPr="007022C2">
        <w:t xml:space="preserve"> to undertake certain activities</w:t>
      </w:r>
      <w:r w:rsidR="007022C2">
        <w:t>, including market monitoring</w:t>
      </w:r>
      <w:r w:rsidR="00967D87">
        <w:t xml:space="preserve"> and market</w:t>
      </w:r>
      <w:r w:rsidR="007022C2">
        <w:t xml:space="preserve"> studies. These</w:t>
      </w:r>
      <w:r w:rsidR="00736D3B">
        <w:t xml:space="preserve"> studies</w:t>
      </w:r>
      <w:r w:rsidR="007022C2">
        <w:t xml:space="preserve"> enable </w:t>
      </w:r>
      <w:r w:rsidR="00492F2D">
        <w:t xml:space="preserve">the </w:t>
      </w:r>
      <w:r w:rsidR="00F07682">
        <w:t>ACCC to</w:t>
      </w:r>
      <w:r w:rsidR="007022C2" w:rsidRPr="007022C2">
        <w:t xml:space="preserve"> develop a sophisticated understanding of how well competition and markets are </w:t>
      </w:r>
      <w:r w:rsidR="00ED3674">
        <w:t>working in particular sectors.</w:t>
      </w:r>
    </w:p>
    <w:p w:rsidR="00B46BF9" w:rsidRPr="007022C2" w:rsidRDefault="00BB7325" w:rsidP="00B46BF9">
      <w:r w:rsidRPr="007022C2">
        <w:t>In</w:t>
      </w:r>
      <w:r w:rsidR="00B46BF9" w:rsidRPr="007022C2">
        <w:t xml:space="preserve"> December 2014</w:t>
      </w:r>
      <w:r w:rsidRPr="007022C2">
        <w:t>, the ACCC received a</w:t>
      </w:r>
      <w:r w:rsidR="00B46BF9" w:rsidRPr="007022C2">
        <w:t xml:space="preserve"> direction</w:t>
      </w:r>
      <w:r w:rsidRPr="007022C2">
        <w:t xml:space="preserve"> from the Minister for Small Business</w:t>
      </w:r>
      <w:r w:rsidR="00B46BF9" w:rsidRPr="007022C2">
        <w:t xml:space="preserve"> to monitor the petroleum industry more closely.</w:t>
      </w:r>
      <w:r w:rsidR="00B23301" w:rsidRPr="007022C2">
        <w:t xml:space="preserve"> </w:t>
      </w:r>
      <w:r w:rsidR="007022C2">
        <w:t>This</w:t>
      </w:r>
      <w:r w:rsidR="007022C2" w:rsidRPr="007022C2">
        <w:t xml:space="preserve"> direction provides for the ACCC to target specific aspects of concern for closer examination.</w:t>
      </w:r>
      <w:r w:rsidR="007022C2">
        <w:t xml:space="preserve"> T</w:t>
      </w:r>
      <w:r w:rsidR="007022C2" w:rsidRPr="007022C2">
        <w:t>he ACCC will</w:t>
      </w:r>
      <w:r w:rsidR="00736D3B">
        <w:t xml:space="preserve"> </w:t>
      </w:r>
      <w:r w:rsidR="007022C2" w:rsidRPr="007022C2">
        <w:t xml:space="preserve">conduct at least four investigations a year into specific geographic markets, specific products or other issues of concern.  </w:t>
      </w:r>
    </w:p>
    <w:p w:rsidR="00B46BF9" w:rsidRPr="007022C2" w:rsidRDefault="00B46BF9" w:rsidP="00B46BF9">
      <w:pPr>
        <w:pStyle w:val="Heading2"/>
        <w:rPr>
          <w:rFonts w:eastAsiaTheme="minorHAnsi" w:cstheme="minorBidi"/>
          <w:b w:val="0"/>
          <w:bCs w:val="0"/>
          <w:color w:val="auto"/>
          <w:sz w:val="22"/>
          <w:szCs w:val="22"/>
        </w:rPr>
      </w:pPr>
      <w:r w:rsidRPr="007022C2">
        <w:rPr>
          <w:rFonts w:eastAsiaTheme="minorHAnsi" w:cstheme="minorBidi"/>
          <w:b w:val="0"/>
          <w:bCs w:val="0"/>
          <w:color w:val="auto"/>
          <w:sz w:val="22"/>
          <w:szCs w:val="22"/>
        </w:rPr>
        <w:t>The ACCC is</w:t>
      </w:r>
      <w:r w:rsidR="00736D3B">
        <w:rPr>
          <w:rFonts w:eastAsiaTheme="minorHAnsi" w:cstheme="minorBidi"/>
          <w:b w:val="0"/>
          <w:bCs w:val="0"/>
          <w:color w:val="auto"/>
          <w:sz w:val="22"/>
          <w:szCs w:val="22"/>
        </w:rPr>
        <w:t xml:space="preserve"> also</w:t>
      </w:r>
      <w:r w:rsidRPr="007022C2">
        <w:rPr>
          <w:rFonts w:eastAsiaTheme="minorHAnsi" w:cstheme="minorBidi"/>
          <w:b w:val="0"/>
          <w:bCs w:val="0"/>
          <w:color w:val="auto"/>
          <w:sz w:val="22"/>
          <w:szCs w:val="22"/>
        </w:rPr>
        <w:t xml:space="preserve"> currently conducting a 12 month public inquiry into the competitiveness of wholesale gas prices in </w:t>
      </w:r>
      <w:r w:rsidR="00ED3674">
        <w:rPr>
          <w:rFonts w:eastAsiaTheme="minorHAnsi" w:cstheme="minorBidi"/>
          <w:b w:val="0"/>
          <w:bCs w:val="0"/>
          <w:color w:val="auto"/>
          <w:sz w:val="22"/>
          <w:szCs w:val="22"/>
        </w:rPr>
        <w:t>e</w:t>
      </w:r>
      <w:r w:rsidRPr="007022C2">
        <w:rPr>
          <w:rFonts w:eastAsiaTheme="minorHAnsi" w:cstheme="minorBidi"/>
          <w:b w:val="0"/>
          <w:bCs w:val="0"/>
          <w:color w:val="auto"/>
          <w:sz w:val="22"/>
          <w:szCs w:val="22"/>
        </w:rPr>
        <w:t xml:space="preserve">astern and </w:t>
      </w:r>
      <w:r w:rsidR="00ED3674">
        <w:rPr>
          <w:rFonts w:eastAsiaTheme="minorHAnsi" w:cstheme="minorBidi"/>
          <w:b w:val="0"/>
          <w:bCs w:val="0"/>
          <w:color w:val="auto"/>
          <w:sz w:val="22"/>
          <w:szCs w:val="22"/>
        </w:rPr>
        <w:t>s</w:t>
      </w:r>
      <w:r w:rsidRPr="007022C2">
        <w:rPr>
          <w:rFonts w:eastAsiaTheme="minorHAnsi" w:cstheme="minorBidi"/>
          <w:b w:val="0"/>
          <w:bCs w:val="0"/>
          <w:color w:val="auto"/>
          <w:sz w:val="22"/>
          <w:szCs w:val="22"/>
        </w:rPr>
        <w:t xml:space="preserve">outhern Australia. The ACCC will be considering competition levels in the </w:t>
      </w:r>
      <w:r w:rsidR="00ED3674">
        <w:rPr>
          <w:rFonts w:eastAsiaTheme="minorHAnsi" w:cstheme="minorBidi"/>
          <w:b w:val="0"/>
          <w:bCs w:val="0"/>
          <w:color w:val="auto"/>
          <w:sz w:val="22"/>
          <w:szCs w:val="22"/>
        </w:rPr>
        <w:t>east coast upstream gas market—</w:t>
      </w:r>
      <w:r w:rsidRPr="007022C2">
        <w:rPr>
          <w:rFonts w:eastAsiaTheme="minorHAnsi" w:cstheme="minorBidi"/>
          <w:b w:val="0"/>
          <w:bCs w:val="0"/>
          <w:color w:val="auto"/>
          <w:sz w:val="22"/>
          <w:szCs w:val="22"/>
        </w:rPr>
        <w:t>the producer, processor, pipeline, and wholesale levels of the market. The ACCC will report to Government by April 2016.</w:t>
      </w:r>
    </w:p>
    <w:p w:rsidR="00B23301" w:rsidRDefault="00B23301" w:rsidP="00B23301">
      <w:r w:rsidRPr="007022C2">
        <w:t>These add to continuing roles where the ACCC monitors competition and wider performance issues in stevedoring, our four largest airports, the broader petrol market, and the rural water market.</w:t>
      </w:r>
    </w:p>
    <w:p w:rsidR="00C26A3C" w:rsidRPr="00B23301" w:rsidRDefault="00C26A3C" w:rsidP="00B23301">
      <w:r w:rsidRPr="00C26A3C">
        <w:t>The ACCC is also continuing to undertake a program</w:t>
      </w:r>
      <w:r>
        <w:t xml:space="preserve"> of industry analysis focusing</w:t>
      </w:r>
      <w:r w:rsidRPr="00C26A3C">
        <w:t xml:space="preserve"> on consumer issues. This analysis will further</w:t>
      </w:r>
      <w:r w:rsidR="009655FD">
        <w:t xml:space="preserve"> develop the ACCC’s understanding</w:t>
      </w:r>
      <w:r w:rsidRPr="00C26A3C">
        <w:t xml:space="preserve"> of market</w:t>
      </w:r>
      <w:r>
        <w:t xml:space="preserve"> practices that impact </w:t>
      </w:r>
      <w:r w:rsidRPr="00C26A3C">
        <w:t>industry or consumer behaviour</w:t>
      </w:r>
      <w:r>
        <w:t>,</w:t>
      </w:r>
      <w:r w:rsidRPr="00C26A3C">
        <w:t xml:space="preserve"> in particular those tha</w:t>
      </w:r>
      <w:r w:rsidR="0012267E">
        <w:t xml:space="preserve">t result in harm to consumers. </w:t>
      </w:r>
      <w:r w:rsidRPr="00C26A3C">
        <w:t xml:space="preserve">The ACCC will undertake at least two broad industry reviews each year into particular industries, or that explore particular consumer issues. This analysis will support the ACCC’s broader enforcement objectives by also identifying and developing strategies to address breaches of the law where they are identified.  </w:t>
      </w:r>
    </w:p>
    <w:p w:rsidR="00375C1A" w:rsidRDefault="002660D9" w:rsidP="00B36F78">
      <w:pPr>
        <w:pStyle w:val="Heading2"/>
      </w:pPr>
      <w:r>
        <w:t>Strengthening</w:t>
      </w:r>
      <w:r w:rsidR="00375C1A">
        <w:t xml:space="preserve"> international and regional engagement</w:t>
      </w:r>
    </w:p>
    <w:p w:rsidR="00F40B04" w:rsidRDefault="00F40B04" w:rsidP="00375C1A">
      <w:r>
        <w:t xml:space="preserve">International and regional engagement </w:t>
      </w:r>
      <w:r w:rsidR="000D7F55">
        <w:t xml:space="preserve">with our peers </w:t>
      </w:r>
      <w:r>
        <w:t>is becoming</w:t>
      </w:r>
      <w:r w:rsidR="008F62E1">
        <w:t xml:space="preserve"> increasingly </w:t>
      </w:r>
      <w:r w:rsidR="00406AA4">
        <w:t>important</w:t>
      </w:r>
      <w:r w:rsidR="00A203EF">
        <w:t xml:space="preserve">, </w:t>
      </w:r>
      <w:r w:rsidR="00CA3B3E">
        <w:t>re</w:t>
      </w:r>
      <w:r w:rsidR="000D7F55">
        <w:t>flect</w:t>
      </w:r>
      <w:r w:rsidR="00A203EF">
        <w:t>ing</w:t>
      </w:r>
      <w:r w:rsidR="000D7F55">
        <w:t xml:space="preserve"> </w:t>
      </w:r>
      <w:r>
        <w:t>the</w:t>
      </w:r>
      <w:r w:rsidR="0057329F">
        <w:t xml:space="preserve"> need to understand and respond to </w:t>
      </w:r>
      <w:r w:rsidR="0042120F">
        <w:t xml:space="preserve">emerging issues in </w:t>
      </w:r>
      <w:r>
        <w:t>global markets for goods and services. The growth of these markets is being facilitated by</w:t>
      </w:r>
      <w:r w:rsidR="0042120F">
        <w:t xml:space="preserve"> the diffusion of modern</w:t>
      </w:r>
      <w:r>
        <w:t xml:space="preserve"> </w:t>
      </w:r>
      <w:r w:rsidR="00AB43E7">
        <w:t>communications technologies</w:t>
      </w:r>
      <w:r w:rsidR="00CA3B3E">
        <w:t xml:space="preserve"> and new purchasing channels,</w:t>
      </w:r>
      <w:r w:rsidR="0057329F">
        <w:t xml:space="preserve"> </w:t>
      </w:r>
      <w:r>
        <w:t>discussed below in ‘The developing digital economy’.</w:t>
      </w:r>
      <w:r w:rsidR="0057329F">
        <w:t xml:space="preserve"> We also benefit from sharing new thinking</w:t>
      </w:r>
      <w:r w:rsidR="0042120F">
        <w:t xml:space="preserve"> on governance </w:t>
      </w:r>
      <w:r w:rsidR="00EA1B08">
        <w:t xml:space="preserve">arrangements </w:t>
      </w:r>
      <w:r w:rsidR="0057329F">
        <w:t>through these forums.</w:t>
      </w:r>
    </w:p>
    <w:p w:rsidR="00375C1A" w:rsidRDefault="0061522F" w:rsidP="00375C1A">
      <w:r>
        <w:t>The ACCC</w:t>
      </w:r>
      <w:r w:rsidR="005E4E50">
        <w:t xml:space="preserve"> will continue to</w:t>
      </w:r>
      <w:r w:rsidR="00375C1A">
        <w:t xml:space="preserve"> participate actively in groups facilitating</w:t>
      </w:r>
      <w:r w:rsidR="00B46BF9">
        <w:t xml:space="preserve"> investigative and enforcement</w:t>
      </w:r>
      <w:r w:rsidR="00375C1A">
        <w:t xml:space="preserve"> cooperation, such as the International Competition Network,</w:t>
      </w:r>
      <w:r w:rsidR="00274DCC" w:rsidRPr="00274DCC">
        <w:t xml:space="preserve"> International Consumer Protection and Enforcement Network</w:t>
      </w:r>
      <w:r w:rsidR="00274DCC">
        <w:t>,</w:t>
      </w:r>
      <w:r w:rsidR="00274DCC" w:rsidRPr="00274DCC">
        <w:t xml:space="preserve"> </w:t>
      </w:r>
      <w:r w:rsidR="00375C1A">
        <w:t xml:space="preserve">Organisation for Economic Co-operation and Development and International Consumer Product Health and Safety Organisation. </w:t>
      </w:r>
    </w:p>
    <w:p w:rsidR="00274DCC" w:rsidRDefault="0061522F" w:rsidP="00274DCC">
      <w:r>
        <w:t>The ACCC and AER</w:t>
      </w:r>
      <w:r w:rsidR="00274DCC">
        <w:t xml:space="preserve"> will </w:t>
      </w:r>
      <w:r w:rsidR="00757160">
        <w:t xml:space="preserve">also </w:t>
      </w:r>
      <w:r w:rsidR="00274DCC">
        <w:t>have regular involvement in regulatory policy formulation through the OECD Regulatory Policy Committee and Network of Economic Regulators. These forums allow us to influence and leverage international thinking on best practice regulatory frameworks.</w:t>
      </w:r>
    </w:p>
    <w:p w:rsidR="007D5808" w:rsidRDefault="0061522F" w:rsidP="007D5808">
      <w:r>
        <w:lastRenderedPageBreak/>
        <w:t>The ACCC</w:t>
      </w:r>
      <w:r w:rsidR="00375C1A">
        <w:t xml:space="preserve"> also</w:t>
      </w:r>
      <w:r w:rsidR="00ED202E">
        <w:t xml:space="preserve"> recognise</w:t>
      </w:r>
      <w:r>
        <w:t>s</w:t>
      </w:r>
      <w:r w:rsidR="00375C1A">
        <w:t xml:space="preserve"> the benefits that efficient markets in </w:t>
      </w:r>
      <w:r w:rsidR="00F37B43">
        <w:t>our</w:t>
      </w:r>
      <w:r w:rsidR="00375C1A">
        <w:t xml:space="preserve"> region deliver to Australian co</w:t>
      </w:r>
      <w:r w:rsidR="00CA10E1">
        <w:t>nsumers and businesses</w:t>
      </w:r>
      <w:r w:rsidR="00F37B43">
        <w:t xml:space="preserve">. This requires </w:t>
      </w:r>
      <w:r>
        <w:t>the ACCC</w:t>
      </w:r>
      <w:r w:rsidR="00F37B43">
        <w:t xml:space="preserve"> to</w:t>
      </w:r>
      <w:r w:rsidR="00CA10E1">
        <w:t xml:space="preserve"> </w:t>
      </w:r>
      <w:r w:rsidR="00F37B43">
        <w:t>be</w:t>
      </w:r>
      <w:r w:rsidR="00375C1A">
        <w:t xml:space="preserve"> active in the Asia-Pacific region </w:t>
      </w:r>
      <w:r w:rsidR="00F37B43">
        <w:t xml:space="preserve">engaging with both established and newly emerging </w:t>
      </w:r>
      <w:r w:rsidR="00375C1A">
        <w:t>competition and consumer protection regimes.</w:t>
      </w:r>
      <w:r w:rsidR="007D5808">
        <w:t xml:space="preserve"> </w:t>
      </w:r>
    </w:p>
    <w:p w:rsidR="00375C1A" w:rsidRDefault="007D5808" w:rsidP="00375C1A">
      <w:r>
        <w:t>The Competition Law Implementation Program (CLIP), developed by the ACCC in partnership with the Department of Foreign Affairs and Trade</w:t>
      </w:r>
      <w:r w:rsidR="00F37B43">
        <w:t xml:space="preserve"> and </w:t>
      </w:r>
      <w:r w:rsidR="00F37B43" w:rsidRPr="007D5808">
        <w:t>Association of South East Asian Nations</w:t>
      </w:r>
      <w:r w:rsidR="00CA10E1">
        <w:t>,</w:t>
      </w:r>
      <w:r w:rsidR="00ED202E">
        <w:t xml:space="preserve"> will see the ACCC </w:t>
      </w:r>
      <w:r w:rsidR="00F37B43">
        <w:t xml:space="preserve">continue to </w:t>
      </w:r>
      <w:r>
        <w:t>deliver a multi-year, demand-driven program of capacity building activities for our</w:t>
      </w:r>
      <w:r w:rsidR="00F37B43">
        <w:t xml:space="preserve"> newer </w:t>
      </w:r>
      <w:r>
        <w:t>competition law enforcement counterparts in the</w:t>
      </w:r>
      <w:r w:rsidR="00F37B43">
        <w:t xml:space="preserve"> ASEAN</w:t>
      </w:r>
      <w:r>
        <w:t xml:space="preserve">. The ACCC will work with counterparts to build their capacity to enforce competition laws through projects that factor in local conditions (economic, political, legal, </w:t>
      </w:r>
      <w:r w:rsidR="00F07682">
        <w:t>and social</w:t>
      </w:r>
      <w:r>
        <w:t xml:space="preserve">). Projects will aim to develop individual and organisational capability among competition authorities by delivering skills and </w:t>
      </w:r>
      <w:r w:rsidR="00F37B43">
        <w:t xml:space="preserve">transferring </w:t>
      </w:r>
      <w:r>
        <w:t xml:space="preserve">knowledge. </w:t>
      </w:r>
    </w:p>
    <w:p w:rsidR="00B46BF9" w:rsidRPr="00375C1A" w:rsidRDefault="00B46BF9" w:rsidP="00375C1A">
      <w:r>
        <w:t xml:space="preserve">Section 5.6 below outlines </w:t>
      </w:r>
      <w:r w:rsidR="00F07682">
        <w:t>how the</w:t>
      </w:r>
      <w:r w:rsidR="003349A3">
        <w:t xml:space="preserve"> agency</w:t>
      </w:r>
      <w:r w:rsidR="0061522F">
        <w:t>’s</w:t>
      </w:r>
      <w:r w:rsidRPr="00B46BF9">
        <w:t xml:space="preserve"> International Unit supports the</w:t>
      </w:r>
      <w:r>
        <w:t>se activities</w:t>
      </w:r>
      <w:r w:rsidR="001A6880">
        <w:t xml:space="preserve"> </w:t>
      </w:r>
      <w:r w:rsidR="00F07682">
        <w:t>and international</w:t>
      </w:r>
      <w:r w:rsidR="001A6880">
        <w:t xml:space="preserve"> and regional engagement more generally</w:t>
      </w:r>
      <w:r>
        <w:t xml:space="preserve">. </w:t>
      </w:r>
    </w:p>
    <w:p w:rsidR="00B758B4" w:rsidRDefault="00B758B4" w:rsidP="00D13983">
      <w:pPr>
        <w:pStyle w:val="Heading2"/>
      </w:pPr>
      <w:r>
        <w:t>The</w:t>
      </w:r>
      <w:r w:rsidR="00495B96">
        <w:t xml:space="preserve"> developing digital economy</w:t>
      </w:r>
    </w:p>
    <w:p w:rsidR="00495B96" w:rsidRDefault="00B758B4" w:rsidP="00AD4C93">
      <w:r w:rsidRPr="00B758B4">
        <w:t>The digital economy has much to offer consumers. It can deliver increased choice, improved services and provides people with the convenience to shop whenever and wherever they like. The high-tech consumer world, however, also provides us with many consumer protection challenges.</w:t>
      </w:r>
      <w:r w:rsidR="00CA10E1">
        <w:t xml:space="preserve"> </w:t>
      </w:r>
      <w:r w:rsidR="00135349">
        <w:t>The ACCC</w:t>
      </w:r>
      <w:r w:rsidR="00495B96">
        <w:t xml:space="preserve"> </w:t>
      </w:r>
      <w:r w:rsidR="00495B96" w:rsidRPr="00495B96">
        <w:t>will</w:t>
      </w:r>
      <w:r w:rsidR="00495B96">
        <w:t xml:space="preserve"> continue to</w:t>
      </w:r>
      <w:r w:rsidR="00495B96" w:rsidRPr="00495B96">
        <w:t xml:space="preserve"> concentrate on emerging systemic consumer issues in the online marketplace. </w:t>
      </w:r>
    </w:p>
    <w:p w:rsidR="00AD4C93" w:rsidRDefault="00135349" w:rsidP="00AD4C93">
      <w:r>
        <w:t>The ACCC</w:t>
      </w:r>
      <w:r w:rsidR="00AD4C93">
        <w:t xml:space="preserve"> will also monitor developments in the sharing economy. This economy is built around individuals </w:t>
      </w:r>
      <w:r w:rsidR="00AD4C93" w:rsidRPr="00AD4C93">
        <w:t>sharing</w:t>
      </w:r>
      <w:r w:rsidR="00AD4C93">
        <w:t xml:space="preserve"> </w:t>
      </w:r>
      <w:r w:rsidR="00AD4C93" w:rsidRPr="00AD4C93">
        <w:t>their personal assets in exchange for payment</w:t>
      </w:r>
      <w:r w:rsidR="00D821D4">
        <w:t>. Technology platforms operate</w:t>
      </w:r>
      <w:r w:rsidR="00AD4C93" w:rsidRPr="00AD4C93">
        <w:t xml:space="preserve"> as markets where service providers and consumers can connect with each other.</w:t>
      </w:r>
      <w:r w:rsidR="00ED241D">
        <w:t xml:space="preserve"> The appropriate level of regulation of th</w:t>
      </w:r>
      <w:r w:rsidR="00274DCC">
        <w:t>ese</w:t>
      </w:r>
      <w:r w:rsidR="00ED241D">
        <w:t xml:space="preserve"> emerging business models is being considered by governments</w:t>
      </w:r>
      <w:r w:rsidR="00274DCC">
        <w:t xml:space="preserve"> and regulators</w:t>
      </w:r>
      <w:r w:rsidR="00ED241D">
        <w:t xml:space="preserve"> around the world. </w:t>
      </w:r>
    </w:p>
    <w:p w:rsidR="005952C3" w:rsidRPr="00B758B4" w:rsidRDefault="000978A8" w:rsidP="00AD4C93">
      <w:r>
        <w:t xml:space="preserve">The </w:t>
      </w:r>
      <w:r w:rsidR="00F07682">
        <w:t>ACCC supports</w:t>
      </w:r>
      <w:r w:rsidR="00274DCC">
        <w:t xml:space="preserve"> the views of the Competition Policy Review panel that it would be desirable for a </w:t>
      </w:r>
      <w:r w:rsidR="00274DCC" w:rsidRPr="00274DCC">
        <w:t>new mark</w:t>
      </w:r>
      <w:r w:rsidR="00274DCC">
        <w:t xml:space="preserve">et to develop in that allows </w:t>
      </w:r>
      <w:r w:rsidR="00274DCC" w:rsidRPr="00274DCC">
        <w:t>consumers to reuse the information big businesses collect on them to make better purchasing decisions.</w:t>
      </w:r>
      <w:r w:rsidR="00274DCC">
        <w:t xml:space="preserve"> This has already occurred in United Kingdom, where a </w:t>
      </w:r>
      <w:r w:rsidR="00274DCC" w:rsidRPr="00274DCC">
        <w:t>policy</w:t>
      </w:r>
      <w:r w:rsidR="00274DCC">
        <w:t xml:space="preserve"> has been implemented to encourage a market in ‘innovative technologies’</w:t>
      </w:r>
      <w:r w:rsidR="00274DCC" w:rsidRPr="00274DCC">
        <w:t>, such as online comparator tools that will aid consumers to analyse their own purchasing habits, and use this information to tailor recommendations for goods and services to each user.</w:t>
      </w:r>
    </w:p>
    <w:p w:rsidR="00D13983" w:rsidRPr="00816277" w:rsidRDefault="00D13983" w:rsidP="00D13983">
      <w:pPr>
        <w:pStyle w:val="Heading2"/>
      </w:pPr>
      <w:r w:rsidRPr="00816277">
        <w:t xml:space="preserve">Regulating </w:t>
      </w:r>
      <w:r w:rsidR="007D54A2">
        <w:t>evolving energy markets</w:t>
      </w:r>
    </w:p>
    <w:p w:rsidR="00D13983" w:rsidRPr="00816277" w:rsidRDefault="00D13983" w:rsidP="00D13983">
      <w:r w:rsidRPr="00816277">
        <w:t xml:space="preserve">The nature and function of energy markets are evolving. </w:t>
      </w:r>
    </w:p>
    <w:p w:rsidR="00D13983" w:rsidRPr="00816277" w:rsidRDefault="00D13983" w:rsidP="00D13983">
      <w:r w:rsidRPr="00816277">
        <w:t>Electricity markets are entering a period of fundamental change. Drivers such as:</w:t>
      </w:r>
    </w:p>
    <w:p w:rsidR="00D13983" w:rsidRPr="00816277" w:rsidRDefault="00D13983" w:rsidP="00D13983">
      <w:pPr>
        <w:numPr>
          <w:ilvl w:val="0"/>
          <w:numId w:val="2"/>
        </w:numPr>
      </w:pPr>
      <w:r w:rsidRPr="00816277">
        <w:t>demand uncertainty</w:t>
      </w:r>
    </w:p>
    <w:p w:rsidR="00D13983" w:rsidRPr="00816277" w:rsidRDefault="00D13983" w:rsidP="00D13983">
      <w:pPr>
        <w:numPr>
          <w:ilvl w:val="0"/>
          <w:numId w:val="2"/>
        </w:numPr>
      </w:pPr>
      <w:r w:rsidRPr="00816277">
        <w:t>the need to integrate renewable generation</w:t>
      </w:r>
      <w:r w:rsidR="005432E2">
        <w:t>,</w:t>
      </w:r>
      <w:r w:rsidRPr="00816277">
        <w:t xml:space="preserve"> and</w:t>
      </w:r>
    </w:p>
    <w:p w:rsidR="00D13983" w:rsidRPr="00816277" w:rsidRDefault="00D13983" w:rsidP="00D13983">
      <w:pPr>
        <w:numPr>
          <w:ilvl w:val="0"/>
          <w:numId w:val="2"/>
        </w:numPr>
      </w:pPr>
      <w:r w:rsidRPr="00816277">
        <w:t xml:space="preserve">advances in technologies that affect how electricity is sold </w:t>
      </w:r>
    </w:p>
    <w:p w:rsidR="00D13983" w:rsidRPr="00816277" w:rsidRDefault="00D13983" w:rsidP="00D13983">
      <w:proofErr w:type="gramStart"/>
      <w:r w:rsidRPr="00816277">
        <w:t>will</w:t>
      </w:r>
      <w:proofErr w:type="gramEnd"/>
      <w:r w:rsidRPr="00816277">
        <w:t xml:space="preserve"> all impact on the way electricity is delivered to and by consumers in the future. </w:t>
      </w:r>
    </w:p>
    <w:p w:rsidR="00D13983" w:rsidRDefault="00D13983" w:rsidP="00D13983">
      <w:r w:rsidRPr="00816277">
        <w:t>The development of liquid natural gas export projects in Queensland will also fuel growth in international demand for Australian gas. This in turn will exert pressure on the domestic gas market. While gas prices were historically struck under confidential long term contracts, the industry is shifting towards shorter term contracts, the inclusion of review provisions and the use of spot markets.</w:t>
      </w:r>
    </w:p>
    <w:p w:rsidR="00D13983" w:rsidRPr="00816277" w:rsidRDefault="00D13983" w:rsidP="00D13983">
      <w:r w:rsidRPr="00816277">
        <w:lastRenderedPageBreak/>
        <w:t>These, and other as yet unanticipated changes, will have implications for the AER’s future functions</w:t>
      </w:r>
      <w:r w:rsidR="00ED3674">
        <w:t>—</w:t>
      </w:r>
      <w:r w:rsidRPr="00816277">
        <w:t>including how and what we might need to regulate.</w:t>
      </w:r>
    </w:p>
    <w:p w:rsidR="00D13983" w:rsidRPr="00816277" w:rsidRDefault="007D54A2" w:rsidP="007049E4">
      <w:pPr>
        <w:pStyle w:val="Heading2"/>
        <w:keepNext/>
      </w:pPr>
      <w:r>
        <w:t xml:space="preserve">Potential </w:t>
      </w:r>
      <w:r w:rsidR="00ED202E">
        <w:t xml:space="preserve">policy reforms </w:t>
      </w:r>
      <w:r w:rsidR="00D13983" w:rsidRPr="00816277">
        <w:t>for energy</w:t>
      </w:r>
    </w:p>
    <w:p w:rsidR="00D13983" w:rsidRPr="00816277" w:rsidRDefault="00D13983" w:rsidP="007049E4">
      <w:pPr>
        <w:keepNext/>
      </w:pPr>
      <w:r w:rsidRPr="00816277">
        <w:t xml:space="preserve">Policy reforms will need to be implemented to deal with these new developments in energy markets. </w:t>
      </w:r>
    </w:p>
    <w:p w:rsidR="00D13983" w:rsidRPr="00816277" w:rsidRDefault="00D13983" w:rsidP="00D13983">
      <w:r w:rsidRPr="00816277">
        <w:t xml:space="preserve">There have already been significant reforms to energy network regulation in the last few years and more reforms are now underway to deal with the dynamic landscape. These and other changes to the rules which govern electricity and natural gas markets will have to be reflected in the AER’s work program. </w:t>
      </w:r>
    </w:p>
    <w:p w:rsidR="00D13983" w:rsidRDefault="00D13983" w:rsidP="00B36F78">
      <w:r w:rsidRPr="00816277">
        <w:t>A review of energy markets’ governance arrangements is also being conducted by the Council of Australian Governments Energy Council to ensure that these arrangements remain appropriate. The review is expected to be finalised by the end of September 2015 and its recommendations may also have implications for the AER’s structure and functions.</w:t>
      </w:r>
    </w:p>
    <w:p w:rsidR="00326040" w:rsidRDefault="00326040" w:rsidP="00326040">
      <w:pPr>
        <w:pStyle w:val="Heading2"/>
      </w:pPr>
      <w:r>
        <w:t>Contributing to the deregulation agenda</w:t>
      </w:r>
    </w:p>
    <w:p w:rsidR="00326040" w:rsidRDefault="00326040" w:rsidP="00326040">
      <w:r>
        <w:t>The Government’s whole-of-government deregulation agenda is focused on reducing</w:t>
      </w:r>
      <w:r w:rsidRPr="00FD5F53">
        <w:t xml:space="preserve"> the cost of unnecessary or inefficient regulation imposed on individuals, business and community organisations </w:t>
      </w:r>
      <w:r>
        <w:t xml:space="preserve"> </w:t>
      </w:r>
    </w:p>
    <w:p w:rsidR="00326040" w:rsidRDefault="00326040" w:rsidP="00326040">
      <w:r>
        <w:t xml:space="preserve">The </w:t>
      </w:r>
      <w:r w:rsidR="00ED3674">
        <w:t>agency is</w:t>
      </w:r>
      <w:r>
        <w:t xml:space="preserve"> fully engaged with </w:t>
      </w:r>
      <w:r w:rsidRPr="00EC6DF2">
        <w:t xml:space="preserve">the Government’s </w:t>
      </w:r>
      <w:r>
        <w:t xml:space="preserve">deregulation agenda and committed </w:t>
      </w:r>
      <w:r w:rsidRPr="00EC6DF2">
        <w:t>to acting in accordance with regulatory best practice in our decision making, policy development and advisory roles, operational practices, and communications to ensure our effectivene</w:t>
      </w:r>
      <w:r>
        <w:t xml:space="preserve">ss and efficiency is enhanced. </w:t>
      </w:r>
    </w:p>
    <w:p w:rsidR="000921BE" w:rsidRDefault="00BE541B" w:rsidP="00326040">
      <w:r>
        <w:t>The Australian Government’s Regulator Perfor</w:t>
      </w:r>
      <w:r w:rsidR="009803D1">
        <w:t>mance Framework is an important</w:t>
      </w:r>
      <w:r w:rsidR="002A4BCA">
        <w:t xml:space="preserve"> element of the</w:t>
      </w:r>
      <w:r>
        <w:t xml:space="preserve"> deregulation agenda. </w:t>
      </w:r>
      <w:r w:rsidR="009803D1">
        <w:t>From 1 July 2015, the ACCC will collect evidence to demonstrate its performance against the six key performance indicators included in the</w:t>
      </w:r>
      <w:r w:rsidRPr="00BE541B">
        <w:t xml:space="preserve"> framework</w:t>
      </w:r>
      <w:r w:rsidR="009803D1">
        <w:t xml:space="preserve"> (these are outlined in section 4.1 below). </w:t>
      </w:r>
    </w:p>
    <w:p w:rsidR="00BE541B" w:rsidRDefault="000921BE" w:rsidP="00326040">
      <w:r>
        <w:t xml:space="preserve">The agency is </w:t>
      </w:r>
      <w:r w:rsidR="009803D1">
        <w:t xml:space="preserve">committed to demonstrating </w:t>
      </w:r>
      <w:r w:rsidR="002A4BCA">
        <w:t>through our actions that we</w:t>
      </w:r>
      <w:r w:rsidR="009803D1">
        <w:t xml:space="preserve"> are operating as a</w:t>
      </w:r>
      <w:r w:rsidR="00DA1013">
        <w:t>n efficient and effective</w:t>
      </w:r>
      <w:r w:rsidR="009803D1">
        <w:t xml:space="preserve"> regulator. At the international level, we have worked closely with the Organisation for Economic Co</w:t>
      </w:r>
      <w:r w:rsidR="009803D1">
        <w:noBreakHyphen/>
        <w:t>operation and Development in the development of their best practice principles for the governance of regulators. We are now utilising that knowledge</w:t>
      </w:r>
      <w:r w:rsidR="002A4BCA">
        <w:t xml:space="preserve"> at the operational level</w:t>
      </w:r>
      <w:r w:rsidR="00ED3674">
        <w:t>.</w:t>
      </w:r>
    </w:p>
    <w:p w:rsidR="009803D1" w:rsidRDefault="000921BE" w:rsidP="00326040">
      <w:r>
        <w:t>The ACCC is</w:t>
      </w:r>
      <w:r w:rsidR="009803D1">
        <w:t xml:space="preserve"> als</w:t>
      </w:r>
      <w:r w:rsidR="002A4BCA">
        <w:t xml:space="preserve">o </w:t>
      </w:r>
      <w:r w:rsidR="004F1F47">
        <w:t>contributing</w:t>
      </w:r>
      <w:r w:rsidR="002A4BCA">
        <w:t xml:space="preserve"> to the Australian Government’s </w:t>
      </w:r>
      <w:r w:rsidR="002A4BCA" w:rsidRPr="002A4BCA">
        <w:t>Industry Innovation and Competitiveness Agenda</w:t>
      </w:r>
      <w:r w:rsidR="002A4BCA">
        <w:t>, which is a policy of regulators actively considering</w:t>
      </w:r>
      <w:r w:rsidR="002A4BCA" w:rsidRPr="002A4BCA">
        <w:t xml:space="preserve"> international standards to reduce duplicative regulation.</w:t>
      </w:r>
      <w:r w:rsidR="002A4BCA">
        <w:t xml:space="preserve"> T</w:t>
      </w:r>
      <w:r w:rsidR="002A4BCA" w:rsidRPr="002A4BCA">
        <w:t xml:space="preserve">he </w:t>
      </w:r>
      <w:r w:rsidR="002A4BCA">
        <w:t>Government has</w:t>
      </w:r>
      <w:r w:rsidR="002A4BCA" w:rsidRPr="002A4BCA">
        <w:t xml:space="preserve"> adopt</w:t>
      </w:r>
      <w:r w:rsidR="002A4BCA">
        <w:t>ed the principle</w:t>
      </w:r>
      <w:r w:rsidR="002A4BCA" w:rsidRPr="002A4BCA">
        <w:t xml:space="preserve"> that, if a system, service or product has been approved under a trusted international standard or</w:t>
      </w:r>
      <w:r w:rsidR="002A4BCA">
        <w:t xml:space="preserve"> risk assessment, then Australian</w:t>
      </w:r>
      <w:r w:rsidR="002A4BCA" w:rsidRPr="002A4BCA">
        <w:t xml:space="preserve"> </w:t>
      </w:r>
      <w:r w:rsidR="002A4BCA">
        <w:t xml:space="preserve">regulators should not impose any </w:t>
      </w:r>
      <w:r w:rsidR="002A4BCA" w:rsidRPr="002A4BCA">
        <w:t>additional requi</w:t>
      </w:r>
      <w:r w:rsidR="002A4BCA">
        <w:t>rements for approval in Australia</w:t>
      </w:r>
      <w:r w:rsidR="002A4BCA" w:rsidRPr="002A4BCA">
        <w:t>, unless there is a good and demonstrable reason to do so.</w:t>
      </w:r>
      <w:r w:rsidR="00C60923" w:rsidRPr="00C60923">
        <w:t xml:space="preserve"> </w:t>
      </w:r>
      <w:r w:rsidR="00C60923">
        <w:t>The implications of this policy</w:t>
      </w:r>
      <w:r w:rsidR="00C60923" w:rsidRPr="00C60923">
        <w:t xml:space="preserve"> </w:t>
      </w:r>
      <w:r w:rsidR="00C60923">
        <w:t xml:space="preserve">for the ACCC are predominantly in relation to </w:t>
      </w:r>
      <w:r>
        <w:t>the</w:t>
      </w:r>
      <w:r w:rsidR="00C60923" w:rsidRPr="00C60923">
        <w:t xml:space="preserve"> role in the setting of product safety and information standards.</w:t>
      </w:r>
      <w:r w:rsidR="00DA1B88">
        <w:t xml:space="preserve"> </w:t>
      </w:r>
      <w:r>
        <w:t>F</w:t>
      </w:r>
      <w:r w:rsidR="00DA1B88">
        <w:t xml:space="preserve">ellow regulators, such as the Australian Communications and Media Authority, may also make contributions to reducing duplicative regulation in relation to sectors of the economy that </w:t>
      </w:r>
      <w:r>
        <w:t>the ACCC</w:t>
      </w:r>
      <w:r w:rsidR="00DA1B88">
        <w:t xml:space="preserve"> regulate</w:t>
      </w:r>
      <w:r>
        <w:t>s</w:t>
      </w:r>
      <w:r w:rsidR="00DA1B88">
        <w:t xml:space="preserve"> such as communications. </w:t>
      </w:r>
    </w:p>
    <w:p w:rsidR="00D1503A" w:rsidRPr="00702859" w:rsidRDefault="00D1503A" w:rsidP="00863BFE">
      <w:pPr>
        <w:pStyle w:val="Numbered1"/>
        <w:keepNext/>
      </w:pPr>
      <w:r w:rsidRPr="00702859">
        <w:lastRenderedPageBreak/>
        <w:t>Performance</w:t>
      </w:r>
    </w:p>
    <w:p w:rsidR="008552C1" w:rsidRPr="008552C1" w:rsidRDefault="008552C1" w:rsidP="00863BFE">
      <w:pPr>
        <w:pStyle w:val="Numbered11"/>
        <w:keepNext/>
        <w:ind w:left="426"/>
      </w:pPr>
      <w:r w:rsidRPr="008552C1">
        <w:t>Performance measurement</w:t>
      </w:r>
    </w:p>
    <w:p w:rsidR="008552C1" w:rsidRPr="008552C1" w:rsidRDefault="008552C1" w:rsidP="00863BFE">
      <w:pPr>
        <w:pStyle w:val="Heading3"/>
        <w:keepNext/>
      </w:pPr>
      <w:r w:rsidRPr="008552C1">
        <w:t>Performance indicators</w:t>
      </w:r>
    </w:p>
    <w:p w:rsidR="008552C1" w:rsidRDefault="008552C1" w:rsidP="00863BFE">
      <w:pPr>
        <w:keepNext/>
      </w:pPr>
      <w:r w:rsidRPr="008552C1">
        <w:t xml:space="preserve">The </w:t>
      </w:r>
      <w:r w:rsidR="000921BE">
        <w:t xml:space="preserve">agency </w:t>
      </w:r>
      <w:r w:rsidRPr="008552C1">
        <w:t>ha</w:t>
      </w:r>
      <w:r w:rsidR="000921BE">
        <w:t>s</w:t>
      </w:r>
      <w:r w:rsidRPr="008552C1">
        <w:t xml:space="preserve"> developed a suite of performance indicators, outlined in section 4.2 below, that are directly linked to our key organisational strategies and deliverables. The performance indicators are intended to provide stakeholders with a good understanding of the significant outputs from our work program, and also our efficiency in delivering them. Actual results will be reported</w:t>
      </w:r>
      <w:r w:rsidR="007F31E3">
        <w:t xml:space="preserve"> at the end of</w:t>
      </w:r>
      <w:r w:rsidRPr="008552C1">
        <w:t xml:space="preserve"> each</w:t>
      </w:r>
      <w:r w:rsidR="007F31E3">
        <w:t xml:space="preserve"> financial</w:t>
      </w:r>
      <w:r w:rsidRPr="008552C1">
        <w:t xml:space="preserve"> year in the </w:t>
      </w:r>
      <w:r w:rsidR="000921BE">
        <w:t>agency’s a</w:t>
      </w:r>
      <w:r w:rsidRPr="008552C1">
        <w:t xml:space="preserve">nnual </w:t>
      </w:r>
      <w:r w:rsidR="000921BE">
        <w:t>p</w:t>
      </w:r>
      <w:r w:rsidRPr="008552C1">
        <w:t xml:space="preserve">erformance </w:t>
      </w:r>
      <w:r w:rsidR="000921BE">
        <w:t>s</w:t>
      </w:r>
      <w:r w:rsidRPr="008552C1">
        <w:t>tatement</w:t>
      </w:r>
      <w:r w:rsidR="007F31E3">
        <w:t>, which will be included in the ACCC/AER Annual Report</w:t>
      </w:r>
      <w:r w:rsidRPr="008552C1">
        <w:t>. We will develop a time series of results ov</w:t>
      </w:r>
      <w:r w:rsidR="00160951">
        <w:t>er the</w:t>
      </w:r>
      <w:r w:rsidR="007F31E3">
        <w:t xml:space="preserve"> four year</w:t>
      </w:r>
      <w:r w:rsidR="00160951">
        <w:t xml:space="preserve"> </w:t>
      </w:r>
      <w:r w:rsidRPr="008552C1">
        <w:t>reporting period. This will allow us to conduct analysis and report on the reasons for changes in results from year-to-year and also over longer periods</w:t>
      </w:r>
      <w:r w:rsidR="0094173D">
        <w:t xml:space="preserve">. </w:t>
      </w:r>
      <w:r w:rsidRPr="008552C1">
        <w:t xml:space="preserve"> </w:t>
      </w:r>
    </w:p>
    <w:p w:rsidR="005215AC" w:rsidRPr="008552C1" w:rsidRDefault="005215AC" w:rsidP="00B36F78">
      <w:r>
        <w:t xml:space="preserve">We have also included in section 4.2 tables that outline the expected budget allocation and average staffing level for each </w:t>
      </w:r>
      <w:r w:rsidR="007279CD">
        <w:t xml:space="preserve">agency </w:t>
      </w:r>
      <w:r>
        <w:t>strategy</w:t>
      </w:r>
      <w:r w:rsidR="00EF0B80">
        <w:t xml:space="preserve"> for </w:t>
      </w:r>
      <w:r w:rsidR="00A817A5">
        <w:t>2015–16</w:t>
      </w:r>
      <w:r w:rsidR="005604C2">
        <w:t xml:space="preserve">. </w:t>
      </w:r>
      <w:r w:rsidR="00B06438">
        <w:t>Each of these</w:t>
      </w:r>
      <w:r w:rsidR="009B453A">
        <w:t xml:space="preserve"> figures has </w:t>
      </w:r>
      <w:r>
        <w:t>a</w:t>
      </w:r>
      <w:r w:rsidR="00543694">
        <w:t xml:space="preserve"> built in </w:t>
      </w:r>
      <w:r>
        <w:t>allocation for corporate overheads</w:t>
      </w:r>
      <w:r w:rsidR="007678B3">
        <w:t>,</w:t>
      </w:r>
      <w:r>
        <w:t xml:space="preserve"> </w:t>
      </w:r>
      <w:r w:rsidR="007678B3">
        <w:t>the provision of legal and economic advice</w:t>
      </w:r>
      <w:r>
        <w:t xml:space="preserve"> </w:t>
      </w:r>
      <w:r w:rsidR="007678B3">
        <w:t>and</w:t>
      </w:r>
      <w:r w:rsidR="00542DC0">
        <w:t xml:space="preserve"> executive</w:t>
      </w:r>
      <w:r w:rsidR="007678B3">
        <w:t xml:space="preserve"> support</w:t>
      </w:r>
      <w:r w:rsidR="00DB303F">
        <w:t>.</w:t>
      </w:r>
      <w:r w:rsidR="007678B3" w:rsidRPr="007678B3">
        <w:t xml:space="preserve"> </w:t>
      </w:r>
      <w:r w:rsidR="007678B3">
        <w:t xml:space="preserve">This approach reflects that </w:t>
      </w:r>
      <w:r w:rsidR="007678B3" w:rsidRPr="007678B3">
        <w:t>staff in</w:t>
      </w:r>
      <w:r w:rsidR="007678B3">
        <w:t xml:space="preserve"> the corporate areas, Legal and Economic Division and the Executive Office contribute significantly to</w:t>
      </w:r>
      <w:r w:rsidR="000921BE">
        <w:t xml:space="preserve"> the agency</w:t>
      </w:r>
      <w:r w:rsidR="007678B3">
        <w:t xml:space="preserve"> achieving </w:t>
      </w:r>
      <w:r w:rsidR="009319F3">
        <w:t xml:space="preserve">good performance against </w:t>
      </w:r>
      <w:r w:rsidR="007678B3">
        <w:t>our four</w:t>
      </w:r>
      <w:r w:rsidR="009319F3">
        <w:t xml:space="preserve"> </w:t>
      </w:r>
      <w:r w:rsidR="007678B3">
        <w:t>strategies</w:t>
      </w:r>
      <w:r w:rsidR="00ED3674">
        <w:t>.</w:t>
      </w:r>
    </w:p>
    <w:p w:rsidR="008552C1" w:rsidRPr="008552C1" w:rsidRDefault="008552C1" w:rsidP="00B36F78">
      <w:r w:rsidRPr="008552C1">
        <w:t xml:space="preserve">In the </w:t>
      </w:r>
      <w:r w:rsidR="000921BE">
        <w:t>a</w:t>
      </w:r>
      <w:r w:rsidRPr="008552C1">
        <w:t xml:space="preserve">nnual </w:t>
      </w:r>
      <w:r w:rsidR="000921BE">
        <w:t>p</w:t>
      </w:r>
      <w:r w:rsidRPr="008552C1">
        <w:t>er</w:t>
      </w:r>
      <w:r w:rsidR="001F5D79">
        <w:t xml:space="preserve">formance </w:t>
      </w:r>
      <w:r w:rsidR="000921BE">
        <w:t>s</w:t>
      </w:r>
      <w:r w:rsidR="001F5D79">
        <w:t>tatement, we will</w:t>
      </w:r>
      <w:r w:rsidRPr="008552C1">
        <w:t xml:space="preserve"> complement the performance indicators with specific examples of actions and outcomes that can provide stakeholders with a detailed</w:t>
      </w:r>
      <w:r w:rsidR="001F5D79">
        <w:t xml:space="preserve"> and fuller</w:t>
      </w:r>
      <w:r w:rsidRPr="008552C1">
        <w:t xml:space="preserve"> understanding of what we achieved during the financial year. </w:t>
      </w:r>
    </w:p>
    <w:p w:rsidR="008552C1" w:rsidRPr="008552C1" w:rsidRDefault="008552C1" w:rsidP="00B36F78">
      <w:pPr>
        <w:pStyle w:val="Heading3"/>
      </w:pPr>
      <w:r w:rsidRPr="008552C1">
        <w:t>ACCC</w:t>
      </w:r>
      <w:r w:rsidR="0072333E">
        <w:t xml:space="preserve"> consumer and</w:t>
      </w:r>
      <w:r w:rsidRPr="008552C1">
        <w:t xml:space="preserve"> business survey</w:t>
      </w:r>
      <w:r w:rsidR="0072333E">
        <w:t>s</w:t>
      </w:r>
      <w:r w:rsidRPr="008552C1">
        <w:t xml:space="preserve">  </w:t>
      </w:r>
    </w:p>
    <w:p w:rsidR="0072333E" w:rsidRDefault="0072333E" w:rsidP="00B36F78">
      <w:r>
        <w:t xml:space="preserve">The ACCC currently conducts a biennial consumer and small business survey that seeks to gauge </w:t>
      </w:r>
      <w:r w:rsidR="005722F1">
        <w:t>the</w:t>
      </w:r>
      <w:r>
        <w:t xml:space="preserve"> level of understanding of </w:t>
      </w:r>
      <w:r w:rsidR="00FF5E1B">
        <w:t>its</w:t>
      </w:r>
      <w:r>
        <w:t xml:space="preserve"> roles and functions</w:t>
      </w:r>
      <w:r w:rsidR="005722F1">
        <w:t xml:space="preserve"> by consumers and small businesses</w:t>
      </w:r>
      <w:r>
        <w:t>. The survey is also</w:t>
      </w:r>
      <w:r w:rsidR="000A76C5">
        <w:t xml:space="preserve"> interested in how stakeholders</w:t>
      </w:r>
      <w:r>
        <w:t xml:space="preserve"> engage with </w:t>
      </w:r>
      <w:r w:rsidR="00FF5E1B">
        <w:t>the ACCC’s</w:t>
      </w:r>
      <w:r>
        <w:t xml:space="preserve"> communication through various media channels. </w:t>
      </w:r>
      <w:r w:rsidR="00FF5E1B">
        <w:t>T</w:t>
      </w:r>
      <w:r>
        <w:t>he results of this survey</w:t>
      </w:r>
      <w:r w:rsidR="00FF5E1B">
        <w:t xml:space="preserve"> are used</w:t>
      </w:r>
      <w:r>
        <w:t xml:space="preserve"> to </w:t>
      </w:r>
      <w:r w:rsidR="00FB3503">
        <w:t>enhance communication</w:t>
      </w:r>
      <w:r w:rsidR="000A76C5">
        <w:t xml:space="preserve"> capabilities</w:t>
      </w:r>
      <w:r w:rsidR="00FB3503">
        <w:t xml:space="preserve"> and</w:t>
      </w:r>
      <w:r w:rsidR="000A76C5">
        <w:t xml:space="preserve"> target media</w:t>
      </w:r>
      <w:r w:rsidR="001D6122">
        <w:t xml:space="preserve"> </w:t>
      </w:r>
      <w:r w:rsidR="00FB3503">
        <w:t>strategies.</w:t>
      </w:r>
    </w:p>
    <w:p w:rsidR="0072333E" w:rsidRDefault="008552C1" w:rsidP="00B36F78">
      <w:r w:rsidRPr="008552C1">
        <w:t>The ACCC is</w:t>
      </w:r>
      <w:r w:rsidR="0072333E">
        <w:t xml:space="preserve"> also</w:t>
      </w:r>
      <w:r w:rsidRPr="008552C1">
        <w:t xml:space="preserve"> developing a comprehensive biennial, business-focused survey. The primary objective of the survey is </w:t>
      </w:r>
      <w:r w:rsidR="0059466A">
        <w:t xml:space="preserve">to collect the views of a </w:t>
      </w:r>
      <w:r w:rsidRPr="008552C1">
        <w:t>representative group of business stakeholders regar</w:t>
      </w:r>
      <w:r w:rsidR="0059466A">
        <w:t>ding the ACCC’s performance</w:t>
      </w:r>
      <w:r w:rsidR="00A0133E">
        <w:t>. The result will be used</w:t>
      </w:r>
      <w:r w:rsidR="0059466A">
        <w:t xml:space="preserve"> </w:t>
      </w:r>
      <w:r w:rsidRPr="008552C1">
        <w:t xml:space="preserve">to inform continuous improvement strategies. </w:t>
      </w:r>
    </w:p>
    <w:p w:rsidR="008552C1" w:rsidRPr="008552C1" w:rsidRDefault="008552C1" w:rsidP="00B36F78">
      <w:r w:rsidRPr="008552C1">
        <w:t>The survey will be conducted for the first time during the June quarter of 2016. The resu</w:t>
      </w:r>
      <w:r w:rsidR="00EA4690">
        <w:t>lts and accompanying analysis</w:t>
      </w:r>
      <w:r w:rsidRPr="008552C1">
        <w:t xml:space="preserve"> will be published on the ACCC website. </w:t>
      </w:r>
    </w:p>
    <w:p w:rsidR="008552C1" w:rsidRPr="008552C1" w:rsidRDefault="008552C1" w:rsidP="00B36F78">
      <w:r w:rsidRPr="008552C1">
        <w:t xml:space="preserve">The survey will cover a cross-section of small, medium and large businesses, and various law firms representing businesses, that are likely to have engaged with the ACCC in the previous two years. </w:t>
      </w:r>
    </w:p>
    <w:p w:rsidR="00D13983" w:rsidRPr="00D13983" w:rsidRDefault="00D13983" w:rsidP="00D13983">
      <w:pPr>
        <w:pStyle w:val="Heading3"/>
      </w:pPr>
      <w:r w:rsidRPr="00D13983">
        <w:t>AER stakeholder survey</w:t>
      </w:r>
    </w:p>
    <w:p w:rsidR="00D13983" w:rsidRPr="00D13983" w:rsidRDefault="00D13983" w:rsidP="00D13983">
      <w:r w:rsidRPr="00D13983">
        <w:t xml:space="preserve">The AER will continue to conduct regular stakeholder surveys to seek feedback on its performance. Since 2008, the AER has undertaken </w:t>
      </w:r>
      <w:r w:rsidR="00816277">
        <w:t xml:space="preserve">three </w:t>
      </w:r>
      <w:r w:rsidR="005432E2">
        <w:t>surveys</w:t>
      </w:r>
      <w:r w:rsidRPr="00D13983">
        <w:t xml:space="preserve"> to empirically measure how it is meeting certain key performance indicators. These indicators go to the capabilities of a good regulatory agency, such as impartiality, transparency, engagement and timeliness of decisions.  </w:t>
      </w:r>
    </w:p>
    <w:p w:rsidR="00D13983" w:rsidRPr="00D13983" w:rsidRDefault="00D13983" w:rsidP="00D13983">
      <w:r w:rsidRPr="00D13983">
        <w:lastRenderedPageBreak/>
        <w:t>These surveys assist the AER to identify what it does well and areas it can improve and to benchmark its performance over time. To promote good governance and transparency, the results are published on the AER website.</w:t>
      </w:r>
    </w:p>
    <w:p w:rsidR="00D13983" w:rsidRPr="008552C1" w:rsidRDefault="00D13983" w:rsidP="00D13983">
      <w:r w:rsidRPr="00D13983">
        <w:t>The AER invites a broad range of organisations to participate in its stakeholder surveys including network businesses, retailers, generators, ombudsman schemes, state regulators, industry and consumer representatives and associations, consultants, government departments, and energy ministers. The surveys gather both quantitative and qualitative feedback with all stakeholders being asked to complete an on-line survey and a cross section from key stakeholder groups participating in one-on-one qualitative interviews.</w:t>
      </w:r>
    </w:p>
    <w:p w:rsidR="008552C1" w:rsidRPr="008552C1" w:rsidRDefault="008552C1" w:rsidP="00B36F78">
      <w:pPr>
        <w:pStyle w:val="Heading3"/>
      </w:pPr>
      <w:r w:rsidRPr="008552C1">
        <w:t xml:space="preserve">Regulator Performance Framework </w:t>
      </w:r>
    </w:p>
    <w:p w:rsidR="008552C1" w:rsidRPr="008552C1" w:rsidRDefault="008552C1" w:rsidP="00191E89">
      <w:r w:rsidRPr="008552C1">
        <w:t xml:space="preserve">The Australian Government has established a Regulator Performance Framework that applies to all major Commonwealth regulators as of 1 July 2015. </w:t>
      </w:r>
    </w:p>
    <w:p w:rsidR="008552C1" w:rsidRPr="00191E89" w:rsidRDefault="008552C1" w:rsidP="00191E89">
      <w:r w:rsidRPr="008552C1">
        <w:t xml:space="preserve">The framework establishes a common set of </w:t>
      </w:r>
      <w:r w:rsidRPr="00191E89">
        <w:t>six outcomes-based key performance indicators that will allow for the comprehensive assessment of regulator performance and their engagement with stakeholders, specifically:</w:t>
      </w:r>
    </w:p>
    <w:p w:rsidR="008552C1" w:rsidRPr="008552C1" w:rsidRDefault="008552C1" w:rsidP="00B36F78">
      <w:pPr>
        <w:pStyle w:val="ListNumber"/>
      </w:pPr>
      <w:r w:rsidRPr="008552C1">
        <w:t>Regulators do not unnecessarily impede the efficient operation of regulated entities</w:t>
      </w:r>
      <w:r w:rsidR="00ED3674">
        <w:t>.</w:t>
      </w:r>
      <w:r w:rsidRPr="008552C1">
        <w:t xml:space="preserve"> </w:t>
      </w:r>
    </w:p>
    <w:p w:rsidR="008552C1" w:rsidRPr="008552C1" w:rsidRDefault="008552C1" w:rsidP="00B36F78">
      <w:pPr>
        <w:pStyle w:val="ListNumber"/>
      </w:pPr>
      <w:r w:rsidRPr="008552C1">
        <w:t>Communication with regulated entities is clear, targeted and effective</w:t>
      </w:r>
      <w:r w:rsidR="00ED3674">
        <w:t>.</w:t>
      </w:r>
    </w:p>
    <w:p w:rsidR="008552C1" w:rsidRPr="008552C1" w:rsidRDefault="008552C1" w:rsidP="00B36F78">
      <w:pPr>
        <w:pStyle w:val="ListNumber"/>
      </w:pPr>
      <w:r w:rsidRPr="008552C1">
        <w:t>Actions undertaken by regulators are proportionate to the regulatory risk being managed</w:t>
      </w:r>
      <w:r w:rsidR="00ED3674">
        <w:t>.</w:t>
      </w:r>
    </w:p>
    <w:p w:rsidR="008552C1" w:rsidRPr="008552C1" w:rsidRDefault="008552C1" w:rsidP="00B36F78">
      <w:pPr>
        <w:pStyle w:val="ListNumber"/>
      </w:pPr>
      <w:r w:rsidRPr="008552C1">
        <w:t>Compliance and monitoring approaches are streamlined and coordinated</w:t>
      </w:r>
      <w:r w:rsidR="00ED3674">
        <w:t>.</w:t>
      </w:r>
    </w:p>
    <w:p w:rsidR="008552C1" w:rsidRPr="008552C1" w:rsidRDefault="008552C1" w:rsidP="00B36F78">
      <w:pPr>
        <w:pStyle w:val="ListNumber"/>
      </w:pPr>
      <w:r w:rsidRPr="008552C1">
        <w:t>Regulators are open and transparent in their dealings with regulated entities</w:t>
      </w:r>
      <w:r w:rsidR="00ED3674">
        <w:t>.</w:t>
      </w:r>
    </w:p>
    <w:p w:rsidR="008552C1" w:rsidRPr="008552C1" w:rsidRDefault="008552C1" w:rsidP="00B36F78">
      <w:pPr>
        <w:pStyle w:val="ListNumber"/>
      </w:pPr>
      <w:r w:rsidRPr="008552C1">
        <w:t>Regulators actively contribute to the continuous improvement of regulatory frameworks</w:t>
      </w:r>
      <w:r w:rsidR="00ED3674">
        <w:t>.</w:t>
      </w:r>
    </w:p>
    <w:p w:rsidR="008552C1" w:rsidRDefault="008552C1" w:rsidP="00B36F78">
      <w:r w:rsidRPr="008552C1">
        <w:t>The ACCC fully supports the new framework, as it provides for increased transparency and accountability about how regulators achieve their statutory objectives. It also helps identify ways that the ACCC and the relevant policy agencies can reduce red-tape.</w:t>
      </w:r>
    </w:p>
    <w:p w:rsidR="00567967" w:rsidRPr="008552C1" w:rsidRDefault="00567967" w:rsidP="00B36F78">
      <w:r w:rsidRPr="00567967">
        <w:t>While not formally covered by Regulator Performance Framework, the AER also has regard to the framework’s six key performance indicators in undertaking its functions.</w:t>
      </w:r>
    </w:p>
    <w:p w:rsidR="008552C1" w:rsidRDefault="008552C1" w:rsidP="00B36F78">
      <w:r w:rsidRPr="009319F3">
        <w:t>The Min</w:t>
      </w:r>
      <w:r w:rsidR="001B3E8A" w:rsidRPr="009319F3">
        <w:t>i</w:t>
      </w:r>
      <w:r w:rsidRPr="009319F3">
        <w:t xml:space="preserve">ster for Small Business, the </w:t>
      </w:r>
      <w:proofErr w:type="spellStart"/>
      <w:r w:rsidRPr="009319F3">
        <w:t>Hon</w:t>
      </w:r>
      <w:proofErr w:type="spellEnd"/>
      <w:r w:rsidRPr="009319F3">
        <w:t xml:space="preserve"> Bruce Billson MP, has</w:t>
      </w:r>
      <w:r w:rsidR="00C3707B" w:rsidRPr="009319F3">
        <w:t xml:space="preserve"> a role in </w:t>
      </w:r>
      <w:r w:rsidRPr="009319F3">
        <w:t>approv</w:t>
      </w:r>
      <w:r w:rsidR="00C3707B" w:rsidRPr="009319F3">
        <w:t>ing</w:t>
      </w:r>
      <w:r w:rsidRPr="009319F3">
        <w:t xml:space="preserve"> the self</w:t>
      </w:r>
      <w:r w:rsidRPr="009319F3">
        <w:noBreakHyphen/>
        <w:t xml:space="preserve">assessment </w:t>
      </w:r>
      <w:proofErr w:type="gramStart"/>
      <w:r w:rsidRPr="009319F3">
        <w:t>methodology,</w:t>
      </w:r>
      <w:proofErr w:type="gramEnd"/>
      <w:r w:rsidRPr="009319F3">
        <w:t xml:space="preserve"> measures and output/</w:t>
      </w:r>
      <w:r w:rsidR="0076581C" w:rsidRPr="009319F3">
        <w:t>activity</w:t>
      </w:r>
      <w:r w:rsidR="0076581C" w:rsidRPr="009319F3">
        <w:noBreakHyphen/>
        <w:t xml:space="preserve">based evidence </w:t>
      </w:r>
      <w:r w:rsidR="00567967" w:rsidRPr="009319F3">
        <w:t>the ACCC</w:t>
      </w:r>
      <w:r w:rsidR="0076581C" w:rsidRPr="009319F3">
        <w:t xml:space="preserve"> will use to assess </w:t>
      </w:r>
      <w:r w:rsidRPr="009319F3">
        <w:t xml:space="preserve">performance against the six key performance indicators annually. </w:t>
      </w:r>
    </w:p>
    <w:p w:rsidR="00E83D1E" w:rsidRPr="008552C1" w:rsidRDefault="00E83D1E" w:rsidP="00B36F78">
      <w:r w:rsidRPr="00E83D1E">
        <w:t xml:space="preserve">The results of the ACCC’s annual self-assessment, which the ACCC Performance Consultative Committee will review to provide quality </w:t>
      </w:r>
      <w:proofErr w:type="gramStart"/>
      <w:r w:rsidRPr="00E83D1E">
        <w:t>assurance,</w:t>
      </w:r>
      <w:proofErr w:type="gramEnd"/>
      <w:r w:rsidRPr="00E83D1E">
        <w:t xml:space="preserve"> and any other relevant Regulator Performance Framework documentation will be published on the ACCC website.</w:t>
      </w:r>
    </w:p>
    <w:p w:rsidR="008552C1" w:rsidRPr="008552C1" w:rsidRDefault="008552C1" w:rsidP="00FC0D8A">
      <w:pPr>
        <w:pStyle w:val="Numbered11"/>
        <w:ind w:left="426"/>
      </w:pPr>
      <w:r w:rsidRPr="008552C1">
        <w:t>Performance indicators</w:t>
      </w:r>
    </w:p>
    <w:p w:rsidR="008552C1" w:rsidRPr="008552C1" w:rsidRDefault="008552C1" w:rsidP="00B36F78">
      <w:pPr>
        <w:pStyle w:val="Heading2"/>
      </w:pPr>
      <w:r w:rsidRPr="008552C1">
        <w:t>ACCC</w:t>
      </w:r>
    </w:p>
    <w:p w:rsidR="008552C1" w:rsidRPr="008552C1" w:rsidRDefault="009319F3" w:rsidP="00B36F78">
      <w:pPr>
        <w:pStyle w:val="Heading3"/>
      </w:pPr>
      <w:r>
        <w:t>S</w:t>
      </w:r>
      <w:r w:rsidR="008552C1" w:rsidRPr="008552C1">
        <w:t>trategy 1</w:t>
      </w:r>
      <w:r w:rsidR="005413B0">
        <w:tab/>
      </w:r>
      <w:r w:rsidR="008552C1" w:rsidRPr="008552C1">
        <w:t>Maintain and promote competition</w:t>
      </w:r>
    </w:p>
    <w:p w:rsidR="008552C1" w:rsidRPr="008552C1" w:rsidRDefault="008552C1" w:rsidP="00191E89">
      <w:r w:rsidRPr="008552C1">
        <w:t xml:space="preserve">Competitive markets lead to lower prices, better quality products and services, greater efficiency and more choice, all of which benefit consumers. As Australia’s only competition regulator, </w:t>
      </w:r>
      <w:r w:rsidR="00904539">
        <w:t>the ACCC</w:t>
      </w:r>
      <w:r w:rsidRPr="008552C1">
        <w:t xml:space="preserve"> work</w:t>
      </w:r>
      <w:r w:rsidR="00904539">
        <w:t>s</w:t>
      </w:r>
      <w:r w:rsidRPr="008552C1">
        <w:t xml:space="preserve"> to enhance the welfare of Australians by maintaining and promoting competition</w:t>
      </w:r>
      <w:r w:rsidR="00904539">
        <w:t>.</w:t>
      </w:r>
    </w:p>
    <w:p w:rsidR="008552C1" w:rsidRPr="008552C1" w:rsidRDefault="00904539" w:rsidP="00191E89">
      <w:r>
        <w:t>The ACCC</w:t>
      </w:r>
      <w:r w:rsidR="008552C1" w:rsidRPr="008552C1">
        <w:t xml:space="preserve"> do</w:t>
      </w:r>
      <w:r>
        <w:t>es</w:t>
      </w:r>
      <w:r w:rsidR="008552C1" w:rsidRPr="008552C1">
        <w:t xml:space="preserve"> so by enforcing Part IV of the CCA in relation to:</w:t>
      </w:r>
    </w:p>
    <w:p w:rsidR="001A6880" w:rsidRDefault="001A6880" w:rsidP="00B36F78">
      <w:pPr>
        <w:pStyle w:val="Bulletpoint"/>
      </w:pPr>
      <w:r>
        <w:t>c</w:t>
      </w:r>
      <w:r w:rsidR="008552C1" w:rsidRPr="001A6880">
        <w:t>artel</w:t>
      </w:r>
      <w:r>
        <w:t xml:space="preserve"> conduct</w:t>
      </w:r>
      <w:r w:rsidR="008552C1" w:rsidRPr="008552C1">
        <w:t xml:space="preserve"> </w:t>
      </w:r>
    </w:p>
    <w:p w:rsidR="008552C1" w:rsidRPr="008552C1" w:rsidRDefault="008552C1" w:rsidP="00B36F78">
      <w:pPr>
        <w:pStyle w:val="Bulletpoint"/>
      </w:pPr>
      <w:r w:rsidRPr="008552C1">
        <w:lastRenderedPageBreak/>
        <w:t>anti-competitive agreements</w:t>
      </w:r>
      <w:r w:rsidR="001A6880">
        <w:t xml:space="preserve"> and practices</w:t>
      </w:r>
    </w:p>
    <w:p w:rsidR="008552C1" w:rsidRPr="008552C1" w:rsidRDefault="008552C1" w:rsidP="00B36F78">
      <w:pPr>
        <w:pStyle w:val="Bulletpoint"/>
      </w:pPr>
      <w:r w:rsidRPr="008552C1">
        <w:t>misuse of market power</w:t>
      </w:r>
      <w:r w:rsidR="001A6880">
        <w:t>, and</w:t>
      </w:r>
    </w:p>
    <w:p w:rsidR="008552C1" w:rsidRPr="008552C1" w:rsidRDefault="008552C1" w:rsidP="00B36F78">
      <w:pPr>
        <w:pStyle w:val="Bulletpoint"/>
      </w:pPr>
      <w:proofErr w:type="gramStart"/>
      <w:r w:rsidRPr="008552C1">
        <w:t>mergers</w:t>
      </w:r>
      <w:proofErr w:type="gramEnd"/>
      <w:r w:rsidRPr="008552C1">
        <w:t xml:space="preserve"> which substantially lessen competition.</w:t>
      </w:r>
    </w:p>
    <w:p w:rsidR="009D12A1" w:rsidRPr="008552C1" w:rsidRDefault="008552C1" w:rsidP="0001014D">
      <w:pPr>
        <w:spacing w:after="120"/>
      </w:pPr>
      <w:r w:rsidRPr="008552C1">
        <w:t>The CCA allows the ACCC to consider applications for authorisation and notifications, which enables some anti-competitive conduct to go ahead where the public benefit outweighs the public harm, including harm from reduced competition.</w:t>
      </w:r>
    </w:p>
    <w:tbl>
      <w:tblPr>
        <w:tblStyle w:val="LightShading1"/>
        <w:tblW w:w="0" w:type="auto"/>
        <w:jc w:val="center"/>
        <w:tblLook w:val="0620" w:firstRow="1" w:lastRow="0" w:firstColumn="0" w:lastColumn="0" w:noHBand="1" w:noVBand="1"/>
      </w:tblPr>
      <w:tblGrid>
        <w:gridCol w:w="5812"/>
      </w:tblGrid>
      <w:tr w:rsidR="008552C1" w:rsidRPr="008552C1" w:rsidTr="009D12A1">
        <w:trPr>
          <w:cnfStyle w:val="100000000000" w:firstRow="1" w:lastRow="0" w:firstColumn="0" w:lastColumn="0" w:oddVBand="0" w:evenVBand="0" w:oddHBand="0" w:evenHBand="0" w:firstRowFirstColumn="0" w:firstRowLastColumn="0" w:lastRowFirstColumn="0" w:lastRowLastColumn="0"/>
          <w:trHeight w:val="274"/>
          <w:jc w:val="center"/>
        </w:trPr>
        <w:tc>
          <w:tcPr>
            <w:tcW w:w="5812" w:type="dxa"/>
          </w:tcPr>
          <w:p w:rsidR="007678B3" w:rsidRPr="00542DC0" w:rsidRDefault="008552C1" w:rsidP="00464B11">
            <w:r w:rsidRPr="00F53819">
              <w:t>Expected allocation</w:t>
            </w:r>
            <w:r w:rsidR="00D6719F">
              <w:t xml:space="preserve"> for </w:t>
            </w:r>
            <w:r w:rsidR="00A817A5">
              <w:t>2015–16</w:t>
            </w:r>
            <w:r w:rsidR="00464B11" w:rsidRPr="00542DC0">
              <w:rPr>
                <w:b w:val="0"/>
              </w:rPr>
              <w:t>*</w:t>
            </w:r>
          </w:p>
        </w:tc>
      </w:tr>
      <w:tr w:rsidR="008552C1" w:rsidRPr="008552C1" w:rsidTr="009D12A1">
        <w:trPr>
          <w:trHeight w:val="267"/>
          <w:jc w:val="center"/>
        </w:trPr>
        <w:tc>
          <w:tcPr>
            <w:tcW w:w="5812" w:type="dxa"/>
          </w:tcPr>
          <w:p w:rsidR="008552C1" w:rsidRPr="00DE38C7" w:rsidRDefault="008552C1" w:rsidP="007678B3">
            <w:r w:rsidRPr="00DE38C7">
              <w:t xml:space="preserve">Budget </w:t>
            </w:r>
            <w:r w:rsidR="00DE38C7">
              <w:t>(millions)</w:t>
            </w:r>
            <w:r w:rsidRPr="00DE38C7">
              <w:t xml:space="preserve">                                                     $</w:t>
            </w:r>
            <w:r w:rsidR="007E1603">
              <w:t>52.78</w:t>
            </w:r>
          </w:p>
        </w:tc>
      </w:tr>
      <w:tr w:rsidR="008552C1" w:rsidRPr="008552C1" w:rsidTr="009D12A1">
        <w:trPr>
          <w:trHeight w:val="252"/>
          <w:jc w:val="center"/>
        </w:trPr>
        <w:tc>
          <w:tcPr>
            <w:tcW w:w="5812" w:type="dxa"/>
          </w:tcPr>
          <w:p w:rsidR="008552C1" w:rsidRPr="00DE38C7" w:rsidRDefault="001F069B" w:rsidP="007678B3">
            <w:r w:rsidRPr="00DE38C7">
              <w:t>Average staffing level</w:t>
            </w:r>
            <w:r w:rsidR="008552C1" w:rsidRPr="00DE38C7">
              <w:t xml:space="preserve">  </w:t>
            </w:r>
            <w:r w:rsidR="00BB3450" w:rsidRPr="00DE38C7">
              <w:t xml:space="preserve">                              </w:t>
            </w:r>
            <w:r w:rsidR="00DE38C7">
              <w:t xml:space="preserve">               </w:t>
            </w:r>
            <w:r w:rsidR="007E1603">
              <w:t>218.6</w:t>
            </w:r>
          </w:p>
        </w:tc>
      </w:tr>
      <w:tr w:rsidR="00542DC0" w:rsidRPr="008552C1" w:rsidTr="009D12A1">
        <w:trPr>
          <w:trHeight w:val="252"/>
          <w:jc w:val="center"/>
        </w:trPr>
        <w:tc>
          <w:tcPr>
            <w:tcW w:w="5812" w:type="dxa"/>
          </w:tcPr>
          <w:p w:rsidR="00542DC0" w:rsidRPr="00DE38C7" w:rsidRDefault="00542DC0" w:rsidP="007678B3">
            <w:r w:rsidRPr="00542DC0">
              <w:t>*</w:t>
            </w:r>
            <w:r w:rsidRPr="00542DC0">
              <w:rPr>
                <w:sz w:val="16"/>
                <w:szCs w:val="16"/>
              </w:rPr>
              <w:t>Each figure includes an allocation fo</w:t>
            </w:r>
            <w:r w:rsidR="00662113">
              <w:rPr>
                <w:sz w:val="16"/>
                <w:szCs w:val="16"/>
              </w:rPr>
              <w:t xml:space="preserve">r corporate overheads, </w:t>
            </w:r>
            <w:r w:rsidRPr="00542DC0">
              <w:rPr>
                <w:sz w:val="16"/>
                <w:szCs w:val="16"/>
              </w:rPr>
              <w:t>legal and economic advice and executive support</w:t>
            </w:r>
          </w:p>
        </w:tc>
      </w:tr>
    </w:tbl>
    <w:p w:rsidR="008552C1" w:rsidRPr="008552C1" w:rsidRDefault="008552C1" w:rsidP="00F53819">
      <w:pPr>
        <w:pStyle w:val="Heading4"/>
      </w:pPr>
      <w:r w:rsidRPr="008552C1">
        <w:t>Deliver outcomes to address harm to consumers and businesses resulting from anti-competitive conduct</w:t>
      </w:r>
    </w:p>
    <w:p w:rsidR="008552C1" w:rsidRPr="008552C1" w:rsidRDefault="008552C1" w:rsidP="00191E89">
      <w:r w:rsidRPr="008552C1">
        <w:t xml:space="preserve">The ACCC’s Compliance and Enforcement Policy sets out priorities for the year and the factors </w:t>
      </w:r>
      <w:r w:rsidR="009319F3">
        <w:t>the ACCC</w:t>
      </w:r>
      <w:r w:rsidRPr="008552C1">
        <w:t xml:space="preserve"> take</w:t>
      </w:r>
      <w:r w:rsidR="009319F3">
        <w:t>s</w:t>
      </w:r>
      <w:r w:rsidRPr="008552C1">
        <w:t xml:space="preserve"> into account when deciding whether to pursue matters. In February</w:t>
      </w:r>
      <w:r w:rsidR="00ED3674">
        <w:t xml:space="preserve"> </w:t>
      </w:r>
      <w:r w:rsidRPr="008552C1">
        <w:t>2015, a revised policy</w:t>
      </w:r>
      <w:r w:rsidR="009319F3">
        <w:t xml:space="preserve"> was released</w:t>
      </w:r>
      <w:r w:rsidRPr="008552C1">
        <w:t>, which continues to prioritise cartel conduct, anti-competitive agreements and practices, and the misuse of market power.</w:t>
      </w:r>
    </w:p>
    <w:tbl>
      <w:tblPr>
        <w:tblStyle w:val="LightShading1"/>
        <w:tblpPr w:leftFromText="180" w:rightFromText="180" w:vertAnchor="text" w:horzAnchor="margin" w:tblpX="108" w:tblpY="145"/>
        <w:tblW w:w="0" w:type="auto"/>
        <w:tblLook w:val="0020" w:firstRow="1" w:lastRow="0" w:firstColumn="0" w:lastColumn="0" w:noHBand="0" w:noVBand="0"/>
      </w:tblPr>
      <w:tblGrid>
        <w:gridCol w:w="8037"/>
        <w:gridCol w:w="1205"/>
      </w:tblGrid>
      <w:tr w:rsidR="008552C1" w:rsidRPr="00F53819" w:rsidTr="00F53819">
        <w:trPr>
          <w:cnfStyle w:val="100000000000" w:firstRow="1" w:lastRow="0" w:firstColumn="0" w:lastColumn="0" w:oddVBand="0" w:evenVBand="0" w:oddHBand="0" w:evenHBand="0" w:firstRowFirstColumn="0" w:firstRowLastColumn="0" w:lastRowFirstColumn="0" w:lastRowLastColumn="0"/>
          <w:trHeight w:val="274"/>
        </w:trPr>
        <w:tc>
          <w:tcPr>
            <w:tcW w:w="0" w:type="auto"/>
          </w:tcPr>
          <w:p w:rsidR="008552C1" w:rsidRPr="00F53819" w:rsidRDefault="008552C1" w:rsidP="00F53819">
            <w:r w:rsidRPr="00F53819">
              <w:t xml:space="preserve">Performance </w:t>
            </w:r>
            <w:r w:rsidR="00775952">
              <w:t>indicators</w:t>
            </w:r>
          </w:p>
        </w:tc>
        <w:tc>
          <w:tcPr>
            <w:tcW w:w="0" w:type="auto"/>
          </w:tcPr>
          <w:p w:rsidR="008552C1" w:rsidRPr="00F53819" w:rsidRDefault="008552C1" w:rsidP="00F53819">
            <w:r w:rsidRPr="00F53819">
              <w:t>Annual target</w:t>
            </w:r>
          </w:p>
        </w:tc>
      </w:tr>
      <w:tr w:rsidR="008552C1" w:rsidRPr="00F53819" w:rsidTr="00F53819">
        <w:trPr>
          <w:trHeight w:val="408"/>
        </w:trPr>
        <w:tc>
          <w:tcPr>
            <w:tcW w:w="0" w:type="auto"/>
          </w:tcPr>
          <w:p w:rsidR="008552C1" w:rsidRPr="00F53819" w:rsidRDefault="008552C1" w:rsidP="00F53819">
            <w:r w:rsidRPr="00F53819">
              <w:t>Number of in-depth competition investigations completed</w:t>
            </w:r>
          </w:p>
        </w:tc>
        <w:tc>
          <w:tcPr>
            <w:tcW w:w="0" w:type="auto"/>
          </w:tcPr>
          <w:p w:rsidR="008552C1" w:rsidRPr="00F53819" w:rsidRDefault="008552C1" w:rsidP="00F53819">
            <w:r w:rsidRPr="00F53819">
              <w:t>40</w:t>
            </w:r>
          </w:p>
        </w:tc>
      </w:tr>
      <w:tr w:rsidR="008552C1" w:rsidRPr="00F53819" w:rsidTr="00F53819">
        <w:trPr>
          <w:trHeight w:val="474"/>
        </w:trPr>
        <w:tc>
          <w:tcPr>
            <w:tcW w:w="0" w:type="auto"/>
          </w:tcPr>
          <w:p w:rsidR="008552C1" w:rsidRPr="00EB3622" w:rsidRDefault="008552C1" w:rsidP="00F53819">
            <w:r w:rsidRPr="00EB3622">
              <w:t>Percentage of initial competition investigations completed within 3 months</w:t>
            </w:r>
          </w:p>
        </w:tc>
        <w:tc>
          <w:tcPr>
            <w:tcW w:w="0" w:type="auto"/>
          </w:tcPr>
          <w:p w:rsidR="008552C1" w:rsidRPr="00EB3622" w:rsidRDefault="00EB3622" w:rsidP="00F53819">
            <w:r w:rsidRPr="00EB3622">
              <w:t>6</w:t>
            </w:r>
            <w:r w:rsidR="008552C1" w:rsidRPr="00EB3622">
              <w:t>0%</w:t>
            </w:r>
          </w:p>
        </w:tc>
      </w:tr>
      <w:tr w:rsidR="008552C1" w:rsidRPr="00F53819" w:rsidTr="00F53819">
        <w:trPr>
          <w:trHeight w:val="427"/>
        </w:trPr>
        <w:tc>
          <w:tcPr>
            <w:tcW w:w="0" w:type="auto"/>
          </w:tcPr>
          <w:p w:rsidR="008552C1" w:rsidRPr="00EB3622" w:rsidRDefault="008552C1" w:rsidP="00F53819">
            <w:r w:rsidRPr="00EB3622">
              <w:t>Percentage of in-depth competition investigations completed within 12 months</w:t>
            </w:r>
          </w:p>
        </w:tc>
        <w:tc>
          <w:tcPr>
            <w:tcW w:w="0" w:type="auto"/>
          </w:tcPr>
          <w:p w:rsidR="008552C1" w:rsidRPr="00EB3622" w:rsidRDefault="00EB3622" w:rsidP="00F53819">
            <w:r w:rsidRPr="00EB3622">
              <w:t>6</w:t>
            </w:r>
            <w:r w:rsidR="008552C1" w:rsidRPr="00EB3622">
              <w:t>0%</w:t>
            </w:r>
          </w:p>
        </w:tc>
      </w:tr>
      <w:tr w:rsidR="008552C1" w:rsidRPr="00F53819" w:rsidTr="00F53819">
        <w:trPr>
          <w:trHeight w:val="427"/>
        </w:trPr>
        <w:tc>
          <w:tcPr>
            <w:tcW w:w="0" w:type="auto"/>
          </w:tcPr>
          <w:p w:rsidR="008552C1" w:rsidRPr="00F53819" w:rsidRDefault="008552C1" w:rsidP="00ED3674">
            <w:r w:rsidRPr="00F53819">
              <w:t>Number of competition enforcement interventions</w:t>
            </w:r>
            <w:r w:rsidRPr="00F53819">
              <w:br/>
              <w:t>(court proceeding commenced,</w:t>
            </w:r>
            <w:r w:rsidR="0087328B">
              <w:t xml:space="preserve"> s. </w:t>
            </w:r>
            <w:r w:rsidRPr="00F53819">
              <w:t xml:space="preserve">87B undertakings accepted) </w:t>
            </w:r>
          </w:p>
        </w:tc>
        <w:tc>
          <w:tcPr>
            <w:tcW w:w="0" w:type="auto"/>
          </w:tcPr>
          <w:p w:rsidR="008552C1" w:rsidRPr="00F53819" w:rsidRDefault="008552C1" w:rsidP="00F53819">
            <w:r w:rsidRPr="00F53819">
              <w:t>8</w:t>
            </w:r>
          </w:p>
        </w:tc>
      </w:tr>
      <w:tr w:rsidR="008552C1" w:rsidRPr="00F53819" w:rsidTr="00F53819">
        <w:trPr>
          <w:trHeight w:val="427"/>
        </w:trPr>
        <w:tc>
          <w:tcPr>
            <w:tcW w:w="0" w:type="auto"/>
          </w:tcPr>
          <w:p w:rsidR="008552C1" w:rsidRPr="00F53819" w:rsidRDefault="008552C1" w:rsidP="00F53819">
            <w:r w:rsidRPr="00F53819">
              <w:t>Percentage of competition enforcement interventions in the priority areas outlined in the Compliance and Enforcement Policy</w:t>
            </w:r>
          </w:p>
        </w:tc>
        <w:tc>
          <w:tcPr>
            <w:tcW w:w="0" w:type="auto"/>
          </w:tcPr>
          <w:p w:rsidR="008552C1" w:rsidRPr="00F53819" w:rsidRDefault="008552C1" w:rsidP="00F53819">
            <w:r w:rsidRPr="00F53819">
              <w:t>80%</w:t>
            </w:r>
          </w:p>
        </w:tc>
      </w:tr>
      <w:tr w:rsidR="008552C1" w:rsidRPr="00F53819" w:rsidTr="00F53819">
        <w:trPr>
          <w:trHeight w:val="427"/>
        </w:trPr>
        <w:tc>
          <w:tcPr>
            <w:tcW w:w="0" w:type="auto"/>
          </w:tcPr>
          <w:p w:rsidR="008552C1" w:rsidRPr="0043573C" w:rsidRDefault="008552C1" w:rsidP="00F53819">
            <w:r w:rsidRPr="0043573C">
              <w:t>Percentage of competition enforcement interventions in the priority areas, or demonstrate the priority factors, outlined in the Compliance and Enforcement Policy</w:t>
            </w:r>
          </w:p>
        </w:tc>
        <w:tc>
          <w:tcPr>
            <w:tcW w:w="0" w:type="auto"/>
          </w:tcPr>
          <w:p w:rsidR="008552C1" w:rsidRPr="0043573C" w:rsidRDefault="00CF4378" w:rsidP="00F53819">
            <w:r>
              <w:t>10</w:t>
            </w:r>
            <w:r w:rsidR="008552C1" w:rsidRPr="0043573C">
              <w:t>0%</w:t>
            </w:r>
          </w:p>
        </w:tc>
      </w:tr>
    </w:tbl>
    <w:p w:rsidR="008552C1" w:rsidRPr="008552C1" w:rsidRDefault="008552C1" w:rsidP="00F53819">
      <w:pPr>
        <w:pStyle w:val="Heading4"/>
      </w:pPr>
      <w:r w:rsidRPr="008552C1">
        <w:t>Assess mergers to prevent structural changes that substa</w:t>
      </w:r>
      <w:r w:rsidR="00ED3674">
        <w:t>ntially lessen competition</w:t>
      </w:r>
    </w:p>
    <w:p w:rsidR="008552C1" w:rsidRPr="008552C1" w:rsidRDefault="008552C1" w:rsidP="00191E89">
      <w:r w:rsidRPr="008552C1">
        <w:t xml:space="preserve">The ACCC will continue to assess and review (proposed) mergers and acquisitions to assess whether they would substantially lessen competition.    </w:t>
      </w:r>
    </w:p>
    <w:tbl>
      <w:tblPr>
        <w:tblStyle w:val="LightShading1"/>
        <w:tblpPr w:leftFromText="180" w:rightFromText="180" w:vertAnchor="text" w:horzAnchor="margin" w:tblpX="108" w:tblpY="145"/>
        <w:tblW w:w="0" w:type="auto"/>
        <w:tblLook w:val="0020" w:firstRow="1" w:lastRow="0" w:firstColumn="0" w:lastColumn="0" w:noHBand="0" w:noVBand="0"/>
      </w:tblPr>
      <w:tblGrid>
        <w:gridCol w:w="8051"/>
        <w:gridCol w:w="1191"/>
      </w:tblGrid>
      <w:tr w:rsidR="008552C1" w:rsidRPr="00F53819" w:rsidTr="00F53819">
        <w:trPr>
          <w:cnfStyle w:val="100000000000" w:firstRow="1" w:lastRow="0" w:firstColumn="0" w:lastColumn="0" w:oddVBand="0" w:evenVBand="0" w:oddHBand="0" w:evenHBand="0" w:firstRowFirstColumn="0" w:firstRowLastColumn="0" w:lastRowFirstColumn="0" w:lastRowLastColumn="0"/>
          <w:trHeight w:val="274"/>
        </w:trPr>
        <w:tc>
          <w:tcPr>
            <w:tcW w:w="0" w:type="auto"/>
          </w:tcPr>
          <w:p w:rsidR="008552C1" w:rsidRPr="00F53819" w:rsidRDefault="008552C1" w:rsidP="00F53819">
            <w:r w:rsidRPr="00F53819">
              <w:t xml:space="preserve">Performance </w:t>
            </w:r>
            <w:r w:rsidR="00775952">
              <w:t>indicators</w:t>
            </w:r>
          </w:p>
        </w:tc>
        <w:tc>
          <w:tcPr>
            <w:tcW w:w="0" w:type="auto"/>
          </w:tcPr>
          <w:p w:rsidR="008552C1" w:rsidRPr="00F53819" w:rsidRDefault="008552C1" w:rsidP="00F53819">
            <w:r w:rsidRPr="00F53819">
              <w:t>Annual target</w:t>
            </w:r>
          </w:p>
        </w:tc>
      </w:tr>
      <w:tr w:rsidR="008552C1" w:rsidRPr="00F53819" w:rsidTr="00F53819">
        <w:trPr>
          <w:trHeight w:val="408"/>
        </w:trPr>
        <w:tc>
          <w:tcPr>
            <w:tcW w:w="0" w:type="auto"/>
          </w:tcPr>
          <w:p w:rsidR="008552C1" w:rsidRPr="00F53819" w:rsidRDefault="008552C1" w:rsidP="00F53819">
            <w:r w:rsidRPr="00F53819">
              <w:t>Number of merger matters considered (externally driven)</w:t>
            </w:r>
          </w:p>
        </w:tc>
        <w:tc>
          <w:tcPr>
            <w:tcW w:w="0" w:type="auto"/>
          </w:tcPr>
          <w:p w:rsidR="008552C1" w:rsidRPr="00F53819" w:rsidRDefault="008552C1" w:rsidP="00F53819">
            <w:r w:rsidRPr="00F53819">
              <w:t>N/A</w:t>
            </w:r>
          </w:p>
        </w:tc>
      </w:tr>
      <w:tr w:rsidR="008552C1" w:rsidRPr="00F53819" w:rsidTr="00F53819">
        <w:trPr>
          <w:trHeight w:val="474"/>
        </w:trPr>
        <w:tc>
          <w:tcPr>
            <w:tcW w:w="0" w:type="auto"/>
          </w:tcPr>
          <w:p w:rsidR="008552C1" w:rsidRPr="00F53819" w:rsidRDefault="008552C1" w:rsidP="00F53819">
            <w:r w:rsidRPr="00F53819">
              <w:t>Percentage of merger matters considered that were finalised by pre-assessment</w:t>
            </w:r>
          </w:p>
        </w:tc>
        <w:tc>
          <w:tcPr>
            <w:tcW w:w="0" w:type="auto"/>
          </w:tcPr>
          <w:p w:rsidR="008552C1" w:rsidRPr="00F53819" w:rsidRDefault="008552C1" w:rsidP="00F53819">
            <w:r w:rsidRPr="00F53819">
              <w:t>70%</w:t>
            </w:r>
          </w:p>
        </w:tc>
      </w:tr>
      <w:tr w:rsidR="008552C1" w:rsidRPr="00F53819" w:rsidTr="00F53819">
        <w:trPr>
          <w:trHeight w:val="427"/>
        </w:trPr>
        <w:tc>
          <w:tcPr>
            <w:tcW w:w="0" w:type="auto"/>
          </w:tcPr>
          <w:p w:rsidR="008552C1" w:rsidRPr="00F53819" w:rsidRDefault="008552C1" w:rsidP="00F53819">
            <w:r w:rsidRPr="00F53819">
              <w:lastRenderedPageBreak/>
              <w:t>Number of merger matters involvin</w:t>
            </w:r>
            <w:r w:rsidR="00ED3674">
              <w:t>g Phase 1 only of public review</w:t>
            </w:r>
            <w:r w:rsidRPr="00F53819">
              <w:t xml:space="preserve"> (Phase 1 only of a public review means a Statement of Issues is not released)</w:t>
            </w:r>
            <w:r w:rsidR="008D12AE">
              <w:t xml:space="preserve"> </w:t>
            </w:r>
            <w:r w:rsidR="008D12AE" w:rsidRPr="008D12AE">
              <w:t>(externally driven)</w:t>
            </w:r>
            <w:r w:rsidRPr="00F53819">
              <w:t xml:space="preserve"> </w:t>
            </w:r>
          </w:p>
        </w:tc>
        <w:tc>
          <w:tcPr>
            <w:tcW w:w="0" w:type="auto"/>
          </w:tcPr>
          <w:p w:rsidR="008552C1" w:rsidRPr="00F53819" w:rsidRDefault="008552C1" w:rsidP="00F53819">
            <w:r w:rsidRPr="00F53819">
              <w:t>N/A</w:t>
            </w:r>
          </w:p>
        </w:tc>
      </w:tr>
      <w:tr w:rsidR="008552C1" w:rsidRPr="00F53819" w:rsidTr="00F53819">
        <w:trPr>
          <w:trHeight w:val="427"/>
        </w:trPr>
        <w:tc>
          <w:tcPr>
            <w:tcW w:w="0" w:type="auto"/>
          </w:tcPr>
          <w:p w:rsidR="008552C1" w:rsidRPr="00F53819" w:rsidRDefault="008552C1" w:rsidP="00F53819">
            <w:r w:rsidRPr="00F53819">
              <w:t>Number of merger matters involving Phase 1 and Phase 2 of public review (Phase 2 involves release of Statement of Issues)</w:t>
            </w:r>
            <w:r w:rsidR="008D12AE">
              <w:t xml:space="preserve"> </w:t>
            </w:r>
            <w:r w:rsidR="008D12AE" w:rsidRPr="008D12AE">
              <w:t>(externally driven)</w:t>
            </w:r>
          </w:p>
        </w:tc>
        <w:tc>
          <w:tcPr>
            <w:tcW w:w="0" w:type="auto"/>
          </w:tcPr>
          <w:p w:rsidR="008552C1" w:rsidRPr="00F53819" w:rsidRDefault="008552C1" w:rsidP="00F53819">
            <w:r w:rsidRPr="00F53819">
              <w:t>N/A</w:t>
            </w:r>
          </w:p>
        </w:tc>
      </w:tr>
      <w:tr w:rsidR="008552C1" w:rsidRPr="00F53819" w:rsidTr="00F53819">
        <w:trPr>
          <w:trHeight w:val="427"/>
        </w:trPr>
        <w:tc>
          <w:tcPr>
            <w:tcW w:w="0" w:type="auto"/>
          </w:tcPr>
          <w:p w:rsidR="008552C1" w:rsidRPr="00F53819" w:rsidRDefault="008552C1" w:rsidP="00ED3674">
            <w:r w:rsidRPr="00F53819">
              <w:t xml:space="preserve">Percentage of merger matters subject  to Phase 1 only of public review  that were finalised within </w:t>
            </w:r>
            <w:r w:rsidR="00ED3674">
              <w:t>eight</w:t>
            </w:r>
            <w:r w:rsidRPr="00F53819">
              <w:t xml:space="preserve"> weeks  (excluding time periods where information is outstanding)</w:t>
            </w:r>
          </w:p>
        </w:tc>
        <w:tc>
          <w:tcPr>
            <w:tcW w:w="0" w:type="auto"/>
          </w:tcPr>
          <w:p w:rsidR="008552C1" w:rsidRPr="00F53819" w:rsidRDefault="008552C1" w:rsidP="00F53819">
            <w:r w:rsidRPr="00F53819">
              <w:t>50%</w:t>
            </w:r>
          </w:p>
        </w:tc>
      </w:tr>
      <w:tr w:rsidR="008552C1" w:rsidRPr="00F53819" w:rsidTr="00F53819">
        <w:trPr>
          <w:trHeight w:val="427"/>
        </w:trPr>
        <w:tc>
          <w:tcPr>
            <w:tcW w:w="0" w:type="auto"/>
          </w:tcPr>
          <w:p w:rsidR="008552C1" w:rsidRPr="00F53819" w:rsidRDefault="008552C1" w:rsidP="00F53819">
            <w:r w:rsidRPr="00F53819">
              <w:t>Percentage of merger matters subject to Phase 2 of public review  that were finalised within 20 weeks (excluding time periods where information is outstanding)</w:t>
            </w:r>
          </w:p>
        </w:tc>
        <w:tc>
          <w:tcPr>
            <w:tcW w:w="0" w:type="auto"/>
          </w:tcPr>
          <w:p w:rsidR="008552C1" w:rsidRPr="00F53819" w:rsidRDefault="008552C1" w:rsidP="00F53819">
            <w:r w:rsidRPr="00F53819">
              <w:t>90%</w:t>
            </w:r>
          </w:p>
        </w:tc>
      </w:tr>
    </w:tbl>
    <w:p w:rsidR="008552C1" w:rsidRPr="008552C1" w:rsidRDefault="008552C1" w:rsidP="00F53819">
      <w:pPr>
        <w:pStyle w:val="Heading4"/>
      </w:pPr>
      <w:r w:rsidRPr="008552C1">
        <w:t>Make decisions on authorisation, notification and certification trademark applications in the publi</w:t>
      </w:r>
      <w:r w:rsidR="00ED3674">
        <w:t>c interest</w:t>
      </w:r>
    </w:p>
    <w:p w:rsidR="008552C1" w:rsidRPr="008552C1" w:rsidRDefault="008552C1" w:rsidP="00191E89">
      <w:r w:rsidRPr="008552C1">
        <w:t>The ACCC will continue to assess and make decisions about applications for authorisation and notification of certain anti-competitive conduct evaluating if such arrangements or conduct may result in a net public benefit and warrant exemption from the CCA.</w:t>
      </w:r>
    </w:p>
    <w:tbl>
      <w:tblPr>
        <w:tblStyle w:val="LightShading1"/>
        <w:tblpPr w:leftFromText="180" w:rightFromText="180" w:vertAnchor="text" w:horzAnchor="margin" w:tblpX="108" w:tblpY="145"/>
        <w:tblW w:w="0" w:type="auto"/>
        <w:tblLook w:val="0620" w:firstRow="1" w:lastRow="0" w:firstColumn="0" w:lastColumn="0" w:noHBand="1" w:noVBand="1"/>
      </w:tblPr>
      <w:tblGrid>
        <w:gridCol w:w="7982"/>
        <w:gridCol w:w="1260"/>
      </w:tblGrid>
      <w:tr w:rsidR="008552C1" w:rsidRPr="00F53819" w:rsidTr="00F53819">
        <w:trPr>
          <w:cnfStyle w:val="100000000000" w:firstRow="1" w:lastRow="0" w:firstColumn="0" w:lastColumn="0" w:oddVBand="0" w:evenVBand="0" w:oddHBand="0" w:evenHBand="0" w:firstRowFirstColumn="0" w:firstRowLastColumn="0" w:lastRowFirstColumn="0" w:lastRowLastColumn="0"/>
          <w:trHeight w:val="274"/>
        </w:trPr>
        <w:tc>
          <w:tcPr>
            <w:tcW w:w="0" w:type="auto"/>
          </w:tcPr>
          <w:p w:rsidR="008552C1" w:rsidRPr="00F53819" w:rsidRDefault="008552C1" w:rsidP="00F53819">
            <w:r w:rsidRPr="00F53819">
              <w:t xml:space="preserve">Performance </w:t>
            </w:r>
            <w:r w:rsidR="00775952">
              <w:t>indicators</w:t>
            </w:r>
          </w:p>
        </w:tc>
        <w:tc>
          <w:tcPr>
            <w:tcW w:w="0" w:type="auto"/>
          </w:tcPr>
          <w:p w:rsidR="008552C1" w:rsidRPr="00F53819" w:rsidRDefault="008552C1" w:rsidP="00F53819">
            <w:r w:rsidRPr="00F53819">
              <w:t>Annual target</w:t>
            </w:r>
          </w:p>
        </w:tc>
      </w:tr>
      <w:tr w:rsidR="008552C1" w:rsidRPr="00F53819" w:rsidTr="00F53819">
        <w:trPr>
          <w:trHeight w:val="408"/>
        </w:trPr>
        <w:tc>
          <w:tcPr>
            <w:tcW w:w="0" w:type="auto"/>
          </w:tcPr>
          <w:p w:rsidR="008552C1" w:rsidRPr="00F53819" w:rsidRDefault="008552C1" w:rsidP="00F53819">
            <w:r w:rsidRPr="00F53819">
              <w:t>Number of authorisation applications assessed (externally driven)</w:t>
            </w:r>
          </w:p>
        </w:tc>
        <w:tc>
          <w:tcPr>
            <w:tcW w:w="0" w:type="auto"/>
          </w:tcPr>
          <w:p w:rsidR="008552C1" w:rsidRPr="00F53819" w:rsidRDefault="008552C1" w:rsidP="00F53819">
            <w:r w:rsidRPr="00F53819">
              <w:t>N/A</w:t>
            </w:r>
          </w:p>
        </w:tc>
      </w:tr>
      <w:tr w:rsidR="008552C1" w:rsidRPr="00F53819" w:rsidTr="00F53819">
        <w:trPr>
          <w:trHeight w:val="474"/>
        </w:trPr>
        <w:tc>
          <w:tcPr>
            <w:tcW w:w="0" w:type="auto"/>
          </w:tcPr>
          <w:p w:rsidR="008552C1" w:rsidRPr="00F53819" w:rsidRDefault="008552C1" w:rsidP="00F53819">
            <w:r w:rsidRPr="00F53819">
              <w:t>Number of exclusive dealing notifications assessed (externally driven)</w:t>
            </w:r>
          </w:p>
        </w:tc>
        <w:tc>
          <w:tcPr>
            <w:tcW w:w="0" w:type="auto"/>
          </w:tcPr>
          <w:p w:rsidR="008552C1" w:rsidRPr="00F53819" w:rsidRDefault="008552C1" w:rsidP="00F53819">
            <w:r w:rsidRPr="00F53819">
              <w:t>N/A</w:t>
            </w:r>
          </w:p>
        </w:tc>
      </w:tr>
      <w:tr w:rsidR="008552C1" w:rsidRPr="00F53819" w:rsidTr="00F53819">
        <w:trPr>
          <w:trHeight w:val="427"/>
        </w:trPr>
        <w:tc>
          <w:tcPr>
            <w:tcW w:w="0" w:type="auto"/>
          </w:tcPr>
          <w:p w:rsidR="008552C1" w:rsidRPr="00F53819" w:rsidRDefault="008552C1" w:rsidP="00F53819">
            <w:r w:rsidRPr="00F53819">
              <w:t>Number of collective bargaining notifications assessed (externally driven)</w:t>
            </w:r>
          </w:p>
        </w:tc>
        <w:tc>
          <w:tcPr>
            <w:tcW w:w="0" w:type="auto"/>
          </w:tcPr>
          <w:p w:rsidR="008552C1" w:rsidRPr="00F53819" w:rsidRDefault="008552C1" w:rsidP="00F53819">
            <w:r w:rsidRPr="00F53819">
              <w:t>N/A</w:t>
            </w:r>
          </w:p>
        </w:tc>
      </w:tr>
      <w:tr w:rsidR="008552C1" w:rsidRPr="00F53819" w:rsidTr="00F53819">
        <w:trPr>
          <w:trHeight w:val="427"/>
        </w:trPr>
        <w:tc>
          <w:tcPr>
            <w:tcW w:w="0" w:type="auto"/>
          </w:tcPr>
          <w:p w:rsidR="008552C1" w:rsidRPr="00F53819" w:rsidRDefault="008552C1" w:rsidP="00F53819">
            <w:r w:rsidRPr="00F53819">
              <w:t>Number of Certification Trade Marks assessed (externally driven)</w:t>
            </w:r>
          </w:p>
        </w:tc>
        <w:tc>
          <w:tcPr>
            <w:tcW w:w="0" w:type="auto"/>
          </w:tcPr>
          <w:p w:rsidR="008552C1" w:rsidRPr="00F53819" w:rsidRDefault="008552C1" w:rsidP="00F53819">
            <w:r w:rsidRPr="00F53819">
              <w:t>N/A</w:t>
            </w:r>
          </w:p>
        </w:tc>
      </w:tr>
      <w:tr w:rsidR="008552C1" w:rsidRPr="00F53819" w:rsidTr="00F53819">
        <w:trPr>
          <w:trHeight w:val="427"/>
        </w:trPr>
        <w:tc>
          <w:tcPr>
            <w:tcW w:w="0" w:type="auto"/>
          </w:tcPr>
          <w:p w:rsidR="008552C1" w:rsidRPr="00F53819" w:rsidRDefault="008552C1" w:rsidP="00F53819">
            <w:r w:rsidRPr="00F53819">
              <w:t>Percentage of authorisation applications assessed within statutory timeframe(s) (excluding time periods where information is outstanding)</w:t>
            </w:r>
          </w:p>
        </w:tc>
        <w:tc>
          <w:tcPr>
            <w:tcW w:w="0" w:type="auto"/>
          </w:tcPr>
          <w:p w:rsidR="008552C1" w:rsidRPr="00F53819" w:rsidRDefault="008552C1" w:rsidP="00F53819">
            <w:r w:rsidRPr="00F53819">
              <w:t>100%</w:t>
            </w:r>
          </w:p>
        </w:tc>
      </w:tr>
      <w:tr w:rsidR="008552C1" w:rsidRPr="00F53819" w:rsidTr="00F53819">
        <w:trPr>
          <w:trHeight w:val="427"/>
        </w:trPr>
        <w:tc>
          <w:tcPr>
            <w:tcW w:w="0" w:type="auto"/>
          </w:tcPr>
          <w:p w:rsidR="008552C1" w:rsidRPr="00F53819" w:rsidRDefault="008552C1" w:rsidP="00F53819">
            <w:r w:rsidRPr="00F53819">
              <w:t xml:space="preserve">Percentage of notifications assessed within statutory timeframe  </w:t>
            </w:r>
          </w:p>
        </w:tc>
        <w:tc>
          <w:tcPr>
            <w:tcW w:w="0" w:type="auto"/>
          </w:tcPr>
          <w:p w:rsidR="008552C1" w:rsidRPr="00F53819" w:rsidRDefault="008552C1" w:rsidP="00F53819">
            <w:r w:rsidRPr="00F53819">
              <w:t>100%</w:t>
            </w:r>
          </w:p>
        </w:tc>
      </w:tr>
    </w:tbl>
    <w:p w:rsidR="008552C1" w:rsidRPr="008552C1" w:rsidRDefault="008552C1" w:rsidP="009D12A1">
      <w:pPr>
        <w:pStyle w:val="Heading4"/>
      </w:pPr>
      <w:r w:rsidRPr="008552C1">
        <w:t>Assist the Australian Competition Tribunal, as required</w:t>
      </w:r>
    </w:p>
    <w:p w:rsidR="008552C1" w:rsidRPr="008552C1" w:rsidRDefault="008552C1" w:rsidP="00191E89">
      <w:r w:rsidRPr="008552C1">
        <w:t>Merger parties may seek legal protection from court action under s</w:t>
      </w:r>
      <w:r w:rsidR="00ED3674">
        <w:t>.</w:t>
      </w:r>
      <w:r w:rsidR="0087328B">
        <w:t> </w:t>
      </w:r>
      <w:r w:rsidRPr="008552C1">
        <w:t>50 of the CCA by applying to the Australian Competition Tribunal (the Tribunal) for authorisation of the merger proposal.</w:t>
      </w:r>
    </w:p>
    <w:p w:rsidR="008552C1" w:rsidRPr="008552C1" w:rsidRDefault="008552C1" w:rsidP="00191E89">
      <w:r w:rsidRPr="008552C1">
        <w:t>The Tribunal may grant authorisation if it is satisfied that the proposed merger is likely to result in such a benefit to the public that the merger should be allowed to occur.</w:t>
      </w:r>
    </w:p>
    <w:tbl>
      <w:tblPr>
        <w:tblStyle w:val="LightShading1"/>
        <w:tblpPr w:leftFromText="180" w:rightFromText="180" w:vertAnchor="text" w:horzAnchor="margin" w:tblpX="108" w:tblpY="145"/>
        <w:tblW w:w="0" w:type="auto"/>
        <w:tblLook w:val="0620" w:firstRow="1" w:lastRow="0" w:firstColumn="0" w:lastColumn="0" w:noHBand="1" w:noVBand="1"/>
      </w:tblPr>
      <w:tblGrid>
        <w:gridCol w:w="8046"/>
        <w:gridCol w:w="993"/>
      </w:tblGrid>
      <w:tr w:rsidR="008552C1" w:rsidRPr="009D12A1" w:rsidTr="009D12A1">
        <w:trPr>
          <w:cnfStyle w:val="100000000000" w:firstRow="1" w:lastRow="0" w:firstColumn="0" w:lastColumn="0" w:oddVBand="0" w:evenVBand="0" w:oddHBand="0" w:evenHBand="0" w:firstRowFirstColumn="0" w:firstRowLastColumn="0" w:lastRowFirstColumn="0" w:lastRowLastColumn="0"/>
          <w:trHeight w:val="274"/>
        </w:trPr>
        <w:tc>
          <w:tcPr>
            <w:tcW w:w="8046" w:type="dxa"/>
          </w:tcPr>
          <w:p w:rsidR="008552C1" w:rsidRPr="009D12A1" w:rsidRDefault="008552C1" w:rsidP="009D12A1">
            <w:r w:rsidRPr="009D12A1">
              <w:t xml:space="preserve">Performance </w:t>
            </w:r>
            <w:r w:rsidR="00775952">
              <w:t>indicators</w:t>
            </w:r>
          </w:p>
        </w:tc>
        <w:tc>
          <w:tcPr>
            <w:tcW w:w="993" w:type="dxa"/>
          </w:tcPr>
          <w:p w:rsidR="008552C1" w:rsidRPr="009D12A1" w:rsidRDefault="008552C1" w:rsidP="009D12A1">
            <w:r w:rsidRPr="009D12A1">
              <w:t>Annual target</w:t>
            </w:r>
          </w:p>
        </w:tc>
      </w:tr>
      <w:tr w:rsidR="008552C1" w:rsidRPr="009D12A1" w:rsidTr="009D12A1">
        <w:trPr>
          <w:trHeight w:val="408"/>
        </w:trPr>
        <w:tc>
          <w:tcPr>
            <w:tcW w:w="8046" w:type="dxa"/>
          </w:tcPr>
          <w:p w:rsidR="008552C1" w:rsidRPr="009D12A1" w:rsidRDefault="008552C1" w:rsidP="009D12A1">
            <w:r w:rsidRPr="009D12A1">
              <w:t>Number of matters where assistance was provided to Australian Competition Tribunal (externally driven)</w:t>
            </w:r>
          </w:p>
        </w:tc>
        <w:tc>
          <w:tcPr>
            <w:tcW w:w="993" w:type="dxa"/>
          </w:tcPr>
          <w:p w:rsidR="008552C1" w:rsidRPr="009D12A1" w:rsidRDefault="008552C1" w:rsidP="009D12A1">
            <w:r w:rsidRPr="009D12A1">
              <w:t>N/A</w:t>
            </w:r>
          </w:p>
        </w:tc>
      </w:tr>
    </w:tbl>
    <w:p w:rsidR="008552C1" w:rsidRPr="008552C1" w:rsidRDefault="009319F3" w:rsidP="00BB31F0">
      <w:pPr>
        <w:pStyle w:val="Heading3"/>
        <w:keepNext/>
      </w:pPr>
      <w:r>
        <w:t>S</w:t>
      </w:r>
      <w:r w:rsidR="008552C1" w:rsidRPr="008552C1">
        <w:t>trategy 2</w:t>
      </w:r>
      <w:r w:rsidR="005413B0">
        <w:tab/>
      </w:r>
      <w:r w:rsidR="008552C1" w:rsidRPr="008552C1">
        <w:t>Protect the interests and safety of consumers, and support fair trading in markets affecting consumers and small business</w:t>
      </w:r>
    </w:p>
    <w:p w:rsidR="00DE38C7" w:rsidRDefault="008552C1" w:rsidP="00BB31F0">
      <w:pPr>
        <w:keepNext/>
        <w:spacing w:after="200"/>
      </w:pPr>
      <w:r w:rsidRPr="00191E89">
        <w:t xml:space="preserve">A key role of the ACCC is to inform businesses and consumers of their rights and obligations under the CCA through engagement, education and the provision of specialised information. </w:t>
      </w:r>
      <w:r w:rsidRPr="00191E89">
        <w:lastRenderedPageBreak/>
        <w:t>This function also includes actions taken to</w:t>
      </w:r>
      <w:r w:rsidRPr="008552C1">
        <w:t xml:space="preserve"> </w:t>
      </w:r>
      <w:r w:rsidRPr="00191E89">
        <w:t xml:space="preserve">ensure Australian consumers are not harmed by unsafe products.  </w:t>
      </w:r>
    </w:p>
    <w:tbl>
      <w:tblPr>
        <w:tblStyle w:val="LightShading1"/>
        <w:tblW w:w="0" w:type="auto"/>
        <w:jc w:val="center"/>
        <w:tblLook w:val="0620" w:firstRow="1" w:lastRow="0" w:firstColumn="0" w:lastColumn="0" w:noHBand="1" w:noVBand="1"/>
      </w:tblPr>
      <w:tblGrid>
        <w:gridCol w:w="5812"/>
      </w:tblGrid>
      <w:tr w:rsidR="00DE38C7" w:rsidRPr="00F53819" w:rsidTr="007C67E3">
        <w:trPr>
          <w:cnfStyle w:val="100000000000" w:firstRow="1" w:lastRow="0" w:firstColumn="0" w:lastColumn="0" w:oddVBand="0" w:evenVBand="0" w:oddHBand="0" w:evenHBand="0" w:firstRowFirstColumn="0" w:firstRowLastColumn="0" w:lastRowFirstColumn="0" w:lastRowLastColumn="0"/>
          <w:trHeight w:val="274"/>
          <w:jc w:val="center"/>
        </w:trPr>
        <w:tc>
          <w:tcPr>
            <w:tcW w:w="5812" w:type="dxa"/>
          </w:tcPr>
          <w:p w:rsidR="00DE38C7" w:rsidRPr="00F53819" w:rsidRDefault="00DE38C7" w:rsidP="00E83D1E">
            <w:pPr>
              <w:keepNext/>
            </w:pPr>
            <w:r w:rsidRPr="00F53819">
              <w:t>Expected allocation</w:t>
            </w:r>
            <w:r w:rsidR="00D6719F">
              <w:t xml:space="preserve"> for </w:t>
            </w:r>
            <w:r w:rsidR="00A817A5">
              <w:t>2015–16</w:t>
            </w:r>
            <w:r w:rsidR="00464B11" w:rsidRPr="00542DC0">
              <w:rPr>
                <w:b w:val="0"/>
              </w:rPr>
              <w:t>*</w:t>
            </w:r>
          </w:p>
        </w:tc>
      </w:tr>
      <w:tr w:rsidR="00DE38C7" w:rsidRPr="00DE38C7" w:rsidTr="007C67E3">
        <w:trPr>
          <w:trHeight w:val="267"/>
          <w:jc w:val="center"/>
        </w:trPr>
        <w:tc>
          <w:tcPr>
            <w:tcW w:w="5812" w:type="dxa"/>
          </w:tcPr>
          <w:p w:rsidR="00DE38C7" w:rsidRPr="00DE38C7" w:rsidRDefault="00DE38C7" w:rsidP="00E83D1E">
            <w:pPr>
              <w:keepNext/>
            </w:pPr>
            <w:r w:rsidRPr="00DE38C7">
              <w:t xml:space="preserve">Budget </w:t>
            </w:r>
            <w:r>
              <w:t>(millions)</w:t>
            </w:r>
            <w:r w:rsidRPr="00DE38C7">
              <w:t xml:space="preserve">                                                     $</w:t>
            </w:r>
            <w:r w:rsidR="00BC5733">
              <w:t>51.</w:t>
            </w:r>
            <w:r w:rsidR="000E42B9">
              <w:t>8</w:t>
            </w:r>
            <w:r w:rsidR="00BC5733">
              <w:t>0</w:t>
            </w:r>
          </w:p>
        </w:tc>
      </w:tr>
      <w:tr w:rsidR="00DE38C7" w:rsidRPr="00DE38C7" w:rsidTr="007C67E3">
        <w:trPr>
          <w:trHeight w:val="252"/>
          <w:jc w:val="center"/>
        </w:trPr>
        <w:tc>
          <w:tcPr>
            <w:tcW w:w="5812" w:type="dxa"/>
          </w:tcPr>
          <w:p w:rsidR="00DE38C7" w:rsidRPr="00DE38C7" w:rsidRDefault="00DE38C7" w:rsidP="00E83D1E">
            <w:pPr>
              <w:keepNext/>
            </w:pPr>
            <w:r w:rsidRPr="00DE38C7">
              <w:t xml:space="preserve">Average staffing level                                </w:t>
            </w:r>
            <w:r>
              <w:t xml:space="preserve">               </w:t>
            </w:r>
            <w:r w:rsidR="000E42B9">
              <w:t>218.1</w:t>
            </w:r>
          </w:p>
        </w:tc>
      </w:tr>
      <w:tr w:rsidR="00542DC0" w:rsidRPr="00DE38C7" w:rsidTr="007C67E3">
        <w:trPr>
          <w:trHeight w:val="252"/>
          <w:jc w:val="center"/>
        </w:trPr>
        <w:tc>
          <w:tcPr>
            <w:tcW w:w="5812" w:type="dxa"/>
          </w:tcPr>
          <w:p w:rsidR="00542DC0" w:rsidRPr="00DE38C7" w:rsidRDefault="00542DC0" w:rsidP="00E83D1E">
            <w:pPr>
              <w:keepNext/>
            </w:pPr>
            <w:r w:rsidRPr="00542DC0">
              <w:t>*</w:t>
            </w:r>
            <w:r w:rsidRPr="00542DC0">
              <w:rPr>
                <w:sz w:val="16"/>
                <w:szCs w:val="16"/>
              </w:rPr>
              <w:t>Each figure includes an allocation fo</w:t>
            </w:r>
            <w:r w:rsidR="00662113">
              <w:rPr>
                <w:sz w:val="16"/>
                <w:szCs w:val="16"/>
              </w:rPr>
              <w:t xml:space="preserve">r corporate overheads, </w:t>
            </w:r>
            <w:r w:rsidRPr="00542DC0">
              <w:rPr>
                <w:sz w:val="16"/>
                <w:szCs w:val="16"/>
              </w:rPr>
              <w:t>legal and economic advice and executive support</w:t>
            </w:r>
          </w:p>
        </w:tc>
      </w:tr>
    </w:tbl>
    <w:p w:rsidR="008552C1" w:rsidRPr="008552C1" w:rsidRDefault="008552C1" w:rsidP="009D12A1">
      <w:pPr>
        <w:pStyle w:val="Heading4"/>
      </w:pPr>
      <w:r w:rsidRPr="008552C1">
        <w:t>Deliver outcomes to address harm to consumers and small businesses resulting from non-compliance with the Australian Consumer Law</w:t>
      </w:r>
    </w:p>
    <w:p w:rsidR="008552C1" w:rsidRPr="008552C1" w:rsidRDefault="008552C1" w:rsidP="008552C1">
      <w:r w:rsidRPr="008552C1">
        <w:t xml:space="preserve">Each year the ACCC reviews its compliance and enforcement priorities to determine where to focus </w:t>
      </w:r>
      <w:r w:rsidR="00E403FC">
        <w:t xml:space="preserve">its </w:t>
      </w:r>
      <w:r w:rsidRPr="008552C1">
        <w:t xml:space="preserve">efforts to maximise impact on preventing and redressing consumer harm and small businesses. </w:t>
      </w:r>
      <w:r w:rsidR="00E403FC">
        <w:t>The ACCC</w:t>
      </w:r>
      <w:r w:rsidRPr="008552C1">
        <w:t xml:space="preserve"> consult</w:t>
      </w:r>
      <w:r w:rsidR="00E403FC">
        <w:t>s</w:t>
      </w:r>
      <w:r w:rsidRPr="008552C1">
        <w:t xml:space="preserve"> with ACL regulators, consumer advocacy groups, external dispute resolution and ombudsman schemes and other government departments on current and emerging issues; and also analyse</w:t>
      </w:r>
      <w:r w:rsidR="00E403FC">
        <w:t>s</w:t>
      </w:r>
      <w:r w:rsidRPr="008552C1">
        <w:t xml:space="preserve"> data from thousands of people who contact the ACCC </w:t>
      </w:r>
      <w:proofErr w:type="spellStart"/>
      <w:r w:rsidRPr="008552C1">
        <w:t>Infocentre</w:t>
      </w:r>
      <w:proofErr w:type="spellEnd"/>
      <w:r w:rsidRPr="008552C1">
        <w:t>.</w:t>
      </w:r>
    </w:p>
    <w:tbl>
      <w:tblPr>
        <w:tblStyle w:val="LightShading1"/>
        <w:tblpPr w:leftFromText="180" w:rightFromText="180" w:vertAnchor="text" w:horzAnchor="margin" w:tblpX="108" w:tblpY="145"/>
        <w:tblW w:w="0" w:type="auto"/>
        <w:tblLook w:val="0620" w:firstRow="1" w:lastRow="0" w:firstColumn="0" w:lastColumn="0" w:noHBand="1" w:noVBand="1"/>
      </w:tblPr>
      <w:tblGrid>
        <w:gridCol w:w="8001"/>
        <w:gridCol w:w="1241"/>
      </w:tblGrid>
      <w:tr w:rsidR="008552C1" w:rsidRPr="009D12A1" w:rsidTr="009D12A1">
        <w:trPr>
          <w:cnfStyle w:val="100000000000" w:firstRow="1" w:lastRow="0" w:firstColumn="0" w:lastColumn="0" w:oddVBand="0" w:evenVBand="0" w:oddHBand="0" w:evenHBand="0" w:firstRowFirstColumn="0" w:firstRowLastColumn="0" w:lastRowFirstColumn="0" w:lastRowLastColumn="0"/>
          <w:trHeight w:val="274"/>
        </w:trPr>
        <w:tc>
          <w:tcPr>
            <w:tcW w:w="0" w:type="auto"/>
          </w:tcPr>
          <w:p w:rsidR="008552C1" w:rsidRPr="009D12A1" w:rsidRDefault="008552C1" w:rsidP="009D12A1">
            <w:r w:rsidRPr="009D12A1">
              <w:t xml:space="preserve">Performance </w:t>
            </w:r>
            <w:r w:rsidR="00775952">
              <w:t>indicators</w:t>
            </w:r>
          </w:p>
        </w:tc>
        <w:tc>
          <w:tcPr>
            <w:tcW w:w="0" w:type="auto"/>
          </w:tcPr>
          <w:p w:rsidR="008552C1" w:rsidRPr="009D12A1" w:rsidRDefault="008552C1" w:rsidP="009D12A1">
            <w:r w:rsidRPr="009D12A1">
              <w:t>Annual target</w:t>
            </w:r>
          </w:p>
        </w:tc>
      </w:tr>
      <w:tr w:rsidR="008552C1" w:rsidRPr="009D12A1" w:rsidTr="009D12A1">
        <w:trPr>
          <w:trHeight w:val="408"/>
        </w:trPr>
        <w:tc>
          <w:tcPr>
            <w:tcW w:w="0" w:type="auto"/>
          </w:tcPr>
          <w:p w:rsidR="008552C1" w:rsidRPr="009D12A1" w:rsidRDefault="008552C1" w:rsidP="009D12A1">
            <w:r w:rsidRPr="009D12A1">
              <w:t>Number of in-depth ACL investigations completed</w:t>
            </w:r>
          </w:p>
        </w:tc>
        <w:tc>
          <w:tcPr>
            <w:tcW w:w="0" w:type="auto"/>
          </w:tcPr>
          <w:p w:rsidR="008552C1" w:rsidRPr="009D12A1" w:rsidRDefault="008552C1" w:rsidP="009D12A1">
            <w:r w:rsidRPr="009D12A1">
              <w:t>80</w:t>
            </w:r>
          </w:p>
        </w:tc>
      </w:tr>
      <w:tr w:rsidR="008552C1" w:rsidRPr="009D12A1" w:rsidTr="009D12A1">
        <w:trPr>
          <w:trHeight w:val="474"/>
        </w:trPr>
        <w:tc>
          <w:tcPr>
            <w:tcW w:w="0" w:type="auto"/>
          </w:tcPr>
          <w:p w:rsidR="008552C1" w:rsidRPr="009D12A1" w:rsidRDefault="008552C1" w:rsidP="009D12A1">
            <w:r w:rsidRPr="009D12A1">
              <w:t>Percentage of in-depth ACL investigation that are in the priority areas outlined in the Compliance and Enforcement Policy</w:t>
            </w:r>
          </w:p>
        </w:tc>
        <w:tc>
          <w:tcPr>
            <w:tcW w:w="0" w:type="auto"/>
          </w:tcPr>
          <w:p w:rsidR="008552C1" w:rsidRPr="009D12A1" w:rsidRDefault="008552C1" w:rsidP="009D12A1">
            <w:r w:rsidRPr="009D12A1">
              <w:t>60%</w:t>
            </w:r>
          </w:p>
        </w:tc>
      </w:tr>
      <w:tr w:rsidR="008552C1" w:rsidRPr="009D12A1" w:rsidTr="009D12A1">
        <w:trPr>
          <w:trHeight w:val="427"/>
        </w:trPr>
        <w:tc>
          <w:tcPr>
            <w:tcW w:w="0" w:type="auto"/>
          </w:tcPr>
          <w:p w:rsidR="008552C1" w:rsidRPr="00AE5206" w:rsidRDefault="008552C1" w:rsidP="00ED3674">
            <w:r w:rsidRPr="00AE5206">
              <w:t xml:space="preserve">Percentage of initial ACL investigations completed within </w:t>
            </w:r>
            <w:r w:rsidR="00ED3674">
              <w:t>three</w:t>
            </w:r>
            <w:r w:rsidRPr="00AE5206">
              <w:t xml:space="preserve"> months</w:t>
            </w:r>
          </w:p>
        </w:tc>
        <w:tc>
          <w:tcPr>
            <w:tcW w:w="0" w:type="auto"/>
          </w:tcPr>
          <w:p w:rsidR="008552C1" w:rsidRPr="00AE5206" w:rsidRDefault="008552C1" w:rsidP="009D12A1">
            <w:r w:rsidRPr="00AE5206">
              <w:t>80%</w:t>
            </w:r>
          </w:p>
        </w:tc>
      </w:tr>
      <w:tr w:rsidR="008552C1" w:rsidRPr="009D12A1" w:rsidTr="009D12A1">
        <w:trPr>
          <w:trHeight w:val="427"/>
        </w:trPr>
        <w:tc>
          <w:tcPr>
            <w:tcW w:w="0" w:type="auto"/>
          </w:tcPr>
          <w:p w:rsidR="008552C1" w:rsidRPr="00AE5206" w:rsidRDefault="008552C1" w:rsidP="009D12A1">
            <w:r w:rsidRPr="00AE5206">
              <w:t>Percentage of in-depth ACL investigations completed within 12 months</w:t>
            </w:r>
          </w:p>
        </w:tc>
        <w:tc>
          <w:tcPr>
            <w:tcW w:w="0" w:type="auto"/>
          </w:tcPr>
          <w:p w:rsidR="008552C1" w:rsidRPr="00AE5206" w:rsidRDefault="008552C1" w:rsidP="009D12A1">
            <w:r w:rsidRPr="00AE5206">
              <w:t>80%</w:t>
            </w:r>
          </w:p>
        </w:tc>
      </w:tr>
      <w:tr w:rsidR="008552C1" w:rsidRPr="009D12A1" w:rsidTr="009D12A1">
        <w:trPr>
          <w:trHeight w:val="427"/>
        </w:trPr>
        <w:tc>
          <w:tcPr>
            <w:tcW w:w="0" w:type="auto"/>
          </w:tcPr>
          <w:p w:rsidR="008552C1" w:rsidRPr="009D12A1" w:rsidRDefault="008552C1" w:rsidP="00ED3674">
            <w:r w:rsidRPr="009D12A1">
              <w:t>Number of ACL enforcement interventions (court proceeding commenced, s</w:t>
            </w:r>
            <w:r w:rsidR="00ED3674">
              <w:t>.</w:t>
            </w:r>
            <w:r w:rsidR="0087328B">
              <w:t> </w:t>
            </w:r>
            <w:r w:rsidRPr="009D12A1">
              <w:t xml:space="preserve">87B undertakings accepted, infringement notices issued) </w:t>
            </w:r>
          </w:p>
        </w:tc>
        <w:tc>
          <w:tcPr>
            <w:tcW w:w="0" w:type="auto"/>
          </w:tcPr>
          <w:p w:rsidR="008552C1" w:rsidRPr="009D12A1" w:rsidRDefault="008552C1" w:rsidP="009D12A1">
            <w:r w:rsidRPr="009D12A1">
              <w:t>40</w:t>
            </w:r>
          </w:p>
        </w:tc>
      </w:tr>
      <w:tr w:rsidR="008552C1" w:rsidRPr="009D12A1" w:rsidTr="009D12A1">
        <w:trPr>
          <w:trHeight w:val="427"/>
        </w:trPr>
        <w:tc>
          <w:tcPr>
            <w:tcW w:w="0" w:type="auto"/>
          </w:tcPr>
          <w:p w:rsidR="008552C1" w:rsidRPr="009D12A1" w:rsidRDefault="008552C1" w:rsidP="009D12A1">
            <w:r w:rsidRPr="009D12A1">
              <w:t>Percentage of ACL enforcement interventions in the priority areas outlined in the Compliance and Enforcement Policy</w:t>
            </w:r>
          </w:p>
        </w:tc>
        <w:tc>
          <w:tcPr>
            <w:tcW w:w="0" w:type="auto"/>
          </w:tcPr>
          <w:p w:rsidR="008552C1" w:rsidRPr="009D12A1" w:rsidRDefault="008552C1" w:rsidP="009D12A1">
            <w:r w:rsidRPr="009D12A1">
              <w:t>60%</w:t>
            </w:r>
          </w:p>
        </w:tc>
      </w:tr>
      <w:tr w:rsidR="008552C1" w:rsidRPr="009D12A1" w:rsidTr="009D12A1">
        <w:trPr>
          <w:trHeight w:val="427"/>
        </w:trPr>
        <w:tc>
          <w:tcPr>
            <w:tcW w:w="0" w:type="auto"/>
          </w:tcPr>
          <w:p w:rsidR="008552C1" w:rsidRPr="0043573C" w:rsidRDefault="008552C1" w:rsidP="009D12A1">
            <w:r w:rsidRPr="0043573C">
              <w:t>Percentage of ACL enforcement interventions in the priority areas, or demonstrate the priority factors, outlined in the Compliance and Enforcement Policy</w:t>
            </w:r>
          </w:p>
        </w:tc>
        <w:tc>
          <w:tcPr>
            <w:tcW w:w="0" w:type="auto"/>
          </w:tcPr>
          <w:p w:rsidR="008552C1" w:rsidRPr="0043573C" w:rsidRDefault="00CF4378" w:rsidP="009D12A1">
            <w:r>
              <w:t>10</w:t>
            </w:r>
            <w:r w:rsidR="008552C1" w:rsidRPr="0043573C">
              <w:t>0%</w:t>
            </w:r>
          </w:p>
        </w:tc>
      </w:tr>
      <w:tr w:rsidR="008552C1" w:rsidRPr="009D12A1" w:rsidTr="009D12A1">
        <w:trPr>
          <w:trHeight w:val="427"/>
        </w:trPr>
        <w:tc>
          <w:tcPr>
            <w:tcW w:w="0" w:type="auto"/>
          </w:tcPr>
          <w:p w:rsidR="008552C1" w:rsidRPr="009D12A1" w:rsidRDefault="008552C1" w:rsidP="009D12A1">
            <w:r w:rsidRPr="009D12A1">
              <w:t>Number of emerging CCA market issues affecting consumers and small business that are identified, considered and advice developed</w:t>
            </w:r>
          </w:p>
        </w:tc>
        <w:tc>
          <w:tcPr>
            <w:tcW w:w="0" w:type="auto"/>
          </w:tcPr>
          <w:p w:rsidR="008552C1" w:rsidRPr="009D12A1" w:rsidRDefault="008552C1" w:rsidP="009D12A1">
            <w:r w:rsidRPr="009D12A1">
              <w:t>2</w:t>
            </w:r>
          </w:p>
        </w:tc>
      </w:tr>
      <w:tr w:rsidR="008552C1" w:rsidRPr="009D12A1" w:rsidTr="009D12A1">
        <w:trPr>
          <w:trHeight w:val="427"/>
        </w:trPr>
        <w:tc>
          <w:tcPr>
            <w:tcW w:w="0" w:type="auto"/>
          </w:tcPr>
          <w:p w:rsidR="008552C1" w:rsidRPr="009D12A1" w:rsidRDefault="008552C1" w:rsidP="009D12A1">
            <w:r w:rsidRPr="009D12A1">
              <w:t>Number of new or revised business compliance resources (published guidance)</w:t>
            </w:r>
          </w:p>
        </w:tc>
        <w:tc>
          <w:tcPr>
            <w:tcW w:w="0" w:type="auto"/>
          </w:tcPr>
          <w:p w:rsidR="008552C1" w:rsidRPr="009D12A1" w:rsidRDefault="008552C1" w:rsidP="009D12A1">
            <w:r w:rsidRPr="009D12A1">
              <w:t>10</w:t>
            </w:r>
          </w:p>
        </w:tc>
      </w:tr>
      <w:tr w:rsidR="008552C1" w:rsidRPr="009D12A1" w:rsidTr="009D12A1">
        <w:trPr>
          <w:trHeight w:val="427"/>
        </w:trPr>
        <w:tc>
          <w:tcPr>
            <w:tcW w:w="0" w:type="auto"/>
          </w:tcPr>
          <w:p w:rsidR="008552C1" w:rsidRPr="009D12A1" w:rsidRDefault="008552C1" w:rsidP="009D12A1">
            <w:r w:rsidRPr="009D12A1">
              <w:t>Number of times online business education resources have been accessed</w:t>
            </w:r>
          </w:p>
        </w:tc>
        <w:tc>
          <w:tcPr>
            <w:tcW w:w="0" w:type="auto"/>
          </w:tcPr>
          <w:p w:rsidR="008552C1" w:rsidRPr="009D12A1" w:rsidRDefault="006948E7" w:rsidP="00ED3674">
            <w:r>
              <w:t>600</w:t>
            </w:r>
            <w:r w:rsidR="00ED3674">
              <w:t> </w:t>
            </w:r>
            <w:r>
              <w:t>000</w:t>
            </w:r>
          </w:p>
        </w:tc>
      </w:tr>
      <w:tr w:rsidR="008552C1" w:rsidRPr="009D12A1" w:rsidTr="009D12A1">
        <w:trPr>
          <w:trHeight w:val="427"/>
        </w:trPr>
        <w:tc>
          <w:tcPr>
            <w:tcW w:w="0" w:type="auto"/>
          </w:tcPr>
          <w:p w:rsidR="008552C1" w:rsidRPr="009D12A1" w:rsidRDefault="008552C1" w:rsidP="009D12A1">
            <w:r w:rsidRPr="009D12A1">
              <w:t>Number of surveys and audits for CCA compliance, including in relation to product safety regulations</w:t>
            </w:r>
          </w:p>
        </w:tc>
        <w:tc>
          <w:tcPr>
            <w:tcW w:w="0" w:type="auto"/>
          </w:tcPr>
          <w:p w:rsidR="008552C1" w:rsidRPr="009D12A1" w:rsidRDefault="008552C1" w:rsidP="009D12A1">
            <w:r w:rsidRPr="009D12A1">
              <w:t>20</w:t>
            </w:r>
          </w:p>
        </w:tc>
      </w:tr>
      <w:tr w:rsidR="008552C1" w:rsidRPr="009D12A1" w:rsidTr="009D12A1">
        <w:trPr>
          <w:trHeight w:val="427"/>
        </w:trPr>
        <w:tc>
          <w:tcPr>
            <w:tcW w:w="0" w:type="auto"/>
          </w:tcPr>
          <w:p w:rsidR="008552C1" w:rsidRPr="009D12A1" w:rsidRDefault="008552C1" w:rsidP="009D12A1">
            <w:r w:rsidRPr="009D12A1">
              <w:t>Percentage of business compliance projects that are in priority areas identified in the Compliance &amp; Enforcement Policy</w:t>
            </w:r>
          </w:p>
        </w:tc>
        <w:tc>
          <w:tcPr>
            <w:tcW w:w="0" w:type="auto"/>
          </w:tcPr>
          <w:p w:rsidR="008552C1" w:rsidRPr="009D12A1" w:rsidRDefault="008552C1" w:rsidP="009D12A1">
            <w:r w:rsidRPr="009D12A1">
              <w:t>60%</w:t>
            </w:r>
          </w:p>
        </w:tc>
      </w:tr>
    </w:tbl>
    <w:p w:rsidR="008552C1" w:rsidRPr="008552C1" w:rsidRDefault="008552C1" w:rsidP="00E83D1E">
      <w:pPr>
        <w:pStyle w:val="Heading4"/>
        <w:keepNext/>
      </w:pPr>
      <w:r w:rsidRPr="008552C1">
        <w:lastRenderedPageBreak/>
        <w:t>Enhance the effectiveness of the ACCC’s compliance and enforcement initiatives through partnerships</w:t>
      </w:r>
    </w:p>
    <w:p w:rsidR="008552C1" w:rsidRDefault="008552C1" w:rsidP="00E83D1E">
      <w:pPr>
        <w:keepNext/>
      </w:pPr>
      <w:r w:rsidRPr="008552C1">
        <w:t>The Australian Consumer Law gives consumer regulators a single set of provisions to respond to fair trading and consumer protection issues. The ACL also allows regulators to collectively work on broader issues and take proactive and timely compliance and enforcement action.</w:t>
      </w:r>
    </w:p>
    <w:p w:rsidR="00D602BE" w:rsidRPr="008552C1" w:rsidRDefault="00D602BE" w:rsidP="00D602BE">
      <w:r>
        <w:t>The ACCC works closely with the Treasury, Australian Securities and Investment Commission, and state and territory consumer protection agencies on national compliance and enforcement projects.</w:t>
      </w:r>
    </w:p>
    <w:p w:rsidR="008552C1" w:rsidRPr="008552C1" w:rsidRDefault="008552C1" w:rsidP="008552C1">
      <w:r w:rsidRPr="008552C1">
        <w:t>The ACCC also works with businesses, industry associations and consumer groups to promote awareness of the ACL.</w:t>
      </w:r>
    </w:p>
    <w:tbl>
      <w:tblPr>
        <w:tblStyle w:val="LightShading1"/>
        <w:tblpPr w:leftFromText="180" w:rightFromText="180" w:vertAnchor="text" w:horzAnchor="margin" w:tblpX="108" w:tblpY="145"/>
        <w:tblW w:w="0" w:type="auto"/>
        <w:tblLook w:val="0620" w:firstRow="1" w:lastRow="0" w:firstColumn="0" w:lastColumn="0" w:noHBand="1" w:noVBand="1"/>
      </w:tblPr>
      <w:tblGrid>
        <w:gridCol w:w="8208"/>
        <w:gridCol w:w="1034"/>
      </w:tblGrid>
      <w:tr w:rsidR="008552C1" w:rsidRPr="009D12A1" w:rsidTr="009D12A1">
        <w:trPr>
          <w:cnfStyle w:val="100000000000" w:firstRow="1" w:lastRow="0" w:firstColumn="0" w:lastColumn="0" w:oddVBand="0" w:evenVBand="0" w:oddHBand="0" w:evenHBand="0" w:firstRowFirstColumn="0" w:firstRowLastColumn="0" w:lastRowFirstColumn="0" w:lastRowLastColumn="0"/>
          <w:trHeight w:val="274"/>
        </w:trPr>
        <w:tc>
          <w:tcPr>
            <w:tcW w:w="0" w:type="auto"/>
          </w:tcPr>
          <w:p w:rsidR="008552C1" w:rsidRPr="009D12A1" w:rsidRDefault="008552C1" w:rsidP="00FC0D8A">
            <w:pPr>
              <w:spacing w:before="60" w:after="60"/>
            </w:pPr>
            <w:r w:rsidRPr="009D12A1">
              <w:t xml:space="preserve">Performance </w:t>
            </w:r>
            <w:r w:rsidR="00775952">
              <w:t>indicators</w:t>
            </w:r>
          </w:p>
        </w:tc>
        <w:tc>
          <w:tcPr>
            <w:tcW w:w="0" w:type="auto"/>
          </w:tcPr>
          <w:p w:rsidR="008552C1" w:rsidRPr="009D12A1" w:rsidRDefault="008552C1" w:rsidP="00FC0D8A">
            <w:pPr>
              <w:spacing w:before="60" w:after="60"/>
            </w:pPr>
            <w:r w:rsidRPr="009D12A1">
              <w:t>Annual target</w:t>
            </w:r>
          </w:p>
        </w:tc>
      </w:tr>
      <w:tr w:rsidR="008552C1" w:rsidRPr="009D12A1" w:rsidTr="009D12A1">
        <w:trPr>
          <w:trHeight w:val="408"/>
        </w:trPr>
        <w:tc>
          <w:tcPr>
            <w:tcW w:w="0" w:type="auto"/>
          </w:tcPr>
          <w:p w:rsidR="008552C1" w:rsidRPr="009D12A1" w:rsidRDefault="008552C1" w:rsidP="009D12A1">
            <w:r w:rsidRPr="009D12A1">
              <w:t>Percentage of business compliance resources developed or updated in consultation with business, stakeholder groups and peak bodies</w:t>
            </w:r>
          </w:p>
        </w:tc>
        <w:tc>
          <w:tcPr>
            <w:tcW w:w="0" w:type="auto"/>
          </w:tcPr>
          <w:p w:rsidR="008552C1" w:rsidRPr="009D12A1" w:rsidRDefault="008552C1" w:rsidP="009D12A1">
            <w:r w:rsidRPr="009D12A1">
              <w:t>80%</w:t>
            </w:r>
          </w:p>
        </w:tc>
      </w:tr>
      <w:tr w:rsidR="008552C1" w:rsidRPr="009D12A1" w:rsidTr="009D12A1">
        <w:trPr>
          <w:trHeight w:val="474"/>
        </w:trPr>
        <w:tc>
          <w:tcPr>
            <w:tcW w:w="0" w:type="auto"/>
          </w:tcPr>
          <w:p w:rsidR="008552C1" w:rsidRPr="009D12A1" w:rsidRDefault="008552C1" w:rsidP="009D12A1">
            <w:r w:rsidRPr="009D12A1">
              <w:t>Number of business compliance projects that are delivered jointly with ACL regulators  (Business compliance projects may include one or more of the following to address an identified sector-based compliance risk: monitoring, surveillance, audits, research, stakeholder engagement, business compliance resources, consumer education resources)</w:t>
            </w:r>
          </w:p>
        </w:tc>
        <w:tc>
          <w:tcPr>
            <w:tcW w:w="0" w:type="auto"/>
          </w:tcPr>
          <w:p w:rsidR="008552C1" w:rsidRPr="009D12A1" w:rsidRDefault="008552C1" w:rsidP="009D12A1">
            <w:r w:rsidRPr="009D12A1">
              <w:t>5</w:t>
            </w:r>
          </w:p>
        </w:tc>
      </w:tr>
      <w:tr w:rsidR="008552C1" w:rsidRPr="009D12A1" w:rsidTr="009D12A1">
        <w:trPr>
          <w:trHeight w:val="427"/>
        </w:trPr>
        <w:tc>
          <w:tcPr>
            <w:tcW w:w="0" w:type="auto"/>
          </w:tcPr>
          <w:p w:rsidR="008552C1" w:rsidRPr="009D12A1" w:rsidRDefault="008552C1" w:rsidP="009D12A1">
            <w:r w:rsidRPr="009D12A1">
              <w:t>Number of business compliance and consumer education projects that involve partnership or joint delivery with businesses, peak bodies, industry or consumer groups.</w:t>
            </w:r>
          </w:p>
        </w:tc>
        <w:tc>
          <w:tcPr>
            <w:tcW w:w="0" w:type="auto"/>
          </w:tcPr>
          <w:p w:rsidR="008552C1" w:rsidRPr="009D12A1" w:rsidRDefault="008552C1" w:rsidP="009D12A1">
            <w:r w:rsidRPr="009D12A1">
              <w:t>5</w:t>
            </w:r>
          </w:p>
        </w:tc>
      </w:tr>
    </w:tbl>
    <w:p w:rsidR="008552C1" w:rsidRPr="008552C1" w:rsidRDefault="008552C1" w:rsidP="009D12A1">
      <w:pPr>
        <w:pStyle w:val="Heading4"/>
      </w:pPr>
      <w:r w:rsidRPr="008552C1">
        <w:t>Identify and address the risk of serious injury and death from safety hazards in consumer products</w:t>
      </w:r>
    </w:p>
    <w:p w:rsidR="008552C1" w:rsidRPr="008552C1" w:rsidRDefault="008552C1" w:rsidP="008552C1">
      <w:r w:rsidRPr="008552C1">
        <w:t xml:space="preserve">The ACCC uses an intelligence-led approach to assess current and emerging safety risks. </w:t>
      </w:r>
      <w:r w:rsidR="00CF054C">
        <w:t>The ACCC</w:t>
      </w:r>
      <w:r w:rsidRPr="008552C1">
        <w:t xml:space="preserve"> review</w:t>
      </w:r>
      <w:r w:rsidR="00CF054C">
        <w:t>s</w:t>
      </w:r>
      <w:r w:rsidRPr="008552C1">
        <w:t xml:space="preserve"> a range of data sources to identify issues that may present a safety concern. Data sources include mandatory reports of serious illness, injury or death, recalls that have taken place internationally, and information received from the community. The</w:t>
      </w:r>
      <w:r w:rsidR="00ED3674">
        <w:t> </w:t>
      </w:r>
      <w:r w:rsidRPr="008552C1">
        <w:t xml:space="preserve">ACCC assesses information received and, where warranted, takes action including: </w:t>
      </w:r>
    </w:p>
    <w:p w:rsidR="008552C1" w:rsidRPr="008552C1" w:rsidRDefault="008552C1" w:rsidP="009D12A1">
      <w:pPr>
        <w:pStyle w:val="Bulletpoint"/>
      </w:pPr>
      <w:r w:rsidRPr="008552C1">
        <w:t xml:space="preserve">negotiating the recall of goods </w:t>
      </w:r>
    </w:p>
    <w:p w:rsidR="008552C1" w:rsidRPr="008552C1" w:rsidRDefault="008552C1" w:rsidP="009D12A1">
      <w:pPr>
        <w:pStyle w:val="Bulletpoint"/>
      </w:pPr>
      <w:r w:rsidRPr="008552C1">
        <w:t xml:space="preserve">educating industry and consumers </w:t>
      </w:r>
    </w:p>
    <w:p w:rsidR="008552C1" w:rsidRPr="008552C1" w:rsidRDefault="008552C1" w:rsidP="009D12A1">
      <w:pPr>
        <w:pStyle w:val="Bulletpoint"/>
      </w:pPr>
      <w:r w:rsidRPr="008552C1">
        <w:t xml:space="preserve">negotiating voluntary changes to packaging labelling or product design </w:t>
      </w:r>
    </w:p>
    <w:p w:rsidR="008552C1" w:rsidRPr="008552C1" w:rsidRDefault="008552C1" w:rsidP="009D12A1">
      <w:pPr>
        <w:pStyle w:val="Bulletpoint"/>
      </w:pPr>
      <w:r w:rsidRPr="008552C1">
        <w:t xml:space="preserve">working to introduce changes to voluntary or mandatory requirements, and </w:t>
      </w:r>
    </w:p>
    <w:p w:rsidR="008552C1" w:rsidRDefault="008552C1" w:rsidP="009D12A1">
      <w:pPr>
        <w:pStyle w:val="Bulletpoint"/>
      </w:pPr>
      <w:proofErr w:type="gramStart"/>
      <w:r w:rsidRPr="008552C1">
        <w:t>introducing</w:t>
      </w:r>
      <w:proofErr w:type="gramEnd"/>
      <w:r w:rsidRPr="008552C1">
        <w:t xml:space="preserve"> and/or working to implement changes to product safety mandatory standards and bans. </w:t>
      </w:r>
    </w:p>
    <w:p w:rsidR="005A5668" w:rsidRPr="008552C1" w:rsidRDefault="00A572D7" w:rsidP="00A572D7">
      <w:pPr>
        <w:pStyle w:val="Bulletpoint"/>
        <w:numPr>
          <w:ilvl w:val="0"/>
          <w:numId w:val="0"/>
        </w:numPr>
      </w:pPr>
      <w:r>
        <w:t xml:space="preserve">The ACCC is also developing criteria </w:t>
      </w:r>
      <w:r w:rsidRPr="00A572D7">
        <w:t>for accepting international product safety standards and risk assessments.</w:t>
      </w:r>
      <w:r w:rsidR="00D602BE">
        <w:t xml:space="preserve"> This is in line with the </w:t>
      </w:r>
      <w:r w:rsidR="00D602BE" w:rsidRPr="00D602BE">
        <w:t>Australian Government’s Industry Innovation and Competitiveness Agenda</w:t>
      </w:r>
      <w:r w:rsidR="00D602BE">
        <w:t>.</w:t>
      </w:r>
      <w:r>
        <w:t xml:space="preserve"> </w:t>
      </w:r>
    </w:p>
    <w:tbl>
      <w:tblPr>
        <w:tblStyle w:val="LightShading1"/>
        <w:tblpPr w:leftFromText="180" w:rightFromText="180" w:vertAnchor="text" w:horzAnchor="margin" w:tblpX="108" w:tblpY="145"/>
        <w:tblW w:w="0" w:type="auto"/>
        <w:tblLook w:val="0620" w:firstRow="1" w:lastRow="0" w:firstColumn="0" w:lastColumn="0" w:noHBand="1" w:noVBand="1"/>
      </w:tblPr>
      <w:tblGrid>
        <w:gridCol w:w="8011"/>
        <w:gridCol w:w="1231"/>
      </w:tblGrid>
      <w:tr w:rsidR="008552C1" w:rsidRPr="009D12A1" w:rsidTr="009D12A1">
        <w:trPr>
          <w:cnfStyle w:val="100000000000" w:firstRow="1" w:lastRow="0" w:firstColumn="0" w:lastColumn="0" w:oddVBand="0" w:evenVBand="0" w:oddHBand="0" w:evenHBand="0" w:firstRowFirstColumn="0" w:firstRowLastColumn="0" w:lastRowFirstColumn="0" w:lastRowLastColumn="0"/>
          <w:trHeight w:val="274"/>
        </w:trPr>
        <w:tc>
          <w:tcPr>
            <w:tcW w:w="0" w:type="auto"/>
          </w:tcPr>
          <w:p w:rsidR="008552C1" w:rsidRPr="009D12A1" w:rsidRDefault="008552C1" w:rsidP="00FC0D8A">
            <w:pPr>
              <w:spacing w:before="60" w:after="60"/>
            </w:pPr>
            <w:r w:rsidRPr="009D12A1">
              <w:t xml:space="preserve">Performance </w:t>
            </w:r>
            <w:r w:rsidR="00775952">
              <w:t>indicators</w:t>
            </w:r>
          </w:p>
        </w:tc>
        <w:tc>
          <w:tcPr>
            <w:tcW w:w="0" w:type="auto"/>
          </w:tcPr>
          <w:p w:rsidR="008552C1" w:rsidRPr="009D12A1" w:rsidRDefault="008552C1" w:rsidP="00FC0D8A">
            <w:pPr>
              <w:spacing w:before="60" w:after="60"/>
            </w:pPr>
            <w:r w:rsidRPr="009D12A1">
              <w:t>Annual target</w:t>
            </w:r>
          </w:p>
        </w:tc>
      </w:tr>
      <w:tr w:rsidR="008552C1" w:rsidRPr="009D12A1" w:rsidTr="009D12A1">
        <w:trPr>
          <w:trHeight w:val="408"/>
        </w:trPr>
        <w:tc>
          <w:tcPr>
            <w:tcW w:w="0" w:type="auto"/>
          </w:tcPr>
          <w:p w:rsidR="008552C1" w:rsidRPr="009D12A1" w:rsidRDefault="008552C1" w:rsidP="00ED3674">
            <w:r w:rsidRPr="009D12A1">
              <w:t>Percentage of product safety mandatory reports made by businesses of serious injury or death preliminary assessed by the ACCC within</w:t>
            </w:r>
            <w:r w:rsidR="00ED3674">
              <w:t xml:space="preserve"> seven</w:t>
            </w:r>
            <w:r w:rsidRPr="009D12A1">
              <w:t xml:space="preserve"> days </w:t>
            </w:r>
          </w:p>
        </w:tc>
        <w:tc>
          <w:tcPr>
            <w:tcW w:w="0" w:type="auto"/>
          </w:tcPr>
          <w:p w:rsidR="008552C1" w:rsidRPr="009D12A1" w:rsidRDefault="008552C1" w:rsidP="009D12A1">
            <w:r w:rsidRPr="009D12A1">
              <w:t>100%</w:t>
            </w:r>
          </w:p>
        </w:tc>
      </w:tr>
      <w:tr w:rsidR="008552C1" w:rsidRPr="009D12A1" w:rsidTr="009D12A1">
        <w:trPr>
          <w:trHeight w:val="474"/>
        </w:trPr>
        <w:tc>
          <w:tcPr>
            <w:tcW w:w="0" w:type="auto"/>
          </w:tcPr>
          <w:p w:rsidR="008552C1" w:rsidRPr="009D12A1" w:rsidRDefault="008552C1" w:rsidP="009D12A1">
            <w:r w:rsidRPr="009D12A1">
              <w:lastRenderedPageBreak/>
              <w:t>Percentage of recall notifications by businesses to the ACCC that, after assessment and engagement, can be published within 48 hours</w:t>
            </w:r>
          </w:p>
        </w:tc>
        <w:tc>
          <w:tcPr>
            <w:tcW w:w="0" w:type="auto"/>
          </w:tcPr>
          <w:p w:rsidR="008552C1" w:rsidRPr="009D12A1" w:rsidRDefault="008552C1" w:rsidP="009D12A1">
            <w:r w:rsidRPr="009D12A1">
              <w:t>80%</w:t>
            </w:r>
          </w:p>
        </w:tc>
      </w:tr>
      <w:tr w:rsidR="008552C1" w:rsidRPr="009D12A1" w:rsidTr="009D12A1">
        <w:trPr>
          <w:trHeight w:val="427"/>
        </w:trPr>
        <w:tc>
          <w:tcPr>
            <w:tcW w:w="0" w:type="auto"/>
          </w:tcPr>
          <w:p w:rsidR="008552C1" w:rsidRPr="009D12A1" w:rsidRDefault="008552C1" w:rsidP="009D12A1">
            <w:r w:rsidRPr="009D12A1">
              <w:t>Number of detailed assessments of emerging product safety hazards</w:t>
            </w:r>
          </w:p>
        </w:tc>
        <w:tc>
          <w:tcPr>
            <w:tcW w:w="0" w:type="auto"/>
          </w:tcPr>
          <w:p w:rsidR="008552C1" w:rsidRPr="009D12A1" w:rsidRDefault="003B0DC7" w:rsidP="009D12A1">
            <w:r w:rsidRPr="00384818">
              <w:t>40</w:t>
            </w:r>
          </w:p>
        </w:tc>
      </w:tr>
      <w:tr w:rsidR="008552C1" w:rsidRPr="009D12A1" w:rsidTr="009D12A1">
        <w:trPr>
          <w:trHeight w:val="427"/>
        </w:trPr>
        <w:tc>
          <w:tcPr>
            <w:tcW w:w="0" w:type="auto"/>
          </w:tcPr>
          <w:p w:rsidR="008552C1" w:rsidRPr="009D12A1" w:rsidRDefault="008552C1" w:rsidP="009D12A1">
            <w:r w:rsidRPr="009D12A1">
              <w:t>Number of reviews of mandatory product safety standards completed</w:t>
            </w:r>
          </w:p>
        </w:tc>
        <w:tc>
          <w:tcPr>
            <w:tcW w:w="0" w:type="auto"/>
          </w:tcPr>
          <w:p w:rsidR="008552C1" w:rsidRPr="009D12A1" w:rsidRDefault="008552C1" w:rsidP="009D12A1">
            <w:r w:rsidRPr="009D12A1">
              <w:t>6</w:t>
            </w:r>
          </w:p>
        </w:tc>
      </w:tr>
      <w:tr w:rsidR="008552C1" w:rsidRPr="009D12A1" w:rsidTr="009D12A1">
        <w:trPr>
          <w:trHeight w:val="427"/>
        </w:trPr>
        <w:tc>
          <w:tcPr>
            <w:tcW w:w="0" w:type="auto"/>
          </w:tcPr>
          <w:p w:rsidR="008552C1" w:rsidRPr="009D12A1" w:rsidRDefault="008552C1" w:rsidP="009D12A1">
            <w:r w:rsidRPr="009D12A1">
              <w:t>Number of new or updated published</w:t>
            </w:r>
            <w:r w:rsidR="00ED3674">
              <w:t xml:space="preserve"> business compliance resources </w:t>
            </w:r>
            <w:r w:rsidRPr="009D12A1">
              <w:t>about responsible</w:t>
            </w:r>
            <w:r w:rsidR="00ED3674">
              <w:t xml:space="preserve"> sourcing of consumer products </w:t>
            </w:r>
          </w:p>
        </w:tc>
        <w:tc>
          <w:tcPr>
            <w:tcW w:w="0" w:type="auto"/>
          </w:tcPr>
          <w:p w:rsidR="008552C1" w:rsidRPr="009D12A1" w:rsidRDefault="008552C1" w:rsidP="009D12A1">
            <w:r w:rsidRPr="009D12A1">
              <w:t>2</w:t>
            </w:r>
          </w:p>
        </w:tc>
      </w:tr>
    </w:tbl>
    <w:p w:rsidR="008552C1" w:rsidRPr="008552C1" w:rsidRDefault="008552C1" w:rsidP="009D12A1">
      <w:pPr>
        <w:pStyle w:val="Heading4"/>
      </w:pPr>
      <w:r w:rsidRPr="008552C1">
        <w:t>Support a vibrant small business sector</w:t>
      </w:r>
    </w:p>
    <w:p w:rsidR="008552C1" w:rsidRPr="008552C1" w:rsidRDefault="008552C1" w:rsidP="008552C1">
      <w:r w:rsidRPr="008552C1">
        <w:t xml:space="preserve">The ACCC helps to ensure small businesses understand and comply with their obligations and encourages them to exercise their rights under the CCA as the customers of larger suppliers. </w:t>
      </w:r>
      <w:r w:rsidR="00CF054C">
        <w:t>The ACCC’s</w:t>
      </w:r>
      <w:r w:rsidRPr="008552C1">
        <w:t xml:space="preserve"> aim is to promote a competitive and fair operating environment for small business and, importantly, ensure small businesses understand how the legislation can help them.</w:t>
      </w:r>
    </w:p>
    <w:tbl>
      <w:tblPr>
        <w:tblStyle w:val="LightShading1"/>
        <w:tblpPr w:leftFromText="180" w:rightFromText="180" w:vertAnchor="text" w:horzAnchor="margin" w:tblpX="108" w:tblpY="145"/>
        <w:tblW w:w="0" w:type="auto"/>
        <w:tblLook w:val="0620" w:firstRow="1" w:lastRow="0" w:firstColumn="0" w:lastColumn="0" w:noHBand="1" w:noVBand="1"/>
      </w:tblPr>
      <w:tblGrid>
        <w:gridCol w:w="7874"/>
        <w:gridCol w:w="1368"/>
      </w:tblGrid>
      <w:tr w:rsidR="008552C1" w:rsidRPr="009D12A1" w:rsidTr="009D12A1">
        <w:trPr>
          <w:cnfStyle w:val="100000000000" w:firstRow="1" w:lastRow="0" w:firstColumn="0" w:lastColumn="0" w:oddVBand="0" w:evenVBand="0" w:oddHBand="0" w:evenHBand="0" w:firstRowFirstColumn="0" w:firstRowLastColumn="0" w:lastRowFirstColumn="0" w:lastRowLastColumn="0"/>
          <w:trHeight w:val="274"/>
        </w:trPr>
        <w:tc>
          <w:tcPr>
            <w:tcW w:w="0" w:type="auto"/>
          </w:tcPr>
          <w:p w:rsidR="008552C1" w:rsidRPr="009D12A1" w:rsidRDefault="008552C1" w:rsidP="009D12A1">
            <w:r w:rsidRPr="009D12A1">
              <w:t xml:space="preserve">Performance </w:t>
            </w:r>
            <w:r w:rsidR="00775952">
              <w:t>indicators</w:t>
            </w:r>
          </w:p>
        </w:tc>
        <w:tc>
          <w:tcPr>
            <w:tcW w:w="0" w:type="auto"/>
          </w:tcPr>
          <w:p w:rsidR="008552C1" w:rsidRPr="009D12A1" w:rsidRDefault="008552C1" w:rsidP="009D12A1">
            <w:r w:rsidRPr="009D12A1">
              <w:t>Annual target</w:t>
            </w:r>
          </w:p>
        </w:tc>
      </w:tr>
      <w:tr w:rsidR="008552C1" w:rsidRPr="009D12A1" w:rsidTr="009D12A1">
        <w:trPr>
          <w:trHeight w:val="408"/>
        </w:trPr>
        <w:tc>
          <w:tcPr>
            <w:tcW w:w="0" w:type="auto"/>
          </w:tcPr>
          <w:p w:rsidR="008552C1" w:rsidRPr="009D12A1" w:rsidRDefault="008552C1" w:rsidP="009D12A1">
            <w:r w:rsidRPr="009D12A1">
              <w:t xml:space="preserve">Number of small business </w:t>
            </w:r>
            <w:proofErr w:type="spellStart"/>
            <w:r w:rsidRPr="009D12A1">
              <w:t>Infocentre</w:t>
            </w:r>
            <w:proofErr w:type="spellEnd"/>
            <w:r w:rsidRPr="009D12A1">
              <w:t xml:space="preserve"> contacts served </w:t>
            </w:r>
          </w:p>
          <w:p w:rsidR="008552C1" w:rsidRPr="009D12A1" w:rsidRDefault="008552C1" w:rsidP="009D12A1">
            <w:r w:rsidRPr="009D12A1">
              <w:t xml:space="preserve">(Small business contacts are contacts through separate small business phone line and </w:t>
            </w:r>
            <w:proofErr w:type="spellStart"/>
            <w:r w:rsidRPr="009D12A1">
              <w:t>webforms</w:t>
            </w:r>
            <w:proofErr w:type="spellEnd"/>
            <w:r w:rsidRPr="009D12A1">
              <w:t>)</w:t>
            </w:r>
          </w:p>
        </w:tc>
        <w:tc>
          <w:tcPr>
            <w:tcW w:w="0" w:type="auto"/>
          </w:tcPr>
          <w:p w:rsidR="008552C1" w:rsidRPr="009D12A1" w:rsidRDefault="006D739D" w:rsidP="00ED3674">
            <w:r>
              <w:t>24</w:t>
            </w:r>
            <w:r w:rsidR="00ED3674">
              <w:t> </w:t>
            </w:r>
            <w:r>
              <w:t>000</w:t>
            </w:r>
          </w:p>
        </w:tc>
      </w:tr>
      <w:tr w:rsidR="008552C1" w:rsidRPr="009D12A1" w:rsidTr="009D12A1">
        <w:trPr>
          <w:trHeight w:val="474"/>
        </w:trPr>
        <w:tc>
          <w:tcPr>
            <w:tcW w:w="0" w:type="auto"/>
          </w:tcPr>
          <w:p w:rsidR="008552C1" w:rsidRPr="009D12A1" w:rsidRDefault="008552C1" w:rsidP="009D12A1">
            <w:r w:rsidRPr="009D12A1">
              <w:t>Number of new or revised business compliance resources (published guidance) to empower small business</w:t>
            </w:r>
          </w:p>
        </w:tc>
        <w:tc>
          <w:tcPr>
            <w:tcW w:w="0" w:type="auto"/>
          </w:tcPr>
          <w:p w:rsidR="008552C1" w:rsidRPr="009D12A1" w:rsidRDefault="008552C1" w:rsidP="009D12A1">
            <w:r w:rsidRPr="009D12A1">
              <w:t>5</w:t>
            </w:r>
          </w:p>
        </w:tc>
      </w:tr>
      <w:tr w:rsidR="008552C1" w:rsidRPr="009D12A1" w:rsidTr="009D12A1">
        <w:trPr>
          <w:trHeight w:val="427"/>
        </w:trPr>
        <w:tc>
          <w:tcPr>
            <w:tcW w:w="0" w:type="auto"/>
          </w:tcPr>
          <w:p w:rsidR="008552C1" w:rsidRPr="009D12A1" w:rsidRDefault="008552C1" w:rsidP="009D12A1">
            <w:r w:rsidRPr="009D12A1">
              <w:t xml:space="preserve">Number of CCA and ACL enforcement interventions with substantial benefits to small business sector.  </w:t>
            </w:r>
          </w:p>
        </w:tc>
        <w:tc>
          <w:tcPr>
            <w:tcW w:w="0" w:type="auto"/>
          </w:tcPr>
          <w:p w:rsidR="008552C1" w:rsidRPr="009D12A1" w:rsidRDefault="008552C1" w:rsidP="009D12A1">
            <w:r w:rsidRPr="009D12A1">
              <w:t>10</w:t>
            </w:r>
          </w:p>
        </w:tc>
      </w:tr>
    </w:tbl>
    <w:p w:rsidR="008552C1" w:rsidRPr="008552C1" w:rsidRDefault="008552C1" w:rsidP="009D12A1">
      <w:pPr>
        <w:pStyle w:val="Heading4"/>
      </w:pPr>
      <w:r w:rsidRPr="008552C1">
        <w:t>Empower consumers by increasing their awareness of their rights under the Australian Consumer Law</w:t>
      </w:r>
    </w:p>
    <w:p w:rsidR="008552C1" w:rsidRPr="008552C1" w:rsidRDefault="008552C1" w:rsidP="008552C1">
      <w:r w:rsidRPr="008552C1">
        <w:t>Empowering and educating consumers about their consumer rights is central to the ACCC protecting the interests and safety of consumers. The ACCC’s educational campaigns also support consumers to navigate complex or difficult consumer choices to help them make smart choices.</w:t>
      </w:r>
    </w:p>
    <w:tbl>
      <w:tblPr>
        <w:tblStyle w:val="LightShading1"/>
        <w:tblpPr w:leftFromText="180" w:rightFromText="180" w:vertAnchor="text" w:horzAnchor="margin" w:tblpX="108" w:tblpY="145"/>
        <w:tblW w:w="0" w:type="auto"/>
        <w:tblLook w:val="0620" w:firstRow="1" w:lastRow="0" w:firstColumn="0" w:lastColumn="0" w:noHBand="1" w:noVBand="1"/>
      </w:tblPr>
      <w:tblGrid>
        <w:gridCol w:w="7905"/>
        <w:gridCol w:w="1275"/>
      </w:tblGrid>
      <w:tr w:rsidR="008552C1" w:rsidRPr="009D12A1" w:rsidTr="009D12A1">
        <w:trPr>
          <w:cnfStyle w:val="100000000000" w:firstRow="1" w:lastRow="0" w:firstColumn="0" w:lastColumn="0" w:oddVBand="0" w:evenVBand="0" w:oddHBand="0" w:evenHBand="0" w:firstRowFirstColumn="0" w:firstRowLastColumn="0" w:lastRowFirstColumn="0" w:lastRowLastColumn="0"/>
          <w:trHeight w:val="274"/>
        </w:trPr>
        <w:tc>
          <w:tcPr>
            <w:tcW w:w="7905" w:type="dxa"/>
          </w:tcPr>
          <w:p w:rsidR="008552C1" w:rsidRPr="009D12A1" w:rsidRDefault="008552C1" w:rsidP="009D12A1">
            <w:r w:rsidRPr="009D12A1">
              <w:t xml:space="preserve">Performance </w:t>
            </w:r>
            <w:r w:rsidR="00775952">
              <w:t>indicators</w:t>
            </w:r>
          </w:p>
        </w:tc>
        <w:tc>
          <w:tcPr>
            <w:tcW w:w="1275" w:type="dxa"/>
          </w:tcPr>
          <w:p w:rsidR="008552C1" w:rsidRPr="009D12A1" w:rsidRDefault="008552C1" w:rsidP="009D12A1">
            <w:r w:rsidRPr="009D12A1">
              <w:t>Annual target</w:t>
            </w:r>
          </w:p>
        </w:tc>
      </w:tr>
      <w:tr w:rsidR="008552C1" w:rsidRPr="009D12A1" w:rsidTr="009D12A1">
        <w:trPr>
          <w:trHeight w:val="408"/>
        </w:trPr>
        <w:tc>
          <w:tcPr>
            <w:tcW w:w="7905" w:type="dxa"/>
          </w:tcPr>
          <w:p w:rsidR="008552C1" w:rsidRPr="009D12A1" w:rsidRDefault="008552C1" w:rsidP="009D12A1">
            <w:r w:rsidRPr="009D12A1">
              <w:t>Number of new or revised consumer education resources (published guidance)</w:t>
            </w:r>
          </w:p>
        </w:tc>
        <w:tc>
          <w:tcPr>
            <w:tcW w:w="1275" w:type="dxa"/>
          </w:tcPr>
          <w:p w:rsidR="008552C1" w:rsidRPr="009D12A1" w:rsidRDefault="008552C1" w:rsidP="009D12A1">
            <w:r w:rsidRPr="009D12A1">
              <w:t>10</w:t>
            </w:r>
          </w:p>
        </w:tc>
      </w:tr>
      <w:tr w:rsidR="008552C1" w:rsidRPr="009D12A1" w:rsidTr="009D12A1">
        <w:trPr>
          <w:trHeight w:val="474"/>
        </w:trPr>
        <w:tc>
          <w:tcPr>
            <w:tcW w:w="7905" w:type="dxa"/>
          </w:tcPr>
          <w:p w:rsidR="008552C1" w:rsidRPr="009D12A1" w:rsidRDefault="008552C1" w:rsidP="009D12A1">
            <w:r w:rsidRPr="009D12A1">
              <w:t xml:space="preserve">Number of times online consumer education resources have been accessed </w:t>
            </w:r>
          </w:p>
        </w:tc>
        <w:tc>
          <w:tcPr>
            <w:tcW w:w="1275" w:type="dxa"/>
          </w:tcPr>
          <w:p w:rsidR="008552C1" w:rsidRPr="009D12A1" w:rsidRDefault="00D75BCA" w:rsidP="009D12A1">
            <w:r>
              <w:t>1.5 million</w:t>
            </w:r>
          </w:p>
        </w:tc>
      </w:tr>
      <w:tr w:rsidR="008552C1" w:rsidRPr="009D12A1" w:rsidTr="009D12A1">
        <w:trPr>
          <w:trHeight w:val="427"/>
        </w:trPr>
        <w:tc>
          <w:tcPr>
            <w:tcW w:w="7905" w:type="dxa"/>
          </w:tcPr>
          <w:p w:rsidR="008552C1" w:rsidRPr="009D12A1" w:rsidRDefault="008552C1" w:rsidP="00567967">
            <w:r w:rsidRPr="009D12A1">
              <w:t xml:space="preserve">Number of </w:t>
            </w:r>
            <w:proofErr w:type="spellStart"/>
            <w:r w:rsidRPr="009D12A1">
              <w:t>Infocentre</w:t>
            </w:r>
            <w:proofErr w:type="spellEnd"/>
            <w:r w:rsidRPr="009D12A1">
              <w:t xml:space="preserve"> contacts served </w:t>
            </w:r>
          </w:p>
        </w:tc>
        <w:tc>
          <w:tcPr>
            <w:tcW w:w="1275" w:type="dxa"/>
          </w:tcPr>
          <w:p w:rsidR="008552C1" w:rsidRPr="009D12A1" w:rsidRDefault="006D739D" w:rsidP="00ED3674">
            <w:r>
              <w:t>150</w:t>
            </w:r>
            <w:r w:rsidR="00ED3674">
              <w:t> </w:t>
            </w:r>
            <w:r>
              <w:t>000</w:t>
            </w:r>
          </w:p>
        </w:tc>
      </w:tr>
      <w:tr w:rsidR="008552C1" w:rsidRPr="009D12A1" w:rsidTr="009D12A1">
        <w:trPr>
          <w:trHeight w:val="427"/>
        </w:trPr>
        <w:tc>
          <w:tcPr>
            <w:tcW w:w="7905" w:type="dxa"/>
          </w:tcPr>
          <w:p w:rsidR="008552C1" w:rsidRPr="009D12A1" w:rsidRDefault="008552C1" w:rsidP="009D12A1">
            <w:r w:rsidRPr="009D12A1">
              <w:t xml:space="preserve">Number of unique visits to the </w:t>
            </w:r>
            <w:proofErr w:type="spellStart"/>
            <w:r w:rsidRPr="009D12A1">
              <w:t>SCAMwatch</w:t>
            </w:r>
            <w:proofErr w:type="spellEnd"/>
            <w:r w:rsidRPr="009D12A1">
              <w:t xml:space="preserve"> website </w:t>
            </w:r>
          </w:p>
        </w:tc>
        <w:tc>
          <w:tcPr>
            <w:tcW w:w="1275" w:type="dxa"/>
          </w:tcPr>
          <w:p w:rsidR="008552C1" w:rsidRPr="009D12A1" w:rsidRDefault="00D75BCA" w:rsidP="009D12A1">
            <w:r>
              <w:t>1.5 million</w:t>
            </w:r>
          </w:p>
        </w:tc>
      </w:tr>
    </w:tbl>
    <w:p w:rsidR="008552C1" w:rsidRPr="008552C1" w:rsidRDefault="009319F3" w:rsidP="000B7557">
      <w:pPr>
        <w:pStyle w:val="Heading3"/>
        <w:keepNext/>
      </w:pPr>
      <w:r>
        <w:t>S</w:t>
      </w:r>
      <w:r w:rsidR="008552C1" w:rsidRPr="008552C1">
        <w:t>trategy 3</w:t>
      </w:r>
      <w:r w:rsidR="005413B0">
        <w:tab/>
      </w:r>
      <w:r w:rsidR="008552C1" w:rsidRPr="008552C1">
        <w:t>Promote the economically efficient operation of, use of, and investment in infrastructure; and identify market failure</w:t>
      </w:r>
    </w:p>
    <w:p w:rsidR="009D12A1" w:rsidRPr="008552C1" w:rsidRDefault="008552C1" w:rsidP="000B7557">
      <w:pPr>
        <w:keepNext/>
        <w:spacing w:after="120"/>
      </w:pPr>
      <w:r w:rsidRPr="008552C1">
        <w:t>The ACCC’s objective is to</w:t>
      </w:r>
      <w:r w:rsidR="00CB0864">
        <w:t xml:space="preserve"> promote</w:t>
      </w:r>
      <w:r w:rsidR="00CB0864" w:rsidRPr="00CB0864">
        <w:t xml:space="preserve"> effective competition in upstream and d</w:t>
      </w:r>
      <w:r w:rsidR="00CB0864">
        <w:t>ownstream markets and deliver</w:t>
      </w:r>
      <w:r w:rsidR="00CB0864" w:rsidRPr="00CB0864">
        <w:t xml:space="preserve"> benefits in the long term interests of end users</w:t>
      </w:r>
      <w:r w:rsidR="00CB0864">
        <w:t>.</w:t>
      </w:r>
      <w:r w:rsidRPr="008552C1">
        <w:t xml:space="preserve"> </w:t>
      </w:r>
      <w:r w:rsidR="00CB0864">
        <w:t>The ACCC’s role</w:t>
      </w:r>
      <w:r w:rsidR="00CB0864" w:rsidRPr="00CB0864">
        <w:t xml:space="preserve"> </w:t>
      </w:r>
      <w:r w:rsidR="00CB0864" w:rsidRPr="00CB0864">
        <w:lastRenderedPageBreak/>
        <w:t>encompasses access pricing, monitoring and enforcement of industry-specific rules in a number of key infrastructure sectors in the economy, including telecommunications, rail, water, ports and airports.</w:t>
      </w:r>
    </w:p>
    <w:tbl>
      <w:tblPr>
        <w:tblStyle w:val="LightShading1"/>
        <w:tblW w:w="0" w:type="auto"/>
        <w:jc w:val="center"/>
        <w:tblLook w:val="0620" w:firstRow="1" w:lastRow="0" w:firstColumn="0" w:lastColumn="0" w:noHBand="1" w:noVBand="1"/>
      </w:tblPr>
      <w:tblGrid>
        <w:gridCol w:w="5812"/>
      </w:tblGrid>
      <w:tr w:rsidR="00DE38C7" w:rsidRPr="00F53819" w:rsidTr="007C67E3">
        <w:trPr>
          <w:cnfStyle w:val="100000000000" w:firstRow="1" w:lastRow="0" w:firstColumn="0" w:lastColumn="0" w:oddVBand="0" w:evenVBand="0" w:oddHBand="0" w:evenHBand="0" w:firstRowFirstColumn="0" w:firstRowLastColumn="0" w:lastRowFirstColumn="0" w:lastRowLastColumn="0"/>
          <w:trHeight w:val="274"/>
          <w:jc w:val="center"/>
        </w:trPr>
        <w:tc>
          <w:tcPr>
            <w:tcW w:w="5812" w:type="dxa"/>
          </w:tcPr>
          <w:p w:rsidR="00DE38C7" w:rsidRPr="00F53819" w:rsidRDefault="00DE38C7" w:rsidP="00E83D1E">
            <w:pPr>
              <w:keepNext/>
            </w:pPr>
            <w:r w:rsidRPr="00F53819">
              <w:t>Expected allocation</w:t>
            </w:r>
            <w:r w:rsidR="00D6719F">
              <w:t xml:space="preserve"> for </w:t>
            </w:r>
            <w:r w:rsidR="00A817A5">
              <w:t>2015–16</w:t>
            </w:r>
            <w:r w:rsidR="00464B11" w:rsidRPr="00542DC0">
              <w:rPr>
                <w:b w:val="0"/>
              </w:rPr>
              <w:t>*</w:t>
            </w:r>
          </w:p>
        </w:tc>
      </w:tr>
      <w:tr w:rsidR="00DE38C7" w:rsidRPr="00DE38C7" w:rsidTr="007C67E3">
        <w:trPr>
          <w:trHeight w:val="267"/>
          <w:jc w:val="center"/>
        </w:trPr>
        <w:tc>
          <w:tcPr>
            <w:tcW w:w="5812" w:type="dxa"/>
          </w:tcPr>
          <w:p w:rsidR="00DE38C7" w:rsidRPr="00DE38C7" w:rsidRDefault="00DE38C7" w:rsidP="00E83D1E">
            <w:pPr>
              <w:keepNext/>
            </w:pPr>
            <w:r w:rsidRPr="00DE38C7">
              <w:t xml:space="preserve">Budget </w:t>
            </w:r>
            <w:r>
              <w:t>(millions)</w:t>
            </w:r>
            <w:r w:rsidRPr="00DE38C7">
              <w:t xml:space="preserve">                                                     $</w:t>
            </w:r>
            <w:r w:rsidR="007073EB">
              <w:t>27.49</w:t>
            </w:r>
          </w:p>
        </w:tc>
      </w:tr>
      <w:tr w:rsidR="00DE38C7" w:rsidRPr="00DE38C7" w:rsidTr="007C67E3">
        <w:trPr>
          <w:trHeight w:val="252"/>
          <w:jc w:val="center"/>
        </w:trPr>
        <w:tc>
          <w:tcPr>
            <w:tcW w:w="5812" w:type="dxa"/>
          </w:tcPr>
          <w:p w:rsidR="00DE38C7" w:rsidRPr="00DE38C7" w:rsidRDefault="00DE38C7" w:rsidP="00E83D1E">
            <w:pPr>
              <w:keepNext/>
            </w:pPr>
            <w:r w:rsidRPr="00DE38C7">
              <w:t xml:space="preserve">Average staffing level                                </w:t>
            </w:r>
            <w:r>
              <w:t xml:space="preserve">               </w:t>
            </w:r>
            <w:r w:rsidR="007073EB">
              <w:t>130</w:t>
            </w:r>
            <w:r w:rsidR="00F32070">
              <w:t>.3</w:t>
            </w:r>
          </w:p>
        </w:tc>
      </w:tr>
      <w:tr w:rsidR="00542DC0" w:rsidRPr="00DE38C7" w:rsidTr="007C67E3">
        <w:trPr>
          <w:trHeight w:val="252"/>
          <w:jc w:val="center"/>
        </w:trPr>
        <w:tc>
          <w:tcPr>
            <w:tcW w:w="5812" w:type="dxa"/>
          </w:tcPr>
          <w:p w:rsidR="00542DC0" w:rsidRPr="00DE38C7" w:rsidRDefault="00542DC0" w:rsidP="00E83D1E">
            <w:pPr>
              <w:keepNext/>
            </w:pPr>
            <w:r w:rsidRPr="00542DC0">
              <w:t>*</w:t>
            </w:r>
            <w:r w:rsidRPr="00542DC0">
              <w:rPr>
                <w:sz w:val="16"/>
                <w:szCs w:val="16"/>
              </w:rPr>
              <w:t>Each figure includes an allocation fo</w:t>
            </w:r>
            <w:r w:rsidR="00662113">
              <w:rPr>
                <w:sz w:val="16"/>
                <w:szCs w:val="16"/>
              </w:rPr>
              <w:t xml:space="preserve">r corporate overheads, </w:t>
            </w:r>
            <w:r w:rsidRPr="00542DC0">
              <w:rPr>
                <w:sz w:val="16"/>
                <w:szCs w:val="16"/>
              </w:rPr>
              <w:t>legal and economic advice and executive support</w:t>
            </w:r>
          </w:p>
        </w:tc>
      </w:tr>
    </w:tbl>
    <w:p w:rsidR="008552C1" w:rsidRPr="008552C1" w:rsidRDefault="008552C1" w:rsidP="009D12A1">
      <w:pPr>
        <w:pStyle w:val="Heading4"/>
      </w:pPr>
      <w:r w:rsidRPr="008552C1">
        <w:t xml:space="preserve">Deliver network regulation that promotes competition in the long-term interests of end-users  </w:t>
      </w:r>
    </w:p>
    <w:p w:rsidR="008552C1" w:rsidRPr="008552C1" w:rsidRDefault="008552C1" w:rsidP="008552C1">
      <w:r w:rsidRPr="008552C1">
        <w:t>The ACCC regulates access to bottleneck infrastructure and the price for that access. Effective regulation of infrastructure services supports effective competition in upstream and downstream markets, enhancing community welfare and encouraging efficient use of resources. Regulation also promotes the economically efficient operation and use of, and investment in, Australia’s key infrastructure, thereby promoting the long-term interests of Australian consumers.</w:t>
      </w:r>
    </w:p>
    <w:tbl>
      <w:tblPr>
        <w:tblStyle w:val="LightShading1"/>
        <w:tblpPr w:leftFromText="180" w:rightFromText="180" w:vertAnchor="text" w:horzAnchor="margin" w:tblpX="108" w:tblpY="145"/>
        <w:tblW w:w="0" w:type="auto"/>
        <w:tblLook w:val="0620" w:firstRow="1" w:lastRow="0" w:firstColumn="0" w:lastColumn="0" w:noHBand="1" w:noVBand="1"/>
      </w:tblPr>
      <w:tblGrid>
        <w:gridCol w:w="7905"/>
        <w:gridCol w:w="1275"/>
      </w:tblGrid>
      <w:tr w:rsidR="008552C1" w:rsidRPr="009D12A1" w:rsidTr="009D12A1">
        <w:trPr>
          <w:cnfStyle w:val="100000000000" w:firstRow="1" w:lastRow="0" w:firstColumn="0" w:lastColumn="0" w:oddVBand="0" w:evenVBand="0" w:oddHBand="0" w:evenHBand="0" w:firstRowFirstColumn="0" w:firstRowLastColumn="0" w:lastRowFirstColumn="0" w:lastRowLastColumn="0"/>
          <w:trHeight w:val="274"/>
        </w:trPr>
        <w:tc>
          <w:tcPr>
            <w:tcW w:w="7905" w:type="dxa"/>
          </w:tcPr>
          <w:p w:rsidR="008552C1" w:rsidRPr="009D12A1" w:rsidRDefault="008552C1" w:rsidP="009D12A1">
            <w:r w:rsidRPr="009D12A1">
              <w:t xml:space="preserve">Performance </w:t>
            </w:r>
            <w:r w:rsidR="00775952">
              <w:t>indicators</w:t>
            </w:r>
          </w:p>
        </w:tc>
        <w:tc>
          <w:tcPr>
            <w:tcW w:w="1275" w:type="dxa"/>
          </w:tcPr>
          <w:p w:rsidR="008552C1" w:rsidRPr="009D12A1" w:rsidRDefault="008552C1" w:rsidP="009D12A1">
            <w:r w:rsidRPr="009D12A1">
              <w:t>Annual target</w:t>
            </w:r>
          </w:p>
        </w:tc>
      </w:tr>
      <w:tr w:rsidR="008552C1" w:rsidRPr="009D12A1" w:rsidTr="009D12A1">
        <w:trPr>
          <w:trHeight w:val="408"/>
        </w:trPr>
        <w:tc>
          <w:tcPr>
            <w:tcW w:w="7905" w:type="dxa"/>
          </w:tcPr>
          <w:p w:rsidR="008552C1" w:rsidRPr="009D12A1" w:rsidRDefault="008552C1" w:rsidP="009D12A1">
            <w:r w:rsidRPr="009D12A1">
              <w:t xml:space="preserve">Number of major regulatory decisions </w:t>
            </w:r>
          </w:p>
        </w:tc>
        <w:tc>
          <w:tcPr>
            <w:tcW w:w="1275" w:type="dxa"/>
          </w:tcPr>
          <w:p w:rsidR="008552C1" w:rsidRPr="009D12A1" w:rsidRDefault="008552C1" w:rsidP="009D12A1">
            <w:r w:rsidRPr="009D12A1">
              <w:t>3</w:t>
            </w:r>
          </w:p>
        </w:tc>
      </w:tr>
      <w:tr w:rsidR="008552C1" w:rsidRPr="009D12A1" w:rsidTr="009D12A1">
        <w:trPr>
          <w:trHeight w:val="408"/>
        </w:trPr>
        <w:tc>
          <w:tcPr>
            <w:tcW w:w="7905" w:type="dxa"/>
          </w:tcPr>
          <w:p w:rsidR="008552C1" w:rsidRPr="009D12A1" w:rsidRDefault="008552C1" w:rsidP="009D12A1">
            <w:r w:rsidRPr="009D12A1">
              <w:t>Percentage of regulatory decisions complet</w:t>
            </w:r>
            <w:r w:rsidR="00ED3674">
              <w:t xml:space="preserve">ed within statutory timeframes </w:t>
            </w:r>
            <w:r w:rsidRPr="009D12A1">
              <w:t>(including 'stop the clock' and timeframe extension provisions in the CCA)</w:t>
            </w:r>
          </w:p>
        </w:tc>
        <w:tc>
          <w:tcPr>
            <w:tcW w:w="1275" w:type="dxa"/>
          </w:tcPr>
          <w:p w:rsidR="008552C1" w:rsidRPr="009D12A1" w:rsidRDefault="008552C1" w:rsidP="009D12A1">
            <w:r w:rsidRPr="009D12A1">
              <w:t>100%</w:t>
            </w:r>
          </w:p>
        </w:tc>
      </w:tr>
    </w:tbl>
    <w:p w:rsidR="008552C1" w:rsidRPr="008552C1" w:rsidRDefault="008552C1" w:rsidP="009D12A1">
      <w:pPr>
        <w:pStyle w:val="Heading4"/>
      </w:pPr>
      <w:r w:rsidRPr="008552C1">
        <w:t xml:space="preserve">Provide industry monitoring reports to government in relation </w:t>
      </w:r>
      <w:r w:rsidR="000C302C">
        <w:t xml:space="preserve">to </w:t>
      </w:r>
      <w:r w:rsidRPr="008552C1">
        <w:t>highly concentrated, newly deregulated or emerging markets</w:t>
      </w:r>
    </w:p>
    <w:p w:rsidR="008552C1" w:rsidRDefault="008552C1" w:rsidP="008552C1">
      <w:r w:rsidRPr="008552C1">
        <w:t>The ACCC monitors and reports on the price and quality of goods and services available in some highly concentrated, newly deregulated or emerging markets.</w:t>
      </w:r>
    </w:p>
    <w:p w:rsidR="00502761" w:rsidRPr="008552C1" w:rsidRDefault="00502761" w:rsidP="008552C1">
      <w:r>
        <w:t>The ACCC produces annual monitoring reports for stevedoring, airports, telecommunications and water. Following a new ministerial direction received in December 2014, the ACCC produces at least quarterly reports on the prices, costs and profits relating to the supply of unleaded petroleum products.</w:t>
      </w:r>
    </w:p>
    <w:tbl>
      <w:tblPr>
        <w:tblStyle w:val="LightShading1"/>
        <w:tblpPr w:leftFromText="180" w:rightFromText="180" w:vertAnchor="text" w:horzAnchor="margin" w:tblpX="108" w:tblpY="145"/>
        <w:tblW w:w="0" w:type="auto"/>
        <w:tblLook w:val="0620" w:firstRow="1" w:lastRow="0" w:firstColumn="0" w:lastColumn="0" w:noHBand="1" w:noVBand="1"/>
      </w:tblPr>
      <w:tblGrid>
        <w:gridCol w:w="7905"/>
        <w:gridCol w:w="1275"/>
      </w:tblGrid>
      <w:tr w:rsidR="008552C1" w:rsidRPr="00191E89" w:rsidTr="00191E89">
        <w:trPr>
          <w:cnfStyle w:val="100000000000" w:firstRow="1" w:lastRow="0" w:firstColumn="0" w:lastColumn="0" w:oddVBand="0" w:evenVBand="0" w:oddHBand="0" w:evenHBand="0" w:firstRowFirstColumn="0" w:firstRowLastColumn="0" w:lastRowFirstColumn="0" w:lastRowLastColumn="0"/>
          <w:trHeight w:val="274"/>
        </w:trPr>
        <w:tc>
          <w:tcPr>
            <w:tcW w:w="7905" w:type="dxa"/>
          </w:tcPr>
          <w:p w:rsidR="008552C1" w:rsidRPr="00191E89" w:rsidRDefault="008552C1" w:rsidP="00191E89">
            <w:r w:rsidRPr="00191E89">
              <w:t xml:space="preserve">Performance </w:t>
            </w:r>
            <w:r w:rsidR="00775952">
              <w:t>indicators</w:t>
            </w:r>
          </w:p>
        </w:tc>
        <w:tc>
          <w:tcPr>
            <w:tcW w:w="1275" w:type="dxa"/>
          </w:tcPr>
          <w:p w:rsidR="008552C1" w:rsidRPr="00191E89" w:rsidRDefault="008552C1" w:rsidP="00191E89">
            <w:r w:rsidRPr="00191E89">
              <w:t>Annual target</w:t>
            </w:r>
          </w:p>
        </w:tc>
      </w:tr>
      <w:tr w:rsidR="00384818" w:rsidRPr="00191E89" w:rsidTr="00191E89">
        <w:trPr>
          <w:trHeight w:val="412"/>
        </w:trPr>
        <w:tc>
          <w:tcPr>
            <w:tcW w:w="7905" w:type="dxa"/>
          </w:tcPr>
          <w:p w:rsidR="00384818" w:rsidRDefault="00384818" w:rsidP="00191E89">
            <w:r>
              <w:t>Number of annual monitoring reports</w:t>
            </w:r>
          </w:p>
        </w:tc>
        <w:tc>
          <w:tcPr>
            <w:tcW w:w="1275" w:type="dxa"/>
          </w:tcPr>
          <w:p w:rsidR="00384818" w:rsidRDefault="00384818" w:rsidP="00384818">
            <w:r>
              <w:t>4</w:t>
            </w:r>
          </w:p>
        </w:tc>
      </w:tr>
      <w:tr w:rsidR="00384818" w:rsidRPr="00191E89" w:rsidTr="00191E89">
        <w:trPr>
          <w:trHeight w:val="412"/>
        </w:trPr>
        <w:tc>
          <w:tcPr>
            <w:tcW w:w="7905" w:type="dxa"/>
          </w:tcPr>
          <w:p w:rsidR="00384818" w:rsidRPr="00191E89" w:rsidRDefault="00384818" w:rsidP="00384818">
            <w:r>
              <w:t>Number of reports on monitoring of unleaded petroleum products</w:t>
            </w:r>
          </w:p>
        </w:tc>
        <w:tc>
          <w:tcPr>
            <w:tcW w:w="1275" w:type="dxa"/>
          </w:tcPr>
          <w:p w:rsidR="00384818" w:rsidRPr="00191E89" w:rsidDel="00502761" w:rsidRDefault="00384818" w:rsidP="00384818">
            <w:r>
              <w:t>4</w:t>
            </w:r>
          </w:p>
        </w:tc>
      </w:tr>
    </w:tbl>
    <w:p w:rsidR="008552C1" w:rsidRPr="00502761" w:rsidRDefault="008552C1" w:rsidP="000B7557">
      <w:pPr>
        <w:pStyle w:val="Heading4"/>
        <w:keepNext/>
      </w:pPr>
      <w:r w:rsidRPr="00502761">
        <w:lastRenderedPageBreak/>
        <w:t>Improve the efficient operation of markets by enforcing industry</w:t>
      </w:r>
      <w:r w:rsidRPr="00502761">
        <w:noBreakHyphen/>
        <w:t>specific competition and market rules</w:t>
      </w:r>
    </w:p>
    <w:p w:rsidR="008552C1" w:rsidRPr="008552C1" w:rsidRDefault="008552C1" w:rsidP="000B7557">
      <w:pPr>
        <w:keepNext/>
      </w:pPr>
      <w:r w:rsidRPr="008552C1">
        <w:t xml:space="preserve">The ACCC has a role in enforcing industry-specific competition and market rules in some </w:t>
      </w:r>
      <w:r w:rsidR="005A047E">
        <w:t>infrastructure</w:t>
      </w:r>
      <w:r w:rsidR="004E2C04">
        <w:t>-based</w:t>
      </w:r>
      <w:r w:rsidR="005A047E">
        <w:t xml:space="preserve"> </w:t>
      </w:r>
      <w:r w:rsidRPr="008552C1">
        <w:t>markets.</w:t>
      </w:r>
    </w:p>
    <w:tbl>
      <w:tblPr>
        <w:tblStyle w:val="LightShading1"/>
        <w:tblpPr w:leftFromText="180" w:rightFromText="180" w:vertAnchor="text" w:horzAnchor="margin" w:tblpX="108" w:tblpY="145"/>
        <w:tblW w:w="0" w:type="auto"/>
        <w:tblLook w:val="0620" w:firstRow="1" w:lastRow="0" w:firstColumn="0" w:lastColumn="0" w:noHBand="1" w:noVBand="1"/>
      </w:tblPr>
      <w:tblGrid>
        <w:gridCol w:w="7905"/>
        <w:gridCol w:w="1275"/>
      </w:tblGrid>
      <w:tr w:rsidR="008552C1" w:rsidRPr="00191E89" w:rsidTr="00191E89">
        <w:trPr>
          <w:cnfStyle w:val="100000000000" w:firstRow="1" w:lastRow="0" w:firstColumn="0" w:lastColumn="0" w:oddVBand="0" w:evenVBand="0" w:oddHBand="0" w:evenHBand="0" w:firstRowFirstColumn="0" w:firstRowLastColumn="0" w:lastRowFirstColumn="0" w:lastRowLastColumn="0"/>
          <w:trHeight w:val="274"/>
        </w:trPr>
        <w:tc>
          <w:tcPr>
            <w:tcW w:w="7905" w:type="dxa"/>
          </w:tcPr>
          <w:p w:rsidR="008552C1" w:rsidRPr="00191E89" w:rsidRDefault="008552C1" w:rsidP="00191E89">
            <w:r w:rsidRPr="00191E89">
              <w:t xml:space="preserve">Performance </w:t>
            </w:r>
            <w:r w:rsidR="00775952">
              <w:t>indicators</w:t>
            </w:r>
          </w:p>
        </w:tc>
        <w:tc>
          <w:tcPr>
            <w:tcW w:w="1275" w:type="dxa"/>
          </w:tcPr>
          <w:p w:rsidR="008552C1" w:rsidRPr="00191E89" w:rsidRDefault="008552C1" w:rsidP="00191E89">
            <w:r w:rsidRPr="00191E89">
              <w:t>Annual target</w:t>
            </w:r>
          </w:p>
        </w:tc>
      </w:tr>
      <w:tr w:rsidR="008552C1" w:rsidRPr="00191E89" w:rsidTr="00191E89">
        <w:trPr>
          <w:trHeight w:val="408"/>
        </w:trPr>
        <w:tc>
          <w:tcPr>
            <w:tcW w:w="7905" w:type="dxa"/>
          </w:tcPr>
          <w:p w:rsidR="008552C1" w:rsidRPr="00191E89" w:rsidRDefault="008552C1" w:rsidP="00191E89">
            <w:r w:rsidRPr="00191E89">
              <w:t>Number of investigations into potential breaches of rules</w:t>
            </w:r>
          </w:p>
        </w:tc>
        <w:tc>
          <w:tcPr>
            <w:tcW w:w="1275" w:type="dxa"/>
          </w:tcPr>
          <w:p w:rsidR="008552C1" w:rsidRPr="00191E89" w:rsidRDefault="008552C1" w:rsidP="00191E89">
            <w:r w:rsidRPr="00191E89">
              <w:t>5</w:t>
            </w:r>
          </w:p>
        </w:tc>
      </w:tr>
    </w:tbl>
    <w:p w:rsidR="008552C1" w:rsidRPr="009D12A1" w:rsidRDefault="008552C1" w:rsidP="00EF5CF9">
      <w:pPr>
        <w:pStyle w:val="Heading2"/>
        <w:keepNext/>
      </w:pPr>
      <w:r w:rsidRPr="009D12A1">
        <w:t>AER</w:t>
      </w:r>
    </w:p>
    <w:p w:rsidR="008552C1" w:rsidRPr="009D12A1" w:rsidRDefault="009319F3" w:rsidP="00EF5CF9">
      <w:pPr>
        <w:pStyle w:val="Heading3"/>
        <w:keepNext/>
      </w:pPr>
      <w:r>
        <w:t>S</w:t>
      </w:r>
      <w:r w:rsidR="008552C1" w:rsidRPr="009D12A1">
        <w:t>trategy 4</w:t>
      </w:r>
      <w:r w:rsidR="00F57492">
        <w:tab/>
      </w:r>
      <w:r w:rsidR="008552C1" w:rsidRPr="009D12A1">
        <w:t>Promote efficient investment in, and efficient operation and use of, energy services for the long term interests of consumers with respect to price, quality, safety, reliability and security</w:t>
      </w:r>
    </w:p>
    <w:p w:rsidR="008552C1" w:rsidRPr="00191E89" w:rsidRDefault="008552C1" w:rsidP="00E83D1E">
      <w:pPr>
        <w:spacing w:after="200"/>
      </w:pPr>
      <w:r w:rsidRPr="008552C1">
        <w:t xml:space="preserve">The AER’s roles encompass the retail and wholesale electricity and gas markets and energy network infrastructure. </w:t>
      </w:r>
      <w:r w:rsidRPr="00191E89">
        <w:t>The objectives of the national energy legislation guide the AER’s priorities and work program. The common objective under the legislation is to promote efficient investment in, and efficient operation and use of, energy services for the long-term interests of end users</w:t>
      </w:r>
      <w:r w:rsidR="00D13983" w:rsidRPr="00D13983">
        <w:t xml:space="preserve"> with respect to price, quality, safety, reliability and security of supply</w:t>
      </w:r>
      <w:r w:rsidRPr="00191E89">
        <w:t xml:space="preserve">.   </w:t>
      </w:r>
    </w:p>
    <w:tbl>
      <w:tblPr>
        <w:tblStyle w:val="LightShading1"/>
        <w:tblW w:w="0" w:type="auto"/>
        <w:jc w:val="center"/>
        <w:tblLook w:val="0620" w:firstRow="1" w:lastRow="0" w:firstColumn="0" w:lastColumn="0" w:noHBand="1" w:noVBand="1"/>
      </w:tblPr>
      <w:tblGrid>
        <w:gridCol w:w="5812"/>
      </w:tblGrid>
      <w:tr w:rsidR="00012C41" w:rsidRPr="00F53819" w:rsidTr="007C67E3">
        <w:trPr>
          <w:cnfStyle w:val="100000000000" w:firstRow="1" w:lastRow="0" w:firstColumn="0" w:lastColumn="0" w:oddVBand="0" w:evenVBand="0" w:oddHBand="0" w:evenHBand="0" w:firstRowFirstColumn="0" w:firstRowLastColumn="0" w:lastRowFirstColumn="0" w:lastRowLastColumn="0"/>
          <w:trHeight w:val="274"/>
          <w:jc w:val="center"/>
        </w:trPr>
        <w:tc>
          <w:tcPr>
            <w:tcW w:w="5812" w:type="dxa"/>
          </w:tcPr>
          <w:p w:rsidR="00012C41" w:rsidRPr="00F53819" w:rsidRDefault="00012C41" w:rsidP="00464B11">
            <w:r w:rsidRPr="00F53819">
              <w:t>Expected allocation</w:t>
            </w:r>
            <w:r w:rsidR="00EF68CD">
              <w:t xml:space="preserve"> for </w:t>
            </w:r>
            <w:r w:rsidR="00A817A5">
              <w:t>2015–16</w:t>
            </w:r>
            <w:r w:rsidR="00464B11" w:rsidRPr="00542DC0">
              <w:rPr>
                <w:b w:val="0"/>
              </w:rPr>
              <w:t>*</w:t>
            </w:r>
          </w:p>
        </w:tc>
      </w:tr>
      <w:tr w:rsidR="00012C41" w:rsidRPr="00DE38C7" w:rsidTr="007C67E3">
        <w:trPr>
          <w:trHeight w:val="267"/>
          <w:jc w:val="center"/>
        </w:trPr>
        <w:tc>
          <w:tcPr>
            <w:tcW w:w="5812" w:type="dxa"/>
          </w:tcPr>
          <w:p w:rsidR="00012C41" w:rsidRPr="00DE38C7" w:rsidRDefault="00012C41" w:rsidP="007678B3">
            <w:r w:rsidRPr="00DE38C7">
              <w:t xml:space="preserve">Budget </w:t>
            </w:r>
            <w:r>
              <w:t>(millions)</w:t>
            </w:r>
            <w:r w:rsidRPr="00DE38C7">
              <w:t xml:space="preserve">                                                     $</w:t>
            </w:r>
            <w:r w:rsidR="00D80EDE">
              <w:t>33.57</w:t>
            </w:r>
          </w:p>
        </w:tc>
      </w:tr>
      <w:tr w:rsidR="00012C41" w:rsidRPr="00DE38C7" w:rsidTr="007C67E3">
        <w:trPr>
          <w:trHeight w:val="252"/>
          <w:jc w:val="center"/>
        </w:trPr>
        <w:tc>
          <w:tcPr>
            <w:tcW w:w="5812" w:type="dxa"/>
          </w:tcPr>
          <w:p w:rsidR="00012C41" w:rsidRPr="00DE38C7" w:rsidRDefault="00012C41" w:rsidP="007678B3">
            <w:r w:rsidRPr="00DE38C7">
              <w:t xml:space="preserve">Average staffing level                                </w:t>
            </w:r>
            <w:r>
              <w:t xml:space="preserve">               </w:t>
            </w:r>
            <w:r w:rsidR="00D80EDE">
              <w:t>158.0</w:t>
            </w:r>
          </w:p>
        </w:tc>
      </w:tr>
      <w:tr w:rsidR="00542DC0" w:rsidRPr="00DE38C7" w:rsidTr="007C67E3">
        <w:trPr>
          <w:trHeight w:val="252"/>
          <w:jc w:val="center"/>
        </w:trPr>
        <w:tc>
          <w:tcPr>
            <w:tcW w:w="5812" w:type="dxa"/>
          </w:tcPr>
          <w:p w:rsidR="00542DC0" w:rsidRPr="00542DC0" w:rsidRDefault="00542DC0" w:rsidP="007678B3">
            <w:r w:rsidRPr="00542DC0">
              <w:t>*</w:t>
            </w:r>
            <w:r w:rsidRPr="00542DC0">
              <w:rPr>
                <w:sz w:val="16"/>
                <w:szCs w:val="16"/>
              </w:rPr>
              <w:t>Each figure includes an allocation fo</w:t>
            </w:r>
            <w:r w:rsidR="00662113">
              <w:rPr>
                <w:sz w:val="16"/>
                <w:szCs w:val="16"/>
              </w:rPr>
              <w:t xml:space="preserve">r corporate overheads, </w:t>
            </w:r>
            <w:r w:rsidRPr="00542DC0">
              <w:rPr>
                <w:sz w:val="16"/>
                <w:szCs w:val="16"/>
              </w:rPr>
              <w:t>legal and economic advice and executive support</w:t>
            </w:r>
          </w:p>
        </w:tc>
      </w:tr>
    </w:tbl>
    <w:p w:rsidR="008552C1" w:rsidRPr="009D12A1" w:rsidRDefault="008552C1" w:rsidP="00191E89">
      <w:pPr>
        <w:pStyle w:val="Heading4"/>
      </w:pPr>
      <w:r w:rsidRPr="009D12A1">
        <w:t>Provide effective network regulation</w:t>
      </w:r>
    </w:p>
    <w:p w:rsidR="008552C1" w:rsidRPr="008552C1" w:rsidRDefault="008552C1" w:rsidP="00191E89">
      <w:r w:rsidRPr="008552C1">
        <w:t xml:space="preserve">The electricity and gas rules require that network businesses periodically (usually every five years) submit regulatory proposals (electricity) and proposed access arrangements (gas) to the AER for approval. We must assess the </w:t>
      </w:r>
      <w:r w:rsidR="0094031E">
        <w:t xml:space="preserve">compliance </w:t>
      </w:r>
      <w:r w:rsidRPr="008552C1">
        <w:t>of network businesses</w:t>
      </w:r>
      <w:r w:rsidR="0094031E">
        <w:t xml:space="preserve">’ regulatory proposals </w:t>
      </w:r>
      <w:r w:rsidRPr="008552C1">
        <w:t>with the legislative criteria.</w:t>
      </w:r>
    </w:p>
    <w:tbl>
      <w:tblPr>
        <w:tblStyle w:val="LightShading1"/>
        <w:tblpPr w:leftFromText="180" w:rightFromText="180" w:vertAnchor="text" w:horzAnchor="margin" w:tblpX="108" w:tblpY="145"/>
        <w:tblW w:w="0" w:type="auto"/>
        <w:tblLook w:val="0620" w:firstRow="1" w:lastRow="0" w:firstColumn="0" w:lastColumn="0" w:noHBand="1" w:noVBand="1"/>
      </w:tblPr>
      <w:tblGrid>
        <w:gridCol w:w="7905"/>
        <w:gridCol w:w="1275"/>
      </w:tblGrid>
      <w:tr w:rsidR="008552C1" w:rsidRPr="00191E89" w:rsidTr="00191E89">
        <w:trPr>
          <w:cnfStyle w:val="100000000000" w:firstRow="1" w:lastRow="0" w:firstColumn="0" w:lastColumn="0" w:oddVBand="0" w:evenVBand="0" w:oddHBand="0" w:evenHBand="0" w:firstRowFirstColumn="0" w:firstRowLastColumn="0" w:lastRowFirstColumn="0" w:lastRowLastColumn="0"/>
          <w:trHeight w:val="274"/>
        </w:trPr>
        <w:tc>
          <w:tcPr>
            <w:tcW w:w="7905" w:type="dxa"/>
          </w:tcPr>
          <w:p w:rsidR="008552C1" w:rsidRPr="00191E89" w:rsidRDefault="008552C1" w:rsidP="00191E89">
            <w:r w:rsidRPr="00191E89">
              <w:t xml:space="preserve">Performance </w:t>
            </w:r>
            <w:r w:rsidR="00775952">
              <w:t>indicators</w:t>
            </w:r>
          </w:p>
        </w:tc>
        <w:tc>
          <w:tcPr>
            <w:tcW w:w="1275" w:type="dxa"/>
          </w:tcPr>
          <w:p w:rsidR="008552C1" w:rsidRPr="00191E89" w:rsidRDefault="008552C1" w:rsidP="00191E89">
            <w:r w:rsidRPr="00191E89">
              <w:t>Annual target</w:t>
            </w:r>
          </w:p>
        </w:tc>
      </w:tr>
      <w:tr w:rsidR="008552C1" w:rsidRPr="00191E89" w:rsidTr="00191E89">
        <w:trPr>
          <w:trHeight w:val="408"/>
        </w:trPr>
        <w:tc>
          <w:tcPr>
            <w:tcW w:w="7905" w:type="dxa"/>
          </w:tcPr>
          <w:p w:rsidR="008552C1" w:rsidRPr="00191E89" w:rsidRDefault="008552C1" w:rsidP="00191E89">
            <w:r w:rsidRPr="00191E89">
              <w:t>Number of revenue reset determinations  for electricity networks and gas pipelines and distribution networks completed</w:t>
            </w:r>
          </w:p>
        </w:tc>
        <w:tc>
          <w:tcPr>
            <w:tcW w:w="1275" w:type="dxa"/>
          </w:tcPr>
          <w:p w:rsidR="008552C1" w:rsidRPr="00191E89" w:rsidRDefault="008552C1" w:rsidP="00191E89">
            <w:r w:rsidRPr="00191E89">
              <w:t>11</w:t>
            </w:r>
          </w:p>
        </w:tc>
      </w:tr>
      <w:tr w:rsidR="008552C1" w:rsidRPr="00191E89" w:rsidTr="00191E89">
        <w:trPr>
          <w:trHeight w:val="474"/>
        </w:trPr>
        <w:tc>
          <w:tcPr>
            <w:tcW w:w="7905" w:type="dxa"/>
          </w:tcPr>
          <w:p w:rsidR="008552C1" w:rsidRPr="00191E89" w:rsidRDefault="008552C1" w:rsidP="00191E89">
            <w:r w:rsidRPr="00191E89">
              <w:t>Percentage of revenue reset determinations for electricity networks and gas pipelines and distribution networks completed within statutory timeframes.</w:t>
            </w:r>
          </w:p>
        </w:tc>
        <w:tc>
          <w:tcPr>
            <w:tcW w:w="1275" w:type="dxa"/>
          </w:tcPr>
          <w:p w:rsidR="008552C1" w:rsidRPr="00191E89" w:rsidRDefault="008552C1" w:rsidP="00191E89">
            <w:r w:rsidRPr="00191E89">
              <w:t>100%</w:t>
            </w:r>
          </w:p>
        </w:tc>
      </w:tr>
      <w:tr w:rsidR="008552C1" w:rsidRPr="00191E89" w:rsidTr="00191E89">
        <w:trPr>
          <w:trHeight w:val="427"/>
        </w:trPr>
        <w:tc>
          <w:tcPr>
            <w:tcW w:w="7905" w:type="dxa"/>
          </w:tcPr>
          <w:p w:rsidR="008552C1" w:rsidRPr="00191E89" w:rsidRDefault="008552C1" w:rsidP="00191E89">
            <w:r w:rsidRPr="00191E89">
              <w:t>Number of annual benchmarking and performance reports for electricity networks</w:t>
            </w:r>
          </w:p>
        </w:tc>
        <w:tc>
          <w:tcPr>
            <w:tcW w:w="1275" w:type="dxa"/>
          </w:tcPr>
          <w:p w:rsidR="008552C1" w:rsidRPr="00191E89" w:rsidRDefault="008552C1" w:rsidP="00191E89">
            <w:r w:rsidRPr="00191E89">
              <w:t>2</w:t>
            </w:r>
          </w:p>
        </w:tc>
      </w:tr>
      <w:tr w:rsidR="008552C1" w:rsidRPr="00191E89" w:rsidTr="00191E89">
        <w:trPr>
          <w:trHeight w:val="427"/>
        </w:trPr>
        <w:tc>
          <w:tcPr>
            <w:tcW w:w="7905" w:type="dxa"/>
          </w:tcPr>
          <w:p w:rsidR="008552C1" w:rsidRPr="00191E89" w:rsidRDefault="008552C1" w:rsidP="00191E89">
            <w:r w:rsidRPr="00191E89">
              <w:t>Number of annual tariff approval applications assessed</w:t>
            </w:r>
          </w:p>
        </w:tc>
        <w:tc>
          <w:tcPr>
            <w:tcW w:w="1275" w:type="dxa"/>
          </w:tcPr>
          <w:p w:rsidR="008552C1" w:rsidRPr="00191E89" w:rsidRDefault="008552C1" w:rsidP="00191E89">
            <w:r w:rsidRPr="00191E89">
              <w:t>26</w:t>
            </w:r>
          </w:p>
        </w:tc>
      </w:tr>
    </w:tbl>
    <w:p w:rsidR="008552C1" w:rsidRPr="008552C1" w:rsidRDefault="008552C1" w:rsidP="00191E89">
      <w:pPr>
        <w:pStyle w:val="Heading4"/>
      </w:pPr>
      <w:r w:rsidRPr="008552C1">
        <w:t>Build consumer confidence in retail energy markets</w:t>
      </w:r>
    </w:p>
    <w:p w:rsidR="008552C1" w:rsidRPr="008552C1" w:rsidRDefault="008552C1" w:rsidP="00191E89">
      <w:r w:rsidRPr="008552C1">
        <w:t xml:space="preserve">Under the National Energy Retail Law, the AER regulates retail markets in </w:t>
      </w:r>
      <w:r w:rsidR="00D13983">
        <w:t xml:space="preserve">Queensland, </w:t>
      </w:r>
      <w:r w:rsidRPr="008552C1">
        <w:t>New South Wales, South Australia, Tasmania</w:t>
      </w:r>
      <w:r w:rsidR="00D13983">
        <w:t xml:space="preserve"> (electricity only) </w:t>
      </w:r>
      <w:r w:rsidRPr="008552C1">
        <w:t xml:space="preserve">and the Australian Capital </w:t>
      </w:r>
      <w:r w:rsidRPr="008552C1">
        <w:lastRenderedPageBreak/>
        <w:t xml:space="preserve">Territory. The Retail Law sets out the obligations of energy retailers and key consumer protections. These include requirements </w:t>
      </w:r>
      <w:r w:rsidR="00D13983">
        <w:t xml:space="preserve">for </w:t>
      </w:r>
      <w:r w:rsidRPr="008552C1">
        <w:t>how retailers market their offers and retailer responsibilities to help customers in financial hardship.</w:t>
      </w:r>
    </w:p>
    <w:tbl>
      <w:tblPr>
        <w:tblStyle w:val="LightShading1"/>
        <w:tblpPr w:leftFromText="180" w:rightFromText="180" w:vertAnchor="text" w:horzAnchor="margin" w:tblpX="108" w:tblpY="145"/>
        <w:tblW w:w="0" w:type="auto"/>
        <w:tblLook w:val="0620" w:firstRow="1" w:lastRow="0" w:firstColumn="0" w:lastColumn="0" w:noHBand="1" w:noVBand="1"/>
      </w:tblPr>
      <w:tblGrid>
        <w:gridCol w:w="8091"/>
        <w:gridCol w:w="1151"/>
      </w:tblGrid>
      <w:tr w:rsidR="008552C1" w:rsidRPr="00191E89" w:rsidTr="00191E89">
        <w:trPr>
          <w:cnfStyle w:val="100000000000" w:firstRow="1" w:lastRow="0" w:firstColumn="0" w:lastColumn="0" w:oddVBand="0" w:evenVBand="0" w:oddHBand="0" w:evenHBand="0" w:firstRowFirstColumn="0" w:firstRowLastColumn="0" w:lastRowFirstColumn="0" w:lastRowLastColumn="0"/>
          <w:trHeight w:val="274"/>
        </w:trPr>
        <w:tc>
          <w:tcPr>
            <w:tcW w:w="0" w:type="auto"/>
          </w:tcPr>
          <w:p w:rsidR="008552C1" w:rsidRPr="00191E89" w:rsidRDefault="008552C1" w:rsidP="00191E89">
            <w:r w:rsidRPr="00191E89">
              <w:t xml:space="preserve">Performance </w:t>
            </w:r>
            <w:r w:rsidR="00775952">
              <w:t>indicators</w:t>
            </w:r>
          </w:p>
        </w:tc>
        <w:tc>
          <w:tcPr>
            <w:tcW w:w="0" w:type="auto"/>
          </w:tcPr>
          <w:p w:rsidR="008552C1" w:rsidRPr="00191E89" w:rsidRDefault="008552C1" w:rsidP="00191E89">
            <w:r w:rsidRPr="00191E89">
              <w:t>Annual target</w:t>
            </w:r>
          </w:p>
        </w:tc>
      </w:tr>
      <w:tr w:rsidR="008552C1" w:rsidRPr="00191E89" w:rsidTr="00191E89">
        <w:trPr>
          <w:trHeight w:val="408"/>
        </w:trPr>
        <w:tc>
          <w:tcPr>
            <w:tcW w:w="0" w:type="auto"/>
          </w:tcPr>
          <w:p w:rsidR="008552C1" w:rsidRPr="00191E89" w:rsidRDefault="008552C1" w:rsidP="00191E89">
            <w:r w:rsidRPr="00191E89">
              <w:t>Number of annual reports on com</w:t>
            </w:r>
            <w:r w:rsidR="00ED3674">
              <w:t>pliance in, and performance of,</w:t>
            </w:r>
            <w:r w:rsidRPr="00191E89">
              <w:t xml:space="preserve"> retail energy markets </w:t>
            </w:r>
          </w:p>
        </w:tc>
        <w:tc>
          <w:tcPr>
            <w:tcW w:w="0" w:type="auto"/>
          </w:tcPr>
          <w:p w:rsidR="008552C1" w:rsidRPr="00191E89" w:rsidRDefault="008552C1" w:rsidP="00191E89">
            <w:r w:rsidRPr="00191E89">
              <w:t>2</w:t>
            </w:r>
          </w:p>
        </w:tc>
      </w:tr>
      <w:tr w:rsidR="008552C1" w:rsidRPr="00191E89" w:rsidTr="00191E89">
        <w:trPr>
          <w:trHeight w:val="474"/>
        </w:trPr>
        <w:tc>
          <w:tcPr>
            <w:tcW w:w="0" w:type="auto"/>
          </w:tcPr>
          <w:p w:rsidR="008552C1" w:rsidRPr="00191E89" w:rsidRDefault="008552C1" w:rsidP="00191E89">
            <w:r w:rsidRPr="00191E89">
              <w:t xml:space="preserve">Number of retailers’ hardship policies and proposed amendments assessed (externally driven)  </w:t>
            </w:r>
          </w:p>
        </w:tc>
        <w:tc>
          <w:tcPr>
            <w:tcW w:w="0" w:type="auto"/>
          </w:tcPr>
          <w:p w:rsidR="008552C1" w:rsidRPr="00191E89" w:rsidRDefault="008552C1" w:rsidP="00191E89">
            <w:r w:rsidRPr="00191E89">
              <w:t>N/A</w:t>
            </w:r>
          </w:p>
        </w:tc>
      </w:tr>
      <w:tr w:rsidR="008552C1" w:rsidRPr="00191E89" w:rsidTr="00191E89">
        <w:trPr>
          <w:trHeight w:val="427"/>
        </w:trPr>
        <w:tc>
          <w:tcPr>
            <w:tcW w:w="0" w:type="auto"/>
          </w:tcPr>
          <w:p w:rsidR="008552C1" w:rsidRPr="00191E89" w:rsidRDefault="008552C1" w:rsidP="00191E89">
            <w:r w:rsidRPr="00191E89">
              <w:t xml:space="preserve">Percentage of retailers’ hardship policies and proposed amendments assessed within 12 weeks of receiving all relevant information </w:t>
            </w:r>
          </w:p>
        </w:tc>
        <w:tc>
          <w:tcPr>
            <w:tcW w:w="0" w:type="auto"/>
          </w:tcPr>
          <w:p w:rsidR="008552C1" w:rsidRPr="00191E89" w:rsidRDefault="008552C1" w:rsidP="00191E89">
            <w:r w:rsidRPr="00191E89">
              <w:t>100%</w:t>
            </w:r>
          </w:p>
        </w:tc>
      </w:tr>
      <w:tr w:rsidR="008552C1" w:rsidRPr="00191E89" w:rsidTr="00191E89">
        <w:trPr>
          <w:trHeight w:val="427"/>
        </w:trPr>
        <w:tc>
          <w:tcPr>
            <w:tcW w:w="0" w:type="auto"/>
          </w:tcPr>
          <w:p w:rsidR="008552C1" w:rsidRPr="00191E89" w:rsidRDefault="008552C1" w:rsidP="00191E89">
            <w:r w:rsidRPr="00191E89">
              <w:t>Number of retail authorisations/exemptions assessed (externally driven)</w:t>
            </w:r>
          </w:p>
        </w:tc>
        <w:tc>
          <w:tcPr>
            <w:tcW w:w="0" w:type="auto"/>
          </w:tcPr>
          <w:p w:rsidR="008552C1" w:rsidRPr="00191E89" w:rsidRDefault="008552C1" w:rsidP="00191E89">
            <w:r w:rsidRPr="00191E89">
              <w:t>N/A</w:t>
            </w:r>
          </w:p>
        </w:tc>
      </w:tr>
      <w:tr w:rsidR="008552C1" w:rsidRPr="00191E89" w:rsidTr="00191E89">
        <w:trPr>
          <w:trHeight w:val="427"/>
        </w:trPr>
        <w:tc>
          <w:tcPr>
            <w:tcW w:w="0" w:type="auto"/>
          </w:tcPr>
          <w:p w:rsidR="008552C1" w:rsidRPr="00191E89" w:rsidRDefault="008552C1" w:rsidP="00191E89">
            <w:r w:rsidRPr="00191E89">
              <w:t xml:space="preserve">Percentage of retail authorisations/exemptions applications assessed within 12 weeks of receiving all relevant information </w:t>
            </w:r>
          </w:p>
        </w:tc>
        <w:tc>
          <w:tcPr>
            <w:tcW w:w="0" w:type="auto"/>
          </w:tcPr>
          <w:p w:rsidR="008552C1" w:rsidRPr="00191E89" w:rsidRDefault="008552C1" w:rsidP="00191E89">
            <w:r w:rsidRPr="00191E89">
              <w:t>100%</w:t>
            </w:r>
          </w:p>
        </w:tc>
      </w:tr>
      <w:tr w:rsidR="008552C1" w:rsidRPr="00191E89" w:rsidTr="00191E89">
        <w:trPr>
          <w:trHeight w:val="427"/>
        </w:trPr>
        <w:tc>
          <w:tcPr>
            <w:tcW w:w="0" w:type="auto"/>
          </w:tcPr>
          <w:p w:rsidR="008552C1" w:rsidRPr="00191E89" w:rsidRDefault="008552C1" w:rsidP="00191E89">
            <w:r w:rsidRPr="00191E89">
              <w:t>Support the timely transfer of affected customers in the event of a retailer failure (externally driven)</w:t>
            </w:r>
          </w:p>
        </w:tc>
        <w:tc>
          <w:tcPr>
            <w:tcW w:w="0" w:type="auto"/>
          </w:tcPr>
          <w:p w:rsidR="008552C1" w:rsidRPr="00191E89" w:rsidRDefault="008552C1" w:rsidP="00191E89">
            <w:r w:rsidRPr="00191E89">
              <w:t>N/A</w:t>
            </w:r>
          </w:p>
        </w:tc>
      </w:tr>
      <w:tr w:rsidR="008552C1" w:rsidRPr="00191E89" w:rsidTr="00191E89">
        <w:trPr>
          <w:trHeight w:val="427"/>
        </w:trPr>
        <w:tc>
          <w:tcPr>
            <w:tcW w:w="0" w:type="auto"/>
          </w:tcPr>
          <w:p w:rsidR="008552C1" w:rsidRPr="00191E89" w:rsidRDefault="008552C1" w:rsidP="00ED3674">
            <w:r w:rsidRPr="00191E89">
              <w:t>Number of formal energy retail enforcement interventions (court proceeding commenced, s</w:t>
            </w:r>
            <w:r w:rsidR="00ED3674">
              <w:t>.</w:t>
            </w:r>
            <w:r w:rsidR="0087328B">
              <w:t> </w:t>
            </w:r>
            <w:bookmarkStart w:id="0" w:name="_GoBack"/>
            <w:bookmarkEnd w:id="0"/>
            <w:r w:rsidRPr="00191E89">
              <w:t>288 (NERL) undertakings accepted, infringement notices issued) (externally driven)</w:t>
            </w:r>
          </w:p>
        </w:tc>
        <w:tc>
          <w:tcPr>
            <w:tcW w:w="0" w:type="auto"/>
          </w:tcPr>
          <w:p w:rsidR="008552C1" w:rsidRPr="00191E89" w:rsidRDefault="008552C1" w:rsidP="00191E89">
            <w:r w:rsidRPr="00191E89">
              <w:t>N/A</w:t>
            </w:r>
          </w:p>
        </w:tc>
      </w:tr>
      <w:tr w:rsidR="008552C1" w:rsidRPr="00191E89" w:rsidTr="00191E89">
        <w:trPr>
          <w:trHeight w:val="427"/>
        </w:trPr>
        <w:tc>
          <w:tcPr>
            <w:tcW w:w="0" w:type="auto"/>
          </w:tcPr>
          <w:p w:rsidR="008552C1" w:rsidRPr="00191E89" w:rsidRDefault="00ED3674" w:rsidP="00191E89">
            <w:r>
              <w:t>Percentage of new/replacement</w:t>
            </w:r>
            <w:r w:rsidR="008552C1" w:rsidRPr="00191E89">
              <w:t xml:space="preserve"> offers published on Energy Made Easy website within 48 hours of receipt from retailers </w:t>
            </w:r>
          </w:p>
        </w:tc>
        <w:tc>
          <w:tcPr>
            <w:tcW w:w="0" w:type="auto"/>
          </w:tcPr>
          <w:p w:rsidR="008552C1" w:rsidRPr="00191E89" w:rsidRDefault="008552C1" w:rsidP="00191E89">
            <w:r w:rsidRPr="00191E89">
              <w:t>100%</w:t>
            </w:r>
          </w:p>
        </w:tc>
      </w:tr>
    </w:tbl>
    <w:p w:rsidR="008552C1" w:rsidRPr="009D12A1" w:rsidRDefault="008552C1" w:rsidP="009D12A1">
      <w:pPr>
        <w:pStyle w:val="Heading4"/>
      </w:pPr>
      <w:r w:rsidRPr="009D12A1">
        <w:t>Support efficient wholesale energy markets</w:t>
      </w:r>
    </w:p>
    <w:p w:rsidR="008552C1" w:rsidRPr="008552C1" w:rsidRDefault="008552C1" w:rsidP="008552C1">
      <w:r w:rsidRPr="008552C1">
        <w:t xml:space="preserve">The AER is responsible for monitoring and enforcement in wholesale electricity and gas markets in all jurisdictions except Western Australia and the Northern Territory, namely: </w:t>
      </w:r>
    </w:p>
    <w:p w:rsidR="008552C1" w:rsidRPr="008552C1" w:rsidRDefault="008552C1" w:rsidP="00191E89">
      <w:pPr>
        <w:pStyle w:val="Bulletpoint"/>
      </w:pPr>
      <w:r w:rsidRPr="008552C1">
        <w:t xml:space="preserve">the National Electricity </w:t>
      </w:r>
      <w:r w:rsidR="006A2D12">
        <w:t>Market—an $11</w:t>
      </w:r>
      <w:r w:rsidRPr="008552C1">
        <w:t xml:space="preserve"> billion per year spot market in eastern and southern Australia, in which more than 200 generators compete to dispatch electricity, and </w:t>
      </w:r>
    </w:p>
    <w:p w:rsidR="008552C1" w:rsidRPr="008552C1" w:rsidRDefault="008552C1" w:rsidP="00191E89">
      <w:pPr>
        <w:pStyle w:val="Bulletpoint"/>
      </w:pPr>
      <w:proofErr w:type="gramStart"/>
      <w:r w:rsidRPr="008552C1">
        <w:t>spot</w:t>
      </w:r>
      <w:proofErr w:type="gramEnd"/>
      <w:r w:rsidRPr="008552C1">
        <w:t xml:space="preserve"> markets for gas, in which around 370 </w:t>
      </w:r>
      <w:proofErr w:type="spellStart"/>
      <w:r w:rsidRPr="008552C1">
        <w:t>petajoules</w:t>
      </w:r>
      <w:proofErr w:type="spellEnd"/>
      <w:r w:rsidRPr="008552C1">
        <w:t xml:space="preserve"> are traded each year in market hubs in Adelaide, Sydney, Brisbane, Victoria and Wallumbilla. </w:t>
      </w:r>
    </w:p>
    <w:tbl>
      <w:tblPr>
        <w:tblStyle w:val="LightShading1"/>
        <w:tblpPr w:leftFromText="180" w:rightFromText="180" w:vertAnchor="text" w:horzAnchor="margin" w:tblpX="108" w:tblpY="145"/>
        <w:tblW w:w="0" w:type="auto"/>
        <w:tblLook w:val="0620" w:firstRow="1" w:lastRow="0" w:firstColumn="0" w:lastColumn="0" w:noHBand="1" w:noVBand="1"/>
      </w:tblPr>
      <w:tblGrid>
        <w:gridCol w:w="7905"/>
        <w:gridCol w:w="1275"/>
      </w:tblGrid>
      <w:tr w:rsidR="008552C1" w:rsidRPr="00191E89" w:rsidTr="00191E89">
        <w:trPr>
          <w:cnfStyle w:val="100000000000" w:firstRow="1" w:lastRow="0" w:firstColumn="0" w:lastColumn="0" w:oddVBand="0" w:evenVBand="0" w:oddHBand="0" w:evenHBand="0" w:firstRowFirstColumn="0" w:firstRowLastColumn="0" w:lastRowFirstColumn="0" w:lastRowLastColumn="0"/>
          <w:trHeight w:val="274"/>
        </w:trPr>
        <w:tc>
          <w:tcPr>
            <w:tcW w:w="7905" w:type="dxa"/>
          </w:tcPr>
          <w:p w:rsidR="008552C1" w:rsidRPr="00191E89" w:rsidRDefault="008552C1" w:rsidP="00191E89">
            <w:r w:rsidRPr="00191E89">
              <w:t xml:space="preserve">Performance </w:t>
            </w:r>
            <w:r w:rsidR="00775952">
              <w:t>indicators</w:t>
            </w:r>
          </w:p>
        </w:tc>
        <w:tc>
          <w:tcPr>
            <w:tcW w:w="1275" w:type="dxa"/>
          </w:tcPr>
          <w:p w:rsidR="008552C1" w:rsidRPr="00191E89" w:rsidRDefault="008552C1" w:rsidP="00191E89">
            <w:r w:rsidRPr="00191E89">
              <w:t>Annual target</w:t>
            </w:r>
          </w:p>
        </w:tc>
      </w:tr>
      <w:tr w:rsidR="008552C1" w:rsidRPr="00191E89" w:rsidTr="00191E89">
        <w:trPr>
          <w:trHeight w:val="408"/>
        </w:trPr>
        <w:tc>
          <w:tcPr>
            <w:tcW w:w="7905" w:type="dxa"/>
          </w:tcPr>
          <w:p w:rsidR="008552C1" w:rsidRPr="00191E89" w:rsidRDefault="008552C1" w:rsidP="00191E89">
            <w:r w:rsidRPr="00191E89">
              <w:t>Number of quarterly compliance reports on wholesale markets and networks</w:t>
            </w:r>
          </w:p>
        </w:tc>
        <w:tc>
          <w:tcPr>
            <w:tcW w:w="1275" w:type="dxa"/>
          </w:tcPr>
          <w:p w:rsidR="008552C1" w:rsidRPr="00191E89" w:rsidRDefault="008552C1" w:rsidP="00191E89">
            <w:r w:rsidRPr="00191E89">
              <w:t>4</w:t>
            </w:r>
          </w:p>
        </w:tc>
      </w:tr>
      <w:tr w:rsidR="008552C1" w:rsidRPr="00191E89" w:rsidTr="00191E89">
        <w:trPr>
          <w:trHeight w:val="474"/>
        </w:trPr>
        <w:tc>
          <w:tcPr>
            <w:tcW w:w="7905" w:type="dxa"/>
          </w:tcPr>
          <w:p w:rsidR="008552C1" w:rsidRPr="00191E89" w:rsidRDefault="008552C1" w:rsidP="00ED3674">
            <w:r w:rsidRPr="00191E89">
              <w:t xml:space="preserve">Percentage of quarterly compliance reports published within </w:t>
            </w:r>
            <w:r w:rsidR="00ED3674">
              <w:t>six</w:t>
            </w:r>
            <w:r w:rsidRPr="00191E89">
              <w:t xml:space="preserve"> weeks of the end of the quarter</w:t>
            </w:r>
          </w:p>
        </w:tc>
        <w:tc>
          <w:tcPr>
            <w:tcW w:w="1275" w:type="dxa"/>
          </w:tcPr>
          <w:p w:rsidR="008552C1" w:rsidRPr="00191E89" w:rsidRDefault="008552C1" w:rsidP="00191E89">
            <w:r w:rsidRPr="00191E89">
              <w:t>100%</w:t>
            </w:r>
          </w:p>
        </w:tc>
      </w:tr>
      <w:tr w:rsidR="008552C1" w:rsidRPr="00191E89" w:rsidTr="00191E89">
        <w:trPr>
          <w:trHeight w:val="427"/>
        </w:trPr>
        <w:tc>
          <w:tcPr>
            <w:tcW w:w="7905" w:type="dxa"/>
          </w:tcPr>
          <w:p w:rsidR="008552C1" w:rsidRPr="00191E89" w:rsidRDefault="008552C1" w:rsidP="00191E89">
            <w:r w:rsidRPr="00191E89">
              <w:t>Audit the compliance systems of selected energy businesses , and report on outcomes</w:t>
            </w:r>
          </w:p>
        </w:tc>
        <w:tc>
          <w:tcPr>
            <w:tcW w:w="1275" w:type="dxa"/>
          </w:tcPr>
          <w:p w:rsidR="008552C1" w:rsidRPr="00191E89" w:rsidRDefault="008552C1" w:rsidP="00191E89">
            <w:r w:rsidRPr="00191E89">
              <w:t>2</w:t>
            </w:r>
          </w:p>
        </w:tc>
      </w:tr>
      <w:tr w:rsidR="008552C1" w:rsidRPr="00191E89" w:rsidTr="00191E89">
        <w:trPr>
          <w:trHeight w:val="427"/>
        </w:trPr>
        <w:tc>
          <w:tcPr>
            <w:tcW w:w="7905" w:type="dxa"/>
          </w:tcPr>
          <w:p w:rsidR="008552C1" w:rsidRPr="00191E89" w:rsidRDefault="008552C1" w:rsidP="00191E89">
            <w:r w:rsidRPr="00191E89">
              <w:t>Number of weekly electricity and gas monitoring reports</w:t>
            </w:r>
          </w:p>
        </w:tc>
        <w:tc>
          <w:tcPr>
            <w:tcW w:w="1275" w:type="dxa"/>
          </w:tcPr>
          <w:p w:rsidR="008552C1" w:rsidRPr="00191E89" w:rsidRDefault="008552C1" w:rsidP="00191E89">
            <w:r w:rsidRPr="00191E89">
              <w:t>104</w:t>
            </w:r>
          </w:p>
        </w:tc>
      </w:tr>
      <w:tr w:rsidR="008552C1" w:rsidRPr="00191E89" w:rsidTr="00191E89">
        <w:trPr>
          <w:trHeight w:val="427"/>
        </w:trPr>
        <w:tc>
          <w:tcPr>
            <w:tcW w:w="7905" w:type="dxa"/>
          </w:tcPr>
          <w:p w:rsidR="008552C1" w:rsidRPr="00191E89" w:rsidRDefault="008552C1" w:rsidP="00191E89">
            <w:r w:rsidRPr="00191E89">
              <w:t>Percentage of weekly reports published within 12 business days of the end of th</w:t>
            </w:r>
            <w:r w:rsidR="00ED3674">
              <w:t>e</w:t>
            </w:r>
            <w:r w:rsidRPr="00191E89">
              <w:t xml:space="preserve"> relevant week </w:t>
            </w:r>
          </w:p>
        </w:tc>
        <w:tc>
          <w:tcPr>
            <w:tcW w:w="1275" w:type="dxa"/>
          </w:tcPr>
          <w:p w:rsidR="008552C1" w:rsidRPr="00191E89" w:rsidRDefault="008552C1" w:rsidP="00191E89">
            <w:r w:rsidRPr="00191E89">
              <w:t>75%</w:t>
            </w:r>
          </w:p>
        </w:tc>
      </w:tr>
      <w:tr w:rsidR="008552C1" w:rsidRPr="00191E89" w:rsidTr="00191E89">
        <w:trPr>
          <w:trHeight w:val="427"/>
        </w:trPr>
        <w:tc>
          <w:tcPr>
            <w:tcW w:w="7905" w:type="dxa"/>
          </w:tcPr>
          <w:p w:rsidR="008552C1" w:rsidRPr="00191E89" w:rsidRDefault="008552C1" w:rsidP="00191E89">
            <w:r w:rsidRPr="00191E89">
              <w:t>Number of reports on extreme price events in wholesale electricity and gas markets (externally driven)</w:t>
            </w:r>
          </w:p>
        </w:tc>
        <w:tc>
          <w:tcPr>
            <w:tcW w:w="1275" w:type="dxa"/>
          </w:tcPr>
          <w:p w:rsidR="008552C1" w:rsidRPr="00191E89" w:rsidRDefault="008552C1" w:rsidP="00191E89">
            <w:r w:rsidRPr="00191E89">
              <w:t>N/A</w:t>
            </w:r>
          </w:p>
        </w:tc>
      </w:tr>
      <w:tr w:rsidR="008552C1" w:rsidRPr="00191E89" w:rsidTr="00191E89">
        <w:trPr>
          <w:trHeight w:val="427"/>
        </w:trPr>
        <w:tc>
          <w:tcPr>
            <w:tcW w:w="7905" w:type="dxa"/>
          </w:tcPr>
          <w:p w:rsidR="008552C1" w:rsidRPr="00191E89" w:rsidRDefault="008552C1" w:rsidP="00191E89">
            <w:r w:rsidRPr="00191E89">
              <w:lastRenderedPageBreak/>
              <w:t>Percentage of reports on extreme price events in wholesa</w:t>
            </w:r>
            <w:r w:rsidR="00ED3674">
              <w:t xml:space="preserve">le electricity and gas markets </w:t>
            </w:r>
            <w:r w:rsidRPr="00191E89">
              <w:t>published within statutory timeframes</w:t>
            </w:r>
          </w:p>
        </w:tc>
        <w:tc>
          <w:tcPr>
            <w:tcW w:w="1275" w:type="dxa"/>
          </w:tcPr>
          <w:p w:rsidR="008552C1" w:rsidRPr="00191E89" w:rsidRDefault="008552C1" w:rsidP="00191E89">
            <w:r w:rsidRPr="00191E89">
              <w:t>100%</w:t>
            </w:r>
          </w:p>
        </w:tc>
      </w:tr>
      <w:tr w:rsidR="008552C1" w:rsidRPr="00191E89" w:rsidTr="00191E89">
        <w:trPr>
          <w:trHeight w:val="427"/>
        </w:trPr>
        <w:tc>
          <w:tcPr>
            <w:tcW w:w="7905" w:type="dxa"/>
          </w:tcPr>
          <w:p w:rsidR="008552C1" w:rsidRPr="00191E89" w:rsidRDefault="008552C1" w:rsidP="00191E89">
            <w:r w:rsidRPr="00191E89">
              <w:t xml:space="preserve">Number of targeted reviews of compliance with the national energy rules (as measured by number of reports) </w:t>
            </w:r>
          </w:p>
        </w:tc>
        <w:tc>
          <w:tcPr>
            <w:tcW w:w="1275" w:type="dxa"/>
          </w:tcPr>
          <w:p w:rsidR="008552C1" w:rsidRPr="00191E89" w:rsidRDefault="008552C1" w:rsidP="00191E89">
            <w:r w:rsidRPr="00191E89">
              <w:t>4</w:t>
            </w:r>
          </w:p>
        </w:tc>
      </w:tr>
      <w:tr w:rsidR="008552C1" w:rsidRPr="00191E89" w:rsidTr="00191E89">
        <w:trPr>
          <w:trHeight w:val="427"/>
        </w:trPr>
        <w:tc>
          <w:tcPr>
            <w:tcW w:w="7905" w:type="dxa"/>
          </w:tcPr>
          <w:p w:rsidR="008552C1" w:rsidRPr="00191E89" w:rsidRDefault="008552C1" w:rsidP="00191E89">
            <w:r w:rsidRPr="00191E89">
              <w:t xml:space="preserve">Publish the State of the energy market report </w:t>
            </w:r>
          </w:p>
        </w:tc>
        <w:tc>
          <w:tcPr>
            <w:tcW w:w="1275" w:type="dxa"/>
          </w:tcPr>
          <w:p w:rsidR="008552C1" w:rsidRPr="00191E89" w:rsidRDefault="008552C1" w:rsidP="00191E89">
            <w:r w:rsidRPr="00191E89">
              <w:t>Yes</w:t>
            </w:r>
          </w:p>
        </w:tc>
      </w:tr>
    </w:tbl>
    <w:p w:rsidR="008E7699" w:rsidRDefault="00081C67" w:rsidP="00EF5CF9">
      <w:pPr>
        <w:pStyle w:val="Numbered11"/>
        <w:keepNext/>
        <w:ind w:left="1021" w:hanging="1021"/>
      </w:pPr>
      <w:r>
        <w:t>Performance reporting</w:t>
      </w:r>
    </w:p>
    <w:p w:rsidR="00C07B94" w:rsidRDefault="008E454A" w:rsidP="00EF5CF9">
      <w:pPr>
        <w:keepNext/>
      </w:pPr>
      <w:r w:rsidRPr="008E454A">
        <w:t xml:space="preserve">We are committed to being transparent and accountable in </w:t>
      </w:r>
      <w:r>
        <w:t>how</w:t>
      </w:r>
      <w:r w:rsidR="001A6BB6">
        <w:t>,</w:t>
      </w:r>
      <w:r>
        <w:t xml:space="preserve"> and for what purpose</w:t>
      </w:r>
      <w:r w:rsidR="00FC7B91">
        <w:t>s</w:t>
      </w:r>
      <w:r w:rsidR="001A6BB6">
        <w:t>,</w:t>
      </w:r>
      <w:r>
        <w:t xml:space="preserve"> we undertake our</w:t>
      </w:r>
      <w:r w:rsidR="001A6BB6">
        <w:t xml:space="preserve"> </w:t>
      </w:r>
      <w:r>
        <w:t xml:space="preserve">functions. </w:t>
      </w:r>
      <w:r w:rsidRPr="008E454A">
        <w:t>To achieve this, we must provide up to date and clear performance information to our stakeholders</w:t>
      </w:r>
      <w:r w:rsidR="00814F26">
        <w:t>.</w:t>
      </w:r>
      <w:r w:rsidRPr="008E454A">
        <w:t xml:space="preserve"> </w:t>
      </w:r>
      <w:r w:rsidR="00081C67">
        <w:t>The ACCC</w:t>
      </w:r>
      <w:r w:rsidR="00C07B94">
        <w:t xml:space="preserve"> and AER will utilise a</w:t>
      </w:r>
      <w:r w:rsidR="00081C67">
        <w:t xml:space="preserve"> number of </w:t>
      </w:r>
      <w:r w:rsidR="00C07B94">
        <w:t xml:space="preserve">different avenues to report on our performance during </w:t>
      </w:r>
      <w:r w:rsidR="00A817A5">
        <w:t>2015–16</w:t>
      </w:r>
      <w:r w:rsidR="00C07B94">
        <w:t xml:space="preserve">. </w:t>
      </w:r>
    </w:p>
    <w:p w:rsidR="00B7324E" w:rsidRDefault="00B7324E" w:rsidP="00081C67">
      <w:r>
        <w:t xml:space="preserve">The ACCC and AER seek to </w:t>
      </w:r>
      <w:r w:rsidR="00D453EE">
        <w:t>publicise important outcomes</w:t>
      </w:r>
      <w:r w:rsidR="001A6BB6">
        <w:t xml:space="preserve"> from our work</w:t>
      </w:r>
      <w:r w:rsidR="00D453EE">
        <w:t xml:space="preserve"> through media releases and engagement with media outlets</w:t>
      </w:r>
      <w:r w:rsidR="005722F1">
        <w:t xml:space="preserve"> and through an active program of speaking engagements for our Chairman, Commissioners and the AER Board members</w:t>
      </w:r>
      <w:r w:rsidR="00D453EE">
        <w:t>.</w:t>
      </w:r>
      <w:r w:rsidR="001A6BB6">
        <w:t xml:space="preserve"> </w:t>
      </w:r>
      <w:r w:rsidR="005722F1">
        <w:t xml:space="preserve">We also have a strong and growing engagement with the community through social </w:t>
      </w:r>
      <w:r w:rsidR="002E575F">
        <w:t>media. These</w:t>
      </w:r>
      <w:r w:rsidR="005A6EAE">
        <w:t xml:space="preserve"> activities ensure</w:t>
      </w:r>
      <w:r w:rsidR="00814F26">
        <w:t xml:space="preserve"> a broad cross-section of</w:t>
      </w:r>
      <w:r w:rsidR="001A6BB6">
        <w:t xml:space="preserve"> stakeholders</w:t>
      </w:r>
      <w:r w:rsidR="005A6EAE">
        <w:t xml:space="preserve"> </w:t>
      </w:r>
      <w:proofErr w:type="gramStart"/>
      <w:r w:rsidR="005A6EAE">
        <w:t>are</w:t>
      </w:r>
      <w:r w:rsidR="001A6BB6">
        <w:t xml:space="preserve"> </w:t>
      </w:r>
      <w:r w:rsidR="00466E4C">
        <w:t xml:space="preserve"> aware</w:t>
      </w:r>
      <w:proofErr w:type="gramEnd"/>
      <w:r w:rsidR="00466E4C">
        <w:t xml:space="preserve"> of what we do</w:t>
      </w:r>
      <w:r w:rsidR="005A6EAE">
        <w:t>,</w:t>
      </w:r>
      <w:r w:rsidR="00466E4C">
        <w:t xml:space="preserve"> allowing them to for</w:t>
      </w:r>
      <w:r w:rsidR="005A6EAE">
        <w:t>m</w:t>
      </w:r>
      <w:r w:rsidR="00466E4C">
        <w:t xml:space="preserve"> views about </w:t>
      </w:r>
      <w:r w:rsidR="001A6BB6">
        <w:t>our performance across the year.</w:t>
      </w:r>
    </w:p>
    <w:p w:rsidR="00B7324E" w:rsidRDefault="00040A2E" w:rsidP="00081C67">
      <w:r>
        <w:t>The ACCC</w:t>
      </w:r>
      <w:r w:rsidR="00B7324E">
        <w:t xml:space="preserve"> will continue to produce </w:t>
      </w:r>
      <w:proofErr w:type="spellStart"/>
      <w:r w:rsidR="00B7324E" w:rsidRPr="00B7324E">
        <w:rPr>
          <w:i/>
        </w:rPr>
        <w:t>ACCCount</w:t>
      </w:r>
      <w:proofErr w:type="spellEnd"/>
      <w:r w:rsidR="00B7324E">
        <w:t xml:space="preserve"> on a quarterly</w:t>
      </w:r>
      <w:r w:rsidR="00814F26">
        <w:t xml:space="preserve"> basis</w:t>
      </w:r>
      <w:r w:rsidR="00B7324E">
        <w:t xml:space="preserve">. </w:t>
      </w:r>
      <w:proofErr w:type="spellStart"/>
      <w:r w:rsidR="00B7324E" w:rsidRPr="00B7324E">
        <w:rPr>
          <w:i/>
        </w:rPr>
        <w:t>ACCCount</w:t>
      </w:r>
      <w:proofErr w:type="spellEnd"/>
      <w:r w:rsidR="00B7324E" w:rsidRPr="00B7324E">
        <w:rPr>
          <w:i/>
        </w:rPr>
        <w:t xml:space="preserve"> </w:t>
      </w:r>
      <w:r w:rsidR="00B7324E" w:rsidRPr="00B7324E">
        <w:t xml:space="preserve">details </w:t>
      </w:r>
      <w:r w:rsidR="00554C03">
        <w:t>our</w:t>
      </w:r>
      <w:r w:rsidR="00B7324E" w:rsidRPr="00B7324E">
        <w:t xml:space="preserve"> activities in the enforcement of the C</w:t>
      </w:r>
      <w:r w:rsidR="00B7324E">
        <w:t>ompetition and Consumer Act</w:t>
      </w:r>
      <w:r w:rsidR="00B7324E" w:rsidRPr="00B7324E">
        <w:t>, merger reviews, compliance actions, adjudication issues, economic regulation and international involvement.</w:t>
      </w:r>
      <w:r w:rsidR="00B7324E">
        <w:t xml:space="preserve"> We are currently </w:t>
      </w:r>
      <w:r w:rsidR="00D453EE">
        <w:t xml:space="preserve">considering how we </w:t>
      </w:r>
      <w:r w:rsidR="00B7324E">
        <w:t xml:space="preserve">can maximise the distribution of this report, as it provides our stakeholders with a comprehensive overview of our activities </w:t>
      </w:r>
      <w:r w:rsidR="00466E4C">
        <w:t xml:space="preserve">in key functional areas of regulation </w:t>
      </w:r>
      <w:r w:rsidR="00D453EE">
        <w:t>at regular intervals throughout the year.</w:t>
      </w:r>
      <w:r w:rsidR="00B7324E">
        <w:t xml:space="preserve"> </w:t>
      </w:r>
    </w:p>
    <w:p w:rsidR="00C07B94" w:rsidRPr="00081C67" w:rsidRDefault="005A6EAE" w:rsidP="00081C67">
      <w:r>
        <w:t>As noted in section 4.2, a</w:t>
      </w:r>
      <w:r w:rsidR="00C07B94">
        <w:t xml:space="preserve">t the conclusion of the financial year, we will </w:t>
      </w:r>
      <w:r w:rsidR="00C07B94" w:rsidRPr="00C07B94">
        <w:t>prepare</w:t>
      </w:r>
      <w:r w:rsidR="00C07B94">
        <w:t xml:space="preserve"> an annual performance statement for inclusion in the ACCC/AER </w:t>
      </w:r>
      <w:r w:rsidR="00567967">
        <w:t>A</w:t>
      </w:r>
      <w:r w:rsidR="00C07B94">
        <w:t xml:space="preserve">nnual </w:t>
      </w:r>
      <w:r w:rsidR="00567967">
        <w:t>R</w:t>
      </w:r>
      <w:r w:rsidR="00C07B94">
        <w:t>eport</w:t>
      </w:r>
      <w:r w:rsidR="00C07B94" w:rsidRPr="00C07B94">
        <w:t xml:space="preserve">. The </w:t>
      </w:r>
      <w:r w:rsidR="00C07B94">
        <w:t>annual performance statement</w:t>
      </w:r>
      <w:r w:rsidR="00C07B94" w:rsidRPr="00C07B94">
        <w:t xml:space="preserve"> will report on the actual results achieved in the reporting period against the planned per</w:t>
      </w:r>
      <w:r w:rsidR="00C07B94">
        <w:t>formance measures set out in this</w:t>
      </w:r>
      <w:r w:rsidR="00C07B94" w:rsidRPr="00C07B94">
        <w:t xml:space="preserve"> corporate plan.</w:t>
      </w:r>
    </w:p>
    <w:p w:rsidR="00E4677D" w:rsidRPr="001A753C" w:rsidRDefault="00D1503A" w:rsidP="00191E89">
      <w:pPr>
        <w:pStyle w:val="Numbered1"/>
      </w:pPr>
      <w:r w:rsidRPr="001A753C">
        <w:t>Capability</w:t>
      </w:r>
      <w:r w:rsidR="00702859" w:rsidRPr="001A753C">
        <w:t xml:space="preserve"> </w:t>
      </w:r>
    </w:p>
    <w:p w:rsidR="00465435" w:rsidRDefault="00465435" w:rsidP="00465435">
      <w:pPr>
        <w:pStyle w:val="Numbered11"/>
        <w:ind w:left="1021" w:hanging="1021"/>
      </w:pPr>
      <w:r>
        <w:t>Governance</w:t>
      </w:r>
    </w:p>
    <w:p w:rsidR="009B5BF3" w:rsidRDefault="00C140A3" w:rsidP="003F11D9">
      <w:pPr>
        <w:pStyle w:val="Heading2"/>
        <w:rPr>
          <w:rFonts w:eastAsiaTheme="minorHAnsi" w:cstheme="minorBidi"/>
          <w:b w:val="0"/>
          <w:bCs w:val="0"/>
          <w:color w:val="auto"/>
          <w:sz w:val="22"/>
          <w:szCs w:val="22"/>
        </w:rPr>
      </w:pPr>
      <w:r>
        <w:rPr>
          <w:rFonts w:eastAsiaTheme="minorHAnsi" w:cstheme="minorBidi"/>
          <w:b w:val="0"/>
          <w:bCs w:val="0"/>
          <w:color w:val="auto"/>
          <w:sz w:val="22"/>
          <w:szCs w:val="22"/>
        </w:rPr>
        <w:t>The ACCC and AER both come</w:t>
      </w:r>
      <w:r w:rsidR="009B5BF3" w:rsidRPr="009B5BF3">
        <w:rPr>
          <w:rFonts w:eastAsiaTheme="minorHAnsi" w:cstheme="minorBidi"/>
          <w:b w:val="0"/>
          <w:bCs w:val="0"/>
          <w:color w:val="auto"/>
          <w:sz w:val="22"/>
          <w:szCs w:val="22"/>
        </w:rPr>
        <w:t xml:space="preserve"> under the portfolio responsibilities of </w:t>
      </w:r>
      <w:r w:rsidR="00466E4C">
        <w:rPr>
          <w:rFonts w:eastAsiaTheme="minorHAnsi" w:cstheme="minorBidi"/>
          <w:b w:val="0"/>
          <w:bCs w:val="0"/>
          <w:color w:val="auto"/>
          <w:sz w:val="22"/>
          <w:szCs w:val="22"/>
        </w:rPr>
        <w:t>t</w:t>
      </w:r>
      <w:r w:rsidR="009B5BF3" w:rsidRPr="009B5BF3">
        <w:rPr>
          <w:rFonts w:eastAsiaTheme="minorHAnsi" w:cstheme="minorBidi"/>
          <w:b w:val="0"/>
          <w:bCs w:val="0"/>
          <w:color w:val="auto"/>
          <w:sz w:val="22"/>
          <w:szCs w:val="22"/>
        </w:rPr>
        <w:t>he Treasury.</w:t>
      </w:r>
      <w:r w:rsidR="003F11D9" w:rsidRPr="003F11D9">
        <w:t xml:space="preserve"> </w:t>
      </w:r>
      <w:r w:rsidR="003F11D9">
        <w:rPr>
          <w:rFonts w:eastAsiaTheme="minorHAnsi" w:cstheme="minorBidi"/>
          <w:b w:val="0"/>
          <w:bCs w:val="0"/>
          <w:color w:val="auto"/>
          <w:sz w:val="22"/>
          <w:szCs w:val="22"/>
        </w:rPr>
        <w:t xml:space="preserve">We also maintain a close </w:t>
      </w:r>
      <w:r w:rsidR="003F11D9" w:rsidRPr="003F11D9">
        <w:rPr>
          <w:rFonts w:eastAsiaTheme="minorHAnsi" w:cstheme="minorBidi"/>
          <w:b w:val="0"/>
          <w:bCs w:val="0"/>
          <w:color w:val="auto"/>
          <w:sz w:val="22"/>
          <w:szCs w:val="22"/>
        </w:rPr>
        <w:t>relationship</w:t>
      </w:r>
      <w:r>
        <w:rPr>
          <w:rFonts w:eastAsiaTheme="minorHAnsi" w:cstheme="minorBidi"/>
          <w:b w:val="0"/>
          <w:bCs w:val="0"/>
          <w:color w:val="auto"/>
          <w:sz w:val="22"/>
          <w:szCs w:val="22"/>
        </w:rPr>
        <w:t xml:space="preserve"> with</w:t>
      </w:r>
      <w:r w:rsidR="003F11D9" w:rsidRPr="003F11D9">
        <w:rPr>
          <w:rFonts w:eastAsiaTheme="minorHAnsi" w:cstheme="minorBidi"/>
          <w:b w:val="0"/>
          <w:bCs w:val="0"/>
          <w:color w:val="auto"/>
          <w:sz w:val="22"/>
          <w:szCs w:val="22"/>
        </w:rPr>
        <w:t xml:space="preserve"> ou</w:t>
      </w:r>
      <w:r w:rsidR="00F92011">
        <w:rPr>
          <w:rFonts w:eastAsiaTheme="minorHAnsi" w:cstheme="minorBidi"/>
          <w:b w:val="0"/>
          <w:bCs w:val="0"/>
          <w:color w:val="auto"/>
          <w:sz w:val="22"/>
          <w:szCs w:val="22"/>
        </w:rPr>
        <w:t xml:space="preserve">r responsible Minister, the </w:t>
      </w:r>
      <w:proofErr w:type="spellStart"/>
      <w:r w:rsidR="00F92011">
        <w:rPr>
          <w:rFonts w:eastAsiaTheme="minorHAnsi" w:cstheme="minorBidi"/>
          <w:b w:val="0"/>
          <w:bCs w:val="0"/>
          <w:color w:val="auto"/>
          <w:sz w:val="22"/>
          <w:szCs w:val="22"/>
        </w:rPr>
        <w:t>Hon</w:t>
      </w:r>
      <w:proofErr w:type="spellEnd"/>
      <w:r w:rsidR="003F11D9" w:rsidRPr="003F11D9">
        <w:rPr>
          <w:rFonts w:eastAsiaTheme="minorHAnsi" w:cstheme="minorBidi"/>
          <w:b w:val="0"/>
          <w:bCs w:val="0"/>
          <w:color w:val="auto"/>
          <w:sz w:val="22"/>
          <w:szCs w:val="22"/>
        </w:rPr>
        <w:t xml:space="preserve"> Bruce Billson MP, Minister</w:t>
      </w:r>
      <w:r w:rsidR="003F11D9">
        <w:rPr>
          <w:rFonts w:eastAsiaTheme="minorHAnsi" w:cstheme="minorBidi"/>
          <w:b w:val="0"/>
          <w:bCs w:val="0"/>
          <w:color w:val="auto"/>
          <w:sz w:val="22"/>
          <w:szCs w:val="22"/>
        </w:rPr>
        <w:t xml:space="preserve"> </w:t>
      </w:r>
      <w:r w:rsidR="003F11D9" w:rsidRPr="003F11D9">
        <w:rPr>
          <w:rFonts w:eastAsiaTheme="minorHAnsi" w:cstheme="minorBidi"/>
          <w:b w:val="0"/>
          <w:bCs w:val="0"/>
          <w:color w:val="auto"/>
          <w:sz w:val="22"/>
          <w:szCs w:val="22"/>
        </w:rPr>
        <w:t>for Small Business</w:t>
      </w:r>
      <w:r w:rsidR="00AD650C">
        <w:rPr>
          <w:rFonts w:eastAsiaTheme="minorHAnsi" w:cstheme="minorBidi"/>
          <w:b w:val="0"/>
          <w:bCs w:val="0"/>
          <w:color w:val="auto"/>
          <w:sz w:val="22"/>
          <w:szCs w:val="22"/>
        </w:rPr>
        <w:t xml:space="preserve"> and other portfolio ministers, as per our re</w:t>
      </w:r>
      <w:r w:rsidR="004F02A1">
        <w:rPr>
          <w:rFonts w:eastAsiaTheme="minorHAnsi" w:cstheme="minorBidi"/>
          <w:b w:val="0"/>
          <w:bCs w:val="0"/>
          <w:color w:val="auto"/>
          <w:sz w:val="22"/>
          <w:szCs w:val="22"/>
        </w:rPr>
        <w:t>sponsi</w:t>
      </w:r>
      <w:r w:rsidR="00AD650C">
        <w:rPr>
          <w:rFonts w:eastAsiaTheme="minorHAnsi" w:cstheme="minorBidi"/>
          <w:b w:val="0"/>
          <w:bCs w:val="0"/>
          <w:color w:val="auto"/>
          <w:sz w:val="22"/>
          <w:szCs w:val="22"/>
        </w:rPr>
        <w:t>bi</w:t>
      </w:r>
      <w:r w:rsidR="004F02A1">
        <w:rPr>
          <w:rFonts w:eastAsiaTheme="minorHAnsi" w:cstheme="minorBidi"/>
          <w:b w:val="0"/>
          <w:bCs w:val="0"/>
          <w:color w:val="auto"/>
          <w:sz w:val="22"/>
          <w:szCs w:val="22"/>
        </w:rPr>
        <w:t>li</w:t>
      </w:r>
      <w:r w:rsidR="00AD650C">
        <w:rPr>
          <w:rFonts w:eastAsiaTheme="minorHAnsi" w:cstheme="minorBidi"/>
          <w:b w:val="0"/>
          <w:bCs w:val="0"/>
          <w:color w:val="auto"/>
          <w:sz w:val="22"/>
          <w:szCs w:val="22"/>
        </w:rPr>
        <w:t>ties</w:t>
      </w:r>
      <w:r w:rsidR="003F11D9" w:rsidRPr="003F11D9">
        <w:rPr>
          <w:rFonts w:eastAsiaTheme="minorHAnsi" w:cstheme="minorBidi"/>
          <w:b w:val="0"/>
          <w:bCs w:val="0"/>
          <w:color w:val="auto"/>
          <w:sz w:val="22"/>
          <w:szCs w:val="22"/>
        </w:rPr>
        <w:t>.</w:t>
      </w:r>
      <w:r w:rsidR="00622658">
        <w:rPr>
          <w:rFonts w:eastAsiaTheme="minorHAnsi" w:cstheme="minorBidi"/>
          <w:b w:val="0"/>
          <w:bCs w:val="0"/>
          <w:color w:val="auto"/>
          <w:sz w:val="22"/>
          <w:szCs w:val="22"/>
        </w:rPr>
        <w:t xml:space="preserve"> The </w:t>
      </w:r>
      <w:r w:rsidR="00D730C4">
        <w:rPr>
          <w:rFonts w:eastAsiaTheme="minorHAnsi" w:cstheme="minorBidi"/>
          <w:b w:val="0"/>
          <w:bCs w:val="0"/>
          <w:color w:val="auto"/>
          <w:sz w:val="22"/>
          <w:szCs w:val="22"/>
        </w:rPr>
        <w:t xml:space="preserve">Australian Government </w:t>
      </w:r>
      <w:r w:rsidR="00466E4C">
        <w:rPr>
          <w:rFonts w:eastAsiaTheme="minorHAnsi" w:cstheme="minorBidi"/>
          <w:b w:val="0"/>
          <w:bCs w:val="0"/>
          <w:color w:val="auto"/>
          <w:sz w:val="22"/>
          <w:szCs w:val="22"/>
        </w:rPr>
        <w:t xml:space="preserve">issued </w:t>
      </w:r>
      <w:r w:rsidR="00D730C4">
        <w:rPr>
          <w:rFonts w:eastAsiaTheme="minorHAnsi" w:cstheme="minorBidi"/>
          <w:b w:val="0"/>
          <w:bCs w:val="0"/>
          <w:color w:val="auto"/>
          <w:sz w:val="22"/>
          <w:szCs w:val="22"/>
        </w:rPr>
        <w:t>the ACCC and AER</w:t>
      </w:r>
      <w:r w:rsidR="001D5724">
        <w:rPr>
          <w:rFonts w:eastAsiaTheme="minorHAnsi" w:cstheme="minorBidi"/>
          <w:b w:val="0"/>
          <w:bCs w:val="0"/>
          <w:color w:val="auto"/>
          <w:sz w:val="22"/>
          <w:szCs w:val="22"/>
        </w:rPr>
        <w:t xml:space="preserve"> with</w:t>
      </w:r>
      <w:r w:rsidR="00D730C4">
        <w:rPr>
          <w:rFonts w:eastAsiaTheme="minorHAnsi" w:cstheme="minorBidi"/>
          <w:b w:val="0"/>
          <w:bCs w:val="0"/>
          <w:color w:val="auto"/>
          <w:sz w:val="22"/>
          <w:szCs w:val="22"/>
        </w:rPr>
        <w:t xml:space="preserve"> separate Statements</w:t>
      </w:r>
      <w:r w:rsidR="00466E4C">
        <w:rPr>
          <w:rFonts w:eastAsiaTheme="minorHAnsi" w:cstheme="minorBidi"/>
          <w:b w:val="0"/>
          <w:bCs w:val="0"/>
          <w:color w:val="auto"/>
          <w:sz w:val="22"/>
          <w:szCs w:val="22"/>
        </w:rPr>
        <w:t xml:space="preserve"> of Expectations and we in turn developed Statement</w:t>
      </w:r>
      <w:r w:rsidR="009332B7">
        <w:rPr>
          <w:rFonts w:eastAsiaTheme="minorHAnsi" w:cstheme="minorBidi"/>
          <w:b w:val="0"/>
          <w:bCs w:val="0"/>
          <w:color w:val="auto"/>
          <w:sz w:val="22"/>
          <w:szCs w:val="22"/>
        </w:rPr>
        <w:t>s</w:t>
      </w:r>
      <w:r w:rsidR="00466E4C">
        <w:rPr>
          <w:rFonts w:eastAsiaTheme="minorHAnsi" w:cstheme="minorBidi"/>
          <w:b w:val="0"/>
          <w:bCs w:val="0"/>
          <w:color w:val="auto"/>
          <w:sz w:val="22"/>
          <w:szCs w:val="22"/>
        </w:rPr>
        <w:t xml:space="preserve"> of Intent.</w:t>
      </w:r>
      <w:r w:rsidR="00AD650C">
        <w:rPr>
          <w:rFonts w:eastAsiaTheme="minorHAnsi" w:cstheme="minorBidi"/>
          <w:b w:val="0"/>
          <w:bCs w:val="0"/>
          <w:color w:val="auto"/>
          <w:sz w:val="22"/>
          <w:szCs w:val="22"/>
        </w:rPr>
        <w:t xml:space="preserve"> The COA</w:t>
      </w:r>
      <w:r w:rsidR="001B0644">
        <w:rPr>
          <w:rFonts w:eastAsiaTheme="minorHAnsi" w:cstheme="minorBidi"/>
          <w:b w:val="0"/>
          <w:bCs w:val="0"/>
          <w:color w:val="auto"/>
          <w:sz w:val="22"/>
          <w:szCs w:val="22"/>
        </w:rPr>
        <w:t xml:space="preserve">G Energy Council has also issued a Statement of Expectations </w:t>
      </w:r>
      <w:r w:rsidR="00AD650C">
        <w:rPr>
          <w:rFonts w:eastAsiaTheme="minorHAnsi" w:cstheme="minorBidi"/>
          <w:b w:val="0"/>
          <w:bCs w:val="0"/>
          <w:color w:val="auto"/>
          <w:sz w:val="22"/>
          <w:szCs w:val="22"/>
        </w:rPr>
        <w:t>to the AER.</w:t>
      </w:r>
      <w:r w:rsidR="00466E4C">
        <w:rPr>
          <w:rFonts w:eastAsiaTheme="minorHAnsi" w:cstheme="minorBidi"/>
          <w:b w:val="0"/>
          <w:bCs w:val="0"/>
          <w:color w:val="auto"/>
          <w:sz w:val="22"/>
          <w:szCs w:val="22"/>
        </w:rPr>
        <w:t xml:space="preserve"> </w:t>
      </w:r>
      <w:r w:rsidR="001D5724">
        <w:rPr>
          <w:rFonts w:eastAsiaTheme="minorHAnsi" w:cstheme="minorBidi"/>
          <w:b w:val="0"/>
          <w:bCs w:val="0"/>
          <w:color w:val="auto"/>
          <w:sz w:val="22"/>
          <w:szCs w:val="22"/>
        </w:rPr>
        <w:t>As noted in section 3 above, r</w:t>
      </w:r>
      <w:r w:rsidR="00D730C4">
        <w:rPr>
          <w:rFonts w:eastAsiaTheme="minorHAnsi" w:cstheme="minorBidi"/>
          <w:b w:val="0"/>
          <w:bCs w:val="0"/>
          <w:color w:val="auto"/>
          <w:sz w:val="22"/>
          <w:szCs w:val="22"/>
        </w:rPr>
        <w:t>esponsible</w:t>
      </w:r>
      <w:r w:rsidR="00466E4C" w:rsidRPr="00B46BF9">
        <w:rPr>
          <w:rFonts w:eastAsiaTheme="minorHAnsi" w:cstheme="minorBidi"/>
          <w:b w:val="0"/>
          <w:bCs w:val="0"/>
          <w:color w:val="auto"/>
          <w:sz w:val="22"/>
          <w:szCs w:val="22"/>
        </w:rPr>
        <w:t xml:space="preserve"> minister</w:t>
      </w:r>
      <w:r w:rsidR="00D730C4">
        <w:rPr>
          <w:rFonts w:eastAsiaTheme="minorHAnsi" w:cstheme="minorBidi"/>
          <w:b w:val="0"/>
          <w:bCs w:val="0"/>
          <w:color w:val="auto"/>
          <w:sz w:val="22"/>
          <w:szCs w:val="22"/>
        </w:rPr>
        <w:t>s</w:t>
      </w:r>
      <w:r w:rsidR="00466E4C" w:rsidRPr="00B46BF9">
        <w:rPr>
          <w:rFonts w:eastAsiaTheme="minorHAnsi" w:cstheme="minorBidi"/>
          <w:b w:val="0"/>
          <w:bCs w:val="0"/>
          <w:color w:val="auto"/>
          <w:sz w:val="22"/>
          <w:szCs w:val="22"/>
        </w:rPr>
        <w:t xml:space="preserve"> </w:t>
      </w:r>
      <w:r w:rsidR="00622658" w:rsidRPr="00B46BF9">
        <w:rPr>
          <w:rFonts w:eastAsiaTheme="minorHAnsi" w:cstheme="minorBidi"/>
          <w:b w:val="0"/>
          <w:bCs w:val="0"/>
          <w:color w:val="auto"/>
          <w:sz w:val="22"/>
          <w:szCs w:val="22"/>
        </w:rPr>
        <w:t xml:space="preserve">may direct the ACCC to undertake certain activities, such as the December 2014 direction to monitor the petroleum </w:t>
      </w:r>
      <w:r w:rsidR="001D5724" w:rsidRPr="00B46BF9">
        <w:rPr>
          <w:rFonts w:eastAsiaTheme="minorHAnsi" w:cstheme="minorBidi"/>
          <w:b w:val="0"/>
          <w:bCs w:val="0"/>
          <w:color w:val="auto"/>
          <w:sz w:val="22"/>
          <w:szCs w:val="22"/>
        </w:rPr>
        <w:t>industry</w:t>
      </w:r>
      <w:r w:rsidR="001D5724">
        <w:rPr>
          <w:rFonts w:eastAsiaTheme="minorHAnsi" w:cstheme="minorBidi"/>
          <w:b w:val="0"/>
          <w:bCs w:val="0"/>
          <w:color w:val="auto"/>
          <w:sz w:val="22"/>
          <w:szCs w:val="22"/>
        </w:rPr>
        <w:t xml:space="preserve"> and undertake the East Coast Gas Inquiry</w:t>
      </w:r>
      <w:r w:rsidR="00622658" w:rsidRPr="00B46BF9">
        <w:rPr>
          <w:rFonts w:eastAsiaTheme="minorHAnsi" w:cstheme="minorBidi"/>
          <w:b w:val="0"/>
          <w:bCs w:val="0"/>
          <w:color w:val="auto"/>
          <w:sz w:val="22"/>
          <w:szCs w:val="22"/>
        </w:rPr>
        <w:t>.</w:t>
      </w:r>
      <w:r w:rsidR="009332B7" w:rsidRPr="009332B7">
        <w:t xml:space="preserve"> </w:t>
      </w:r>
      <w:r w:rsidR="009332B7" w:rsidRPr="009332B7">
        <w:rPr>
          <w:rFonts w:eastAsiaTheme="minorHAnsi" w:cstheme="minorBidi"/>
          <w:b w:val="0"/>
          <w:bCs w:val="0"/>
          <w:color w:val="auto"/>
          <w:sz w:val="22"/>
          <w:szCs w:val="22"/>
        </w:rPr>
        <w:t>The ACCC also has a role advising the Minister</w:t>
      </w:r>
      <w:r w:rsidR="00D730C4">
        <w:rPr>
          <w:rFonts w:eastAsiaTheme="minorHAnsi" w:cstheme="minorBidi"/>
          <w:b w:val="0"/>
          <w:bCs w:val="0"/>
          <w:color w:val="auto"/>
          <w:sz w:val="22"/>
          <w:szCs w:val="22"/>
        </w:rPr>
        <w:t xml:space="preserve"> for Small Business</w:t>
      </w:r>
      <w:r w:rsidR="009332B7" w:rsidRPr="009332B7">
        <w:rPr>
          <w:rFonts w:eastAsiaTheme="minorHAnsi" w:cstheme="minorBidi"/>
          <w:b w:val="0"/>
          <w:bCs w:val="0"/>
          <w:color w:val="auto"/>
          <w:sz w:val="22"/>
          <w:szCs w:val="22"/>
        </w:rPr>
        <w:t xml:space="preserve"> on opportunities to exercise discretion to mandate or amend recalls, bans and safety standards</w:t>
      </w:r>
      <w:r w:rsidR="001A7B38">
        <w:rPr>
          <w:rFonts w:eastAsiaTheme="minorHAnsi" w:cstheme="minorBidi"/>
          <w:b w:val="0"/>
          <w:bCs w:val="0"/>
          <w:color w:val="auto"/>
          <w:sz w:val="22"/>
          <w:szCs w:val="22"/>
        </w:rPr>
        <w:t>.</w:t>
      </w:r>
      <w:r w:rsidR="00466E4C">
        <w:rPr>
          <w:rFonts w:eastAsiaTheme="minorHAnsi" w:cstheme="minorBidi"/>
          <w:b w:val="0"/>
          <w:bCs w:val="0"/>
          <w:color w:val="auto"/>
          <w:sz w:val="22"/>
          <w:szCs w:val="22"/>
        </w:rPr>
        <w:t xml:space="preserve"> </w:t>
      </w:r>
      <w:r w:rsidR="001A7B38">
        <w:rPr>
          <w:rFonts w:eastAsiaTheme="minorHAnsi" w:cstheme="minorBidi"/>
          <w:b w:val="0"/>
          <w:bCs w:val="0"/>
          <w:color w:val="auto"/>
          <w:sz w:val="22"/>
          <w:szCs w:val="22"/>
        </w:rPr>
        <w:t xml:space="preserve"> </w:t>
      </w:r>
      <w:r w:rsidR="00F0567D">
        <w:rPr>
          <w:rFonts w:eastAsiaTheme="minorHAnsi" w:cstheme="minorBidi"/>
          <w:b w:val="0"/>
          <w:bCs w:val="0"/>
          <w:color w:val="auto"/>
          <w:sz w:val="22"/>
          <w:szCs w:val="22"/>
        </w:rPr>
        <w:t>The agency’s</w:t>
      </w:r>
      <w:r w:rsidR="00466E4C">
        <w:rPr>
          <w:rFonts w:eastAsiaTheme="minorHAnsi" w:cstheme="minorBidi"/>
          <w:b w:val="0"/>
          <w:bCs w:val="0"/>
          <w:color w:val="auto"/>
          <w:sz w:val="22"/>
          <w:szCs w:val="22"/>
        </w:rPr>
        <w:t xml:space="preserve"> external corporate governance is aided by our compliance with the performance regimes recently put in place by the Government: the Public Governance, Performance and Accountability Act and the Regulator Performance Framework.</w:t>
      </w:r>
    </w:p>
    <w:p w:rsidR="00465435" w:rsidRDefault="00F0567D" w:rsidP="00465435">
      <w:pPr>
        <w:pStyle w:val="Heading2"/>
        <w:rPr>
          <w:rFonts w:eastAsiaTheme="minorHAnsi" w:cstheme="minorBidi"/>
          <w:b w:val="0"/>
          <w:bCs w:val="0"/>
          <w:color w:val="auto"/>
          <w:sz w:val="22"/>
          <w:szCs w:val="22"/>
        </w:rPr>
      </w:pPr>
      <w:r>
        <w:rPr>
          <w:rFonts w:eastAsiaTheme="minorHAnsi" w:cstheme="minorBidi"/>
          <w:b w:val="0"/>
          <w:bCs w:val="0"/>
          <w:color w:val="auto"/>
          <w:sz w:val="22"/>
          <w:szCs w:val="22"/>
        </w:rPr>
        <w:t>The agency’s</w:t>
      </w:r>
      <w:r w:rsidR="00465435" w:rsidRPr="00465435">
        <w:rPr>
          <w:rFonts w:eastAsiaTheme="minorHAnsi" w:cstheme="minorBidi"/>
          <w:b w:val="0"/>
          <w:bCs w:val="0"/>
          <w:color w:val="auto"/>
          <w:sz w:val="22"/>
          <w:szCs w:val="22"/>
        </w:rPr>
        <w:t xml:space="preserve"> </w:t>
      </w:r>
      <w:r w:rsidR="00466E4C">
        <w:rPr>
          <w:rFonts w:eastAsiaTheme="minorHAnsi" w:cstheme="minorBidi"/>
          <w:b w:val="0"/>
          <w:bCs w:val="0"/>
          <w:color w:val="auto"/>
          <w:sz w:val="22"/>
          <w:szCs w:val="22"/>
        </w:rPr>
        <w:t xml:space="preserve">internal </w:t>
      </w:r>
      <w:r w:rsidR="00465435" w:rsidRPr="00465435">
        <w:rPr>
          <w:rFonts w:eastAsiaTheme="minorHAnsi" w:cstheme="minorBidi"/>
          <w:b w:val="0"/>
          <w:bCs w:val="0"/>
          <w:color w:val="auto"/>
          <w:sz w:val="22"/>
          <w:szCs w:val="22"/>
        </w:rPr>
        <w:t xml:space="preserve">corporate governance framework equips </w:t>
      </w:r>
      <w:r w:rsidR="00466E4C">
        <w:rPr>
          <w:rFonts w:eastAsiaTheme="minorHAnsi" w:cstheme="minorBidi"/>
          <w:b w:val="0"/>
          <w:bCs w:val="0"/>
          <w:color w:val="auto"/>
          <w:sz w:val="22"/>
          <w:szCs w:val="22"/>
        </w:rPr>
        <w:t>us as an</w:t>
      </w:r>
      <w:r w:rsidR="00465435" w:rsidRPr="00465435">
        <w:rPr>
          <w:rFonts w:eastAsiaTheme="minorHAnsi" w:cstheme="minorBidi"/>
          <w:b w:val="0"/>
          <w:bCs w:val="0"/>
          <w:color w:val="auto"/>
          <w:sz w:val="22"/>
          <w:szCs w:val="22"/>
        </w:rPr>
        <w:t xml:space="preserve"> organisation to achieve </w:t>
      </w:r>
      <w:r w:rsidR="00466E4C">
        <w:rPr>
          <w:rFonts w:eastAsiaTheme="minorHAnsi" w:cstheme="minorBidi"/>
          <w:b w:val="0"/>
          <w:bCs w:val="0"/>
          <w:color w:val="auto"/>
          <w:sz w:val="22"/>
          <w:szCs w:val="22"/>
        </w:rPr>
        <w:t>our</w:t>
      </w:r>
      <w:r w:rsidR="00465435" w:rsidRPr="00465435">
        <w:rPr>
          <w:rFonts w:eastAsiaTheme="minorHAnsi" w:cstheme="minorBidi"/>
          <w:b w:val="0"/>
          <w:bCs w:val="0"/>
          <w:color w:val="auto"/>
          <w:sz w:val="22"/>
          <w:szCs w:val="22"/>
        </w:rPr>
        <w:t xml:space="preserve"> strategic goals while complying</w:t>
      </w:r>
      <w:r w:rsidR="009B5BF3">
        <w:rPr>
          <w:rFonts w:eastAsiaTheme="minorHAnsi" w:cstheme="minorBidi"/>
          <w:b w:val="0"/>
          <w:bCs w:val="0"/>
          <w:color w:val="auto"/>
          <w:sz w:val="22"/>
          <w:szCs w:val="22"/>
        </w:rPr>
        <w:t xml:space="preserve"> with policies and legislation, </w:t>
      </w:r>
      <w:r w:rsidR="00465435" w:rsidRPr="00465435">
        <w:rPr>
          <w:rFonts w:eastAsiaTheme="minorHAnsi" w:cstheme="minorBidi"/>
          <w:b w:val="0"/>
          <w:bCs w:val="0"/>
          <w:color w:val="auto"/>
          <w:sz w:val="22"/>
          <w:szCs w:val="22"/>
        </w:rPr>
        <w:t>maintaining performance standards and</w:t>
      </w:r>
      <w:r w:rsidR="00465435">
        <w:rPr>
          <w:rFonts w:eastAsiaTheme="minorHAnsi" w:cstheme="minorBidi"/>
          <w:b w:val="0"/>
          <w:bCs w:val="0"/>
          <w:color w:val="auto"/>
          <w:sz w:val="22"/>
          <w:szCs w:val="22"/>
        </w:rPr>
        <w:t xml:space="preserve"> </w:t>
      </w:r>
      <w:r w:rsidR="00465435" w:rsidRPr="00465435">
        <w:rPr>
          <w:rFonts w:eastAsiaTheme="minorHAnsi" w:cstheme="minorBidi"/>
          <w:b w:val="0"/>
          <w:bCs w:val="0"/>
          <w:color w:val="auto"/>
          <w:sz w:val="22"/>
          <w:szCs w:val="22"/>
        </w:rPr>
        <w:t>making the most cost-effective use of resources.</w:t>
      </w:r>
    </w:p>
    <w:p w:rsidR="00465435" w:rsidRDefault="00C140A3" w:rsidP="00466E4C">
      <w:r>
        <w:lastRenderedPageBreak/>
        <w:t xml:space="preserve">The ACCC makes </w:t>
      </w:r>
      <w:r w:rsidR="00466E4C">
        <w:t xml:space="preserve">statutory </w:t>
      </w:r>
      <w:r>
        <w:t xml:space="preserve">decisions through formal meetings of its </w:t>
      </w:r>
      <w:r w:rsidR="00466E4C">
        <w:t>C</w:t>
      </w:r>
      <w:r>
        <w:t>ommission</w:t>
      </w:r>
      <w:r w:rsidR="00F0567D">
        <w:t>,</w:t>
      </w:r>
      <w:r>
        <w:t xml:space="preserve"> </w:t>
      </w:r>
      <w:r w:rsidR="00466E4C">
        <w:t>assisted by subject matter committees such as the Enforcement Committee and the Mergers Review Committee. T</w:t>
      </w:r>
      <w:r>
        <w:t xml:space="preserve">he AER </w:t>
      </w:r>
      <w:r w:rsidR="00466E4C">
        <w:t xml:space="preserve">makes its decisions </w:t>
      </w:r>
      <w:r>
        <w:t xml:space="preserve">through its </w:t>
      </w:r>
      <w:r w:rsidR="00F0567D">
        <w:t>B</w:t>
      </w:r>
      <w:r>
        <w:t xml:space="preserve">oard. ACCC </w:t>
      </w:r>
      <w:r w:rsidR="00C318E7">
        <w:t>C</w:t>
      </w:r>
      <w:r>
        <w:t xml:space="preserve">ommissioners and AER Board members are </w:t>
      </w:r>
      <w:r w:rsidR="00466E4C">
        <w:t xml:space="preserve">full time </w:t>
      </w:r>
      <w:r>
        <w:t>statutory officer</w:t>
      </w:r>
      <w:r w:rsidR="00466E4C">
        <w:t xml:space="preserve"> holders</w:t>
      </w:r>
      <w:r>
        <w:t xml:space="preserve">. The </w:t>
      </w:r>
      <w:r w:rsidR="00587575">
        <w:t>agency</w:t>
      </w:r>
      <w:r>
        <w:t xml:space="preserve"> has </w:t>
      </w:r>
      <w:r w:rsidR="00466E4C">
        <w:t>a strong corporate governance framework which was</w:t>
      </w:r>
      <w:r w:rsidR="009B5BF3">
        <w:t xml:space="preserve"> implemented </w:t>
      </w:r>
      <w:r w:rsidR="00466E4C">
        <w:t xml:space="preserve">in 2014 </w:t>
      </w:r>
      <w:r w:rsidR="009B5BF3">
        <w:t>so that ACCC commissioners and AER Board members collectively have a clear view of the connection between their statutory decision-making on particular matters and the overall staffing resources and legal expenditure implications of those decisions.</w:t>
      </w:r>
    </w:p>
    <w:p w:rsidR="00CC5010" w:rsidRDefault="009B5BF3" w:rsidP="009B5BF3">
      <w:r>
        <w:t xml:space="preserve">The Corporate Governance Board sits at the apex of the governance structure. ACCC </w:t>
      </w:r>
      <w:r w:rsidR="002E575F">
        <w:t>commissioners, AER</w:t>
      </w:r>
      <w:r>
        <w:t xml:space="preserve"> Board members </w:t>
      </w:r>
      <w:r w:rsidR="00466E4C">
        <w:t>and the organisation’s Chief Operating Officer form</w:t>
      </w:r>
      <w:r>
        <w:t xml:space="preserve"> the Corporate Governance Board. The </w:t>
      </w:r>
      <w:r w:rsidR="00466E4C">
        <w:t xml:space="preserve">Board is assisted by </w:t>
      </w:r>
      <w:r w:rsidR="00893A4C">
        <w:t xml:space="preserve">a number of committees: the </w:t>
      </w:r>
      <w:r>
        <w:t>Audit and Finance Committee, Legal Committee, and People and Capability Committee. The board</w:t>
      </w:r>
      <w:r w:rsidR="00893A4C">
        <w:t>, assisted by these committees, is well equipped</w:t>
      </w:r>
      <w:r>
        <w:t xml:space="preserve"> is to oversee our </w:t>
      </w:r>
      <w:r w:rsidR="00893A4C">
        <w:t xml:space="preserve">strong </w:t>
      </w:r>
      <w:r>
        <w:t>corporate and financial performance.</w:t>
      </w:r>
    </w:p>
    <w:p w:rsidR="00887D23" w:rsidRDefault="00D77738" w:rsidP="00887D23">
      <w:r w:rsidRPr="00D77738">
        <w:t>The diagram</w:t>
      </w:r>
      <w:r w:rsidR="00904539">
        <w:t xml:space="preserve"> on the following page</w:t>
      </w:r>
      <w:r w:rsidRPr="00D77738">
        <w:t xml:space="preserve"> provide</w:t>
      </w:r>
      <w:r>
        <w:t>s a visual representation of the ACCC and AER</w:t>
      </w:r>
      <w:r w:rsidRPr="00D77738">
        <w:t xml:space="preserve"> governance</w:t>
      </w:r>
      <w:r w:rsidR="009B5BF3">
        <w:t xml:space="preserve"> </w:t>
      </w:r>
      <w:r>
        <w:t>structure.</w:t>
      </w:r>
    </w:p>
    <w:p w:rsidR="00CC5010" w:rsidRDefault="00CC5010" w:rsidP="00887D23">
      <w:pPr>
        <w:pStyle w:val="Numbered11"/>
        <w:ind w:left="1021" w:hanging="1021"/>
      </w:pPr>
      <w:r>
        <w:t>People</w:t>
      </w:r>
    </w:p>
    <w:p w:rsidR="009753E6" w:rsidRDefault="009753E6" w:rsidP="00351BF2">
      <w:pPr>
        <w:pStyle w:val="Heading2"/>
      </w:pPr>
      <w:r>
        <w:t>Our people</w:t>
      </w:r>
    </w:p>
    <w:p w:rsidR="00466E4C" w:rsidRDefault="002E575F" w:rsidP="00466E4C">
      <w:r>
        <w:t xml:space="preserve">Employees of the </w:t>
      </w:r>
      <w:r w:rsidR="008546E6">
        <w:t>agency</w:t>
      </w:r>
      <w:r>
        <w:t xml:space="preserve"> form part of the Australian Public Service.</w:t>
      </w:r>
    </w:p>
    <w:p w:rsidR="00893A4C" w:rsidRDefault="009007E7" w:rsidP="009753E6">
      <w:r w:rsidRPr="009007E7">
        <w:t>Our investigators, analysts, economists, lawyers, project officers and support staff are dedicated and passionate about delivering the best outcomes for the Australian people through our work to protect, strengthen and supplement competitive market processes.</w:t>
      </w:r>
    </w:p>
    <w:p w:rsidR="002C175B" w:rsidRDefault="009007E7" w:rsidP="009753E6">
      <w:r>
        <w:t>Our</w:t>
      </w:r>
      <w:r w:rsidRPr="009007E7">
        <w:t xml:space="preserve"> </w:t>
      </w:r>
      <w:r w:rsidR="002C175B">
        <w:t xml:space="preserve">affordable average </w:t>
      </w:r>
      <w:r>
        <w:t>staff</w:t>
      </w:r>
      <w:r w:rsidR="00893A4C">
        <w:t>ing</w:t>
      </w:r>
      <w:r w:rsidR="00FC0D8A">
        <w:t xml:space="preserve"> level for 2015–</w:t>
      </w:r>
      <w:r>
        <w:t>16 is 72</w:t>
      </w:r>
      <w:r w:rsidR="00ED3674">
        <w:t xml:space="preserve">5 full </w:t>
      </w:r>
      <w:r w:rsidRPr="009007E7">
        <w:t>time equivalent</w:t>
      </w:r>
      <w:r w:rsidR="00893A4C">
        <w:t xml:space="preserve"> employees</w:t>
      </w:r>
      <w:r>
        <w:t>. This</w:t>
      </w:r>
      <w:r w:rsidR="00FC0D8A">
        <w:t xml:space="preserve"> is a small reduction from 2014–</w:t>
      </w:r>
      <w:r>
        <w:t xml:space="preserve">15. </w:t>
      </w:r>
      <w:r w:rsidR="00893A4C">
        <w:t>Our projected staffing levels see some reductions due the ending of some currently funded activities.</w:t>
      </w:r>
      <w:r w:rsidR="002C175B">
        <w:t xml:space="preserve"> This is reflected in the table below.</w:t>
      </w:r>
      <w:r w:rsidR="00893A4C">
        <w:t xml:space="preserve"> Our levels fluctuate depending on the nature of any new responsibilities given to us by government.</w:t>
      </w:r>
    </w:p>
    <w:p w:rsidR="002C175B" w:rsidRPr="00252D8D" w:rsidRDefault="002C175B" w:rsidP="002C175B">
      <w:pPr>
        <w:spacing w:after="120"/>
        <w:rPr>
          <w:b/>
          <w:sz w:val="20"/>
          <w:szCs w:val="20"/>
        </w:rPr>
      </w:pPr>
      <w:r w:rsidRPr="00252D8D">
        <w:rPr>
          <w:b/>
          <w:sz w:val="20"/>
          <w:szCs w:val="20"/>
        </w:rPr>
        <w:t xml:space="preserve">Affordable Average Staff Level for </w:t>
      </w:r>
      <w:r w:rsidR="00A817A5">
        <w:rPr>
          <w:b/>
          <w:sz w:val="20"/>
          <w:szCs w:val="20"/>
        </w:rPr>
        <w:t>2015–16</w:t>
      </w:r>
      <w:r w:rsidRPr="00252D8D">
        <w:rPr>
          <w:b/>
          <w:sz w:val="20"/>
          <w:szCs w:val="20"/>
        </w:rPr>
        <w:t xml:space="preserve"> to </w:t>
      </w:r>
      <w:r w:rsidR="00A817A5">
        <w:rPr>
          <w:b/>
          <w:sz w:val="20"/>
          <w:szCs w:val="20"/>
        </w:rPr>
        <w:t>2018–19</w:t>
      </w:r>
    </w:p>
    <w:tbl>
      <w:tblPr>
        <w:tblStyle w:val="LightShading1"/>
        <w:tblW w:w="0" w:type="auto"/>
        <w:tblLook w:val="04A0" w:firstRow="1" w:lastRow="0" w:firstColumn="1" w:lastColumn="0" w:noHBand="0" w:noVBand="1"/>
      </w:tblPr>
      <w:tblGrid>
        <w:gridCol w:w="2023"/>
        <w:gridCol w:w="1804"/>
        <w:gridCol w:w="1805"/>
        <w:gridCol w:w="1805"/>
        <w:gridCol w:w="1805"/>
      </w:tblGrid>
      <w:tr w:rsidR="002C175B" w:rsidRPr="00252D8D" w:rsidTr="002C17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3" w:type="dxa"/>
          </w:tcPr>
          <w:p w:rsidR="002C175B" w:rsidRPr="00252D8D" w:rsidRDefault="002C175B" w:rsidP="009753E6">
            <w:pPr>
              <w:rPr>
                <w:szCs w:val="20"/>
              </w:rPr>
            </w:pPr>
          </w:p>
        </w:tc>
        <w:tc>
          <w:tcPr>
            <w:tcW w:w="1804" w:type="dxa"/>
          </w:tcPr>
          <w:p w:rsidR="002C175B" w:rsidRPr="00252D8D" w:rsidRDefault="00A817A5" w:rsidP="002C175B">
            <w:pPr>
              <w:cnfStyle w:val="100000000000" w:firstRow="1" w:lastRow="0" w:firstColumn="0" w:lastColumn="0" w:oddVBand="0" w:evenVBand="0" w:oddHBand="0" w:evenHBand="0" w:firstRowFirstColumn="0" w:firstRowLastColumn="0" w:lastRowFirstColumn="0" w:lastRowLastColumn="0"/>
              <w:rPr>
                <w:szCs w:val="20"/>
              </w:rPr>
            </w:pPr>
            <w:r>
              <w:rPr>
                <w:szCs w:val="20"/>
              </w:rPr>
              <w:t>2015–16</w:t>
            </w:r>
          </w:p>
        </w:tc>
        <w:tc>
          <w:tcPr>
            <w:tcW w:w="1805" w:type="dxa"/>
          </w:tcPr>
          <w:p w:rsidR="002C175B" w:rsidRPr="00252D8D" w:rsidRDefault="002C175B" w:rsidP="005862D3">
            <w:pPr>
              <w:cnfStyle w:val="100000000000" w:firstRow="1" w:lastRow="0" w:firstColumn="0" w:lastColumn="0" w:oddVBand="0" w:evenVBand="0" w:oddHBand="0" w:evenHBand="0" w:firstRowFirstColumn="0" w:firstRowLastColumn="0" w:lastRowFirstColumn="0" w:lastRowLastColumn="0"/>
              <w:rPr>
                <w:szCs w:val="20"/>
              </w:rPr>
            </w:pPr>
            <w:r w:rsidRPr="00252D8D">
              <w:rPr>
                <w:szCs w:val="20"/>
              </w:rPr>
              <w:t>2016</w:t>
            </w:r>
            <w:r w:rsidR="005862D3">
              <w:rPr>
                <w:szCs w:val="20"/>
              </w:rPr>
              <w:t>–</w:t>
            </w:r>
            <w:r w:rsidRPr="00252D8D">
              <w:rPr>
                <w:szCs w:val="20"/>
              </w:rPr>
              <w:t>17</w:t>
            </w:r>
          </w:p>
        </w:tc>
        <w:tc>
          <w:tcPr>
            <w:tcW w:w="1805" w:type="dxa"/>
          </w:tcPr>
          <w:p w:rsidR="002C175B" w:rsidRPr="00252D8D" w:rsidRDefault="002C175B" w:rsidP="005862D3">
            <w:pPr>
              <w:cnfStyle w:val="100000000000" w:firstRow="1" w:lastRow="0" w:firstColumn="0" w:lastColumn="0" w:oddVBand="0" w:evenVBand="0" w:oddHBand="0" w:evenHBand="0" w:firstRowFirstColumn="0" w:firstRowLastColumn="0" w:lastRowFirstColumn="0" w:lastRowLastColumn="0"/>
              <w:rPr>
                <w:szCs w:val="20"/>
              </w:rPr>
            </w:pPr>
            <w:r w:rsidRPr="00252D8D">
              <w:rPr>
                <w:szCs w:val="20"/>
              </w:rPr>
              <w:t>2017</w:t>
            </w:r>
            <w:r w:rsidR="005862D3">
              <w:rPr>
                <w:szCs w:val="20"/>
              </w:rPr>
              <w:t>–</w:t>
            </w:r>
            <w:r w:rsidRPr="00252D8D">
              <w:rPr>
                <w:szCs w:val="20"/>
              </w:rPr>
              <w:t>18</w:t>
            </w:r>
          </w:p>
        </w:tc>
        <w:tc>
          <w:tcPr>
            <w:tcW w:w="1805" w:type="dxa"/>
          </w:tcPr>
          <w:p w:rsidR="002C175B" w:rsidRPr="00252D8D" w:rsidRDefault="00A817A5" w:rsidP="002C175B">
            <w:pPr>
              <w:cnfStyle w:val="100000000000" w:firstRow="1" w:lastRow="0" w:firstColumn="0" w:lastColumn="0" w:oddVBand="0" w:evenVBand="0" w:oddHBand="0" w:evenHBand="0" w:firstRowFirstColumn="0" w:firstRowLastColumn="0" w:lastRowFirstColumn="0" w:lastRowLastColumn="0"/>
              <w:rPr>
                <w:szCs w:val="20"/>
              </w:rPr>
            </w:pPr>
            <w:r>
              <w:rPr>
                <w:szCs w:val="20"/>
              </w:rPr>
              <w:t>2018–19</w:t>
            </w:r>
          </w:p>
        </w:tc>
      </w:tr>
      <w:tr w:rsidR="002C175B" w:rsidRPr="00252D8D" w:rsidTr="002C175B">
        <w:tc>
          <w:tcPr>
            <w:cnfStyle w:val="001000000000" w:firstRow="0" w:lastRow="0" w:firstColumn="1" w:lastColumn="0" w:oddVBand="0" w:evenVBand="0" w:oddHBand="0" w:evenHBand="0" w:firstRowFirstColumn="0" w:firstRowLastColumn="0" w:lastRowFirstColumn="0" w:lastRowLastColumn="0"/>
            <w:tcW w:w="2023" w:type="dxa"/>
          </w:tcPr>
          <w:p w:rsidR="002C175B" w:rsidRPr="00252D8D" w:rsidRDefault="00252D8D" w:rsidP="00ED3674">
            <w:pPr>
              <w:rPr>
                <w:szCs w:val="20"/>
              </w:rPr>
            </w:pPr>
            <w:r w:rsidRPr="00252D8D">
              <w:rPr>
                <w:szCs w:val="20"/>
              </w:rPr>
              <w:t>Full</w:t>
            </w:r>
            <w:r w:rsidR="00ED3674">
              <w:rPr>
                <w:szCs w:val="20"/>
              </w:rPr>
              <w:t xml:space="preserve"> </w:t>
            </w:r>
            <w:r w:rsidRPr="00252D8D">
              <w:rPr>
                <w:szCs w:val="20"/>
              </w:rPr>
              <w:t>time equivalents</w:t>
            </w:r>
          </w:p>
        </w:tc>
        <w:tc>
          <w:tcPr>
            <w:tcW w:w="1804" w:type="dxa"/>
          </w:tcPr>
          <w:p w:rsidR="002C175B" w:rsidRPr="00252D8D" w:rsidRDefault="002C175B" w:rsidP="009753E6">
            <w:pPr>
              <w:cnfStyle w:val="000000000000" w:firstRow="0" w:lastRow="0" w:firstColumn="0" w:lastColumn="0" w:oddVBand="0" w:evenVBand="0" w:oddHBand="0" w:evenHBand="0" w:firstRowFirstColumn="0" w:firstRowLastColumn="0" w:lastRowFirstColumn="0" w:lastRowLastColumn="0"/>
              <w:rPr>
                <w:szCs w:val="20"/>
              </w:rPr>
            </w:pPr>
            <w:r w:rsidRPr="00252D8D">
              <w:rPr>
                <w:szCs w:val="20"/>
              </w:rPr>
              <w:t>725</w:t>
            </w:r>
          </w:p>
        </w:tc>
        <w:tc>
          <w:tcPr>
            <w:tcW w:w="1805" w:type="dxa"/>
          </w:tcPr>
          <w:p w:rsidR="002C175B" w:rsidRPr="00252D8D" w:rsidRDefault="002C175B" w:rsidP="009753E6">
            <w:pPr>
              <w:cnfStyle w:val="000000000000" w:firstRow="0" w:lastRow="0" w:firstColumn="0" w:lastColumn="0" w:oddVBand="0" w:evenVBand="0" w:oddHBand="0" w:evenHBand="0" w:firstRowFirstColumn="0" w:firstRowLastColumn="0" w:lastRowFirstColumn="0" w:lastRowLastColumn="0"/>
              <w:rPr>
                <w:szCs w:val="20"/>
              </w:rPr>
            </w:pPr>
            <w:r w:rsidRPr="00252D8D">
              <w:rPr>
                <w:szCs w:val="20"/>
              </w:rPr>
              <w:t>691</w:t>
            </w:r>
          </w:p>
        </w:tc>
        <w:tc>
          <w:tcPr>
            <w:tcW w:w="1805" w:type="dxa"/>
          </w:tcPr>
          <w:p w:rsidR="002C175B" w:rsidRPr="00252D8D" w:rsidRDefault="002C175B" w:rsidP="009753E6">
            <w:pPr>
              <w:cnfStyle w:val="000000000000" w:firstRow="0" w:lastRow="0" w:firstColumn="0" w:lastColumn="0" w:oddVBand="0" w:evenVBand="0" w:oddHBand="0" w:evenHBand="0" w:firstRowFirstColumn="0" w:firstRowLastColumn="0" w:lastRowFirstColumn="0" w:lastRowLastColumn="0"/>
              <w:rPr>
                <w:szCs w:val="20"/>
              </w:rPr>
            </w:pPr>
            <w:r w:rsidRPr="00252D8D">
              <w:rPr>
                <w:szCs w:val="20"/>
              </w:rPr>
              <w:t>676</w:t>
            </w:r>
          </w:p>
        </w:tc>
        <w:tc>
          <w:tcPr>
            <w:tcW w:w="1805" w:type="dxa"/>
          </w:tcPr>
          <w:p w:rsidR="002C175B" w:rsidRPr="00252D8D" w:rsidRDefault="002C175B" w:rsidP="009753E6">
            <w:pPr>
              <w:cnfStyle w:val="000000000000" w:firstRow="0" w:lastRow="0" w:firstColumn="0" w:lastColumn="0" w:oddVBand="0" w:evenVBand="0" w:oddHBand="0" w:evenHBand="0" w:firstRowFirstColumn="0" w:firstRowLastColumn="0" w:lastRowFirstColumn="0" w:lastRowLastColumn="0"/>
              <w:rPr>
                <w:szCs w:val="20"/>
              </w:rPr>
            </w:pPr>
            <w:r w:rsidRPr="00252D8D">
              <w:rPr>
                <w:szCs w:val="20"/>
              </w:rPr>
              <w:t>669</w:t>
            </w:r>
          </w:p>
        </w:tc>
      </w:tr>
    </w:tbl>
    <w:p w:rsidR="00351BF2" w:rsidRDefault="00351BF2" w:rsidP="00351BF2">
      <w:pPr>
        <w:pStyle w:val="Heading2"/>
      </w:pPr>
      <w:r>
        <w:t>Workforce planning</w:t>
      </w:r>
    </w:p>
    <w:p w:rsidR="000B7557" w:rsidRDefault="000F0050" w:rsidP="0043786C">
      <w:pPr>
        <w:sectPr w:rsidR="000B7557" w:rsidSect="000773C8">
          <w:footerReference w:type="first" r:id="rId16"/>
          <w:pgSz w:w="11906" w:h="16838"/>
          <w:pgMar w:top="1440" w:right="1440" w:bottom="1135" w:left="1440" w:header="708" w:footer="168" w:gutter="0"/>
          <w:pgNumType w:start="1"/>
          <w:cols w:space="708"/>
          <w:titlePg/>
          <w:docGrid w:linePitch="360"/>
        </w:sectPr>
      </w:pPr>
      <w:r>
        <w:t xml:space="preserve">The </w:t>
      </w:r>
      <w:r w:rsidR="008546E6">
        <w:t>agency</w:t>
      </w:r>
      <w:r>
        <w:t xml:space="preserve"> has developed a three year Strategic Workforce Plan (SWP) 2015</w:t>
      </w:r>
      <w:r w:rsidR="005862D3">
        <w:t>–1</w:t>
      </w:r>
      <w:r>
        <w:t>8 addressing our longer-term business needs and the capability and resources we need to</w:t>
      </w:r>
      <w:r w:rsidR="008546E6">
        <w:t xml:space="preserve"> </w:t>
      </w:r>
      <w:r>
        <w:t>meet them. It also provides an instrument to analyse our workforce projections and skill gaps, set out our strategies to develop our people and fill critical skill shortages and details our action plan to d</w:t>
      </w:r>
      <w:r w:rsidR="00A539C7">
        <w:t>eliver the strategies.</w:t>
      </w:r>
    </w:p>
    <w:p w:rsidR="00EA0512" w:rsidRDefault="005862D3" w:rsidP="005862D3">
      <w:pPr>
        <w:jc w:val="center"/>
        <w:sectPr w:rsidR="00EA0512" w:rsidSect="005862D3">
          <w:pgSz w:w="16838" w:h="11906" w:orient="landscape"/>
          <w:pgMar w:top="1440" w:right="1440" w:bottom="1440" w:left="1135" w:header="708" w:footer="168" w:gutter="0"/>
          <w:cols w:space="708"/>
          <w:titlePg/>
          <w:docGrid w:linePitch="360"/>
        </w:sect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pt;margin-top:27.5pt;width:732.2pt;height:518pt;z-index:251663360;mso-position-horizontal-relative:text;mso-position-vertical-relative:page" o:preferrelative="f">
            <v:imagedata r:id="rId17" o:title=""/>
            <w10:wrap anchory="page"/>
          </v:shape>
          <o:OLEObject Type="Embed" ProgID="AcroExch.Document.11" ShapeID="_x0000_s1026" DrawAspect="Content" ObjectID="_1496740826" r:id="rId18"/>
        </w:pict>
      </w:r>
    </w:p>
    <w:p w:rsidR="000F0050" w:rsidRDefault="000F0050" w:rsidP="000B7557">
      <w:pPr>
        <w:pStyle w:val="Heading4"/>
        <w:keepNext/>
      </w:pPr>
      <w:r>
        <w:lastRenderedPageBreak/>
        <w:t>Current and future workforce capability requirements and gaps</w:t>
      </w:r>
    </w:p>
    <w:p w:rsidR="000F0050" w:rsidRDefault="000F0050" w:rsidP="000B7557">
      <w:pPr>
        <w:keepNext/>
      </w:pPr>
      <w:r>
        <w:t>Whilst the SWP process reinforced the need for strong levels of technical expertise and business knowledge, it also highlighted the emerging need for generalist skills and personal attributes required to strengthen our workforce and improve our results.</w:t>
      </w:r>
    </w:p>
    <w:p w:rsidR="000F0050" w:rsidRDefault="000F0050" w:rsidP="000F0050">
      <w:r>
        <w:t xml:space="preserve">The agency continues to place a high value on employees who possess relevant levels of technical expertise or industry knowledge in fields such as regulation, economics, economic analysis and merger analysis, competition and consumer law, regulatory/legal frameworks and public policy, and physical and chemical hazard exposure. From a corporate services perspective, skills required include accounting and ICT, contracts and procurement, strategic HR including workforce planning, website management and media liaison. </w:t>
      </w:r>
    </w:p>
    <w:p w:rsidR="000B7557" w:rsidRDefault="000F0050" w:rsidP="000F0050">
      <w:r>
        <w:t xml:space="preserve">It is important that our employees and leaders possess broad knowledge and an understanding of the </w:t>
      </w:r>
      <w:r w:rsidR="00587575">
        <w:t>agency</w:t>
      </w:r>
      <w:r>
        <w:t>'s role within government and industry frameworks, as well as the ability to perform environmental analysis to develop the strategic direction for the</w:t>
      </w:r>
      <w:r w:rsidR="008546E6">
        <w:t xml:space="preserve"> agency</w:t>
      </w:r>
      <w:r>
        <w:t xml:space="preserve">. </w:t>
      </w:r>
    </w:p>
    <w:p w:rsidR="00481F33" w:rsidRDefault="00481F33" w:rsidP="000F0050">
      <w:r>
        <w:t>Key initiatives under our SWP over the life of the plan to address our workforce risks are to:</w:t>
      </w:r>
    </w:p>
    <w:p w:rsidR="00481F33" w:rsidRDefault="00EA0512" w:rsidP="007177DE">
      <w:pPr>
        <w:pStyle w:val="ListParagraph"/>
        <w:numPr>
          <w:ilvl w:val="0"/>
          <w:numId w:val="21"/>
        </w:numPr>
      </w:pPr>
      <w:r>
        <w:t>Develop and implement a three</w:t>
      </w:r>
      <w:r w:rsidR="00481F33" w:rsidRPr="00A530E1">
        <w:t xml:space="preserve">-year recruitment strategy. </w:t>
      </w:r>
    </w:p>
    <w:p w:rsidR="00481F33" w:rsidRDefault="00481F33" w:rsidP="007177DE">
      <w:pPr>
        <w:pStyle w:val="ListParagraph"/>
        <w:numPr>
          <w:ilvl w:val="0"/>
          <w:numId w:val="21"/>
        </w:numPr>
      </w:pPr>
      <w:r w:rsidRPr="00A530E1">
        <w:t>Improve our approach to managing priorities and workload peaks across the agency to enable flexible resource allocation.</w:t>
      </w:r>
    </w:p>
    <w:p w:rsidR="00481F33" w:rsidRDefault="00481F33" w:rsidP="007177DE">
      <w:pPr>
        <w:pStyle w:val="ListParagraph"/>
        <w:numPr>
          <w:ilvl w:val="0"/>
          <w:numId w:val="21"/>
        </w:numPr>
      </w:pPr>
      <w:r w:rsidRPr="00A530E1">
        <w:t xml:space="preserve">Implement a </w:t>
      </w:r>
      <w:r>
        <w:t>c</w:t>
      </w:r>
      <w:r w:rsidRPr="00A530E1">
        <w:t xml:space="preserve">hange </w:t>
      </w:r>
      <w:r>
        <w:t>m</w:t>
      </w:r>
      <w:r w:rsidRPr="00A530E1">
        <w:t xml:space="preserve">anagement framework and embed into </w:t>
      </w:r>
      <w:r>
        <w:t>our p</w:t>
      </w:r>
      <w:r w:rsidRPr="00A530E1">
        <w:t xml:space="preserve">roject </w:t>
      </w:r>
      <w:r>
        <w:t>m</w:t>
      </w:r>
      <w:r w:rsidRPr="00A530E1">
        <w:t>anagement framework.</w:t>
      </w:r>
    </w:p>
    <w:p w:rsidR="00481F33" w:rsidRDefault="00481F33" w:rsidP="007177DE">
      <w:pPr>
        <w:pStyle w:val="ListParagraph"/>
        <w:numPr>
          <w:ilvl w:val="0"/>
          <w:numId w:val="21"/>
        </w:numPr>
      </w:pPr>
      <w:r w:rsidRPr="00A530E1">
        <w:t xml:space="preserve">Develop and implement an organisational rotation program to facilitate systematic movement of </w:t>
      </w:r>
      <w:r>
        <w:t>employees</w:t>
      </w:r>
      <w:r w:rsidRPr="00A530E1">
        <w:t xml:space="preserve"> across the </w:t>
      </w:r>
      <w:r w:rsidR="009F4139">
        <w:t>agency</w:t>
      </w:r>
      <w:r w:rsidRPr="00A530E1">
        <w:t>.</w:t>
      </w:r>
    </w:p>
    <w:p w:rsidR="00481F33" w:rsidRDefault="00481F33" w:rsidP="007177DE">
      <w:pPr>
        <w:pStyle w:val="ListParagraph"/>
        <w:numPr>
          <w:ilvl w:val="0"/>
          <w:numId w:val="21"/>
        </w:numPr>
      </w:pPr>
      <w:r w:rsidRPr="00481F33">
        <w:t>Implement an integrated approach to knowledge management.</w:t>
      </w:r>
    </w:p>
    <w:p w:rsidR="00481F33" w:rsidRDefault="00481F33" w:rsidP="00DB713C">
      <w:pPr>
        <w:pStyle w:val="ListParagraph"/>
        <w:numPr>
          <w:ilvl w:val="0"/>
          <w:numId w:val="21"/>
        </w:numPr>
      </w:pPr>
      <w:r w:rsidRPr="00A530E1">
        <w:t xml:space="preserve">Develop and implement an organisational succession planning framework to improve talent </w:t>
      </w:r>
      <w:r>
        <w:t>retention</w:t>
      </w:r>
      <w:r w:rsidRPr="00A530E1">
        <w:t>.</w:t>
      </w:r>
    </w:p>
    <w:p w:rsidR="000F0050" w:rsidRDefault="000F0050" w:rsidP="000F0050">
      <w:r>
        <w:t>As the agency focuses on improving its span of control, the ability to lead, supervise, develop and manage teams is becoming imperative. With offices in all states, this includes managing remotely and across multiple locations.</w:t>
      </w:r>
    </w:p>
    <w:p w:rsidR="000F0050" w:rsidRDefault="000F0050" w:rsidP="000F0050">
      <w:pPr>
        <w:pStyle w:val="Heading4"/>
      </w:pPr>
      <w:r>
        <w:t>Current/future workforce capacity and capability</w:t>
      </w:r>
    </w:p>
    <w:p w:rsidR="000F0050" w:rsidRDefault="00BE281D" w:rsidP="000F0050">
      <w:r>
        <w:t xml:space="preserve">The ACCC </w:t>
      </w:r>
      <w:r w:rsidR="000F0050">
        <w:t xml:space="preserve">is currently close to its required capacity and capability. </w:t>
      </w:r>
      <w:r w:rsidR="009F4139">
        <w:t xml:space="preserve">There is </w:t>
      </w:r>
      <w:r w:rsidR="000F0050">
        <w:t xml:space="preserve">a shortage of some specialist and technical competencies (a combination of legal and economic skills and knowledge that is highly relevant to competition, consumer and regulation issues) and some pivotal positions that are only filled on a temporary basis. Therefore, </w:t>
      </w:r>
      <w:r w:rsidR="009F4139">
        <w:t>the ACCC’s</w:t>
      </w:r>
      <w:r w:rsidR="000F0050">
        <w:t xml:space="preserve"> priority for early in the 2015</w:t>
      </w:r>
      <w:r w:rsidR="001A7CBE">
        <w:t>–</w:t>
      </w:r>
      <w:r w:rsidR="000F0050">
        <w:t xml:space="preserve">16 financial </w:t>
      </w:r>
      <w:proofErr w:type="gramStart"/>
      <w:r w:rsidR="000F0050">
        <w:t>year</w:t>
      </w:r>
      <w:proofErr w:type="gramEnd"/>
      <w:r w:rsidR="000F0050">
        <w:t xml:space="preserve"> will be to address the small shortage of specialist and technical competencies and ensure </w:t>
      </w:r>
      <w:r w:rsidR="009F4139">
        <w:t>the</w:t>
      </w:r>
      <w:r w:rsidR="000F0050">
        <w:t xml:space="preserve"> workforce is sustainable. In some cases this will involve ensuring that capabilities, which are currently only available temporarily, are </w:t>
      </w:r>
      <w:r w:rsidR="006075E0">
        <w:t xml:space="preserve">sourced for a permanent basis. </w:t>
      </w:r>
    </w:p>
    <w:p w:rsidR="009753E6" w:rsidRPr="00451FC4" w:rsidRDefault="009753E6" w:rsidP="00F303E9">
      <w:pPr>
        <w:pStyle w:val="Numbered11"/>
        <w:keepNext/>
        <w:ind w:left="1021" w:hanging="1021"/>
      </w:pPr>
      <w:r w:rsidRPr="00451FC4">
        <w:lastRenderedPageBreak/>
        <w:t>Culture</w:t>
      </w:r>
    </w:p>
    <w:p w:rsidR="00451FC4" w:rsidRPr="00451FC4" w:rsidRDefault="00451FC4" w:rsidP="00F303E9">
      <w:pPr>
        <w:keepNext/>
      </w:pPr>
      <w:r w:rsidRPr="00451FC4">
        <w:t xml:space="preserve">The </w:t>
      </w:r>
      <w:r w:rsidR="001E4AE6">
        <w:t>agency</w:t>
      </w:r>
      <w:r w:rsidR="00C52960">
        <w:t xml:space="preserve"> </w:t>
      </w:r>
      <w:r w:rsidRPr="00451FC4">
        <w:t>prides itself on its positive workplace culture</w:t>
      </w:r>
      <w:r w:rsidR="00481F33">
        <w:t xml:space="preserve"> based on APS wide values and particular organisation values. We are people who are independent, expert, strategic and trustworthy</w:t>
      </w:r>
      <w:r w:rsidRPr="00451FC4">
        <w:t>.</w:t>
      </w:r>
      <w:r w:rsidR="00481F33">
        <w:t xml:space="preserve"> These values are underpinned by a culture of respect and valuing diversity.</w:t>
      </w:r>
    </w:p>
    <w:p w:rsidR="00451FC4" w:rsidRPr="008442D5" w:rsidRDefault="00451FC4" w:rsidP="00451FC4">
      <w:r w:rsidRPr="00AD7956">
        <w:t>In o</w:t>
      </w:r>
      <w:r w:rsidR="00AD7956" w:rsidRPr="00AD7956">
        <w:t xml:space="preserve">rder to maintain and enhance </w:t>
      </w:r>
      <w:r w:rsidR="00AD7956">
        <w:t>our</w:t>
      </w:r>
      <w:r w:rsidRPr="00AD7956">
        <w:t xml:space="preserve"> culture and to remain an employer of choice, the </w:t>
      </w:r>
      <w:r w:rsidR="00C52960">
        <w:t>agency</w:t>
      </w:r>
      <w:r w:rsidRPr="00AD7956">
        <w:t xml:space="preserve"> will </w:t>
      </w:r>
      <w:r w:rsidR="002E575F" w:rsidRPr="00AD7956">
        <w:t>implement</w:t>
      </w:r>
      <w:r w:rsidR="008B54D2">
        <w:t xml:space="preserve"> a</w:t>
      </w:r>
      <w:r w:rsidR="00481F33">
        <w:t xml:space="preserve"> number of culture oriented </w:t>
      </w:r>
      <w:r w:rsidRPr="00AD7956">
        <w:t>strategies in its Strategi</w:t>
      </w:r>
      <w:r w:rsidR="008442D5" w:rsidRPr="00AD7956">
        <w:t xml:space="preserve">c Workforce Plan over the next </w:t>
      </w:r>
      <w:r w:rsidR="008442D5">
        <w:t>three</w:t>
      </w:r>
      <w:r w:rsidRPr="008442D5">
        <w:t xml:space="preserve"> years. These include:</w:t>
      </w:r>
    </w:p>
    <w:p w:rsidR="00451FC4" w:rsidRPr="00AD7956" w:rsidRDefault="00AD7956" w:rsidP="007177DE">
      <w:pPr>
        <w:pStyle w:val="ListParagraph"/>
        <w:numPr>
          <w:ilvl w:val="0"/>
          <w:numId w:val="21"/>
        </w:numPr>
      </w:pPr>
      <w:r>
        <w:t>e</w:t>
      </w:r>
      <w:r w:rsidR="00451FC4" w:rsidRPr="00AD7956">
        <w:t xml:space="preserve">ffectively completing and implementing a new Enterprise Agreement </w:t>
      </w:r>
    </w:p>
    <w:p w:rsidR="00451FC4" w:rsidRPr="00451FC4" w:rsidRDefault="00AD7956" w:rsidP="007177DE">
      <w:pPr>
        <w:pStyle w:val="ListParagraph"/>
        <w:numPr>
          <w:ilvl w:val="0"/>
          <w:numId w:val="21"/>
        </w:numPr>
      </w:pPr>
      <w:r>
        <w:t>a</w:t>
      </w:r>
      <w:r w:rsidR="00451FC4" w:rsidRPr="00AD7956">
        <w:t>dopting strategies that will help us to support and retain our existing workforce such as through innovative reward and recogniti</w:t>
      </w:r>
      <w:r>
        <w:t xml:space="preserve">on, providing good learning and </w:t>
      </w:r>
      <w:r w:rsidR="00451FC4" w:rsidRPr="00AD7956">
        <w:t>development opportunities including training, secondments, mentoring programs,  and through our performance management and feedback mechanisms</w:t>
      </w:r>
    </w:p>
    <w:p w:rsidR="00451FC4" w:rsidRPr="00451FC4" w:rsidRDefault="00481F33" w:rsidP="007177DE">
      <w:pPr>
        <w:pStyle w:val="ListParagraph"/>
        <w:numPr>
          <w:ilvl w:val="0"/>
          <w:numId w:val="21"/>
        </w:numPr>
      </w:pPr>
      <w:r>
        <w:t>incorporating into our</w:t>
      </w:r>
      <w:r w:rsidR="00451FC4" w:rsidRPr="00AD7956">
        <w:t xml:space="preserve"> recruitment strategy </w:t>
      </w:r>
      <w:r>
        <w:t>a</w:t>
      </w:r>
      <w:r w:rsidR="00451FC4" w:rsidRPr="00AD7956">
        <w:t xml:space="preserve"> focus on attracting talented employees through our graduate, intern and work experience programs</w:t>
      </w:r>
    </w:p>
    <w:p w:rsidR="00451FC4" w:rsidRPr="00451FC4" w:rsidRDefault="00AD7956" w:rsidP="007177DE">
      <w:pPr>
        <w:pStyle w:val="ListParagraph"/>
        <w:numPr>
          <w:ilvl w:val="0"/>
          <w:numId w:val="21"/>
        </w:numPr>
      </w:pPr>
      <w:r>
        <w:t>i</w:t>
      </w:r>
      <w:r w:rsidR="00451FC4" w:rsidRPr="00AD7956">
        <w:t xml:space="preserve">mplementing enhancements to our flexible working </w:t>
      </w:r>
      <w:r w:rsidR="002B66EF">
        <w:t>arrangements and support for employees accessing these</w:t>
      </w:r>
      <w:r w:rsidR="00451FC4" w:rsidRPr="00AD7956">
        <w:t xml:space="preserve"> </w:t>
      </w:r>
    </w:p>
    <w:p w:rsidR="00451FC4" w:rsidRPr="00AD7956" w:rsidRDefault="00AD7956" w:rsidP="007177DE">
      <w:pPr>
        <w:pStyle w:val="ListParagraph"/>
        <w:numPr>
          <w:ilvl w:val="0"/>
          <w:numId w:val="21"/>
        </w:numPr>
      </w:pPr>
      <w:r>
        <w:t>r</w:t>
      </w:r>
      <w:r w:rsidR="00451FC4" w:rsidRPr="00AD7956">
        <w:t xml:space="preserve">eflecting and supporting the diversity of </w:t>
      </w:r>
      <w:r w:rsidR="002E575F">
        <w:t>our</w:t>
      </w:r>
      <w:r w:rsidR="002E575F" w:rsidRPr="00AD7956">
        <w:t xml:space="preserve"> community</w:t>
      </w:r>
      <w:r w:rsidR="00451FC4" w:rsidRPr="00AD7956">
        <w:t xml:space="preserve"> and promoting inclusiveness within our workforce by implementing our Diversity Strategy</w:t>
      </w:r>
      <w:r>
        <w:t>, and</w:t>
      </w:r>
    </w:p>
    <w:p w:rsidR="0043786C" w:rsidRPr="00FC0D8A" w:rsidRDefault="00AD7956" w:rsidP="00FC0D8A">
      <w:pPr>
        <w:pStyle w:val="ListParagraph"/>
        <w:numPr>
          <w:ilvl w:val="0"/>
          <w:numId w:val="21"/>
        </w:numPr>
      </w:pPr>
      <w:proofErr w:type="gramStart"/>
      <w:r>
        <w:t>c</w:t>
      </w:r>
      <w:r w:rsidR="00451FC4" w:rsidRPr="00AD7956">
        <w:t>onducting</w:t>
      </w:r>
      <w:proofErr w:type="gramEnd"/>
      <w:r w:rsidR="00451FC4" w:rsidRPr="00AD7956">
        <w:t xml:space="preserve"> initiatives that support the betterment of the health and wellbeing of our people, particularly in relation to mental health.</w:t>
      </w:r>
    </w:p>
    <w:p w:rsidR="009753E6" w:rsidRPr="009753E6" w:rsidRDefault="009753E6" w:rsidP="009753E6">
      <w:pPr>
        <w:pStyle w:val="Numbered11"/>
        <w:ind w:left="1021" w:hanging="1021"/>
      </w:pPr>
      <w:r w:rsidRPr="009753E6">
        <w:t>Financial management and investment</w:t>
      </w:r>
    </w:p>
    <w:p w:rsidR="009753E6" w:rsidRPr="009753E6" w:rsidRDefault="009753E6" w:rsidP="009753E6">
      <w:pPr>
        <w:pStyle w:val="Heading2"/>
      </w:pPr>
      <w:r w:rsidRPr="009753E6">
        <w:t>Financial management</w:t>
      </w:r>
    </w:p>
    <w:p w:rsidR="009753E6" w:rsidRPr="007177DE" w:rsidRDefault="009753E6" w:rsidP="009753E6">
      <w:r w:rsidRPr="007177DE">
        <w:t>The ACCC</w:t>
      </w:r>
      <w:r w:rsidR="009010C7">
        <w:t xml:space="preserve"> and </w:t>
      </w:r>
      <w:r w:rsidRPr="007177DE">
        <w:t>AER ha</w:t>
      </w:r>
      <w:r w:rsidR="009010C7">
        <w:t>ve</w:t>
      </w:r>
      <w:r w:rsidRPr="007177DE">
        <w:t xml:space="preserve"> a</w:t>
      </w:r>
      <w:r w:rsidR="009010C7">
        <w:t xml:space="preserve"> coordinated</w:t>
      </w:r>
      <w:r w:rsidRPr="007177DE">
        <w:t xml:space="preserve"> Strategic Financial Plan and a five year budget model that models </w:t>
      </w:r>
      <w:r w:rsidR="008442D5" w:rsidRPr="007177DE">
        <w:t>the current financial year and three</w:t>
      </w:r>
      <w:r w:rsidRPr="007177DE">
        <w:t xml:space="preserve"> out-years. This provides an outlook as to the future capacity of the </w:t>
      </w:r>
      <w:r w:rsidR="000032A0">
        <w:t>agency</w:t>
      </w:r>
      <w:r w:rsidRPr="007177DE">
        <w:t>. The model is only an indicator at a point in time, as additional functions can be assigned to the ACCC</w:t>
      </w:r>
      <w:r w:rsidR="009010C7">
        <w:t xml:space="preserve"> and AER</w:t>
      </w:r>
      <w:r w:rsidRPr="007177DE">
        <w:t xml:space="preserve"> with varying levels of funding attached.</w:t>
      </w:r>
    </w:p>
    <w:p w:rsidR="009753E6" w:rsidRPr="007177DE" w:rsidRDefault="009753E6" w:rsidP="009753E6">
      <w:r w:rsidRPr="007177DE">
        <w:t xml:space="preserve">Financial management is a key area that the </w:t>
      </w:r>
      <w:r w:rsidR="000032A0">
        <w:t xml:space="preserve">agency </w:t>
      </w:r>
      <w:r w:rsidRPr="007177DE">
        <w:t>needs to continue to grow capacity and improve skills.</w:t>
      </w:r>
      <w:r w:rsidR="006075E0">
        <w:t xml:space="preserve"> </w:t>
      </w:r>
      <w:r w:rsidRPr="007177DE">
        <w:t>The past 18 months has seen a significant increase</w:t>
      </w:r>
      <w:r w:rsidR="008442D5" w:rsidRPr="007177DE">
        <w:t xml:space="preserve"> in</w:t>
      </w:r>
      <w:r w:rsidRPr="007177DE">
        <w:t xml:space="preserve"> the financial maturity of the </w:t>
      </w:r>
      <w:r w:rsidR="000032A0">
        <w:t xml:space="preserve">agency </w:t>
      </w:r>
      <w:r w:rsidRPr="007177DE">
        <w:t xml:space="preserve">and our executive managers. This </w:t>
      </w:r>
      <w:r w:rsidR="002B66EF" w:rsidRPr="007177DE">
        <w:t>will</w:t>
      </w:r>
      <w:r w:rsidRPr="007177DE">
        <w:t xml:space="preserve"> continue and filter down to the next levels of management to:</w:t>
      </w:r>
    </w:p>
    <w:p w:rsidR="009753E6" w:rsidRPr="007177DE" w:rsidRDefault="009753E6" w:rsidP="00E83D1E">
      <w:pPr>
        <w:pStyle w:val="ListParagraph"/>
        <w:numPr>
          <w:ilvl w:val="0"/>
          <w:numId w:val="21"/>
        </w:numPr>
      </w:pPr>
      <w:r w:rsidRPr="007177DE">
        <w:t>ensure a thorough understanding of the importance of financial management, and</w:t>
      </w:r>
    </w:p>
    <w:p w:rsidR="009753E6" w:rsidRPr="007177DE" w:rsidRDefault="009753E6" w:rsidP="00E83D1E">
      <w:pPr>
        <w:pStyle w:val="ListParagraph"/>
        <w:numPr>
          <w:ilvl w:val="0"/>
          <w:numId w:val="21"/>
        </w:numPr>
      </w:pPr>
      <w:proofErr w:type="gramStart"/>
      <w:r w:rsidRPr="007177DE">
        <w:t>provide</w:t>
      </w:r>
      <w:proofErr w:type="gramEnd"/>
      <w:r w:rsidRPr="007177DE">
        <w:t xml:space="preserve"> experien</w:t>
      </w:r>
      <w:r w:rsidR="006075E0">
        <w:t xml:space="preserve">ce for future senior managers. </w:t>
      </w:r>
    </w:p>
    <w:p w:rsidR="002B66EF" w:rsidRDefault="000032A0" w:rsidP="007177DE">
      <w:r w:rsidRPr="000032A0">
        <w:t>Four</w:t>
      </w:r>
      <w:r>
        <w:t>-</w:t>
      </w:r>
      <w:r w:rsidRPr="000032A0">
        <w:t xml:space="preserve">year </w:t>
      </w:r>
      <w:r>
        <w:t xml:space="preserve">budget </w:t>
      </w:r>
      <w:r w:rsidRPr="000032A0">
        <w:t>estimates</w:t>
      </w:r>
      <w:r>
        <w:t xml:space="preserve"> for the ACCC and AER are published</w:t>
      </w:r>
      <w:r w:rsidRPr="000032A0">
        <w:t xml:space="preserve"> annually in The Treasury’s Portfolio Budget Statements. </w:t>
      </w:r>
      <w:r w:rsidR="002C175B" w:rsidRPr="00252D8D">
        <w:t>T</w:t>
      </w:r>
      <w:r w:rsidR="00C16C25">
        <w:t>he following table</w:t>
      </w:r>
      <w:r w:rsidR="0046337F">
        <w:t>s</w:t>
      </w:r>
      <w:r w:rsidR="00790382">
        <w:t xml:space="preserve"> set</w:t>
      </w:r>
      <w:r w:rsidR="00C16C25">
        <w:t xml:space="preserve"> out </w:t>
      </w:r>
      <w:r w:rsidR="0046337F">
        <w:t>the</w:t>
      </w:r>
      <w:r w:rsidR="0046337F" w:rsidRPr="0046337F">
        <w:t xml:space="preserve"> </w:t>
      </w:r>
      <w:r w:rsidR="0046337F">
        <w:t>ACCC’s and AER’s</w:t>
      </w:r>
      <w:r w:rsidR="00C16C25">
        <w:t xml:space="preserve"> </w:t>
      </w:r>
      <w:r w:rsidR="002C175B" w:rsidRPr="00252D8D">
        <w:t xml:space="preserve">funding for </w:t>
      </w:r>
      <w:r w:rsidR="00A817A5">
        <w:t>2015–16</w:t>
      </w:r>
      <w:r w:rsidR="002B66EF" w:rsidRPr="00252D8D">
        <w:t xml:space="preserve"> and forward years</w:t>
      </w:r>
      <w:r w:rsidR="00252D8D" w:rsidRPr="00252D8D">
        <w:t xml:space="preserve"> of the budget estimates</w:t>
      </w:r>
      <w:r w:rsidR="002B66EF" w:rsidRPr="00252D8D">
        <w:t>.</w:t>
      </w:r>
      <w:r>
        <w:t xml:space="preserve"> </w:t>
      </w:r>
    </w:p>
    <w:p w:rsidR="0046337F" w:rsidRPr="00C16C25" w:rsidRDefault="0046337F" w:rsidP="0046337F">
      <w:pPr>
        <w:keepNext/>
        <w:spacing w:after="120"/>
        <w:rPr>
          <w:rFonts w:asciiTheme="minorHAnsi" w:hAnsiTheme="minorHAnsi" w:cstheme="minorHAnsi"/>
          <w:b/>
          <w:sz w:val="20"/>
          <w:szCs w:val="20"/>
        </w:rPr>
      </w:pPr>
      <w:r w:rsidRPr="00C16C25">
        <w:rPr>
          <w:rFonts w:asciiTheme="minorHAnsi" w:hAnsiTheme="minorHAnsi" w:cstheme="minorHAnsi"/>
          <w:b/>
          <w:sz w:val="20"/>
          <w:szCs w:val="20"/>
        </w:rPr>
        <w:lastRenderedPageBreak/>
        <w:t>Program 1</w:t>
      </w:r>
      <w:r w:rsidRPr="00C16C25">
        <w:rPr>
          <w:rFonts w:asciiTheme="minorHAnsi" w:hAnsiTheme="minorHAnsi" w:cstheme="minorHAnsi"/>
          <w:b/>
          <w:sz w:val="20"/>
          <w:szCs w:val="20"/>
        </w:rPr>
        <w:tab/>
        <w:t xml:space="preserve">ACCC </w:t>
      </w:r>
      <w:r w:rsidR="00A817A5">
        <w:rPr>
          <w:rFonts w:asciiTheme="minorHAnsi" w:hAnsiTheme="minorHAnsi" w:cstheme="minorHAnsi"/>
          <w:b/>
          <w:sz w:val="20"/>
          <w:szCs w:val="20"/>
        </w:rPr>
        <w:t>2015–16</w:t>
      </w:r>
      <w:r w:rsidRPr="00C16C25">
        <w:rPr>
          <w:rFonts w:asciiTheme="minorHAnsi" w:hAnsiTheme="minorHAnsi" w:cstheme="minorHAnsi"/>
          <w:b/>
          <w:sz w:val="20"/>
          <w:szCs w:val="20"/>
        </w:rPr>
        <w:t xml:space="preserve"> to </w:t>
      </w:r>
      <w:r w:rsidR="00A817A5">
        <w:rPr>
          <w:rFonts w:asciiTheme="minorHAnsi" w:hAnsiTheme="minorHAnsi" w:cstheme="minorHAnsi"/>
          <w:b/>
          <w:sz w:val="20"/>
          <w:szCs w:val="20"/>
        </w:rPr>
        <w:t>2018–19</w:t>
      </w:r>
      <w:r w:rsidRPr="00C16C25">
        <w:rPr>
          <w:rFonts w:asciiTheme="minorHAnsi" w:hAnsiTheme="minorHAnsi" w:cstheme="minorHAnsi"/>
          <w:b/>
          <w:sz w:val="20"/>
          <w:szCs w:val="20"/>
        </w:rPr>
        <w:t xml:space="preserve"> ($millions)</w:t>
      </w:r>
    </w:p>
    <w:tbl>
      <w:tblPr>
        <w:tblStyle w:val="LightShading1"/>
        <w:tblW w:w="0" w:type="auto"/>
        <w:tblLook w:val="04A0" w:firstRow="1" w:lastRow="0" w:firstColumn="1" w:lastColumn="0" w:noHBand="0" w:noVBand="1"/>
      </w:tblPr>
      <w:tblGrid>
        <w:gridCol w:w="2023"/>
        <w:gridCol w:w="1804"/>
        <w:gridCol w:w="1805"/>
        <w:gridCol w:w="1805"/>
        <w:gridCol w:w="1805"/>
      </w:tblGrid>
      <w:tr w:rsidR="0046337F" w:rsidRPr="00C16C25" w:rsidTr="00D815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3" w:type="dxa"/>
          </w:tcPr>
          <w:p w:rsidR="0046337F" w:rsidRPr="00C16C25" w:rsidRDefault="0046337F" w:rsidP="0046337F">
            <w:pPr>
              <w:keepNext/>
              <w:rPr>
                <w:rFonts w:asciiTheme="minorHAnsi" w:hAnsiTheme="minorHAnsi" w:cstheme="minorHAnsi"/>
                <w:szCs w:val="20"/>
              </w:rPr>
            </w:pPr>
          </w:p>
        </w:tc>
        <w:tc>
          <w:tcPr>
            <w:tcW w:w="1804" w:type="dxa"/>
          </w:tcPr>
          <w:p w:rsidR="0046337F" w:rsidRPr="00C16C25" w:rsidRDefault="00A817A5" w:rsidP="0046337F">
            <w:pPr>
              <w:keepNex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rPr>
            </w:pPr>
            <w:r>
              <w:rPr>
                <w:rFonts w:asciiTheme="minorHAnsi" w:hAnsiTheme="minorHAnsi" w:cstheme="minorHAnsi"/>
                <w:szCs w:val="20"/>
              </w:rPr>
              <w:t>2015–16</w:t>
            </w:r>
          </w:p>
        </w:tc>
        <w:tc>
          <w:tcPr>
            <w:tcW w:w="1805" w:type="dxa"/>
          </w:tcPr>
          <w:p w:rsidR="0046337F" w:rsidRPr="00C16C25" w:rsidRDefault="0046337F" w:rsidP="0046337F">
            <w:pPr>
              <w:keepNex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C16C25">
              <w:rPr>
                <w:rFonts w:asciiTheme="minorHAnsi" w:hAnsiTheme="minorHAnsi" w:cstheme="minorHAnsi"/>
                <w:szCs w:val="20"/>
              </w:rPr>
              <w:t>2016</w:t>
            </w:r>
            <w:r w:rsidR="005862D3">
              <w:rPr>
                <w:rFonts w:asciiTheme="minorHAnsi" w:hAnsiTheme="minorHAnsi" w:cstheme="minorHAnsi"/>
                <w:szCs w:val="20"/>
              </w:rPr>
              <w:t>–1</w:t>
            </w:r>
            <w:r w:rsidRPr="00C16C25">
              <w:rPr>
                <w:rFonts w:asciiTheme="minorHAnsi" w:hAnsiTheme="minorHAnsi" w:cstheme="minorHAnsi"/>
                <w:szCs w:val="20"/>
              </w:rPr>
              <w:t>7</w:t>
            </w:r>
          </w:p>
        </w:tc>
        <w:tc>
          <w:tcPr>
            <w:tcW w:w="1805" w:type="dxa"/>
          </w:tcPr>
          <w:p w:rsidR="0046337F" w:rsidRPr="00C16C25" w:rsidRDefault="0046337F" w:rsidP="0046337F">
            <w:pPr>
              <w:keepNex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C16C25">
              <w:rPr>
                <w:rFonts w:asciiTheme="minorHAnsi" w:hAnsiTheme="minorHAnsi" w:cstheme="minorHAnsi"/>
                <w:szCs w:val="20"/>
              </w:rPr>
              <w:t>2017</w:t>
            </w:r>
            <w:r w:rsidR="005862D3">
              <w:rPr>
                <w:rFonts w:asciiTheme="minorHAnsi" w:hAnsiTheme="minorHAnsi" w:cstheme="minorHAnsi"/>
                <w:szCs w:val="20"/>
              </w:rPr>
              <w:t>–1</w:t>
            </w:r>
            <w:r w:rsidRPr="00C16C25">
              <w:rPr>
                <w:rFonts w:asciiTheme="minorHAnsi" w:hAnsiTheme="minorHAnsi" w:cstheme="minorHAnsi"/>
                <w:szCs w:val="20"/>
              </w:rPr>
              <w:t>8</w:t>
            </w:r>
          </w:p>
        </w:tc>
        <w:tc>
          <w:tcPr>
            <w:tcW w:w="1805" w:type="dxa"/>
          </w:tcPr>
          <w:p w:rsidR="0046337F" w:rsidRPr="00C16C25" w:rsidRDefault="00A817A5" w:rsidP="0046337F">
            <w:pPr>
              <w:keepNex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rPr>
            </w:pPr>
            <w:r>
              <w:rPr>
                <w:rFonts w:asciiTheme="minorHAnsi" w:hAnsiTheme="minorHAnsi" w:cstheme="minorHAnsi"/>
                <w:szCs w:val="20"/>
              </w:rPr>
              <w:t>2018–19</w:t>
            </w:r>
          </w:p>
        </w:tc>
      </w:tr>
      <w:tr w:rsidR="0046337F" w:rsidRPr="00C16C25" w:rsidTr="00D815FD">
        <w:tc>
          <w:tcPr>
            <w:cnfStyle w:val="001000000000" w:firstRow="0" w:lastRow="0" w:firstColumn="1" w:lastColumn="0" w:oddVBand="0" w:evenVBand="0" w:oddHBand="0" w:evenHBand="0" w:firstRowFirstColumn="0" w:firstRowLastColumn="0" w:lastRowFirstColumn="0" w:lastRowLastColumn="0"/>
            <w:tcW w:w="2023" w:type="dxa"/>
          </w:tcPr>
          <w:p w:rsidR="0046337F" w:rsidRPr="00C16C25" w:rsidRDefault="0046337F" w:rsidP="0046337F">
            <w:pPr>
              <w:keepNext/>
              <w:rPr>
                <w:rFonts w:asciiTheme="minorHAnsi" w:hAnsiTheme="minorHAnsi" w:cstheme="minorHAnsi"/>
                <w:szCs w:val="20"/>
              </w:rPr>
            </w:pPr>
            <w:r w:rsidRPr="00C16C25">
              <w:rPr>
                <w:rFonts w:asciiTheme="minorHAnsi" w:hAnsiTheme="minorHAnsi" w:cstheme="minorHAnsi"/>
                <w:szCs w:val="20"/>
              </w:rPr>
              <w:t>Revenue</w:t>
            </w:r>
          </w:p>
        </w:tc>
        <w:tc>
          <w:tcPr>
            <w:tcW w:w="1804" w:type="dxa"/>
            <w:vAlign w:val="bottom"/>
          </w:tcPr>
          <w:p w:rsidR="0046337F" w:rsidRPr="0046337F" w:rsidRDefault="0046337F" w:rsidP="0046337F">
            <w:pPr>
              <w:keepN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szCs w:val="20"/>
                <w:lang w:eastAsia="en-AU"/>
              </w:rPr>
            </w:pPr>
            <w:r w:rsidRPr="0046337F">
              <w:rPr>
                <w:rFonts w:asciiTheme="minorHAnsi" w:hAnsiTheme="minorHAnsi" w:cstheme="minorHAnsi"/>
                <w:bCs/>
                <w:color w:val="000000"/>
                <w:szCs w:val="20"/>
                <w:lang w:eastAsia="en-AU"/>
              </w:rPr>
              <w:t>132</w:t>
            </w:r>
            <w:r w:rsidR="00667A1F">
              <w:rPr>
                <w:rFonts w:asciiTheme="minorHAnsi" w:hAnsiTheme="minorHAnsi" w:cstheme="minorHAnsi"/>
                <w:bCs/>
                <w:color w:val="000000"/>
                <w:szCs w:val="20"/>
                <w:lang w:eastAsia="en-AU"/>
              </w:rPr>
              <w:t>.</w:t>
            </w:r>
            <w:r w:rsidRPr="0046337F">
              <w:rPr>
                <w:rFonts w:asciiTheme="minorHAnsi" w:hAnsiTheme="minorHAnsi" w:cstheme="minorHAnsi"/>
                <w:bCs/>
                <w:color w:val="000000"/>
                <w:szCs w:val="20"/>
                <w:lang w:eastAsia="en-AU"/>
              </w:rPr>
              <w:t>00</w:t>
            </w:r>
          </w:p>
        </w:tc>
        <w:tc>
          <w:tcPr>
            <w:tcW w:w="1805" w:type="dxa"/>
            <w:vAlign w:val="bottom"/>
          </w:tcPr>
          <w:p w:rsidR="0046337F" w:rsidRPr="0046337F" w:rsidRDefault="0046337F" w:rsidP="0046337F">
            <w:pPr>
              <w:keepN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szCs w:val="20"/>
                <w:lang w:eastAsia="en-AU"/>
              </w:rPr>
            </w:pPr>
            <w:r w:rsidRPr="0046337F">
              <w:rPr>
                <w:rFonts w:asciiTheme="minorHAnsi" w:hAnsiTheme="minorHAnsi" w:cstheme="minorHAnsi"/>
                <w:bCs/>
                <w:color w:val="000000"/>
                <w:szCs w:val="20"/>
                <w:lang w:eastAsia="en-AU"/>
              </w:rPr>
              <w:t>130</w:t>
            </w:r>
            <w:r w:rsidR="00667A1F">
              <w:rPr>
                <w:rFonts w:asciiTheme="minorHAnsi" w:hAnsiTheme="minorHAnsi" w:cstheme="minorHAnsi"/>
                <w:bCs/>
                <w:color w:val="000000"/>
                <w:szCs w:val="20"/>
                <w:lang w:eastAsia="en-AU"/>
              </w:rPr>
              <w:t>.</w:t>
            </w:r>
            <w:r w:rsidRPr="0046337F">
              <w:rPr>
                <w:rFonts w:asciiTheme="minorHAnsi" w:hAnsiTheme="minorHAnsi" w:cstheme="minorHAnsi"/>
                <w:bCs/>
                <w:color w:val="000000"/>
                <w:szCs w:val="20"/>
                <w:lang w:eastAsia="en-AU"/>
              </w:rPr>
              <w:t>59</w:t>
            </w:r>
          </w:p>
        </w:tc>
        <w:tc>
          <w:tcPr>
            <w:tcW w:w="1805" w:type="dxa"/>
            <w:vAlign w:val="bottom"/>
          </w:tcPr>
          <w:p w:rsidR="0046337F" w:rsidRPr="0046337F" w:rsidRDefault="0046337F" w:rsidP="0046337F">
            <w:pPr>
              <w:keepN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szCs w:val="20"/>
                <w:lang w:eastAsia="en-AU"/>
              </w:rPr>
            </w:pPr>
            <w:r w:rsidRPr="0046337F">
              <w:rPr>
                <w:rFonts w:asciiTheme="minorHAnsi" w:hAnsiTheme="minorHAnsi" w:cstheme="minorHAnsi"/>
                <w:bCs/>
                <w:color w:val="000000"/>
                <w:szCs w:val="20"/>
                <w:lang w:eastAsia="en-AU"/>
              </w:rPr>
              <w:t>130</w:t>
            </w:r>
            <w:r w:rsidR="00667A1F">
              <w:rPr>
                <w:rFonts w:asciiTheme="minorHAnsi" w:hAnsiTheme="minorHAnsi" w:cstheme="minorHAnsi"/>
                <w:bCs/>
                <w:color w:val="000000"/>
                <w:szCs w:val="20"/>
                <w:lang w:eastAsia="en-AU"/>
              </w:rPr>
              <w:t>.</w:t>
            </w:r>
            <w:r w:rsidRPr="0046337F">
              <w:rPr>
                <w:rFonts w:asciiTheme="minorHAnsi" w:hAnsiTheme="minorHAnsi" w:cstheme="minorHAnsi"/>
                <w:bCs/>
                <w:color w:val="000000"/>
                <w:szCs w:val="20"/>
                <w:lang w:eastAsia="en-AU"/>
              </w:rPr>
              <w:t>04</w:t>
            </w:r>
          </w:p>
        </w:tc>
        <w:tc>
          <w:tcPr>
            <w:tcW w:w="1805" w:type="dxa"/>
            <w:vAlign w:val="bottom"/>
          </w:tcPr>
          <w:p w:rsidR="0046337F" w:rsidRPr="0046337F" w:rsidRDefault="0046337F" w:rsidP="0046337F">
            <w:pPr>
              <w:keepN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szCs w:val="20"/>
                <w:lang w:eastAsia="en-AU"/>
              </w:rPr>
            </w:pPr>
            <w:r w:rsidRPr="0046337F">
              <w:rPr>
                <w:rFonts w:asciiTheme="minorHAnsi" w:hAnsiTheme="minorHAnsi" w:cstheme="minorHAnsi"/>
                <w:bCs/>
                <w:color w:val="000000"/>
                <w:szCs w:val="20"/>
                <w:lang w:eastAsia="en-AU"/>
              </w:rPr>
              <w:t>130</w:t>
            </w:r>
            <w:r w:rsidR="00667A1F">
              <w:rPr>
                <w:rFonts w:asciiTheme="minorHAnsi" w:hAnsiTheme="minorHAnsi" w:cstheme="minorHAnsi"/>
                <w:bCs/>
                <w:color w:val="000000"/>
                <w:szCs w:val="20"/>
                <w:lang w:eastAsia="en-AU"/>
              </w:rPr>
              <w:t>.</w:t>
            </w:r>
            <w:r w:rsidRPr="0046337F">
              <w:rPr>
                <w:rFonts w:asciiTheme="minorHAnsi" w:hAnsiTheme="minorHAnsi" w:cstheme="minorHAnsi"/>
                <w:bCs/>
                <w:color w:val="000000"/>
                <w:szCs w:val="20"/>
                <w:lang w:eastAsia="en-AU"/>
              </w:rPr>
              <w:t>92</w:t>
            </w:r>
          </w:p>
        </w:tc>
      </w:tr>
    </w:tbl>
    <w:p w:rsidR="0046337F" w:rsidRPr="00C16C25" w:rsidRDefault="0046337F" w:rsidP="008962F2">
      <w:pPr>
        <w:keepNext/>
        <w:spacing w:after="120"/>
        <w:rPr>
          <w:rFonts w:asciiTheme="minorHAnsi" w:hAnsiTheme="minorHAnsi" w:cstheme="minorHAnsi"/>
          <w:b/>
          <w:sz w:val="20"/>
          <w:szCs w:val="20"/>
        </w:rPr>
      </w:pPr>
      <w:r w:rsidRPr="00C16C25">
        <w:rPr>
          <w:rFonts w:asciiTheme="minorHAnsi" w:hAnsiTheme="minorHAnsi" w:cstheme="minorHAnsi"/>
          <w:b/>
          <w:sz w:val="20"/>
          <w:szCs w:val="20"/>
        </w:rPr>
        <w:t>Program 2</w:t>
      </w:r>
      <w:r w:rsidRPr="00C16C25">
        <w:rPr>
          <w:rFonts w:asciiTheme="minorHAnsi" w:hAnsiTheme="minorHAnsi" w:cstheme="minorHAnsi"/>
          <w:b/>
          <w:sz w:val="20"/>
          <w:szCs w:val="20"/>
        </w:rPr>
        <w:tab/>
        <w:t>AER</w:t>
      </w:r>
      <w:r>
        <w:rPr>
          <w:rFonts w:asciiTheme="minorHAnsi" w:hAnsiTheme="minorHAnsi" w:cstheme="minorHAnsi"/>
          <w:b/>
          <w:sz w:val="20"/>
          <w:szCs w:val="20"/>
        </w:rPr>
        <w:t xml:space="preserve"> </w:t>
      </w:r>
      <w:r w:rsidR="00A817A5">
        <w:rPr>
          <w:rFonts w:asciiTheme="minorHAnsi" w:hAnsiTheme="minorHAnsi" w:cstheme="minorHAnsi"/>
          <w:b/>
          <w:sz w:val="20"/>
          <w:szCs w:val="20"/>
        </w:rPr>
        <w:t>2015–16</w:t>
      </w:r>
      <w:r w:rsidRPr="00C16C25">
        <w:rPr>
          <w:rFonts w:asciiTheme="minorHAnsi" w:hAnsiTheme="minorHAnsi" w:cstheme="minorHAnsi"/>
          <w:b/>
          <w:sz w:val="20"/>
          <w:szCs w:val="20"/>
        </w:rPr>
        <w:t xml:space="preserve"> to </w:t>
      </w:r>
      <w:r w:rsidR="00A817A5">
        <w:rPr>
          <w:rFonts w:asciiTheme="minorHAnsi" w:hAnsiTheme="minorHAnsi" w:cstheme="minorHAnsi"/>
          <w:b/>
          <w:sz w:val="20"/>
          <w:szCs w:val="20"/>
        </w:rPr>
        <w:t>2018–19</w:t>
      </w:r>
      <w:r w:rsidRPr="00C16C25">
        <w:rPr>
          <w:rFonts w:asciiTheme="minorHAnsi" w:hAnsiTheme="minorHAnsi" w:cstheme="minorHAnsi"/>
          <w:b/>
          <w:sz w:val="20"/>
          <w:szCs w:val="20"/>
        </w:rPr>
        <w:t xml:space="preserve"> ($millions)</w:t>
      </w:r>
    </w:p>
    <w:tbl>
      <w:tblPr>
        <w:tblStyle w:val="LightShading1"/>
        <w:tblW w:w="0" w:type="auto"/>
        <w:tblLook w:val="04A0" w:firstRow="1" w:lastRow="0" w:firstColumn="1" w:lastColumn="0" w:noHBand="0" w:noVBand="1"/>
      </w:tblPr>
      <w:tblGrid>
        <w:gridCol w:w="2023"/>
        <w:gridCol w:w="1804"/>
        <w:gridCol w:w="1805"/>
        <w:gridCol w:w="1805"/>
        <w:gridCol w:w="1805"/>
      </w:tblGrid>
      <w:tr w:rsidR="0046337F" w:rsidRPr="00C16C25" w:rsidTr="00D815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3" w:type="dxa"/>
          </w:tcPr>
          <w:p w:rsidR="0046337F" w:rsidRPr="00C16C25" w:rsidRDefault="0046337F" w:rsidP="008962F2">
            <w:pPr>
              <w:keepNext/>
              <w:rPr>
                <w:rFonts w:asciiTheme="minorHAnsi" w:hAnsiTheme="minorHAnsi" w:cstheme="minorHAnsi"/>
                <w:szCs w:val="20"/>
              </w:rPr>
            </w:pPr>
          </w:p>
        </w:tc>
        <w:tc>
          <w:tcPr>
            <w:tcW w:w="1804" w:type="dxa"/>
          </w:tcPr>
          <w:p w:rsidR="0046337F" w:rsidRPr="00C16C25" w:rsidRDefault="00A817A5" w:rsidP="008962F2">
            <w:pPr>
              <w:keepNex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rPr>
            </w:pPr>
            <w:r>
              <w:rPr>
                <w:rFonts w:asciiTheme="minorHAnsi" w:hAnsiTheme="minorHAnsi" w:cstheme="minorHAnsi"/>
                <w:szCs w:val="20"/>
              </w:rPr>
              <w:t>2015–16</w:t>
            </w:r>
          </w:p>
        </w:tc>
        <w:tc>
          <w:tcPr>
            <w:tcW w:w="1805" w:type="dxa"/>
          </w:tcPr>
          <w:p w:rsidR="0046337F" w:rsidRPr="00C16C25" w:rsidRDefault="0046337F" w:rsidP="008962F2">
            <w:pPr>
              <w:keepNex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C16C25">
              <w:rPr>
                <w:rFonts w:asciiTheme="minorHAnsi" w:hAnsiTheme="minorHAnsi" w:cstheme="minorHAnsi"/>
                <w:szCs w:val="20"/>
              </w:rPr>
              <w:t>2016</w:t>
            </w:r>
            <w:r w:rsidR="005862D3">
              <w:rPr>
                <w:rFonts w:asciiTheme="minorHAnsi" w:hAnsiTheme="minorHAnsi" w:cstheme="minorHAnsi"/>
                <w:szCs w:val="20"/>
              </w:rPr>
              <w:t>–1</w:t>
            </w:r>
            <w:r w:rsidRPr="00C16C25">
              <w:rPr>
                <w:rFonts w:asciiTheme="minorHAnsi" w:hAnsiTheme="minorHAnsi" w:cstheme="minorHAnsi"/>
                <w:szCs w:val="20"/>
              </w:rPr>
              <w:t>7</w:t>
            </w:r>
          </w:p>
        </w:tc>
        <w:tc>
          <w:tcPr>
            <w:tcW w:w="1805" w:type="dxa"/>
          </w:tcPr>
          <w:p w:rsidR="0046337F" w:rsidRPr="00C16C25" w:rsidRDefault="0046337F" w:rsidP="008962F2">
            <w:pPr>
              <w:keepNex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C16C25">
              <w:rPr>
                <w:rFonts w:asciiTheme="minorHAnsi" w:hAnsiTheme="minorHAnsi" w:cstheme="minorHAnsi"/>
                <w:szCs w:val="20"/>
              </w:rPr>
              <w:t>2017</w:t>
            </w:r>
            <w:r w:rsidR="005862D3">
              <w:rPr>
                <w:rFonts w:asciiTheme="minorHAnsi" w:hAnsiTheme="minorHAnsi" w:cstheme="minorHAnsi"/>
                <w:szCs w:val="20"/>
              </w:rPr>
              <w:t>–1</w:t>
            </w:r>
            <w:r w:rsidRPr="00C16C25">
              <w:rPr>
                <w:rFonts w:asciiTheme="minorHAnsi" w:hAnsiTheme="minorHAnsi" w:cstheme="minorHAnsi"/>
                <w:szCs w:val="20"/>
              </w:rPr>
              <w:t>8</w:t>
            </w:r>
          </w:p>
        </w:tc>
        <w:tc>
          <w:tcPr>
            <w:tcW w:w="1805" w:type="dxa"/>
          </w:tcPr>
          <w:p w:rsidR="0046337F" w:rsidRPr="00C16C25" w:rsidRDefault="00A817A5" w:rsidP="008962F2">
            <w:pPr>
              <w:keepNex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rPr>
            </w:pPr>
            <w:r>
              <w:rPr>
                <w:rFonts w:asciiTheme="minorHAnsi" w:hAnsiTheme="minorHAnsi" w:cstheme="minorHAnsi"/>
                <w:szCs w:val="20"/>
              </w:rPr>
              <w:t>2018–19</w:t>
            </w:r>
          </w:p>
        </w:tc>
      </w:tr>
      <w:tr w:rsidR="0046337F" w:rsidRPr="00252D8D" w:rsidTr="00D815FD">
        <w:tc>
          <w:tcPr>
            <w:cnfStyle w:val="001000000000" w:firstRow="0" w:lastRow="0" w:firstColumn="1" w:lastColumn="0" w:oddVBand="0" w:evenVBand="0" w:oddHBand="0" w:evenHBand="0" w:firstRowFirstColumn="0" w:firstRowLastColumn="0" w:lastRowFirstColumn="0" w:lastRowLastColumn="0"/>
            <w:tcW w:w="2023" w:type="dxa"/>
          </w:tcPr>
          <w:p w:rsidR="0046337F" w:rsidRPr="00C16C25" w:rsidRDefault="0046337F" w:rsidP="00D815FD">
            <w:pPr>
              <w:rPr>
                <w:rFonts w:asciiTheme="minorHAnsi" w:hAnsiTheme="minorHAnsi" w:cstheme="minorHAnsi"/>
                <w:szCs w:val="20"/>
              </w:rPr>
            </w:pPr>
            <w:r w:rsidRPr="00C16C25">
              <w:rPr>
                <w:rFonts w:asciiTheme="minorHAnsi" w:hAnsiTheme="minorHAnsi" w:cstheme="minorHAnsi"/>
                <w:szCs w:val="20"/>
              </w:rPr>
              <w:t>Revenue</w:t>
            </w:r>
          </w:p>
        </w:tc>
        <w:tc>
          <w:tcPr>
            <w:tcW w:w="1804" w:type="dxa"/>
            <w:vAlign w:val="bottom"/>
          </w:tcPr>
          <w:p w:rsidR="0046337F" w:rsidRPr="0046337F" w:rsidRDefault="0046337F" w:rsidP="00D815F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46337F">
              <w:rPr>
                <w:rFonts w:asciiTheme="minorHAnsi" w:hAnsiTheme="minorHAnsi" w:cstheme="minorHAnsi"/>
                <w:bCs/>
                <w:szCs w:val="20"/>
              </w:rPr>
              <w:t>33</w:t>
            </w:r>
            <w:r w:rsidR="00667A1F">
              <w:rPr>
                <w:rFonts w:asciiTheme="minorHAnsi" w:hAnsiTheme="minorHAnsi" w:cstheme="minorHAnsi"/>
                <w:bCs/>
                <w:szCs w:val="20"/>
              </w:rPr>
              <w:t>.</w:t>
            </w:r>
            <w:r w:rsidRPr="0046337F">
              <w:rPr>
                <w:rFonts w:asciiTheme="minorHAnsi" w:hAnsiTheme="minorHAnsi" w:cstheme="minorHAnsi"/>
                <w:bCs/>
                <w:szCs w:val="20"/>
              </w:rPr>
              <w:t>57</w:t>
            </w:r>
          </w:p>
        </w:tc>
        <w:tc>
          <w:tcPr>
            <w:tcW w:w="1805" w:type="dxa"/>
            <w:vAlign w:val="bottom"/>
          </w:tcPr>
          <w:p w:rsidR="0046337F" w:rsidRPr="0046337F" w:rsidRDefault="0046337F" w:rsidP="00D815F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46337F">
              <w:rPr>
                <w:rFonts w:asciiTheme="minorHAnsi" w:hAnsiTheme="minorHAnsi" w:cstheme="minorHAnsi"/>
                <w:bCs/>
                <w:szCs w:val="20"/>
              </w:rPr>
              <w:t>33</w:t>
            </w:r>
            <w:r w:rsidR="002D635D">
              <w:rPr>
                <w:rFonts w:asciiTheme="minorHAnsi" w:hAnsiTheme="minorHAnsi" w:cstheme="minorHAnsi"/>
                <w:bCs/>
                <w:szCs w:val="20"/>
              </w:rPr>
              <w:t>.</w:t>
            </w:r>
            <w:r w:rsidRPr="0046337F">
              <w:rPr>
                <w:rFonts w:asciiTheme="minorHAnsi" w:hAnsiTheme="minorHAnsi" w:cstheme="minorHAnsi"/>
                <w:bCs/>
                <w:szCs w:val="20"/>
              </w:rPr>
              <w:t>02</w:t>
            </w:r>
          </w:p>
        </w:tc>
        <w:tc>
          <w:tcPr>
            <w:tcW w:w="1805" w:type="dxa"/>
            <w:vAlign w:val="bottom"/>
          </w:tcPr>
          <w:p w:rsidR="0046337F" w:rsidRPr="0046337F" w:rsidRDefault="0046337F" w:rsidP="00D815F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46337F">
              <w:rPr>
                <w:rFonts w:asciiTheme="minorHAnsi" w:hAnsiTheme="minorHAnsi" w:cstheme="minorHAnsi"/>
                <w:bCs/>
                <w:szCs w:val="20"/>
              </w:rPr>
              <w:t>33</w:t>
            </w:r>
            <w:r w:rsidR="002D635D">
              <w:rPr>
                <w:rFonts w:asciiTheme="minorHAnsi" w:hAnsiTheme="minorHAnsi" w:cstheme="minorHAnsi"/>
                <w:bCs/>
                <w:szCs w:val="20"/>
              </w:rPr>
              <w:t>.</w:t>
            </w:r>
            <w:r w:rsidRPr="0046337F">
              <w:rPr>
                <w:rFonts w:asciiTheme="minorHAnsi" w:hAnsiTheme="minorHAnsi" w:cstheme="minorHAnsi"/>
                <w:bCs/>
                <w:szCs w:val="20"/>
              </w:rPr>
              <w:t>24</w:t>
            </w:r>
          </w:p>
        </w:tc>
        <w:tc>
          <w:tcPr>
            <w:tcW w:w="1805" w:type="dxa"/>
            <w:vAlign w:val="bottom"/>
          </w:tcPr>
          <w:p w:rsidR="0046337F" w:rsidRPr="0046337F" w:rsidRDefault="0046337F" w:rsidP="00D815F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46337F">
              <w:rPr>
                <w:rFonts w:asciiTheme="minorHAnsi" w:hAnsiTheme="minorHAnsi" w:cstheme="minorHAnsi"/>
                <w:bCs/>
                <w:szCs w:val="20"/>
              </w:rPr>
              <w:t>33</w:t>
            </w:r>
            <w:r w:rsidR="002D635D">
              <w:rPr>
                <w:rFonts w:asciiTheme="minorHAnsi" w:hAnsiTheme="minorHAnsi" w:cstheme="minorHAnsi"/>
                <w:bCs/>
                <w:szCs w:val="20"/>
              </w:rPr>
              <w:t>.</w:t>
            </w:r>
            <w:r w:rsidRPr="0046337F">
              <w:rPr>
                <w:rFonts w:asciiTheme="minorHAnsi" w:hAnsiTheme="minorHAnsi" w:cstheme="minorHAnsi"/>
                <w:bCs/>
                <w:szCs w:val="20"/>
              </w:rPr>
              <w:t>47</w:t>
            </w:r>
          </w:p>
        </w:tc>
      </w:tr>
    </w:tbl>
    <w:p w:rsidR="009753E6" w:rsidRDefault="009753E6" w:rsidP="009753E6">
      <w:pPr>
        <w:pStyle w:val="Heading2"/>
      </w:pPr>
      <w:r>
        <w:t>Capital investment</w:t>
      </w:r>
    </w:p>
    <w:p w:rsidR="009753E6" w:rsidRDefault="009753E6" w:rsidP="009753E6">
      <w:r>
        <w:t>We have a c</w:t>
      </w:r>
      <w:r w:rsidRPr="003C527D">
        <w:t xml:space="preserve">apital </w:t>
      </w:r>
      <w:r>
        <w:t>i</w:t>
      </w:r>
      <w:r w:rsidRPr="003C527D">
        <w:t xml:space="preserve">nvestment </w:t>
      </w:r>
      <w:r>
        <w:t>m</w:t>
      </w:r>
      <w:r w:rsidRPr="003C527D">
        <w:t xml:space="preserve">anagement </w:t>
      </w:r>
      <w:r>
        <w:t>p</w:t>
      </w:r>
      <w:r w:rsidRPr="003C527D">
        <w:t>lan to provide an affordable, forward looking strategy that integrate</w:t>
      </w:r>
      <w:r>
        <w:t>s</w:t>
      </w:r>
      <w:r w:rsidRPr="003C527D">
        <w:t xml:space="preserve"> capital asset rep</w:t>
      </w:r>
      <w:r>
        <w:t xml:space="preserve">lacement within the sustainable </w:t>
      </w:r>
      <w:r w:rsidRPr="003C527D">
        <w:t>budgeting and planning framework</w:t>
      </w:r>
      <w:r>
        <w:t>.</w:t>
      </w:r>
    </w:p>
    <w:p w:rsidR="009753E6" w:rsidRDefault="009753E6" w:rsidP="009753E6">
      <w:r>
        <w:t>Capital investment falls into four discrete categories, property, ICT investment, ICT refresh, and office equipment. Across these categories, strategic decisions will be made regarding the:</w:t>
      </w:r>
    </w:p>
    <w:p w:rsidR="009753E6" w:rsidRDefault="009753E6" w:rsidP="009753E6">
      <w:pPr>
        <w:pStyle w:val="Bulletpoint"/>
        <w:tabs>
          <w:tab w:val="left" w:pos="340"/>
        </w:tabs>
        <w:ind w:left="340" w:hanging="340"/>
      </w:pPr>
      <w:r>
        <w:t>nature and composition of asset replacement (for example, relocation of major property leases, or the replacement of a major ICT systems)</w:t>
      </w:r>
    </w:p>
    <w:p w:rsidR="009753E6" w:rsidRDefault="009753E6" w:rsidP="009753E6">
      <w:pPr>
        <w:pStyle w:val="Bulletpoint"/>
        <w:tabs>
          <w:tab w:val="left" w:pos="340"/>
        </w:tabs>
        <w:ind w:left="340" w:hanging="340"/>
      </w:pPr>
      <w:r>
        <w:t>prioritisation and scheduling of asset replacements within capital budget constraints</w:t>
      </w:r>
    </w:p>
    <w:p w:rsidR="009753E6" w:rsidRDefault="009753E6" w:rsidP="009753E6">
      <w:pPr>
        <w:pStyle w:val="Bulletpoint"/>
        <w:tabs>
          <w:tab w:val="left" w:pos="340"/>
        </w:tabs>
        <w:ind w:left="340" w:hanging="340"/>
      </w:pPr>
      <w:r>
        <w:t>method of acquisition</w:t>
      </w:r>
      <w:r w:rsidR="006075E0">
        <w:t>—</w:t>
      </w:r>
      <w:r w:rsidRPr="00567173">
        <w:t>capital constraints within a tight operating environment may predispose a lease option as opposed to a capital purchase</w:t>
      </w:r>
    </w:p>
    <w:p w:rsidR="009753E6" w:rsidRDefault="009753E6" w:rsidP="009753E6">
      <w:pPr>
        <w:pStyle w:val="Bulletpoint"/>
        <w:tabs>
          <w:tab w:val="left" w:pos="340"/>
        </w:tabs>
        <w:ind w:left="340" w:hanging="340"/>
      </w:pPr>
      <w:proofErr w:type="gramStart"/>
      <w:r>
        <w:t>funding</w:t>
      </w:r>
      <w:proofErr w:type="gramEnd"/>
      <w:r>
        <w:t xml:space="preserve"> source and budget context, particularly for projects identified as potential candidates for new policy proposal funding.</w:t>
      </w:r>
    </w:p>
    <w:p w:rsidR="009753E6" w:rsidRDefault="009753E6" w:rsidP="009753E6">
      <w:pPr>
        <w:pStyle w:val="Bulletpoint"/>
        <w:numPr>
          <w:ilvl w:val="0"/>
          <w:numId w:val="0"/>
        </w:numPr>
      </w:pPr>
      <w:r>
        <w:t xml:space="preserve">In 2017–18, we have </w:t>
      </w:r>
      <w:r w:rsidRPr="003C527D">
        <w:t>a number of major property refurbishments which will cause a capital funding shortfall</w:t>
      </w:r>
      <w:r>
        <w:t>. In 2018–</w:t>
      </w:r>
      <w:r w:rsidRPr="003C527D">
        <w:t xml:space="preserve">19 there are planned ICT </w:t>
      </w:r>
      <w:r>
        <w:t>i</w:t>
      </w:r>
      <w:r w:rsidRPr="003C527D">
        <w:t xml:space="preserve">nvestment projects which are unable to be funded within the </w:t>
      </w:r>
      <w:r w:rsidR="00E240FC">
        <w:t xml:space="preserve">agency’s </w:t>
      </w:r>
      <w:r w:rsidRPr="003C527D">
        <w:t>capital funding allocation</w:t>
      </w:r>
      <w:r>
        <w:t>.</w:t>
      </w:r>
    </w:p>
    <w:p w:rsidR="009753E6" w:rsidRDefault="009753E6" w:rsidP="009753E6">
      <w:pPr>
        <w:pStyle w:val="Bulletpoint"/>
        <w:numPr>
          <w:ilvl w:val="0"/>
          <w:numId w:val="0"/>
        </w:numPr>
      </w:pPr>
      <w:r w:rsidRPr="003C527D">
        <w:t xml:space="preserve">The property refurbishments are highlighted as major decision points and planning </w:t>
      </w:r>
      <w:r>
        <w:t xml:space="preserve">will </w:t>
      </w:r>
      <w:r w:rsidRPr="003C527D">
        <w:t xml:space="preserve">be undertaken </w:t>
      </w:r>
      <w:r>
        <w:t>to assess the agency’s ability to fund capital works from reserves and from lease incentives from landlords</w:t>
      </w:r>
      <w:r w:rsidRPr="003C527D">
        <w:t>.</w:t>
      </w:r>
    </w:p>
    <w:p w:rsidR="009753E6" w:rsidRPr="0009795D" w:rsidRDefault="009753E6" w:rsidP="009753E6">
      <w:pPr>
        <w:pStyle w:val="Heading2"/>
      </w:pPr>
      <w:r w:rsidRPr="0009795D">
        <w:t xml:space="preserve">ICT capability </w:t>
      </w:r>
    </w:p>
    <w:p w:rsidR="009753E6" w:rsidRDefault="009753E6" w:rsidP="009753E6">
      <w:r w:rsidRPr="0009795D">
        <w:t xml:space="preserve">The ICT Strategy underpins the goals and strategies of the </w:t>
      </w:r>
      <w:r>
        <w:t>ACCC and AER</w:t>
      </w:r>
      <w:r w:rsidRPr="0009795D">
        <w:t xml:space="preserve">. </w:t>
      </w:r>
      <w:r>
        <w:t xml:space="preserve">To fulfil its role within the </w:t>
      </w:r>
      <w:r w:rsidR="00E240FC">
        <w:t>agency</w:t>
      </w:r>
      <w:r>
        <w:t xml:space="preserve">, the ICT group must keep its costs to a minimum while delivering the full extent of the ICT needs of the organisation. This will be achieved by being a service broker rather than a service provider and will require establishing of procurement systems that provide ready access to the required skills in the market.  </w:t>
      </w:r>
    </w:p>
    <w:p w:rsidR="009753E6" w:rsidRPr="00094F94" w:rsidRDefault="009753E6" w:rsidP="009753E6">
      <w:r>
        <w:t>Service delivery will be focused in the following areas:</w:t>
      </w:r>
      <w:r w:rsidRPr="00094F94">
        <w:t xml:space="preserve"> </w:t>
      </w:r>
    </w:p>
    <w:p w:rsidR="009753E6" w:rsidRPr="00094F94" w:rsidRDefault="009753E6" w:rsidP="009753E6">
      <w:pPr>
        <w:pStyle w:val="Bulletpoint"/>
        <w:tabs>
          <w:tab w:val="left" w:pos="340"/>
        </w:tabs>
        <w:ind w:left="340" w:hanging="340"/>
      </w:pPr>
      <w:r w:rsidRPr="00094F94">
        <w:t>Information and knowledge management</w:t>
      </w:r>
      <w:r w:rsidR="006075E0">
        <w:t>—</w:t>
      </w:r>
      <w:r>
        <w:t>d</w:t>
      </w:r>
      <w:r w:rsidRPr="00094F94">
        <w:t>eliver integrated management of all</w:t>
      </w:r>
      <w:r w:rsidR="006075E0">
        <w:t xml:space="preserve"> information and digital assets.</w:t>
      </w:r>
    </w:p>
    <w:p w:rsidR="009753E6" w:rsidRPr="00094F94" w:rsidRDefault="009753E6" w:rsidP="009753E6">
      <w:pPr>
        <w:pStyle w:val="Bulletpoint"/>
        <w:tabs>
          <w:tab w:val="left" w:pos="340"/>
        </w:tabs>
        <w:ind w:left="340" w:hanging="340"/>
      </w:pPr>
      <w:r w:rsidRPr="00094F94">
        <w:t>Business intelligence and data management</w:t>
      </w:r>
      <w:r w:rsidR="006075E0">
        <w:t>—</w:t>
      </w:r>
      <w:r>
        <w:t>d</w:t>
      </w:r>
      <w:r w:rsidRPr="00094F94">
        <w:t>eliver an advanced search and analytics capability across all information sources</w:t>
      </w:r>
      <w:r w:rsidR="006075E0">
        <w:t>.</w:t>
      </w:r>
    </w:p>
    <w:p w:rsidR="009753E6" w:rsidRPr="00094F94" w:rsidRDefault="009753E6" w:rsidP="009753E6">
      <w:pPr>
        <w:pStyle w:val="Bulletpoint"/>
        <w:tabs>
          <w:tab w:val="left" w:pos="340"/>
        </w:tabs>
        <w:ind w:left="340" w:hanging="340"/>
      </w:pPr>
      <w:r w:rsidRPr="00094F94">
        <w:t>Business process automation (workflow and case management)</w:t>
      </w:r>
      <w:r w:rsidR="006075E0">
        <w:t>—</w:t>
      </w:r>
      <w:r w:rsidRPr="00094F94">
        <w:t>deliver configurable, flexible and integrated workflow management solutions to automate critical and repeatable business processes</w:t>
      </w:r>
      <w:r w:rsidR="006075E0">
        <w:t>.</w:t>
      </w:r>
    </w:p>
    <w:p w:rsidR="009753E6" w:rsidRPr="00094F94" w:rsidRDefault="009753E6" w:rsidP="009753E6">
      <w:pPr>
        <w:pStyle w:val="Bulletpoint"/>
        <w:tabs>
          <w:tab w:val="left" w:pos="340"/>
        </w:tabs>
        <w:ind w:left="340" w:hanging="340"/>
      </w:pPr>
      <w:r w:rsidRPr="00094F94">
        <w:lastRenderedPageBreak/>
        <w:t>Online communications</w:t>
      </w:r>
      <w:r w:rsidR="006075E0">
        <w:t>—</w:t>
      </w:r>
      <w:r w:rsidRPr="00094F94">
        <w:t>provide easy access to sophisticated, interactive online communication tools to support the delivery of online customer services and information</w:t>
      </w:r>
      <w:r w:rsidR="006075E0">
        <w:t>.</w:t>
      </w:r>
    </w:p>
    <w:p w:rsidR="009753E6" w:rsidRPr="00094F94" w:rsidRDefault="009753E6" w:rsidP="009753E6">
      <w:pPr>
        <w:pStyle w:val="Bulletpoint"/>
        <w:tabs>
          <w:tab w:val="left" w:pos="340"/>
        </w:tabs>
        <w:ind w:left="340" w:hanging="340"/>
      </w:pPr>
      <w:r w:rsidRPr="00094F94">
        <w:t>Mobile connectivity</w:t>
      </w:r>
      <w:r w:rsidR="006075E0">
        <w:t>—</w:t>
      </w:r>
      <w:proofErr w:type="gramStart"/>
      <w:r w:rsidRPr="00094F94">
        <w:t>provide</w:t>
      </w:r>
      <w:proofErr w:type="gramEnd"/>
      <w:r w:rsidRPr="00094F94">
        <w:t xml:space="preserve"> reliable, seamless and secure access to </w:t>
      </w:r>
      <w:r>
        <w:t xml:space="preserve">ICT </w:t>
      </w:r>
      <w:r w:rsidRPr="00094F94">
        <w:t>services from anywhere and at any time</w:t>
      </w:r>
      <w:r w:rsidR="006075E0">
        <w:t>.</w:t>
      </w:r>
    </w:p>
    <w:p w:rsidR="009753E6" w:rsidRDefault="009753E6" w:rsidP="009753E6">
      <w:pPr>
        <w:pStyle w:val="Bulletpoint"/>
        <w:tabs>
          <w:tab w:val="left" w:pos="340"/>
        </w:tabs>
        <w:ind w:left="340" w:hanging="340"/>
      </w:pPr>
      <w:r w:rsidRPr="00094F94">
        <w:t>Office productivity</w:t>
      </w:r>
      <w:r w:rsidR="006075E0">
        <w:t>—</w:t>
      </w:r>
      <w:proofErr w:type="gramStart"/>
      <w:r w:rsidRPr="00094F94">
        <w:t>provide</w:t>
      </w:r>
      <w:proofErr w:type="gramEnd"/>
      <w:r w:rsidRPr="00094F94">
        <w:t xml:space="preserve"> ready access to contemporary office productivity tools that employees need to communicate and execute everyday tasks</w:t>
      </w:r>
      <w:r w:rsidR="006075E0">
        <w:t>.</w:t>
      </w:r>
    </w:p>
    <w:p w:rsidR="0094173D" w:rsidRDefault="0094173D" w:rsidP="009753E6">
      <w:pPr>
        <w:pStyle w:val="Numbered11"/>
        <w:ind w:left="1021" w:hanging="1021"/>
      </w:pPr>
      <w:r>
        <w:t>Increased effectiveness through legal and economic capability</w:t>
      </w:r>
    </w:p>
    <w:p w:rsidR="0094173D" w:rsidRPr="00351BF2" w:rsidRDefault="0094173D" w:rsidP="0094173D">
      <w:pPr>
        <w:rPr>
          <w:strike/>
        </w:rPr>
      </w:pPr>
      <w:r>
        <w:t>The Legal and Economic Division is the in-house provider of legal and economic services to the ACCC and the AER. It consists of two Groups</w:t>
      </w:r>
      <w:r w:rsidR="006075E0">
        <w:t>—</w:t>
      </w:r>
      <w:r>
        <w:t xml:space="preserve">the Legal Group and the Economic Group. </w:t>
      </w:r>
      <w:r w:rsidRPr="00886334">
        <w:t xml:space="preserve">The Legal Group aims to assist the ACCC and AER in making legally informed decisions, and adopt processes for decision-making that are appropriate for a statutory agency. It assists in managing the agency’s litigation including through facilitating, as an informed purchaser, external legal services which are engaged to provide assistance in matters approaching litigation. It also assists in managing the agency’s corporate legal obligations. The Economic Group aims to facilitate the consistent and robust use of economic principles in decision making, increase the quality of economic analysis and contribute to economics-related learning and development initiatives. The Economic Group is committed to strengthening the quality of economic analysis in the organisation and to maximising the influence of economic principles. </w:t>
      </w:r>
    </w:p>
    <w:p w:rsidR="0094173D" w:rsidRDefault="0094173D" w:rsidP="0094173D">
      <w:r>
        <w:t xml:space="preserve">The Division’s objectives are directed at increasing ACCC and AER effectiveness, and providing expert advisory services and assistance to </w:t>
      </w:r>
      <w:r w:rsidR="00351BF2">
        <w:t xml:space="preserve">help the </w:t>
      </w:r>
      <w:r w:rsidR="00CB0D19">
        <w:t xml:space="preserve">agency </w:t>
      </w:r>
      <w:r w:rsidR="00351BF2">
        <w:t>achieve its strategies and deliverables.</w:t>
      </w:r>
      <w:r w:rsidR="00351BF2" w:rsidRPr="00886334">
        <w:t xml:space="preserve"> </w:t>
      </w:r>
      <w:r>
        <w:t>The Division aims to provide its legal and economic services efficiently, and assists the agency in obtaining value for money from its external legal and economic service providers. It also invests in projects to improve organisational effectiveness and improve the capability of the agency in making high quality decisions, through its contributions to legal and economic discussion, guidance and training.</w:t>
      </w:r>
    </w:p>
    <w:p w:rsidR="0094173D" w:rsidRDefault="0094173D" w:rsidP="009753E6">
      <w:pPr>
        <w:pStyle w:val="Numbered11"/>
        <w:ind w:left="1021" w:hanging="1021"/>
      </w:pPr>
      <w:r>
        <w:t>Effective outcomes through improved international cooperation</w:t>
      </w:r>
    </w:p>
    <w:p w:rsidR="00351BF2" w:rsidRDefault="0094173D" w:rsidP="0094173D">
      <w:r>
        <w:t xml:space="preserve">The International Unit supports the effective performance of the functions of the ACCC and AER by: </w:t>
      </w:r>
    </w:p>
    <w:p w:rsidR="00351BF2" w:rsidRDefault="0094173D" w:rsidP="00351BF2">
      <w:pPr>
        <w:pStyle w:val="Bulletpoint"/>
      </w:pPr>
      <w:r>
        <w:t>fostering cooperation with international counterparts to improve outcomes in matters involving extra-</w:t>
      </w:r>
      <w:r w:rsidR="00351BF2">
        <w:t>territorial evidence or conduct</w:t>
      </w:r>
      <w:r>
        <w:t xml:space="preserve"> </w:t>
      </w:r>
    </w:p>
    <w:p w:rsidR="00351BF2" w:rsidRDefault="0094173D" w:rsidP="00351BF2">
      <w:pPr>
        <w:pStyle w:val="Bulletpoint"/>
      </w:pPr>
      <w:r>
        <w:t>encouraging an international regulatory environment that enha</w:t>
      </w:r>
      <w:r w:rsidR="00351BF2">
        <w:t>nces the welfare of Australians</w:t>
      </w:r>
      <w:r>
        <w:t xml:space="preserve"> </w:t>
      </w:r>
    </w:p>
    <w:p w:rsidR="00351BF2" w:rsidRDefault="0094173D" w:rsidP="00351BF2">
      <w:pPr>
        <w:pStyle w:val="Bulletpoint"/>
      </w:pPr>
      <w:r>
        <w:t>promoting the ACCC</w:t>
      </w:r>
      <w:r w:rsidR="00CB0D19">
        <w:t xml:space="preserve"> and AER</w:t>
      </w:r>
      <w:r>
        <w:t xml:space="preserve"> in international fora to influence action supporting </w:t>
      </w:r>
      <w:r w:rsidR="00CB0D19">
        <w:t>agency</w:t>
      </w:r>
      <w:r>
        <w:t xml:space="preserve"> aims</w:t>
      </w:r>
      <w:r w:rsidR="00430E4E">
        <w:t>, and</w:t>
      </w:r>
      <w:r>
        <w:t xml:space="preserve"> </w:t>
      </w:r>
    </w:p>
    <w:p w:rsidR="00351BF2" w:rsidRDefault="0094173D" w:rsidP="00351BF2">
      <w:pPr>
        <w:pStyle w:val="Bulletpoint"/>
      </w:pPr>
      <w:proofErr w:type="gramStart"/>
      <w:r>
        <w:t>educating</w:t>
      </w:r>
      <w:proofErr w:type="gramEnd"/>
      <w:r>
        <w:t xml:space="preserve"> </w:t>
      </w:r>
      <w:r w:rsidR="00692220">
        <w:t xml:space="preserve">employees </w:t>
      </w:r>
      <w:r>
        <w:t xml:space="preserve">on international practices and developments to assist them in their daily work. </w:t>
      </w:r>
    </w:p>
    <w:p w:rsidR="0094173D" w:rsidRDefault="0094173D" w:rsidP="0094173D">
      <w:r>
        <w:t xml:space="preserve">The International Unit also supports the welfare of Australians more broadly by advising Treasury and </w:t>
      </w:r>
      <w:r w:rsidR="00430E4E">
        <w:t xml:space="preserve">the </w:t>
      </w:r>
      <w:r>
        <w:t>D</w:t>
      </w:r>
      <w:r w:rsidR="00430E4E">
        <w:t xml:space="preserve">epartment of </w:t>
      </w:r>
      <w:r>
        <w:t>F</w:t>
      </w:r>
      <w:r w:rsidR="00430E4E">
        <w:t xml:space="preserve">oreign </w:t>
      </w:r>
      <w:r>
        <w:t>A</w:t>
      </w:r>
      <w:r w:rsidR="00430E4E">
        <w:t xml:space="preserve">ffairs and </w:t>
      </w:r>
      <w:r>
        <w:t>T</w:t>
      </w:r>
      <w:r w:rsidR="00430E4E">
        <w:t>rade</w:t>
      </w:r>
      <w:r>
        <w:t xml:space="preserve"> on international competition issues for policy development and free trade negotiations and delivers technical assistance and capacity building to developing agencies in the region.</w:t>
      </w:r>
    </w:p>
    <w:p w:rsidR="00351BF2" w:rsidRDefault="00351BF2" w:rsidP="009753E6">
      <w:pPr>
        <w:pStyle w:val="Numbered11"/>
        <w:ind w:left="1021" w:hanging="1021"/>
      </w:pPr>
      <w:r>
        <w:t>Improved communication capability</w:t>
      </w:r>
    </w:p>
    <w:p w:rsidR="00BF6238" w:rsidRDefault="001A7CBE" w:rsidP="0078718C">
      <w:r w:rsidRPr="0078718C">
        <w:t>The ACCC</w:t>
      </w:r>
      <w:r w:rsidR="00990D09">
        <w:t xml:space="preserve"> and the AER </w:t>
      </w:r>
      <w:r w:rsidRPr="0078718C">
        <w:t xml:space="preserve">engage with a </w:t>
      </w:r>
      <w:r w:rsidR="009977D0" w:rsidRPr="0078718C">
        <w:t>broad</w:t>
      </w:r>
      <w:r w:rsidRPr="0078718C">
        <w:t xml:space="preserve"> range of audiences </w:t>
      </w:r>
      <w:r w:rsidR="009977D0" w:rsidRPr="0078718C">
        <w:t xml:space="preserve">and stakeholders </w:t>
      </w:r>
      <w:r w:rsidRPr="0078718C">
        <w:t>for a number of different purposes</w:t>
      </w:r>
      <w:r w:rsidR="00BF6238">
        <w:t>.</w:t>
      </w:r>
      <w:r w:rsidR="009977D0" w:rsidRPr="0078718C">
        <w:t xml:space="preserve"> </w:t>
      </w:r>
      <w:r w:rsidR="00BF6238">
        <w:t>We</w:t>
      </w:r>
      <w:r w:rsidR="009977D0" w:rsidRPr="0078718C">
        <w:t xml:space="preserve"> will continue to review and refine </w:t>
      </w:r>
      <w:r w:rsidR="00BF6238">
        <w:t>our</w:t>
      </w:r>
      <w:r w:rsidR="009977D0" w:rsidRPr="0078718C">
        <w:t xml:space="preserve"> </w:t>
      </w:r>
      <w:r w:rsidR="00BF6238">
        <w:t>advice, tools</w:t>
      </w:r>
      <w:r w:rsidR="00723C19">
        <w:t>,</w:t>
      </w:r>
      <w:r w:rsidR="00BF6238">
        <w:t xml:space="preserve"> services</w:t>
      </w:r>
      <w:r w:rsidR="00723C19">
        <w:t>,</w:t>
      </w:r>
      <w:r w:rsidR="00BF6238">
        <w:t xml:space="preserve"> </w:t>
      </w:r>
      <w:r w:rsidR="009977D0" w:rsidRPr="0078718C">
        <w:t xml:space="preserve">communication and engagement practices to help </w:t>
      </w:r>
      <w:r w:rsidR="00BF6238">
        <w:t xml:space="preserve">achieve </w:t>
      </w:r>
      <w:r w:rsidR="00723C19">
        <w:t>our</w:t>
      </w:r>
      <w:r w:rsidR="00BF6238">
        <w:t xml:space="preserve"> strategic goals. </w:t>
      </w:r>
    </w:p>
    <w:p w:rsidR="00BF6238" w:rsidRDefault="00BF6238" w:rsidP="0078718C">
      <w:r>
        <w:lastRenderedPageBreak/>
        <w:t xml:space="preserve">We will help </w:t>
      </w:r>
      <w:r w:rsidR="009977D0" w:rsidRPr="0078718C">
        <w:t xml:space="preserve">ensure consumers and businesses have access to information on their rights and obligations, and that we communicate clearly and effectively with regulated businesses. </w:t>
      </w:r>
    </w:p>
    <w:p w:rsidR="009977D0" w:rsidRDefault="009977D0" w:rsidP="0078718C">
      <w:r w:rsidRPr="0078718C">
        <w:t xml:space="preserve">We will respond to trends </w:t>
      </w:r>
      <w:r w:rsidR="00723C19">
        <w:t>such</w:t>
      </w:r>
      <w:r w:rsidRPr="0078718C">
        <w:t xml:space="preserve"> </w:t>
      </w:r>
      <w:r w:rsidR="00723C19">
        <w:t>as increasingly time-poor and fragmented</w:t>
      </w:r>
      <w:r w:rsidRPr="0078718C">
        <w:t xml:space="preserve"> audience</w:t>
      </w:r>
      <w:r w:rsidR="00723C19">
        <w:t>s,</w:t>
      </w:r>
      <w:r w:rsidRPr="0078718C">
        <w:t xml:space="preserve"> </w:t>
      </w:r>
      <w:r w:rsidR="00723C19">
        <w:t xml:space="preserve">and </w:t>
      </w:r>
      <w:r w:rsidRPr="0078718C">
        <w:t xml:space="preserve">increasing </w:t>
      </w:r>
      <w:r w:rsidR="00723C19">
        <w:t>use</w:t>
      </w:r>
      <w:r w:rsidRPr="0078718C">
        <w:t xml:space="preserve"> and demand for digital </w:t>
      </w:r>
      <w:r w:rsidR="00723C19">
        <w:t xml:space="preserve">services and </w:t>
      </w:r>
      <w:r w:rsidRPr="0078718C">
        <w:t>communications</w:t>
      </w:r>
      <w:r w:rsidR="00723C19">
        <w:t>,</w:t>
      </w:r>
      <w:r w:rsidRPr="0078718C">
        <w:t xml:space="preserve"> by</w:t>
      </w:r>
      <w:r w:rsidR="00BF6238">
        <w:t xml:space="preserve"> helping the </w:t>
      </w:r>
      <w:r w:rsidR="00CB0D19">
        <w:t>agency</w:t>
      </w:r>
      <w:r w:rsidRPr="0078718C">
        <w:t xml:space="preserve"> </w:t>
      </w:r>
      <w:r w:rsidR="00BF6238">
        <w:t xml:space="preserve">improve its </w:t>
      </w:r>
      <w:r w:rsidRPr="0078718C">
        <w:t xml:space="preserve">skills and offerings in these areas. </w:t>
      </w:r>
    </w:p>
    <w:p w:rsidR="009753E6" w:rsidRDefault="00F80ED9" w:rsidP="0078718C">
      <w:r>
        <w:t xml:space="preserve">Our engagement with stakeholders through the media is a significant element of </w:t>
      </w:r>
      <w:r w:rsidR="002B66EF">
        <w:t xml:space="preserve">our </w:t>
      </w:r>
      <w:r>
        <w:t xml:space="preserve">communication strategy. </w:t>
      </w:r>
      <w:r w:rsidR="00CB0D19">
        <w:t>The ACCC</w:t>
      </w:r>
      <w:r w:rsidR="00020879">
        <w:t xml:space="preserve"> intend</w:t>
      </w:r>
      <w:r w:rsidR="00CB0D19">
        <w:t>s</w:t>
      </w:r>
      <w:r w:rsidR="00020879">
        <w:t xml:space="preserve"> to publish a Media Code of Conduct during </w:t>
      </w:r>
      <w:r w:rsidR="00A817A5">
        <w:t>2015–16</w:t>
      </w:r>
      <w:r w:rsidR="00020879">
        <w:t xml:space="preserve"> that will outline </w:t>
      </w:r>
      <w:r w:rsidR="00020879" w:rsidRPr="00020879">
        <w:t>a policy for when and how the public</w:t>
      </w:r>
      <w:r w:rsidR="00CB0D19">
        <w:t xml:space="preserve"> is informed</w:t>
      </w:r>
      <w:r w:rsidR="00020879" w:rsidRPr="00020879">
        <w:t xml:space="preserve"> about </w:t>
      </w:r>
      <w:r w:rsidR="00CB0D19">
        <w:t>its</w:t>
      </w:r>
      <w:r w:rsidR="00020879" w:rsidRPr="00020879">
        <w:t xml:space="preserve"> work</w:t>
      </w:r>
      <w:r>
        <w:t xml:space="preserve">. </w:t>
      </w:r>
    </w:p>
    <w:p w:rsidR="000905F0" w:rsidRPr="0094173D" w:rsidRDefault="00D1503A" w:rsidP="00191E89">
      <w:pPr>
        <w:pStyle w:val="Numbered1"/>
      </w:pPr>
      <w:r w:rsidRPr="0094173D">
        <w:t>Risk oversight and management</w:t>
      </w:r>
    </w:p>
    <w:p w:rsidR="002B66EF" w:rsidRDefault="00020879" w:rsidP="0094173D">
      <w:r>
        <w:t xml:space="preserve">Each year, we consider our strategic priorities at an organisational-level and also in relation to </w:t>
      </w:r>
      <w:r w:rsidR="00F12131">
        <w:t xml:space="preserve">our </w:t>
      </w:r>
      <w:r>
        <w:t xml:space="preserve">specific functions. </w:t>
      </w:r>
    </w:p>
    <w:p w:rsidR="0094173D" w:rsidRDefault="0094173D" w:rsidP="0094173D">
      <w:r>
        <w:t xml:space="preserve">Risk management is an integral part of ensuring the </w:t>
      </w:r>
      <w:r w:rsidR="00CB0D19">
        <w:t xml:space="preserve">agency’s </w:t>
      </w:r>
      <w:r>
        <w:t>success in achieving</w:t>
      </w:r>
      <w:r w:rsidR="00990D09">
        <w:t xml:space="preserve"> </w:t>
      </w:r>
      <w:r w:rsidR="00020879">
        <w:t>our</w:t>
      </w:r>
      <w:r w:rsidR="00990D09">
        <w:t xml:space="preserve"> </w:t>
      </w:r>
      <w:r>
        <w:t>goals and priorities. The ACCC</w:t>
      </w:r>
      <w:r w:rsidR="00990D09">
        <w:t xml:space="preserve"> and the AER are </w:t>
      </w:r>
      <w:r>
        <w:t>committed to the management of risk and ha</w:t>
      </w:r>
      <w:r w:rsidR="00990D09">
        <w:t>ve</w:t>
      </w:r>
      <w:r>
        <w:t xml:space="preserve"> integrated effective risk management priorities into </w:t>
      </w:r>
      <w:r w:rsidR="001A0870">
        <w:t>our</w:t>
      </w:r>
      <w:r w:rsidR="00990D09">
        <w:t xml:space="preserve"> </w:t>
      </w:r>
      <w:r>
        <w:t xml:space="preserve">strategic planning, decision-making and business operations. This commitment is underpinned by a risk management framework modelled on best practice requirements of the Commonwealth Risk Management Policy. </w:t>
      </w:r>
    </w:p>
    <w:p w:rsidR="002B66EF" w:rsidRDefault="002B66EF" w:rsidP="002B66EF">
      <w:r>
        <w:t xml:space="preserve">The ACCC through the Commission and the AER through its Board also considers the key strategic risks that the organisation needs to manage proactively. These strategic risks then form part of the </w:t>
      </w:r>
      <w:r w:rsidR="00CB0D19">
        <w:t xml:space="preserve">agency’s </w:t>
      </w:r>
      <w:r>
        <w:t xml:space="preserve">overall risk management plan, which covers </w:t>
      </w:r>
      <w:r w:rsidR="00CB0D19">
        <w:t>agency</w:t>
      </w:r>
      <w:r>
        <w:t>-wide risks as well as risks at the divisional or functional level.</w:t>
      </w:r>
    </w:p>
    <w:p w:rsidR="0094173D" w:rsidRDefault="0094173D" w:rsidP="0094173D">
      <w:r>
        <w:t xml:space="preserve">The framework includes risk management policies and guidelines which communicate accountabilities, responsibilities and expectations of all </w:t>
      </w:r>
      <w:r w:rsidR="00692220">
        <w:t xml:space="preserve">employees </w:t>
      </w:r>
      <w:r>
        <w:t xml:space="preserve">in ensuring the management of risk across the </w:t>
      </w:r>
      <w:r w:rsidR="00BF17C0">
        <w:t>agency</w:t>
      </w:r>
      <w:r>
        <w:t>. Risks are managed by undertaking regular risk assessments and implementing practical and cost-effective risk treatments commensur</w:t>
      </w:r>
      <w:r w:rsidR="000F5A45">
        <w:t>ate with business need. We</w:t>
      </w:r>
      <w:r w:rsidR="00990D09">
        <w:t xml:space="preserve"> </w:t>
      </w:r>
      <w:r>
        <w:t xml:space="preserve">aim for best practice in controlling all risks by identifying priority exposures, addressing them through improvement strategies and contingency planning, and monitoring and reviewing ongoing risk. </w:t>
      </w:r>
    </w:p>
    <w:p w:rsidR="0094173D" w:rsidRDefault="0094173D" w:rsidP="0094173D">
      <w:r>
        <w:t xml:space="preserve">The link between risk and strategic objectives is reinforced through the maintenance of organisational and divisional strategic risk profiles and the updating of an operational risk management register. This is further supported by focused internal audits scrutinising compliance with relevant statutory requirements and performance expectations of key businesses processes. </w:t>
      </w:r>
    </w:p>
    <w:p w:rsidR="0094173D" w:rsidRPr="0094173D" w:rsidRDefault="0094173D" w:rsidP="0094173D">
      <w:pPr>
        <w:rPr>
          <w:highlight w:val="yellow"/>
        </w:rPr>
      </w:pPr>
      <w:r>
        <w:t xml:space="preserve">A future challenge for the </w:t>
      </w:r>
      <w:r w:rsidR="00BF17C0">
        <w:t xml:space="preserve">agency </w:t>
      </w:r>
      <w:r>
        <w:t xml:space="preserve">in </w:t>
      </w:r>
      <w:r w:rsidR="000F5A45">
        <w:t>our</w:t>
      </w:r>
      <w:r w:rsidR="00990D09">
        <w:t xml:space="preserve"> </w:t>
      </w:r>
      <w:r>
        <w:t xml:space="preserve">commitment to risk management is maintaining ongoing awareness and proactive action on identified risks. This will be achieved through the continued incorporation of effective risk management priorities into our culture and everyday business operations, and those of our contractors and business partners. Other areas of focus will be the ongoing education and training of managers and </w:t>
      </w:r>
      <w:r w:rsidR="00692220">
        <w:t xml:space="preserve">employees </w:t>
      </w:r>
      <w:r>
        <w:t>in risk management and further integrating risk management into the core business activities of the ACCC</w:t>
      </w:r>
      <w:r w:rsidR="00990D09">
        <w:t xml:space="preserve"> and the AER</w:t>
      </w:r>
      <w:r>
        <w:t>.</w:t>
      </w:r>
    </w:p>
    <w:p w:rsidR="00045E2A" w:rsidRDefault="00045E2A">
      <w:r>
        <w:br w:type="page"/>
      </w:r>
    </w:p>
    <w:p w:rsidR="00045E2A" w:rsidRDefault="008C2815" w:rsidP="00045E2A">
      <w:pPr>
        <w:pStyle w:val="Heading10"/>
      </w:pPr>
      <w:r>
        <w:lastRenderedPageBreak/>
        <w:t>Contact the ACCC</w:t>
      </w:r>
      <w:r w:rsidR="003A175B">
        <w:t xml:space="preserve"> and AER</w:t>
      </w:r>
    </w:p>
    <w:p w:rsidR="00045E2A" w:rsidRDefault="00045E2A" w:rsidP="00045E2A">
      <w:r>
        <w:t xml:space="preserve">The best way to contact the ACCC is through the </w:t>
      </w:r>
      <w:proofErr w:type="spellStart"/>
      <w:r>
        <w:t>Infocentre</w:t>
      </w:r>
      <w:proofErr w:type="spellEnd"/>
      <w:r>
        <w:t xml:space="preserve"> by </w:t>
      </w:r>
      <w:proofErr w:type="spellStart"/>
      <w:r>
        <w:t>webform</w:t>
      </w:r>
      <w:proofErr w:type="spellEnd"/>
      <w:r>
        <w:t xml:space="preserve"> or by telephone on 1300 302 502. Refer to the ACCC’s contact us page on our website, </w:t>
      </w:r>
      <w:r w:rsidRPr="005862D3">
        <w:t>www.accc.gov.au</w:t>
      </w:r>
      <w:r>
        <w:t>.</w:t>
      </w:r>
    </w:p>
    <w:p w:rsidR="003A175B" w:rsidRDefault="003A175B" w:rsidP="00045E2A">
      <w:r w:rsidRPr="003A175B">
        <w:t>For general</w:t>
      </w:r>
      <w:r>
        <w:t xml:space="preserve"> AER</w:t>
      </w:r>
      <w:r w:rsidRPr="003A175B">
        <w:t xml:space="preserve"> inquiries, please call 1300 585 165 and </w:t>
      </w:r>
      <w:r w:rsidR="00692220">
        <w:t>we</w:t>
      </w:r>
      <w:r w:rsidRPr="003A175B">
        <w:t xml:space="preserve"> will organise for an AER officer to contact you within 48 hours. Refer to the AER’s contact us page on our website, www.aer.gov.au.</w:t>
      </w:r>
    </w:p>
    <w:p w:rsidR="00045E2A" w:rsidRDefault="00045E2A" w:rsidP="00045E2A">
      <w:r>
        <w:t>The ACCC</w:t>
      </w:r>
      <w:r w:rsidR="003A175B">
        <w:t xml:space="preserve"> and AER</w:t>
      </w:r>
      <w:r>
        <w:t xml:space="preserve"> can also be contacted at</w:t>
      </w:r>
      <w:r w:rsidR="009C3D15">
        <w:t xml:space="preserve"> the following locations</w:t>
      </w:r>
      <w:r>
        <w:t>:</w:t>
      </w:r>
    </w:p>
    <w:p w:rsidR="00045E2A" w:rsidRDefault="00045E2A" w:rsidP="009D542D"/>
    <w:p w:rsidR="0010343D" w:rsidRDefault="0010343D" w:rsidP="00045E2A">
      <w:pPr>
        <w:pStyle w:val="Boxedtextheading"/>
        <w:sectPr w:rsidR="0010343D" w:rsidSect="00FC0D8A">
          <w:pgSz w:w="11906" w:h="16838"/>
          <w:pgMar w:top="1440" w:right="1440" w:bottom="1135" w:left="1440" w:header="708" w:footer="168" w:gutter="0"/>
          <w:cols w:space="708"/>
          <w:titlePg/>
          <w:docGrid w:linePitch="360"/>
        </w:sectPr>
      </w:pPr>
    </w:p>
    <w:p w:rsidR="00045E2A" w:rsidRDefault="003A175B" w:rsidP="009D542D">
      <w:pPr>
        <w:pStyle w:val="Boxedtextheading"/>
        <w:spacing w:before="240" w:after="0"/>
      </w:pPr>
      <w:r>
        <w:lastRenderedPageBreak/>
        <w:t xml:space="preserve">ACCC and AER </w:t>
      </w:r>
      <w:r w:rsidR="00045E2A">
        <w:t>Adelaide office</w:t>
      </w:r>
    </w:p>
    <w:p w:rsidR="00045E2A" w:rsidRDefault="00045E2A" w:rsidP="00045E2A">
      <w:pPr>
        <w:pStyle w:val="Boxedtext"/>
        <w:spacing w:before="0" w:after="0"/>
      </w:pPr>
      <w:r>
        <w:t>Level 2</w:t>
      </w:r>
    </w:p>
    <w:p w:rsidR="00045E2A" w:rsidRDefault="00045E2A" w:rsidP="00045E2A">
      <w:pPr>
        <w:pStyle w:val="Boxedtext"/>
        <w:spacing w:before="0" w:after="0"/>
      </w:pPr>
      <w:r>
        <w:t>19 Grenfell Street</w:t>
      </w:r>
    </w:p>
    <w:p w:rsidR="00045E2A" w:rsidRDefault="00045E2A" w:rsidP="00045E2A">
      <w:pPr>
        <w:pStyle w:val="Boxedtext"/>
        <w:spacing w:before="0" w:after="0"/>
      </w:pPr>
      <w:proofErr w:type="gramStart"/>
      <w:r>
        <w:t xml:space="preserve">Adelaide </w:t>
      </w:r>
      <w:r w:rsidR="009D542D">
        <w:t xml:space="preserve"> </w:t>
      </w:r>
      <w:r>
        <w:t>SA</w:t>
      </w:r>
      <w:proofErr w:type="gramEnd"/>
      <w:r w:rsidR="009D542D">
        <w:t xml:space="preserve">  </w:t>
      </w:r>
      <w:r>
        <w:t>5000</w:t>
      </w:r>
    </w:p>
    <w:p w:rsidR="00045E2A" w:rsidRDefault="00045E2A" w:rsidP="00045E2A">
      <w:pPr>
        <w:pStyle w:val="Boxedtext"/>
        <w:spacing w:before="0" w:after="0"/>
      </w:pPr>
      <w:r>
        <w:t>GPO Box 922</w:t>
      </w:r>
    </w:p>
    <w:p w:rsidR="00045E2A" w:rsidRDefault="00045E2A" w:rsidP="00045E2A">
      <w:pPr>
        <w:pStyle w:val="Boxedtext"/>
        <w:spacing w:before="0" w:after="0"/>
      </w:pPr>
      <w:proofErr w:type="gramStart"/>
      <w:r>
        <w:t xml:space="preserve">Adelaide </w:t>
      </w:r>
      <w:r w:rsidR="009D542D">
        <w:t xml:space="preserve"> </w:t>
      </w:r>
      <w:r>
        <w:t>SA</w:t>
      </w:r>
      <w:proofErr w:type="gramEnd"/>
      <w:r>
        <w:t xml:space="preserve"> </w:t>
      </w:r>
      <w:r w:rsidR="009D542D">
        <w:t xml:space="preserve"> </w:t>
      </w:r>
      <w:r>
        <w:t>5001</w:t>
      </w:r>
    </w:p>
    <w:p w:rsidR="00045E2A" w:rsidRDefault="003A175B" w:rsidP="009D542D">
      <w:pPr>
        <w:pStyle w:val="Boxedtextheading"/>
        <w:spacing w:before="240" w:after="0"/>
      </w:pPr>
      <w:r>
        <w:t xml:space="preserve">ACCC and AER </w:t>
      </w:r>
      <w:r w:rsidR="00045E2A">
        <w:t>Brisbane office</w:t>
      </w:r>
    </w:p>
    <w:p w:rsidR="00045E2A" w:rsidRDefault="00045E2A" w:rsidP="00045E2A">
      <w:pPr>
        <w:pStyle w:val="Boxedtext"/>
        <w:spacing w:before="0" w:after="0"/>
      </w:pPr>
      <w:r>
        <w:t>Level 24</w:t>
      </w:r>
    </w:p>
    <w:p w:rsidR="00045E2A" w:rsidRDefault="00045E2A" w:rsidP="00045E2A">
      <w:pPr>
        <w:pStyle w:val="Boxedtext"/>
        <w:spacing w:before="0" w:after="0"/>
      </w:pPr>
      <w:r>
        <w:t>400 George Street</w:t>
      </w:r>
    </w:p>
    <w:p w:rsidR="00045E2A" w:rsidRDefault="00045E2A" w:rsidP="00045E2A">
      <w:pPr>
        <w:pStyle w:val="Boxedtext"/>
        <w:spacing w:before="0" w:after="0"/>
      </w:pPr>
      <w:proofErr w:type="gramStart"/>
      <w:r>
        <w:t xml:space="preserve">Brisbane </w:t>
      </w:r>
      <w:r w:rsidR="009D542D">
        <w:t xml:space="preserve"> </w:t>
      </w:r>
      <w:r>
        <w:t>Q</w:t>
      </w:r>
      <w:r w:rsidR="005862D3">
        <w:t>ld</w:t>
      </w:r>
      <w:proofErr w:type="gramEnd"/>
      <w:r>
        <w:t xml:space="preserve"> </w:t>
      </w:r>
      <w:r w:rsidR="009D542D">
        <w:t xml:space="preserve"> </w:t>
      </w:r>
      <w:r>
        <w:t>4000</w:t>
      </w:r>
    </w:p>
    <w:p w:rsidR="00045E2A" w:rsidRDefault="00045E2A" w:rsidP="00045E2A">
      <w:pPr>
        <w:pStyle w:val="Boxedtext"/>
        <w:spacing w:before="0" w:after="0"/>
      </w:pPr>
      <w:r>
        <w:t>PO Box 12241</w:t>
      </w:r>
    </w:p>
    <w:p w:rsidR="00045E2A" w:rsidRDefault="00045E2A" w:rsidP="00045E2A">
      <w:pPr>
        <w:pStyle w:val="Boxedtext"/>
        <w:spacing w:before="0" w:after="0"/>
      </w:pPr>
      <w:r>
        <w:t>George Street Post Shop</w:t>
      </w:r>
    </w:p>
    <w:p w:rsidR="00045E2A" w:rsidRDefault="00045E2A" w:rsidP="00045E2A">
      <w:pPr>
        <w:pStyle w:val="Boxedtext"/>
        <w:spacing w:before="0" w:after="0"/>
      </w:pPr>
      <w:proofErr w:type="gramStart"/>
      <w:r>
        <w:t xml:space="preserve">Brisbane </w:t>
      </w:r>
      <w:r w:rsidR="009D542D">
        <w:t xml:space="preserve"> </w:t>
      </w:r>
      <w:r>
        <w:t>Q</w:t>
      </w:r>
      <w:r w:rsidR="006075E0">
        <w:t>ld</w:t>
      </w:r>
      <w:proofErr w:type="gramEnd"/>
      <w:r>
        <w:t xml:space="preserve"> </w:t>
      </w:r>
      <w:r w:rsidR="009D542D">
        <w:t xml:space="preserve"> </w:t>
      </w:r>
      <w:r>
        <w:t>4000</w:t>
      </w:r>
    </w:p>
    <w:p w:rsidR="00045E2A" w:rsidRDefault="003A175B" w:rsidP="009D542D">
      <w:pPr>
        <w:pStyle w:val="Boxedtextheading"/>
        <w:spacing w:before="240" w:after="0"/>
      </w:pPr>
      <w:r>
        <w:t xml:space="preserve">ACCC and AER </w:t>
      </w:r>
      <w:r w:rsidR="00045E2A">
        <w:t>Canberra office</w:t>
      </w:r>
    </w:p>
    <w:p w:rsidR="00045E2A" w:rsidRDefault="00045E2A" w:rsidP="00045E2A">
      <w:pPr>
        <w:pStyle w:val="Boxedtext"/>
        <w:spacing w:before="0" w:after="0"/>
      </w:pPr>
      <w:r>
        <w:t>23 Marcus Clarke Street</w:t>
      </w:r>
    </w:p>
    <w:p w:rsidR="00045E2A" w:rsidRDefault="00045E2A" w:rsidP="00045E2A">
      <w:pPr>
        <w:pStyle w:val="Boxedtext"/>
        <w:spacing w:before="0" w:after="0"/>
      </w:pPr>
      <w:proofErr w:type="gramStart"/>
      <w:r>
        <w:t xml:space="preserve">Canberra </w:t>
      </w:r>
      <w:r w:rsidR="009D542D">
        <w:t xml:space="preserve"> </w:t>
      </w:r>
      <w:r>
        <w:t>ACT</w:t>
      </w:r>
      <w:proofErr w:type="gramEnd"/>
      <w:r>
        <w:t xml:space="preserve"> </w:t>
      </w:r>
      <w:r w:rsidR="009D542D">
        <w:t xml:space="preserve"> </w:t>
      </w:r>
      <w:r>
        <w:t>2601</w:t>
      </w:r>
    </w:p>
    <w:p w:rsidR="00045E2A" w:rsidRDefault="00045E2A" w:rsidP="00045E2A">
      <w:pPr>
        <w:pStyle w:val="Boxedtext"/>
        <w:spacing w:before="0" w:after="0"/>
      </w:pPr>
      <w:r>
        <w:t>GPO Box 3131</w:t>
      </w:r>
    </w:p>
    <w:p w:rsidR="00045E2A" w:rsidRDefault="00045E2A" w:rsidP="00045E2A">
      <w:pPr>
        <w:pStyle w:val="Boxedtext"/>
        <w:spacing w:before="0" w:after="0"/>
      </w:pPr>
      <w:proofErr w:type="gramStart"/>
      <w:r>
        <w:t xml:space="preserve">Canberra </w:t>
      </w:r>
      <w:r w:rsidR="009D542D">
        <w:t xml:space="preserve"> </w:t>
      </w:r>
      <w:r>
        <w:t>ACT</w:t>
      </w:r>
      <w:proofErr w:type="gramEnd"/>
      <w:r>
        <w:t xml:space="preserve"> </w:t>
      </w:r>
      <w:r w:rsidR="009D542D">
        <w:t xml:space="preserve"> </w:t>
      </w:r>
      <w:r>
        <w:t>2601</w:t>
      </w:r>
    </w:p>
    <w:p w:rsidR="00045E2A" w:rsidRDefault="003A175B" w:rsidP="009D542D">
      <w:pPr>
        <w:pStyle w:val="Boxedtextheading"/>
        <w:spacing w:before="240" w:after="0"/>
      </w:pPr>
      <w:r>
        <w:t xml:space="preserve">ACCC </w:t>
      </w:r>
      <w:r w:rsidR="00045E2A">
        <w:t>Darwin office</w:t>
      </w:r>
    </w:p>
    <w:p w:rsidR="00045E2A" w:rsidRDefault="00045E2A" w:rsidP="00045E2A">
      <w:pPr>
        <w:pStyle w:val="Boxedtext"/>
        <w:spacing w:before="0" w:after="0"/>
      </w:pPr>
      <w:r>
        <w:t>Level 8</w:t>
      </w:r>
      <w:r w:rsidR="005862D3">
        <w:t>,</w:t>
      </w:r>
      <w:r>
        <w:t xml:space="preserve"> National Mutual Centre </w:t>
      </w:r>
    </w:p>
    <w:p w:rsidR="00045E2A" w:rsidRDefault="00045E2A" w:rsidP="00045E2A">
      <w:pPr>
        <w:pStyle w:val="Boxedtext"/>
        <w:spacing w:before="0" w:after="0"/>
      </w:pPr>
      <w:r>
        <w:t>9</w:t>
      </w:r>
      <w:r w:rsidR="005862D3">
        <w:t>–1</w:t>
      </w:r>
      <w:r>
        <w:t xml:space="preserve">1 </w:t>
      </w:r>
      <w:proofErr w:type="spellStart"/>
      <w:r>
        <w:t>Cavenagh</w:t>
      </w:r>
      <w:proofErr w:type="spellEnd"/>
      <w:r>
        <w:t xml:space="preserve"> St </w:t>
      </w:r>
    </w:p>
    <w:p w:rsidR="00045E2A" w:rsidRDefault="00045E2A" w:rsidP="00045E2A">
      <w:pPr>
        <w:pStyle w:val="Boxedtext"/>
        <w:spacing w:before="0" w:after="0"/>
      </w:pPr>
      <w:proofErr w:type="gramStart"/>
      <w:r>
        <w:t>Darwin</w:t>
      </w:r>
      <w:r w:rsidR="009D542D">
        <w:t xml:space="preserve"> </w:t>
      </w:r>
      <w:r>
        <w:t xml:space="preserve"> NT</w:t>
      </w:r>
      <w:proofErr w:type="gramEnd"/>
      <w:r w:rsidR="009D542D">
        <w:t xml:space="preserve"> </w:t>
      </w:r>
      <w:r>
        <w:t xml:space="preserve"> 0800</w:t>
      </w:r>
    </w:p>
    <w:p w:rsidR="00045E2A" w:rsidRDefault="00045E2A" w:rsidP="00045E2A">
      <w:pPr>
        <w:pStyle w:val="Boxedtext"/>
        <w:spacing w:before="0" w:after="0"/>
      </w:pPr>
      <w:r>
        <w:t xml:space="preserve">GPO Box 3056 </w:t>
      </w:r>
    </w:p>
    <w:p w:rsidR="00045E2A" w:rsidRDefault="00045E2A" w:rsidP="00045E2A">
      <w:pPr>
        <w:pStyle w:val="Boxedtext"/>
        <w:spacing w:before="0" w:after="0"/>
      </w:pPr>
      <w:proofErr w:type="gramStart"/>
      <w:r>
        <w:t xml:space="preserve">Darwin </w:t>
      </w:r>
      <w:r w:rsidR="009D542D">
        <w:t xml:space="preserve"> </w:t>
      </w:r>
      <w:r>
        <w:t>NT</w:t>
      </w:r>
      <w:proofErr w:type="gramEnd"/>
      <w:r w:rsidR="009D542D">
        <w:t xml:space="preserve"> </w:t>
      </w:r>
      <w:r>
        <w:t xml:space="preserve"> 0801</w:t>
      </w:r>
    </w:p>
    <w:p w:rsidR="00045E2A" w:rsidRDefault="003A175B" w:rsidP="009D542D">
      <w:pPr>
        <w:pStyle w:val="Boxedtextheading"/>
        <w:spacing w:before="240" w:after="0"/>
      </w:pPr>
      <w:r>
        <w:t xml:space="preserve">ACCC </w:t>
      </w:r>
      <w:r w:rsidR="00045E2A">
        <w:t>Hobart office</w:t>
      </w:r>
    </w:p>
    <w:p w:rsidR="00045E2A" w:rsidRDefault="00045E2A" w:rsidP="00045E2A">
      <w:pPr>
        <w:pStyle w:val="Boxedtext"/>
        <w:spacing w:before="0" w:after="0"/>
      </w:pPr>
      <w:r>
        <w:t>Level 3</w:t>
      </w:r>
    </w:p>
    <w:p w:rsidR="00045E2A" w:rsidRDefault="00045E2A" w:rsidP="00045E2A">
      <w:pPr>
        <w:pStyle w:val="Boxedtext"/>
        <w:spacing w:before="0" w:after="0"/>
      </w:pPr>
      <w:r>
        <w:t>70 Collins Street</w:t>
      </w:r>
    </w:p>
    <w:p w:rsidR="00045E2A" w:rsidRDefault="00045E2A" w:rsidP="00045E2A">
      <w:pPr>
        <w:pStyle w:val="Boxedtext"/>
        <w:spacing w:before="0" w:after="0"/>
      </w:pPr>
      <w:r>
        <w:t>(</w:t>
      </w:r>
      <w:proofErr w:type="spellStart"/>
      <w:r>
        <w:t>Cnr</w:t>
      </w:r>
      <w:proofErr w:type="spellEnd"/>
      <w:r>
        <w:t xml:space="preserve"> Collins &amp; Argyle Streets)</w:t>
      </w:r>
    </w:p>
    <w:p w:rsidR="00045E2A" w:rsidRDefault="00045E2A" w:rsidP="00045E2A">
      <w:pPr>
        <w:pStyle w:val="Boxedtext"/>
        <w:spacing w:before="0" w:after="0"/>
      </w:pPr>
      <w:r>
        <w:t xml:space="preserve">Hobart </w:t>
      </w:r>
      <w:proofErr w:type="spellStart"/>
      <w:proofErr w:type="gramStart"/>
      <w:r>
        <w:t>Tas</w:t>
      </w:r>
      <w:proofErr w:type="spellEnd"/>
      <w:proofErr w:type="gramEnd"/>
      <w:r>
        <w:t xml:space="preserve"> 7000</w:t>
      </w:r>
    </w:p>
    <w:p w:rsidR="00045E2A" w:rsidRDefault="00045E2A" w:rsidP="00045E2A">
      <w:pPr>
        <w:pStyle w:val="Boxedtext"/>
        <w:spacing w:before="0" w:after="0"/>
      </w:pPr>
      <w:r>
        <w:t>GPO Box 1210</w:t>
      </w:r>
    </w:p>
    <w:p w:rsidR="00045E2A" w:rsidRDefault="00045E2A" w:rsidP="00045E2A">
      <w:pPr>
        <w:pStyle w:val="Boxedtext"/>
        <w:spacing w:before="0" w:after="0"/>
      </w:pPr>
      <w:proofErr w:type="gramStart"/>
      <w:r>
        <w:t xml:space="preserve">Hobart </w:t>
      </w:r>
      <w:r w:rsidR="009D542D">
        <w:t xml:space="preserve"> </w:t>
      </w:r>
      <w:proofErr w:type="spellStart"/>
      <w:r>
        <w:t>T</w:t>
      </w:r>
      <w:r w:rsidR="006075E0">
        <w:t>as</w:t>
      </w:r>
      <w:proofErr w:type="spellEnd"/>
      <w:proofErr w:type="gramEnd"/>
      <w:r>
        <w:t xml:space="preserve"> </w:t>
      </w:r>
      <w:r w:rsidR="009D542D">
        <w:t xml:space="preserve"> </w:t>
      </w:r>
      <w:r>
        <w:t>7001</w:t>
      </w:r>
    </w:p>
    <w:p w:rsidR="00045E2A" w:rsidRDefault="003A175B" w:rsidP="001C0410">
      <w:pPr>
        <w:pStyle w:val="Boxedtextheading"/>
        <w:spacing w:before="0" w:after="0"/>
      </w:pPr>
      <w:r>
        <w:lastRenderedPageBreak/>
        <w:t xml:space="preserve">ACCC and AER </w:t>
      </w:r>
      <w:r w:rsidR="00045E2A">
        <w:t xml:space="preserve">Melbourne office </w:t>
      </w:r>
    </w:p>
    <w:p w:rsidR="00045E2A" w:rsidRDefault="00045E2A" w:rsidP="00045E2A">
      <w:pPr>
        <w:pStyle w:val="Boxedtext"/>
        <w:spacing w:before="0" w:after="0"/>
      </w:pPr>
      <w:r>
        <w:t xml:space="preserve">Level 35, </w:t>
      </w:r>
      <w:proofErr w:type="gramStart"/>
      <w:r>
        <w:t>The</w:t>
      </w:r>
      <w:proofErr w:type="gramEnd"/>
      <w:r>
        <w:t xml:space="preserve"> Tower</w:t>
      </w:r>
    </w:p>
    <w:p w:rsidR="00045E2A" w:rsidRDefault="00045E2A" w:rsidP="00045E2A">
      <w:pPr>
        <w:pStyle w:val="Boxedtext"/>
        <w:spacing w:before="0" w:after="0"/>
      </w:pPr>
      <w:r>
        <w:t>360 Elizabeth Street</w:t>
      </w:r>
    </w:p>
    <w:p w:rsidR="00045E2A" w:rsidRDefault="00045E2A" w:rsidP="00045E2A">
      <w:pPr>
        <w:pStyle w:val="Boxedtext"/>
        <w:spacing w:before="0" w:after="0"/>
      </w:pPr>
      <w:r>
        <w:t>Melbourne Central</w:t>
      </w:r>
    </w:p>
    <w:p w:rsidR="00045E2A" w:rsidRDefault="00045E2A" w:rsidP="00045E2A">
      <w:pPr>
        <w:pStyle w:val="Boxedtext"/>
        <w:spacing w:before="0" w:after="0"/>
      </w:pPr>
      <w:proofErr w:type="gramStart"/>
      <w:r>
        <w:t xml:space="preserve">Melbourne </w:t>
      </w:r>
      <w:r w:rsidR="009D542D">
        <w:t xml:space="preserve"> </w:t>
      </w:r>
      <w:r>
        <w:t>V</w:t>
      </w:r>
      <w:r w:rsidR="006075E0">
        <w:t>ic</w:t>
      </w:r>
      <w:proofErr w:type="gramEnd"/>
      <w:r>
        <w:t xml:space="preserve"> </w:t>
      </w:r>
      <w:r w:rsidR="009D542D">
        <w:t xml:space="preserve"> </w:t>
      </w:r>
      <w:r>
        <w:t>3000</w:t>
      </w:r>
    </w:p>
    <w:p w:rsidR="00045E2A" w:rsidRDefault="00045E2A" w:rsidP="00045E2A">
      <w:pPr>
        <w:pStyle w:val="Boxedtext"/>
        <w:spacing w:before="0" w:after="0"/>
      </w:pPr>
      <w:r>
        <w:t>GPO Box 520</w:t>
      </w:r>
    </w:p>
    <w:p w:rsidR="00045E2A" w:rsidRDefault="00045E2A" w:rsidP="00045E2A">
      <w:pPr>
        <w:pStyle w:val="Boxedtext"/>
        <w:spacing w:before="0" w:after="0"/>
      </w:pPr>
      <w:proofErr w:type="gramStart"/>
      <w:r>
        <w:t xml:space="preserve">Melbourne </w:t>
      </w:r>
      <w:r w:rsidR="009D542D">
        <w:t xml:space="preserve"> </w:t>
      </w:r>
      <w:r>
        <w:t>V</w:t>
      </w:r>
      <w:r w:rsidR="006075E0">
        <w:t>ic</w:t>
      </w:r>
      <w:proofErr w:type="gramEnd"/>
      <w:r>
        <w:t xml:space="preserve"> </w:t>
      </w:r>
      <w:r w:rsidR="009D542D">
        <w:t xml:space="preserve"> </w:t>
      </w:r>
      <w:r>
        <w:t>3001</w:t>
      </w:r>
    </w:p>
    <w:p w:rsidR="00045E2A" w:rsidRDefault="003A175B" w:rsidP="009D542D">
      <w:pPr>
        <w:pStyle w:val="Boxedtextheading"/>
        <w:spacing w:before="240" w:after="0"/>
      </w:pPr>
      <w:r>
        <w:t xml:space="preserve">ACCC </w:t>
      </w:r>
      <w:r w:rsidR="00045E2A">
        <w:t>Perth office</w:t>
      </w:r>
    </w:p>
    <w:p w:rsidR="00045E2A" w:rsidRDefault="00045E2A" w:rsidP="00045E2A">
      <w:pPr>
        <w:pStyle w:val="Boxedtext"/>
        <w:spacing w:before="0" w:after="0"/>
      </w:pPr>
      <w:r>
        <w:t>3rd floor, East Point Plaza</w:t>
      </w:r>
    </w:p>
    <w:p w:rsidR="00045E2A" w:rsidRDefault="00045E2A" w:rsidP="00045E2A">
      <w:pPr>
        <w:pStyle w:val="Boxedtext"/>
        <w:spacing w:before="0" w:after="0"/>
      </w:pPr>
      <w:r>
        <w:t>233 Adelaide Terrace</w:t>
      </w:r>
    </w:p>
    <w:p w:rsidR="00045E2A" w:rsidRDefault="00045E2A" w:rsidP="00045E2A">
      <w:pPr>
        <w:pStyle w:val="Boxedtext"/>
        <w:spacing w:before="0" w:after="0"/>
      </w:pPr>
      <w:proofErr w:type="gramStart"/>
      <w:r>
        <w:t xml:space="preserve">Perth </w:t>
      </w:r>
      <w:r w:rsidR="009D542D">
        <w:t xml:space="preserve"> </w:t>
      </w:r>
      <w:r>
        <w:t>WA</w:t>
      </w:r>
      <w:proofErr w:type="gramEnd"/>
      <w:r>
        <w:t xml:space="preserve"> </w:t>
      </w:r>
      <w:r w:rsidR="009D542D">
        <w:t xml:space="preserve"> </w:t>
      </w:r>
      <w:r>
        <w:t>6000</w:t>
      </w:r>
    </w:p>
    <w:p w:rsidR="00045E2A" w:rsidRDefault="00045E2A" w:rsidP="00045E2A">
      <w:pPr>
        <w:pStyle w:val="Boxedtext"/>
        <w:spacing w:before="0" w:after="0"/>
      </w:pPr>
      <w:r>
        <w:t>PO Box 6381</w:t>
      </w:r>
    </w:p>
    <w:p w:rsidR="00045E2A" w:rsidRDefault="00045E2A" w:rsidP="00045E2A">
      <w:pPr>
        <w:pStyle w:val="Boxedtext"/>
        <w:spacing w:before="0" w:after="0"/>
      </w:pPr>
      <w:r>
        <w:t xml:space="preserve">East </w:t>
      </w:r>
      <w:proofErr w:type="gramStart"/>
      <w:r>
        <w:t xml:space="preserve">Perth </w:t>
      </w:r>
      <w:r w:rsidR="009D542D">
        <w:t xml:space="preserve"> </w:t>
      </w:r>
      <w:r>
        <w:t>WA</w:t>
      </w:r>
      <w:proofErr w:type="gramEnd"/>
      <w:r>
        <w:t xml:space="preserve"> </w:t>
      </w:r>
      <w:r w:rsidR="009D542D">
        <w:t xml:space="preserve"> </w:t>
      </w:r>
      <w:r>
        <w:t>6892</w:t>
      </w:r>
    </w:p>
    <w:p w:rsidR="00045E2A" w:rsidRDefault="003A175B" w:rsidP="009D542D">
      <w:pPr>
        <w:pStyle w:val="Boxedtextheading"/>
        <w:spacing w:before="240" w:after="0"/>
      </w:pPr>
      <w:r>
        <w:t xml:space="preserve">ACCC and AER </w:t>
      </w:r>
      <w:r w:rsidR="00045E2A">
        <w:t>Sydney office</w:t>
      </w:r>
    </w:p>
    <w:p w:rsidR="00045E2A" w:rsidRDefault="00045E2A" w:rsidP="00045E2A">
      <w:pPr>
        <w:pStyle w:val="Boxedtext"/>
        <w:spacing w:before="0" w:after="0"/>
      </w:pPr>
      <w:r>
        <w:t>Level 20</w:t>
      </w:r>
    </w:p>
    <w:p w:rsidR="00045E2A" w:rsidRDefault="00045E2A" w:rsidP="00045E2A">
      <w:pPr>
        <w:pStyle w:val="Boxedtext"/>
        <w:spacing w:before="0" w:after="0"/>
      </w:pPr>
      <w:r>
        <w:t>175 Pitt Street</w:t>
      </w:r>
    </w:p>
    <w:p w:rsidR="00045E2A" w:rsidRDefault="00045E2A" w:rsidP="00045E2A">
      <w:pPr>
        <w:pStyle w:val="Boxedtext"/>
        <w:spacing w:before="0" w:after="0"/>
      </w:pPr>
      <w:proofErr w:type="gramStart"/>
      <w:r>
        <w:t xml:space="preserve">Sydney </w:t>
      </w:r>
      <w:r w:rsidR="009D542D">
        <w:t xml:space="preserve"> </w:t>
      </w:r>
      <w:r>
        <w:t>NSW</w:t>
      </w:r>
      <w:proofErr w:type="gramEnd"/>
      <w:r w:rsidR="009D542D">
        <w:t xml:space="preserve"> </w:t>
      </w:r>
      <w:r>
        <w:t xml:space="preserve"> 2000</w:t>
      </w:r>
    </w:p>
    <w:p w:rsidR="00045E2A" w:rsidRDefault="00045E2A" w:rsidP="00045E2A">
      <w:pPr>
        <w:pStyle w:val="Boxedtext"/>
        <w:spacing w:before="0" w:after="0"/>
      </w:pPr>
      <w:r>
        <w:t>GPO Box 3648</w:t>
      </w:r>
    </w:p>
    <w:p w:rsidR="00045E2A" w:rsidRDefault="00045E2A" w:rsidP="00045E2A">
      <w:pPr>
        <w:pStyle w:val="Boxedtext"/>
        <w:spacing w:before="0" w:after="0"/>
      </w:pPr>
      <w:proofErr w:type="gramStart"/>
      <w:r>
        <w:t>Sydney</w:t>
      </w:r>
      <w:r w:rsidR="009D542D">
        <w:t xml:space="preserve"> </w:t>
      </w:r>
      <w:r>
        <w:t xml:space="preserve"> NSW</w:t>
      </w:r>
      <w:proofErr w:type="gramEnd"/>
      <w:r w:rsidR="009D542D">
        <w:t xml:space="preserve"> </w:t>
      </w:r>
      <w:r>
        <w:t xml:space="preserve"> 2001</w:t>
      </w:r>
    </w:p>
    <w:p w:rsidR="00045E2A" w:rsidRDefault="00045E2A" w:rsidP="00045E2A">
      <w:pPr>
        <w:pStyle w:val="Boxedtext"/>
        <w:spacing w:before="0" w:after="0"/>
      </w:pPr>
    </w:p>
    <w:p w:rsidR="00045E2A" w:rsidRDefault="003A175B" w:rsidP="009D542D">
      <w:pPr>
        <w:pStyle w:val="Boxedtextheading"/>
        <w:spacing w:before="240" w:after="0"/>
      </w:pPr>
      <w:r>
        <w:t xml:space="preserve">ACCC </w:t>
      </w:r>
      <w:r w:rsidR="00045E2A">
        <w:t>Townsville office</w:t>
      </w:r>
    </w:p>
    <w:p w:rsidR="00045E2A" w:rsidRDefault="00045E2A" w:rsidP="00045E2A">
      <w:pPr>
        <w:pStyle w:val="Boxedtext"/>
        <w:spacing w:before="0" w:after="0"/>
      </w:pPr>
      <w:r>
        <w:t>Level 9, Suncorp Plaza Suite 2</w:t>
      </w:r>
    </w:p>
    <w:p w:rsidR="00045E2A" w:rsidRDefault="00045E2A" w:rsidP="00045E2A">
      <w:pPr>
        <w:pStyle w:val="Boxedtext"/>
        <w:spacing w:before="0" w:after="0"/>
      </w:pPr>
      <w:r>
        <w:t>61</w:t>
      </w:r>
      <w:r w:rsidR="006075E0">
        <w:t>–</w:t>
      </w:r>
      <w:r>
        <w:t>73 Sturt Street</w:t>
      </w:r>
    </w:p>
    <w:p w:rsidR="00045E2A" w:rsidRDefault="00045E2A" w:rsidP="00045E2A">
      <w:pPr>
        <w:pStyle w:val="Boxedtext"/>
        <w:spacing w:before="0" w:after="0"/>
      </w:pPr>
      <w:proofErr w:type="gramStart"/>
      <w:r>
        <w:t xml:space="preserve">Townsville </w:t>
      </w:r>
      <w:r w:rsidR="009D542D">
        <w:t xml:space="preserve"> </w:t>
      </w:r>
      <w:r>
        <w:t>Q</w:t>
      </w:r>
      <w:r w:rsidR="006075E0">
        <w:t>ld</w:t>
      </w:r>
      <w:proofErr w:type="gramEnd"/>
      <w:r w:rsidR="009D542D">
        <w:t xml:space="preserve"> </w:t>
      </w:r>
      <w:r>
        <w:t xml:space="preserve"> 4810</w:t>
      </w:r>
    </w:p>
    <w:p w:rsidR="00045E2A" w:rsidRDefault="00045E2A" w:rsidP="00045E2A">
      <w:pPr>
        <w:pStyle w:val="Boxedtext"/>
        <w:spacing w:before="0" w:after="0"/>
      </w:pPr>
      <w:r>
        <w:t>PO Box 2016</w:t>
      </w:r>
    </w:p>
    <w:p w:rsidR="00045E2A" w:rsidRDefault="00045E2A" w:rsidP="00045E2A">
      <w:pPr>
        <w:pStyle w:val="Boxedtext"/>
        <w:spacing w:before="0" w:after="0"/>
      </w:pPr>
      <w:proofErr w:type="gramStart"/>
      <w:r>
        <w:t xml:space="preserve">Townsville </w:t>
      </w:r>
      <w:r w:rsidR="009D542D">
        <w:t xml:space="preserve"> </w:t>
      </w:r>
      <w:r>
        <w:t>Q</w:t>
      </w:r>
      <w:r w:rsidR="006075E0">
        <w:t>ld</w:t>
      </w:r>
      <w:proofErr w:type="gramEnd"/>
      <w:r w:rsidR="009D542D">
        <w:t xml:space="preserve"> </w:t>
      </w:r>
      <w:r>
        <w:t xml:space="preserve"> 4810</w:t>
      </w:r>
    </w:p>
    <w:p w:rsidR="0010343D" w:rsidRDefault="0010343D" w:rsidP="001C0410">
      <w:pPr>
        <w:pStyle w:val="NoSpacing"/>
      </w:pPr>
    </w:p>
    <w:p w:rsidR="009D542D" w:rsidRDefault="009D542D" w:rsidP="001C0410">
      <w:pPr>
        <w:pStyle w:val="NoSpacing"/>
      </w:pPr>
    </w:p>
    <w:p w:rsidR="001C0410" w:rsidRDefault="001C0410" w:rsidP="001C0410">
      <w:pPr>
        <w:pStyle w:val="NoSpacing"/>
      </w:pPr>
    </w:p>
    <w:p w:rsidR="009D542D" w:rsidRDefault="009D542D" w:rsidP="009D542D"/>
    <w:p w:rsidR="009D542D" w:rsidRDefault="009D542D" w:rsidP="00045E2A">
      <w:pPr>
        <w:sectPr w:rsidR="009D542D" w:rsidSect="0010343D">
          <w:type w:val="continuous"/>
          <w:pgSz w:w="11906" w:h="16838"/>
          <w:pgMar w:top="1440" w:right="1440" w:bottom="1440" w:left="1440" w:header="708" w:footer="708" w:gutter="0"/>
          <w:pgNumType w:start="1"/>
          <w:cols w:num="2" w:space="708"/>
          <w:titlePg/>
          <w:docGrid w:linePitch="360"/>
        </w:sectPr>
      </w:pPr>
    </w:p>
    <w:p w:rsidR="00D1503A" w:rsidRDefault="00D1503A" w:rsidP="001C0410"/>
    <w:sectPr w:rsidR="00D1503A" w:rsidSect="0010343D">
      <w:footerReference w:type="first" r:id="rId19"/>
      <w:type w:val="continuous"/>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7A5" w:rsidRDefault="00A817A5" w:rsidP="004B4412">
      <w:pPr>
        <w:spacing w:before="0"/>
      </w:pPr>
      <w:r>
        <w:separator/>
      </w:r>
    </w:p>
  </w:endnote>
  <w:endnote w:type="continuationSeparator" w:id="0">
    <w:p w:rsidR="00A817A5" w:rsidRDefault="00A817A5"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otham Book">
    <w:altName w:val="Gotham Book"/>
    <w:panose1 w:val="00000000000000000000"/>
    <w:charset w:val="00"/>
    <w:family w:val="swiss"/>
    <w:notTrueType/>
    <w:pitch w:val="default"/>
    <w:sig w:usb0="00000003" w:usb1="00000000" w:usb2="00000000" w:usb3="00000000" w:csb0="00000001" w:csb1="00000000"/>
  </w:font>
  <w:font w:name="PF Centro Slab Pro Medium">
    <w:altName w:val="PF Centro Slab Pro Medium"/>
    <w:panose1 w:val="00000000000000000000"/>
    <w:charset w:val="00"/>
    <w:family w:val="roman"/>
    <w:notTrueType/>
    <w:pitch w:val="default"/>
    <w:sig w:usb0="00000003" w:usb1="00000000" w:usb2="00000000" w:usb3="00000000" w:csb0="00000001" w:csb1="00000000"/>
  </w:font>
  <w:font w:name="Gotham Light">
    <w:altName w:val="Gotham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6358255"/>
      <w:docPartObj>
        <w:docPartGallery w:val="Page Numbers (Bottom of Page)"/>
        <w:docPartUnique/>
      </w:docPartObj>
    </w:sdtPr>
    <w:sdtEndPr>
      <w:rPr>
        <w:noProof/>
      </w:rPr>
    </w:sdtEndPr>
    <w:sdtContent>
      <w:p w:rsidR="00A817A5" w:rsidRDefault="00A817A5">
        <w:pPr>
          <w:pStyle w:val="Footer"/>
          <w:jc w:val="right"/>
        </w:pPr>
        <w:r>
          <w:fldChar w:fldCharType="begin"/>
        </w:r>
        <w:r>
          <w:instrText xml:space="preserve"> PAGE   \* MERGEFORMAT </w:instrText>
        </w:r>
        <w:r>
          <w:fldChar w:fldCharType="separate"/>
        </w:r>
        <w:r w:rsidR="0087328B">
          <w:rPr>
            <w:noProof/>
          </w:rPr>
          <w:t>2</w:t>
        </w:r>
        <w:r>
          <w:rPr>
            <w:noProof/>
          </w:rPr>
          <w:fldChar w:fldCharType="end"/>
        </w:r>
      </w:p>
    </w:sdtContent>
  </w:sdt>
  <w:p w:rsidR="00A817A5" w:rsidRDefault="00A817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9473314"/>
      <w:docPartObj>
        <w:docPartGallery w:val="Page Numbers (Bottom of Page)"/>
        <w:docPartUnique/>
      </w:docPartObj>
    </w:sdtPr>
    <w:sdtEndPr>
      <w:rPr>
        <w:noProof/>
      </w:rPr>
    </w:sdtEndPr>
    <w:sdtContent>
      <w:p w:rsidR="00A817A5" w:rsidRDefault="00A817A5">
        <w:pPr>
          <w:pStyle w:val="Footer"/>
          <w:jc w:val="right"/>
        </w:pPr>
        <w:r>
          <w:fldChar w:fldCharType="begin"/>
        </w:r>
        <w:r>
          <w:instrText xml:space="preserve"> PAGE   \* MERGEFORMAT </w:instrText>
        </w:r>
        <w:r>
          <w:fldChar w:fldCharType="separate"/>
        </w:r>
        <w:r w:rsidR="0087328B">
          <w:rPr>
            <w:noProof/>
          </w:rPr>
          <w:t>1</w:t>
        </w:r>
        <w:r>
          <w:rPr>
            <w:noProof/>
          </w:rPr>
          <w:fldChar w:fldCharType="end"/>
        </w:r>
      </w:p>
    </w:sdtContent>
  </w:sdt>
  <w:p w:rsidR="00A817A5" w:rsidRDefault="00A817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9366203"/>
      <w:docPartObj>
        <w:docPartGallery w:val="Page Numbers (Bottom of Page)"/>
        <w:docPartUnique/>
      </w:docPartObj>
    </w:sdtPr>
    <w:sdtEndPr>
      <w:rPr>
        <w:noProof/>
      </w:rPr>
    </w:sdtEndPr>
    <w:sdtContent>
      <w:p w:rsidR="00A817A5" w:rsidRDefault="00A817A5">
        <w:pPr>
          <w:pStyle w:val="Footer"/>
          <w:jc w:val="right"/>
        </w:pPr>
        <w:r>
          <w:fldChar w:fldCharType="begin"/>
        </w:r>
        <w:r>
          <w:instrText xml:space="preserve"> PAGE   \* MERGEFORMAT </w:instrText>
        </w:r>
        <w:r>
          <w:fldChar w:fldCharType="separate"/>
        </w:r>
        <w:r w:rsidR="0087328B">
          <w:rPr>
            <w:noProof/>
          </w:rPr>
          <w:t>1</w:t>
        </w:r>
        <w:r>
          <w:rPr>
            <w:noProof/>
          </w:rPr>
          <w:fldChar w:fldCharType="end"/>
        </w:r>
      </w:p>
    </w:sdtContent>
  </w:sdt>
  <w:p w:rsidR="00A817A5" w:rsidRDefault="00A817A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9586278"/>
      <w:docPartObj>
        <w:docPartGallery w:val="Page Numbers (Bottom of Page)"/>
        <w:docPartUnique/>
      </w:docPartObj>
    </w:sdtPr>
    <w:sdtEndPr>
      <w:rPr>
        <w:noProof/>
      </w:rPr>
    </w:sdtEndPr>
    <w:sdtContent>
      <w:p w:rsidR="00A817A5" w:rsidRDefault="00A817A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A817A5" w:rsidRDefault="00A817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7A5" w:rsidRDefault="00A817A5" w:rsidP="004B4412">
      <w:pPr>
        <w:spacing w:before="0"/>
      </w:pPr>
      <w:r>
        <w:separator/>
      </w:r>
    </w:p>
  </w:footnote>
  <w:footnote w:type="continuationSeparator" w:id="0">
    <w:p w:rsidR="00A817A5" w:rsidRDefault="00A817A5"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1">
    <w:nsid w:val="19B737F8"/>
    <w:multiLevelType w:val="multilevel"/>
    <w:tmpl w:val="9A6CD062"/>
    <w:lvl w:ilvl="0">
      <w:start w:val="1"/>
      <w:numFmt w:val="decimal"/>
      <w:lvlText w:val="%1."/>
      <w:lvlJc w:val="left"/>
      <w:pPr>
        <w:ind w:left="1283"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2">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2C5210F"/>
    <w:multiLevelType w:val="hybridMultilevel"/>
    <w:tmpl w:val="D4B0F98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4">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9CF5DED"/>
    <w:multiLevelType w:val="hybridMultilevel"/>
    <w:tmpl w:val="2BACE5B4"/>
    <w:lvl w:ilvl="0" w:tplc="0C090001">
      <w:start w:val="1"/>
      <w:numFmt w:val="bullet"/>
      <w:lvlText w:val=""/>
      <w:lvlJc w:val="left"/>
      <w:pPr>
        <w:ind w:left="362" w:hanging="360"/>
      </w:pPr>
      <w:rPr>
        <w:rFonts w:ascii="Symbol" w:hAnsi="Symbol" w:hint="default"/>
      </w:rPr>
    </w:lvl>
    <w:lvl w:ilvl="1" w:tplc="0C090003">
      <w:start w:val="1"/>
      <w:numFmt w:val="bullet"/>
      <w:lvlText w:val="o"/>
      <w:lvlJc w:val="left"/>
      <w:pPr>
        <w:ind w:left="1082" w:hanging="360"/>
      </w:pPr>
      <w:rPr>
        <w:rFonts w:ascii="Courier New" w:hAnsi="Courier New" w:cs="Courier New" w:hint="default"/>
      </w:rPr>
    </w:lvl>
    <w:lvl w:ilvl="2" w:tplc="0C090005">
      <w:start w:val="1"/>
      <w:numFmt w:val="bullet"/>
      <w:lvlText w:val=""/>
      <w:lvlJc w:val="left"/>
      <w:pPr>
        <w:ind w:left="1802" w:hanging="360"/>
      </w:pPr>
      <w:rPr>
        <w:rFonts w:ascii="Wingdings" w:hAnsi="Wingdings" w:hint="default"/>
      </w:rPr>
    </w:lvl>
    <w:lvl w:ilvl="3" w:tplc="0C090001">
      <w:start w:val="1"/>
      <w:numFmt w:val="bullet"/>
      <w:lvlText w:val=""/>
      <w:lvlJc w:val="left"/>
      <w:pPr>
        <w:ind w:left="2522" w:hanging="360"/>
      </w:pPr>
      <w:rPr>
        <w:rFonts w:ascii="Symbol" w:hAnsi="Symbol" w:hint="default"/>
      </w:rPr>
    </w:lvl>
    <w:lvl w:ilvl="4" w:tplc="0C090003">
      <w:start w:val="1"/>
      <w:numFmt w:val="bullet"/>
      <w:lvlText w:val="o"/>
      <w:lvlJc w:val="left"/>
      <w:pPr>
        <w:ind w:left="3242" w:hanging="360"/>
      </w:pPr>
      <w:rPr>
        <w:rFonts w:ascii="Courier New" w:hAnsi="Courier New" w:cs="Courier New" w:hint="default"/>
      </w:rPr>
    </w:lvl>
    <w:lvl w:ilvl="5" w:tplc="0C090005">
      <w:start w:val="1"/>
      <w:numFmt w:val="bullet"/>
      <w:lvlText w:val=""/>
      <w:lvlJc w:val="left"/>
      <w:pPr>
        <w:ind w:left="3962" w:hanging="360"/>
      </w:pPr>
      <w:rPr>
        <w:rFonts w:ascii="Wingdings" w:hAnsi="Wingdings" w:hint="default"/>
      </w:rPr>
    </w:lvl>
    <w:lvl w:ilvl="6" w:tplc="0C090001">
      <w:start w:val="1"/>
      <w:numFmt w:val="bullet"/>
      <w:lvlText w:val=""/>
      <w:lvlJc w:val="left"/>
      <w:pPr>
        <w:ind w:left="4682" w:hanging="360"/>
      </w:pPr>
      <w:rPr>
        <w:rFonts w:ascii="Symbol" w:hAnsi="Symbol" w:hint="default"/>
      </w:rPr>
    </w:lvl>
    <w:lvl w:ilvl="7" w:tplc="0C090003">
      <w:start w:val="1"/>
      <w:numFmt w:val="bullet"/>
      <w:lvlText w:val="o"/>
      <w:lvlJc w:val="left"/>
      <w:pPr>
        <w:ind w:left="5402" w:hanging="360"/>
      </w:pPr>
      <w:rPr>
        <w:rFonts w:ascii="Courier New" w:hAnsi="Courier New" w:cs="Courier New" w:hint="default"/>
      </w:rPr>
    </w:lvl>
    <w:lvl w:ilvl="8" w:tplc="0C090005">
      <w:start w:val="1"/>
      <w:numFmt w:val="bullet"/>
      <w:lvlText w:val=""/>
      <w:lvlJc w:val="left"/>
      <w:pPr>
        <w:ind w:left="6122" w:hanging="360"/>
      </w:pPr>
      <w:rPr>
        <w:rFonts w:ascii="Wingdings" w:hAnsi="Wingdings" w:hint="default"/>
      </w:rPr>
    </w:lvl>
  </w:abstractNum>
  <w:abstractNum w:abstractNumId="16">
    <w:nsid w:val="55877354"/>
    <w:multiLevelType w:val="hybridMultilevel"/>
    <w:tmpl w:val="819A4E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61F072F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26925C9"/>
    <w:multiLevelType w:val="multilevel"/>
    <w:tmpl w:val="AF0AC8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0">
    <w:nsid w:val="68B356D2"/>
    <w:multiLevelType w:val="hybridMultilevel"/>
    <w:tmpl w:val="4B766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C622A11"/>
    <w:multiLevelType w:val="hybridMultilevel"/>
    <w:tmpl w:val="146CF678"/>
    <w:lvl w:ilvl="0" w:tplc="0C090001">
      <w:start w:val="1"/>
      <w:numFmt w:val="bullet"/>
      <w:lvlText w:val=""/>
      <w:lvlJc w:val="left"/>
      <w:pPr>
        <w:ind w:left="938" w:hanging="360"/>
      </w:pPr>
      <w:rPr>
        <w:rFonts w:ascii="Symbol" w:hAnsi="Symbol" w:hint="default"/>
      </w:rPr>
    </w:lvl>
    <w:lvl w:ilvl="1" w:tplc="0C090003" w:tentative="1">
      <w:start w:val="1"/>
      <w:numFmt w:val="bullet"/>
      <w:lvlText w:val="o"/>
      <w:lvlJc w:val="left"/>
      <w:pPr>
        <w:ind w:left="1658" w:hanging="360"/>
      </w:pPr>
      <w:rPr>
        <w:rFonts w:ascii="Courier New" w:hAnsi="Courier New" w:cs="Courier New" w:hint="default"/>
      </w:rPr>
    </w:lvl>
    <w:lvl w:ilvl="2" w:tplc="0C090005" w:tentative="1">
      <w:start w:val="1"/>
      <w:numFmt w:val="bullet"/>
      <w:lvlText w:val=""/>
      <w:lvlJc w:val="left"/>
      <w:pPr>
        <w:ind w:left="2378" w:hanging="360"/>
      </w:pPr>
      <w:rPr>
        <w:rFonts w:ascii="Wingdings" w:hAnsi="Wingdings" w:hint="default"/>
      </w:rPr>
    </w:lvl>
    <w:lvl w:ilvl="3" w:tplc="0C090001" w:tentative="1">
      <w:start w:val="1"/>
      <w:numFmt w:val="bullet"/>
      <w:lvlText w:val=""/>
      <w:lvlJc w:val="left"/>
      <w:pPr>
        <w:ind w:left="3098" w:hanging="360"/>
      </w:pPr>
      <w:rPr>
        <w:rFonts w:ascii="Symbol" w:hAnsi="Symbol" w:hint="default"/>
      </w:rPr>
    </w:lvl>
    <w:lvl w:ilvl="4" w:tplc="0C090003" w:tentative="1">
      <w:start w:val="1"/>
      <w:numFmt w:val="bullet"/>
      <w:lvlText w:val="o"/>
      <w:lvlJc w:val="left"/>
      <w:pPr>
        <w:ind w:left="3818" w:hanging="360"/>
      </w:pPr>
      <w:rPr>
        <w:rFonts w:ascii="Courier New" w:hAnsi="Courier New" w:cs="Courier New" w:hint="default"/>
      </w:rPr>
    </w:lvl>
    <w:lvl w:ilvl="5" w:tplc="0C090005" w:tentative="1">
      <w:start w:val="1"/>
      <w:numFmt w:val="bullet"/>
      <w:lvlText w:val=""/>
      <w:lvlJc w:val="left"/>
      <w:pPr>
        <w:ind w:left="4538" w:hanging="360"/>
      </w:pPr>
      <w:rPr>
        <w:rFonts w:ascii="Wingdings" w:hAnsi="Wingdings" w:hint="default"/>
      </w:rPr>
    </w:lvl>
    <w:lvl w:ilvl="6" w:tplc="0C090001" w:tentative="1">
      <w:start w:val="1"/>
      <w:numFmt w:val="bullet"/>
      <w:lvlText w:val=""/>
      <w:lvlJc w:val="left"/>
      <w:pPr>
        <w:ind w:left="5258" w:hanging="360"/>
      </w:pPr>
      <w:rPr>
        <w:rFonts w:ascii="Symbol" w:hAnsi="Symbol" w:hint="default"/>
      </w:rPr>
    </w:lvl>
    <w:lvl w:ilvl="7" w:tplc="0C090003" w:tentative="1">
      <w:start w:val="1"/>
      <w:numFmt w:val="bullet"/>
      <w:lvlText w:val="o"/>
      <w:lvlJc w:val="left"/>
      <w:pPr>
        <w:ind w:left="5978" w:hanging="360"/>
      </w:pPr>
      <w:rPr>
        <w:rFonts w:ascii="Courier New" w:hAnsi="Courier New" w:cs="Courier New" w:hint="default"/>
      </w:rPr>
    </w:lvl>
    <w:lvl w:ilvl="8" w:tplc="0C090005" w:tentative="1">
      <w:start w:val="1"/>
      <w:numFmt w:val="bullet"/>
      <w:lvlText w:val=""/>
      <w:lvlJc w:val="left"/>
      <w:pPr>
        <w:ind w:left="6698" w:hanging="360"/>
      </w:pPr>
      <w:rPr>
        <w:rFonts w:ascii="Wingdings" w:hAnsi="Wingdings" w:hint="default"/>
      </w:rPr>
    </w:lvl>
  </w:abstractNum>
  <w:abstractNum w:abstractNumId="22">
    <w:nsid w:val="7C9D59B1"/>
    <w:multiLevelType w:val="hybridMultilevel"/>
    <w:tmpl w:val="E6968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23"/>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9"/>
  </w:num>
  <w:num w:numId="13">
    <w:abstractNumId w:val="14"/>
  </w:num>
  <w:num w:numId="14">
    <w:abstractNumId w:val="9"/>
  </w:num>
  <w:num w:numId="15">
    <w:abstractNumId w:val="12"/>
  </w:num>
  <w:num w:numId="16">
    <w:abstractNumId w:val="15"/>
  </w:num>
  <w:num w:numId="17">
    <w:abstractNumId w:val="20"/>
  </w:num>
  <w:num w:numId="18">
    <w:abstractNumId w:val="22"/>
  </w:num>
  <w:num w:numId="19">
    <w:abstractNumId w:val="1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9"/>
  </w:num>
  <w:num w:numId="23">
    <w:abstractNumId w:val="11"/>
  </w:num>
  <w:num w:numId="24">
    <w:abstractNumId w:val="21"/>
  </w:num>
  <w:num w:numId="25">
    <w:abstractNumId w:val="17"/>
  </w:num>
  <w:num w:numId="26">
    <w:abstractNumId w:val="13"/>
  </w:num>
  <w:num w:numId="27">
    <w:abstractNumId w:val="12"/>
  </w:num>
  <w:num w:numId="28">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Users\khoar\AppData\Local\Microsoft\Windows\Temporary Internet Files\Content.Outlook\ECEGC2IF\ACCC and AER Corporate Plan 2015-16.docx"/>
  </w:docVars>
  <w:rsids>
    <w:rsidRoot w:val="000905F0"/>
    <w:rsid w:val="000032A0"/>
    <w:rsid w:val="000067F5"/>
    <w:rsid w:val="00007786"/>
    <w:rsid w:val="000078BE"/>
    <w:rsid w:val="0001014D"/>
    <w:rsid w:val="00012C41"/>
    <w:rsid w:val="00020879"/>
    <w:rsid w:val="00021202"/>
    <w:rsid w:val="00021DC0"/>
    <w:rsid w:val="00026530"/>
    <w:rsid w:val="000268A1"/>
    <w:rsid w:val="0003578C"/>
    <w:rsid w:val="00037F1B"/>
    <w:rsid w:val="00040A2E"/>
    <w:rsid w:val="00041B1B"/>
    <w:rsid w:val="00043684"/>
    <w:rsid w:val="000448AD"/>
    <w:rsid w:val="00045E2A"/>
    <w:rsid w:val="00050060"/>
    <w:rsid w:val="0005636C"/>
    <w:rsid w:val="00057594"/>
    <w:rsid w:val="00063247"/>
    <w:rsid w:val="00063653"/>
    <w:rsid w:val="00063B1C"/>
    <w:rsid w:val="00070F9F"/>
    <w:rsid w:val="0007137B"/>
    <w:rsid w:val="000715AA"/>
    <w:rsid w:val="00076424"/>
    <w:rsid w:val="000773C8"/>
    <w:rsid w:val="00081C67"/>
    <w:rsid w:val="00085663"/>
    <w:rsid w:val="00085EBF"/>
    <w:rsid w:val="000905F0"/>
    <w:rsid w:val="0009105A"/>
    <w:rsid w:val="000921BE"/>
    <w:rsid w:val="00092690"/>
    <w:rsid w:val="00094011"/>
    <w:rsid w:val="0009704E"/>
    <w:rsid w:val="000978A8"/>
    <w:rsid w:val="000A1E5C"/>
    <w:rsid w:val="000A3C9D"/>
    <w:rsid w:val="000A4850"/>
    <w:rsid w:val="000A57AF"/>
    <w:rsid w:val="000A76C5"/>
    <w:rsid w:val="000B020E"/>
    <w:rsid w:val="000B2559"/>
    <w:rsid w:val="000B4EA5"/>
    <w:rsid w:val="000B7557"/>
    <w:rsid w:val="000B75A6"/>
    <w:rsid w:val="000C058E"/>
    <w:rsid w:val="000C1167"/>
    <w:rsid w:val="000C302C"/>
    <w:rsid w:val="000D122C"/>
    <w:rsid w:val="000D153B"/>
    <w:rsid w:val="000D460C"/>
    <w:rsid w:val="000D49F2"/>
    <w:rsid w:val="000D714B"/>
    <w:rsid w:val="000D7F55"/>
    <w:rsid w:val="000E0CB0"/>
    <w:rsid w:val="000E1819"/>
    <w:rsid w:val="000E2371"/>
    <w:rsid w:val="000E42B9"/>
    <w:rsid w:val="000E6C72"/>
    <w:rsid w:val="000F0050"/>
    <w:rsid w:val="000F5A45"/>
    <w:rsid w:val="0010343D"/>
    <w:rsid w:val="00103B8A"/>
    <w:rsid w:val="001064A7"/>
    <w:rsid w:val="00112226"/>
    <w:rsid w:val="00116EB2"/>
    <w:rsid w:val="00117689"/>
    <w:rsid w:val="0012267E"/>
    <w:rsid w:val="00123464"/>
    <w:rsid w:val="00124609"/>
    <w:rsid w:val="00133E79"/>
    <w:rsid w:val="00134F58"/>
    <w:rsid w:val="00135349"/>
    <w:rsid w:val="0013692E"/>
    <w:rsid w:val="001376B4"/>
    <w:rsid w:val="001379B2"/>
    <w:rsid w:val="001573E4"/>
    <w:rsid w:val="00160756"/>
    <w:rsid w:val="00160951"/>
    <w:rsid w:val="001664B9"/>
    <w:rsid w:val="0017232E"/>
    <w:rsid w:val="00174102"/>
    <w:rsid w:val="00177E2B"/>
    <w:rsid w:val="00180157"/>
    <w:rsid w:val="00186F77"/>
    <w:rsid w:val="00191183"/>
    <w:rsid w:val="00191E89"/>
    <w:rsid w:val="001926A4"/>
    <w:rsid w:val="00195BD5"/>
    <w:rsid w:val="001A0870"/>
    <w:rsid w:val="001A12FD"/>
    <w:rsid w:val="001A6880"/>
    <w:rsid w:val="001A6BB6"/>
    <w:rsid w:val="001A753C"/>
    <w:rsid w:val="001A7B38"/>
    <w:rsid w:val="001A7CBE"/>
    <w:rsid w:val="001B0644"/>
    <w:rsid w:val="001B3E8A"/>
    <w:rsid w:val="001B45A0"/>
    <w:rsid w:val="001B64E7"/>
    <w:rsid w:val="001C0410"/>
    <w:rsid w:val="001C0AA7"/>
    <w:rsid w:val="001C36EF"/>
    <w:rsid w:val="001C4914"/>
    <w:rsid w:val="001D055E"/>
    <w:rsid w:val="001D488E"/>
    <w:rsid w:val="001D5724"/>
    <w:rsid w:val="001D6122"/>
    <w:rsid w:val="001D75D5"/>
    <w:rsid w:val="001E4AE6"/>
    <w:rsid w:val="001E60E3"/>
    <w:rsid w:val="001F069B"/>
    <w:rsid w:val="001F492E"/>
    <w:rsid w:val="001F4F59"/>
    <w:rsid w:val="001F5D79"/>
    <w:rsid w:val="001F6DA3"/>
    <w:rsid w:val="001F73D2"/>
    <w:rsid w:val="002017F6"/>
    <w:rsid w:val="00201A9F"/>
    <w:rsid w:val="002041D7"/>
    <w:rsid w:val="0020668F"/>
    <w:rsid w:val="0022445F"/>
    <w:rsid w:val="00224DB9"/>
    <w:rsid w:val="00233813"/>
    <w:rsid w:val="00242B43"/>
    <w:rsid w:val="00245F06"/>
    <w:rsid w:val="002462C9"/>
    <w:rsid w:val="00247295"/>
    <w:rsid w:val="00251745"/>
    <w:rsid w:val="00252D8D"/>
    <w:rsid w:val="002533F0"/>
    <w:rsid w:val="00253454"/>
    <w:rsid w:val="00263AC0"/>
    <w:rsid w:val="002646F8"/>
    <w:rsid w:val="002660D9"/>
    <w:rsid w:val="0026752D"/>
    <w:rsid w:val="0026772D"/>
    <w:rsid w:val="00272783"/>
    <w:rsid w:val="00274DCC"/>
    <w:rsid w:val="002805FA"/>
    <w:rsid w:val="00282287"/>
    <w:rsid w:val="002828E0"/>
    <w:rsid w:val="00286874"/>
    <w:rsid w:val="00296B65"/>
    <w:rsid w:val="002A4BCA"/>
    <w:rsid w:val="002A7DEF"/>
    <w:rsid w:val="002B3E3E"/>
    <w:rsid w:val="002B5AD6"/>
    <w:rsid w:val="002B66EF"/>
    <w:rsid w:val="002B7E25"/>
    <w:rsid w:val="002C175B"/>
    <w:rsid w:val="002D635D"/>
    <w:rsid w:val="002D714A"/>
    <w:rsid w:val="002E07C1"/>
    <w:rsid w:val="002E0CC6"/>
    <w:rsid w:val="002E3722"/>
    <w:rsid w:val="002E575F"/>
    <w:rsid w:val="002F6A29"/>
    <w:rsid w:val="002F7986"/>
    <w:rsid w:val="003070A5"/>
    <w:rsid w:val="00307F6D"/>
    <w:rsid w:val="00311E78"/>
    <w:rsid w:val="003177A2"/>
    <w:rsid w:val="003213D9"/>
    <w:rsid w:val="00326040"/>
    <w:rsid w:val="00326FA5"/>
    <w:rsid w:val="003271B5"/>
    <w:rsid w:val="00331264"/>
    <w:rsid w:val="003349A3"/>
    <w:rsid w:val="00334C8D"/>
    <w:rsid w:val="0033622F"/>
    <w:rsid w:val="00343D9B"/>
    <w:rsid w:val="00343DF4"/>
    <w:rsid w:val="00345615"/>
    <w:rsid w:val="003518B3"/>
    <w:rsid w:val="00351BF2"/>
    <w:rsid w:val="00355EBA"/>
    <w:rsid w:val="00357890"/>
    <w:rsid w:val="0036419C"/>
    <w:rsid w:val="003649DC"/>
    <w:rsid w:val="00366FEF"/>
    <w:rsid w:val="00370BA3"/>
    <w:rsid w:val="003731F6"/>
    <w:rsid w:val="0037321E"/>
    <w:rsid w:val="00375C1A"/>
    <w:rsid w:val="00377F66"/>
    <w:rsid w:val="003846F1"/>
    <w:rsid w:val="00384818"/>
    <w:rsid w:val="0038651D"/>
    <w:rsid w:val="003A175B"/>
    <w:rsid w:val="003A2E99"/>
    <w:rsid w:val="003B0DC7"/>
    <w:rsid w:val="003B616D"/>
    <w:rsid w:val="003C5767"/>
    <w:rsid w:val="003C5F61"/>
    <w:rsid w:val="003D034E"/>
    <w:rsid w:val="003D178A"/>
    <w:rsid w:val="003D1852"/>
    <w:rsid w:val="003D4316"/>
    <w:rsid w:val="003D5C0A"/>
    <w:rsid w:val="003E4DFA"/>
    <w:rsid w:val="003F11D9"/>
    <w:rsid w:val="003F31ED"/>
    <w:rsid w:val="003F3795"/>
    <w:rsid w:val="0040434B"/>
    <w:rsid w:val="00406AA4"/>
    <w:rsid w:val="00411BCD"/>
    <w:rsid w:val="00412957"/>
    <w:rsid w:val="0041661D"/>
    <w:rsid w:val="0042120F"/>
    <w:rsid w:val="004212FE"/>
    <w:rsid w:val="004302AE"/>
    <w:rsid w:val="00430E4E"/>
    <w:rsid w:val="0043573C"/>
    <w:rsid w:val="0043786C"/>
    <w:rsid w:val="004409B1"/>
    <w:rsid w:val="0044343E"/>
    <w:rsid w:val="00445F1D"/>
    <w:rsid w:val="00451FC4"/>
    <w:rsid w:val="00453B58"/>
    <w:rsid w:val="0045667D"/>
    <w:rsid w:val="0046337F"/>
    <w:rsid w:val="00464B11"/>
    <w:rsid w:val="00465435"/>
    <w:rsid w:val="00465938"/>
    <w:rsid w:val="00466E4C"/>
    <w:rsid w:val="00474121"/>
    <w:rsid w:val="00475E76"/>
    <w:rsid w:val="00480B4B"/>
    <w:rsid w:val="00481F33"/>
    <w:rsid w:val="00485DC4"/>
    <w:rsid w:val="0049268E"/>
    <w:rsid w:val="00492B93"/>
    <w:rsid w:val="00492F2D"/>
    <w:rsid w:val="0049482B"/>
    <w:rsid w:val="004953AD"/>
    <w:rsid w:val="00495B96"/>
    <w:rsid w:val="00495F34"/>
    <w:rsid w:val="00496CB6"/>
    <w:rsid w:val="004A0B36"/>
    <w:rsid w:val="004A3566"/>
    <w:rsid w:val="004A70F5"/>
    <w:rsid w:val="004B2134"/>
    <w:rsid w:val="004B3C4E"/>
    <w:rsid w:val="004B4412"/>
    <w:rsid w:val="004C02E4"/>
    <w:rsid w:val="004C348C"/>
    <w:rsid w:val="004C5099"/>
    <w:rsid w:val="004C7927"/>
    <w:rsid w:val="004D3854"/>
    <w:rsid w:val="004D55BA"/>
    <w:rsid w:val="004E2C04"/>
    <w:rsid w:val="004F02A1"/>
    <w:rsid w:val="004F1E48"/>
    <w:rsid w:val="004F1F47"/>
    <w:rsid w:val="004F3A99"/>
    <w:rsid w:val="004F6360"/>
    <w:rsid w:val="004F6D31"/>
    <w:rsid w:val="00502761"/>
    <w:rsid w:val="00513A68"/>
    <w:rsid w:val="005215AC"/>
    <w:rsid w:val="00530128"/>
    <w:rsid w:val="00532467"/>
    <w:rsid w:val="005338AA"/>
    <w:rsid w:val="005358C2"/>
    <w:rsid w:val="005413B0"/>
    <w:rsid w:val="00542DC0"/>
    <w:rsid w:val="005432E2"/>
    <w:rsid w:val="00543694"/>
    <w:rsid w:val="00544527"/>
    <w:rsid w:val="00552BAA"/>
    <w:rsid w:val="00554C03"/>
    <w:rsid w:val="005604C2"/>
    <w:rsid w:val="00562B47"/>
    <w:rsid w:val="00562C65"/>
    <w:rsid w:val="00564A4D"/>
    <w:rsid w:val="00565FDC"/>
    <w:rsid w:val="00567967"/>
    <w:rsid w:val="00571B35"/>
    <w:rsid w:val="005722F1"/>
    <w:rsid w:val="0057329F"/>
    <w:rsid w:val="005742E2"/>
    <w:rsid w:val="00575D1B"/>
    <w:rsid w:val="00577A09"/>
    <w:rsid w:val="00584D8F"/>
    <w:rsid w:val="005862D3"/>
    <w:rsid w:val="00587575"/>
    <w:rsid w:val="0059197D"/>
    <w:rsid w:val="0059466A"/>
    <w:rsid w:val="005952C3"/>
    <w:rsid w:val="005A047E"/>
    <w:rsid w:val="005A1438"/>
    <w:rsid w:val="005A404D"/>
    <w:rsid w:val="005A45B8"/>
    <w:rsid w:val="005A486C"/>
    <w:rsid w:val="005A5668"/>
    <w:rsid w:val="005A6EAE"/>
    <w:rsid w:val="005B1E3C"/>
    <w:rsid w:val="005B49A7"/>
    <w:rsid w:val="005B51E6"/>
    <w:rsid w:val="005B63CC"/>
    <w:rsid w:val="005B7FAA"/>
    <w:rsid w:val="005C26CC"/>
    <w:rsid w:val="005C3CDB"/>
    <w:rsid w:val="005C5839"/>
    <w:rsid w:val="005D353E"/>
    <w:rsid w:val="005E25EB"/>
    <w:rsid w:val="005E4E50"/>
    <w:rsid w:val="005E6256"/>
    <w:rsid w:val="005F16A1"/>
    <w:rsid w:val="00603095"/>
    <w:rsid w:val="0060367C"/>
    <w:rsid w:val="006075E0"/>
    <w:rsid w:val="0060769D"/>
    <w:rsid w:val="0061522F"/>
    <w:rsid w:val="00615C6B"/>
    <w:rsid w:val="00616F6A"/>
    <w:rsid w:val="00621F12"/>
    <w:rsid w:val="00622658"/>
    <w:rsid w:val="006240A7"/>
    <w:rsid w:val="00630E20"/>
    <w:rsid w:val="00632D6D"/>
    <w:rsid w:val="00642C3E"/>
    <w:rsid w:val="00650772"/>
    <w:rsid w:val="00662113"/>
    <w:rsid w:val="00662842"/>
    <w:rsid w:val="00663DAD"/>
    <w:rsid w:val="00667A1F"/>
    <w:rsid w:val="00667EEB"/>
    <w:rsid w:val="00672996"/>
    <w:rsid w:val="0067576C"/>
    <w:rsid w:val="006763D3"/>
    <w:rsid w:val="00676679"/>
    <w:rsid w:val="006768F1"/>
    <w:rsid w:val="006868BC"/>
    <w:rsid w:val="00692220"/>
    <w:rsid w:val="006934F7"/>
    <w:rsid w:val="006948E7"/>
    <w:rsid w:val="006A2D12"/>
    <w:rsid w:val="006B1795"/>
    <w:rsid w:val="006B4CF9"/>
    <w:rsid w:val="006B5AB6"/>
    <w:rsid w:val="006B7A6D"/>
    <w:rsid w:val="006B7AC8"/>
    <w:rsid w:val="006C0BB7"/>
    <w:rsid w:val="006C26ED"/>
    <w:rsid w:val="006C7FB7"/>
    <w:rsid w:val="006D161A"/>
    <w:rsid w:val="006D40C2"/>
    <w:rsid w:val="006D550F"/>
    <w:rsid w:val="006D739D"/>
    <w:rsid w:val="006E422A"/>
    <w:rsid w:val="006E7848"/>
    <w:rsid w:val="006F152D"/>
    <w:rsid w:val="006F43CD"/>
    <w:rsid w:val="006F6518"/>
    <w:rsid w:val="006F7B47"/>
    <w:rsid w:val="00701CAB"/>
    <w:rsid w:val="007022C2"/>
    <w:rsid w:val="00702859"/>
    <w:rsid w:val="007049E4"/>
    <w:rsid w:val="00706451"/>
    <w:rsid w:val="007073EB"/>
    <w:rsid w:val="00707563"/>
    <w:rsid w:val="007101E9"/>
    <w:rsid w:val="007152BF"/>
    <w:rsid w:val="007159DF"/>
    <w:rsid w:val="007177DE"/>
    <w:rsid w:val="00717D75"/>
    <w:rsid w:val="0072333E"/>
    <w:rsid w:val="0072348C"/>
    <w:rsid w:val="007239B3"/>
    <w:rsid w:val="00723C19"/>
    <w:rsid w:val="007242A1"/>
    <w:rsid w:val="00724A37"/>
    <w:rsid w:val="00724EE4"/>
    <w:rsid w:val="00725FBB"/>
    <w:rsid w:val="007279CD"/>
    <w:rsid w:val="007303C3"/>
    <w:rsid w:val="00731DE2"/>
    <w:rsid w:val="00734D70"/>
    <w:rsid w:val="00736D3B"/>
    <w:rsid w:val="00743223"/>
    <w:rsid w:val="00744B00"/>
    <w:rsid w:val="00746E01"/>
    <w:rsid w:val="00754315"/>
    <w:rsid w:val="0075484D"/>
    <w:rsid w:val="0075510C"/>
    <w:rsid w:val="0075521E"/>
    <w:rsid w:val="007552E0"/>
    <w:rsid w:val="00757160"/>
    <w:rsid w:val="00763B36"/>
    <w:rsid w:val="00763E5D"/>
    <w:rsid w:val="0076581C"/>
    <w:rsid w:val="00767740"/>
    <w:rsid w:val="007678B3"/>
    <w:rsid w:val="00775952"/>
    <w:rsid w:val="00776CB5"/>
    <w:rsid w:val="00777EE6"/>
    <w:rsid w:val="00782EEA"/>
    <w:rsid w:val="00786DDB"/>
    <w:rsid w:val="0078718C"/>
    <w:rsid w:val="00787872"/>
    <w:rsid w:val="0079004A"/>
    <w:rsid w:val="00790382"/>
    <w:rsid w:val="007917FC"/>
    <w:rsid w:val="007A12AB"/>
    <w:rsid w:val="007A4314"/>
    <w:rsid w:val="007B2C72"/>
    <w:rsid w:val="007B4BFD"/>
    <w:rsid w:val="007B574E"/>
    <w:rsid w:val="007C171D"/>
    <w:rsid w:val="007C1C53"/>
    <w:rsid w:val="007C24B7"/>
    <w:rsid w:val="007C67E3"/>
    <w:rsid w:val="007D342D"/>
    <w:rsid w:val="007D54A2"/>
    <w:rsid w:val="007D5808"/>
    <w:rsid w:val="007D75C6"/>
    <w:rsid w:val="007E1371"/>
    <w:rsid w:val="007E1603"/>
    <w:rsid w:val="007E4904"/>
    <w:rsid w:val="007E4CB5"/>
    <w:rsid w:val="007F066B"/>
    <w:rsid w:val="007F31E3"/>
    <w:rsid w:val="007F4A98"/>
    <w:rsid w:val="007F7DAD"/>
    <w:rsid w:val="008033C4"/>
    <w:rsid w:val="00804971"/>
    <w:rsid w:val="00806C88"/>
    <w:rsid w:val="0081034E"/>
    <w:rsid w:val="00811E5A"/>
    <w:rsid w:val="008144ED"/>
    <w:rsid w:val="00814C73"/>
    <w:rsid w:val="00814F26"/>
    <w:rsid w:val="00816277"/>
    <w:rsid w:val="00830A6C"/>
    <w:rsid w:val="0083411E"/>
    <w:rsid w:val="008344F6"/>
    <w:rsid w:val="0083510F"/>
    <w:rsid w:val="00840698"/>
    <w:rsid w:val="008442D5"/>
    <w:rsid w:val="008460CC"/>
    <w:rsid w:val="00850D56"/>
    <w:rsid w:val="00851209"/>
    <w:rsid w:val="0085367C"/>
    <w:rsid w:val="008546E6"/>
    <w:rsid w:val="008552C1"/>
    <w:rsid w:val="00863BFE"/>
    <w:rsid w:val="00870D69"/>
    <w:rsid w:val="00871180"/>
    <w:rsid w:val="0087328B"/>
    <w:rsid w:val="00876C47"/>
    <w:rsid w:val="008837AC"/>
    <w:rsid w:val="00886334"/>
    <w:rsid w:val="00887D23"/>
    <w:rsid w:val="00892B0D"/>
    <w:rsid w:val="00893A4C"/>
    <w:rsid w:val="008962F2"/>
    <w:rsid w:val="008A2CAB"/>
    <w:rsid w:val="008A587D"/>
    <w:rsid w:val="008B20A7"/>
    <w:rsid w:val="008B3A31"/>
    <w:rsid w:val="008B54D2"/>
    <w:rsid w:val="008C0FE5"/>
    <w:rsid w:val="008C2815"/>
    <w:rsid w:val="008C5486"/>
    <w:rsid w:val="008D09F2"/>
    <w:rsid w:val="008D12AE"/>
    <w:rsid w:val="008D13E9"/>
    <w:rsid w:val="008D3DF4"/>
    <w:rsid w:val="008E17FE"/>
    <w:rsid w:val="008E2E10"/>
    <w:rsid w:val="008E454A"/>
    <w:rsid w:val="008E7031"/>
    <w:rsid w:val="008E7699"/>
    <w:rsid w:val="008F0FE3"/>
    <w:rsid w:val="008F62E1"/>
    <w:rsid w:val="009007E7"/>
    <w:rsid w:val="009010C7"/>
    <w:rsid w:val="00904539"/>
    <w:rsid w:val="0090599F"/>
    <w:rsid w:val="00906200"/>
    <w:rsid w:val="009158DE"/>
    <w:rsid w:val="00916619"/>
    <w:rsid w:val="009233EE"/>
    <w:rsid w:val="00924011"/>
    <w:rsid w:val="00927ADC"/>
    <w:rsid w:val="00931576"/>
    <w:rsid w:val="009319F3"/>
    <w:rsid w:val="009332B7"/>
    <w:rsid w:val="00933976"/>
    <w:rsid w:val="00936D9B"/>
    <w:rsid w:val="0094031E"/>
    <w:rsid w:val="0094173D"/>
    <w:rsid w:val="00942292"/>
    <w:rsid w:val="009456A6"/>
    <w:rsid w:val="00945CCC"/>
    <w:rsid w:val="00946A49"/>
    <w:rsid w:val="009477FF"/>
    <w:rsid w:val="0095024E"/>
    <w:rsid w:val="00950329"/>
    <w:rsid w:val="009529E7"/>
    <w:rsid w:val="009655FD"/>
    <w:rsid w:val="009661DE"/>
    <w:rsid w:val="00967D87"/>
    <w:rsid w:val="00974755"/>
    <w:rsid w:val="009753E6"/>
    <w:rsid w:val="009803D1"/>
    <w:rsid w:val="0098065C"/>
    <w:rsid w:val="009856B7"/>
    <w:rsid w:val="009906EA"/>
    <w:rsid w:val="00990D09"/>
    <w:rsid w:val="009952D9"/>
    <w:rsid w:val="009957CD"/>
    <w:rsid w:val="0099658B"/>
    <w:rsid w:val="009977D0"/>
    <w:rsid w:val="009A5768"/>
    <w:rsid w:val="009A5C01"/>
    <w:rsid w:val="009A630A"/>
    <w:rsid w:val="009B453A"/>
    <w:rsid w:val="009B5BF3"/>
    <w:rsid w:val="009B74B0"/>
    <w:rsid w:val="009C3C0D"/>
    <w:rsid w:val="009C3D15"/>
    <w:rsid w:val="009C6A34"/>
    <w:rsid w:val="009C6E53"/>
    <w:rsid w:val="009C7CA3"/>
    <w:rsid w:val="009D002D"/>
    <w:rsid w:val="009D12A1"/>
    <w:rsid w:val="009D542D"/>
    <w:rsid w:val="009D6B46"/>
    <w:rsid w:val="009E0AF2"/>
    <w:rsid w:val="009F1671"/>
    <w:rsid w:val="009F4139"/>
    <w:rsid w:val="009F4940"/>
    <w:rsid w:val="00A00C4A"/>
    <w:rsid w:val="00A0133E"/>
    <w:rsid w:val="00A0375D"/>
    <w:rsid w:val="00A03DAD"/>
    <w:rsid w:val="00A040F0"/>
    <w:rsid w:val="00A058D6"/>
    <w:rsid w:val="00A103E4"/>
    <w:rsid w:val="00A203EF"/>
    <w:rsid w:val="00A24909"/>
    <w:rsid w:val="00A312DE"/>
    <w:rsid w:val="00A335B2"/>
    <w:rsid w:val="00A34800"/>
    <w:rsid w:val="00A43D34"/>
    <w:rsid w:val="00A4478A"/>
    <w:rsid w:val="00A44852"/>
    <w:rsid w:val="00A539C7"/>
    <w:rsid w:val="00A567B6"/>
    <w:rsid w:val="00A572D7"/>
    <w:rsid w:val="00A57D04"/>
    <w:rsid w:val="00A60A26"/>
    <w:rsid w:val="00A61598"/>
    <w:rsid w:val="00A628A5"/>
    <w:rsid w:val="00A709B3"/>
    <w:rsid w:val="00A817A5"/>
    <w:rsid w:val="00A83BF6"/>
    <w:rsid w:val="00A84F46"/>
    <w:rsid w:val="00A85E8C"/>
    <w:rsid w:val="00A871F4"/>
    <w:rsid w:val="00A87C55"/>
    <w:rsid w:val="00A87EEF"/>
    <w:rsid w:val="00A97BBA"/>
    <w:rsid w:val="00AA4BC1"/>
    <w:rsid w:val="00AA780B"/>
    <w:rsid w:val="00AB43E7"/>
    <w:rsid w:val="00AB6C87"/>
    <w:rsid w:val="00AB7FAC"/>
    <w:rsid w:val="00AC1B2C"/>
    <w:rsid w:val="00AC3264"/>
    <w:rsid w:val="00AC32F7"/>
    <w:rsid w:val="00AC51DD"/>
    <w:rsid w:val="00AC5CDA"/>
    <w:rsid w:val="00AC6C55"/>
    <w:rsid w:val="00AC7406"/>
    <w:rsid w:val="00AD3615"/>
    <w:rsid w:val="00AD383E"/>
    <w:rsid w:val="00AD4C93"/>
    <w:rsid w:val="00AD650C"/>
    <w:rsid w:val="00AD7956"/>
    <w:rsid w:val="00AE1BF1"/>
    <w:rsid w:val="00AE42CA"/>
    <w:rsid w:val="00AE5206"/>
    <w:rsid w:val="00AE74D2"/>
    <w:rsid w:val="00AE7C28"/>
    <w:rsid w:val="00AF0B68"/>
    <w:rsid w:val="00AF0DD2"/>
    <w:rsid w:val="00B0572A"/>
    <w:rsid w:val="00B06438"/>
    <w:rsid w:val="00B13048"/>
    <w:rsid w:val="00B15788"/>
    <w:rsid w:val="00B15A8D"/>
    <w:rsid w:val="00B1716D"/>
    <w:rsid w:val="00B17A1D"/>
    <w:rsid w:val="00B207A0"/>
    <w:rsid w:val="00B2135B"/>
    <w:rsid w:val="00B23301"/>
    <w:rsid w:val="00B333C1"/>
    <w:rsid w:val="00B3648D"/>
    <w:rsid w:val="00B36F78"/>
    <w:rsid w:val="00B46BF9"/>
    <w:rsid w:val="00B56E03"/>
    <w:rsid w:val="00B66A7D"/>
    <w:rsid w:val="00B702BC"/>
    <w:rsid w:val="00B7324E"/>
    <w:rsid w:val="00B73D52"/>
    <w:rsid w:val="00B758B4"/>
    <w:rsid w:val="00B8080B"/>
    <w:rsid w:val="00B85F39"/>
    <w:rsid w:val="00B87466"/>
    <w:rsid w:val="00B87C39"/>
    <w:rsid w:val="00B9601A"/>
    <w:rsid w:val="00BA018B"/>
    <w:rsid w:val="00BA0A62"/>
    <w:rsid w:val="00BA2929"/>
    <w:rsid w:val="00BA4665"/>
    <w:rsid w:val="00BB2FB2"/>
    <w:rsid w:val="00BB31F0"/>
    <w:rsid w:val="00BB3304"/>
    <w:rsid w:val="00BB3450"/>
    <w:rsid w:val="00BB3F8C"/>
    <w:rsid w:val="00BB5BA6"/>
    <w:rsid w:val="00BB7325"/>
    <w:rsid w:val="00BB76A0"/>
    <w:rsid w:val="00BC4C8F"/>
    <w:rsid w:val="00BC50D5"/>
    <w:rsid w:val="00BC5733"/>
    <w:rsid w:val="00BC7564"/>
    <w:rsid w:val="00BD13F3"/>
    <w:rsid w:val="00BD3446"/>
    <w:rsid w:val="00BD3B9A"/>
    <w:rsid w:val="00BD5D75"/>
    <w:rsid w:val="00BD7700"/>
    <w:rsid w:val="00BD7B17"/>
    <w:rsid w:val="00BE1F1B"/>
    <w:rsid w:val="00BE281D"/>
    <w:rsid w:val="00BE47B5"/>
    <w:rsid w:val="00BE541B"/>
    <w:rsid w:val="00BF17C0"/>
    <w:rsid w:val="00BF6238"/>
    <w:rsid w:val="00BF72B8"/>
    <w:rsid w:val="00C002F1"/>
    <w:rsid w:val="00C01038"/>
    <w:rsid w:val="00C0305D"/>
    <w:rsid w:val="00C03CED"/>
    <w:rsid w:val="00C0482B"/>
    <w:rsid w:val="00C073A1"/>
    <w:rsid w:val="00C07B94"/>
    <w:rsid w:val="00C13D17"/>
    <w:rsid w:val="00C140A3"/>
    <w:rsid w:val="00C157A0"/>
    <w:rsid w:val="00C16C25"/>
    <w:rsid w:val="00C26A3C"/>
    <w:rsid w:val="00C318E7"/>
    <w:rsid w:val="00C32ABB"/>
    <w:rsid w:val="00C350B9"/>
    <w:rsid w:val="00C36E3B"/>
    <w:rsid w:val="00C3707B"/>
    <w:rsid w:val="00C45507"/>
    <w:rsid w:val="00C4641A"/>
    <w:rsid w:val="00C522F3"/>
    <w:rsid w:val="00C52960"/>
    <w:rsid w:val="00C52A7B"/>
    <w:rsid w:val="00C538A9"/>
    <w:rsid w:val="00C53B5A"/>
    <w:rsid w:val="00C54F5A"/>
    <w:rsid w:val="00C567A2"/>
    <w:rsid w:val="00C605F5"/>
    <w:rsid w:val="00C60923"/>
    <w:rsid w:val="00C62F68"/>
    <w:rsid w:val="00C74E9F"/>
    <w:rsid w:val="00C81273"/>
    <w:rsid w:val="00C8542E"/>
    <w:rsid w:val="00C8653B"/>
    <w:rsid w:val="00C86679"/>
    <w:rsid w:val="00C907AE"/>
    <w:rsid w:val="00CA10E1"/>
    <w:rsid w:val="00CA3B3E"/>
    <w:rsid w:val="00CB0864"/>
    <w:rsid w:val="00CB0D19"/>
    <w:rsid w:val="00CB666B"/>
    <w:rsid w:val="00CB6E34"/>
    <w:rsid w:val="00CC0237"/>
    <w:rsid w:val="00CC5010"/>
    <w:rsid w:val="00CC5803"/>
    <w:rsid w:val="00CD0EA2"/>
    <w:rsid w:val="00CD27E9"/>
    <w:rsid w:val="00CD3F9A"/>
    <w:rsid w:val="00CE3413"/>
    <w:rsid w:val="00CE4A03"/>
    <w:rsid w:val="00CE61D5"/>
    <w:rsid w:val="00CE7DF0"/>
    <w:rsid w:val="00CF054C"/>
    <w:rsid w:val="00CF4378"/>
    <w:rsid w:val="00CF6959"/>
    <w:rsid w:val="00D01BBF"/>
    <w:rsid w:val="00D01CF0"/>
    <w:rsid w:val="00D01DBD"/>
    <w:rsid w:val="00D02EFD"/>
    <w:rsid w:val="00D033C0"/>
    <w:rsid w:val="00D0442A"/>
    <w:rsid w:val="00D06E03"/>
    <w:rsid w:val="00D06EB8"/>
    <w:rsid w:val="00D133B2"/>
    <w:rsid w:val="00D13983"/>
    <w:rsid w:val="00D1503A"/>
    <w:rsid w:val="00D160B9"/>
    <w:rsid w:val="00D163F9"/>
    <w:rsid w:val="00D219F4"/>
    <w:rsid w:val="00D239C6"/>
    <w:rsid w:val="00D240E8"/>
    <w:rsid w:val="00D37A08"/>
    <w:rsid w:val="00D405EE"/>
    <w:rsid w:val="00D42281"/>
    <w:rsid w:val="00D453EE"/>
    <w:rsid w:val="00D53D33"/>
    <w:rsid w:val="00D56279"/>
    <w:rsid w:val="00D602BE"/>
    <w:rsid w:val="00D60970"/>
    <w:rsid w:val="00D61388"/>
    <w:rsid w:val="00D61A54"/>
    <w:rsid w:val="00D64DEA"/>
    <w:rsid w:val="00D6719F"/>
    <w:rsid w:val="00D728BF"/>
    <w:rsid w:val="00D730C4"/>
    <w:rsid w:val="00D73899"/>
    <w:rsid w:val="00D75BCA"/>
    <w:rsid w:val="00D77738"/>
    <w:rsid w:val="00D807E3"/>
    <w:rsid w:val="00D80893"/>
    <w:rsid w:val="00D80EDE"/>
    <w:rsid w:val="00D815FD"/>
    <w:rsid w:val="00D821D4"/>
    <w:rsid w:val="00D84CC4"/>
    <w:rsid w:val="00D92CF1"/>
    <w:rsid w:val="00D92D38"/>
    <w:rsid w:val="00D94C64"/>
    <w:rsid w:val="00D950F5"/>
    <w:rsid w:val="00D95719"/>
    <w:rsid w:val="00D972D1"/>
    <w:rsid w:val="00DA1013"/>
    <w:rsid w:val="00DA1B88"/>
    <w:rsid w:val="00DB0F93"/>
    <w:rsid w:val="00DB29AB"/>
    <w:rsid w:val="00DB303F"/>
    <w:rsid w:val="00DB713C"/>
    <w:rsid w:val="00DC1B08"/>
    <w:rsid w:val="00DC3460"/>
    <w:rsid w:val="00DC7981"/>
    <w:rsid w:val="00DE28F7"/>
    <w:rsid w:val="00DE38C7"/>
    <w:rsid w:val="00DE4EFA"/>
    <w:rsid w:val="00DE5520"/>
    <w:rsid w:val="00DF0A2A"/>
    <w:rsid w:val="00DF61DA"/>
    <w:rsid w:val="00DF7FC8"/>
    <w:rsid w:val="00E04818"/>
    <w:rsid w:val="00E06442"/>
    <w:rsid w:val="00E12278"/>
    <w:rsid w:val="00E22D0E"/>
    <w:rsid w:val="00E23993"/>
    <w:rsid w:val="00E240FC"/>
    <w:rsid w:val="00E25B8C"/>
    <w:rsid w:val="00E26A22"/>
    <w:rsid w:val="00E30C91"/>
    <w:rsid w:val="00E35DCB"/>
    <w:rsid w:val="00E403FC"/>
    <w:rsid w:val="00E42AC7"/>
    <w:rsid w:val="00E45E91"/>
    <w:rsid w:val="00E4677D"/>
    <w:rsid w:val="00E56838"/>
    <w:rsid w:val="00E5735B"/>
    <w:rsid w:val="00E65454"/>
    <w:rsid w:val="00E65C85"/>
    <w:rsid w:val="00E66199"/>
    <w:rsid w:val="00E755EC"/>
    <w:rsid w:val="00E7624D"/>
    <w:rsid w:val="00E76498"/>
    <w:rsid w:val="00E83D1E"/>
    <w:rsid w:val="00E907F3"/>
    <w:rsid w:val="00E972E6"/>
    <w:rsid w:val="00EA0512"/>
    <w:rsid w:val="00EA1B08"/>
    <w:rsid w:val="00EA3D42"/>
    <w:rsid w:val="00EA4690"/>
    <w:rsid w:val="00EA629B"/>
    <w:rsid w:val="00EA6B1B"/>
    <w:rsid w:val="00EB129C"/>
    <w:rsid w:val="00EB1F99"/>
    <w:rsid w:val="00EB3622"/>
    <w:rsid w:val="00EB40B1"/>
    <w:rsid w:val="00EB6D70"/>
    <w:rsid w:val="00EC0253"/>
    <w:rsid w:val="00EC0BE2"/>
    <w:rsid w:val="00EC4A50"/>
    <w:rsid w:val="00EC4DD9"/>
    <w:rsid w:val="00EC6DF2"/>
    <w:rsid w:val="00EC7A4E"/>
    <w:rsid w:val="00ED047F"/>
    <w:rsid w:val="00ED0CB1"/>
    <w:rsid w:val="00ED202E"/>
    <w:rsid w:val="00ED241D"/>
    <w:rsid w:val="00ED3674"/>
    <w:rsid w:val="00ED61C8"/>
    <w:rsid w:val="00EE28F3"/>
    <w:rsid w:val="00EE5E6B"/>
    <w:rsid w:val="00EF0B80"/>
    <w:rsid w:val="00EF2E71"/>
    <w:rsid w:val="00EF3541"/>
    <w:rsid w:val="00EF5110"/>
    <w:rsid w:val="00EF5CF9"/>
    <w:rsid w:val="00EF68CD"/>
    <w:rsid w:val="00F010AA"/>
    <w:rsid w:val="00F011DD"/>
    <w:rsid w:val="00F0567D"/>
    <w:rsid w:val="00F0733B"/>
    <w:rsid w:val="00F07682"/>
    <w:rsid w:val="00F11059"/>
    <w:rsid w:val="00F11727"/>
    <w:rsid w:val="00F12131"/>
    <w:rsid w:val="00F134A9"/>
    <w:rsid w:val="00F15882"/>
    <w:rsid w:val="00F20BD3"/>
    <w:rsid w:val="00F24A0B"/>
    <w:rsid w:val="00F25817"/>
    <w:rsid w:val="00F303E9"/>
    <w:rsid w:val="00F32070"/>
    <w:rsid w:val="00F34015"/>
    <w:rsid w:val="00F373A5"/>
    <w:rsid w:val="00F37B43"/>
    <w:rsid w:val="00F40B04"/>
    <w:rsid w:val="00F40E6A"/>
    <w:rsid w:val="00F47559"/>
    <w:rsid w:val="00F476FE"/>
    <w:rsid w:val="00F47735"/>
    <w:rsid w:val="00F53819"/>
    <w:rsid w:val="00F57492"/>
    <w:rsid w:val="00F64C2A"/>
    <w:rsid w:val="00F64C7B"/>
    <w:rsid w:val="00F66601"/>
    <w:rsid w:val="00F676DD"/>
    <w:rsid w:val="00F70046"/>
    <w:rsid w:val="00F72C72"/>
    <w:rsid w:val="00F75A26"/>
    <w:rsid w:val="00F80ED9"/>
    <w:rsid w:val="00F83FAD"/>
    <w:rsid w:val="00F84BEF"/>
    <w:rsid w:val="00F90AF1"/>
    <w:rsid w:val="00F914FB"/>
    <w:rsid w:val="00F92011"/>
    <w:rsid w:val="00F952A0"/>
    <w:rsid w:val="00F9691E"/>
    <w:rsid w:val="00FA3686"/>
    <w:rsid w:val="00FA3C7F"/>
    <w:rsid w:val="00FA51D0"/>
    <w:rsid w:val="00FA7A51"/>
    <w:rsid w:val="00FB3503"/>
    <w:rsid w:val="00FB74E2"/>
    <w:rsid w:val="00FC0D8A"/>
    <w:rsid w:val="00FC75E3"/>
    <w:rsid w:val="00FC799A"/>
    <w:rsid w:val="00FC7B91"/>
    <w:rsid w:val="00FD5614"/>
    <w:rsid w:val="00FD5D8A"/>
    <w:rsid w:val="00FD5F53"/>
    <w:rsid w:val="00FD7029"/>
    <w:rsid w:val="00FE0BE1"/>
    <w:rsid w:val="00FE0D76"/>
    <w:rsid w:val="00FE1DE9"/>
    <w:rsid w:val="00FE2339"/>
    <w:rsid w:val="00FE39C2"/>
    <w:rsid w:val="00FE3CA5"/>
    <w:rsid w:val="00FE64AE"/>
    <w:rsid w:val="00FE73E7"/>
    <w:rsid w:val="00FF3B84"/>
    <w:rsid w:val="00FF5E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464B11"/>
    <w:rPr>
      <w:rFonts w:ascii="Arial" w:hAnsi="Arial"/>
    </w:rPr>
  </w:style>
  <w:style w:type="paragraph" w:styleId="Heading1">
    <w:name w:val="heading 1"/>
    <w:aliases w:val="Numbered 1. - 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Numbered 1.1 - Heading 2"/>
    <w:next w:val="Normal"/>
    <w:link w:val="Heading2Char"/>
    <w:uiPriority w:val="1"/>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aliases w:val="Numbered 1.1.1 - 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aliases w:val="Numbered 1.1.1.1 - 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2"/>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1. - 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Numbered 1.1 - Heading 2 Char"/>
    <w:basedOn w:val="DefaultParagraphFont"/>
    <w:link w:val="Heading2"/>
    <w:uiPriority w:val="1"/>
    <w:rsid w:val="009D6B46"/>
    <w:rPr>
      <w:rFonts w:ascii="Arial" w:eastAsiaTheme="majorEastAsia" w:hAnsi="Arial" w:cstheme="majorBidi"/>
      <w:b/>
      <w:bCs/>
      <w:color w:val="51626F"/>
      <w:sz w:val="28"/>
      <w:szCs w:val="26"/>
    </w:rPr>
  </w:style>
  <w:style w:type="character" w:customStyle="1" w:styleId="Heading3Char">
    <w:name w:val="Heading 3 Char"/>
    <w:aliases w:val="Numbered 1.1.1 - 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aliases w:val="Numbered 1.1.1.1 - 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rsid w:val="008033C4"/>
    <w:pPr>
      <w:numPr>
        <w:numId w:val="8"/>
      </w:numPr>
      <w:spacing w:before="120"/>
      <w:ind w:left="357" w:hanging="357"/>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2"/>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615C6B"/>
    <w:pPr>
      <w:spacing w:before="60"/>
    </w:pPr>
    <w:rPr>
      <w:sz w:val="16"/>
      <w:szCs w:val="20"/>
    </w:rPr>
  </w:style>
  <w:style w:type="character" w:customStyle="1" w:styleId="FootnoteTextChar">
    <w:name w:val="Footnote Text Char"/>
    <w:basedOn w:val="DefaultParagraphFont"/>
    <w:link w:val="FootnoteText"/>
    <w:uiPriority w:val="2"/>
    <w:rsid w:val="00615C6B"/>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unhideWhenUsed/>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umbered11"/>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Pa32">
    <w:name w:val="Pa32"/>
    <w:basedOn w:val="Normal"/>
    <w:next w:val="Normal"/>
    <w:uiPriority w:val="99"/>
    <w:rsid w:val="000905F0"/>
    <w:pPr>
      <w:autoSpaceDE w:val="0"/>
      <w:autoSpaceDN w:val="0"/>
      <w:adjustRightInd w:val="0"/>
      <w:spacing w:before="0" w:line="181" w:lineRule="atLeast"/>
    </w:pPr>
    <w:rPr>
      <w:rFonts w:ascii="Gotham Book" w:hAnsi="Gotham Book"/>
      <w:sz w:val="24"/>
      <w:szCs w:val="24"/>
    </w:rPr>
  </w:style>
  <w:style w:type="character" w:styleId="CommentReference">
    <w:name w:val="annotation reference"/>
    <w:basedOn w:val="DefaultParagraphFont"/>
    <w:uiPriority w:val="99"/>
    <w:semiHidden/>
    <w:unhideWhenUsed/>
    <w:rsid w:val="00702859"/>
    <w:rPr>
      <w:sz w:val="16"/>
      <w:szCs w:val="16"/>
    </w:rPr>
  </w:style>
  <w:style w:type="paragraph" w:styleId="CommentText">
    <w:name w:val="annotation text"/>
    <w:basedOn w:val="Normal"/>
    <w:link w:val="CommentTextChar"/>
    <w:uiPriority w:val="99"/>
    <w:semiHidden/>
    <w:unhideWhenUsed/>
    <w:rsid w:val="00702859"/>
    <w:rPr>
      <w:sz w:val="20"/>
      <w:szCs w:val="20"/>
    </w:rPr>
  </w:style>
  <w:style w:type="character" w:customStyle="1" w:styleId="CommentTextChar">
    <w:name w:val="Comment Text Char"/>
    <w:basedOn w:val="DefaultParagraphFont"/>
    <w:link w:val="CommentText"/>
    <w:uiPriority w:val="99"/>
    <w:semiHidden/>
    <w:rsid w:val="0070285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02859"/>
    <w:rPr>
      <w:b/>
      <w:bCs/>
    </w:rPr>
  </w:style>
  <w:style w:type="character" w:customStyle="1" w:styleId="CommentSubjectChar">
    <w:name w:val="Comment Subject Char"/>
    <w:basedOn w:val="CommentTextChar"/>
    <w:link w:val="CommentSubject"/>
    <w:uiPriority w:val="99"/>
    <w:semiHidden/>
    <w:rsid w:val="00702859"/>
    <w:rPr>
      <w:rFonts w:ascii="Arial" w:hAnsi="Arial"/>
      <w:b/>
      <w:bCs/>
      <w:sz w:val="20"/>
      <w:szCs w:val="20"/>
    </w:rPr>
  </w:style>
  <w:style w:type="paragraph" w:customStyle="1" w:styleId="Default">
    <w:name w:val="Default"/>
    <w:rsid w:val="00702859"/>
    <w:pPr>
      <w:autoSpaceDE w:val="0"/>
      <w:autoSpaceDN w:val="0"/>
      <w:adjustRightInd w:val="0"/>
      <w:spacing w:before="0"/>
    </w:pPr>
    <w:rPr>
      <w:rFonts w:ascii="PF Centro Slab Pro Medium" w:hAnsi="PF Centro Slab Pro Medium" w:cs="PF Centro Slab Pro Medium"/>
      <w:color w:val="000000"/>
      <w:sz w:val="24"/>
      <w:szCs w:val="24"/>
    </w:rPr>
  </w:style>
  <w:style w:type="paragraph" w:customStyle="1" w:styleId="Heading10">
    <w:name w:val="Heading 1."/>
    <w:next w:val="Normal"/>
    <w:link w:val="Heading1Char0"/>
    <w:qFormat/>
    <w:locked/>
    <w:rsid w:val="00DC3460"/>
    <w:pPr>
      <w:spacing w:before="240" w:after="120"/>
      <w:outlineLvl w:val="0"/>
    </w:pPr>
    <w:rPr>
      <w:rFonts w:ascii="Lucida Fax" w:eastAsiaTheme="majorEastAsia" w:hAnsi="Lucida Fax" w:cstheme="majorBidi"/>
      <w:bCs/>
      <w:color w:val="51626F"/>
      <w:sz w:val="32"/>
      <w:szCs w:val="28"/>
    </w:rPr>
  </w:style>
  <w:style w:type="character" w:customStyle="1" w:styleId="Heading1Char0">
    <w:name w:val="Heading 1. Char"/>
    <w:basedOn w:val="DefaultParagraphFont"/>
    <w:link w:val="Heading10"/>
    <w:rsid w:val="00DC3460"/>
    <w:rPr>
      <w:rFonts w:ascii="Lucida Fax" w:eastAsiaTheme="majorEastAsia" w:hAnsi="Lucida Fax" w:cstheme="majorBidi"/>
      <w:bCs/>
      <w:color w:val="51626F"/>
      <w:sz w:val="32"/>
      <w:szCs w:val="28"/>
    </w:rPr>
  </w:style>
  <w:style w:type="paragraph" w:customStyle="1" w:styleId="Boxedtextheading">
    <w:name w:val="Boxed text heading"/>
    <w:basedOn w:val="Normal"/>
    <w:link w:val="BoxedtextheadingChar"/>
    <w:qFormat/>
    <w:locked/>
    <w:rsid w:val="00045E2A"/>
    <w:pPr>
      <w:pBdr>
        <w:top w:val="single" w:sz="4" w:space="4" w:color="FFFFFF" w:themeColor="background1"/>
        <w:left w:val="single" w:sz="4" w:space="4" w:color="FFFFFF" w:themeColor="background1"/>
        <w:bottom w:val="single" w:sz="4" w:space="4" w:color="FFFFFF" w:themeColor="background1"/>
        <w:right w:val="single" w:sz="4" w:space="4" w:color="FFFFFF" w:themeColor="background1"/>
      </w:pBdr>
      <w:shd w:val="clear" w:color="auto" w:fill="F2F2F2" w:themeFill="background1" w:themeFillShade="F2"/>
      <w:spacing w:before="120" w:after="120"/>
      <w:contextualSpacing/>
    </w:pPr>
    <w:rPr>
      <w:b/>
      <w:szCs w:val="20"/>
    </w:rPr>
  </w:style>
  <w:style w:type="character" w:customStyle="1" w:styleId="BoxedtextheadingChar">
    <w:name w:val="Boxed text heading Char"/>
    <w:basedOn w:val="DefaultParagraphFont"/>
    <w:link w:val="Boxedtextheading"/>
    <w:rsid w:val="00045E2A"/>
    <w:rPr>
      <w:rFonts w:ascii="Arial" w:hAnsi="Arial"/>
      <w:b/>
      <w:szCs w:val="20"/>
      <w:shd w:val="clear" w:color="auto" w:fill="F2F2F2" w:themeFill="background1" w:themeFillShade="F2"/>
    </w:rPr>
  </w:style>
  <w:style w:type="paragraph" w:customStyle="1" w:styleId="Pa3">
    <w:name w:val="Pa3"/>
    <w:basedOn w:val="Default"/>
    <w:next w:val="Default"/>
    <w:uiPriority w:val="99"/>
    <w:rsid w:val="00724EE4"/>
    <w:pPr>
      <w:spacing w:line="171" w:lineRule="atLeast"/>
    </w:pPr>
    <w:rPr>
      <w:rFonts w:ascii="Gotham Light" w:hAnsi="Gotham Light" w:cstheme="minorBidi"/>
      <w:color w:val="auto"/>
    </w:rPr>
  </w:style>
  <w:style w:type="paragraph" w:customStyle="1" w:styleId="Heading20">
    <w:name w:val="Heading 2."/>
    <w:basedOn w:val="Normal"/>
    <w:qFormat/>
    <w:rsid w:val="0022445F"/>
    <w:pPr>
      <w:spacing w:before="240" w:after="120"/>
      <w:outlineLvl w:val="1"/>
    </w:pPr>
    <w:rPr>
      <w:rFonts w:eastAsiaTheme="majorEastAsia" w:cstheme="majorBidi"/>
      <w:b/>
      <w:bCs/>
      <w:color w:val="000000" w:themeColor="text1"/>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464B11"/>
    <w:rPr>
      <w:rFonts w:ascii="Arial" w:hAnsi="Arial"/>
    </w:rPr>
  </w:style>
  <w:style w:type="paragraph" w:styleId="Heading1">
    <w:name w:val="heading 1"/>
    <w:aliases w:val="Numbered 1. - 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Numbered 1.1 - Heading 2"/>
    <w:next w:val="Normal"/>
    <w:link w:val="Heading2Char"/>
    <w:uiPriority w:val="1"/>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aliases w:val="Numbered 1.1.1 - 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aliases w:val="Numbered 1.1.1.1 - 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2"/>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1. - 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Numbered 1.1 - Heading 2 Char"/>
    <w:basedOn w:val="DefaultParagraphFont"/>
    <w:link w:val="Heading2"/>
    <w:uiPriority w:val="1"/>
    <w:rsid w:val="009D6B46"/>
    <w:rPr>
      <w:rFonts w:ascii="Arial" w:eastAsiaTheme="majorEastAsia" w:hAnsi="Arial" w:cstheme="majorBidi"/>
      <w:b/>
      <w:bCs/>
      <w:color w:val="51626F"/>
      <w:sz w:val="28"/>
      <w:szCs w:val="26"/>
    </w:rPr>
  </w:style>
  <w:style w:type="character" w:customStyle="1" w:styleId="Heading3Char">
    <w:name w:val="Heading 3 Char"/>
    <w:aliases w:val="Numbered 1.1.1 - 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aliases w:val="Numbered 1.1.1.1 - 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rsid w:val="008033C4"/>
    <w:pPr>
      <w:numPr>
        <w:numId w:val="8"/>
      </w:numPr>
      <w:spacing w:before="120"/>
      <w:ind w:left="357" w:hanging="357"/>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2"/>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615C6B"/>
    <w:pPr>
      <w:spacing w:before="60"/>
    </w:pPr>
    <w:rPr>
      <w:sz w:val="16"/>
      <w:szCs w:val="20"/>
    </w:rPr>
  </w:style>
  <w:style w:type="character" w:customStyle="1" w:styleId="FootnoteTextChar">
    <w:name w:val="Footnote Text Char"/>
    <w:basedOn w:val="DefaultParagraphFont"/>
    <w:link w:val="FootnoteText"/>
    <w:uiPriority w:val="2"/>
    <w:rsid w:val="00615C6B"/>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unhideWhenUsed/>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umbered11"/>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Pa32">
    <w:name w:val="Pa32"/>
    <w:basedOn w:val="Normal"/>
    <w:next w:val="Normal"/>
    <w:uiPriority w:val="99"/>
    <w:rsid w:val="000905F0"/>
    <w:pPr>
      <w:autoSpaceDE w:val="0"/>
      <w:autoSpaceDN w:val="0"/>
      <w:adjustRightInd w:val="0"/>
      <w:spacing w:before="0" w:line="181" w:lineRule="atLeast"/>
    </w:pPr>
    <w:rPr>
      <w:rFonts w:ascii="Gotham Book" w:hAnsi="Gotham Book"/>
      <w:sz w:val="24"/>
      <w:szCs w:val="24"/>
    </w:rPr>
  </w:style>
  <w:style w:type="character" w:styleId="CommentReference">
    <w:name w:val="annotation reference"/>
    <w:basedOn w:val="DefaultParagraphFont"/>
    <w:uiPriority w:val="99"/>
    <w:semiHidden/>
    <w:unhideWhenUsed/>
    <w:rsid w:val="00702859"/>
    <w:rPr>
      <w:sz w:val="16"/>
      <w:szCs w:val="16"/>
    </w:rPr>
  </w:style>
  <w:style w:type="paragraph" w:styleId="CommentText">
    <w:name w:val="annotation text"/>
    <w:basedOn w:val="Normal"/>
    <w:link w:val="CommentTextChar"/>
    <w:uiPriority w:val="99"/>
    <w:semiHidden/>
    <w:unhideWhenUsed/>
    <w:rsid w:val="00702859"/>
    <w:rPr>
      <w:sz w:val="20"/>
      <w:szCs w:val="20"/>
    </w:rPr>
  </w:style>
  <w:style w:type="character" w:customStyle="1" w:styleId="CommentTextChar">
    <w:name w:val="Comment Text Char"/>
    <w:basedOn w:val="DefaultParagraphFont"/>
    <w:link w:val="CommentText"/>
    <w:uiPriority w:val="99"/>
    <w:semiHidden/>
    <w:rsid w:val="0070285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02859"/>
    <w:rPr>
      <w:b/>
      <w:bCs/>
    </w:rPr>
  </w:style>
  <w:style w:type="character" w:customStyle="1" w:styleId="CommentSubjectChar">
    <w:name w:val="Comment Subject Char"/>
    <w:basedOn w:val="CommentTextChar"/>
    <w:link w:val="CommentSubject"/>
    <w:uiPriority w:val="99"/>
    <w:semiHidden/>
    <w:rsid w:val="00702859"/>
    <w:rPr>
      <w:rFonts w:ascii="Arial" w:hAnsi="Arial"/>
      <w:b/>
      <w:bCs/>
      <w:sz w:val="20"/>
      <w:szCs w:val="20"/>
    </w:rPr>
  </w:style>
  <w:style w:type="paragraph" w:customStyle="1" w:styleId="Default">
    <w:name w:val="Default"/>
    <w:rsid w:val="00702859"/>
    <w:pPr>
      <w:autoSpaceDE w:val="0"/>
      <w:autoSpaceDN w:val="0"/>
      <w:adjustRightInd w:val="0"/>
      <w:spacing w:before="0"/>
    </w:pPr>
    <w:rPr>
      <w:rFonts w:ascii="PF Centro Slab Pro Medium" w:hAnsi="PF Centro Slab Pro Medium" w:cs="PF Centro Slab Pro Medium"/>
      <w:color w:val="000000"/>
      <w:sz w:val="24"/>
      <w:szCs w:val="24"/>
    </w:rPr>
  </w:style>
  <w:style w:type="paragraph" w:customStyle="1" w:styleId="Heading10">
    <w:name w:val="Heading 1."/>
    <w:next w:val="Normal"/>
    <w:link w:val="Heading1Char0"/>
    <w:qFormat/>
    <w:locked/>
    <w:rsid w:val="00DC3460"/>
    <w:pPr>
      <w:spacing w:before="240" w:after="120"/>
      <w:outlineLvl w:val="0"/>
    </w:pPr>
    <w:rPr>
      <w:rFonts w:ascii="Lucida Fax" w:eastAsiaTheme="majorEastAsia" w:hAnsi="Lucida Fax" w:cstheme="majorBidi"/>
      <w:bCs/>
      <w:color w:val="51626F"/>
      <w:sz w:val="32"/>
      <w:szCs w:val="28"/>
    </w:rPr>
  </w:style>
  <w:style w:type="character" w:customStyle="1" w:styleId="Heading1Char0">
    <w:name w:val="Heading 1. Char"/>
    <w:basedOn w:val="DefaultParagraphFont"/>
    <w:link w:val="Heading10"/>
    <w:rsid w:val="00DC3460"/>
    <w:rPr>
      <w:rFonts w:ascii="Lucida Fax" w:eastAsiaTheme="majorEastAsia" w:hAnsi="Lucida Fax" w:cstheme="majorBidi"/>
      <w:bCs/>
      <w:color w:val="51626F"/>
      <w:sz w:val="32"/>
      <w:szCs w:val="28"/>
    </w:rPr>
  </w:style>
  <w:style w:type="paragraph" w:customStyle="1" w:styleId="Boxedtextheading">
    <w:name w:val="Boxed text heading"/>
    <w:basedOn w:val="Normal"/>
    <w:link w:val="BoxedtextheadingChar"/>
    <w:qFormat/>
    <w:locked/>
    <w:rsid w:val="00045E2A"/>
    <w:pPr>
      <w:pBdr>
        <w:top w:val="single" w:sz="4" w:space="4" w:color="FFFFFF" w:themeColor="background1"/>
        <w:left w:val="single" w:sz="4" w:space="4" w:color="FFFFFF" w:themeColor="background1"/>
        <w:bottom w:val="single" w:sz="4" w:space="4" w:color="FFFFFF" w:themeColor="background1"/>
        <w:right w:val="single" w:sz="4" w:space="4" w:color="FFFFFF" w:themeColor="background1"/>
      </w:pBdr>
      <w:shd w:val="clear" w:color="auto" w:fill="F2F2F2" w:themeFill="background1" w:themeFillShade="F2"/>
      <w:spacing w:before="120" w:after="120"/>
      <w:contextualSpacing/>
    </w:pPr>
    <w:rPr>
      <w:b/>
      <w:szCs w:val="20"/>
    </w:rPr>
  </w:style>
  <w:style w:type="character" w:customStyle="1" w:styleId="BoxedtextheadingChar">
    <w:name w:val="Boxed text heading Char"/>
    <w:basedOn w:val="DefaultParagraphFont"/>
    <w:link w:val="Boxedtextheading"/>
    <w:rsid w:val="00045E2A"/>
    <w:rPr>
      <w:rFonts w:ascii="Arial" w:hAnsi="Arial"/>
      <w:b/>
      <w:szCs w:val="20"/>
      <w:shd w:val="clear" w:color="auto" w:fill="F2F2F2" w:themeFill="background1" w:themeFillShade="F2"/>
    </w:rPr>
  </w:style>
  <w:style w:type="paragraph" w:customStyle="1" w:styleId="Pa3">
    <w:name w:val="Pa3"/>
    <w:basedOn w:val="Default"/>
    <w:next w:val="Default"/>
    <w:uiPriority w:val="99"/>
    <w:rsid w:val="00724EE4"/>
    <w:pPr>
      <w:spacing w:line="171" w:lineRule="atLeast"/>
    </w:pPr>
    <w:rPr>
      <w:rFonts w:ascii="Gotham Light" w:hAnsi="Gotham Light" w:cstheme="minorBidi"/>
      <w:color w:val="auto"/>
    </w:rPr>
  </w:style>
  <w:style w:type="paragraph" w:customStyle="1" w:styleId="Heading20">
    <w:name w:val="Heading 2."/>
    <w:basedOn w:val="Normal"/>
    <w:qFormat/>
    <w:rsid w:val="0022445F"/>
    <w:pPr>
      <w:spacing w:before="240" w:after="120"/>
      <w:outlineLvl w:val="1"/>
    </w:pPr>
    <w:rPr>
      <w:rFonts w:eastAsiaTheme="majorEastAsia" w:cstheme="majorBidi"/>
      <w:b/>
      <w:bCs/>
      <w:color w:val="000000" w:themeColor="text1"/>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607511">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319728850">
      <w:bodyDiv w:val="1"/>
      <w:marLeft w:val="0"/>
      <w:marRight w:val="0"/>
      <w:marTop w:val="0"/>
      <w:marBottom w:val="0"/>
      <w:divBdr>
        <w:top w:val="none" w:sz="0" w:space="0" w:color="auto"/>
        <w:left w:val="none" w:sz="0" w:space="0" w:color="auto"/>
        <w:bottom w:val="none" w:sz="0" w:space="0" w:color="auto"/>
        <w:right w:val="none" w:sz="0" w:space="0" w:color="auto"/>
      </w:divBdr>
    </w:div>
    <w:div w:id="1402949915">
      <w:bodyDiv w:val="1"/>
      <w:marLeft w:val="0"/>
      <w:marRight w:val="0"/>
      <w:marTop w:val="0"/>
      <w:marBottom w:val="0"/>
      <w:divBdr>
        <w:top w:val="none" w:sz="0" w:space="0" w:color="auto"/>
        <w:left w:val="none" w:sz="0" w:space="0" w:color="auto"/>
        <w:bottom w:val="none" w:sz="0" w:space="0" w:color="auto"/>
        <w:right w:val="none" w:sz="0" w:space="0" w:color="auto"/>
      </w:divBdr>
    </w:div>
    <w:div w:id="1525557577">
      <w:bodyDiv w:val="1"/>
      <w:marLeft w:val="0"/>
      <w:marRight w:val="0"/>
      <w:marTop w:val="0"/>
      <w:marBottom w:val="0"/>
      <w:divBdr>
        <w:top w:val="none" w:sz="0" w:space="0" w:color="auto"/>
        <w:left w:val="none" w:sz="0" w:space="0" w:color="auto"/>
        <w:bottom w:val="none" w:sz="0" w:space="0" w:color="auto"/>
        <w:right w:val="none" w:sz="0" w:space="0" w:color="auto"/>
      </w:divBdr>
    </w:div>
    <w:div w:id="1873956724">
      <w:bodyDiv w:val="1"/>
      <w:marLeft w:val="0"/>
      <w:marRight w:val="0"/>
      <w:marTop w:val="0"/>
      <w:marBottom w:val="0"/>
      <w:divBdr>
        <w:top w:val="none" w:sz="0" w:space="0" w:color="auto"/>
        <w:left w:val="none" w:sz="0" w:space="0" w:color="auto"/>
        <w:bottom w:val="none" w:sz="0" w:space="0" w:color="auto"/>
        <w:right w:val="none" w:sz="0" w:space="0" w:color="auto"/>
      </w:divBdr>
    </w:div>
    <w:div w:id="212507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oleObject" Target="embeddings/oleObject1.bin"/><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B473EA9-146B-43EB-A021-849E2E671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11DCAB84</Template>
  <TotalTime>63</TotalTime>
  <Pages>27</Pages>
  <Words>10236</Words>
  <Characters>58346</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68446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Haslock, Simon</dc:creator>
  <cp:lastModifiedBy>Hoare, Kevin</cp:lastModifiedBy>
  <cp:revision>4</cp:revision>
  <cp:lastPrinted>2015-06-24T05:54:00Z</cp:lastPrinted>
  <dcterms:created xsi:type="dcterms:W3CDTF">2015-06-25T01:32:00Z</dcterms:created>
  <dcterms:modified xsi:type="dcterms:W3CDTF">2015-06-25T02:34:00Z</dcterms:modified>
</cp:coreProperties>
</file>