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3C" w:rsidRDefault="00E7023C" w:rsidP="00E7023C">
      <w:pPr>
        <w:pStyle w:val="AERtitle1"/>
      </w:pPr>
      <w:bookmarkStart w:id="0" w:name="_Toc387916883"/>
      <w:bookmarkStart w:id="1" w:name="_GoBack"/>
      <w:bookmarkEnd w:id="1"/>
      <w:r w:rsidRPr="00E7023C">
        <w:rPr>
          <w:noProof/>
        </w:rPr>
        <w:drawing>
          <wp:anchor distT="0" distB="0" distL="114300" distR="114300" simplePos="0" relativeHeight="251659264" behindDoc="1" locked="0" layoutInCell="1" allowOverlap="1" wp14:anchorId="1BB2E58A" wp14:editId="391C9934">
            <wp:simplePos x="0" y="0"/>
            <wp:positionH relativeFrom="column">
              <wp:posOffset>-1010920</wp:posOffset>
            </wp:positionH>
            <wp:positionV relativeFrom="paragraph">
              <wp:posOffset>-927735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E7023C" w:rsidRDefault="00E7023C" w:rsidP="00E7023C">
      <w:pPr>
        <w:pStyle w:val="AERtitle1"/>
      </w:pPr>
    </w:p>
    <w:p w:rsidR="00E7023C" w:rsidRDefault="00E7023C" w:rsidP="00E7023C">
      <w:pPr>
        <w:pStyle w:val="AERtitle1"/>
      </w:pPr>
    </w:p>
    <w:p w:rsidR="00E7023C" w:rsidRDefault="00E7023C" w:rsidP="00E7023C">
      <w:pPr>
        <w:pStyle w:val="AERtitle1"/>
      </w:pPr>
    </w:p>
    <w:p w:rsidR="00E7023C" w:rsidRDefault="00E7023C" w:rsidP="00E7023C">
      <w:pPr>
        <w:pStyle w:val="AERtitle1"/>
      </w:pPr>
    </w:p>
    <w:p w:rsidR="00E7023C" w:rsidRPr="000A33B4" w:rsidRDefault="00E7023C" w:rsidP="00E7023C">
      <w:pPr>
        <w:pStyle w:val="AERtitle1"/>
      </w:pPr>
      <w:r>
        <w:t>Draft Decision</w:t>
      </w:r>
    </w:p>
    <w:p w:rsidR="00E7023C" w:rsidRDefault="00E7023C" w:rsidP="00E7023C">
      <w:pPr>
        <w:pStyle w:val="AERtitle1"/>
      </w:pPr>
      <w:r>
        <w:t>Ausgrid distribution determination</w:t>
      </w:r>
    </w:p>
    <w:p w:rsidR="00E7023C" w:rsidRPr="000A33B4" w:rsidRDefault="00E7023C" w:rsidP="00E7023C">
      <w:pPr>
        <w:pStyle w:val="AERtitle1"/>
      </w:pPr>
      <w:r>
        <w:t>2015–16</w:t>
      </w:r>
      <w:r w:rsidRPr="000A33B4">
        <w:t xml:space="preserve"> to 201</w:t>
      </w:r>
      <w:r>
        <w:t>8–</w:t>
      </w:r>
      <w:r w:rsidRPr="000A33B4">
        <w:t>1</w:t>
      </w:r>
      <w:r>
        <w:t>9</w:t>
      </w:r>
    </w:p>
    <w:p w:rsidR="00E7023C" w:rsidRPr="000A33B4" w:rsidRDefault="00E7023C" w:rsidP="00E7023C">
      <w:pPr>
        <w:pStyle w:val="AERtitle1"/>
      </w:pPr>
      <w:r>
        <w:t>Attachment 12: Demand management incentive scheme</w:t>
      </w:r>
    </w:p>
    <w:p w:rsidR="00E7023C" w:rsidRDefault="00E7023C" w:rsidP="0040494C">
      <w:pPr>
        <w:pStyle w:val="AERbodytext"/>
        <w:numPr>
          <w:ilvl w:val="0"/>
          <w:numId w:val="0"/>
        </w:numPr>
      </w:pPr>
    </w:p>
    <w:p w:rsidR="00785817" w:rsidRPr="000A33B4" w:rsidRDefault="00785817" w:rsidP="0040494C">
      <w:pPr>
        <w:pStyle w:val="AERbodytext"/>
        <w:numPr>
          <w:ilvl w:val="0"/>
          <w:numId w:val="0"/>
        </w:numPr>
      </w:pPr>
    </w:p>
    <w:p w:rsidR="00E7023C" w:rsidRDefault="00E7023C" w:rsidP="00E7023C">
      <w:pPr>
        <w:pStyle w:val="AERtitle2"/>
      </w:pPr>
      <w:r w:rsidRPr="000A33B4">
        <w:t>November 2014</w:t>
      </w:r>
    </w:p>
    <w:p w:rsidR="00E7023C" w:rsidRPr="00E7023C" w:rsidRDefault="00E7023C" w:rsidP="00E7023C">
      <w:r>
        <w:br w:type="page"/>
      </w:r>
    </w:p>
    <w:p w:rsidR="00E7023C" w:rsidRPr="000A33B4" w:rsidRDefault="00E7023C" w:rsidP="00E7023C">
      <w:pPr>
        <w:pStyle w:val="AERbodytextnospace"/>
        <w:rPr>
          <w:rStyle w:val="AERtextbold"/>
        </w:rPr>
      </w:pPr>
      <w:r w:rsidRPr="000A33B4">
        <w:rPr>
          <w:rStyle w:val="AERtextbold"/>
        </w:rPr>
        <w:lastRenderedPageBreak/>
        <w:t>© Commonwealth of Australia 2014</w:t>
      </w:r>
    </w:p>
    <w:p w:rsidR="00E7023C" w:rsidRPr="000A33B4" w:rsidRDefault="00E7023C" w:rsidP="00E7023C">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E7023C" w:rsidRPr="000A33B4" w:rsidRDefault="00E7023C" w:rsidP="00E7023C">
      <w:pPr>
        <w:pStyle w:val="AERbulletlistfirststyle"/>
      </w:pPr>
      <w:r w:rsidRPr="000A33B4">
        <w:t>the Commonwealth Coat of Arms</w:t>
      </w:r>
    </w:p>
    <w:p w:rsidR="00E7023C" w:rsidRDefault="00E7023C" w:rsidP="00E7023C">
      <w:pPr>
        <w:pStyle w:val="AERbulletlistfirststyle"/>
      </w:pPr>
      <w:r w:rsidRPr="000A33B4">
        <w:t>the ACCC and AER logos</w:t>
      </w:r>
    </w:p>
    <w:p w:rsidR="00E7023C" w:rsidRPr="000A33B4" w:rsidRDefault="00E7023C" w:rsidP="00E7023C">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E7023C" w:rsidRPr="000A33B4" w:rsidRDefault="00E7023C" w:rsidP="00E7023C">
      <w:pPr>
        <w:pStyle w:val="AERbodytext"/>
      </w:pPr>
      <w:r w:rsidRPr="000A33B4">
        <w:t>The details of the relevant licence conditions are available on the Creative Commons website, as is the full legal code for the CC BY 3.0 AU licence.</w:t>
      </w:r>
    </w:p>
    <w:p w:rsidR="00E7023C" w:rsidRPr="000A33B4" w:rsidRDefault="00E7023C" w:rsidP="00E7023C">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E7023C" w:rsidRPr="000A33B4" w:rsidRDefault="00E7023C" w:rsidP="00E7023C">
      <w:pPr>
        <w:pStyle w:val="AERbodytext"/>
      </w:pPr>
      <w:r w:rsidRPr="000A33B4">
        <w:t>Inquiries about this document should be addressed to:</w:t>
      </w:r>
    </w:p>
    <w:p w:rsidR="00E7023C" w:rsidRPr="000A33B4" w:rsidRDefault="00E7023C" w:rsidP="00E7023C">
      <w:pPr>
        <w:pStyle w:val="AERbodytextnospace"/>
      </w:pPr>
      <w:r w:rsidRPr="000A33B4">
        <w:t>Australian Energy Regulator</w:t>
      </w:r>
    </w:p>
    <w:p w:rsidR="00E7023C" w:rsidRPr="000A33B4" w:rsidRDefault="00E7023C" w:rsidP="00E7023C">
      <w:pPr>
        <w:pStyle w:val="AERbodytextnospace"/>
      </w:pPr>
      <w:r w:rsidRPr="000A33B4">
        <w:t>GPO Box 520</w:t>
      </w:r>
    </w:p>
    <w:p w:rsidR="00E7023C" w:rsidRPr="000A33B4" w:rsidRDefault="00E7023C" w:rsidP="00E7023C">
      <w:pPr>
        <w:pStyle w:val="AERbodytextnospace"/>
      </w:pPr>
      <w:r w:rsidRPr="000A33B4">
        <w:t>Melbourne  Vic  3001</w:t>
      </w:r>
    </w:p>
    <w:p w:rsidR="00E7023C" w:rsidRPr="000A33B4" w:rsidRDefault="00E7023C" w:rsidP="00E7023C">
      <w:pPr>
        <w:pStyle w:val="AERbodytextnospace"/>
      </w:pPr>
      <w:r w:rsidRPr="000A33B4">
        <w:t>Tel: (03) 9290 1444</w:t>
      </w:r>
    </w:p>
    <w:p w:rsidR="00E7023C" w:rsidRPr="000A33B4" w:rsidRDefault="00E7023C" w:rsidP="00E7023C">
      <w:pPr>
        <w:pStyle w:val="AERbodytextnospace"/>
      </w:pPr>
      <w:r w:rsidRPr="000A33B4">
        <w:t>Fax: (03) 9290 1457</w:t>
      </w:r>
    </w:p>
    <w:p w:rsidR="00E7023C" w:rsidRPr="000A33B4" w:rsidRDefault="00E7023C" w:rsidP="00E7023C">
      <w:pPr>
        <w:pStyle w:val="AERbodytextnospace"/>
      </w:pPr>
      <w:r w:rsidRPr="000A33B4">
        <w:t xml:space="preserve">Email: </w:t>
      </w:r>
      <w:hyperlink r:id="rId10" w:history="1">
        <w:r w:rsidRPr="000A33B4">
          <w:rPr>
            <w:rStyle w:val="Hyperlink"/>
          </w:rPr>
          <w:t>AERInquiry@aer.gov.au</w:t>
        </w:r>
      </w:hyperlink>
    </w:p>
    <w:p w:rsidR="00E7023C" w:rsidRPr="000A33B4" w:rsidRDefault="00E7023C" w:rsidP="00E7023C">
      <w:pPr>
        <w:pStyle w:val="AERbodytext"/>
      </w:pPr>
    </w:p>
    <w:p w:rsidR="00E7023C" w:rsidRDefault="00E7023C" w:rsidP="00E7023C">
      <w:pPr>
        <w:pStyle w:val="AERbodytext"/>
        <w:rPr>
          <w:rStyle w:val="AERbody"/>
        </w:rPr>
      </w:pPr>
      <w:r w:rsidRPr="000A33B4">
        <w:t>AER reference</w:t>
      </w:r>
      <w:r w:rsidRPr="000A33B4">
        <w:rPr>
          <w:rStyle w:val="AERbody"/>
        </w:rPr>
        <w:t xml:space="preserve">:  </w:t>
      </w:r>
      <w:r>
        <w:rPr>
          <w:rStyle w:val="AERbody"/>
        </w:rPr>
        <w:t>52294</w:t>
      </w:r>
    </w:p>
    <w:p w:rsidR="00E7023C" w:rsidRDefault="00E7023C" w:rsidP="00E7023C">
      <w:pPr>
        <w:pStyle w:val="UnnumberedHeading"/>
        <w:numPr>
          <w:ilvl w:val="0"/>
          <w:numId w:val="2"/>
        </w:numPr>
      </w:pPr>
      <w:bookmarkStart w:id="2" w:name="_Toc404354899"/>
      <w:bookmarkStart w:id="3" w:name="_Toc404353070"/>
      <w:bookmarkStart w:id="4" w:name="_Toc404361889"/>
      <w:r>
        <w:lastRenderedPageBreak/>
        <w:t>Note</w:t>
      </w:r>
      <w:bookmarkEnd w:id="2"/>
      <w:bookmarkEnd w:id="3"/>
      <w:bookmarkEnd w:id="4"/>
    </w:p>
    <w:p w:rsidR="00E7023C" w:rsidRDefault="00E7023C" w:rsidP="00E7023C">
      <w:pPr>
        <w:pStyle w:val="AERbodytext"/>
      </w:pPr>
      <w:r>
        <w:t>This attachment forms part of the AER's draft decision on Ausgrid’s 2015–19 distribution determination. It should be read with other parts of the draft decision.</w:t>
      </w:r>
    </w:p>
    <w:p w:rsidR="00E7023C" w:rsidRDefault="00E7023C" w:rsidP="00E7023C">
      <w:pPr>
        <w:pStyle w:val="AERbodytext"/>
      </w:pPr>
      <w:r>
        <w:t>The draft decision includes the following documents:</w:t>
      </w:r>
    </w:p>
    <w:p w:rsidR="00E7023C" w:rsidRDefault="00E7023C" w:rsidP="00E7023C">
      <w:pPr>
        <w:pStyle w:val="AERbodytext"/>
      </w:pPr>
      <w:r>
        <w:t>Overview</w:t>
      </w:r>
    </w:p>
    <w:p w:rsidR="00E7023C" w:rsidRDefault="00E7023C" w:rsidP="00E7023C">
      <w:pPr>
        <w:pStyle w:val="AERbodytext"/>
      </w:pPr>
      <w:r>
        <w:t>Attachment 1 – Annual revenue requirement</w:t>
      </w:r>
    </w:p>
    <w:p w:rsidR="00E7023C" w:rsidRDefault="00E7023C" w:rsidP="00E7023C">
      <w:pPr>
        <w:pStyle w:val="AERbodytext"/>
      </w:pPr>
      <w:r>
        <w:t>Attachment 2 – Regulatory asset base</w:t>
      </w:r>
    </w:p>
    <w:p w:rsidR="00E7023C" w:rsidRDefault="00E7023C" w:rsidP="00E7023C">
      <w:pPr>
        <w:pStyle w:val="AERbodytext"/>
      </w:pPr>
      <w:r>
        <w:t>Attachment 3 – Rate of return</w:t>
      </w:r>
    </w:p>
    <w:p w:rsidR="00E7023C" w:rsidRDefault="00E7023C" w:rsidP="00E7023C">
      <w:pPr>
        <w:pStyle w:val="AERbodytext"/>
      </w:pPr>
      <w:r>
        <w:t>Attachment 4 – Value of imputation credits</w:t>
      </w:r>
    </w:p>
    <w:p w:rsidR="00E7023C" w:rsidRDefault="00E7023C" w:rsidP="00E7023C">
      <w:pPr>
        <w:pStyle w:val="AERbodytext"/>
      </w:pPr>
      <w:r>
        <w:t>Attachment 5 – Regulatory depreciation</w:t>
      </w:r>
    </w:p>
    <w:p w:rsidR="00E7023C" w:rsidRDefault="00E7023C" w:rsidP="00E7023C">
      <w:pPr>
        <w:pStyle w:val="AERbodytext"/>
      </w:pPr>
      <w:r>
        <w:t xml:space="preserve">Attachment 6 – Capital expenditure </w:t>
      </w:r>
    </w:p>
    <w:p w:rsidR="00E7023C" w:rsidRDefault="00E7023C" w:rsidP="00E7023C">
      <w:pPr>
        <w:pStyle w:val="AERbodytext"/>
      </w:pPr>
      <w:r>
        <w:t>Attachment 7 – Operating expenditure</w:t>
      </w:r>
    </w:p>
    <w:p w:rsidR="00E7023C" w:rsidRDefault="00E7023C" w:rsidP="00E7023C">
      <w:pPr>
        <w:pStyle w:val="AERbodytext"/>
      </w:pPr>
      <w:r>
        <w:t>Attachment 8 – Corporate income tax</w:t>
      </w:r>
    </w:p>
    <w:p w:rsidR="00E7023C" w:rsidRDefault="00E7023C" w:rsidP="00E7023C">
      <w:pPr>
        <w:pStyle w:val="AERbodytext"/>
      </w:pPr>
      <w:r>
        <w:t>Attachment 9 – Efficiency benefit sharing scheme</w:t>
      </w:r>
    </w:p>
    <w:p w:rsidR="00E7023C" w:rsidRDefault="00E7023C" w:rsidP="00E7023C">
      <w:pPr>
        <w:pStyle w:val="AERbodytext"/>
      </w:pPr>
      <w:r>
        <w:t>Attachment 10 – Capital expenditure sharing scheme</w:t>
      </w:r>
    </w:p>
    <w:p w:rsidR="00E7023C" w:rsidRDefault="00E7023C" w:rsidP="00E7023C">
      <w:pPr>
        <w:pStyle w:val="AERbodytext"/>
      </w:pPr>
      <w:r>
        <w:t>Attachment 11 – Service target performance incentive scheme</w:t>
      </w:r>
    </w:p>
    <w:p w:rsidR="00E7023C" w:rsidRDefault="00E7023C" w:rsidP="00E7023C">
      <w:pPr>
        <w:pStyle w:val="AERbodytext"/>
      </w:pPr>
      <w:r>
        <w:t>Attachment 12 – Demand management incentive scheme</w:t>
      </w:r>
    </w:p>
    <w:p w:rsidR="00E7023C" w:rsidRDefault="00E7023C" w:rsidP="00E7023C">
      <w:pPr>
        <w:pStyle w:val="AERbodytext"/>
      </w:pPr>
      <w:r>
        <w:t>Attachment 13 – Classification of services</w:t>
      </w:r>
    </w:p>
    <w:p w:rsidR="00E7023C" w:rsidRDefault="00E7023C" w:rsidP="00E7023C">
      <w:pPr>
        <w:pStyle w:val="AERbodytext"/>
      </w:pPr>
      <w:r>
        <w:t>Attachment 14 – Control mechanism</w:t>
      </w:r>
    </w:p>
    <w:p w:rsidR="00E7023C" w:rsidRDefault="00E7023C" w:rsidP="00E7023C">
      <w:pPr>
        <w:pStyle w:val="AERbodytext"/>
      </w:pPr>
      <w:r>
        <w:t>Attachment 15 – Pass through events</w:t>
      </w:r>
    </w:p>
    <w:p w:rsidR="00E7023C" w:rsidRDefault="00E7023C" w:rsidP="00E7023C">
      <w:pPr>
        <w:pStyle w:val="AERbodytext"/>
      </w:pPr>
      <w:r>
        <w:t>Attachment 16 – Alternative control services</w:t>
      </w:r>
    </w:p>
    <w:p w:rsidR="00E7023C" w:rsidRDefault="00E7023C" w:rsidP="00E7023C">
      <w:pPr>
        <w:pStyle w:val="AERbodytext"/>
      </w:pPr>
      <w:r>
        <w:t>Attachment 17 – Negotiated services framework and criteria</w:t>
      </w:r>
    </w:p>
    <w:p w:rsidR="00E7023C" w:rsidRPr="008B6C33" w:rsidRDefault="00E7023C" w:rsidP="00E7023C">
      <w:pPr>
        <w:pStyle w:val="AERbodytext"/>
      </w:pPr>
      <w:r>
        <w:t>Attachment 18 – Connection methodology</w:t>
      </w:r>
    </w:p>
    <w:p w:rsidR="00E7023C" w:rsidRDefault="00E7023C" w:rsidP="00E7023C">
      <w:pPr>
        <w:pStyle w:val="AERbodytext"/>
      </w:pPr>
      <w:r>
        <w:t>Attachment 19 – Pricing methodology</w:t>
      </w:r>
    </w:p>
    <w:p w:rsidR="00E7023C" w:rsidRDefault="00E7023C" w:rsidP="00E7023C">
      <w:pPr>
        <w:pStyle w:val="UnnumberedHeading"/>
      </w:pPr>
      <w:bookmarkStart w:id="5" w:name="_Toc404361890"/>
      <w:r>
        <w:lastRenderedPageBreak/>
        <w:t>Contents</w:t>
      </w:r>
      <w:bookmarkEnd w:id="5"/>
    </w:p>
    <w:sdt>
      <w:sdtPr>
        <w:rPr>
          <w:rFonts w:ascii="Arial" w:eastAsiaTheme="minorHAnsi" w:hAnsi="Arial" w:cstheme="minorBidi"/>
          <w:b w:val="0"/>
          <w:bCs w:val="0"/>
          <w:noProof/>
          <w:sz w:val="22"/>
          <w:szCs w:val="22"/>
          <w:lang w:val="en-US" w:eastAsia="ja-JP"/>
        </w:rPr>
        <w:id w:val="1455057675"/>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E7023C" w:rsidRDefault="00E7023C">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361889" w:history="1">
            <w:r w:rsidRPr="00CC1FFA">
              <w:rPr>
                <w:rStyle w:val="Hyperlink"/>
                <w:noProof/>
              </w:rPr>
              <w:t>Note</w:t>
            </w:r>
            <w:r>
              <w:rPr>
                <w:noProof/>
                <w:webHidden/>
              </w:rPr>
              <w:tab/>
              <w:t>12-</w:t>
            </w:r>
            <w:r>
              <w:rPr>
                <w:noProof/>
                <w:webHidden/>
              </w:rPr>
              <w:fldChar w:fldCharType="begin"/>
            </w:r>
            <w:r>
              <w:rPr>
                <w:noProof/>
                <w:webHidden/>
              </w:rPr>
              <w:instrText xml:space="preserve"> PAGEREF _Toc404361889 \h </w:instrText>
            </w:r>
            <w:r>
              <w:rPr>
                <w:noProof/>
                <w:webHidden/>
              </w:rPr>
            </w:r>
            <w:r>
              <w:rPr>
                <w:noProof/>
                <w:webHidden/>
              </w:rPr>
              <w:fldChar w:fldCharType="separate"/>
            </w:r>
            <w:r>
              <w:rPr>
                <w:noProof/>
                <w:webHidden/>
              </w:rPr>
              <w:t>3</w:t>
            </w:r>
            <w:r>
              <w:rPr>
                <w:noProof/>
                <w:webHidden/>
              </w:rPr>
              <w:fldChar w:fldCharType="end"/>
            </w:r>
          </w:hyperlink>
        </w:p>
        <w:p w:rsidR="00E7023C" w:rsidRDefault="00644B1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1890" w:history="1">
            <w:r w:rsidR="00E7023C" w:rsidRPr="00CC1FFA">
              <w:rPr>
                <w:rStyle w:val="Hyperlink"/>
                <w:noProof/>
              </w:rPr>
              <w:t>Contents</w:t>
            </w:r>
            <w:r w:rsidR="00E7023C">
              <w:rPr>
                <w:noProof/>
                <w:webHidden/>
              </w:rPr>
              <w:tab/>
              <w:t>12-</w:t>
            </w:r>
            <w:r w:rsidR="00E7023C">
              <w:rPr>
                <w:noProof/>
                <w:webHidden/>
              </w:rPr>
              <w:fldChar w:fldCharType="begin"/>
            </w:r>
            <w:r w:rsidR="00E7023C">
              <w:rPr>
                <w:noProof/>
                <w:webHidden/>
              </w:rPr>
              <w:instrText xml:space="preserve"> PAGEREF _Toc404361890 \h </w:instrText>
            </w:r>
            <w:r w:rsidR="00E7023C">
              <w:rPr>
                <w:noProof/>
                <w:webHidden/>
              </w:rPr>
            </w:r>
            <w:r w:rsidR="00E7023C">
              <w:rPr>
                <w:noProof/>
                <w:webHidden/>
              </w:rPr>
              <w:fldChar w:fldCharType="separate"/>
            </w:r>
            <w:r w:rsidR="00E7023C">
              <w:rPr>
                <w:noProof/>
                <w:webHidden/>
              </w:rPr>
              <w:t>4</w:t>
            </w:r>
            <w:r w:rsidR="00E7023C">
              <w:rPr>
                <w:noProof/>
                <w:webHidden/>
              </w:rPr>
              <w:fldChar w:fldCharType="end"/>
            </w:r>
          </w:hyperlink>
        </w:p>
        <w:p w:rsidR="00E7023C" w:rsidRDefault="00644B1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1891" w:history="1">
            <w:r w:rsidR="00E7023C" w:rsidRPr="00CC1FFA">
              <w:rPr>
                <w:rStyle w:val="Hyperlink"/>
                <w:noProof/>
              </w:rPr>
              <w:t>Shortened forms</w:t>
            </w:r>
            <w:r w:rsidR="00E7023C">
              <w:rPr>
                <w:noProof/>
                <w:webHidden/>
              </w:rPr>
              <w:tab/>
              <w:t>12-</w:t>
            </w:r>
            <w:r w:rsidR="00E7023C">
              <w:rPr>
                <w:noProof/>
                <w:webHidden/>
              </w:rPr>
              <w:fldChar w:fldCharType="begin"/>
            </w:r>
            <w:r w:rsidR="00E7023C">
              <w:rPr>
                <w:noProof/>
                <w:webHidden/>
              </w:rPr>
              <w:instrText xml:space="preserve"> PAGEREF _Toc404361891 \h </w:instrText>
            </w:r>
            <w:r w:rsidR="00E7023C">
              <w:rPr>
                <w:noProof/>
                <w:webHidden/>
              </w:rPr>
            </w:r>
            <w:r w:rsidR="00E7023C">
              <w:rPr>
                <w:noProof/>
                <w:webHidden/>
              </w:rPr>
              <w:fldChar w:fldCharType="separate"/>
            </w:r>
            <w:r w:rsidR="00E7023C">
              <w:rPr>
                <w:noProof/>
                <w:webHidden/>
              </w:rPr>
              <w:t>5</w:t>
            </w:r>
            <w:r w:rsidR="00E7023C">
              <w:rPr>
                <w:noProof/>
                <w:webHidden/>
              </w:rPr>
              <w:fldChar w:fldCharType="end"/>
            </w:r>
          </w:hyperlink>
        </w:p>
        <w:p w:rsidR="00E7023C" w:rsidRDefault="00644B1F">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361892" w:history="1">
            <w:r w:rsidR="00E7023C" w:rsidRPr="00CC1FFA">
              <w:rPr>
                <w:rStyle w:val="Hyperlink"/>
                <w:noProof/>
              </w:rPr>
              <w:t>12</w:t>
            </w:r>
            <w:r w:rsidR="00E7023C">
              <w:rPr>
                <w:rFonts w:asciiTheme="minorHAnsi" w:eastAsiaTheme="minorEastAsia" w:hAnsiTheme="minorHAnsi" w:cstheme="minorBidi"/>
                <w:b w:val="0"/>
                <w:bCs w:val="0"/>
                <w:noProof/>
                <w:sz w:val="22"/>
                <w:szCs w:val="22"/>
                <w:lang w:eastAsia="en-AU"/>
              </w:rPr>
              <w:tab/>
            </w:r>
            <w:r w:rsidR="00E7023C" w:rsidRPr="00CC1FFA">
              <w:rPr>
                <w:rStyle w:val="Hyperlink"/>
                <w:noProof/>
              </w:rPr>
              <w:t>Demand management incentive scheme</w:t>
            </w:r>
            <w:r w:rsidR="00E7023C">
              <w:rPr>
                <w:noProof/>
                <w:webHidden/>
              </w:rPr>
              <w:tab/>
              <w:t>12-</w:t>
            </w:r>
            <w:r w:rsidR="00E7023C">
              <w:rPr>
                <w:noProof/>
                <w:webHidden/>
              </w:rPr>
              <w:fldChar w:fldCharType="begin"/>
            </w:r>
            <w:r w:rsidR="00E7023C">
              <w:rPr>
                <w:noProof/>
                <w:webHidden/>
              </w:rPr>
              <w:instrText xml:space="preserve"> PAGEREF _Toc404361892 \h </w:instrText>
            </w:r>
            <w:r w:rsidR="00E7023C">
              <w:rPr>
                <w:noProof/>
                <w:webHidden/>
              </w:rPr>
            </w:r>
            <w:r w:rsidR="00E7023C">
              <w:rPr>
                <w:noProof/>
                <w:webHidden/>
              </w:rPr>
              <w:fldChar w:fldCharType="separate"/>
            </w:r>
            <w:r w:rsidR="00E7023C">
              <w:rPr>
                <w:noProof/>
                <w:webHidden/>
              </w:rPr>
              <w:t>7</w:t>
            </w:r>
            <w:r w:rsidR="00E7023C">
              <w:rPr>
                <w:noProof/>
                <w:webHidden/>
              </w:rPr>
              <w:fldChar w:fldCharType="end"/>
            </w:r>
          </w:hyperlink>
        </w:p>
        <w:p w:rsidR="00E7023C" w:rsidRDefault="00644B1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1893" w:history="1">
            <w:r w:rsidR="00E7023C" w:rsidRPr="00CC1FFA">
              <w:rPr>
                <w:rStyle w:val="Hyperlink"/>
                <w:noProof/>
              </w:rPr>
              <w:t>12.1</w:t>
            </w:r>
            <w:r w:rsidR="00E7023C">
              <w:rPr>
                <w:rFonts w:asciiTheme="minorHAnsi" w:eastAsiaTheme="minorEastAsia" w:hAnsiTheme="minorHAnsi" w:cstheme="minorBidi"/>
                <w:iCs w:val="0"/>
                <w:noProof/>
                <w:sz w:val="22"/>
                <w:szCs w:val="22"/>
                <w:lang w:eastAsia="en-AU"/>
              </w:rPr>
              <w:tab/>
            </w:r>
            <w:r w:rsidR="00E7023C" w:rsidRPr="00CC1FFA">
              <w:rPr>
                <w:rStyle w:val="Hyperlink"/>
                <w:noProof/>
              </w:rPr>
              <w:t>Draft decision</w:t>
            </w:r>
            <w:r w:rsidR="00E7023C">
              <w:rPr>
                <w:noProof/>
                <w:webHidden/>
              </w:rPr>
              <w:tab/>
              <w:t>12-</w:t>
            </w:r>
            <w:r w:rsidR="00E7023C">
              <w:rPr>
                <w:noProof/>
                <w:webHidden/>
              </w:rPr>
              <w:fldChar w:fldCharType="begin"/>
            </w:r>
            <w:r w:rsidR="00E7023C">
              <w:rPr>
                <w:noProof/>
                <w:webHidden/>
              </w:rPr>
              <w:instrText xml:space="preserve"> PAGEREF _Toc404361893 \h </w:instrText>
            </w:r>
            <w:r w:rsidR="00E7023C">
              <w:rPr>
                <w:noProof/>
                <w:webHidden/>
              </w:rPr>
            </w:r>
            <w:r w:rsidR="00E7023C">
              <w:rPr>
                <w:noProof/>
                <w:webHidden/>
              </w:rPr>
              <w:fldChar w:fldCharType="separate"/>
            </w:r>
            <w:r w:rsidR="00E7023C">
              <w:rPr>
                <w:noProof/>
                <w:webHidden/>
              </w:rPr>
              <w:t>7</w:t>
            </w:r>
            <w:r w:rsidR="00E7023C">
              <w:rPr>
                <w:noProof/>
                <w:webHidden/>
              </w:rPr>
              <w:fldChar w:fldCharType="end"/>
            </w:r>
          </w:hyperlink>
        </w:p>
        <w:p w:rsidR="00E7023C" w:rsidRDefault="00644B1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1894" w:history="1">
            <w:r w:rsidR="00E7023C" w:rsidRPr="00CC1FFA">
              <w:rPr>
                <w:rStyle w:val="Hyperlink"/>
                <w:noProof/>
              </w:rPr>
              <w:t>12.2</w:t>
            </w:r>
            <w:r w:rsidR="00E7023C">
              <w:rPr>
                <w:rFonts w:asciiTheme="minorHAnsi" w:eastAsiaTheme="minorEastAsia" w:hAnsiTheme="minorHAnsi" w:cstheme="minorBidi"/>
                <w:iCs w:val="0"/>
                <w:noProof/>
                <w:sz w:val="22"/>
                <w:szCs w:val="22"/>
                <w:lang w:eastAsia="en-AU"/>
              </w:rPr>
              <w:tab/>
            </w:r>
            <w:r w:rsidR="00E7023C" w:rsidRPr="00CC1FFA">
              <w:rPr>
                <w:rStyle w:val="Hyperlink"/>
                <w:noProof/>
              </w:rPr>
              <w:t>Ausgrid's proposal</w:t>
            </w:r>
            <w:r w:rsidR="00E7023C">
              <w:rPr>
                <w:noProof/>
                <w:webHidden/>
              </w:rPr>
              <w:tab/>
              <w:t>12-</w:t>
            </w:r>
            <w:r w:rsidR="00E7023C">
              <w:rPr>
                <w:noProof/>
                <w:webHidden/>
              </w:rPr>
              <w:fldChar w:fldCharType="begin"/>
            </w:r>
            <w:r w:rsidR="00E7023C">
              <w:rPr>
                <w:noProof/>
                <w:webHidden/>
              </w:rPr>
              <w:instrText xml:space="preserve"> PAGEREF _Toc404361894 \h </w:instrText>
            </w:r>
            <w:r w:rsidR="00E7023C">
              <w:rPr>
                <w:noProof/>
                <w:webHidden/>
              </w:rPr>
            </w:r>
            <w:r w:rsidR="00E7023C">
              <w:rPr>
                <w:noProof/>
                <w:webHidden/>
              </w:rPr>
              <w:fldChar w:fldCharType="separate"/>
            </w:r>
            <w:r w:rsidR="00E7023C">
              <w:rPr>
                <w:noProof/>
                <w:webHidden/>
              </w:rPr>
              <w:t>8</w:t>
            </w:r>
            <w:r w:rsidR="00E7023C">
              <w:rPr>
                <w:noProof/>
                <w:webHidden/>
              </w:rPr>
              <w:fldChar w:fldCharType="end"/>
            </w:r>
          </w:hyperlink>
        </w:p>
        <w:p w:rsidR="00E7023C" w:rsidRDefault="00644B1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1895" w:history="1">
            <w:r w:rsidR="00E7023C" w:rsidRPr="00CC1FFA">
              <w:rPr>
                <w:rStyle w:val="Hyperlink"/>
                <w:noProof/>
              </w:rPr>
              <w:t>12.3</w:t>
            </w:r>
            <w:r w:rsidR="00E7023C">
              <w:rPr>
                <w:rFonts w:asciiTheme="minorHAnsi" w:eastAsiaTheme="minorEastAsia" w:hAnsiTheme="minorHAnsi" w:cstheme="minorBidi"/>
                <w:iCs w:val="0"/>
                <w:noProof/>
                <w:sz w:val="22"/>
                <w:szCs w:val="22"/>
                <w:lang w:eastAsia="en-AU"/>
              </w:rPr>
              <w:tab/>
            </w:r>
            <w:r w:rsidR="00E7023C" w:rsidRPr="00CC1FFA">
              <w:rPr>
                <w:rStyle w:val="Hyperlink"/>
                <w:noProof/>
              </w:rPr>
              <w:t>AER's assessment approach</w:t>
            </w:r>
            <w:r w:rsidR="00E7023C">
              <w:rPr>
                <w:noProof/>
                <w:webHidden/>
              </w:rPr>
              <w:tab/>
              <w:t>12-</w:t>
            </w:r>
            <w:r w:rsidR="00E7023C">
              <w:rPr>
                <w:noProof/>
                <w:webHidden/>
              </w:rPr>
              <w:fldChar w:fldCharType="begin"/>
            </w:r>
            <w:r w:rsidR="00E7023C">
              <w:rPr>
                <w:noProof/>
                <w:webHidden/>
              </w:rPr>
              <w:instrText xml:space="preserve"> PAGEREF _Toc404361895 \h </w:instrText>
            </w:r>
            <w:r w:rsidR="00E7023C">
              <w:rPr>
                <w:noProof/>
                <w:webHidden/>
              </w:rPr>
            </w:r>
            <w:r w:rsidR="00E7023C">
              <w:rPr>
                <w:noProof/>
                <w:webHidden/>
              </w:rPr>
              <w:fldChar w:fldCharType="separate"/>
            </w:r>
            <w:r w:rsidR="00E7023C">
              <w:rPr>
                <w:noProof/>
                <w:webHidden/>
              </w:rPr>
              <w:t>9</w:t>
            </w:r>
            <w:r w:rsidR="00E7023C">
              <w:rPr>
                <w:noProof/>
                <w:webHidden/>
              </w:rPr>
              <w:fldChar w:fldCharType="end"/>
            </w:r>
          </w:hyperlink>
        </w:p>
        <w:p w:rsidR="00E7023C" w:rsidRDefault="00644B1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1896" w:history="1">
            <w:r w:rsidR="00E7023C" w:rsidRPr="00CC1FFA">
              <w:rPr>
                <w:rStyle w:val="Hyperlink"/>
                <w:noProof/>
              </w:rPr>
              <w:t>12.4</w:t>
            </w:r>
            <w:r w:rsidR="00E7023C">
              <w:rPr>
                <w:rFonts w:asciiTheme="minorHAnsi" w:eastAsiaTheme="minorEastAsia" w:hAnsiTheme="minorHAnsi" w:cstheme="minorBidi"/>
                <w:iCs w:val="0"/>
                <w:noProof/>
                <w:sz w:val="22"/>
                <w:szCs w:val="22"/>
                <w:lang w:eastAsia="en-AU"/>
              </w:rPr>
              <w:tab/>
            </w:r>
            <w:r w:rsidR="00E7023C" w:rsidRPr="00CC1FFA">
              <w:rPr>
                <w:rStyle w:val="Hyperlink"/>
                <w:noProof/>
              </w:rPr>
              <w:t>Reasons for draft decision</w:t>
            </w:r>
            <w:r w:rsidR="00E7023C">
              <w:rPr>
                <w:noProof/>
                <w:webHidden/>
              </w:rPr>
              <w:tab/>
              <w:t>12-</w:t>
            </w:r>
            <w:r w:rsidR="00E7023C">
              <w:rPr>
                <w:noProof/>
                <w:webHidden/>
              </w:rPr>
              <w:fldChar w:fldCharType="begin"/>
            </w:r>
            <w:r w:rsidR="00E7023C">
              <w:rPr>
                <w:noProof/>
                <w:webHidden/>
              </w:rPr>
              <w:instrText xml:space="preserve"> PAGEREF _Toc404361896 \h </w:instrText>
            </w:r>
            <w:r w:rsidR="00E7023C">
              <w:rPr>
                <w:noProof/>
                <w:webHidden/>
              </w:rPr>
            </w:r>
            <w:r w:rsidR="00E7023C">
              <w:rPr>
                <w:noProof/>
                <w:webHidden/>
              </w:rPr>
              <w:fldChar w:fldCharType="separate"/>
            </w:r>
            <w:r w:rsidR="00E7023C">
              <w:rPr>
                <w:noProof/>
                <w:webHidden/>
              </w:rPr>
              <w:t>9</w:t>
            </w:r>
            <w:r w:rsidR="00E7023C">
              <w:rPr>
                <w:noProof/>
                <w:webHidden/>
              </w:rPr>
              <w:fldChar w:fldCharType="end"/>
            </w:r>
          </w:hyperlink>
        </w:p>
        <w:p w:rsidR="00E7023C" w:rsidRPr="00E7023C" w:rsidRDefault="00E7023C" w:rsidP="00E7023C">
          <w:pPr>
            <w:pStyle w:val="AERbodytext"/>
          </w:pPr>
          <w:r>
            <w:fldChar w:fldCharType="end"/>
          </w:r>
        </w:p>
      </w:sdtContent>
    </w:sdt>
    <w:p w:rsidR="00E7023C" w:rsidRPr="00E7023C" w:rsidRDefault="00E7023C" w:rsidP="00E7023C">
      <w:pPr>
        <w:pStyle w:val="AERbodytext"/>
      </w:pPr>
    </w:p>
    <w:p w:rsidR="00E7023C" w:rsidRDefault="00E7023C" w:rsidP="00E7023C">
      <w:pPr>
        <w:pStyle w:val="UnnumberedHeading"/>
        <w:numPr>
          <w:ilvl w:val="0"/>
          <w:numId w:val="2"/>
        </w:numPr>
      </w:pPr>
      <w:bookmarkStart w:id="6" w:name="_Toc402538524"/>
      <w:bookmarkStart w:id="7" w:name="_Toc404354901"/>
      <w:bookmarkStart w:id="8" w:name="_Toc404353072"/>
      <w:bookmarkStart w:id="9" w:name="_Toc404361891"/>
      <w:r>
        <w:lastRenderedPageBreak/>
        <w:t>Shortened forms</w:t>
      </w:r>
      <w:bookmarkEnd w:id="6"/>
      <w:bookmarkEnd w:id="7"/>
      <w:bookmarkEnd w:id="8"/>
      <w:bookmarkEnd w:id="9"/>
    </w:p>
    <w:tbl>
      <w:tblPr>
        <w:tblStyle w:val="AERtable-numbers"/>
        <w:tblW w:w="0" w:type="auto"/>
        <w:tblLook w:val="04A0" w:firstRow="1" w:lastRow="0" w:firstColumn="1" w:lastColumn="0" w:noHBand="0" w:noVBand="1"/>
      </w:tblPr>
      <w:tblGrid>
        <w:gridCol w:w="4621"/>
        <w:gridCol w:w="4621"/>
      </w:tblGrid>
      <w:tr w:rsidR="00E7023C" w:rsidTr="00E72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Shortened form</w:t>
            </w:r>
          </w:p>
        </w:tc>
        <w:tc>
          <w:tcPr>
            <w:tcW w:w="4621" w:type="dxa"/>
          </w:tcPr>
          <w:p w:rsidR="00E7023C" w:rsidRDefault="00E7023C" w:rsidP="00E7023C">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AARR</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AEMC</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AEMO</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AER</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ASRR</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augex</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capex</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CCP</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CESS</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CPI</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CPI-X</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DRP</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DMIA</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DMIS</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distributor</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DUoS</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EBSS</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ERP</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expenditure assessment guideline</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F&amp;A</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MRP</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lastRenderedPageBreak/>
              <w:t>NEL</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NEM</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NEO</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NER</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NSP</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opex</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PPI</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PTRM</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RAB</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RBA</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repex</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RFM</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RIN</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RPP</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SAIDI</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SAIFI</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SLCAPM</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E7023C" w:rsidTr="00E727F2">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STPIS</w:t>
            </w:r>
          </w:p>
        </w:tc>
        <w:tc>
          <w:tcPr>
            <w:tcW w:w="4621" w:type="dxa"/>
          </w:tcPr>
          <w:p w:rsidR="00E7023C" w:rsidRDefault="00E7023C" w:rsidP="00E7023C">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E7023C"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7023C" w:rsidRDefault="00E7023C" w:rsidP="00E7023C">
            <w:pPr>
              <w:pStyle w:val="AERbodytext"/>
            </w:pPr>
            <w:r>
              <w:t>WACC</w:t>
            </w:r>
          </w:p>
        </w:tc>
        <w:tc>
          <w:tcPr>
            <w:tcW w:w="4621" w:type="dxa"/>
          </w:tcPr>
          <w:p w:rsidR="00E7023C" w:rsidRDefault="00E7023C" w:rsidP="00E7023C">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525604" w:rsidRDefault="00525604" w:rsidP="00E7023C">
      <w:pPr>
        <w:pStyle w:val="Heading1"/>
      </w:pPr>
      <w:bookmarkStart w:id="10" w:name="_Toc404361892"/>
      <w:r>
        <w:lastRenderedPageBreak/>
        <w:t>Demand management incentive scheme</w:t>
      </w:r>
      <w:bookmarkEnd w:id="0"/>
      <w:bookmarkEnd w:id="10"/>
    </w:p>
    <w:p w:rsidR="00811CE2" w:rsidRDefault="00811CE2" w:rsidP="00811CE2">
      <w:pPr>
        <w:pStyle w:val="AERbodytext"/>
      </w:pPr>
      <w:bookmarkStart w:id="11" w:name="_Toc387916884"/>
      <w:r>
        <w:t xml:space="preserve">The </w:t>
      </w:r>
      <w:r w:rsidR="00E7023C">
        <w:t>National Electricity Rules (NER)</w:t>
      </w:r>
      <w:r w:rsidRPr="00A940CC">
        <w:t xml:space="preserve"> </w:t>
      </w:r>
      <w:proofErr w:type="gramStart"/>
      <w:r w:rsidRPr="00A940CC">
        <w:t>require</w:t>
      </w:r>
      <w:proofErr w:type="gramEnd"/>
      <w:r w:rsidRPr="00A940CC">
        <w:t xml:space="preserve"> </w:t>
      </w:r>
      <w:r>
        <w:t>us to</w:t>
      </w:r>
      <w:r w:rsidRPr="00A940CC">
        <w:t xml:space="preserve"> develop and implement mechanisms to incentivise distributors</w:t>
      </w:r>
      <w:r>
        <w:t xml:space="preserve"> to consider</w:t>
      </w:r>
      <w:r w:rsidRPr="00A940CC">
        <w:t xml:space="preserve"> </w:t>
      </w:r>
      <w:r>
        <w:t xml:space="preserve">economically efficient </w:t>
      </w:r>
      <w:r w:rsidRPr="00A940CC">
        <w:t>alternatives to building more network</w:t>
      </w:r>
      <w:r>
        <w:t>.</w:t>
      </w:r>
      <w:r w:rsidRPr="001717EA">
        <w:rPr>
          <w:rStyle w:val="FootnoteReference"/>
        </w:rPr>
        <w:footnoteReference w:id="1"/>
      </w:r>
      <w:r>
        <w:t xml:space="preserve"> To meet this requirement, and motivated by the need to improve distributors' capability in the demand management</w:t>
      </w:r>
      <w:r w:rsidRPr="00D801DC">
        <w:t xml:space="preserve"> </w:t>
      </w:r>
      <w:r>
        <w:t>area</w:t>
      </w:r>
      <w:r w:rsidRPr="00D801DC">
        <w:t xml:space="preserve">, we </w:t>
      </w:r>
      <w:r>
        <w:t>implemented a demand management incentive scheme (</w:t>
      </w:r>
      <w:r w:rsidRPr="00D801DC">
        <w:t>DMIS</w:t>
      </w:r>
      <w:r>
        <w:t xml:space="preserve">) </w:t>
      </w:r>
      <w:r w:rsidRPr="00D801DC">
        <w:t xml:space="preserve">in our </w:t>
      </w:r>
      <w:r>
        <w:t>NSW/ACT distribution</w:t>
      </w:r>
      <w:r w:rsidRPr="00D801DC">
        <w:t xml:space="preserve"> determination</w:t>
      </w:r>
      <w:r>
        <w:t>s</w:t>
      </w:r>
      <w:r w:rsidRPr="00D801DC">
        <w:t xml:space="preserve"> for the </w:t>
      </w:r>
      <w:r>
        <w:t>2009</w:t>
      </w:r>
      <w:r w:rsidRPr="00DF6CC5">
        <w:t>–</w:t>
      </w:r>
      <w:r>
        <w:t>14</w:t>
      </w:r>
      <w:r w:rsidRPr="00D801DC">
        <w:t xml:space="preserve"> regulatory </w:t>
      </w:r>
      <w:r>
        <w:t xml:space="preserve">control </w:t>
      </w:r>
      <w:r w:rsidRPr="009207B7">
        <w:t>period.</w:t>
      </w:r>
      <w:r w:rsidRPr="009207B7">
        <w:rPr>
          <w:rStyle w:val="FootnoteReference"/>
        </w:rPr>
        <w:footnoteReference w:id="2"/>
      </w:r>
    </w:p>
    <w:p w:rsidR="00EA12DA" w:rsidRPr="009207B7" w:rsidRDefault="00EA12DA" w:rsidP="00811CE2">
      <w:pPr>
        <w:pStyle w:val="AERbodytext"/>
      </w:pPr>
      <w:r w:rsidRPr="00EA12DA">
        <w:t>The current DMIS for NSW distributors includes two components—the demand management innovation allowance (DMIA)</w:t>
      </w:r>
      <w:r w:rsidRPr="00EA12DA">
        <w:rPr>
          <w:rStyle w:val="AERsuperscript"/>
        </w:rPr>
        <w:footnoteReference w:id="3"/>
      </w:r>
      <w:r w:rsidRPr="00EA12DA">
        <w:t xml:space="preserve"> and the D-factor.</w:t>
      </w:r>
      <w:r w:rsidRPr="00EA12DA">
        <w:rPr>
          <w:rStyle w:val="AERsuperscript"/>
        </w:rPr>
        <w:footnoteReference w:id="4"/>
      </w:r>
    </w:p>
    <w:p w:rsidR="00811CE2" w:rsidRDefault="00811CE2" w:rsidP="00811CE2">
      <w:pPr>
        <w:pStyle w:val="AERbodytext"/>
      </w:pPr>
      <w:r w:rsidRPr="0057413E">
        <w:t xml:space="preserve">The </w:t>
      </w:r>
      <w:r w:rsidR="001953F3">
        <w:t>DMIA</w:t>
      </w:r>
      <w:r>
        <w:t xml:space="preserve"> is</w:t>
      </w:r>
      <w:r w:rsidRPr="0057413E">
        <w:t xml:space="preserve"> a</w:t>
      </w:r>
      <w:r>
        <w:t xml:space="preserve"> capped allowance for distributors to </w:t>
      </w:r>
      <w:r w:rsidRPr="00086D68">
        <w:t>investigate and c</w:t>
      </w:r>
      <w:r>
        <w:t>onduct broad-based and/or peak demand management</w:t>
      </w:r>
      <w:r w:rsidRPr="00086D68">
        <w:t xml:space="preserve"> projects</w:t>
      </w:r>
      <w:r>
        <w:t>. It contains two parts:</w:t>
      </w:r>
    </w:p>
    <w:p w:rsidR="00811CE2" w:rsidRDefault="00811CE2" w:rsidP="00811CE2">
      <w:pPr>
        <w:pStyle w:val="AERbulletlistfirststyle"/>
      </w:pPr>
      <w:r>
        <w:t xml:space="preserve">Part A provides for an innovation allowance to be incorporated into each distributor's </w:t>
      </w:r>
      <w:r w:rsidRPr="0057413E">
        <w:t xml:space="preserve">revenue </w:t>
      </w:r>
      <w:r>
        <w:t xml:space="preserve">allowance for opex each year of the </w:t>
      </w:r>
      <w:r w:rsidRPr="0057413E">
        <w:t xml:space="preserve">regulatory control period. </w:t>
      </w:r>
      <w:r>
        <w:t>D</w:t>
      </w:r>
      <w:r w:rsidRPr="0057413E">
        <w:t>istributor</w:t>
      </w:r>
      <w:r>
        <w:t>s</w:t>
      </w:r>
      <w:r w:rsidRPr="0057413E">
        <w:t xml:space="preserve"> </w:t>
      </w:r>
      <w:r>
        <w:t>prepare</w:t>
      </w:r>
      <w:r w:rsidRPr="0057413E">
        <w:t xml:space="preserve"> annual report</w:t>
      </w:r>
      <w:r>
        <w:t>s</w:t>
      </w:r>
      <w:r w:rsidRPr="0057413E">
        <w:t xml:space="preserve"> on their expenditure under the DMIA</w:t>
      </w:r>
      <w:r w:rsidRPr="008D016F">
        <w:rPr>
          <w:rStyle w:val="AERsuperscript"/>
        </w:rPr>
        <w:footnoteReference w:id="5"/>
      </w:r>
      <w:r w:rsidRPr="008D016F">
        <w:t xml:space="preserve"> </w:t>
      </w:r>
      <w:r w:rsidRPr="0057413E">
        <w:t xml:space="preserve"> in the previous year, which we then assess </w:t>
      </w:r>
      <w:r>
        <w:t>against</w:t>
      </w:r>
      <w:r w:rsidRPr="0057413E">
        <w:t xml:space="preserve"> </w:t>
      </w:r>
      <w:r>
        <w:t>specific criteria</w:t>
      </w:r>
      <w:r w:rsidRPr="0057413E">
        <w:t>.</w:t>
      </w:r>
      <w:r w:rsidRPr="0057413E">
        <w:rPr>
          <w:rStyle w:val="AERsuperscript"/>
        </w:rPr>
        <w:footnoteReference w:id="6"/>
      </w:r>
    </w:p>
    <w:p w:rsidR="00811CE2" w:rsidRPr="00811CE2" w:rsidRDefault="00811CE2" w:rsidP="00811CE2">
      <w:pPr>
        <w:pStyle w:val="AERbulletlistfirststyle"/>
        <w:rPr>
          <w:rStyle w:val="AERbody"/>
          <w:rFonts w:eastAsia="Calibri"/>
        </w:rPr>
      </w:pPr>
      <w:r>
        <w:t xml:space="preserve">Part B compensates distributors for any foregone revenue demonstrated to have resulted from demand management initiatives approved under Part A. During the </w:t>
      </w:r>
      <w:r w:rsidRPr="00811CE2">
        <w:t xml:space="preserve">2009–14 regulatory control </w:t>
      </w:r>
      <w:proofErr w:type="gramStart"/>
      <w:r w:rsidRPr="00811CE2">
        <w:t>period</w:t>
      </w:r>
      <w:proofErr w:type="gramEnd"/>
      <w:r>
        <w:t xml:space="preserve">, </w:t>
      </w:r>
      <w:r w:rsidRPr="009B15BF">
        <w:t xml:space="preserve">NSW distributors </w:t>
      </w:r>
      <w:r>
        <w:t>we</w:t>
      </w:r>
      <w:r w:rsidRPr="009B15BF">
        <w:t xml:space="preserve">re </w:t>
      </w:r>
      <w:r>
        <w:t>subject to a</w:t>
      </w:r>
      <w:r w:rsidRPr="009B15BF">
        <w:t xml:space="preserve"> weighted average price cap (WAPC) form of control. Under this control mechanism, </w:t>
      </w:r>
      <w:r>
        <w:t xml:space="preserve">if a demand management project resulted in a fall in demand for direct control services, the distributor's </w:t>
      </w:r>
      <w:r w:rsidRPr="009B15BF">
        <w:t xml:space="preserve">recoverable revenues </w:t>
      </w:r>
      <w:r>
        <w:t xml:space="preserve">would </w:t>
      </w:r>
      <w:r w:rsidRPr="009B15BF">
        <w:t>fall</w:t>
      </w:r>
      <w:r>
        <w:t xml:space="preserve"> as</w:t>
      </w:r>
      <w:r w:rsidRPr="009B15BF">
        <w:t xml:space="preserve"> prices </w:t>
      </w:r>
      <w:r>
        <w:t>we</w:t>
      </w:r>
      <w:r w:rsidRPr="009B15BF">
        <w:t>re fixed.</w:t>
      </w:r>
      <w:r>
        <w:t xml:space="preserve"> For this reason, foregone revenue was recoverable under Part B of the DMIA.</w:t>
      </w:r>
    </w:p>
    <w:p w:rsidR="00811CE2" w:rsidRDefault="00811CE2" w:rsidP="00811CE2">
      <w:pPr>
        <w:pStyle w:val="AERbodytext"/>
      </w:pPr>
      <w:r>
        <w:t xml:space="preserve">Under the scheme, we </w:t>
      </w:r>
      <w:r w:rsidRPr="00947FAD">
        <w:t>return any underspend against the allowance to customers and compensate distributors for approved foregone revenue</w:t>
      </w:r>
      <w:r>
        <w:t>, once we know their</w:t>
      </w:r>
      <w:r w:rsidRPr="00947FAD">
        <w:t xml:space="preserve"> </w:t>
      </w:r>
      <w:r>
        <w:t xml:space="preserve">approved DMIA expenditure </w:t>
      </w:r>
      <w:r w:rsidRPr="008A1826">
        <w:t xml:space="preserve">for </w:t>
      </w:r>
      <w:r>
        <w:t>each year</w:t>
      </w:r>
      <w:r w:rsidRPr="008A1826">
        <w:t xml:space="preserve"> of the current period</w:t>
      </w:r>
      <w:r>
        <w:t>. We implement this as an adjustment to each distributor's innovation allowance</w:t>
      </w:r>
      <w:r w:rsidR="006755B8">
        <w:t xml:space="preserve"> in</w:t>
      </w:r>
      <w:r w:rsidRPr="008A1826">
        <w:t xml:space="preserve"> the </w:t>
      </w:r>
      <w:r>
        <w:t xml:space="preserve">following </w:t>
      </w:r>
      <w:r w:rsidRPr="008A1826">
        <w:t>regu</w:t>
      </w:r>
      <w:r>
        <w:t>latory control period.</w:t>
      </w:r>
    </w:p>
    <w:p w:rsidR="00811CE2" w:rsidRDefault="00811CE2" w:rsidP="00811CE2">
      <w:pPr>
        <w:pStyle w:val="AERbodytext"/>
      </w:pPr>
      <w:r>
        <w:t xml:space="preserve">The </w:t>
      </w:r>
      <w:r w:rsidRPr="005244AA">
        <w:t>D-factor scheme</w:t>
      </w:r>
      <w:r w:rsidRPr="004C7901">
        <w:rPr>
          <w:rStyle w:val="AERsuperscript"/>
        </w:rPr>
        <w:footnoteReference w:id="7"/>
      </w:r>
      <w:r w:rsidRPr="005244AA">
        <w:t xml:space="preserve"> </w:t>
      </w:r>
      <w:r w:rsidR="006755B8">
        <w:t>acts</w:t>
      </w:r>
      <w:r>
        <w:t xml:space="preserve"> as</w:t>
      </w:r>
      <w:r w:rsidRPr="005244AA">
        <w:t xml:space="preserve"> a counter balance to distribut</w:t>
      </w:r>
      <w:r>
        <w:t>ors' disincentive to implement demand management</w:t>
      </w:r>
      <w:r w:rsidRPr="005244AA">
        <w:t xml:space="preserve"> u</w:t>
      </w:r>
      <w:r>
        <w:t xml:space="preserve">nder the WAPC form </w:t>
      </w:r>
      <w:r w:rsidR="006755B8">
        <w:t>of control. The D-factor offers</w:t>
      </w:r>
      <w:r w:rsidRPr="005244AA">
        <w:t xml:space="preserve"> compensation for both the costs and for</w:t>
      </w:r>
      <w:r>
        <w:t>e</w:t>
      </w:r>
      <w:r w:rsidRPr="005244AA">
        <w:t xml:space="preserve">gone revenue incurred from </w:t>
      </w:r>
      <w:r>
        <w:t xml:space="preserve">demand management </w:t>
      </w:r>
      <w:r w:rsidRPr="005244AA">
        <w:t>projec</w:t>
      </w:r>
      <w:r>
        <w:t>ts</w:t>
      </w:r>
      <w:r w:rsidR="006755B8">
        <w:t xml:space="preserve"> for which the distributor can</w:t>
      </w:r>
      <w:r w:rsidRPr="005244AA">
        <w:t xml:space="preserve"> demonstrate a resultant reduc</w:t>
      </w:r>
      <w:r>
        <w:t>tion in both capex and demand.</w:t>
      </w:r>
    </w:p>
    <w:p w:rsidR="00525604" w:rsidRDefault="00525604" w:rsidP="00F54216">
      <w:pPr>
        <w:pStyle w:val="Heading2"/>
      </w:pPr>
      <w:bookmarkStart w:id="12" w:name="_Toc404361893"/>
      <w:r>
        <w:t>D</w:t>
      </w:r>
      <w:r w:rsidRPr="00525604">
        <w:t>raft decision</w:t>
      </w:r>
      <w:bookmarkEnd w:id="11"/>
      <w:bookmarkEnd w:id="12"/>
    </w:p>
    <w:p w:rsidR="00073725" w:rsidRDefault="005375FF">
      <w:pPr>
        <w:pStyle w:val="AERbodytext"/>
      </w:pPr>
      <w:r>
        <w:t>W</w:t>
      </w:r>
      <w:r w:rsidR="00073725">
        <w:t xml:space="preserve">e </w:t>
      </w:r>
      <w:r w:rsidR="001B6D6A">
        <w:t xml:space="preserve">have </w:t>
      </w:r>
      <w:r w:rsidR="00073725">
        <w:t>determine</w:t>
      </w:r>
      <w:r w:rsidR="001B6D6A">
        <w:t>d</w:t>
      </w:r>
      <w:r w:rsidR="00073725">
        <w:t xml:space="preserve"> </w:t>
      </w:r>
      <w:r w:rsidR="001B6D6A">
        <w:t xml:space="preserve">to continue </w:t>
      </w:r>
      <w:r w:rsidR="00073725">
        <w:t xml:space="preserve">Part A of the DMIA but we </w:t>
      </w:r>
      <w:r w:rsidR="001B6D6A">
        <w:t>will</w:t>
      </w:r>
      <w:r w:rsidR="00073725">
        <w:t xml:space="preserve"> not apply either Part B of the DMIA or the D-Factor scheme for </w:t>
      </w:r>
      <w:r w:rsidR="00AE5288">
        <w:t>Ausgrid</w:t>
      </w:r>
      <w:r w:rsidR="00073725">
        <w:t xml:space="preserve"> in the </w:t>
      </w:r>
      <w:r w:rsidR="00AD6CBB" w:rsidRPr="00AD6CBB">
        <w:t>20</w:t>
      </w:r>
      <w:r w:rsidR="00AD6CBB">
        <w:t>15</w:t>
      </w:r>
      <w:r w:rsidR="00AD6CBB" w:rsidRPr="00AD6CBB">
        <w:t>–1</w:t>
      </w:r>
      <w:r w:rsidR="00AD6CBB">
        <w:t>9</w:t>
      </w:r>
      <w:r w:rsidR="00073725">
        <w:t xml:space="preserve"> regulatory control period.</w:t>
      </w:r>
      <w:r w:rsidR="001B6D6A">
        <w:t xml:space="preserve"> This is consistent with our </w:t>
      </w:r>
      <w:r w:rsidR="001B6D6A">
        <w:lastRenderedPageBreak/>
        <w:t xml:space="preserve">proposed approach </w:t>
      </w:r>
      <w:r w:rsidR="00B4655C">
        <w:t>in the Stage 2 Framework and Approach</w:t>
      </w:r>
      <w:r w:rsidR="006755B8">
        <w:t xml:space="preserve"> </w:t>
      </w:r>
      <w:r w:rsidR="00E7023C">
        <w:t xml:space="preserve">(F&amp;A) </w:t>
      </w:r>
      <w:r w:rsidR="006755B8">
        <w:t>and is also consistent with the approach we took in the transitional regulatory control period</w:t>
      </w:r>
      <w:r w:rsidR="00B4655C">
        <w:t>.</w:t>
      </w:r>
      <w:r w:rsidR="00AD6CBB">
        <w:rPr>
          <w:rStyle w:val="FootnoteReference"/>
        </w:rPr>
        <w:footnoteReference w:id="8"/>
      </w:r>
      <w:r w:rsidR="00FB2BAC">
        <w:t xml:space="preserve"> We </w:t>
      </w:r>
      <w:r w:rsidR="00B4655C">
        <w:t xml:space="preserve">have </w:t>
      </w:r>
      <w:r w:rsidR="00FB2BAC">
        <w:t>also determine</w:t>
      </w:r>
      <w:r w:rsidR="00B4655C">
        <w:t>d</w:t>
      </w:r>
      <w:r w:rsidR="00FB2BAC">
        <w:t xml:space="preserve"> that Au</w:t>
      </w:r>
      <w:r w:rsidR="00AE5288">
        <w:t>s</w:t>
      </w:r>
      <w:r w:rsidR="00FB2BAC">
        <w:t>grid's proposed Demand Management Benefit Sharing Scheme not be introduced at this time.</w:t>
      </w:r>
    </w:p>
    <w:p w:rsidR="005375FF" w:rsidRDefault="00073725" w:rsidP="005375FF">
      <w:pPr>
        <w:pStyle w:val="AERbodytext"/>
      </w:pPr>
      <w:r w:rsidRPr="00135C6D">
        <w:t>The curr</w:t>
      </w:r>
      <w:r w:rsidR="00101D29">
        <w:t xml:space="preserve">ent innovation allowance amount </w:t>
      </w:r>
      <w:r w:rsidR="002658CD">
        <w:t>of $1</w:t>
      </w:r>
      <w:r w:rsidR="00101D29">
        <w:t xml:space="preserve"> million ($2014–15)</w:t>
      </w:r>
      <w:r w:rsidR="00AE4DE1">
        <w:t xml:space="preserve"> per annum</w:t>
      </w:r>
      <w:r w:rsidR="00101D29" w:rsidRPr="003A217E">
        <w:t xml:space="preserve"> </w:t>
      </w:r>
      <w:r w:rsidRPr="00135C6D">
        <w:t xml:space="preserve">will continue in the </w:t>
      </w:r>
      <w:r w:rsidR="00043842" w:rsidRPr="00043842">
        <w:t xml:space="preserve">2015–19 </w:t>
      </w:r>
      <w:r w:rsidRPr="00135C6D">
        <w:t>regulatory control period.</w:t>
      </w:r>
      <w:bookmarkStart w:id="13" w:name="_Toc387916885"/>
    </w:p>
    <w:p w:rsidR="00F8634A" w:rsidRPr="00F8634A" w:rsidRDefault="00073725" w:rsidP="00F8634A">
      <w:pPr>
        <w:pStyle w:val="Heading2"/>
      </w:pPr>
      <w:bookmarkStart w:id="14" w:name="_Toc404361894"/>
      <w:r>
        <w:t>Ausgrid</w:t>
      </w:r>
      <w:r w:rsidR="00F8634A" w:rsidRPr="00F8634A">
        <w:t>'s proposal</w:t>
      </w:r>
      <w:bookmarkEnd w:id="13"/>
      <w:bookmarkEnd w:id="14"/>
    </w:p>
    <w:p w:rsidR="00073725" w:rsidRPr="00073725" w:rsidRDefault="00073725" w:rsidP="00073725">
      <w:pPr>
        <w:pStyle w:val="AERbodytext"/>
      </w:pPr>
      <w:r>
        <w:t xml:space="preserve">Ausgrid supported </w:t>
      </w:r>
      <w:r w:rsidR="00F9148A">
        <w:t>our</w:t>
      </w:r>
      <w:r>
        <w:t xml:space="preserve"> proposal, as set out in the </w:t>
      </w:r>
      <w:r w:rsidRPr="00073725">
        <w:t xml:space="preserve">Stage </w:t>
      </w:r>
      <w:r>
        <w:t>2</w:t>
      </w:r>
      <w:r w:rsidRPr="00073725">
        <w:t xml:space="preserve"> </w:t>
      </w:r>
      <w:r w:rsidR="00E7023C">
        <w:t>F&amp;A</w:t>
      </w:r>
      <w:r w:rsidRPr="00073725">
        <w:t>, to continue applying Part A of the DMIA at the same scal</w:t>
      </w:r>
      <w:r w:rsidR="00030FD2">
        <w:t>e as is currently applied</w:t>
      </w:r>
      <w:r w:rsidRPr="00073725">
        <w:t>, but to discontinue Part B of the scheme as it related to compensation for for</w:t>
      </w:r>
      <w:r w:rsidR="00AE5288">
        <w:t>e</w:t>
      </w:r>
      <w:r w:rsidRPr="00073725">
        <w:t>gone revenue.</w:t>
      </w:r>
      <w:r w:rsidRPr="00073725">
        <w:rPr>
          <w:rStyle w:val="FootnoteReference"/>
        </w:rPr>
        <w:footnoteReference w:id="9"/>
      </w:r>
    </w:p>
    <w:p w:rsidR="00073725" w:rsidRPr="00073725" w:rsidRDefault="00073725" w:rsidP="00073725">
      <w:pPr>
        <w:pStyle w:val="AERbodytext"/>
      </w:pPr>
      <w:r>
        <w:t>Aus</w:t>
      </w:r>
      <w:r w:rsidR="00B4655C">
        <w:t>g</w:t>
      </w:r>
      <w:r>
        <w:t>rid forecast a DMIA under</w:t>
      </w:r>
      <w:r w:rsidR="00686CB4">
        <w:t xml:space="preserve"> </w:t>
      </w:r>
      <w:r>
        <w:t>spe</w:t>
      </w:r>
      <w:r w:rsidR="00215426">
        <w:t>nd and negative carryover of $2 million</w:t>
      </w:r>
      <w:r>
        <w:t xml:space="preserve"> ($2013-14) for the 2009</w:t>
      </w:r>
      <w:r w:rsidR="00043842" w:rsidRPr="00043842">
        <w:t>–</w:t>
      </w:r>
      <w:r>
        <w:t xml:space="preserve">14 regulatory control period. Ausgrid acknowledged that, by the time the final revenue determination is made, </w:t>
      </w:r>
      <w:r w:rsidR="00686CB4">
        <w:t>our</w:t>
      </w:r>
      <w:r>
        <w:t xml:space="preserve"> assessment of Ausgrid’s DMIA expenditure for the </w:t>
      </w:r>
      <w:r w:rsidR="00686CB4" w:rsidRPr="00686CB4">
        <w:t xml:space="preserve">2009–14 </w:t>
      </w:r>
      <w:r>
        <w:t xml:space="preserve">regulatory control </w:t>
      </w:r>
      <w:proofErr w:type="gramStart"/>
      <w:r>
        <w:t>period</w:t>
      </w:r>
      <w:proofErr w:type="gramEnd"/>
      <w:r>
        <w:t xml:space="preserve"> will be complete and adjustments made accordingly. </w:t>
      </w:r>
      <w:r w:rsidRPr="00073725">
        <w:t>Given the two-year D-factor lag, actual and expected incentive payments related to Aus</w:t>
      </w:r>
      <w:r>
        <w:t>g</w:t>
      </w:r>
      <w:r w:rsidRPr="00073725">
        <w:t>rid’s D-factor performance for 2012</w:t>
      </w:r>
      <w:r w:rsidR="0047060F" w:rsidRPr="0047060F">
        <w:t>–</w:t>
      </w:r>
      <w:r w:rsidRPr="00073725">
        <w:t>13 and 2013</w:t>
      </w:r>
      <w:r w:rsidR="0047060F" w:rsidRPr="0047060F">
        <w:t>–</w:t>
      </w:r>
      <w:r w:rsidRPr="00073725">
        <w:t xml:space="preserve">14 respectively was included in its revenue proposal for the </w:t>
      </w:r>
      <w:r w:rsidR="00777599" w:rsidRPr="00043842">
        <w:t>2015–19</w:t>
      </w:r>
      <w:r w:rsidR="0047060F" w:rsidRPr="0047060F">
        <w:t xml:space="preserve"> </w:t>
      </w:r>
      <w:r w:rsidRPr="00073725">
        <w:t>regulatory control period.</w:t>
      </w:r>
      <w:r w:rsidRPr="00073725">
        <w:rPr>
          <w:rStyle w:val="FootnoteReference"/>
        </w:rPr>
        <w:footnoteReference w:id="10"/>
      </w:r>
    </w:p>
    <w:p w:rsidR="00073725" w:rsidRPr="00073725" w:rsidRDefault="00073725" w:rsidP="00073725">
      <w:pPr>
        <w:pStyle w:val="AERbodytext"/>
      </w:pPr>
      <w:r>
        <w:t>However,</w:t>
      </w:r>
      <w:r w:rsidRPr="00073725">
        <w:t xml:space="preserve"> for the </w:t>
      </w:r>
      <w:r w:rsidR="0047060F" w:rsidRPr="0047060F">
        <w:t>20</w:t>
      </w:r>
      <w:r w:rsidR="0047060F">
        <w:t>15</w:t>
      </w:r>
      <w:r w:rsidR="0047060F" w:rsidRPr="0047060F">
        <w:t>–1</w:t>
      </w:r>
      <w:r w:rsidR="0047060F">
        <w:t>9</w:t>
      </w:r>
      <w:r w:rsidR="0047060F" w:rsidRPr="0047060F">
        <w:t xml:space="preserve"> </w:t>
      </w:r>
      <w:r w:rsidRPr="00073725">
        <w:t xml:space="preserve">regulatory control </w:t>
      </w:r>
      <w:proofErr w:type="gramStart"/>
      <w:r w:rsidRPr="00073725">
        <w:t>period</w:t>
      </w:r>
      <w:proofErr w:type="gramEnd"/>
      <w:r w:rsidRPr="00073725">
        <w:t>, Ausgrid proposed a demand management benefit sharing scheme (DMBSS) to replace and improve the incentive component of the D-factor. Aus</w:t>
      </w:r>
      <w:r>
        <w:t>g</w:t>
      </w:r>
      <w:r w:rsidRPr="00073725">
        <w:t>rid proposed its DMBSS in anticipation of a series of rule changes which are currently being considered by the AEMC as part of its Power of Choice review. This review includes an examination of distributor incentives to pursue efficient alternatives to network augmentation and anticipates new rules and principles guiding the design of a new DMIS.</w:t>
      </w:r>
    </w:p>
    <w:p w:rsidR="00073725" w:rsidRPr="00073725" w:rsidRDefault="00073725" w:rsidP="00073725">
      <w:pPr>
        <w:pStyle w:val="AERbodytext"/>
      </w:pPr>
      <w:r>
        <w:t>Ausgrid described its proposed DMBSS as recognising the wider benefits that can flow to consumers as a result of network initiated demand management programs. Further, given the requirements of the Regulatory Investment Test for Distribution</w:t>
      </w:r>
      <w:r w:rsidR="00B4655C">
        <w:t xml:space="preserve"> (RIT-D)</w:t>
      </w:r>
      <w:r>
        <w:t xml:space="preserve"> to consider market benefits in investment decisions, Ausgrid considers its proposed scheme would remove a potential disincentive against selecting demand management alternatives.</w:t>
      </w:r>
    </w:p>
    <w:p w:rsidR="00073725" w:rsidRPr="00073725" w:rsidRDefault="00073725" w:rsidP="00073725">
      <w:pPr>
        <w:pStyle w:val="AERbodytext"/>
      </w:pPr>
      <w:r>
        <w:t>Ausgrid’s proposed DMBSS seeks to share the market benefits that would accrue to its customers with the DNSP in order to ensure optimal decisions in relation to non-network alternatives.</w:t>
      </w:r>
      <w:r w:rsidRPr="00073725">
        <w:t xml:space="preserve"> Specifically, Ausgrid proposed:</w:t>
      </w:r>
    </w:p>
    <w:p w:rsidR="00073725" w:rsidRDefault="00073725" w:rsidP="00777599">
      <w:pPr>
        <w:pStyle w:val="AERbulletlistfirststyle"/>
      </w:pPr>
      <w:proofErr w:type="gramStart"/>
      <w:r>
        <w:t>a</w:t>
      </w:r>
      <w:proofErr w:type="gramEnd"/>
      <w:r>
        <w:t xml:space="preserve"> $100 per kVA incentive in 2013/14 dollars to reflect a 50% share of upstream market benefits from demand management (a rounding up from the average cost of extra capacity of $90/kVA for transmission and $95/kVA for peaking </w:t>
      </w:r>
      <w:r w:rsidRPr="00073725">
        <w:t>generation plant in 2012 dollars, as would be used in RIT</w:t>
      </w:r>
      <w:r w:rsidRPr="00073725">
        <w:noBreakHyphen/>
        <w:t>D evaluations)</w:t>
      </w:r>
      <w:r>
        <w:t>.</w:t>
      </w:r>
    </w:p>
    <w:p w:rsidR="00073725" w:rsidRDefault="00073725" w:rsidP="00777599">
      <w:pPr>
        <w:pStyle w:val="AERbulletlistfirststyle"/>
      </w:pPr>
      <w:proofErr w:type="gramStart"/>
      <w:r>
        <w:t>kVA</w:t>
      </w:r>
      <w:proofErr w:type="gramEnd"/>
      <w:r>
        <w:t xml:space="preserve"> and benefit calculation methods to be the same as those used for RIT-D evaluations.</w:t>
      </w:r>
    </w:p>
    <w:p w:rsidR="00073725" w:rsidRPr="00073725" w:rsidRDefault="00073725" w:rsidP="00777599">
      <w:pPr>
        <w:pStyle w:val="AERbulletlistfirststyle"/>
      </w:pPr>
      <w:r>
        <w:t>DMBSS incentives to be included in the “</w:t>
      </w:r>
      <w:proofErr w:type="spellStart"/>
      <w:r w:rsidR="0047060F">
        <w:t>i</w:t>
      </w:r>
      <w:proofErr w:type="spellEnd"/>
      <w:r>
        <w:t xml:space="preserve"> factor” in the year following a secured commitment to reduce demand.</w:t>
      </w:r>
    </w:p>
    <w:p w:rsidR="00073725" w:rsidRPr="00073725" w:rsidRDefault="00073725" w:rsidP="00073725">
      <w:pPr>
        <w:pStyle w:val="AERbodytext"/>
      </w:pPr>
      <w:r>
        <w:lastRenderedPageBreak/>
        <w:t>Ausgrid also proposed to share benefits with customers on a 50/50 basis with customers’ share of the market benefits of DNSP demand management being reflected through lower transmission and generation charges in customers’ bills.</w:t>
      </w:r>
    </w:p>
    <w:p w:rsidR="00073725" w:rsidRPr="00073725" w:rsidRDefault="00073725" w:rsidP="00073725">
      <w:pPr>
        <w:pStyle w:val="AERbodytext"/>
      </w:pPr>
      <w:r>
        <w:t>Although opportunities for deman</w:t>
      </w:r>
      <w:r w:rsidR="0055049E">
        <w:t>d management at a local level are</w:t>
      </w:r>
      <w:r>
        <w:t xml:space="preserve"> uncertain, Aus</w:t>
      </w:r>
      <w:r w:rsidR="00202A56">
        <w:t>g</w:t>
      </w:r>
      <w:r>
        <w:t>rid considered that 10 to 15 MW of load reduction pe</w:t>
      </w:r>
      <w:r w:rsidR="0055049E">
        <w:t>r annum (representing $1 to 1.5 million</w:t>
      </w:r>
      <w:r>
        <w:t xml:space="preserve"> in incentives) is a reasonable estimate of the annual opportunity for demand management projects under its proposed scheme.</w:t>
      </w:r>
      <w:r w:rsidRPr="00073725">
        <w:rPr>
          <w:rStyle w:val="FootnoteReference"/>
        </w:rPr>
        <w:footnoteReference w:id="11"/>
      </w:r>
    </w:p>
    <w:p w:rsidR="00525604" w:rsidRDefault="00525604" w:rsidP="00F54216">
      <w:pPr>
        <w:pStyle w:val="Heading2"/>
      </w:pPr>
      <w:bookmarkStart w:id="15" w:name="_Toc387916886"/>
      <w:bookmarkStart w:id="16" w:name="_Toc404361895"/>
      <w:r>
        <w:t>AER's assessment approach</w:t>
      </w:r>
      <w:bookmarkEnd w:id="15"/>
      <w:bookmarkEnd w:id="16"/>
    </w:p>
    <w:p w:rsidR="00073725" w:rsidRDefault="00073725" w:rsidP="007957CC">
      <w:pPr>
        <w:pStyle w:val="AERbodytext"/>
      </w:pPr>
      <w:r>
        <w:t xml:space="preserve">The rules require us to have regard to several factors in developing and implementing a DMIS for </w:t>
      </w:r>
      <w:r w:rsidR="007957CC">
        <w:t>Ausgrid</w:t>
      </w:r>
      <w:r>
        <w:t>.</w:t>
      </w:r>
      <w:r w:rsidRPr="004C7901">
        <w:rPr>
          <w:rStyle w:val="FootnoteReference"/>
        </w:rPr>
        <w:footnoteReference w:id="12"/>
      </w:r>
      <w:r>
        <w:t xml:space="preserve"> These are:</w:t>
      </w:r>
    </w:p>
    <w:p w:rsidR="00073725" w:rsidRDefault="00073725" w:rsidP="00073725">
      <w:pPr>
        <w:pStyle w:val="AERbulletlistfirststyle"/>
      </w:pPr>
      <w:r>
        <w:t>Benefits to consumers</w:t>
      </w:r>
    </w:p>
    <w:p w:rsidR="00073725" w:rsidRDefault="00073725" w:rsidP="00073725">
      <w:pPr>
        <w:pStyle w:val="AERbulletlistsecondstyle"/>
      </w:pPr>
      <w:r>
        <w:t>the need to ensure that benefits to electricity consumers likely to result from the scheme are sufficient to warrant any reward or penalty under the scheme</w:t>
      </w:r>
    </w:p>
    <w:p w:rsidR="00073725" w:rsidRDefault="00073725" w:rsidP="00073725">
      <w:pPr>
        <w:pStyle w:val="AERbulletlistsecondstyle"/>
      </w:pPr>
      <w:proofErr w:type="gramStart"/>
      <w:r>
        <w:t>the</w:t>
      </w:r>
      <w:proofErr w:type="gramEnd"/>
      <w:r>
        <w:t xml:space="preserve"> willingness of customers or </w:t>
      </w:r>
      <w:r w:rsidR="00CE5F48">
        <w:t xml:space="preserve">end users </w:t>
      </w:r>
      <w:r>
        <w:t>to pay for increases in costs resulting from implementing DMIS.</w:t>
      </w:r>
    </w:p>
    <w:p w:rsidR="00073725" w:rsidRDefault="00073725" w:rsidP="00073725">
      <w:pPr>
        <w:pStyle w:val="AERbulletlistfirststyle"/>
      </w:pPr>
      <w:r>
        <w:t>Balanced incentives</w:t>
      </w:r>
    </w:p>
    <w:p w:rsidR="00073725" w:rsidRDefault="00073725" w:rsidP="00073725">
      <w:pPr>
        <w:pStyle w:val="AERbulletlistsecondstyle"/>
      </w:pPr>
      <w:r>
        <w:t>the effect of a particular control mechanism (i.e. price as distinct from revenue regulation) on a distributor's incentives to adopt or implement efficient non-network alternatives</w:t>
      </w:r>
    </w:p>
    <w:p w:rsidR="00073725" w:rsidRPr="00A46438" w:rsidRDefault="00073725" w:rsidP="00073725">
      <w:pPr>
        <w:pStyle w:val="AERbulletlistsecondstyle"/>
      </w:pPr>
      <w:r w:rsidRPr="00A46438">
        <w:t xml:space="preserve">the effect of classification of services on a distributor's incentive to adopt or implement efficient embedded generator connections </w:t>
      </w:r>
    </w:p>
    <w:p w:rsidR="00073725" w:rsidRDefault="00073725" w:rsidP="00073725">
      <w:pPr>
        <w:pStyle w:val="AERbulletlistsecondstyle"/>
      </w:pPr>
      <w:r>
        <w:t>the extent the distributor is able to offer efficient pricing structures</w:t>
      </w:r>
    </w:p>
    <w:p w:rsidR="00073725" w:rsidRDefault="00073725" w:rsidP="00073725">
      <w:pPr>
        <w:pStyle w:val="AERbulletlistsecondstyle"/>
      </w:pPr>
      <w:proofErr w:type="gramStart"/>
      <w:r>
        <w:t>the</w:t>
      </w:r>
      <w:proofErr w:type="gramEnd"/>
      <w:r>
        <w:t xml:space="preserve"> possible interactions between DMIS and other incentive schemes.</w:t>
      </w:r>
    </w:p>
    <w:p w:rsidR="007957CC" w:rsidRDefault="00771F90" w:rsidP="00777599">
      <w:pPr>
        <w:pStyle w:val="AERbodytext"/>
      </w:pPr>
      <w:r>
        <w:t xml:space="preserve">We </w:t>
      </w:r>
      <w:r w:rsidR="007957CC">
        <w:t xml:space="preserve">had regard to these factors in considering the proposed approach to the DMIS for Ausgrid as set out in our Stage 2 </w:t>
      </w:r>
      <w:r w:rsidR="00E7023C">
        <w:t>F&amp;A</w:t>
      </w:r>
      <w:r w:rsidR="007957CC">
        <w:t xml:space="preserve"> for the NSW DNSPs.</w:t>
      </w:r>
      <w:r w:rsidR="00ED6CB8">
        <w:rPr>
          <w:rStyle w:val="FootnoteReference"/>
        </w:rPr>
        <w:footnoteReference w:id="13"/>
      </w:r>
      <w:r w:rsidR="007957CC">
        <w:t xml:space="preserve">  </w:t>
      </w:r>
    </w:p>
    <w:p w:rsidR="00525604" w:rsidRDefault="00525604" w:rsidP="00F54216">
      <w:pPr>
        <w:pStyle w:val="Heading2"/>
      </w:pPr>
      <w:bookmarkStart w:id="17" w:name="_Toc387916888"/>
      <w:bookmarkStart w:id="18" w:name="_Toc404361896"/>
      <w:r>
        <w:t>Reasons for draft decision</w:t>
      </w:r>
      <w:bookmarkEnd w:id="17"/>
      <w:bookmarkEnd w:id="18"/>
    </w:p>
    <w:p w:rsidR="00043842" w:rsidRPr="00043842" w:rsidRDefault="00043842" w:rsidP="00043842">
      <w:pPr>
        <w:pStyle w:val="AERbodytext"/>
      </w:pPr>
      <w:r w:rsidRPr="00043842">
        <w:t xml:space="preserve">Consistent with our decisions for the transitional regulatory control period, we </w:t>
      </w:r>
      <w:r w:rsidR="00792AEF">
        <w:t>will</w:t>
      </w:r>
      <w:r w:rsidRPr="00043842">
        <w:t xml:space="preserve"> not apply the Part B foregone revenue component of the DMIA or the D-factor in the </w:t>
      </w:r>
      <w:r w:rsidR="00792AEF" w:rsidRPr="00792AEF">
        <w:t xml:space="preserve">2015–19 </w:t>
      </w:r>
      <w:r w:rsidRPr="00043842">
        <w:t xml:space="preserve">regulatory control </w:t>
      </w:r>
      <w:proofErr w:type="gramStart"/>
      <w:r w:rsidRPr="00043842">
        <w:t>period</w:t>
      </w:r>
      <w:proofErr w:type="gramEnd"/>
      <w:r w:rsidRPr="00043842">
        <w:t xml:space="preserve"> due to the move to a revenue cap.</w:t>
      </w:r>
    </w:p>
    <w:p w:rsidR="00043842" w:rsidRPr="00043842" w:rsidRDefault="00043842" w:rsidP="00043842">
      <w:pPr>
        <w:pStyle w:val="AERbodytext"/>
      </w:pPr>
      <w:r w:rsidRPr="00043842">
        <w:t xml:space="preserve">However, as the D-factor operates on a two-year lag, </w:t>
      </w:r>
      <w:r w:rsidR="00792AEF">
        <w:t>Ausgrid</w:t>
      </w:r>
      <w:r w:rsidRPr="00043842">
        <w:t xml:space="preserve"> will be able to recover the costs and foregone revenues of applicable demand management projects relevant to the </w:t>
      </w:r>
      <w:r w:rsidR="00792AEF" w:rsidRPr="00792AEF">
        <w:t xml:space="preserve">2009–14 </w:t>
      </w:r>
      <w:r w:rsidRPr="00043842">
        <w:t xml:space="preserve">regulatory control period in the </w:t>
      </w:r>
      <w:r w:rsidR="00792AEF" w:rsidRPr="00792AEF">
        <w:t xml:space="preserve">2015–19 </w:t>
      </w:r>
      <w:r w:rsidRPr="00043842">
        <w:t>regulatory control period.</w:t>
      </w:r>
    </w:p>
    <w:p w:rsidR="00FB2BAC" w:rsidRDefault="00FB2BAC" w:rsidP="00FB2BAC">
      <w:r>
        <w:t xml:space="preserve">Our Stage 2 </w:t>
      </w:r>
      <w:r w:rsidR="00E7023C">
        <w:t>F&amp;A</w:t>
      </w:r>
      <w:r>
        <w:t xml:space="preserve"> stated that our intention to develop and implement a new DMIS for the </w:t>
      </w:r>
      <w:r w:rsidR="00792AEF" w:rsidRPr="00792AEF">
        <w:t xml:space="preserve">2015–19 </w:t>
      </w:r>
      <w:r>
        <w:t xml:space="preserve">regulatory control period was dependent on the progress of the rule change process arising from the </w:t>
      </w:r>
      <w:r>
        <w:lastRenderedPageBreak/>
        <w:t>AEMC’s Power of Choice review.</w:t>
      </w:r>
      <w:r w:rsidR="00C32126">
        <w:rPr>
          <w:rStyle w:val="FootnoteReference"/>
        </w:rPr>
        <w:footnoteReference w:id="14"/>
      </w:r>
      <w:r>
        <w:t xml:space="preserve"> At the time </w:t>
      </w:r>
      <w:r w:rsidR="00CE5F48">
        <w:t>of this</w:t>
      </w:r>
      <w:r>
        <w:t xml:space="preserve"> draft decision, the AEMC expect to commence consultation on the rule change requ</w:t>
      </w:r>
      <w:r w:rsidR="00E67683">
        <w:t>ests received in the first quarter of 2015</w:t>
      </w:r>
      <w:r>
        <w:t>.</w:t>
      </w:r>
      <w:r w:rsidR="00C32126" w:rsidDel="00C32126">
        <w:rPr>
          <w:rStyle w:val="FootnoteReference"/>
        </w:rPr>
        <w:t xml:space="preserve"> </w:t>
      </w:r>
    </w:p>
    <w:p w:rsidR="00FB2BAC" w:rsidRDefault="00FB2BAC" w:rsidP="00FB2BAC">
      <w:r>
        <w:t xml:space="preserve">The Total Environment Centre (TEC) provided a submission which addressed reform of the DMIS. In addition to discussing its current rule change request to the AEMC on the Power of Choice review, the TEC advocated for a more effective </w:t>
      </w:r>
      <w:r w:rsidR="00DC45CE">
        <w:t>demand management</w:t>
      </w:r>
      <w:r>
        <w:t xml:space="preserve"> incentive scheme and requested that </w:t>
      </w:r>
      <w:r w:rsidR="00DC45CE">
        <w:t>we</w:t>
      </w:r>
      <w:r>
        <w:t xml:space="preserve"> use </w:t>
      </w:r>
      <w:r w:rsidR="00DC45CE">
        <w:t>our</w:t>
      </w:r>
      <w:r>
        <w:t xml:space="preserve"> discretion to revise the operation and guidelines of the current DMIS in lieu of any rule change.</w:t>
      </w:r>
      <w:r>
        <w:rPr>
          <w:rStyle w:val="FootnoteReference"/>
        </w:rPr>
        <w:footnoteReference w:id="15"/>
      </w:r>
      <w:r>
        <w:t xml:space="preserve"> The TEC also considered Ausgrid’s proposed DMBSS and </w:t>
      </w:r>
      <w:r w:rsidR="00202A56">
        <w:t>submitted</w:t>
      </w:r>
      <w:r>
        <w:t xml:space="preserve"> that the proposed $100 per kVA incentive should be limited to a 50</w:t>
      </w:r>
      <w:r w:rsidR="00E7023C">
        <w:t xml:space="preserve"> per cent</w:t>
      </w:r>
      <w:r>
        <w:t xml:space="preserve"> share of upstream benefits to the network and this limit only reached where </w:t>
      </w:r>
      <w:r w:rsidR="00DC45CE">
        <w:t>we</w:t>
      </w:r>
      <w:r>
        <w:t xml:space="preserve"> determine that the cost-benefit analysis of the proposed non-network solution is extremely favourable.</w:t>
      </w:r>
      <w:r>
        <w:rPr>
          <w:rStyle w:val="FootnoteReference"/>
        </w:rPr>
        <w:footnoteReference w:id="16"/>
      </w:r>
    </w:p>
    <w:p w:rsidR="00F44C41" w:rsidRDefault="00FB2BAC" w:rsidP="00FB2BAC">
      <w:r>
        <w:t xml:space="preserve">A submission was </w:t>
      </w:r>
      <w:r w:rsidR="00202A56">
        <w:t xml:space="preserve">also </w:t>
      </w:r>
      <w:r>
        <w:t>received from the Public Interest Advocacy Centre (PIAC) which supported immediate reform of the current DMIS. In particular, the PIAC recommended that a new scheme be developed in which demand management was central to DNSPs’ activities rather than supplementary. The PIAC also supported Ausgrid’s DMBSS as an interim measure before a revised scheme is introduced</w:t>
      </w:r>
      <w:r w:rsidR="00F44C41">
        <w:t xml:space="preserve"> and submitted that it is likely that the scheme will need targets and possibly penalties for non-compliance</w:t>
      </w:r>
      <w:r>
        <w:t>.</w:t>
      </w:r>
      <w:r>
        <w:rPr>
          <w:rStyle w:val="FootnoteReference"/>
        </w:rPr>
        <w:footnoteReference w:id="17"/>
      </w:r>
      <w:r w:rsidR="00F44C41">
        <w:t xml:space="preserve"> </w:t>
      </w:r>
      <w:r w:rsidR="00777599">
        <w:t>T</w:t>
      </w:r>
      <w:r w:rsidR="00F44C41">
        <w:t>he Consumer Challenge Panel also submitted that we should consider using rewards and penalties to encourage new approaches to demand management.</w:t>
      </w:r>
      <w:r w:rsidR="00F44C41">
        <w:rPr>
          <w:rStyle w:val="FootnoteReference"/>
        </w:rPr>
        <w:footnoteReference w:id="18"/>
      </w:r>
    </w:p>
    <w:p w:rsidR="00A14332" w:rsidRDefault="00202A56" w:rsidP="00777599">
      <w:pPr>
        <w:pStyle w:val="AERbodytext"/>
      </w:pPr>
      <w:r>
        <w:t xml:space="preserve">We </w:t>
      </w:r>
      <w:r w:rsidR="00FB2BAC">
        <w:t xml:space="preserve">do not intend to pre-empt consultation on the AEMC’s review of the current demand management arrangements by commencing a separate consultation process on a new DMIS before the outcomes of the review are </w:t>
      </w:r>
      <w:r w:rsidR="00653A0B">
        <w:t>finalised</w:t>
      </w:r>
      <w:r w:rsidR="00FB2BAC">
        <w:t>.</w:t>
      </w:r>
      <w:r w:rsidR="00574B8C">
        <w:t xml:space="preserve"> </w:t>
      </w:r>
      <w:r w:rsidR="00EA3466">
        <w:t>Quite apart from</w:t>
      </w:r>
      <w:r w:rsidR="00574B8C">
        <w:t xml:space="preserve"> the unnecessary complications and inefficiencies that a parallel policy process would create, </w:t>
      </w:r>
      <w:r w:rsidR="00A14332">
        <w:t xml:space="preserve">the confines of </w:t>
      </w:r>
      <w:r w:rsidR="00EA62A9">
        <w:t xml:space="preserve">a distribution </w:t>
      </w:r>
      <w:r w:rsidR="00A14332">
        <w:t>revenue re</w:t>
      </w:r>
      <w:r w:rsidR="00EA62A9">
        <w:t>view</w:t>
      </w:r>
      <w:r w:rsidR="00A14332">
        <w:t xml:space="preserve"> make it ill-suited to driving regulatory reform.</w:t>
      </w:r>
    </w:p>
    <w:p w:rsidR="00C35C46" w:rsidRDefault="00A14332" w:rsidP="00777599">
      <w:pPr>
        <w:pStyle w:val="AERbodytext"/>
      </w:pPr>
      <w:r>
        <w:t xml:space="preserve">We acknowledge the need to reform the existing demand management incentive arrangements </w:t>
      </w:r>
      <w:r w:rsidR="00747942">
        <w:t xml:space="preserve">and the importance of demand management in deferring the need for network augmentation by alleviating network utilisation during peak usage periods. The move to a revenue cap form of control, thereby removing any disincentive </w:t>
      </w:r>
      <w:r w:rsidR="00AC2E15">
        <w:t xml:space="preserve">for distributors to reduce the quantity of electricity sold </w:t>
      </w:r>
      <w:r w:rsidR="001016FF">
        <w:t xml:space="preserve">by </w:t>
      </w:r>
      <w:r w:rsidR="00AC724A">
        <w:t>pursuing</w:t>
      </w:r>
      <w:r w:rsidR="00AC2E15">
        <w:t xml:space="preserve"> demand management </w:t>
      </w:r>
      <w:r w:rsidR="001016FF">
        <w:t>initiatives</w:t>
      </w:r>
      <w:r w:rsidR="00AC2E15">
        <w:t>, and more robust obligations to consider non-network alternatives in order to satisfy RIT-D requirements</w:t>
      </w:r>
      <w:r w:rsidR="001016FF">
        <w:t xml:space="preserve"> provide distributors with opportunities to improve and expand their demand management programs.</w:t>
      </w:r>
    </w:p>
    <w:p w:rsidR="00FB2BAC" w:rsidRDefault="0082522F" w:rsidP="00777599">
      <w:pPr>
        <w:pStyle w:val="AERbodytext"/>
      </w:pPr>
      <w:r>
        <w:t>B</w:t>
      </w:r>
      <w:r w:rsidR="00C35C46">
        <w:t xml:space="preserve">eyond increasing opportunities, </w:t>
      </w:r>
      <w:r w:rsidR="00AC724A">
        <w:t>we recognise the importance of strengthening demand management incentives</w:t>
      </w:r>
      <w:r w:rsidR="00C35C46">
        <w:t xml:space="preserve"> in order to defer network augmentation.</w:t>
      </w:r>
      <w:r>
        <w:t xml:space="preserve"> A benefit sharing scheme, such as that proposed by Ausgrid, could well be effective in strength</w:t>
      </w:r>
      <w:r w:rsidR="00666F30">
        <w:t>ening incentives in this regard.</w:t>
      </w:r>
      <w:r>
        <w:t xml:space="preserve"> </w:t>
      </w:r>
      <w:r w:rsidR="00666F30">
        <w:t>H</w:t>
      </w:r>
      <w:r>
        <w:t>owever, we consider that such proposals deserve the full sc</w:t>
      </w:r>
      <w:r w:rsidR="00666F30">
        <w:t>rutiny of a consultative rule change process</w:t>
      </w:r>
      <w:r>
        <w:t xml:space="preserve"> </w:t>
      </w:r>
      <w:r w:rsidR="00666F30">
        <w:t xml:space="preserve">by the AEMC and a subsequent scheme development process by the AER to ensure a robust outcome. </w:t>
      </w:r>
      <w:r w:rsidR="00FB2BAC">
        <w:t>For th</w:t>
      </w:r>
      <w:r w:rsidR="00666F30">
        <w:t>ese</w:t>
      </w:r>
      <w:r w:rsidR="00FB2BAC">
        <w:t xml:space="preserve"> reason</w:t>
      </w:r>
      <w:r w:rsidR="00666F30">
        <w:t>s</w:t>
      </w:r>
      <w:r w:rsidR="00FB2BAC">
        <w:t xml:space="preserve">, we have </w:t>
      </w:r>
      <w:r w:rsidR="00666F30">
        <w:t xml:space="preserve">determined to not introduce Ausgrid's proposed DMBSS at this time and </w:t>
      </w:r>
      <w:r w:rsidR="00FB2BAC">
        <w:t xml:space="preserve">adopted the position proposed in the Stage 2 </w:t>
      </w:r>
      <w:r w:rsidR="00E7023C">
        <w:t>F&amp;A</w:t>
      </w:r>
      <w:r w:rsidR="00FB2BAC">
        <w:t xml:space="preserve"> </w:t>
      </w:r>
      <w:r w:rsidR="00666F30">
        <w:t xml:space="preserve">to </w:t>
      </w:r>
      <w:r w:rsidR="00FB2BAC">
        <w:t>approve DMIA allowances consistent with their current scale.</w:t>
      </w:r>
    </w:p>
    <w:p w:rsidR="00544D92" w:rsidRPr="00544D92" w:rsidRDefault="00FC5829" w:rsidP="00777599">
      <w:pPr>
        <w:pStyle w:val="AERbodytext"/>
      </w:pPr>
      <w:r>
        <w:lastRenderedPageBreak/>
        <w:t xml:space="preserve">We </w:t>
      </w:r>
      <w:r w:rsidR="00FB2BAC">
        <w:t>intend to introduce a revised DMIS as soon as practicable</w:t>
      </w:r>
      <w:r>
        <w:t xml:space="preserve"> following the AEMC's rule </w:t>
      </w:r>
      <w:proofErr w:type="gramStart"/>
      <w:r>
        <w:t>change</w:t>
      </w:r>
      <w:proofErr w:type="gramEnd"/>
      <w:r>
        <w:t xml:space="preserve"> process</w:t>
      </w:r>
      <w:r w:rsidR="00FB2BAC">
        <w:t>.</w:t>
      </w:r>
      <w:r w:rsidR="00544D92">
        <w:t xml:space="preserve"> </w:t>
      </w:r>
      <w:r w:rsidR="00544D92" w:rsidRPr="00544D92">
        <w:t>It is likely that transitional rules will be required to allow the revised scheme to apply within the 2015–19 regulatory control period.</w:t>
      </w:r>
    </w:p>
    <w:p w:rsidR="001B6619" w:rsidRDefault="00E1106C" w:rsidP="00777599">
      <w:r>
        <w:t xml:space="preserve">Ausgrid has set out its proposed demand management projects for the </w:t>
      </w:r>
      <w:r w:rsidR="00DC45CE" w:rsidRPr="00DC45CE">
        <w:t xml:space="preserve">2015–19 </w:t>
      </w:r>
      <w:r>
        <w:t>regulatory</w:t>
      </w:r>
      <w:r w:rsidR="00DC45CE">
        <w:t xml:space="preserve"> control</w:t>
      </w:r>
      <w:r w:rsidR="00653A0B">
        <w:t xml:space="preserve"> </w:t>
      </w:r>
      <w:proofErr w:type="gramStart"/>
      <w:r w:rsidR="00653A0B">
        <w:t>period</w:t>
      </w:r>
      <w:proofErr w:type="gramEnd"/>
      <w:r w:rsidR="00653A0B">
        <w:t>,</w:t>
      </w:r>
      <w:r w:rsidR="00597634">
        <w:t xml:space="preserve"> including those it proposed to fund through the DMIS.</w:t>
      </w:r>
      <w:r w:rsidR="00AC1274">
        <w:rPr>
          <w:rStyle w:val="FootnoteReference"/>
        </w:rPr>
        <w:footnoteReference w:id="19"/>
      </w:r>
      <w:r w:rsidR="00597634">
        <w:t xml:space="preserve"> The DMIS provides for an ex post review of claims for funding through the DMIS.</w:t>
      </w:r>
      <w:r w:rsidR="000D5869">
        <w:rPr>
          <w:rStyle w:val="FootnoteReference"/>
        </w:rPr>
        <w:footnoteReference w:id="20"/>
      </w:r>
      <w:r w:rsidR="00597634">
        <w:t xml:space="preserve"> We do not need to make a decision at this time on whether Ausgrid's proposed projects are consistent with, or likely to be consistent with, the criteria for funding under the DMIS.</w:t>
      </w:r>
    </w:p>
    <w:p w:rsidR="00F9148A" w:rsidRDefault="00F9148A" w:rsidP="00E67683">
      <w:pPr>
        <w:pStyle w:val="AERbodytext"/>
      </w:pPr>
      <w:r>
        <w:t xml:space="preserve">Ausgrid proposed a number of demand management costs as part of its </w:t>
      </w:r>
      <w:r w:rsidR="006755B8">
        <w:t>total forecast capital expenditure and operating expenditure building block</w:t>
      </w:r>
      <w:r w:rsidR="00D65A2E">
        <w:t>s</w:t>
      </w:r>
      <w:r>
        <w:t xml:space="preserve">. Our DMIS states that costs recovered under the DMIS must not be included in the forecast capital or operating expenditure approved in the distribution determination, or under any other incentive scheme in that determination. Ausgrid will not be able to obtain funding under the DMIS for demand management activities already funded through </w:t>
      </w:r>
      <w:r w:rsidR="006755B8">
        <w:t>the forecast capital expenditure</w:t>
      </w:r>
      <w:r w:rsidR="00A043FC">
        <w:t xml:space="preserve"> or operating expenditure building blocks</w:t>
      </w:r>
      <w:r>
        <w:t xml:space="preserve">. Our decision on Ausgrid's </w:t>
      </w:r>
      <w:r w:rsidR="00653A0B">
        <w:t xml:space="preserve">demand management related </w:t>
      </w:r>
      <w:r w:rsidR="00A043FC">
        <w:t>cap</w:t>
      </w:r>
      <w:r w:rsidR="00A043FC" w:rsidRPr="00A043FC">
        <w:t xml:space="preserve">ital expenditure or operating expenditure building blocks </w:t>
      </w:r>
      <w:r>
        <w:t xml:space="preserve">can be found in </w:t>
      </w:r>
      <w:r w:rsidR="00E67683">
        <w:rPr>
          <w:rStyle w:val="AERtexthighlight"/>
          <w:shd w:val="clear" w:color="auto" w:fill="auto"/>
        </w:rPr>
        <w:t xml:space="preserve">attachments </w:t>
      </w:r>
      <w:r w:rsidR="00E67683" w:rsidRPr="00E67683">
        <w:rPr>
          <w:rStyle w:val="AERtexthighlight"/>
          <w:shd w:val="clear" w:color="auto" w:fill="auto"/>
        </w:rPr>
        <w:t>6</w:t>
      </w:r>
      <w:r w:rsidR="00E67683">
        <w:rPr>
          <w:rStyle w:val="AERtexthighlight"/>
          <w:shd w:val="clear" w:color="auto" w:fill="auto"/>
        </w:rPr>
        <w:t xml:space="preserve"> and </w:t>
      </w:r>
      <w:r w:rsidR="00E67683" w:rsidRPr="00E67683">
        <w:rPr>
          <w:rStyle w:val="AERtexthighlight"/>
          <w:shd w:val="clear" w:color="auto" w:fill="auto"/>
        </w:rPr>
        <w:t>7</w:t>
      </w:r>
      <w:r w:rsidR="006D1AFA" w:rsidRPr="00E67683">
        <w:rPr>
          <w:rStyle w:val="AERtexthighlight"/>
          <w:shd w:val="clear" w:color="auto" w:fill="auto"/>
        </w:rPr>
        <w:t xml:space="preserve"> respectively</w:t>
      </w:r>
      <w:r w:rsidRPr="00E67683">
        <w:rPr>
          <w:rStyle w:val="AERtexthighlight"/>
          <w:shd w:val="clear" w:color="auto" w:fill="auto"/>
        </w:rPr>
        <w:t>.</w:t>
      </w:r>
    </w:p>
    <w:sectPr w:rsidR="00F9148A"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23105" w:rsidRPr="00824CC8" w:rsidRDefault="00E7023C" w:rsidP="00323105">
        <w:pPr>
          <w:pStyle w:val="Footer"/>
          <w:rPr>
            <w:rStyle w:val="AERbody"/>
          </w:rPr>
        </w:pPr>
        <w:r w:rsidRPr="000A7330">
          <w:rPr>
            <w:rStyle w:val="AERbody"/>
          </w:rPr>
          <w:t xml:space="preserve">Attachment </w:t>
        </w:r>
        <w:r>
          <w:rPr>
            <w:rStyle w:val="AERbody"/>
          </w:rPr>
          <w:t>12</w:t>
        </w:r>
        <w:r w:rsidRPr="000A7330">
          <w:rPr>
            <w:rStyle w:val="AERbody"/>
          </w:rPr>
          <w:t xml:space="preserve">: </w:t>
        </w:r>
        <w:r>
          <w:rPr>
            <w:rStyle w:val="AERbody"/>
          </w:rPr>
          <w:t>Demand management incentive scheme</w:t>
        </w:r>
        <w:r w:rsidRPr="000A7330">
          <w:rPr>
            <w:rStyle w:val="AERbody"/>
          </w:rPr>
          <w:t xml:space="preserve"> </w:t>
        </w:r>
        <w:r w:rsidRPr="00824CC8">
          <w:rPr>
            <w:rStyle w:val="AERbody"/>
          </w:rPr>
          <w:t xml:space="preserve">| </w:t>
        </w:r>
        <w:r>
          <w:rPr>
            <w:rStyle w:val="AERbody"/>
          </w:rPr>
          <w:t>Ausgrid draft decision</w:t>
        </w:r>
        <w:r w:rsidR="00323105" w:rsidRPr="00210880">
          <w:rPr>
            <w:rStyle w:val="AERbody"/>
          </w:rPr>
          <w:tab/>
        </w:r>
        <w:r w:rsidR="00323105">
          <w:rPr>
            <w:rStyle w:val="AERbody"/>
          </w:rPr>
          <w:tab/>
        </w:r>
        <w:r>
          <w:rPr>
            <w:rStyle w:val="AERbody"/>
          </w:rPr>
          <w:t>12-</w:t>
        </w:r>
        <w:r w:rsidR="00323105" w:rsidRPr="00824CC8">
          <w:rPr>
            <w:rStyle w:val="AERbody"/>
          </w:rPr>
          <w:fldChar w:fldCharType="begin"/>
        </w:r>
        <w:r w:rsidR="00323105" w:rsidRPr="00824CC8">
          <w:rPr>
            <w:rStyle w:val="AERbody"/>
          </w:rPr>
          <w:instrText xml:space="preserve"> PAGE   \* MERGEFORMAT </w:instrText>
        </w:r>
        <w:r w:rsidR="00323105" w:rsidRPr="00824CC8">
          <w:rPr>
            <w:rStyle w:val="AERbody"/>
          </w:rPr>
          <w:fldChar w:fldCharType="separate"/>
        </w:r>
        <w:r w:rsidR="00644B1F">
          <w:rPr>
            <w:rStyle w:val="AERbody"/>
            <w:noProof/>
          </w:rPr>
          <w:t>2</w:t>
        </w:r>
        <w:r w:rsidR="00323105" w:rsidRPr="00824CC8">
          <w:rPr>
            <w:rStyle w:val="AERbody"/>
          </w:rPr>
          <w:fldChar w:fldCharType="end"/>
        </w:r>
      </w:p>
      <w:p w:rsidR="002471E6" w:rsidRPr="00824CC8" w:rsidRDefault="00644B1F" w:rsidP="00824CC8">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E7023C" w:rsidP="00824CC8">
    <w:pPr>
      <w:pStyle w:val="Footer"/>
      <w:rPr>
        <w:rStyle w:val="AERbody"/>
      </w:rPr>
    </w:pPr>
    <w:r w:rsidRPr="000A7330">
      <w:rPr>
        <w:rStyle w:val="AERbody"/>
      </w:rPr>
      <w:t xml:space="preserve">Attachment </w:t>
    </w:r>
    <w:r>
      <w:rPr>
        <w:rStyle w:val="AERbody"/>
      </w:rPr>
      <w:t>12</w:t>
    </w:r>
    <w:r w:rsidRPr="000A7330">
      <w:rPr>
        <w:rStyle w:val="AERbody"/>
      </w:rPr>
      <w:t xml:space="preserve">: </w:t>
    </w:r>
    <w:r>
      <w:rPr>
        <w:rStyle w:val="AERbody"/>
      </w:rPr>
      <w:t>Demand management incentive scheme</w:t>
    </w:r>
    <w:r w:rsidRPr="000A7330">
      <w:rPr>
        <w:rStyle w:val="AERbody"/>
      </w:rPr>
      <w:t xml:space="preserve"> </w:t>
    </w:r>
    <w:r w:rsidRPr="00824CC8">
      <w:rPr>
        <w:rStyle w:val="AERbody"/>
      </w:rPr>
      <w:t xml:space="preserve">| </w:t>
    </w:r>
    <w:r>
      <w:rPr>
        <w:rStyle w:val="AERbody"/>
      </w:rPr>
      <w:t>Ausgrid draft decision</w:t>
    </w:r>
    <w:r w:rsidR="002471E6" w:rsidRPr="00210880">
      <w:rPr>
        <w:rStyle w:val="AERbody"/>
      </w:rPr>
      <w:tab/>
    </w:r>
    <w:r w:rsidR="00323105">
      <w:rPr>
        <w:rStyle w:val="AERbody"/>
      </w:rPr>
      <w:tab/>
    </w:r>
    <w:r>
      <w:rPr>
        <w:rStyle w:val="AERbody"/>
      </w:rPr>
      <w:t>12-</w:t>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644B1F">
      <w:rPr>
        <w:rStyle w:val="AERbody"/>
        <w:noProof/>
      </w:rPr>
      <w:t>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811CE2" w:rsidRDefault="00811CE2" w:rsidP="00811CE2">
      <w:pPr>
        <w:pStyle w:val="FootnoteText"/>
      </w:pPr>
      <w:r>
        <w:rPr>
          <w:rStyle w:val="FootnoteReference"/>
        </w:rPr>
        <w:footnoteRef/>
      </w:r>
      <w:r>
        <w:t xml:space="preserve"> </w:t>
      </w:r>
      <w:r>
        <w:tab/>
      </w:r>
      <w:proofErr w:type="gramStart"/>
      <w:r>
        <w:t>NER, cl</w:t>
      </w:r>
      <w:r w:rsidR="00E7023C">
        <w:t>.</w:t>
      </w:r>
      <w:r>
        <w:t xml:space="preserve"> 6.6.3(a).</w:t>
      </w:r>
      <w:proofErr w:type="gramEnd"/>
      <w:r>
        <w:t xml:space="preserve"> </w:t>
      </w:r>
    </w:p>
  </w:footnote>
  <w:footnote w:id="2">
    <w:p w:rsidR="00811CE2" w:rsidRDefault="00811CE2" w:rsidP="00811CE2">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 embedded generation. We consider embedded generation to be one means of demand management, as it typically reduces demand for power drawn from a distribution network. </w:t>
      </w:r>
    </w:p>
  </w:footnote>
  <w:footnote w:id="3">
    <w:p w:rsidR="00EA12DA" w:rsidRDefault="00EA12DA" w:rsidP="00EA12DA">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xml:space="preserve">, 28 November 2008. (AER, </w:t>
      </w:r>
      <w:r w:rsidR="000D5869">
        <w:t>DMIA for ACT and NSW distributors</w:t>
      </w:r>
      <w:r>
        <w:t>, Nov 2008).</w:t>
      </w:r>
    </w:p>
  </w:footnote>
  <w:footnote w:id="4">
    <w:p w:rsidR="00EA12DA" w:rsidRDefault="00EA12DA" w:rsidP="00EA12DA">
      <w:pPr>
        <w:pStyle w:val="FootnoteText"/>
      </w:pPr>
      <w:r>
        <w:rPr>
          <w:rStyle w:val="FootnoteReference"/>
        </w:rPr>
        <w:footnoteRef/>
      </w:r>
      <w:r>
        <w:t xml:space="preserve"> </w:t>
      </w:r>
      <w:r>
        <w:tab/>
      </w:r>
      <w:proofErr w:type="gramStart"/>
      <w:r>
        <w:t xml:space="preserve">AER, </w:t>
      </w:r>
      <w:r>
        <w:rPr>
          <w:rStyle w:val="AERtextitalic"/>
        </w:rPr>
        <w:t>Demand management incentive scheme for the ACT and NSW 2009 distribution determinations—D-factor scheme</w:t>
      </w:r>
      <w:r>
        <w:t>, 29 February 2008.</w:t>
      </w:r>
      <w:proofErr w:type="gramEnd"/>
    </w:p>
  </w:footnote>
  <w:footnote w:id="5">
    <w:p w:rsidR="00811CE2" w:rsidRDefault="00811CE2" w:rsidP="00811CE2">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 xml:space="preserve">4 </w:t>
      </w:r>
      <w:r w:rsidR="00BE40CA">
        <w:t xml:space="preserve">regulatory control </w:t>
      </w:r>
      <w:proofErr w:type="gramStart"/>
      <w:r w:rsidRPr="008D016F">
        <w:t>period</w:t>
      </w:r>
      <w:proofErr w:type="gramEnd"/>
      <w:r w:rsidRPr="008D016F">
        <w:t xml:space="preserve"> or under the D-factor scheme</w:t>
      </w:r>
      <w:r>
        <w:rPr>
          <w:rStyle w:val="AERtextitalic"/>
        </w:rPr>
        <w:t>.</w:t>
      </w:r>
    </w:p>
  </w:footnote>
  <w:footnote w:id="6">
    <w:p w:rsidR="00811CE2" w:rsidRDefault="00811CE2" w:rsidP="00811CE2">
      <w:pPr>
        <w:pStyle w:val="FootnoteText"/>
      </w:pPr>
      <w:r>
        <w:rPr>
          <w:rStyle w:val="FootnoteReference"/>
        </w:rPr>
        <w:footnoteRef/>
      </w:r>
      <w:r>
        <w:t xml:space="preserve"> </w:t>
      </w:r>
      <w:r>
        <w:tab/>
      </w:r>
      <w:proofErr w:type="gramStart"/>
      <w:r>
        <w:t xml:space="preserve">AER, </w:t>
      </w:r>
      <w:r w:rsidRPr="00491849">
        <w:rPr>
          <w:rStyle w:val="AERtextitalic"/>
        </w:rPr>
        <w:t>DMIA for ACT and NSW distributors</w:t>
      </w:r>
      <w:r>
        <w:t>, Nov 2008, pp. 4</w:t>
      </w:r>
      <w:r>
        <w:rPr>
          <w:rFonts w:cs="Gautami"/>
        </w:rPr>
        <w:t>–</w:t>
      </w:r>
      <w:r>
        <w:t>5.</w:t>
      </w:r>
      <w:proofErr w:type="gramEnd"/>
    </w:p>
  </w:footnote>
  <w:footnote w:id="7">
    <w:p w:rsidR="00811CE2" w:rsidRDefault="00811CE2" w:rsidP="00811CE2">
      <w:pPr>
        <w:pStyle w:val="FootnoteText"/>
      </w:pPr>
      <w:r>
        <w:rPr>
          <w:rStyle w:val="FootnoteReference"/>
        </w:rPr>
        <w:footnoteRef/>
      </w:r>
      <w:r>
        <w:t xml:space="preserve"> </w:t>
      </w:r>
      <w:r>
        <w:tab/>
        <w:t>From</w:t>
      </w:r>
      <w:r w:rsidRPr="00F74B53">
        <w:t xml:space="preserve"> </w:t>
      </w:r>
      <w:r>
        <w:t xml:space="preserve">IPART's </w:t>
      </w:r>
      <w:r w:rsidRPr="00F74B53">
        <w:t xml:space="preserve">NSW distribution determinations </w:t>
      </w:r>
      <w:r>
        <w:t>for the 2004</w:t>
      </w:r>
      <w:r>
        <w:rPr>
          <w:rFonts w:cs="Gautami"/>
        </w:rPr>
        <w:t>–</w:t>
      </w:r>
      <w:r>
        <w:t>09 regulatory control period.</w:t>
      </w:r>
    </w:p>
  </w:footnote>
  <w:footnote w:id="8">
    <w:p w:rsidR="00AD6CBB" w:rsidRDefault="00AD6CBB">
      <w:pPr>
        <w:pStyle w:val="FootnoteText"/>
      </w:pPr>
      <w:r>
        <w:rPr>
          <w:rStyle w:val="FootnoteReference"/>
        </w:rPr>
        <w:footnoteRef/>
      </w:r>
      <w:r>
        <w:t xml:space="preserve"> </w:t>
      </w:r>
      <w:r>
        <w:tab/>
      </w:r>
      <w:proofErr w:type="gramStart"/>
      <w:r>
        <w:t xml:space="preserve">AER, </w:t>
      </w:r>
      <w:r>
        <w:rPr>
          <w:rStyle w:val="AERtextitalic"/>
        </w:rPr>
        <w:t>Stage 2 Framework and Approach paper for Ausgrid</w:t>
      </w:r>
      <w:r>
        <w:t>, January 2014, p 32 (AER, Stage 2 Framework and Approach, Jan 2014).</w:t>
      </w:r>
      <w:proofErr w:type="gramEnd"/>
    </w:p>
  </w:footnote>
  <w:footnote w:id="9">
    <w:p w:rsidR="00073725" w:rsidRDefault="00073725" w:rsidP="00073725">
      <w:pPr>
        <w:pStyle w:val="FootnoteText"/>
      </w:pPr>
      <w:r>
        <w:rPr>
          <w:rStyle w:val="FootnoteReference"/>
        </w:rPr>
        <w:footnoteRef/>
      </w:r>
      <w:r>
        <w:t xml:space="preserve"> </w:t>
      </w:r>
      <w:r w:rsidR="00902DAF">
        <w:tab/>
      </w:r>
      <w:r>
        <w:t>Ausgrid</w:t>
      </w:r>
      <w:r w:rsidR="00B7425A">
        <w:t xml:space="preserve">, </w:t>
      </w:r>
      <w:r w:rsidR="00B7425A">
        <w:rPr>
          <w:rStyle w:val="AERtextitalic"/>
        </w:rPr>
        <w:t>R</w:t>
      </w:r>
      <w:r w:rsidR="00B7425A" w:rsidRPr="00B7425A">
        <w:rPr>
          <w:rStyle w:val="AERtextitalic"/>
        </w:rPr>
        <w:t>e</w:t>
      </w:r>
      <w:r w:rsidR="00B7425A">
        <w:rPr>
          <w:rStyle w:val="AERtextitalic"/>
        </w:rPr>
        <w:t>gulatory Proposal: 1 July 2014 to 30 June 2019,</w:t>
      </w:r>
      <w:r>
        <w:t xml:space="preserve"> </w:t>
      </w:r>
      <w:r w:rsidR="00B7425A">
        <w:t xml:space="preserve">30 May 2014, </w:t>
      </w:r>
      <w:r>
        <w:t>p. 19</w:t>
      </w:r>
      <w:r w:rsidR="00B7425A">
        <w:t xml:space="preserve"> (Ausgrid, Regulatory Proposal, May 2014)</w:t>
      </w:r>
      <w:r>
        <w:t>.</w:t>
      </w:r>
    </w:p>
  </w:footnote>
  <w:footnote w:id="10">
    <w:p w:rsidR="00073725" w:rsidRDefault="00073725" w:rsidP="00073725">
      <w:pPr>
        <w:pStyle w:val="FootnoteText"/>
      </w:pPr>
      <w:r>
        <w:rPr>
          <w:rStyle w:val="FootnoteReference"/>
        </w:rPr>
        <w:footnoteRef/>
      </w:r>
      <w:r>
        <w:t xml:space="preserve"> </w:t>
      </w:r>
      <w:r w:rsidR="00902DAF">
        <w:tab/>
      </w:r>
      <w:r>
        <w:t>Ausgrid</w:t>
      </w:r>
      <w:r w:rsidR="00B7425A">
        <w:t>,</w:t>
      </w:r>
      <w:r>
        <w:t xml:space="preserve"> Re</w:t>
      </w:r>
      <w:r w:rsidR="00B7425A">
        <w:t>gulatory</w:t>
      </w:r>
      <w:r>
        <w:t xml:space="preserve"> Proposal,</w:t>
      </w:r>
      <w:r w:rsidR="00B7425A">
        <w:t xml:space="preserve"> May 2014,</w:t>
      </w:r>
      <w:r>
        <w:t xml:space="preserve"> p. 24.</w:t>
      </w:r>
    </w:p>
  </w:footnote>
  <w:footnote w:id="11">
    <w:p w:rsidR="00073725" w:rsidRDefault="00073725" w:rsidP="00073725">
      <w:pPr>
        <w:pStyle w:val="FootnoteText"/>
      </w:pPr>
      <w:r>
        <w:rPr>
          <w:rStyle w:val="FootnoteReference"/>
        </w:rPr>
        <w:footnoteRef/>
      </w:r>
      <w:r>
        <w:t xml:space="preserve"> </w:t>
      </w:r>
      <w:r>
        <w:tab/>
      </w:r>
      <w:proofErr w:type="gramStart"/>
      <w:r>
        <w:t>Ausgrid</w:t>
      </w:r>
      <w:r w:rsidR="000F432E">
        <w:t>,</w:t>
      </w:r>
      <w:r w:rsidRPr="008D4254">
        <w:t xml:space="preserve"> </w:t>
      </w:r>
      <w:r>
        <w:t>R</w:t>
      </w:r>
      <w:r w:rsidR="00544D92">
        <w:t>egulatory</w:t>
      </w:r>
      <w:r w:rsidRPr="008D4254">
        <w:t xml:space="preserve"> </w:t>
      </w:r>
      <w:r>
        <w:t>P</w:t>
      </w:r>
      <w:r w:rsidRPr="008D4254">
        <w:t>roposal,</w:t>
      </w:r>
      <w:r>
        <w:t xml:space="preserve"> Attachment 3.03, </w:t>
      </w:r>
      <w:r w:rsidR="00FD14CC">
        <w:rPr>
          <w:rStyle w:val="AERtextitalic"/>
        </w:rPr>
        <w:t>Application of Demand Management Embedded Generator Connection Incentive Scheme (DMEGCIS) proposal</w:t>
      </w:r>
      <w:r w:rsidR="00FD14CC">
        <w:t xml:space="preserve">, May 2014, </w:t>
      </w:r>
      <w:r w:rsidRPr="008D4254">
        <w:t>p. 2.</w:t>
      </w:r>
      <w:proofErr w:type="gramEnd"/>
    </w:p>
  </w:footnote>
  <w:footnote w:id="12">
    <w:p w:rsidR="00073725" w:rsidRDefault="00073725" w:rsidP="00073725">
      <w:pPr>
        <w:pStyle w:val="FootnoteText"/>
      </w:pPr>
      <w:r>
        <w:rPr>
          <w:rStyle w:val="FootnoteReference"/>
        </w:rPr>
        <w:footnoteRef/>
      </w:r>
      <w:r>
        <w:t xml:space="preserve"> </w:t>
      </w:r>
      <w:r>
        <w:tab/>
      </w:r>
      <w:proofErr w:type="gramStart"/>
      <w:r>
        <w:t>NER, cl 6.6.3(b).</w:t>
      </w:r>
      <w:proofErr w:type="gramEnd"/>
    </w:p>
  </w:footnote>
  <w:footnote w:id="13">
    <w:p w:rsidR="00ED6CB8" w:rsidRDefault="00ED6CB8">
      <w:pPr>
        <w:pStyle w:val="FootnoteText"/>
      </w:pPr>
      <w:r>
        <w:rPr>
          <w:rStyle w:val="FootnoteReference"/>
        </w:rPr>
        <w:footnoteRef/>
      </w:r>
      <w:r>
        <w:t xml:space="preserve"> </w:t>
      </w:r>
      <w:r>
        <w:tab/>
        <w:t xml:space="preserve">AER, </w:t>
      </w:r>
      <w:r>
        <w:rPr>
          <w:rStyle w:val="AERtextitalic"/>
        </w:rPr>
        <w:t>S</w:t>
      </w:r>
      <w:r w:rsidRPr="00ED6CB8">
        <w:rPr>
          <w:rStyle w:val="AERtextitalic"/>
        </w:rPr>
        <w:t>t</w:t>
      </w:r>
      <w:r>
        <w:rPr>
          <w:rStyle w:val="AERtextitalic"/>
        </w:rPr>
        <w:t>age 2 Framework and Approach,</w:t>
      </w:r>
      <w:r>
        <w:t xml:space="preserve"> January 2014, pp. 33</w:t>
      </w:r>
      <w:r w:rsidR="00E7023C">
        <w:rPr>
          <w:rFonts w:cs="Gautami"/>
        </w:rPr>
        <w:t>–</w:t>
      </w:r>
      <w:r>
        <w:t>35.</w:t>
      </w:r>
    </w:p>
  </w:footnote>
  <w:footnote w:id="14">
    <w:p w:rsidR="00C32126" w:rsidRDefault="00C32126">
      <w:pPr>
        <w:pStyle w:val="FootnoteText"/>
      </w:pPr>
      <w:r>
        <w:rPr>
          <w:rStyle w:val="FootnoteReference"/>
        </w:rPr>
        <w:footnoteRef/>
      </w:r>
      <w:r>
        <w:t xml:space="preserve"> </w:t>
      </w:r>
      <w:r>
        <w:tab/>
      </w:r>
      <w:r w:rsidRPr="00C32126">
        <w:t xml:space="preserve">AER, </w:t>
      </w:r>
      <w:r w:rsidRPr="00C32126">
        <w:rPr>
          <w:rStyle w:val="AERtextitalic"/>
        </w:rPr>
        <w:t>Stage 2 Framework and Approach,</w:t>
      </w:r>
      <w:r w:rsidRPr="00C32126">
        <w:t xml:space="preserve"> January 2014, p</w:t>
      </w:r>
      <w:r w:rsidR="00E67683">
        <w:t>.</w:t>
      </w:r>
      <w:r>
        <w:t xml:space="preserve"> 32</w:t>
      </w:r>
      <w:r w:rsidRPr="00C32126">
        <w:t>.</w:t>
      </w:r>
      <w:r>
        <w:t xml:space="preserve"> For information regarding the AEMC's Power of Choice Review, see </w:t>
      </w:r>
      <w:hyperlink r:id="rId1" w:history="1">
        <w:r w:rsidRPr="00C32126">
          <w:rPr>
            <w:rStyle w:val="Hyperlink"/>
          </w:rPr>
          <w:t>http://www.aemc.gov.au/Major-Pages/Power-of-choice</w:t>
        </w:r>
      </w:hyperlink>
      <w:r w:rsidRPr="00C32126">
        <w:t>.</w:t>
      </w:r>
      <w:r w:rsidR="00777599">
        <w:t xml:space="preserve"> The AEMC received a proposed rule change from COAG Energy Ministers and the Total Environment Centre.</w:t>
      </w:r>
    </w:p>
  </w:footnote>
  <w:footnote w:id="15">
    <w:p w:rsidR="00FB2BAC" w:rsidRDefault="00FB2BAC" w:rsidP="00777599">
      <w:pPr>
        <w:pStyle w:val="FootnoteText"/>
      </w:pPr>
      <w:r>
        <w:rPr>
          <w:rStyle w:val="FootnoteReference"/>
        </w:rPr>
        <w:footnoteRef/>
      </w:r>
      <w:r>
        <w:t xml:space="preserve"> </w:t>
      </w:r>
      <w:r>
        <w:tab/>
      </w:r>
      <w:r w:rsidR="003217D8" w:rsidRPr="003217D8">
        <w:t xml:space="preserve">Total Environment Centre, </w:t>
      </w:r>
      <w:r w:rsidR="003217D8" w:rsidRPr="003217D8">
        <w:rPr>
          <w:rStyle w:val="AERtextitalic"/>
        </w:rPr>
        <w:t>Submission to the Australian Energy Regulator Issues Paper on the NSW Electricity Distribution Businesses' Regulatory Proposals</w:t>
      </w:r>
      <w:r w:rsidR="003217D8" w:rsidRPr="003217D8">
        <w:t xml:space="preserve">, August 2014, p. 5 </w:t>
      </w:r>
      <w:r w:rsidR="003217D8">
        <w:t>(TEC, Submission to NSW Distribution Regulatory Proposals, Aug 2014).</w:t>
      </w:r>
    </w:p>
  </w:footnote>
  <w:footnote w:id="16">
    <w:p w:rsidR="00FB2BAC" w:rsidRDefault="00FB2BAC" w:rsidP="00FB2BAC">
      <w:pPr>
        <w:pStyle w:val="FootnoteText"/>
        <w:ind w:left="709" w:hanging="709"/>
      </w:pPr>
      <w:r>
        <w:rPr>
          <w:rStyle w:val="FootnoteReference"/>
        </w:rPr>
        <w:footnoteRef/>
      </w:r>
      <w:r>
        <w:t xml:space="preserve"> </w:t>
      </w:r>
      <w:r>
        <w:tab/>
      </w:r>
      <w:r w:rsidR="003217D8">
        <w:t xml:space="preserve">TEC, </w:t>
      </w:r>
      <w:r w:rsidR="003217D8" w:rsidRPr="003217D8">
        <w:rPr>
          <w:rStyle w:val="AERtextitalic"/>
        </w:rPr>
        <w:t>Submissio</w:t>
      </w:r>
      <w:r w:rsidR="003217D8">
        <w:rPr>
          <w:rStyle w:val="AERtextitalic"/>
        </w:rPr>
        <w:t xml:space="preserve">n to NSW Distribution Regulatory Proposals, </w:t>
      </w:r>
      <w:r>
        <w:t>August 2014, p. 6.</w:t>
      </w:r>
    </w:p>
  </w:footnote>
  <w:footnote w:id="17">
    <w:p w:rsidR="00FB2BAC" w:rsidRDefault="00FB2BAC" w:rsidP="00777599">
      <w:pPr>
        <w:pStyle w:val="FootnoteText"/>
      </w:pPr>
      <w:r>
        <w:rPr>
          <w:rStyle w:val="FootnoteReference"/>
        </w:rPr>
        <w:footnoteRef/>
      </w:r>
      <w:r>
        <w:t xml:space="preserve"> </w:t>
      </w:r>
      <w:r>
        <w:tab/>
      </w:r>
      <w:r w:rsidR="00DC45CE" w:rsidRPr="00DC45CE">
        <w:t xml:space="preserve">The Public Interest Advocacy Centre, </w:t>
      </w:r>
      <w:r w:rsidR="00DC45CE">
        <w:rPr>
          <w:rStyle w:val="AERtextitalic"/>
        </w:rPr>
        <w:t>Moving to a new paradigm: submission to the Australian Energy Regulator's NSW electricity distribution network price determination</w:t>
      </w:r>
      <w:r w:rsidR="00DC45CE" w:rsidRPr="00DC45CE">
        <w:t>, August 2014, pp. 20 &amp; 104.</w:t>
      </w:r>
    </w:p>
  </w:footnote>
  <w:footnote w:id="18">
    <w:p w:rsidR="00F44C41" w:rsidRPr="00777599" w:rsidRDefault="00F44C41">
      <w:pPr>
        <w:pStyle w:val="FootnoteText"/>
        <w:rPr>
          <w:rStyle w:val="AERtextitalic"/>
        </w:rPr>
      </w:pPr>
      <w:r>
        <w:rPr>
          <w:rStyle w:val="FootnoteReference"/>
        </w:rPr>
        <w:footnoteRef/>
      </w:r>
      <w:r>
        <w:t xml:space="preserve"> </w:t>
      </w:r>
      <w:r>
        <w:tab/>
        <w:t xml:space="preserve">Consumer Challenge Panel, </w:t>
      </w:r>
      <w:r w:rsidR="00402EF5">
        <w:rPr>
          <w:rStyle w:val="AERtextitalic"/>
        </w:rPr>
        <w:t xml:space="preserve">Submission to the AER from the Consumer Challenge Panel regarding NSW DNSP regulatory proposals 2014–19, </w:t>
      </w:r>
      <w:r w:rsidR="00402EF5">
        <w:t xml:space="preserve">August 2014, </w:t>
      </w:r>
      <w:proofErr w:type="gramStart"/>
      <w:r w:rsidR="00402EF5">
        <w:t>p</w:t>
      </w:r>
      <w:proofErr w:type="gramEnd"/>
      <w:r w:rsidR="00402EF5">
        <w:t>. 33.</w:t>
      </w:r>
    </w:p>
  </w:footnote>
  <w:footnote w:id="19">
    <w:p w:rsidR="00AC1274" w:rsidRDefault="00AC1274">
      <w:pPr>
        <w:pStyle w:val="FootnoteText"/>
      </w:pPr>
      <w:r>
        <w:rPr>
          <w:rStyle w:val="FootnoteReference"/>
        </w:rPr>
        <w:footnoteRef/>
      </w:r>
      <w:r>
        <w:t xml:space="preserve"> </w:t>
      </w:r>
      <w:r>
        <w:tab/>
      </w:r>
      <w:r w:rsidRPr="00AC1274">
        <w:t>Ausgrid</w:t>
      </w:r>
      <w:r w:rsidR="000F432E">
        <w:t>,</w:t>
      </w:r>
      <w:r w:rsidRPr="00AC1274">
        <w:t xml:space="preserve"> Regulatory Proposal, Attachment </w:t>
      </w:r>
      <w:r>
        <w:t>6</w:t>
      </w:r>
      <w:r w:rsidRPr="00AC1274">
        <w:t>.</w:t>
      </w:r>
      <w:r>
        <w:t>12</w:t>
      </w:r>
      <w:r w:rsidRPr="00AC1274">
        <w:t xml:space="preserve">, </w:t>
      </w:r>
      <w:r w:rsidRPr="00AC1274">
        <w:rPr>
          <w:rStyle w:val="AERtextitalic"/>
        </w:rPr>
        <w:t xml:space="preserve">Demand Management </w:t>
      </w:r>
      <w:r>
        <w:rPr>
          <w:rStyle w:val="AERtextitalic"/>
        </w:rPr>
        <w:t>operating expenditure plan</w:t>
      </w:r>
      <w:r w:rsidRPr="00AC1274">
        <w:t>, May 2014, p</w:t>
      </w:r>
      <w:r>
        <w:t>p</w:t>
      </w:r>
      <w:r w:rsidRPr="00AC1274">
        <w:t>. 2</w:t>
      </w:r>
      <w:r>
        <w:t>3</w:t>
      </w:r>
      <w:r w:rsidR="00E7023C">
        <w:rPr>
          <w:rFonts w:cs="Gautami"/>
        </w:rPr>
        <w:t>–</w:t>
      </w:r>
      <w:r>
        <w:t>40</w:t>
      </w:r>
      <w:r w:rsidRPr="00AC1274">
        <w:t>.</w:t>
      </w:r>
    </w:p>
  </w:footnote>
  <w:footnote w:id="20">
    <w:p w:rsidR="000D5869" w:rsidRDefault="000D5869">
      <w:pPr>
        <w:pStyle w:val="FootnoteText"/>
      </w:pPr>
      <w:r>
        <w:rPr>
          <w:rStyle w:val="FootnoteReference"/>
        </w:rPr>
        <w:footnoteRef/>
      </w:r>
      <w:r>
        <w:t xml:space="preserve"> </w:t>
      </w:r>
      <w:r>
        <w:tab/>
      </w:r>
      <w:proofErr w:type="gramStart"/>
      <w:r w:rsidRPr="000D5869">
        <w:t xml:space="preserve">AER, </w:t>
      </w:r>
      <w:r w:rsidRPr="000D5869">
        <w:rPr>
          <w:rStyle w:val="AERtextitalic"/>
        </w:rPr>
        <w:t>DMIA for ACT and NSW distributors</w:t>
      </w:r>
      <w:r w:rsidRPr="000D5869">
        <w:t xml:space="preserve">, Nov 2008, pp. </w:t>
      </w:r>
      <w:r>
        <w:t>3</w:t>
      </w:r>
      <w:r w:rsidRPr="000D5869">
        <w:t>–</w:t>
      </w:r>
      <w:r>
        <w:t>4</w:t>
      </w:r>
      <w:r w:rsidRPr="000D5869">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19C4A67"/>
    <w:multiLevelType w:val="hybridMultilevel"/>
    <w:tmpl w:val="F8A801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4"/>
  </w:num>
  <w:num w:numId="3">
    <w:abstractNumId w:val="2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19"/>
  </w:num>
  <w:num w:numId="8">
    <w:abstractNumId w:val="16"/>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17"/>
  </w:num>
  <w:num w:numId="29">
    <w:abstractNumId w:val="10"/>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2"/>
  </w:num>
  <w:num w:numId="39">
    <w:abstractNumId w:val="13"/>
  </w:num>
  <w:num w:numId="40">
    <w:abstractNumId w:val="20"/>
  </w:num>
  <w:num w:numId="41">
    <w:abstractNumId w:val="26"/>
  </w:num>
  <w:num w:numId="42">
    <w:abstractNumId w:val="4"/>
  </w:num>
  <w:num w:numId="43">
    <w:abstractNumId w:val="34"/>
  </w:num>
  <w:num w:numId="44">
    <w:abstractNumId w:val="24"/>
  </w:num>
  <w:num w:numId="45">
    <w:abstractNumId w:val="21"/>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484\AER14 422  NSW  ACT Electricity DNSPs resets 2014-19 - Draft.DOCX"/>
  </w:docVars>
  <w:rsids>
    <w:rsidRoot w:val="000C052F"/>
    <w:rsid w:val="00003C90"/>
    <w:rsid w:val="00007A1B"/>
    <w:rsid w:val="00011129"/>
    <w:rsid w:val="00016652"/>
    <w:rsid w:val="00022606"/>
    <w:rsid w:val="00022D3D"/>
    <w:rsid w:val="00030FD2"/>
    <w:rsid w:val="00040599"/>
    <w:rsid w:val="00040749"/>
    <w:rsid w:val="00043842"/>
    <w:rsid w:val="00046918"/>
    <w:rsid w:val="000500B9"/>
    <w:rsid w:val="000572E2"/>
    <w:rsid w:val="00073725"/>
    <w:rsid w:val="000A1CC2"/>
    <w:rsid w:val="000A5342"/>
    <w:rsid w:val="000B15CA"/>
    <w:rsid w:val="000B6597"/>
    <w:rsid w:val="000C052F"/>
    <w:rsid w:val="000C3430"/>
    <w:rsid w:val="000D03C2"/>
    <w:rsid w:val="000D04B1"/>
    <w:rsid w:val="000D401F"/>
    <w:rsid w:val="000D5869"/>
    <w:rsid w:val="000D76C0"/>
    <w:rsid w:val="000E1A25"/>
    <w:rsid w:val="000E6418"/>
    <w:rsid w:val="000F3A6A"/>
    <w:rsid w:val="000F432E"/>
    <w:rsid w:val="000F6851"/>
    <w:rsid w:val="001016FF"/>
    <w:rsid w:val="0010191D"/>
    <w:rsid w:val="00101D29"/>
    <w:rsid w:val="001033B3"/>
    <w:rsid w:val="00105636"/>
    <w:rsid w:val="001061B7"/>
    <w:rsid w:val="0013022D"/>
    <w:rsid w:val="00131287"/>
    <w:rsid w:val="00132AD3"/>
    <w:rsid w:val="001543D2"/>
    <w:rsid w:val="001708CC"/>
    <w:rsid w:val="00174026"/>
    <w:rsid w:val="001856EE"/>
    <w:rsid w:val="00194C3C"/>
    <w:rsid w:val="001953F3"/>
    <w:rsid w:val="001B6619"/>
    <w:rsid w:val="001B6D6A"/>
    <w:rsid w:val="001C12E5"/>
    <w:rsid w:val="001E2CE1"/>
    <w:rsid w:val="002023C1"/>
    <w:rsid w:val="00202A56"/>
    <w:rsid w:val="0020711E"/>
    <w:rsid w:val="00210880"/>
    <w:rsid w:val="002141BB"/>
    <w:rsid w:val="00215426"/>
    <w:rsid w:val="002257B9"/>
    <w:rsid w:val="0023137D"/>
    <w:rsid w:val="002471E6"/>
    <w:rsid w:val="002658CD"/>
    <w:rsid w:val="00266710"/>
    <w:rsid w:val="00273176"/>
    <w:rsid w:val="002805B8"/>
    <w:rsid w:val="00293750"/>
    <w:rsid w:val="002938CE"/>
    <w:rsid w:val="002A6A12"/>
    <w:rsid w:val="002B3DE9"/>
    <w:rsid w:val="002B6640"/>
    <w:rsid w:val="002D61AC"/>
    <w:rsid w:val="002E4720"/>
    <w:rsid w:val="00300C8C"/>
    <w:rsid w:val="00303452"/>
    <w:rsid w:val="003217D8"/>
    <w:rsid w:val="0032278E"/>
    <w:rsid w:val="00323105"/>
    <w:rsid w:val="00323A47"/>
    <w:rsid w:val="003301B9"/>
    <w:rsid w:val="003324F7"/>
    <w:rsid w:val="00334F88"/>
    <w:rsid w:val="00337772"/>
    <w:rsid w:val="003377A9"/>
    <w:rsid w:val="00355F77"/>
    <w:rsid w:val="00367B5D"/>
    <w:rsid w:val="003707DB"/>
    <w:rsid w:val="00375AEC"/>
    <w:rsid w:val="00376236"/>
    <w:rsid w:val="0037652C"/>
    <w:rsid w:val="003800E4"/>
    <w:rsid w:val="00380FF5"/>
    <w:rsid w:val="003A6174"/>
    <w:rsid w:val="003B03E0"/>
    <w:rsid w:val="00402EF5"/>
    <w:rsid w:val="004030AB"/>
    <w:rsid w:val="0040494C"/>
    <w:rsid w:val="00411433"/>
    <w:rsid w:val="00412282"/>
    <w:rsid w:val="004256BA"/>
    <w:rsid w:val="00431999"/>
    <w:rsid w:val="00433475"/>
    <w:rsid w:val="00435682"/>
    <w:rsid w:val="00436C61"/>
    <w:rsid w:val="00456081"/>
    <w:rsid w:val="00464F5D"/>
    <w:rsid w:val="0047060F"/>
    <w:rsid w:val="00474FBD"/>
    <w:rsid w:val="00491D73"/>
    <w:rsid w:val="00491D7D"/>
    <w:rsid w:val="004964DB"/>
    <w:rsid w:val="004C115A"/>
    <w:rsid w:val="004C3F45"/>
    <w:rsid w:val="004E40EF"/>
    <w:rsid w:val="004E73F7"/>
    <w:rsid w:val="004F76A0"/>
    <w:rsid w:val="00500E7F"/>
    <w:rsid w:val="0052179D"/>
    <w:rsid w:val="005249B9"/>
    <w:rsid w:val="00525604"/>
    <w:rsid w:val="005375FF"/>
    <w:rsid w:val="0054012B"/>
    <w:rsid w:val="00542857"/>
    <w:rsid w:val="00544D92"/>
    <w:rsid w:val="005456A9"/>
    <w:rsid w:val="0055049E"/>
    <w:rsid w:val="00555D52"/>
    <w:rsid w:val="005566D7"/>
    <w:rsid w:val="00561F7F"/>
    <w:rsid w:val="00566B35"/>
    <w:rsid w:val="0056773A"/>
    <w:rsid w:val="005732CC"/>
    <w:rsid w:val="00574B8C"/>
    <w:rsid w:val="00575422"/>
    <w:rsid w:val="005837BD"/>
    <w:rsid w:val="005938C6"/>
    <w:rsid w:val="00597634"/>
    <w:rsid w:val="005A0431"/>
    <w:rsid w:val="005B3752"/>
    <w:rsid w:val="005B61C2"/>
    <w:rsid w:val="005C7BE9"/>
    <w:rsid w:val="005D26B7"/>
    <w:rsid w:val="005D4AA1"/>
    <w:rsid w:val="005E3E0C"/>
    <w:rsid w:val="005F12AA"/>
    <w:rsid w:val="005F3A77"/>
    <w:rsid w:val="0060146C"/>
    <w:rsid w:val="0060207D"/>
    <w:rsid w:val="006039F2"/>
    <w:rsid w:val="006061B0"/>
    <w:rsid w:val="0060732E"/>
    <w:rsid w:val="006076A9"/>
    <w:rsid w:val="006341BE"/>
    <w:rsid w:val="00644B1F"/>
    <w:rsid w:val="0065125A"/>
    <w:rsid w:val="00653A0B"/>
    <w:rsid w:val="006544EA"/>
    <w:rsid w:val="0066569F"/>
    <w:rsid w:val="00666F30"/>
    <w:rsid w:val="006755B8"/>
    <w:rsid w:val="00686CB4"/>
    <w:rsid w:val="0069004B"/>
    <w:rsid w:val="006A449B"/>
    <w:rsid w:val="006B08EB"/>
    <w:rsid w:val="006B481F"/>
    <w:rsid w:val="006C2E00"/>
    <w:rsid w:val="006C3DE8"/>
    <w:rsid w:val="006D1AFA"/>
    <w:rsid w:val="006F638E"/>
    <w:rsid w:val="00702E85"/>
    <w:rsid w:val="00703E42"/>
    <w:rsid w:val="00726C18"/>
    <w:rsid w:val="007368AD"/>
    <w:rsid w:val="00747942"/>
    <w:rsid w:val="00751D2A"/>
    <w:rsid w:val="00755095"/>
    <w:rsid w:val="00757735"/>
    <w:rsid w:val="00771F90"/>
    <w:rsid w:val="00774E4F"/>
    <w:rsid w:val="00777599"/>
    <w:rsid w:val="00785817"/>
    <w:rsid w:val="00792AEF"/>
    <w:rsid w:val="007957CC"/>
    <w:rsid w:val="00796A07"/>
    <w:rsid w:val="007B27F2"/>
    <w:rsid w:val="007C3633"/>
    <w:rsid w:val="007D5F6E"/>
    <w:rsid w:val="007D6F8A"/>
    <w:rsid w:val="007F10E3"/>
    <w:rsid w:val="007F2C0E"/>
    <w:rsid w:val="00804AEB"/>
    <w:rsid w:val="00811CE2"/>
    <w:rsid w:val="00824CC8"/>
    <w:rsid w:val="0082522F"/>
    <w:rsid w:val="008312E5"/>
    <w:rsid w:val="008328FF"/>
    <w:rsid w:val="00836D17"/>
    <w:rsid w:val="00840A55"/>
    <w:rsid w:val="00841E25"/>
    <w:rsid w:val="0084378B"/>
    <w:rsid w:val="008464CD"/>
    <w:rsid w:val="008515EE"/>
    <w:rsid w:val="00861C4E"/>
    <w:rsid w:val="00864AAF"/>
    <w:rsid w:val="00866D21"/>
    <w:rsid w:val="00872D85"/>
    <w:rsid w:val="00883DDA"/>
    <w:rsid w:val="00891FF9"/>
    <w:rsid w:val="00893367"/>
    <w:rsid w:val="00893D07"/>
    <w:rsid w:val="008A033C"/>
    <w:rsid w:val="008B7956"/>
    <w:rsid w:val="008C1092"/>
    <w:rsid w:val="008C3722"/>
    <w:rsid w:val="008C3B67"/>
    <w:rsid w:val="008C3F48"/>
    <w:rsid w:val="008C4CDB"/>
    <w:rsid w:val="008D49B4"/>
    <w:rsid w:val="008D7498"/>
    <w:rsid w:val="008F170E"/>
    <w:rsid w:val="00902DAF"/>
    <w:rsid w:val="00904E10"/>
    <w:rsid w:val="00932E96"/>
    <w:rsid w:val="009418E6"/>
    <w:rsid w:val="0094235F"/>
    <w:rsid w:val="0094279F"/>
    <w:rsid w:val="00946B98"/>
    <w:rsid w:val="0095052A"/>
    <w:rsid w:val="009516DF"/>
    <w:rsid w:val="009658F0"/>
    <w:rsid w:val="00971655"/>
    <w:rsid w:val="00971C63"/>
    <w:rsid w:val="00972175"/>
    <w:rsid w:val="009A4AE9"/>
    <w:rsid w:val="009B68D5"/>
    <w:rsid w:val="009C71D5"/>
    <w:rsid w:val="009D0222"/>
    <w:rsid w:val="009E1842"/>
    <w:rsid w:val="009F7CE4"/>
    <w:rsid w:val="00A043FC"/>
    <w:rsid w:val="00A11162"/>
    <w:rsid w:val="00A14332"/>
    <w:rsid w:val="00A37FF0"/>
    <w:rsid w:val="00A43227"/>
    <w:rsid w:val="00A46CCD"/>
    <w:rsid w:val="00A65133"/>
    <w:rsid w:val="00A652C5"/>
    <w:rsid w:val="00A716AF"/>
    <w:rsid w:val="00A82D55"/>
    <w:rsid w:val="00A85C5A"/>
    <w:rsid w:val="00A96A08"/>
    <w:rsid w:val="00AA0161"/>
    <w:rsid w:val="00AB1D08"/>
    <w:rsid w:val="00AB4345"/>
    <w:rsid w:val="00AB5BD7"/>
    <w:rsid w:val="00AC0135"/>
    <w:rsid w:val="00AC070D"/>
    <w:rsid w:val="00AC1274"/>
    <w:rsid w:val="00AC1B94"/>
    <w:rsid w:val="00AC2E15"/>
    <w:rsid w:val="00AC724A"/>
    <w:rsid w:val="00AD0616"/>
    <w:rsid w:val="00AD34FF"/>
    <w:rsid w:val="00AD4DE6"/>
    <w:rsid w:val="00AD6CBB"/>
    <w:rsid w:val="00AE4DE1"/>
    <w:rsid w:val="00AE5288"/>
    <w:rsid w:val="00AE6DBC"/>
    <w:rsid w:val="00AF0E02"/>
    <w:rsid w:val="00AF3E95"/>
    <w:rsid w:val="00AF7C67"/>
    <w:rsid w:val="00B15FE9"/>
    <w:rsid w:val="00B4655C"/>
    <w:rsid w:val="00B51883"/>
    <w:rsid w:val="00B61FD4"/>
    <w:rsid w:val="00B674DB"/>
    <w:rsid w:val="00B7425A"/>
    <w:rsid w:val="00B82E8D"/>
    <w:rsid w:val="00B9264D"/>
    <w:rsid w:val="00B94D99"/>
    <w:rsid w:val="00B967C0"/>
    <w:rsid w:val="00BB10F5"/>
    <w:rsid w:val="00BB3FA1"/>
    <w:rsid w:val="00BB62BB"/>
    <w:rsid w:val="00BC05C5"/>
    <w:rsid w:val="00BC5006"/>
    <w:rsid w:val="00BD04BE"/>
    <w:rsid w:val="00BE0630"/>
    <w:rsid w:val="00BE40CA"/>
    <w:rsid w:val="00BE6F28"/>
    <w:rsid w:val="00BF29FA"/>
    <w:rsid w:val="00BF3C3F"/>
    <w:rsid w:val="00C04D2B"/>
    <w:rsid w:val="00C16105"/>
    <w:rsid w:val="00C25A08"/>
    <w:rsid w:val="00C32126"/>
    <w:rsid w:val="00C35C46"/>
    <w:rsid w:val="00C557F2"/>
    <w:rsid w:val="00C65A70"/>
    <w:rsid w:val="00C737C5"/>
    <w:rsid w:val="00C764AC"/>
    <w:rsid w:val="00CA3540"/>
    <w:rsid w:val="00CA6DED"/>
    <w:rsid w:val="00CC49D4"/>
    <w:rsid w:val="00CE5F48"/>
    <w:rsid w:val="00CE6F5A"/>
    <w:rsid w:val="00CF42CF"/>
    <w:rsid w:val="00D01345"/>
    <w:rsid w:val="00D102E9"/>
    <w:rsid w:val="00D1688F"/>
    <w:rsid w:val="00D2117F"/>
    <w:rsid w:val="00D23C29"/>
    <w:rsid w:val="00D25317"/>
    <w:rsid w:val="00D573F3"/>
    <w:rsid w:val="00D60E18"/>
    <w:rsid w:val="00D63334"/>
    <w:rsid w:val="00D65A2E"/>
    <w:rsid w:val="00D66E8B"/>
    <w:rsid w:val="00D8079A"/>
    <w:rsid w:val="00D85715"/>
    <w:rsid w:val="00D8706C"/>
    <w:rsid w:val="00DA4C62"/>
    <w:rsid w:val="00DB6A17"/>
    <w:rsid w:val="00DC2B74"/>
    <w:rsid w:val="00DC45CE"/>
    <w:rsid w:val="00DD4E84"/>
    <w:rsid w:val="00DD5520"/>
    <w:rsid w:val="00DE22F1"/>
    <w:rsid w:val="00DF16C2"/>
    <w:rsid w:val="00DF37D0"/>
    <w:rsid w:val="00DF5A08"/>
    <w:rsid w:val="00DF691F"/>
    <w:rsid w:val="00E00F76"/>
    <w:rsid w:val="00E1106C"/>
    <w:rsid w:val="00E2178B"/>
    <w:rsid w:val="00E21E75"/>
    <w:rsid w:val="00E36F12"/>
    <w:rsid w:val="00E519DC"/>
    <w:rsid w:val="00E6571F"/>
    <w:rsid w:val="00E67683"/>
    <w:rsid w:val="00E7023C"/>
    <w:rsid w:val="00E807DA"/>
    <w:rsid w:val="00E84E3A"/>
    <w:rsid w:val="00E94C06"/>
    <w:rsid w:val="00EA05AF"/>
    <w:rsid w:val="00EA12DA"/>
    <w:rsid w:val="00EA1300"/>
    <w:rsid w:val="00EA3422"/>
    <w:rsid w:val="00EA3466"/>
    <w:rsid w:val="00EA62A9"/>
    <w:rsid w:val="00EB4F3F"/>
    <w:rsid w:val="00EB5CDF"/>
    <w:rsid w:val="00EC43B9"/>
    <w:rsid w:val="00ED46A6"/>
    <w:rsid w:val="00ED4D69"/>
    <w:rsid w:val="00ED6CB8"/>
    <w:rsid w:val="00EE362F"/>
    <w:rsid w:val="00EF0E19"/>
    <w:rsid w:val="00F0021D"/>
    <w:rsid w:val="00F00461"/>
    <w:rsid w:val="00F114AE"/>
    <w:rsid w:val="00F16B00"/>
    <w:rsid w:val="00F217E9"/>
    <w:rsid w:val="00F26BAB"/>
    <w:rsid w:val="00F26F99"/>
    <w:rsid w:val="00F43CA0"/>
    <w:rsid w:val="00F44C41"/>
    <w:rsid w:val="00F54216"/>
    <w:rsid w:val="00F54B75"/>
    <w:rsid w:val="00F55030"/>
    <w:rsid w:val="00F7696F"/>
    <w:rsid w:val="00F8209B"/>
    <w:rsid w:val="00F8634A"/>
    <w:rsid w:val="00F9148A"/>
    <w:rsid w:val="00F939D5"/>
    <w:rsid w:val="00F94813"/>
    <w:rsid w:val="00F95E26"/>
    <w:rsid w:val="00F974B2"/>
    <w:rsid w:val="00F97CD9"/>
    <w:rsid w:val="00FA0576"/>
    <w:rsid w:val="00FB2BAC"/>
    <w:rsid w:val="00FB50B4"/>
    <w:rsid w:val="00FC3E95"/>
    <w:rsid w:val="00FC5829"/>
    <w:rsid w:val="00FD14CC"/>
    <w:rsid w:val="00FD4B97"/>
    <w:rsid w:val="00FD79C9"/>
    <w:rsid w:val="00FE3831"/>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character" w:styleId="FollowedHyperlink">
    <w:name w:val="FollowedHyperlink"/>
    <w:basedOn w:val="DefaultParagraphFont"/>
    <w:uiPriority w:val="99"/>
    <w:semiHidden/>
    <w:unhideWhenUsed/>
    <w:rsid w:val="00C321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11</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2014-11-26T06:55:00Z</dcterms:created>
  <dcterms:modified xsi:type="dcterms:W3CDTF">2014-11-26T06:55:00Z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8196112</vt:lpwstr>
  </property>
</Properties>
</file>