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ED" w:rsidRDefault="001752ED" w:rsidP="001752ED">
      <w:pPr>
        <w:pStyle w:val="AERbodytext"/>
      </w:pPr>
      <w:bookmarkStart w:id="0" w:name="_GoBack"/>
      <w:bookmarkEnd w:id="0"/>
      <w:r w:rsidRPr="001752ED">
        <w:rPr>
          <w:noProof/>
          <w:lang w:eastAsia="en-AU"/>
        </w:rPr>
        <w:drawing>
          <wp:anchor distT="0" distB="0" distL="114300" distR="114300" simplePos="0" relativeHeight="251659264" behindDoc="1" locked="0" layoutInCell="1" allowOverlap="1" wp14:anchorId="2A8FA053" wp14:editId="63065216">
            <wp:simplePos x="0" y="0"/>
            <wp:positionH relativeFrom="column">
              <wp:posOffset>-930910</wp:posOffset>
            </wp:positionH>
            <wp:positionV relativeFrom="paragraph">
              <wp:posOffset>-927100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305E37" w:rsidRPr="000A33B4" w:rsidRDefault="00305E37" w:rsidP="00305E37">
      <w:pPr>
        <w:pStyle w:val="AERtitle1"/>
      </w:pPr>
      <w:r>
        <w:t>Draft Decision</w:t>
      </w:r>
    </w:p>
    <w:p w:rsidR="00305E37" w:rsidRDefault="00305E37" w:rsidP="00305E37">
      <w:pPr>
        <w:pStyle w:val="AERtitle1"/>
      </w:pPr>
      <w:r>
        <w:t>Ausgrid distribution determination</w:t>
      </w:r>
    </w:p>
    <w:p w:rsidR="00305E37" w:rsidRPr="000A33B4" w:rsidRDefault="00305E37" w:rsidP="00305E37">
      <w:pPr>
        <w:pStyle w:val="AERtitle1"/>
      </w:pPr>
      <w:r>
        <w:t>2015–16</w:t>
      </w:r>
      <w:r w:rsidRPr="000A33B4">
        <w:t xml:space="preserve"> to 201</w:t>
      </w:r>
      <w:r>
        <w:t>8–</w:t>
      </w:r>
      <w:r w:rsidRPr="000A33B4">
        <w:t>1</w:t>
      </w:r>
      <w:r>
        <w:t>9</w:t>
      </w:r>
    </w:p>
    <w:p w:rsidR="001752ED" w:rsidRDefault="00305E37" w:rsidP="001752ED">
      <w:pPr>
        <w:pStyle w:val="AERtitle1"/>
      </w:pPr>
      <w:r>
        <w:t>Attachment 4: Value of imputation credits</w:t>
      </w:r>
    </w:p>
    <w:p w:rsidR="001752ED" w:rsidRDefault="001752ED" w:rsidP="00902FB3">
      <w:pPr>
        <w:pStyle w:val="AERbodytext"/>
        <w:numPr>
          <w:ilvl w:val="0"/>
          <w:numId w:val="0"/>
        </w:numPr>
      </w:pPr>
    </w:p>
    <w:p w:rsidR="00902FB3" w:rsidRDefault="00902FB3" w:rsidP="00902FB3">
      <w:pPr>
        <w:pStyle w:val="AERbodytext"/>
        <w:numPr>
          <w:ilvl w:val="0"/>
          <w:numId w:val="0"/>
        </w:numPr>
      </w:pPr>
    </w:p>
    <w:p w:rsidR="00902FB3" w:rsidRDefault="00902FB3" w:rsidP="00902FB3">
      <w:pPr>
        <w:pStyle w:val="AERbodytext"/>
        <w:numPr>
          <w:ilvl w:val="0"/>
          <w:numId w:val="0"/>
        </w:numPr>
      </w:pPr>
    </w:p>
    <w:p w:rsidR="001752ED" w:rsidRPr="00F6235D" w:rsidRDefault="001752ED" w:rsidP="001752ED">
      <w:pPr>
        <w:pStyle w:val="AERtitle2"/>
      </w:pPr>
      <w:r>
        <w:t>November 2014</w:t>
      </w:r>
    </w:p>
    <w:p w:rsidR="001752ED" w:rsidRDefault="001752ED" w:rsidP="001752ED">
      <w:pPr>
        <w:pStyle w:val="AERbodytext"/>
      </w:pPr>
    </w:p>
    <w:p w:rsidR="001752ED" w:rsidRDefault="001752ED" w:rsidP="001752ED">
      <w:pPr>
        <w:pStyle w:val="AERbodytext"/>
      </w:pPr>
    </w:p>
    <w:p w:rsidR="001752ED" w:rsidRDefault="001752ED" w:rsidP="001752ED">
      <w:pPr>
        <w:pStyle w:val="AERbodytext"/>
      </w:pPr>
      <w:r>
        <w:br w:type="page"/>
      </w:r>
    </w:p>
    <w:p w:rsidR="001752ED" w:rsidRPr="00B06FB7" w:rsidRDefault="001752ED" w:rsidP="001752ED">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1752ED" w:rsidRPr="00B06FB7" w:rsidRDefault="001752ED" w:rsidP="001752ED">
      <w:pPr>
        <w:pStyle w:val="AERbodytext"/>
      </w:pPr>
      <w:r w:rsidRPr="00B06FB7">
        <w:t>This work is copyright. In addition to any use permitted under the Copyright Act 1968, all material contained within this work is provided under a Creative Commons Attribution 3.0 Australia licence, with the exception of:</w:t>
      </w:r>
    </w:p>
    <w:p w:rsidR="001752ED" w:rsidRPr="00B06FB7" w:rsidRDefault="001752ED" w:rsidP="001752ED">
      <w:pPr>
        <w:pStyle w:val="AERbulletlistfirststyle"/>
      </w:pPr>
      <w:r w:rsidRPr="00B06FB7">
        <w:t>the Commonwealth Coat of Arms</w:t>
      </w:r>
    </w:p>
    <w:p w:rsidR="001752ED" w:rsidRPr="00B06FB7" w:rsidRDefault="001752ED" w:rsidP="001752ED">
      <w:pPr>
        <w:pStyle w:val="AERbulletlistfirststyle"/>
      </w:pPr>
      <w:r w:rsidRPr="00B06FB7">
        <w:t>the ACCC and AER logos</w:t>
      </w:r>
    </w:p>
    <w:p w:rsidR="001752ED" w:rsidRPr="001752ED" w:rsidRDefault="001752ED" w:rsidP="001752ED">
      <w:pPr>
        <w:pStyle w:val="AERbodytext"/>
      </w:pPr>
      <w:r w:rsidRPr="00B06FB7">
        <w:t>any illustration, diagram, photograph or graphic over which the Australian Competition and Consumer Commission does not hold copyright, but which may be part of or contained within this publication.</w:t>
      </w:r>
    </w:p>
    <w:p w:rsidR="001752ED" w:rsidRPr="00B06FB7" w:rsidRDefault="001752ED" w:rsidP="001752ED">
      <w:pPr>
        <w:pStyle w:val="AERbodytext"/>
      </w:pPr>
      <w:r w:rsidRPr="00B06FB7">
        <w:t>The details of the relevant licence conditions are available on the Creative Commons website, as is the full legal code for the CC BY 3.0 AU licence.</w:t>
      </w:r>
    </w:p>
    <w:p w:rsidR="001752ED" w:rsidRPr="00902FB3" w:rsidRDefault="001752ED" w:rsidP="00902FB3">
      <w:pPr>
        <w:pStyle w:val="AERbodytext"/>
      </w:pPr>
      <w:r w:rsidRPr="00B06FB7">
        <w:t xml:space="preserve">Requests and inquiries concerning reproduction and rights should be addressed to the Director, </w:t>
      </w:r>
      <w:r w:rsidRPr="00902FB3">
        <w:t>Corporate Communications, ACCC, GPO Box 3131, Canberra ACT 2601, or</w:t>
      </w:r>
      <w:r w:rsidR="00305E37" w:rsidRPr="00902FB3">
        <w:t xml:space="preserve"> </w:t>
      </w:r>
      <w:hyperlink r:id="rId9" w:history="1">
        <w:r w:rsidRPr="00902FB3">
          <w:t>publishing.unit@accc.gov.au</w:t>
        </w:r>
      </w:hyperlink>
      <w:r w:rsidRPr="00902FB3">
        <w:t>.</w:t>
      </w:r>
    </w:p>
    <w:p w:rsidR="001752ED" w:rsidRDefault="001752ED" w:rsidP="001752ED">
      <w:pPr>
        <w:pStyle w:val="AERbodytext"/>
      </w:pPr>
      <w:r>
        <w:t>Inquiries about this document should be addressed to:</w:t>
      </w:r>
    </w:p>
    <w:p w:rsidR="001752ED" w:rsidRDefault="001752ED" w:rsidP="001752ED">
      <w:pPr>
        <w:pStyle w:val="AERbodytextnospace"/>
      </w:pPr>
      <w:r>
        <w:t>Australian Energy Regulator</w:t>
      </w:r>
    </w:p>
    <w:p w:rsidR="001752ED" w:rsidRDefault="001752ED" w:rsidP="001752ED">
      <w:pPr>
        <w:pStyle w:val="AERbodytextnospace"/>
      </w:pPr>
      <w:r>
        <w:t>GPO Box 520</w:t>
      </w:r>
    </w:p>
    <w:p w:rsidR="001752ED" w:rsidRDefault="001752ED" w:rsidP="001752ED">
      <w:pPr>
        <w:pStyle w:val="AERbodytextnospace"/>
      </w:pPr>
      <w:r>
        <w:t>Melbourne  Vic  3001</w:t>
      </w:r>
    </w:p>
    <w:p w:rsidR="001752ED" w:rsidRDefault="001752ED" w:rsidP="001752ED">
      <w:pPr>
        <w:pStyle w:val="AERbodytextnospace"/>
      </w:pPr>
      <w:r>
        <w:t>Tel: (03) 9290 1444</w:t>
      </w:r>
    </w:p>
    <w:p w:rsidR="001752ED" w:rsidRDefault="001752ED" w:rsidP="001752ED">
      <w:pPr>
        <w:pStyle w:val="AERbodytextnospace"/>
      </w:pPr>
      <w:r>
        <w:t>Fax: (03) 9290 1457</w:t>
      </w:r>
    </w:p>
    <w:p w:rsidR="001752ED" w:rsidRDefault="001752ED" w:rsidP="001752ED">
      <w:pPr>
        <w:pStyle w:val="AERbodytextnospace"/>
      </w:pPr>
      <w:r>
        <w:t xml:space="preserve">Email: </w:t>
      </w:r>
      <w:hyperlink r:id="rId10" w:history="1">
        <w:r w:rsidRPr="003E184A">
          <w:rPr>
            <w:rStyle w:val="Hyperlink"/>
          </w:rPr>
          <w:t>AERInquiry@aer.gov.au</w:t>
        </w:r>
      </w:hyperlink>
    </w:p>
    <w:p w:rsidR="001752ED" w:rsidRPr="008F1A4A" w:rsidRDefault="001752ED" w:rsidP="001752ED">
      <w:pPr>
        <w:pStyle w:val="AERbodytext"/>
      </w:pPr>
    </w:p>
    <w:p w:rsidR="001752ED" w:rsidRDefault="001752ED" w:rsidP="001752ED">
      <w:pPr>
        <w:pStyle w:val="AERbodytext"/>
      </w:pPr>
      <w:r>
        <w:t>AER reference</w:t>
      </w:r>
      <w:r>
        <w:rPr>
          <w:rStyle w:val="AERbody"/>
        </w:rPr>
        <w:t xml:space="preserve">:  </w:t>
      </w:r>
      <w:r w:rsidR="00305E37">
        <w:rPr>
          <w:rStyle w:val="AERbody"/>
        </w:rPr>
        <w:t>52294</w:t>
      </w:r>
    </w:p>
    <w:p w:rsidR="001752ED" w:rsidRDefault="001752ED" w:rsidP="001752ED">
      <w:pPr>
        <w:pStyle w:val="AERbodytext"/>
      </w:pPr>
    </w:p>
    <w:p w:rsidR="001752ED" w:rsidRDefault="001752ED" w:rsidP="001752ED">
      <w:pPr>
        <w:pStyle w:val="AERbodytext"/>
      </w:pPr>
    </w:p>
    <w:p w:rsidR="001752ED" w:rsidRDefault="001752ED" w:rsidP="001752ED">
      <w:r>
        <w:br w:type="page"/>
      </w:r>
    </w:p>
    <w:p w:rsidR="00305E37" w:rsidRDefault="00305E37" w:rsidP="00305E37">
      <w:pPr>
        <w:pStyle w:val="UnnumberedHeading"/>
        <w:numPr>
          <w:ilvl w:val="0"/>
          <w:numId w:val="57"/>
        </w:numPr>
      </w:pPr>
      <w:bookmarkStart w:id="1" w:name="_Toc404354899"/>
      <w:bookmarkStart w:id="2" w:name="_Toc404353070"/>
      <w:bookmarkStart w:id="3" w:name="_Toc404365655"/>
      <w:r>
        <w:lastRenderedPageBreak/>
        <w:t>Note</w:t>
      </w:r>
      <w:bookmarkEnd w:id="1"/>
      <w:bookmarkEnd w:id="2"/>
      <w:bookmarkEnd w:id="3"/>
    </w:p>
    <w:p w:rsidR="00305E37" w:rsidRDefault="00305E37" w:rsidP="00305E37">
      <w:pPr>
        <w:pStyle w:val="AERbodytext"/>
      </w:pPr>
      <w:r>
        <w:t>This attachment forms part of the AER's draft decision on Ausgrid’s 2015–19 distribution determination. It should be read with other parts of the draft decision.</w:t>
      </w:r>
    </w:p>
    <w:p w:rsidR="00305E37" w:rsidRDefault="00305E37" w:rsidP="00305E37">
      <w:pPr>
        <w:pStyle w:val="AERbodytext"/>
      </w:pPr>
      <w:r>
        <w:t>The draft decision includes the following documents:</w:t>
      </w:r>
    </w:p>
    <w:p w:rsidR="00305E37" w:rsidRDefault="00305E37" w:rsidP="00305E37">
      <w:pPr>
        <w:pStyle w:val="AERbodytext"/>
      </w:pPr>
      <w:r>
        <w:t>Overview</w:t>
      </w:r>
    </w:p>
    <w:p w:rsidR="00305E37" w:rsidRDefault="00305E37" w:rsidP="00305E37">
      <w:pPr>
        <w:pStyle w:val="AERbodytext"/>
      </w:pPr>
      <w:r>
        <w:t>Attachment 1 – Annual revenue requirement</w:t>
      </w:r>
    </w:p>
    <w:p w:rsidR="00305E37" w:rsidRDefault="00305E37" w:rsidP="00305E37">
      <w:pPr>
        <w:pStyle w:val="AERbodytext"/>
      </w:pPr>
      <w:r>
        <w:t>Attachment 2 – Regulatory asset base</w:t>
      </w:r>
    </w:p>
    <w:p w:rsidR="00305E37" w:rsidRDefault="00305E37" w:rsidP="00305E37">
      <w:pPr>
        <w:pStyle w:val="AERbodytext"/>
      </w:pPr>
      <w:r>
        <w:t>Attachment 3 – Rate of return</w:t>
      </w:r>
    </w:p>
    <w:p w:rsidR="00305E37" w:rsidRDefault="00305E37" w:rsidP="00305E37">
      <w:pPr>
        <w:pStyle w:val="AERbodytext"/>
      </w:pPr>
      <w:r>
        <w:t>Attachment 4 – Value of imputation credits</w:t>
      </w:r>
    </w:p>
    <w:p w:rsidR="00305E37" w:rsidRDefault="00305E37" w:rsidP="00305E37">
      <w:pPr>
        <w:pStyle w:val="AERbodytext"/>
      </w:pPr>
      <w:r>
        <w:t>Attachment 5 – Regulatory depreciation</w:t>
      </w:r>
    </w:p>
    <w:p w:rsidR="00305E37" w:rsidRDefault="00305E37" w:rsidP="00305E37">
      <w:pPr>
        <w:pStyle w:val="AERbodytext"/>
      </w:pPr>
      <w:r>
        <w:t xml:space="preserve">Attachment 6 – Capital expenditure </w:t>
      </w:r>
    </w:p>
    <w:p w:rsidR="00305E37" w:rsidRDefault="00305E37" w:rsidP="00305E37">
      <w:pPr>
        <w:pStyle w:val="AERbodytext"/>
      </w:pPr>
      <w:r>
        <w:t>Attachment 7 – Operating expenditure</w:t>
      </w:r>
    </w:p>
    <w:p w:rsidR="00305E37" w:rsidRDefault="00305E37" w:rsidP="00305E37">
      <w:pPr>
        <w:pStyle w:val="AERbodytext"/>
      </w:pPr>
      <w:r>
        <w:t>Attachment 8 – Corporate income tax</w:t>
      </w:r>
    </w:p>
    <w:p w:rsidR="00305E37" w:rsidRDefault="00305E37" w:rsidP="00305E37">
      <w:pPr>
        <w:pStyle w:val="AERbodytext"/>
      </w:pPr>
      <w:r>
        <w:t>Attachment 9 – Efficiency benefit sharing scheme</w:t>
      </w:r>
    </w:p>
    <w:p w:rsidR="00305E37" w:rsidRDefault="00305E37" w:rsidP="00305E37">
      <w:pPr>
        <w:pStyle w:val="AERbodytext"/>
      </w:pPr>
      <w:r>
        <w:t>Attachment 10 – Capital expenditure sharing scheme</w:t>
      </w:r>
    </w:p>
    <w:p w:rsidR="00305E37" w:rsidRDefault="00305E37" w:rsidP="00305E37">
      <w:pPr>
        <w:pStyle w:val="AERbodytext"/>
      </w:pPr>
      <w:r>
        <w:t>Attachment 11 – Service target performance incentive scheme</w:t>
      </w:r>
    </w:p>
    <w:p w:rsidR="00305E37" w:rsidRDefault="00305E37" w:rsidP="00305E37">
      <w:pPr>
        <w:pStyle w:val="AERbodytext"/>
      </w:pPr>
      <w:r>
        <w:t>Attachment 12 – Demand management incentive scheme</w:t>
      </w:r>
    </w:p>
    <w:p w:rsidR="00305E37" w:rsidRDefault="00305E37" w:rsidP="00305E37">
      <w:pPr>
        <w:pStyle w:val="AERbodytext"/>
      </w:pPr>
      <w:r>
        <w:t>Attachment 13 – Classification of services</w:t>
      </w:r>
    </w:p>
    <w:p w:rsidR="00305E37" w:rsidRDefault="00305E37" w:rsidP="00305E37">
      <w:pPr>
        <w:pStyle w:val="AERbodytext"/>
      </w:pPr>
      <w:r>
        <w:t>Attachment 14 – Control mechanism</w:t>
      </w:r>
    </w:p>
    <w:p w:rsidR="00305E37" w:rsidRDefault="00305E37" w:rsidP="00305E37">
      <w:pPr>
        <w:pStyle w:val="AERbodytext"/>
      </w:pPr>
      <w:r>
        <w:t>Attachment 15 – Pass through events</w:t>
      </w:r>
    </w:p>
    <w:p w:rsidR="00305E37" w:rsidRDefault="00305E37" w:rsidP="00305E37">
      <w:pPr>
        <w:pStyle w:val="AERbodytext"/>
      </w:pPr>
      <w:r>
        <w:t>Attachment 16 – Alternative control services</w:t>
      </w:r>
    </w:p>
    <w:p w:rsidR="00305E37" w:rsidRDefault="00305E37" w:rsidP="00305E37">
      <w:pPr>
        <w:pStyle w:val="AERbodytext"/>
      </w:pPr>
      <w:r>
        <w:t>Attachment 17 – Negotiated services framework and criteria</w:t>
      </w:r>
    </w:p>
    <w:p w:rsidR="00305E37" w:rsidRPr="008B6C33" w:rsidRDefault="00305E37" w:rsidP="00305E37">
      <w:pPr>
        <w:pStyle w:val="AERbodytext"/>
      </w:pPr>
      <w:r>
        <w:t>Attachment 18 – Connection methodology</w:t>
      </w:r>
    </w:p>
    <w:p w:rsidR="00305E37" w:rsidRPr="000A33B4" w:rsidRDefault="00305E37" w:rsidP="00305E37">
      <w:pPr>
        <w:pStyle w:val="AERbodytext"/>
      </w:pPr>
      <w:r>
        <w:t>Attachment 19 – Pricing methodology</w:t>
      </w:r>
    </w:p>
    <w:p w:rsidR="00305E37" w:rsidRPr="001752ED" w:rsidRDefault="00305E37" w:rsidP="001752ED"/>
    <w:p w:rsidR="001752ED" w:rsidRPr="00F77550" w:rsidRDefault="001752ED" w:rsidP="001752ED">
      <w:pPr>
        <w:pStyle w:val="UnnumberedHeading"/>
        <w:numPr>
          <w:ilvl w:val="0"/>
          <w:numId w:val="57"/>
        </w:numPr>
      </w:pPr>
      <w:bookmarkStart w:id="4" w:name="_Toc404365656"/>
      <w:r w:rsidRPr="00F77550">
        <w:lastRenderedPageBreak/>
        <w:t>Contents</w:t>
      </w:r>
      <w:bookmarkEnd w:id="4"/>
    </w:p>
    <w:p w:rsidR="00305E37" w:rsidRDefault="001752ED">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Pr="001752ED">
        <w:instrText xml:space="preserve"> TOC \o "1-2" \h \z \u \t "Heading 7,1" </w:instrText>
      </w:r>
      <w:r>
        <w:fldChar w:fldCharType="separate"/>
      </w:r>
      <w:hyperlink w:anchor="_Toc404365655" w:history="1">
        <w:r w:rsidR="00305E37" w:rsidRPr="00237DC2">
          <w:rPr>
            <w:rStyle w:val="Hyperlink"/>
            <w:noProof/>
          </w:rPr>
          <w:t>Note</w:t>
        </w:r>
        <w:r w:rsidR="00305E37">
          <w:rPr>
            <w:noProof/>
            <w:webHidden/>
          </w:rPr>
          <w:tab/>
        </w:r>
        <w:r w:rsidR="00305E37">
          <w:rPr>
            <w:webHidden/>
          </w:rPr>
          <w:t>4-</w:t>
        </w:r>
        <w:r w:rsidR="00305E37">
          <w:rPr>
            <w:noProof/>
            <w:webHidden/>
          </w:rPr>
          <w:fldChar w:fldCharType="begin"/>
        </w:r>
        <w:r w:rsidR="00305E37">
          <w:rPr>
            <w:noProof/>
            <w:webHidden/>
          </w:rPr>
          <w:instrText xml:space="preserve"> PAGEREF _Toc404365655 \h </w:instrText>
        </w:r>
        <w:r w:rsidR="00305E37">
          <w:rPr>
            <w:noProof/>
            <w:webHidden/>
          </w:rPr>
        </w:r>
        <w:r w:rsidR="00305E37">
          <w:rPr>
            <w:noProof/>
            <w:webHidden/>
          </w:rPr>
          <w:fldChar w:fldCharType="separate"/>
        </w:r>
        <w:r w:rsidR="00305E37">
          <w:rPr>
            <w:noProof/>
            <w:webHidden/>
          </w:rPr>
          <w:t>3</w:t>
        </w:r>
        <w:r w:rsidR="00305E37">
          <w:rPr>
            <w:noProof/>
            <w:webHidden/>
          </w:rPr>
          <w:fldChar w:fldCharType="end"/>
        </w:r>
      </w:hyperlink>
    </w:p>
    <w:p w:rsidR="00305E37" w:rsidRDefault="00A854A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5656" w:history="1">
        <w:r w:rsidR="00305E37" w:rsidRPr="00237DC2">
          <w:rPr>
            <w:rStyle w:val="Hyperlink"/>
            <w:noProof/>
          </w:rPr>
          <w:t>Contents</w:t>
        </w:r>
        <w:r w:rsidR="00305E37">
          <w:rPr>
            <w:noProof/>
            <w:webHidden/>
          </w:rPr>
          <w:tab/>
        </w:r>
        <w:r w:rsidR="00305E37">
          <w:rPr>
            <w:webHidden/>
          </w:rPr>
          <w:t>4-</w:t>
        </w:r>
        <w:r w:rsidR="00305E37">
          <w:rPr>
            <w:noProof/>
            <w:webHidden/>
          </w:rPr>
          <w:fldChar w:fldCharType="begin"/>
        </w:r>
        <w:r w:rsidR="00305E37">
          <w:rPr>
            <w:noProof/>
            <w:webHidden/>
          </w:rPr>
          <w:instrText xml:space="preserve"> PAGEREF _Toc404365656 \h </w:instrText>
        </w:r>
        <w:r w:rsidR="00305E37">
          <w:rPr>
            <w:noProof/>
            <w:webHidden/>
          </w:rPr>
        </w:r>
        <w:r w:rsidR="00305E37">
          <w:rPr>
            <w:noProof/>
            <w:webHidden/>
          </w:rPr>
          <w:fldChar w:fldCharType="separate"/>
        </w:r>
        <w:r w:rsidR="00305E37">
          <w:rPr>
            <w:noProof/>
            <w:webHidden/>
          </w:rPr>
          <w:t>4</w:t>
        </w:r>
        <w:r w:rsidR="00305E37">
          <w:rPr>
            <w:noProof/>
            <w:webHidden/>
          </w:rPr>
          <w:fldChar w:fldCharType="end"/>
        </w:r>
      </w:hyperlink>
    </w:p>
    <w:p w:rsidR="00305E37" w:rsidRDefault="00A854A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5657" w:history="1">
        <w:r w:rsidR="00305E37" w:rsidRPr="00237DC2">
          <w:rPr>
            <w:rStyle w:val="Hyperlink"/>
            <w:noProof/>
          </w:rPr>
          <w:t>Shortened forms</w:t>
        </w:r>
        <w:r w:rsidR="00305E37">
          <w:rPr>
            <w:noProof/>
            <w:webHidden/>
          </w:rPr>
          <w:tab/>
        </w:r>
        <w:r w:rsidR="00305E37">
          <w:rPr>
            <w:webHidden/>
          </w:rPr>
          <w:t>4-</w:t>
        </w:r>
        <w:r w:rsidR="00305E37">
          <w:rPr>
            <w:noProof/>
            <w:webHidden/>
          </w:rPr>
          <w:fldChar w:fldCharType="begin"/>
        </w:r>
        <w:r w:rsidR="00305E37">
          <w:rPr>
            <w:noProof/>
            <w:webHidden/>
          </w:rPr>
          <w:instrText xml:space="preserve"> PAGEREF _Toc404365657 \h </w:instrText>
        </w:r>
        <w:r w:rsidR="00305E37">
          <w:rPr>
            <w:noProof/>
            <w:webHidden/>
          </w:rPr>
        </w:r>
        <w:r w:rsidR="00305E37">
          <w:rPr>
            <w:noProof/>
            <w:webHidden/>
          </w:rPr>
          <w:fldChar w:fldCharType="separate"/>
        </w:r>
        <w:r w:rsidR="00305E37">
          <w:rPr>
            <w:noProof/>
            <w:webHidden/>
          </w:rPr>
          <w:t>5</w:t>
        </w:r>
        <w:r w:rsidR="00305E37">
          <w:rPr>
            <w:noProof/>
            <w:webHidden/>
          </w:rPr>
          <w:fldChar w:fldCharType="end"/>
        </w:r>
      </w:hyperlink>
    </w:p>
    <w:p w:rsidR="00305E37" w:rsidRDefault="00A854A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65658" w:history="1">
        <w:r w:rsidR="00305E37" w:rsidRPr="00237DC2">
          <w:rPr>
            <w:rStyle w:val="Hyperlink"/>
            <w:noProof/>
          </w:rPr>
          <w:t>4</w:t>
        </w:r>
        <w:r w:rsidR="00305E37">
          <w:rPr>
            <w:rFonts w:asciiTheme="minorHAnsi" w:eastAsiaTheme="minorEastAsia" w:hAnsiTheme="minorHAnsi" w:cstheme="minorBidi"/>
            <w:b w:val="0"/>
            <w:bCs w:val="0"/>
            <w:noProof/>
            <w:sz w:val="22"/>
            <w:szCs w:val="22"/>
            <w:lang w:eastAsia="en-AU"/>
          </w:rPr>
          <w:tab/>
        </w:r>
        <w:r w:rsidR="00305E37" w:rsidRPr="00237DC2">
          <w:rPr>
            <w:rStyle w:val="Hyperlink"/>
            <w:noProof/>
          </w:rPr>
          <w:t>Value of imputation credits</w:t>
        </w:r>
        <w:r w:rsidR="00305E37">
          <w:rPr>
            <w:noProof/>
            <w:webHidden/>
          </w:rPr>
          <w:tab/>
        </w:r>
        <w:r w:rsidR="00305E37">
          <w:rPr>
            <w:noProof/>
            <w:webHidden/>
          </w:rPr>
          <w:fldChar w:fldCharType="begin"/>
        </w:r>
        <w:r w:rsidR="00305E37">
          <w:rPr>
            <w:noProof/>
            <w:webHidden/>
          </w:rPr>
          <w:instrText xml:space="preserve"> PAGEREF _Toc404365658 \h </w:instrText>
        </w:r>
        <w:r w:rsidR="00305E37">
          <w:rPr>
            <w:noProof/>
            <w:webHidden/>
          </w:rPr>
        </w:r>
        <w:r w:rsidR="00305E37">
          <w:rPr>
            <w:noProof/>
            <w:webHidden/>
          </w:rPr>
          <w:fldChar w:fldCharType="separate"/>
        </w:r>
        <w:r w:rsidR="00305E37">
          <w:rPr>
            <w:noProof/>
            <w:webHidden/>
          </w:rPr>
          <w:t>4-7</w:t>
        </w:r>
        <w:r w:rsidR="00305E37">
          <w:rPr>
            <w:noProof/>
            <w:webHidden/>
          </w:rPr>
          <w:fldChar w:fldCharType="end"/>
        </w:r>
      </w:hyperlink>
    </w:p>
    <w:p w:rsidR="00305E37" w:rsidRDefault="00A854A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5659" w:history="1">
        <w:r w:rsidR="00305E37" w:rsidRPr="00237DC2">
          <w:rPr>
            <w:rStyle w:val="Hyperlink"/>
            <w:noProof/>
          </w:rPr>
          <w:t>4.1</w:t>
        </w:r>
        <w:r w:rsidR="00305E37">
          <w:rPr>
            <w:rFonts w:asciiTheme="minorHAnsi" w:eastAsiaTheme="minorEastAsia" w:hAnsiTheme="minorHAnsi" w:cstheme="minorBidi"/>
            <w:iCs w:val="0"/>
            <w:noProof/>
            <w:sz w:val="22"/>
            <w:szCs w:val="22"/>
            <w:lang w:eastAsia="en-AU"/>
          </w:rPr>
          <w:tab/>
        </w:r>
        <w:r w:rsidR="00305E37" w:rsidRPr="00237DC2">
          <w:rPr>
            <w:rStyle w:val="Hyperlink"/>
            <w:noProof/>
          </w:rPr>
          <w:t>Draft decision</w:t>
        </w:r>
        <w:r w:rsidR="00305E37">
          <w:rPr>
            <w:noProof/>
            <w:webHidden/>
          </w:rPr>
          <w:tab/>
        </w:r>
        <w:r w:rsidR="00305E37">
          <w:rPr>
            <w:noProof/>
            <w:webHidden/>
          </w:rPr>
          <w:fldChar w:fldCharType="begin"/>
        </w:r>
        <w:r w:rsidR="00305E37">
          <w:rPr>
            <w:noProof/>
            <w:webHidden/>
          </w:rPr>
          <w:instrText xml:space="preserve"> PAGEREF _Toc404365659 \h </w:instrText>
        </w:r>
        <w:r w:rsidR="00305E37">
          <w:rPr>
            <w:noProof/>
            <w:webHidden/>
          </w:rPr>
        </w:r>
        <w:r w:rsidR="00305E37">
          <w:rPr>
            <w:noProof/>
            <w:webHidden/>
          </w:rPr>
          <w:fldChar w:fldCharType="separate"/>
        </w:r>
        <w:r w:rsidR="00305E37">
          <w:rPr>
            <w:noProof/>
            <w:webHidden/>
          </w:rPr>
          <w:t>4-7</w:t>
        </w:r>
        <w:r w:rsidR="00305E37">
          <w:rPr>
            <w:noProof/>
            <w:webHidden/>
          </w:rPr>
          <w:fldChar w:fldCharType="end"/>
        </w:r>
      </w:hyperlink>
    </w:p>
    <w:p w:rsidR="00305E37" w:rsidRDefault="00A854A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5660" w:history="1">
        <w:r w:rsidR="00305E37" w:rsidRPr="00237DC2">
          <w:rPr>
            <w:rStyle w:val="Hyperlink"/>
            <w:noProof/>
          </w:rPr>
          <w:t>4.2</w:t>
        </w:r>
        <w:r w:rsidR="00305E37">
          <w:rPr>
            <w:rFonts w:asciiTheme="minorHAnsi" w:eastAsiaTheme="minorEastAsia" w:hAnsiTheme="minorHAnsi" w:cstheme="minorBidi"/>
            <w:iCs w:val="0"/>
            <w:noProof/>
            <w:sz w:val="22"/>
            <w:szCs w:val="22"/>
            <w:lang w:eastAsia="en-AU"/>
          </w:rPr>
          <w:tab/>
        </w:r>
        <w:r w:rsidR="00305E37" w:rsidRPr="00237DC2">
          <w:rPr>
            <w:rStyle w:val="Hyperlink"/>
            <w:noProof/>
          </w:rPr>
          <w:t>Ausgrid's proposal</w:t>
        </w:r>
        <w:r w:rsidR="00305E37">
          <w:rPr>
            <w:noProof/>
            <w:webHidden/>
          </w:rPr>
          <w:tab/>
        </w:r>
        <w:r w:rsidR="00305E37">
          <w:rPr>
            <w:noProof/>
            <w:webHidden/>
          </w:rPr>
          <w:fldChar w:fldCharType="begin"/>
        </w:r>
        <w:r w:rsidR="00305E37">
          <w:rPr>
            <w:noProof/>
            <w:webHidden/>
          </w:rPr>
          <w:instrText xml:space="preserve"> PAGEREF _Toc404365660 \h </w:instrText>
        </w:r>
        <w:r w:rsidR="00305E37">
          <w:rPr>
            <w:noProof/>
            <w:webHidden/>
          </w:rPr>
        </w:r>
        <w:r w:rsidR="00305E37">
          <w:rPr>
            <w:noProof/>
            <w:webHidden/>
          </w:rPr>
          <w:fldChar w:fldCharType="separate"/>
        </w:r>
        <w:r w:rsidR="00305E37">
          <w:rPr>
            <w:noProof/>
            <w:webHidden/>
          </w:rPr>
          <w:t>4-8</w:t>
        </w:r>
        <w:r w:rsidR="00305E37">
          <w:rPr>
            <w:noProof/>
            <w:webHidden/>
          </w:rPr>
          <w:fldChar w:fldCharType="end"/>
        </w:r>
      </w:hyperlink>
    </w:p>
    <w:p w:rsidR="00305E37" w:rsidRDefault="00A854A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5661" w:history="1">
        <w:r w:rsidR="00305E37" w:rsidRPr="00237DC2">
          <w:rPr>
            <w:rStyle w:val="Hyperlink"/>
            <w:noProof/>
          </w:rPr>
          <w:t>4.3</w:t>
        </w:r>
        <w:r w:rsidR="00305E37">
          <w:rPr>
            <w:rFonts w:asciiTheme="minorHAnsi" w:eastAsiaTheme="minorEastAsia" w:hAnsiTheme="minorHAnsi" w:cstheme="minorBidi"/>
            <w:iCs w:val="0"/>
            <w:noProof/>
            <w:sz w:val="22"/>
            <w:szCs w:val="22"/>
            <w:lang w:eastAsia="en-AU"/>
          </w:rPr>
          <w:tab/>
        </w:r>
        <w:r w:rsidR="00305E37" w:rsidRPr="00237DC2">
          <w:rPr>
            <w:rStyle w:val="Hyperlink"/>
            <w:noProof/>
          </w:rPr>
          <w:t>AER's assessment approach</w:t>
        </w:r>
        <w:r w:rsidR="00305E37">
          <w:rPr>
            <w:noProof/>
            <w:webHidden/>
          </w:rPr>
          <w:tab/>
        </w:r>
        <w:r w:rsidR="00305E37">
          <w:rPr>
            <w:noProof/>
            <w:webHidden/>
          </w:rPr>
          <w:fldChar w:fldCharType="begin"/>
        </w:r>
        <w:r w:rsidR="00305E37">
          <w:rPr>
            <w:noProof/>
            <w:webHidden/>
          </w:rPr>
          <w:instrText xml:space="preserve"> PAGEREF _Toc404365661 \h </w:instrText>
        </w:r>
        <w:r w:rsidR="00305E37">
          <w:rPr>
            <w:noProof/>
            <w:webHidden/>
          </w:rPr>
        </w:r>
        <w:r w:rsidR="00305E37">
          <w:rPr>
            <w:noProof/>
            <w:webHidden/>
          </w:rPr>
          <w:fldChar w:fldCharType="separate"/>
        </w:r>
        <w:r w:rsidR="00305E37">
          <w:rPr>
            <w:noProof/>
            <w:webHidden/>
          </w:rPr>
          <w:t>4-8</w:t>
        </w:r>
        <w:r w:rsidR="00305E37">
          <w:rPr>
            <w:noProof/>
            <w:webHidden/>
          </w:rPr>
          <w:fldChar w:fldCharType="end"/>
        </w:r>
      </w:hyperlink>
    </w:p>
    <w:p w:rsidR="00305E37" w:rsidRDefault="00A854A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5662" w:history="1">
        <w:r w:rsidR="00305E37" w:rsidRPr="00237DC2">
          <w:rPr>
            <w:rStyle w:val="Hyperlink"/>
            <w:noProof/>
          </w:rPr>
          <w:t>4.4</w:t>
        </w:r>
        <w:r w:rsidR="00305E37">
          <w:rPr>
            <w:rFonts w:asciiTheme="minorHAnsi" w:eastAsiaTheme="minorEastAsia" w:hAnsiTheme="minorHAnsi" w:cstheme="minorBidi"/>
            <w:iCs w:val="0"/>
            <w:noProof/>
            <w:sz w:val="22"/>
            <w:szCs w:val="22"/>
            <w:lang w:eastAsia="en-AU"/>
          </w:rPr>
          <w:tab/>
        </w:r>
        <w:r w:rsidR="00305E37" w:rsidRPr="00237DC2">
          <w:rPr>
            <w:rStyle w:val="Hyperlink"/>
            <w:noProof/>
          </w:rPr>
          <w:t>Reasons for draft decision</w:t>
        </w:r>
        <w:r w:rsidR="00305E37">
          <w:rPr>
            <w:noProof/>
            <w:webHidden/>
          </w:rPr>
          <w:tab/>
        </w:r>
        <w:r w:rsidR="00305E37">
          <w:rPr>
            <w:noProof/>
            <w:webHidden/>
          </w:rPr>
          <w:fldChar w:fldCharType="begin"/>
        </w:r>
        <w:r w:rsidR="00305E37">
          <w:rPr>
            <w:noProof/>
            <w:webHidden/>
          </w:rPr>
          <w:instrText xml:space="preserve"> PAGEREF _Toc404365662 \h </w:instrText>
        </w:r>
        <w:r w:rsidR="00305E37">
          <w:rPr>
            <w:noProof/>
            <w:webHidden/>
          </w:rPr>
        </w:r>
        <w:r w:rsidR="00305E37">
          <w:rPr>
            <w:noProof/>
            <w:webHidden/>
          </w:rPr>
          <w:fldChar w:fldCharType="separate"/>
        </w:r>
        <w:r w:rsidR="00305E37">
          <w:rPr>
            <w:noProof/>
            <w:webHidden/>
          </w:rPr>
          <w:t>4-13</w:t>
        </w:r>
        <w:r w:rsidR="00305E37">
          <w:rPr>
            <w:noProof/>
            <w:webHidden/>
          </w:rPr>
          <w:fldChar w:fldCharType="end"/>
        </w:r>
      </w:hyperlink>
    </w:p>
    <w:p w:rsidR="00305E37" w:rsidRDefault="00A854A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65663" w:history="1">
        <w:r w:rsidR="00305E37" w:rsidRPr="00237DC2">
          <w:rPr>
            <w:rStyle w:val="Hyperlink"/>
            <w:noProof/>
          </w:rPr>
          <w:t>A</w:t>
        </w:r>
        <w:r w:rsidR="00305E37">
          <w:rPr>
            <w:rFonts w:asciiTheme="minorHAnsi" w:eastAsiaTheme="minorEastAsia" w:hAnsiTheme="minorHAnsi" w:cstheme="minorBidi"/>
            <w:b w:val="0"/>
            <w:bCs w:val="0"/>
            <w:noProof/>
            <w:sz w:val="22"/>
            <w:szCs w:val="22"/>
            <w:lang w:eastAsia="en-AU"/>
          </w:rPr>
          <w:tab/>
        </w:r>
        <w:r w:rsidR="00305E37" w:rsidRPr="00237DC2">
          <w:rPr>
            <w:rStyle w:val="Hyperlink"/>
            <w:noProof/>
          </w:rPr>
          <w:t>Value of imputation credits: Detailed analysis</w:t>
        </w:r>
        <w:r w:rsidR="00305E37">
          <w:rPr>
            <w:noProof/>
            <w:webHidden/>
          </w:rPr>
          <w:tab/>
        </w:r>
        <w:r w:rsidR="00305E37">
          <w:rPr>
            <w:noProof/>
            <w:webHidden/>
          </w:rPr>
          <w:fldChar w:fldCharType="begin"/>
        </w:r>
        <w:r w:rsidR="00305E37">
          <w:rPr>
            <w:noProof/>
            <w:webHidden/>
          </w:rPr>
          <w:instrText xml:space="preserve"> PAGEREF _Toc404365663 \h </w:instrText>
        </w:r>
        <w:r w:rsidR="00305E37">
          <w:rPr>
            <w:noProof/>
            <w:webHidden/>
          </w:rPr>
        </w:r>
        <w:r w:rsidR="00305E37">
          <w:rPr>
            <w:noProof/>
            <w:webHidden/>
          </w:rPr>
          <w:fldChar w:fldCharType="separate"/>
        </w:r>
        <w:r w:rsidR="00305E37">
          <w:rPr>
            <w:noProof/>
            <w:webHidden/>
          </w:rPr>
          <w:t>4-26</w:t>
        </w:r>
        <w:r w:rsidR="00305E37">
          <w:rPr>
            <w:noProof/>
            <w:webHidden/>
          </w:rPr>
          <w:fldChar w:fldCharType="end"/>
        </w:r>
      </w:hyperlink>
    </w:p>
    <w:p w:rsidR="001752ED" w:rsidRPr="00AF3E95" w:rsidRDefault="001752ED" w:rsidP="001752ED">
      <w:pPr>
        <w:pStyle w:val="TOC1"/>
      </w:pPr>
      <w:r>
        <w:fldChar w:fldCharType="end"/>
      </w:r>
    </w:p>
    <w:p w:rsidR="00305E37" w:rsidRDefault="00305E37" w:rsidP="00305E37">
      <w:pPr>
        <w:pStyle w:val="UnnumberedHeading"/>
        <w:numPr>
          <w:ilvl w:val="0"/>
          <w:numId w:val="57"/>
        </w:numPr>
      </w:pPr>
      <w:bookmarkStart w:id="5" w:name="_Toc402538524"/>
      <w:bookmarkStart w:id="6" w:name="_Toc404354901"/>
      <w:bookmarkStart w:id="7" w:name="_Toc404353072"/>
      <w:bookmarkStart w:id="8" w:name="_Toc404365657"/>
      <w:r>
        <w:lastRenderedPageBreak/>
        <w:t>Shortened forms</w:t>
      </w:r>
      <w:bookmarkEnd w:id="5"/>
      <w:bookmarkEnd w:id="6"/>
      <w:bookmarkEnd w:id="7"/>
      <w:bookmarkEnd w:id="8"/>
    </w:p>
    <w:tbl>
      <w:tblPr>
        <w:tblStyle w:val="AERtable-numbers"/>
        <w:tblW w:w="0" w:type="auto"/>
        <w:tblLook w:val="04A0" w:firstRow="1" w:lastRow="0" w:firstColumn="1" w:lastColumn="0" w:noHBand="0" w:noVBand="1"/>
      </w:tblPr>
      <w:tblGrid>
        <w:gridCol w:w="4621"/>
        <w:gridCol w:w="4621"/>
      </w:tblGrid>
      <w:tr w:rsidR="00305E37" w:rsidTr="004C6F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Shortened form</w:t>
            </w:r>
          </w:p>
        </w:tc>
        <w:tc>
          <w:tcPr>
            <w:tcW w:w="4621" w:type="dxa"/>
          </w:tcPr>
          <w:p w:rsidR="00305E37" w:rsidRDefault="00305E37" w:rsidP="00305E37">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AARR</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AEMC</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AEMO</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AER</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ASRR</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augex</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capex</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CCP</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CESS</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CPI</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CPI-X</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DRP</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DMIA</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DMIS</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distributor</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DUoS</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EBSS</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ERP</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expenditure assessment guideline</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F&amp;A</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MRP</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lastRenderedPageBreak/>
              <w:t>NEL</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NEM</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NEO</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NER</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NSP</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opex</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PPI</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PTRM</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RAB</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RBA</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repex</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RFM</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RIN</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RPP</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SAIDI</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SAIFI</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SLCAPM</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305E37" w:rsidTr="004C6F08">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STPIS</w:t>
            </w:r>
          </w:p>
        </w:tc>
        <w:tc>
          <w:tcPr>
            <w:tcW w:w="4621" w:type="dxa"/>
          </w:tcPr>
          <w:p w:rsidR="00305E37" w:rsidRDefault="00305E37" w:rsidP="00305E37">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305E37" w:rsidTr="004C6F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05E37" w:rsidRDefault="00305E37" w:rsidP="00305E37">
            <w:pPr>
              <w:pStyle w:val="AERbodytext"/>
            </w:pPr>
            <w:r>
              <w:t>WACC</w:t>
            </w:r>
          </w:p>
        </w:tc>
        <w:tc>
          <w:tcPr>
            <w:tcW w:w="4621" w:type="dxa"/>
          </w:tcPr>
          <w:p w:rsidR="00305E37" w:rsidRDefault="00305E37" w:rsidP="00305E37">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305E37" w:rsidRPr="00271F7C" w:rsidRDefault="00305E37" w:rsidP="00305E37">
      <w:pPr>
        <w:pStyle w:val="AERbodytext"/>
      </w:pPr>
    </w:p>
    <w:p w:rsidR="001752ED" w:rsidRDefault="001752ED" w:rsidP="001752ED">
      <w:pPr>
        <w:pStyle w:val="UnnumberedHeading"/>
        <w:sectPr w:rsidR="001752ED" w:rsidSect="00305E37">
          <w:footerReference w:type="even" r:id="rId11"/>
          <w:footerReference w:type="default" r:id="rId12"/>
          <w:pgSz w:w="11906" w:h="16838" w:code="9"/>
          <w:pgMar w:top="1440" w:right="1440" w:bottom="1440" w:left="1440" w:header="709" w:footer="709" w:gutter="0"/>
          <w:pgNumType w:start="1"/>
          <w:cols w:space="708"/>
          <w:docGrid w:linePitch="360"/>
        </w:sectPr>
      </w:pPr>
    </w:p>
    <w:p w:rsidR="00B47945" w:rsidRDefault="007D5DEB" w:rsidP="00162A3D">
      <w:pPr>
        <w:pStyle w:val="Heading1"/>
      </w:pPr>
      <w:bookmarkStart w:id="9" w:name="_Ref403482530"/>
      <w:bookmarkStart w:id="10" w:name="_Ref403482758"/>
      <w:bookmarkStart w:id="11" w:name="_Ref403482812"/>
      <w:bookmarkStart w:id="12" w:name="_Ref403482848"/>
      <w:bookmarkStart w:id="13" w:name="_Ref403482860"/>
      <w:bookmarkStart w:id="14" w:name="_Ref403482904"/>
      <w:bookmarkStart w:id="15" w:name="_Ref403482943"/>
      <w:bookmarkStart w:id="16" w:name="_Ref403482992"/>
      <w:bookmarkStart w:id="17" w:name="_Ref403483018"/>
      <w:bookmarkStart w:id="18" w:name="_Ref403483046"/>
      <w:bookmarkStart w:id="19" w:name="_Ref403483064"/>
      <w:bookmarkStart w:id="20" w:name="_Ref403483100"/>
      <w:bookmarkStart w:id="21" w:name="_Ref403483122"/>
      <w:bookmarkStart w:id="22" w:name="_Ref403483147"/>
      <w:bookmarkStart w:id="23" w:name="_Toc404365658"/>
      <w:r>
        <w:lastRenderedPageBreak/>
        <w:t xml:space="preserve">Value of </w:t>
      </w:r>
      <w:r w:rsidRPr="00162A3D">
        <w:t>imputation</w:t>
      </w:r>
      <w:r>
        <w:t xml:space="preserve"> credits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A3318E" w:rsidRDefault="00A3318E" w:rsidP="00A3318E">
      <w:pPr>
        <w:pStyle w:val="AERbodytext"/>
      </w:pPr>
      <w:r w:rsidRPr="00A3318E">
        <w:t xml:space="preserve">Under the Australian imputation tax system, investors </w:t>
      </w:r>
      <w:r w:rsidR="00292D0B">
        <w:t xml:space="preserve">can </w:t>
      </w:r>
      <w:r w:rsidRPr="00A3318E">
        <w:t>receive an imputation credit for income t</w:t>
      </w:r>
      <w:r w:rsidR="008E23C2">
        <w:t>ax paid at the company level.</w:t>
      </w:r>
      <w:r w:rsidR="005A0C29">
        <w:rPr>
          <w:rStyle w:val="FootnoteReference"/>
        </w:rPr>
        <w:footnoteReference w:id="1"/>
      </w:r>
      <w:r w:rsidRPr="00A3318E">
        <w:t xml:space="preserve"> For eligible investors, this credit offsets their Australian income tax liabilities. If the </w:t>
      </w:r>
      <w:r w:rsidR="007A3905">
        <w:t>amount</w:t>
      </w:r>
      <w:r w:rsidRPr="00A3318E">
        <w:t xml:space="preserve"> of imputation credits </w:t>
      </w:r>
      <w:r w:rsidR="007A3905">
        <w:t xml:space="preserve">received </w:t>
      </w:r>
      <w:r w:rsidRPr="00A3318E">
        <w:t xml:space="preserve">exceeds an investor's tax liability, that investor can receive a cash refund for the balance. </w:t>
      </w:r>
      <w:r w:rsidR="008112F4">
        <w:t>Imputation</w:t>
      </w:r>
      <w:r w:rsidRPr="00A3318E">
        <w:t xml:space="preserve"> credits are therefore </w:t>
      </w:r>
      <w:r w:rsidR="001C431A">
        <w:t xml:space="preserve">valuable to investors and are </w:t>
      </w:r>
      <w:r w:rsidRPr="00A3318E">
        <w:t xml:space="preserve">a benefit to investors in addition to any cash dividend or capital gains </w:t>
      </w:r>
      <w:r w:rsidR="0093545C">
        <w:t xml:space="preserve">they </w:t>
      </w:r>
      <w:r w:rsidR="00C64527">
        <w:t xml:space="preserve">receive </w:t>
      </w:r>
      <w:r w:rsidRPr="00A3318E">
        <w:t>from owning shares.</w:t>
      </w:r>
    </w:p>
    <w:p w:rsidR="007F4921" w:rsidRDefault="00031C9B" w:rsidP="00A3318E">
      <w:pPr>
        <w:pStyle w:val="AERbodytext"/>
      </w:pPr>
      <w:r>
        <w:t>In determining a service provider's revenue allowance, t</w:t>
      </w:r>
      <w:r w:rsidR="007A3905">
        <w:t xml:space="preserve">he rules require that the </w:t>
      </w:r>
      <w:r w:rsidR="007C2777">
        <w:t xml:space="preserve">estimated cost of corporate income tax be </w:t>
      </w:r>
      <w:r w:rsidR="00F15586">
        <w:t xml:space="preserve">determined </w:t>
      </w:r>
      <w:r w:rsidR="007C2777">
        <w:t xml:space="preserve">in accordance with a formula that reduces the estimated cost </w:t>
      </w:r>
      <w:r w:rsidR="001C431A">
        <w:t xml:space="preserve">of corporate tax </w:t>
      </w:r>
      <w:r w:rsidR="007C2777">
        <w:t>by the 'value of imputation credits'</w:t>
      </w:r>
      <w:r w:rsidR="00BD4A26">
        <w:t xml:space="preserve"> (represented by the Greek letter</w:t>
      </w:r>
      <w:r w:rsidR="001F533B">
        <w:t xml:space="preserve">, </w:t>
      </w:r>
      <m:oMath>
        <m:r>
          <w:rPr>
            <w:rFonts w:ascii="Cambria Math" w:hAnsi="Cambria Math"/>
          </w:rPr>
          <m:t>γ</m:t>
        </m:r>
      </m:oMath>
      <w:r w:rsidR="001F533B">
        <w:t>,</w:t>
      </w:r>
      <w:r w:rsidR="00BD4A26">
        <w:t xml:space="preserve"> </w:t>
      </w:r>
      <w:r w:rsidR="0016352F">
        <w:t>'</w:t>
      </w:r>
      <w:r w:rsidR="00BD4A26">
        <w:t>gamma</w:t>
      </w:r>
      <w:r w:rsidR="0016352F">
        <w:t>'</w:t>
      </w:r>
      <w:r w:rsidR="00BD4A26">
        <w:t>)</w:t>
      </w:r>
      <w:r w:rsidR="007C2777">
        <w:t>.</w:t>
      </w:r>
      <w:r w:rsidR="007C2777">
        <w:rPr>
          <w:rStyle w:val="FootnoteReference"/>
        </w:rPr>
        <w:footnoteReference w:id="2"/>
      </w:r>
      <w:r w:rsidR="007C2777">
        <w:t xml:space="preserve"> That is, the </w:t>
      </w:r>
      <w:r w:rsidR="007A3905">
        <w:t xml:space="preserve">revenue allowance granted to a service provider to cover its expected tax liability </w:t>
      </w:r>
      <w:r w:rsidR="007C2777">
        <w:t xml:space="preserve">must </w:t>
      </w:r>
      <w:r w:rsidR="007A3905">
        <w:t xml:space="preserve">be reduced </w:t>
      </w:r>
      <w:r w:rsidR="004B77D2">
        <w:t>in a manner consistent</w:t>
      </w:r>
      <w:r w:rsidR="007A3905">
        <w:t xml:space="preserve"> </w:t>
      </w:r>
      <w:r w:rsidR="00BE50F8">
        <w:t xml:space="preserve">with </w:t>
      </w:r>
      <w:r w:rsidR="007A3905">
        <w:t xml:space="preserve">the value of imputation credits. </w:t>
      </w:r>
      <w:r w:rsidR="0021016D">
        <w:t>T</w:t>
      </w:r>
      <w:r w:rsidR="007A3905">
        <w:t>he regulatory framework identifies that</w:t>
      </w:r>
      <w:r w:rsidR="007F4921">
        <w:t>:</w:t>
      </w:r>
    </w:p>
    <w:p w:rsidR="007F4921" w:rsidRDefault="004E1702" w:rsidP="007F4921">
      <w:pPr>
        <w:pStyle w:val="AERbulletlistfirststyle"/>
      </w:pPr>
      <w:r>
        <w:t>a</w:t>
      </w:r>
      <w:r w:rsidR="007F4921">
        <w:t xml:space="preserve"> service provider should be compensated for </w:t>
      </w:r>
      <w:r w:rsidR="00C7122E">
        <w:t>the</w:t>
      </w:r>
      <w:r w:rsidR="007F4921">
        <w:t xml:space="preserve"> expected tax liability</w:t>
      </w:r>
      <w:r w:rsidR="00C7122E">
        <w:t xml:space="preserve"> of </w:t>
      </w:r>
      <w:r w:rsidR="00BD4ACB">
        <w:t>the</w:t>
      </w:r>
      <w:r w:rsidR="00C7122E">
        <w:t xml:space="preserve"> benchmark efficient entity.</w:t>
      </w:r>
    </w:p>
    <w:p w:rsidR="007F4921" w:rsidRDefault="004E1702" w:rsidP="007F4921">
      <w:pPr>
        <w:pStyle w:val="AERbulletlistfirststyle"/>
      </w:pPr>
      <w:r>
        <w:t>t</w:t>
      </w:r>
      <w:r w:rsidR="00BD4ACB">
        <w:t>he</w:t>
      </w:r>
      <w:r w:rsidR="00C7122E">
        <w:t xml:space="preserve"> benchmark efficient entity</w:t>
      </w:r>
      <w:r w:rsidR="007F4921">
        <w:t xml:space="preserve">'s </w:t>
      </w:r>
      <w:r w:rsidR="00C7122E">
        <w:t xml:space="preserve">expected </w:t>
      </w:r>
      <w:r w:rsidR="007F4921">
        <w:t xml:space="preserve">payment of company tax </w:t>
      </w:r>
      <w:r w:rsidR="00C7122E">
        <w:t>would generate</w:t>
      </w:r>
      <w:r w:rsidR="007F4921">
        <w:t xml:space="preserve"> imputation </w:t>
      </w:r>
      <w:r w:rsidR="00F817B5">
        <w:t xml:space="preserve">credits </w:t>
      </w:r>
      <w:r w:rsidR="007F4921">
        <w:t xml:space="preserve">which it </w:t>
      </w:r>
      <w:r w:rsidR="00C7122E">
        <w:t>could</w:t>
      </w:r>
      <w:r w:rsidR="007F4921">
        <w:t xml:space="preserve"> distribute to its investors</w:t>
      </w:r>
      <w:r w:rsidR="00C7122E">
        <w:t>.</w:t>
      </w:r>
    </w:p>
    <w:p w:rsidR="007A3905" w:rsidRPr="00A3318E" w:rsidRDefault="004E1702" w:rsidP="007F4921">
      <w:pPr>
        <w:pStyle w:val="AERbulletlistfirststyle"/>
      </w:pPr>
      <w:r>
        <w:t>a</w:t>
      </w:r>
      <w:r w:rsidR="00F817B5">
        <w:t xml:space="preserve"> service provider should not be compensated for the value of imputation credits</w:t>
      </w:r>
      <w:r w:rsidR="00C7122E">
        <w:t xml:space="preserve"> to investors in the benchmark efficient entity.</w:t>
      </w:r>
      <w:r w:rsidR="007A3905">
        <w:t xml:space="preserve"> </w:t>
      </w:r>
    </w:p>
    <w:p w:rsidR="007D5DEB" w:rsidRDefault="00142828" w:rsidP="0054528A">
      <w:pPr>
        <w:pStyle w:val="AERbodytext"/>
      </w:pPr>
      <w:r>
        <w:t xml:space="preserve">In this </w:t>
      </w:r>
      <w:r w:rsidR="00CB0A52">
        <w:t>a</w:t>
      </w:r>
      <w:r w:rsidR="000F6FB8">
        <w:t xml:space="preserve">ttachment, we set out our draft decision on the value of imputation credits and our key reasons for this position. We also consider </w:t>
      </w:r>
      <w:r w:rsidR="00AD1C38">
        <w:t>Ausgrid</w:t>
      </w:r>
      <w:r w:rsidR="000F6FB8">
        <w:t xml:space="preserve">'s proposed value of imputation credits and the key reasons for its proposal. In </w:t>
      </w:r>
      <w:r w:rsidR="00CB0A52">
        <w:t>appendix</w:t>
      </w:r>
      <w:r w:rsidR="004B48F4">
        <w:t xml:space="preserve"> </w:t>
      </w:r>
      <w:r w:rsidR="00B04695">
        <w:t>A</w:t>
      </w:r>
      <w:r w:rsidR="000F6FB8">
        <w:t xml:space="preserve">, we include further supporting detail on our position on the value of imputation credits and also respond to </w:t>
      </w:r>
      <w:r w:rsidR="00AD1C38">
        <w:t>Ausgrid</w:t>
      </w:r>
      <w:r w:rsidR="000F6FB8">
        <w:t xml:space="preserve">'s proposal in more detail. </w:t>
      </w:r>
      <w:bookmarkStart w:id="24" w:name="_Toc396839196"/>
    </w:p>
    <w:p w:rsidR="00B47945" w:rsidRDefault="00B47945" w:rsidP="00352762">
      <w:pPr>
        <w:pStyle w:val="Heading2"/>
      </w:pPr>
      <w:bookmarkStart w:id="25" w:name="_Toc404365659"/>
      <w:r>
        <w:t>Draft decision</w:t>
      </w:r>
      <w:bookmarkEnd w:id="24"/>
      <w:bookmarkEnd w:id="25"/>
    </w:p>
    <w:p w:rsidR="00160199" w:rsidRDefault="00CE4ABD" w:rsidP="00352762">
      <w:pPr>
        <w:pStyle w:val="AERbodytext"/>
      </w:pPr>
      <w:r>
        <w:t xml:space="preserve">We do not accept </w:t>
      </w:r>
      <w:r w:rsidR="00AD1C38">
        <w:t>Ausgrid</w:t>
      </w:r>
      <w:r w:rsidR="000F6FB8">
        <w:t xml:space="preserve">'s </w:t>
      </w:r>
      <w:r>
        <w:t>proposed value of imputation credits of 0.25. Instead, we adopt a valu</w:t>
      </w:r>
      <w:r w:rsidR="00BB331A">
        <w:t>e of imputation credits of 0.4.</w:t>
      </w:r>
    </w:p>
    <w:p w:rsidR="007E4E36" w:rsidRDefault="00160199" w:rsidP="00352762">
      <w:pPr>
        <w:pStyle w:val="AERbodytext"/>
      </w:pPr>
      <w:r>
        <w:t>Estimating the value of imputation credits is a complex and imprecise task. There is no consensus among experts on the appropriate value or estimation techniques to use.</w:t>
      </w:r>
      <w:r w:rsidR="00B16986">
        <w:rPr>
          <w:rStyle w:val="FootnoteReference"/>
        </w:rPr>
        <w:footnoteReference w:id="3"/>
      </w:r>
      <w:r>
        <w:t xml:space="preserve"> Further, with each estimation technique th</w:t>
      </w:r>
      <w:r w:rsidR="00B4412C">
        <w:t>ere</w:t>
      </w:r>
      <w:r>
        <w:t xml:space="preserve"> are often a number of ways these may be applied resulting in different outcomes. Conceptually, the value of imputation credits must be between </w:t>
      </w:r>
      <w:r w:rsidR="00B16986">
        <w:t>0 and 1</w:t>
      </w:r>
      <w:r>
        <w:t>, and the range of expert views on the value of imputation credits is almost this wide.</w:t>
      </w:r>
      <w:r w:rsidR="0054528A">
        <w:rPr>
          <w:rStyle w:val="FootnoteReference"/>
        </w:rPr>
        <w:footnoteReference w:id="4"/>
      </w:r>
    </w:p>
    <w:p w:rsidR="009975B8" w:rsidRDefault="00F5131C" w:rsidP="00C474DF">
      <w:pPr>
        <w:pStyle w:val="AERbodytext"/>
      </w:pPr>
      <w:r>
        <w:t xml:space="preserve">In coming to a value of imputation credits of 0.4, we have considered the </w:t>
      </w:r>
      <w:r w:rsidR="00F15586">
        <w:t xml:space="preserve">multitude of </w:t>
      </w:r>
      <w:r>
        <w:t>evidence before us with regard to its merits. Spec</w:t>
      </w:r>
      <w:r w:rsidR="00AE6C11">
        <w:t xml:space="preserve">ifically, we use the </w:t>
      </w:r>
      <w:r w:rsidR="009975B8">
        <w:t>widely accepted approach of estimating the value of imputation credits as the product of two sub-parameters:</w:t>
      </w:r>
      <w:r w:rsidR="004E3405">
        <w:t xml:space="preserve"> the 'distribution rate' and the 'utilisation rate'.</w:t>
      </w:r>
      <w:r w:rsidR="004E3405">
        <w:rPr>
          <w:rStyle w:val="FootnoteReference"/>
        </w:rPr>
        <w:footnoteReference w:id="5"/>
      </w:r>
      <w:r w:rsidR="004E3405">
        <w:t xml:space="preserve"> </w:t>
      </w:r>
      <w:r w:rsidR="00AE6C11">
        <w:t>Moreover, we have regard to:</w:t>
      </w:r>
      <w:r w:rsidR="009975B8">
        <w:t xml:space="preserve"> </w:t>
      </w:r>
    </w:p>
    <w:p w:rsidR="00F5131C" w:rsidRDefault="004E1702" w:rsidP="00417DCA">
      <w:pPr>
        <w:pStyle w:val="AERbulletlistfirststyle"/>
      </w:pPr>
      <w:r>
        <w:lastRenderedPageBreak/>
        <w:t>t</w:t>
      </w:r>
      <w:r w:rsidR="00417DCA">
        <w:t xml:space="preserve">he widely accepted approach to estimating the </w:t>
      </w:r>
      <w:r w:rsidR="009975B8">
        <w:t>distribution rate</w:t>
      </w:r>
      <w:r w:rsidR="00BF16E2">
        <w:t>.</w:t>
      </w:r>
    </w:p>
    <w:p w:rsidR="00417DCA" w:rsidRDefault="004E1702" w:rsidP="00417DCA">
      <w:pPr>
        <w:pStyle w:val="AERbulletlistfirststyle"/>
      </w:pPr>
      <w:r>
        <w:t>t</w:t>
      </w:r>
      <w:r w:rsidR="00417DCA">
        <w:t xml:space="preserve">he range of </w:t>
      </w:r>
      <w:r w:rsidR="000D3D7B">
        <w:t>approaches</w:t>
      </w:r>
      <w:r w:rsidR="00BF16E2">
        <w:t xml:space="preserve"> relevant to estimating the </w:t>
      </w:r>
      <w:r w:rsidR="009975B8">
        <w:t>utilisation rate</w:t>
      </w:r>
      <w:r w:rsidR="000D3D7B">
        <w:t>, with due regard to the merit of each approach</w:t>
      </w:r>
      <w:r w:rsidR="00BF16E2">
        <w:t>.</w:t>
      </w:r>
    </w:p>
    <w:p w:rsidR="00417DCA" w:rsidRDefault="00417DCA" w:rsidP="00B16986">
      <w:pPr>
        <w:pStyle w:val="AERbodytext"/>
      </w:pPr>
      <w:r>
        <w:t xml:space="preserve">Overall, this evidence suggests that a range of estimates for the value of imputation credits might </w:t>
      </w:r>
      <w:r w:rsidR="00172F90">
        <w:t xml:space="preserve">be </w:t>
      </w:r>
      <w:r>
        <w:t>reasonable.</w:t>
      </w:r>
      <w:r w:rsidR="007432A3">
        <w:t xml:space="preserve"> </w:t>
      </w:r>
      <w:r w:rsidR="00F15586">
        <w:t>W</w:t>
      </w:r>
      <w:r>
        <w:t xml:space="preserve">ith regard to </w:t>
      </w:r>
      <w:r w:rsidR="00BF16E2">
        <w:t>the merit</w:t>
      </w:r>
      <w:r w:rsidR="009B4283">
        <w:t>s</w:t>
      </w:r>
      <w:r w:rsidR="00BF16E2">
        <w:t xml:space="preserve"> of the </w:t>
      </w:r>
      <w:r w:rsidR="009B4283">
        <w:t>evidence before us</w:t>
      </w:r>
      <w:r w:rsidR="00BF16E2">
        <w:t xml:space="preserve">, we choose a value for imputation credits of 0.4 from within </w:t>
      </w:r>
      <w:r w:rsidR="00F15586">
        <w:t>a</w:t>
      </w:r>
      <w:r w:rsidR="00BF16E2">
        <w:t xml:space="preserve"> range</w:t>
      </w:r>
      <w:r w:rsidR="00F15586">
        <w:t xml:space="preserve"> of 0.3 to 0.5</w:t>
      </w:r>
      <w:r w:rsidR="00BF16E2">
        <w:t>.</w:t>
      </w:r>
      <w:r w:rsidR="00B16986">
        <w:t xml:space="preserve"> Importantly, w</w:t>
      </w:r>
      <w:r w:rsidR="00B16986" w:rsidRPr="00B16986">
        <w:t xml:space="preserve">e consider that a value of imputation credits of 0.4 provides service providers with a reasonable opportunity to recover at least their efficient corporate tax </w:t>
      </w:r>
      <w:r w:rsidR="0006519C">
        <w:t>costs</w:t>
      </w:r>
      <w:r w:rsidR="00B16986" w:rsidRPr="00B16986">
        <w:t>, and that this value is consistent with the building block framework embedded in the rules.</w:t>
      </w:r>
    </w:p>
    <w:p w:rsidR="003B5E19" w:rsidRDefault="003B5E19" w:rsidP="00B16986">
      <w:pPr>
        <w:pStyle w:val="AERbodytext"/>
      </w:pPr>
      <w:r>
        <w:t>In considering the evidence on the distribution and utilisation rates, we have broadly maintained the approach set out in the rate of return guideline</w:t>
      </w:r>
      <w:r w:rsidR="00071FCB">
        <w:t xml:space="preserve"> (the Guideline)</w:t>
      </w:r>
      <w:r>
        <w:t>, but have re-examined the relevant evidence and estimates. This re-examination, and new evidence and advice considered since the Guideline, led us to depart from the 0.5 value of imputation credits we proposed in the Guideline.</w:t>
      </w:r>
    </w:p>
    <w:p w:rsidR="00ED09CD" w:rsidRPr="00ED09CD" w:rsidRDefault="00AD1C38" w:rsidP="00E54FDF">
      <w:pPr>
        <w:pStyle w:val="Heading2"/>
      </w:pPr>
      <w:bookmarkStart w:id="26" w:name="_Toc396839197"/>
      <w:bookmarkStart w:id="27" w:name="_Ref401169027"/>
      <w:bookmarkStart w:id="28" w:name="_Toc404365660"/>
      <w:r>
        <w:t>Ausgrid</w:t>
      </w:r>
      <w:r w:rsidR="00ED09CD" w:rsidRPr="00E54FDF">
        <w:t>'s</w:t>
      </w:r>
      <w:r w:rsidR="00ED09CD">
        <w:t xml:space="preserve"> proposal</w:t>
      </w:r>
      <w:bookmarkEnd w:id="26"/>
      <w:bookmarkEnd w:id="27"/>
      <w:bookmarkEnd w:id="28"/>
    </w:p>
    <w:p w:rsidR="00E56C7B" w:rsidRDefault="00AD1C38" w:rsidP="009975B8">
      <w:pPr>
        <w:pStyle w:val="AERbodytext"/>
      </w:pPr>
      <w:r>
        <w:t>Ausgrid</w:t>
      </w:r>
      <w:r w:rsidR="008975F8">
        <w:t xml:space="preserve"> </w:t>
      </w:r>
      <w:r w:rsidR="00E56C7B">
        <w:t xml:space="preserve">proposed a </w:t>
      </w:r>
      <w:r w:rsidR="001E290A">
        <w:t>value of imputation credits</w:t>
      </w:r>
      <w:r w:rsidR="00E56C7B">
        <w:t xml:space="preserve"> of 0.25, </w:t>
      </w:r>
      <w:r w:rsidR="007C7EAE">
        <w:t>calculated</w:t>
      </w:r>
      <w:r w:rsidR="009975B8">
        <w:t xml:space="preserve"> as the product of a</w:t>
      </w:r>
      <w:r w:rsidR="00970F60">
        <w:t xml:space="preserve"> distribution rate </w:t>
      </w:r>
      <w:r w:rsidR="009975B8">
        <w:t>of 0.7 and a utilisation rate of 0.35.</w:t>
      </w:r>
      <w:r w:rsidR="00754B0F">
        <w:rPr>
          <w:rStyle w:val="FootnoteReference"/>
        </w:rPr>
        <w:footnoteReference w:id="6"/>
      </w:r>
      <w:r w:rsidR="009975B8">
        <w:t xml:space="preserve"> Its proposed</w:t>
      </w:r>
      <w:r w:rsidR="007C7EAE">
        <w:t xml:space="preserve"> </w:t>
      </w:r>
      <w:r w:rsidR="00E56C7B">
        <w:t xml:space="preserve">distribution rate of 0.7 was consistent with </w:t>
      </w:r>
      <w:r w:rsidR="008A4CDF">
        <w:t xml:space="preserve">the estimate adopted in </w:t>
      </w:r>
      <w:r w:rsidR="00071FCB">
        <w:t>the Guideline</w:t>
      </w:r>
      <w:r w:rsidR="00E56C7B">
        <w:t>.</w:t>
      </w:r>
      <w:r w:rsidR="008A4CDF">
        <w:rPr>
          <w:rStyle w:val="FootnoteReference"/>
        </w:rPr>
        <w:footnoteReference w:id="7"/>
      </w:r>
      <w:r w:rsidR="00E56C7B">
        <w:t xml:space="preserve"> </w:t>
      </w:r>
      <w:r w:rsidR="009975B8">
        <w:t>Its proposed utilisation rate</w:t>
      </w:r>
      <w:r w:rsidR="009560CD">
        <w:t xml:space="preserve"> of</w:t>
      </w:r>
      <w:r w:rsidR="00BF1CC0">
        <w:t xml:space="preserve"> 0.35</w:t>
      </w:r>
      <w:r w:rsidR="00DE4D0B">
        <w:t xml:space="preserve"> was lower than the 0.7 in </w:t>
      </w:r>
      <w:r w:rsidR="00071FCB">
        <w:t>the Guideline</w:t>
      </w:r>
      <w:r w:rsidR="00DE4D0B">
        <w:t>.</w:t>
      </w:r>
      <w:r w:rsidR="009560CD">
        <w:t xml:space="preserve"> </w:t>
      </w:r>
      <w:r w:rsidR="000F64C9">
        <w:t xml:space="preserve">In proposing a different utilisation rate, </w:t>
      </w:r>
      <w:r>
        <w:t>Ausgrid</w:t>
      </w:r>
      <w:r w:rsidR="000F64C9">
        <w:t xml:space="preserve"> cons</w:t>
      </w:r>
      <w:r w:rsidR="00104179">
        <w:t xml:space="preserve">idered that </w:t>
      </w:r>
      <w:r w:rsidR="000F64C9">
        <w:t>the only source of relevant evidence</w:t>
      </w:r>
      <w:r w:rsidR="00104179">
        <w:t xml:space="preserve"> were studies that seek to infer from market prices the value to investors of distributed imputation credits ('implied market value studies')</w:t>
      </w:r>
      <w:r w:rsidR="000F64C9">
        <w:t xml:space="preserve">. Further, </w:t>
      </w:r>
      <w:r>
        <w:t>Ausgrid</w:t>
      </w:r>
      <w:r w:rsidR="000F64C9">
        <w:t xml:space="preserve"> proposed that the best estimate of the utilisation rate from implied market value studies was 0.35 from </w:t>
      </w:r>
      <w:r w:rsidR="00104179">
        <w:t xml:space="preserve">a </w:t>
      </w:r>
      <w:r w:rsidR="009851F5">
        <w:t>'dividend drop off'</w:t>
      </w:r>
      <w:r w:rsidR="00104179">
        <w:t xml:space="preserve"> study conducted by SFG</w:t>
      </w:r>
      <w:r w:rsidR="00A97368">
        <w:t xml:space="preserve"> Consulting (SFG)</w:t>
      </w:r>
      <w:r w:rsidR="000F64C9">
        <w:t>.</w:t>
      </w:r>
      <w:r w:rsidR="00BF32DA">
        <w:rPr>
          <w:rStyle w:val="FootnoteReference"/>
        </w:rPr>
        <w:footnoteReference w:id="8"/>
      </w:r>
    </w:p>
    <w:p w:rsidR="00A160E6" w:rsidRDefault="00AD1C38">
      <w:pPr>
        <w:pStyle w:val="AERbodytext"/>
      </w:pPr>
      <w:r>
        <w:t>Ausgrid</w:t>
      </w:r>
      <w:r w:rsidR="004C06C3">
        <w:t xml:space="preserve">'s proposed </w:t>
      </w:r>
      <w:r w:rsidR="0033660D">
        <w:t xml:space="preserve">value of imputation credits of </w:t>
      </w:r>
      <w:r w:rsidR="004C06C3">
        <w:t xml:space="preserve">0.25 and </w:t>
      </w:r>
      <w:r w:rsidR="0033660D">
        <w:t xml:space="preserve">supporting </w:t>
      </w:r>
      <w:r w:rsidR="004C06C3">
        <w:t xml:space="preserve">reasons were consistent with the proposals </w:t>
      </w:r>
      <w:r w:rsidR="0033660D">
        <w:t xml:space="preserve">we have </w:t>
      </w:r>
      <w:r w:rsidR="004C06C3">
        <w:t xml:space="preserve">received from a number of other service providers with current </w:t>
      </w:r>
      <w:r w:rsidR="00A34DC3">
        <w:t>regulatory decision</w:t>
      </w:r>
      <w:r w:rsidR="004C06C3">
        <w:t>s.</w:t>
      </w:r>
      <w:r w:rsidR="0033660D">
        <w:rPr>
          <w:rStyle w:val="FootnoteReference"/>
        </w:rPr>
        <w:footnoteReference w:id="9"/>
      </w:r>
      <w:r w:rsidR="004C06C3">
        <w:t xml:space="preserve"> Further, these service providers jointly commissioned a report from SFG and relied on this report extensively in their proposal</w:t>
      </w:r>
      <w:r w:rsidR="000E28CA">
        <w:t>s</w:t>
      </w:r>
      <w:r w:rsidR="004C06C3">
        <w:t xml:space="preserve">. Accordingly, our analysis of </w:t>
      </w:r>
      <w:r>
        <w:t>Ausgrid</w:t>
      </w:r>
      <w:r w:rsidR="004C06C3">
        <w:t>'s proposal is also applicable and consistent with our analysis of the proposals from those other service providers.</w:t>
      </w:r>
    </w:p>
    <w:p w:rsidR="00B47945" w:rsidRDefault="00B47945" w:rsidP="00352762">
      <w:pPr>
        <w:pStyle w:val="Heading2"/>
      </w:pPr>
      <w:bookmarkStart w:id="29" w:name="_Toc396839198"/>
      <w:bookmarkStart w:id="30" w:name="_Toc404365661"/>
      <w:r>
        <w:t>AER's assessment approach</w:t>
      </w:r>
      <w:bookmarkEnd w:id="29"/>
      <w:bookmarkEnd w:id="30"/>
    </w:p>
    <w:p w:rsidR="00AD718B" w:rsidRDefault="00784B2C" w:rsidP="00AD718B">
      <w:pPr>
        <w:pStyle w:val="AERbodytext"/>
      </w:pPr>
      <w:r>
        <w:t xml:space="preserve">In this section we set out the approach we have taken to assessing </w:t>
      </w:r>
      <w:r w:rsidR="00875871">
        <w:t xml:space="preserve">the service providers' </w:t>
      </w:r>
      <w:r>
        <w:t>proposal</w:t>
      </w:r>
      <w:r w:rsidR="00875871">
        <w:t>s</w:t>
      </w:r>
      <w:r>
        <w:t xml:space="preserve"> on the value of imputati</w:t>
      </w:r>
      <w:r w:rsidR="0062197A">
        <w:t xml:space="preserve">on credits. This </w:t>
      </w:r>
      <w:r>
        <w:t>approach involves</w:t>
      </w:r>
      <w:r w:rsidR="00F72221">
        <w:t xml:space="preserve"> consideration of</w:t>
      </w:r>
      <w:r>
        <w:t>:</w:t>
      </w:r>
    </w:p>
    <w:p w:rsidR="00784B2C" w:rsidRDefault="00784B2C" w:rsidP="00784B2C">
      <w:pPr>
        <w:pStyle w:val="AERbulletlistfirststyle"/>
      </w:pPr>
      <w:r>
        <w:t>the re</w:t>
      </w:r>
      <w:r w:rsidR="0062197A">
        <w:t>quirements of the law and rules</w:t>
      </w:r>
    </w:p>
    <w:p w:rsidR="00784B2C" w:rsidRDefault="00071FCB" w:rsidP="00784B2C">
      <w:pPr>
        <w:pStyle w:val="AERbulletlistfirststyle"/>
      </w:pPr>
      <w:r>
        <w:t>the Guideline</w:t>
      </w:r>
    </w:p>
    <w:p w:rsidR="00F72221" w:rsidRDefault="00F72221" w:rsidP="00784B2C">
      <w:pPr>
        <w:pStyle w:val="AERbulletlistfirststyle"/>
      </w:pPr>
      <w:r>
        <w:t>our definition of the benchmark efficient entity</w:t>
      </w:r>
    </w:p>
    <w:p w:rsidR="00F72221" w:rsidRDefault="00F72221" w:rsidP="00784B2C">
      <w:pPr>
        <w:pStyle w:val="AERbulletlistfirststyle"/>
      </w:pPr>
      <w:r>
        <w:lastRenderedPageBreak/>
        <w:t>expert reports</w:t>
      </w:r>
      <w:r w:rsidR="0062197A">
        <w:t>, and</w:t>
      </w:r>
    </w:p>
    <w:p w:rsidR="00F72221" w:rsidRPr="00AD718B" w:rsidRDefault="0062197A" w:rsidP="00784B2C">
      <w:pPr>
        <w:pStyle w:val="AERbulletlistfirststyle"/>
      </w:pPr>
      <w:r>
        <w:t>our approach to determining the value of imputation credits.</w:t>
      </w:r>
    </w:p>
    <w:p w:rsidR="004F5C28" w:rsidRDefault="004F5C28" w:rsidP="00EA24D2">
      <w:pPr>
        <w:pStyle w:val="Heading3"/>
      </w:pPr>
      <w:bookmarkStart w:id="31" w:name="_Ref400272912"/>
      <w:r w:rsidRPr="00EA24D2">
        <w:t>Requirements</w:t>
      </w:r>
      <w:r>
        <w:t xml:space="preserve"> of the law and rules</w:t>
      </w:r>
      <w:bookmarkEnd w:id="31"/>
    </w:p>
    <w:p w:rsidR="00584072" w:rsidRPr="00EA5C1A" w:rsidRDefault="00EB23AD" w:rsidP="00584072">
      <w:pPr>
        <w:pStyle w:val="AERbodytext"/>
      </w:pPr>
      <w:r>
        <w:t xml:space="preserve">The rules </w:t>
      </w:r>
      <w:r w:rsidR="00584072">
        <w:t>require that t</w:t>
      </w:r>
      <w:r w:rsidR="00584072" w:rsidRPr="00EA5C1A">
        <w:t xml:space="preserve">he estimated cost of corporate income tax of a </w:t>
      </w:r>
      <w:r>
        <w:t>service provider</w:t>
      </w:r>
      <w:r w:rsidR="00584072" w:rsidRPr="006D6E12">
        <w:t xml:space="preserve"> for each regulatory year</w:t>
      </w:r>
      <w:r w:rsidR="00584072" w:rsidRPr="00EA5C1A">
        <w:t xml:space="preserve"> (</w:t>
      </w:r>
      <w:bookmarkStart w:id="32"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32"/>
      <w:r w:rsidR="00584072" w:rsidRPr="00EA5C1A">
        <w:t>) must be estimated in accordance with the following formula:</w:t>
      </w:r>
      <w:r>
        <w:rPr>
          <w:rStyle w:val="FootnoteReference"/>
        </w:rPr>
        <w:footnoteReference w:id="10"/>
      </w:r>
    </w:p>
    <w:p w:rsidR="008A468E" w:rsidRPr="00EA5C1A" w:rsidRDefault="00A854AC" w:rsidP="004B0617">
      <w:pPr>
        <w:pStyle w:val="AERbodytext"/>
      </w:pPr>
      <m:oMath>
        <m:sSub>
          <m:sSubPr>
            <m:ctrlPr>
              <w:rPr>
                <w:rFonts w:ascii="Cambria Math" w:hAnsi="Cambria Math"/>
                <w:i/>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sub>
            </m:sSub>
          </m:e>
        </m:d>
        <m:d>
          <m:dPr>
            <m:ctrlPr>
              <w:rPr>
                <w:rFonts w:ascii="Cambria Math" w:hAnsi="Cambria Math"/>
                <w:i/>
              </w:rPr>
            </m:ctrlPr>
          </m:dPr>
          <m:e>
            <m:r>
              <w:rPr>
                <w:rFonts w:ascii="Cambria Math" w:hAnsi="Cambria Math"/>
              </w:rPr>
              <m:t>1-γ</m:t>
            </m:r>
          </m:e>
        </m:d>
      </m:oMath>
    </w:p>
    <w:p w:rsidR="00584072" w:rsidRPr="00EA5C1A" w:rsidRDefault="00584072" w:rsidP="00584072">
      <w:pPr>
        <w:pStyle w:val="AERbodytext"/>
      </w:pPr>
      <w:r w:rsidRPr="00EA5C1A">
        <w:t>where:</w:t>
      </w:r>
    </w:p>
    <w:p w:rsidR="00584072" w:rsidRPr="006D6E12" w:rsidRDefault="00A854AC" w:rsidP="00876111">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584072" w:rsidRPr="00EA5C1A">
        <w:t xml:space="preserve"> is an </w:t>
      </w:r>
      <w:r w:rsidR="00584072" w:rsidRPr="006D6E12">
        <w:t xml:space="preserve">estimate of the taxable income for that regulatory year that would be earned by a benchmark efficient entity as a result of the provision of </w:t>
      </w:r>
      <w:r w:rsidR="00EB23AD">
        <w:t>regulated</w:t>
      </w:r>
      <w:r w:rsidR="00584072" w:rsidRPr="006D6E12">
        <w:t xml:space="preserve"> services if such an entity, rather than the </w:t>
      </w:r>
      <w:r w:rsidR="00CE25AC">
        <w:t>service provider</w:t>
      </w:r>
      <w:r w:rsidR="00584072" w:rsidRPr="006D6E12">
        <w:t xml:space="preserve">, operated the business of the </w:t>
      </w:r>
      <w:r w:rsidR="00CE25AC">
        <w:t>service provider</w:t>
      </w:r>
      <w:r w:rsidR="00584072" w:rsidRPr="006D6E12">
        <w:t xml:space="preserve">, such estimate being determined in accordance </w:t>
      </w:r>
      <w:r w:rsidR="00EA4A3E">
        <w:t>with the post-tax revenue model</w:t>
      </w:r>
      <w:r w:rsidR="00CE25AC">
        <w:t>.</w:t>
      </w:r>
    </w:p>
    <w:p w:rsidR="00584072" w:rsidRPr="006D6E12" w:rsidRDefault="00A854AC" w:rsidP="00876111">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584072" w:rsidRPr="006D6E12">
        <w:t> is the expected statutory income tax rate for that regulatory ye</w:t>
      </w:r>
      <w:r w:rsidR="00EA4A3E">
        <w:t>ar as determined by the AER</w:t>
      </w:r>
      <w:r w:rsidR="00292D0B">
        <w:t>.</w:t>
      </w:r>
    </w:p>
    <w:p w:rsidR="00584072" w:rsidRDefault="008A4242" w:rsidP="00876111">
      <w:pPr>
        <w:pStyle w:val="AERbulletlistfirststyle"/>
      </w:pPr>
      <m:oMath>
        <m:r>
          <w:rPr>
            <w:rFonts w:ascii="Cambria Math" w:hAnsi="Cambria Math"/>
          </w:rPr>
          <m:t>γ</m:t>
        </m:r>
      </m:oMath>
      <w:r w:rsidR="00584072" w:rsidRPr="006D6E12">
        <w:t> is the value of imputation credits.</w:t>
      </w:r>
    </w:p>
    <w:p w:rsidR="00FA0554" w:rsidRDefault="00FA0554" w:rsidP="00FA0554">
      <w:pPr>
        <w:pStyle w:val="AERbodytext"/>
      </w:pPr>
      <w:r w:rsidRPr="00FA0554">
        <w:t xml:space="preserve">Unlike many other aspects of the rules, there is no specific objective </w:t>
      </w:r>
      <w:r w:rsidR="00B12F78">
        <w:t>we</w:t>
      </w:r>
      <w:r w:rsidRPr="00FA0554">
        <w:t xml:space="preserve"> must achieve </w:t>
      </w:r>
      <w:r w:rsidR="00BE50F8">
        <w:t xml:space="preserve">for </w:t>
      </w:r>
      <w:r w:rsidR="00876111">
        <w:t>the value of imputation credits</w:t>
      </w:r>
      <w:r w:rsidR="00BE50F8">
        <w:t xml:space="preserve"> </w:t>
      </w:r>
      <w:r w:rsidR="001068F9">
        <w:t>and no specific factors we</w:t>
      </w:r>
      <w:r w:rsidRPr="00FA0554">
        <w:t xml:space="preserve"> must take into account in estimating </w:t>
      </w:r>
      <w:r w:rsidR="00876111">
        <w:t xml:space="preserve">it. </w:t>
      </w:r>
      <w:r w:rsidR="007E4E36">
        <w:t>In this context, we note t</w:t>
      </w:r>
      <w:r w:rsidRPr="00FA0554">
        <w:t>he rate of return objective does not specifi</w:t>
      </w:r>
      <w:r w:rsidR="007E4E36">
        <w:t>cally apply to the value of imputation credits</w:t>
      </w:r>
      <w:r w:rsidRPr="00FA0554">
        <w:t xml:space="preserve">. However, the rate of return must be determined on a nominal vanilla basis consistent with </w:t>
      </w:r>
      <w:r w:rsidR="00B12F78">
        <w:t>our</w:t>
      </w:r>
      <w:r w:rsidRPr="00FA0554">
        <w:t xml:space="preserve"> value of imputation credits.</w:t>
      </w:r>
      <w:r w:rsidR="009D3AE3">
        <w:rPr>
          <w:rStyle w:val="FootnoteReference"/>
        </w:rPr>
        <w:footnoteReference w:id="11"/>
      </w:r>
    </w:p>
    <w:p w:rsidR="00384D45" w:rsidRDefault="00F023A0" w:rsidP="00FA0554">
      <w:pPr>
        <w:pStyle w:val="AERbodytext"/>
      </w:pPr>
      <w:r>
        <w:t xml:space="preserve">We must </w:t>
      </w:r>
      <w:r w:rsidR="00A9121A">
        <w:t>make our decision</w:t>
      </w:r>
      <w:r>
        <w:t xml:space="preserve"> in a manner that will or is likely to contribute to the achievement of the </w:t>
      </w:r>
      <w:r w:rsidR="00CF6508">
        <w:t xml:space="preserve">national electricity/gas </w:t>
      </w:r>
      <w:r w:rsidR="00A9121A">
        <w:t>objective</w:t>
      </w:r>
      <w:r>
        <w:t>.</w:t>
      </w:r>
      <w:r>
        <w:rPr>
          <w:rStyle w:val="FootnoteReference"/>
        </w:rPr>
        <w:footnoteReference w:id="12"/>
      </w:r>
      <w:r>
        <w:t xml:space="preserve"> Further, when exercising a discretion in making the relevant parts of a </w:t>
      </w:r>
      <w:r w:rsidR="00A9121A">
        <w:t>decision</w:t>
      </w:r>
      <w:r>
        <w:t>, we must take into account the revenue and pricing principles.</w:t>
      </w:r>
      <w:r>
        <w:rPr>
          <w:rStyle w:val="FootnoteReference"/>
        </w:rPr>
        <w:footnoteReference w:id="13"/>
      </w:r>
      <w:r>
        <w:t xml:space="preserve"> </w:t>
      </w:r>
      <w:r w:rsidR="00A46603">
        <w:t>The revenue and pricing principles provide, amongst other things, that a service provider should be provided with a reasonable opportunity to recover at least the efficient costs the operator incurs providing regulated services and complying with regulatory obligations</w:t>
      </w:r>
      <w:r w:rsidR="00B12F78">
        <w:t>. The revenue and pricing principles a</w:t>
      </w:r>
      <w:r w:rsidR="005F4D8F">
        <w:t>lso</w:t>
      </w:r>
      <w:r w:rsidR="00B12F78">
        <w:t xml:space="preserve"> provide that</w:t>
      </w:r>
      <w:r w:rsidR="00A46603">
        <w:t xml:space="preserve"> a price, charge or tariff for the provision of a regulated service should allow for a return commensurate with the regulatory and commercial risks involved in providing the regulated service.</w:t>
      </w:r>
      <w:r w:rsidR="00A46603">
        <w:rPr>
          <w:rStyle w:val="FootnoteReference"/>
        </w:rPr>
        <w:footnoteReference w:id="14"/>
      </w:r>
      <w:r w:rsidR="00A46603">
        <w:t xml:space="preserve"> </w:t>
      </w:r>
      <w:r w:rsidR="00384D45">
        <w:t>Therefore, t</w:t>
      </w:r>
      <w:r w:rsidR="00ED6BDA">
        <w:t xml:space="preserve">he value of imputation credits we adopt must </w:t>
      </w:r>
      <w:r w:rsidR="00384D45">
        <w:t xml:space="preserve">ultimately </w:t>
      </w:r>
      <w:r w:rsidR="00ED6BDA">
        <w:t xml:space="preserve">promote the achievement of the </w:t>
      </w:r>
      <w:r w:rsidR="00CF6508">
        <w:t xml:space="preserve">national electricity/gas </w:t>
      </w:r>
      <w:r w:rsidR="00ED6BDA">
        <w:t xml:space="preserve">objective </w:t>
      </w:r>
      <w:r w:rsidR="00384D45">
        <w:t xml:space="preserve">(via its application in the estimated cost of corporate income tax building block) </w:t>
      </w:r>
      <w:r w:rsidR="00822733">
        <w:t xml:space="preserve">and </w:t>
      </w:r>
      <w:r w:rsidR="00CF6508">
        <w:t xml:space="preserve">must take into account </w:t>
      </w:r>
      <w:r w:rsidR="00ED6BDA">
        <w:t xml:space="preserve">the revenue and pricing principles in the </w:t>
      </w:r>
      <w:r w:rsidR="00A9121A">
        <w:t>law</w:t>
      </w:r>
      <w:r w:rsidR="00ED6BDA">
        <w:t xml:space="preserve">. </w:t>
      </w:r>
    </w:p>
    <w:p w:rsidR="001246D2" w:rsidRDefault="00E17B4A" w:rsidP="00FA0554">
      <w:pPr>
        <w:pStyle w:val="AERbodytext"/>
      </w:pPr>
      <w:r>
        <w:t>W</w:t>
      </w:r>
      <w:r w:rsidR="001246D2">
        <w:t xml:space="preserve">ith reference to the language of </w:t>
      </w:r>
      <w:r w:rsidR="003B71BD">
        <w:t xml:space="preserve">these </w:t>
      </w:r>
      <w:r w:rsidR="001246D2">
        <w:t xml:space="preserve">principles, this requires the exercise of our discretion in determining a </w:t>
      </w:r>
      <w:r w:rsidR="009434DF">
        <w:t xml:space="preserve">tax building block (including the exercise of our discretion in determining the adjustment for the </w:t>
      </w:r>
      <w:r w:rsidR="001246D2">
        <w:t>value of imputation credits</w:t>
      </w:r>
      <w:r w:rsidR="009434DF">
        <w:t>)</w:t>
      </w:r>
      <w:r w:rsidR="001246D2">
        <w:t xml:space="preserve"> that is:</w:t>
      </w:r>
    </w:p>
    <w:p w:rsidR="001246D2" w:rsidRDefault="001246D2" w:rsidP="00F4457B">
      <w:pPr>
        <w:pStyle w:val="AERbulletlistfirststyle"/>
      </w:pPr>
      <w:r>
        <w:t xml:space="preserve">not too </w:t>
      </w:r>
      <w:r w:rsidR="0075483B">
        <w:t>low</w:t>
      </w:r>
      <w:r>
        <w:t xml:space="preserve">, in that </w:t>
      </w:r>
      <w:r w:rsidR="003B71BD">
        <w:t xml:space="preserve">it </w:t>
      </w:r>
      <w:r>
        <w:t>contribute</w:t>
      </w:r>
      <w:r w:rsidR="0075483B">
        <w:t>s</w:t>
      </w:r>
      <w:r>
        <w:t xml:space="preserve"> to providing</w:t>
      </w:r>
      <w:r w:rsidR="00C1783E">
        <w:t xml:space="preserve"> </w:t>
      </w:r>
      <w:r>
        <w:t>a reasonable oppor</w:t>
      </w:r>
      <w:r w:rsidRPr="001246D2">
        <w:t xml:space="preserve">tunity </w:t>
      </w:r>
      <w:r>
        <w:t xml:space="preserve">to recover at least efficient </w:t>
      </w:r>
      <w:r w:rsidR="00AB6D0C">
        <w:t xml:space="preserve">corporate tax </w:t>
      </w:r>
      <w:r>
        <w:t>costs, and</w:t>
      </w:r>
    </w:p>
    <w:p w:rsidR="00ED6BDA" w:rsidRPr="00FA0554" w:rsidRDefault="001246D2" w:rsidP="00F4457B">
      <w:pPr>
        <w:pStyle w:val="AERbulletlistfirststyle"/>
      </w:pPr>
      <w:r>
        <w:lastRenderedPageBreak/>
        <w:t xml:space="preserve">not too </w:t>
      </w:r>
      <w:r w:rsidR="0075483B">
        <w:t>high</w:t>
      </w:r>
      <w:r>
        <w:t>, in that it contribute</w:t>
      </w:r>
      <w:r w:rsidR="0075483B">
        <w:t>s</w:t>
      </w:r>
      <w:r>
        <w:t xml:space="preserve"> to a return </w:t>
      </w:r>
      <w:r w:rsidR="00C1783E">
        <w:t xml:space="preserve">that </w:t>
      </w:r>
      <w:r>
        <w:t xml:space="preserve">is </w:t>
      </w:r>
      <w:r w:rsidR="009434DF">
        <w:t xml:space="preserve">not </w:t>
      </w:r>
      <w:r w:rsidR="00CF6508">
        <w:t xml:space="preserve">excessive and </w:t>
      </w:r>
      <w:r w:rsidR="009434DF">
        <w:t xml:space="preserve">is </w:t>
      </w:r>
      <w:r>
        <w:t xml:space="preserve">commensurate with the </w:t>
      </w:r>
      <w:r w:rsidR="00C1783E">
        <w:t>relevant</w:t>
      </w:r>
      <w:r>
        <w:t xml:space="preserve"> risks</w:t>
      </w:r>
      <w:r w:rsidR="00C1783E">
        <w:t>.</w:t>
      </w:r>
    </w:p>
    <w:p w:rsidR="00C1783E" w:rsidRDefault="00C1783E" w:rsidP="006A579D">
      <w:pPr>
        <w:pStyle w:val="AERbodytext"/>
      </w:pPr>
      <w:r>
        <w:t>We consider that finding the right balance is best served by having regard to the merit</w:t>
      </w:r>
      <w:r w:rsidR="00D45352">
        <w:t>s</w:t>
      </w:r>
      <w:r>
        <w:t xml:space="preserve"> of a wide range of relevant evidence.</w:t>
      </w:r>
      <w:r w:rsidR="007B288A">
        <w:t xml:space="preserve"> We explain our consideration of, and reliance upon, the rang</w:t>
      </w:r>
      <w:r w:rsidR="00CB0A52">
        <w:t>e of relevant evidence in this a</w:t>
      </w:r>
      <w:r w:rsidR="007B288A">
        <w:t>ttachment. We have determined a value of imputation credits that achieves a balance between the opportunity for service providers to recover at least efficient costs but that is commensurate with relevant risks.</w:t>
      </w:r>
      <w:r w:rsidR="00150493">
        <w:t xml:space="preserve"> </w:t>
      </w:r>
    </w:p>
    <w:p w:rsidR="00C1783E" w:rsidRDefault="00C1783E" w:rsidP="00E1586B">
      <w:pPr>
        <w:pStyle w:val="AERbodytext"/>
      </w:pPr>
      <w:r>
        <w:t>We also consider that determining a val</w:t>
      </w:r>
      <w:r w:rsidR="003B71BD">
        <w:t>ue of imputation credits in a manner</w:t>
      </w:r>
      <w:r>
        <w:t xml:space="preserve"> consistent with the building block </w:t>
      </w:r>
      <w:r w:rsidR="003B71BD">
        <w:t xml:space="preserve">revenue </w:t>
      </w:r>
      <w:r>
        <w:t xml:space="preserve">framework embedded in the rules will contribute to the achievement of the </w:t>
      </w:r>
      <w:r w:rsidR="00AB6D0C">
        <w:t xml:space="preserve">national electricity/gas </w:t>
      </w:r>
      <w:r>
        <w:t xml:space="preserve">objective and the revenue and pricing principles. This is because the value of imputation credits is a </w:t>
      </w:r>
      <w:r w:rsidR="0075483B">
        <w:t>c</w:t>
      </w:r>
      <w:r w:rsidR="003B094F">
        <w:t>omponent</w:t>
      </w:r>
      <w:r>
        <w:t xml:space="preserve"> of this framework, </w:t>
      </w:r>
      <w:r w:rsidR="003B094F">
        <w:t>and this framework as a whole is designed to achieve the objective and the revenue and pricing principles.</w:t>
      </w:r>
    </w:p>
    <w:p w:rsidR="004F5C28" w:rsidRDefault="00A442E5" w:rsidP="004F5C28">
      <w:pPr>
        <w:pStyle w:val="Heading3"/>
      </w:pPr>
      <w:bookmarkStart w:id="33" w:name="_Ref401234016"/>
      <w:r>
        <w:t>Rate of return guideline</w:t>
      </w:r>
      <w:bookmarkEnd w:id="33"/>
    </w:p>
    <w:p w:rsidR="00A442E5" w:rsidRDefault="00AB6D0C" w:rsidP="00A442E5">
      <w:pPr>
        <w:pStyle w:val="AERbodytext"/>
      </w:pPr>
      <w:r>
        <w:t>In</w:t>
      </w:r>
      <w:r w:rsidR="00A442E5">
        <w:t xml:space="preserve"> December 2013, we published the </w:t>
      </w:r>
      <w:r>
        <w:t>G</w:t>
      </w:r>
      <w:r w:rsidR="00A442E5">
        <w:t>uideline which is available on our website.</w:t>
      </w:r>
      <w:r w:rsidR="00A442E5">
        <w:rPr>
          <w:rStyle w:val="FootnoteReference"/>
        </w:rPr>
        <w:footnoteReference w:id="15"/>
      </w:r>
      <w:r w:rsidR="00A442E5">
        <w:t xml:space="preserve"> Within it we </w:t>
      </w:r>
      <w:r w:rsidR="00A442E5" w:rsidRPr="007968DE">
        <w:t>specif</w:t>
      </w:r>
      <w:r w:rsidR="00A442E5">
        <w:t>ied</w:t>
      </w:r>
      <w:r w:rsidR="00A442E5" w:rsidRPr="007968DE">
        <w:t>:</w:t>
      </w:r>
      <w:r w:rsidR="00A442E5" w:rsidRPr="000709A4">
        <w:rPr>
          <w:rStyle w:val="FootnoteReference"/>
        </w:rPr>
        <w:footnoteReference w:id="16"/>
      </w:r>
    </w:p>
    <w:p w:rsidR="00A442E5" w:rsidRPr="000709A4" w:rsidRDefault="00A442E5" w:rsidP="00A442E5">
      <w:pPr>
        <w:pStyle w:val="AERbulletlistfirststyle"/>
      </w:pPr>
      <w:r w:rsidRPr="000709A4">
        <w:t>The method</w:t>
      </w:r>
      <w:r>
        <w:t>ologies</w:t>
      </w:r>
      <w:r w:rsidRPr="000709A4">
        <w:t xml:space="preserve"> we propose to use to estimate the allowed rate of return (derived from the expected return on equity and the return on debt) for electricity and gas network </w:t>
      </w:r>
      <w:r w:rsidR="006E62FE">
        <w:t>service providers</w:t>
      </w:r>
      <w:r w:rsidRPr="000709A4">
        <w:t>.</w:t>
      </w:r>
    </w:p>
    <w:p w:rsidR="00A442E5" w:rsidRPr="000709A4" w:rsidRDefault="00A442E5" w:rsidP="00A442E5">
      <w:pPr>
        <w:pStyle w:val="AERbulletlistfirststyle"/>
      </w:pPr>
      <w:r w:rsidRPr="000709A4">
        <w:t>The method we propose to use to estimate the value of imputation credits.</w:t>
      </w:r>
    </w:p>
    <w:p w:rsidR="00A442E5" w:rsidRPr="000709A4" w:rsidRDefault="00A442E5" w:rsidP="00A442E5">
      <w:pPr>
        <w:pStyle w:val="AERbulletlistfirststyle"/>
      </w:pPr>
      <w:r w:rsidRPr="000709A4">
        <w:t xml:space="preserve">How these methods will result in an allowed return on </w:t>
      </w:r>
      <w:r w:rsidR="00AE3636">
        <w:t>equity and</w:t>
      </w:r>
      <w:r w:rsidRPr="000709A4">
        <w:t xml:space="preserve"> return on </w:t>
      </w:r>
      <w:r w:rsidR="00AE3636">
        <w:t xml:space="preserve">debt </w:t>
      </w:r>
      <w:r w:rsidRPr="000709A4">
        <w:t xml:space="preserve">which </w:t>
      </w:r>
      <w:r w:rsidR="00AE3636">
        <w:t>we are satisfied achieve</w:t>
      </w:r>
      <w:r>
        <w:t xml:space="preserve"> </w:t>
      </w:r>
      <w:r w:rsidRPr="000709A4">
        <w:t xml:space="preserve">the allowed </w:t>
      </w:r>
      <w:r>
        <w:t>rate of return objective</w:t>
      </w:r>
      <w:r w:rsidRPr="000709A4">
        <w:t>.</w:t>
      </w:r>
    </w:p>
    <w:p w:rsidR="00A442E5" w:rsidRDefault="00A442E5" w:rsidP="00A442E5">
      <w:pPr>
        <w:pStyle w:val="AERbodytext"/>
      </w:pPr>
      <w:r>
        <w:t>I</w:t>
      </w:r>
      <w:r w:rsidRPr="000709A4">
        <w:t xml:space="preserve">n the </w:t>
      </w:r>
      <w:r w:rsidR="0033289B">
        <w:t>Guideline</w:t>
      </w:r>
      <w:r>
        <w:t xml:space="preserv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17"/>
      </w:r>
      <w:r w:rsidR="003B226B">
        <w:t xml:space="preserve"> We discuss in detail in </w:t>
      </w:r>
      <w:r w:rsidR="00CB0A52">
        <w:t>attachment</w:t>
      </w:r>
      <w:r w:rsidR="000B1384">
        <w:t xml:space="preserve"> </w:t>
      </w:r>
      <w:r w:rsidR="009B433A">
        <w:t>3</w:t>
      </w:r>
      <w:r w:rsidR="003B226B">
        <w:t xml:space="preserve"> </w:t>
      </w:r>
      <w:r w:rsidR="00984E45">
        <w:t xml:space="preserve">on the rate of return </w:t>
      </w:r>
      <w:r w:rsidR="003B226B">
        <w:t xml:space="preserve">our development of the </w:t>
      </w:r>
      <w:r w:rsidR="0033289B">
        <w:t>Guideline</w:t>
      </w:r>
      <w:r w:rsidR="003B226B">
        <w:t xml:space="preserve">.  </w:t>
      </w:r>
    </w:p>
    <w:p w:rsidR="00A442E5" w:rsidRDefault="00A442E5" w:rsidP="00A442E5">
      <w:pPr>
        <w:pStyle w:val="AERbodytext"/>
      </w:pPr>
      <w:r>
        <w:t xml:space="preserve">The </w:t>
      </w:r>
      <w:r w:rsidR="0033289B">
        <w:t>Guideline</w:t>
      </w:r>
      <w:r>
        <w:t xml:space="preserve"> </w:t>
      </w:r>
      <w:r w:rsidRPr="00696EC1">
        <w:t xml:space="preserve">is not binding on us in determining the </w:t>
      </w:r>
      <w:r w:rsidR="00122221">
        <w:t>value of imputation credits</w:t>
      </w:r>
      <w:r>
        <w:t>.</w:t>
      </w:r>
      <w:r w:rsidRPr="00696EC1">
        <w:t xml:space="preserve"> However, should we decide to depart from the </w:t>
      </w:r>
      <w:r w:rsidR="0033289B">
        <w:t>Guideline</w:t>
      </w:r>
      <w:r w:rsidRPr="00696EC1">
        <w:t xml:space="preserve"> we </w:t>
      </w:r>
      <w:r>
        <w:t>must</w:t>
      </w:r>
      <w:r w:rsidRPr="00696EC1">
        <w:t xml:space="preserve"> provide reasons for doing so.</w:t>
      </w:r>
      <w:r>
        <w:rPr>
          <w:rStyle w:val="FootnoteReference"/>
        </w:rPr>
        <w:footnoteReference w:id="18"/>
      </w:r>
      <w:r w:rsidR="003B226B" w:rsidRPr="00696EC1">
        <w:t xml:space="preserve"> </w:t>
      </w:r>
      <w:r w:rsidRPr="00696EC1">
        <w:t xml:space="preserve">Equally, it is open to </w:t>
      </w:r>
      <w:r w:rsidR="006E62FE">
        <w:t>service providers</w:t>
      </w:r>
      <w:r w:rsidRPr="00696EC1">
        <w:t xml:space="preserve"> to </w:t>
      </w:r>
      <w:r>
        <w:t>propose departures f</w:t>
      </w:r>
      <w:r w:rsidRPr="00696EC1">
        <w:t xml:space="preserve">rom the </w:t>
      </w:r>
      <w:r w:rsidR="0033289B">
        <w:t>Guideline</w:t>
      </w:r>
      <w:r>
        <w:t>,</w:t>
      </w:r>
      <w:r w:rsidRPr="00696EC1">
        <w:t xml:space="preserve"> </w:t>
      </w:r>
      <w:r>
        <w:t>so long as</w:t>
      </w:r>
      <w:r w:rsidRPr="00696EC1">
        <w:t xml:space="preserve"> they provide reasons.</w:t>
      </w:r>
      <w:r>
        <w:rPr>
          <w:rStyle w:val="FootnoteReference"/>
        </w:rPr>
        <w:footnoteReference w:id="19"/>
      </w:r>
      <w:r w:rsidR="003B226B">
        <w:t xml:space="preserve"> We have identified in section </w:t>
      </w:r>
      <w:r w:rsidR="003B226B">
        <w:fldChar w:fldCharType="begin"/>
      </w:r>
      <w:r w:rsidR="003B226B">
        <w:instrText xml:space="preserve"> REF _Ref401169027 \r \h </w:instrText>
      </w:r>
      <w:r w:rsidR="003B226B">
        <w:fldChar w:fldCharType="separate"/>
      </w:r>
      <w:r w:rsidR="00927273">
        <w:t>4.2</w:t>
      </w:r>
      <w:r w:rsidR="003B226B">
        <w:fldChar w:fldCharType="end"/>
      </w:r>
      <w:r w:rsidR="003B226B">
        <w:t xml:space="preserve"> where the proposals we have received on the value of imputation credits have departed from the </w:t>
      </w:r>
      <w:r w:rsidR="0033289B">
        <w:t>Guideline</w:t>
      </w:r>
      <w:r w:rsidR="003B226B">
        <w:t xml:space="preserve">. We identify in section </w:t>
      </w:r>
      <w:r w:rsidR="003B226B">
        <w:fldChar w:fldCharType="begin"/>
      </w:r>
      <w:r w:rsidR="003B226B">
        <w:instrText xml:space="preserve"> REF _Ref401136494 \r \h </w:instrText>
      </w:r>
      <w:r w:rsidR="003B226B">
        <w:fldChar w:fldCharType="separate"/>
      </w:r>
      <w:r w:rsidR="00927273">
        <w:t>4.4</w:t>
      </w:r>
      <w:r w:rsidR="003B226B">
        <w:fldChar w:fldCharType="end"/>
      </w:r>
      <w:r w:rsidR="003B226B">
        <w:t xml:space="preserve"> </w:t>
      </w:r>
      <w:r w:rsidR="00984E45">
        <w:t xml:space="preserve">the </w:t>
      </w:r>
      <w:r w:rsidR="003B226B">
        <w:t xml:space="preserve">departures we have made in this draft decision from the </w:t>
      </w:r>
      <w:r w:rsidR="0033289B">
        <w:t>Guideline</w:t>
      </w:r>
      <w:r w:rsidR="003B226B">
        <w:t xml:space="preserve"> position on the value of imputation credits.</w:t>
      </w:r>
    </w:p>
    <w:p w:rsidR="00856009" w:rsidRDefault="00856009" w:rsidP="004F5C28">
      <w:pPr>
        <w:pStyle w:val="Heading3"/>
      </w:pPr>
      <w:bookmarkStart w:id="34" w:name="_Ref404065332"/>
      <w:r>
        <w:t>Definition of benchmark efficient</w:t>
      </w:r>
      <w:r w:rsidR="00E47743">
        <w:t xml:space="preserve"> entity</w:t>
      </w:r>
      <w:bookmarkEnd w:id="34"/>
    </w:p>
    <w:p w:rsidR="00637A60" w:rsidRPr="003E6517" w:rsidRDefault="00302B4E" w:rsidP="008E0B16">
      <w:pPr>
        <w:pStyle w:val="AERbodytext"/>
      </w:pPr>
      <w:r>
        <w:t xml:space="preserve">As shown in section </w:t>
      </w:r>
      <w:r>
        <w:fldChar w:fldCharType="begin"/>
      </w:r>
      <w:r>
        <w:instrText xml:space="preserve"> REF _Ref400272912 \r \h </w:instrText>
      </w:r>
      <w:r>
        <w:fldChar w:fldCharType="separate"/>
      </w:r>
      <w:r w:rsidR="00927273">
        <w:t>4.3.1</w:t>
      </w:r>
      <w:r>
        <w:fldChar w:fldCharType="end"/>
      </w:r>
      <w:r>
        <w:t xml:space="preserve">, the rules refer to a 'benchmark efficient entity'. </w:t>
      </w:r>
      <w:r w:rsidR="002025E9">
        <w:t>For the benchmark efficient entity, we have adopted</w:t>
      </w:r>
      <w:r w:rsidR="00637A60">
        <w:t>:</w:t>
      </w:r>
    </w:p>
    <w:p w:rsidR="00637A60" w:rsidRPr="003E6517" w:rsidRDefault="00302B4E" w:rsidP="00637A60">
      <w:pPr>
        <w:pStyle w:val="AERbulletlistfirststyle"/>
      </w:pPr>
      <w:r>
        <w:t>a s</w:t>
      </w:r>
      <w:r w:rsidR="00637A60" w:rsidRPr="003E6517">
        <w:t>ingle benchmark across gas, electricity, transmission and distribution</w:t>
      </w:r>
      <w:r>
        <w:t>, and</w:t>
      </w:r>
    </w:p>
    <w:p w:rsidR="00637A60" w:rsidRPr="003E6517" w:rsidRDefault="00302B4E" w:rsidP="00637A60">
      <w:pPr>
        <w:pStyle w:val="AERbulletlistfirststyle"/>
      </w:pPr>
      <w:r>
        <w:lastRenderedPageBreak/>
        <w:t xml:space="preserve">a </w:t>
      </w:r>
      <w:r w:rsidR="00637A60" w:rsidRPr="003E6517">
        <w:t xml:space="preserve">conceptual definition of the benchmark efficient entity </w:t>
      </w:r>
      <w:r w:rsidR="00EB7958">
        <w:t>as</w:t>
      </w:r>
      <w:r w:rsidR="00637A60" w:rsidRPr="003E6517">
        <w:t xml:space="preserve"> 'a pure play, regulated</w:t>
      </w:r>
      <w:r w:rsidR="00637A60">
        <w:t xml:space="preserve"> </w:t>
      </w:r>
      <w:r w:rsidR="00637A60" w:rsidRPr="003E6517">
        <w:t>energy network business operating within Australia'</w:t>
      </w:r>
      <w:r w:rsidR="00637A60">
        <w:t>.</w:t>
      </w:r>
      <w:r w:rsidR="00514E7B">
        <w:rPr>
          <w:rStyle w:val="FootnoteReference"/>
        </w:rPr>
        <w:footnoteReference w:id="20"/>
      </w:r>
    </w:p>
    <w:p w:rsidR="00637A60" w:rsidRPr="0046739D" w:rsidRDefault="00637A60" w:rsidP="004B0617">
      <w:pPr>
        <w:pStyle w:val="AERbodytext"/>
      </w:pPr>
      <w:r>
        <w:t xml:space="preserve">Our benchmark efficient entity includes the following </w:t>
      </w:r>
      <w:r w:rsidR="003902FC">
        <w:t>sub-</w:t>
      </w:r>
      <w:r w:rsidR="00302B4E">
        <w:t>components as defined below.</w:t>
      </w:r>
      <w:r>
        <w:t xml:space="preserve"> </w:t>
      </w:r>
    </w:p>
    <w:p w:rsidR="00C43B0B" w:rsidRPr="008E0B16" w:rsidRDefault="00C43B0B" w:rsidP="004B0617">
      <w:pPr>
        <w:pStyle w:val="HeadingBoldBlue"/>
        <w:rPr>
          <w:rStyle w:val="AERtextbold"/>
        </w:rPr>
      </w:pPr>
      <w:r>
        <w:t>Pure play</w:t>
      </w:r>
    </w:p>
    <w:p w:rsidR="00637A60" w:rsidRPr="00440CEC" w:rsidRDefault="00637A60" w:rsidP="00637A60">
      <w:pPr>
        <w:pStyle w:val="AERbodytext"/>
      </w:pPr>
      <w:r w:rsidRPr="00440CEC">
        <w:t>A pure play business is one which offers services focused in one industry or product area. In this context, it means that the benchmark efficient entity provides only regulated energy network services.</w:t>
      </w:r>
    </w:p>
    <w:p w:rsidR="00C43B0B" w:rsidRDefault="00C43B0B" w:rsidP="00C43B0B">
      <w:pPr>
        <w:pStyle w:val="HeadingBoldBlue"/>
      </w:pPr>
      <w:r>
        <w:t>Regulated</w:t>
      </w:r>
    </w:p>
    <w:p w:rsidR="00637A60" w:rsidRPr="00637A60" w:rsidRDefault="00637A60" w:rsidP="00637A60">
      <w:pPr>
        <w:pStyle w:val="AERbodytext"/>
      </w:pPr>
      <w:r w:rsidRPr="00440CEC">
        <w:t>A regulated entity for the purposes of our benchmark is one which is subject to economic regulation (that is, revenue price cap regulation) under the National Electricity Rules and/or the National Gas Rules</w:t>
      </w:r>
      <w:r w:rsidR="00984E45">
        <w:t xml:space="preserve"> (the rules)</w:t>
      </w:r>
      <w:r w:rsidRPr="00440CEC">
        <w:t>.</w:t>
      </w:r>
    </w:p>
    <w:p w:rsidR="00C43B0B" w:rsidRDefault="00C43B0B" w:rsidP="00C43B0B">
      <w:pPr>
        <w:pStyle w:val="HeadingBoldBlue"/>
      </w:pPr>
      <w:r>
        <w:t>Energy network business</w:t>
      </w:r>
    </w:p>
    <w:p w:rsidR="00637A60" w:rsidRPr="00637A60" w:rsidRDefault="00637A60" w:rsidP="00637A60">
      <w:pPr>
        <w:pStyle w:val="AERbodytext"/>
      </w:pPr>
      <w:r w:rsidRPr="00440CEC">
        <w:t>Energy network refers to a gas distribution, gas transmission, electricity distribution or electricity transmission business.</w:t>
      </w:r>
    </w:p>
    <w:p w:rsidR="00C43B0B" w:rsidRDefault="00C43B0B" w:rsidP="00C43B0B">
      <w:pPr>
        <w:pStyle w:val="HeadingBoldBlue"/>
      </w:pPr>
      <w:r>
        <w:t>Operating within Australia</w:t>
      </w:r>
    </w:p>
    <w:p w:rsidR="00637A60" w:rsidRDefault="00637A60" w:rsidP="008E0B16">
      <w:pPr>
        <w:pStyle w:val="AERbodytext"/>
      </w:pPr>
      <w:r>
        <w:t>T</w:t>
      </w:r>
      <w:r w:rsidRPr="00637A60">
        <w:t>he benchmark efficient entity should be operating within Australia as the location of a business determines the conditions unde</w:t>
      </w:r>
      <w:r w:rsidR="001D446A">
        <w:t xml:space="preserve">r which the business operates. </w:t>
      </w:r>
      <w:r w:rsidR="00EB2FFB" w:rsidRPr="00EB2FFB">
        <w:t>This includes the regulat</w:t>
      </w:r>
      <w:r w:rsidR="00EB2FFB">
        <w:t xml:space="preserve">ory regime, </w:t>
      </w:r>
      <w:r w:rsidR="00EB2FFB" w:rsidRPr="00EB2FFB">
        <w:t>tax laws, industry structure and broader economic environment.</w:t>
      </w:r>
      <w:r w:rsidR="00EB2FFB">
        <w:t xml:space="preserve"> </w:t>
      </w:r>
      <w:r w:rsidR="009D3FD9">
        <w:t xml:space="preserve">An additional consideration that is particularly relevant to the value of imputation credits is that we recognise that both domestic and foreign investors participate in the </w:t>
      </w:r>
      <w:r w:rsidR="00422130">
        <w:t xml:space="preserve">Australian </w:t>
      </w:r>
      <w:r w:rsidR="009D3FD9">
        <w:t>market.</w:t>
      </w:r>
      <w:r w:rsidR="00836E9F">
        <w:t xml:space="preserve"> That is, we consider that the </w:t>
      </w:r>
      <w:r w:rsidR="00422130">
        <w:t xml:space="preserve">defined </w:t>
      </w:r>
      <w:r w:rsidR="00836E9F">
        <w:t>market is an Australian domestic market that recognises the presence of foreign investors to the extent that they invest in the Australian market.</w:t>
      </w:r>
      <w:r w:rsidR="009D3FD9">
        <w:t xml:space="preserve"> This is important for determining a value of imputation credits because typically domestic investors are eligible to utilise imputation credits </w:t>
      </w:r>
      <w:r w:rsidR="009A4B3A">
        <w:t>while</w:t>
      </w:r>
      <w:r w:rsidR="009D3FD9">
        <w:t xml:space="preserve"> foreign investors </w:t>
      </w:r>
      <w:r w:rsidR="009A4B3A">
        <w:t>are not.</w:t>
      </w:r>
      <w:r w:rsidR="009D3FD9">
        <w:t xml:space="preserve"> </w:t>
      </w:r>
    </w:p>
    <w:p w:rsidR="0003796F" w:rsidRDefault="0003796F" w:rsidP="00EA24D2">
      <w:pPr>
        <w:pStyle w:val="Heading3"/>
      </w:pPr>
      <w:bookmarkStart w:id="35" w:name="_Toc396839199"/>
      <w:r>
        <w:t xml:space="preserve">Expert </w:t>
      </w:r>
      <w:r w:rsidRPr="00EA24D2">
        <w:t>reports</w:t>
      </w:r>
    </w:p>
    <w:p w:rsidR="00A97368" w:rsidRPr="00867688" w:rsidRDefault="00A97368" w:rsidP="004B0617">
      <w:pPr>
        <w:pStyle w:val="AERbodytext"/>
      </w:pPr>
      <w:r>
        <w:t xml:space="preserve">During the development of the </w:t>
      </w:r>
      <w:r w:rsidR="0033289B">
        <w:t>Guideline</w:t>
      </w:r>
      <w:r>
        <w:t>, we commissioned expert advice on the value of imputation credits from Associate Professor Martin Lally of th</w:t>
      </w:r>
      <w:r w:rsidRPr="004B0617">
        <w:t xml:space="preserve">e </w:t>
      </w:r>
      <w:r w:rsidRPr="004B0617">
        <w:rPr>
          <w:rStyle w:val="AERtexthighlight"/>
          <w:shd w:val="clear" w:color="auto" w:fill="auto"/>
        </w:rPr>
        <w:t>Victoria University of Wellington.</w:t>
      </w:r>
      <w:r w:rsidRPr="004B0617">
        <w:rPr>
          <w:rStyle w:val="FootnoteReference"/>
        </w:rPr>
        <w:footnoteReference w:id="21"/>
      </w:r>
    </w:p>
    <w:p w:rsidR="0003796F" w:rsidRDefault="00A97368" w:rsidP="0003796F">
      <w:pPr>
        <w:pStyle w:val="AERbodytext"/>
      </w:pPr>
      <w:r>
        <w:t>To assist us i</w:t>
      </w:r>
      <w:r w:rsidRPr="00867688">
        <w:t xml:space="preserve">n making this draft decision on the </w:t>
      </w:r>
      <w:r>
        <w:t>value of imputation credits</w:t>
      </w:r>
      <w:r w:rsidRPr="00867688">
        <w:t xml:space="preserve"> proposed by the service providers</w:t>
      </w:r>
      <w:r>
        <w:t>, w</w:t>
      </w:r>
      <w:r w:rsidR="0003796F">
        <w:t xml:space="preserve">e </w:t>
      </w:r>
      <w:r w:rsidR="0003796F" w:rsidRPr="00867688">
        <w:t xml:space="preserve">commissioned </w:t>
      </w:r>
      <w:r w:rsidR="00984E45">
        <w:t xml:space="preserve">further </w:t>
      </w:r>
      <w:r w:rsidR="0003796F" w:rsidRPr="00867688">
        <w:t xml:space="preserve">expert advice from </w:t>
      </w:r>
      <w:r w:rsidR="0003796F">
        <w:t xml:space="preserve">Associate Professor John Handley </w:t>
      </w:r>
      <w:r w:rsidR="00142828">
        <w:t>of</w:t>
      </w:r>
      <w:r w:rsidR="0003796F">
        <w:t xml:space="preserve"> the University of Melbourne.</w:t>
      </w:r>
      <w:r w:rsidR="004D735C">
        <w:rPr>
          <w:rStyle w:val="FootnoteReference"/>
        </w:rPr>
        <w:footnoteReference w:id="22"/>
      </w:r>
      <w:r>
        <w:t xml:space="preserve"> We have also had regard to, among other things:</w:t>
      </w:r>
    </w:p>
    <w:p w:rsidR="00A97368" w:rsidRDefault="004E1702" w:rsidP="004B0617">
      <w:pPr>
        <w:pStyle w:val="AERbulletlistfirststyle"/>
      </w:pPr>
      <w:r>
        <w:t>t</w:t>
      </w:r>
      <w:r w:rsidR="00A97368">
        <w:t xml:space="preserve">he </w:t>
      </w:r>
      <w:r w:rsidR="006D5263">
        <w:t xml:space="preserve">May 2014 </w:t>
      </w:r>
      <w:r w:rsidR="00A97368">
        <w:t>report from SFG that was jointly commissioned by the service providers</w:t>
      </w:r>
      <w:r w:rsidR="0099605E">
        <w:t xml:space="preserve"> and submitted to us with their proposals</w:t>
      </w:r>
      <w:r w:rsidR="00A97368">
        <w:t>.</w:t>
      </w:r>
      <w:r w:rsidR="00A97368">
        <w:rPr>
          <w:rStyle w:val="FootnoteReference"/>
        </w:rPr>
        <w:footnoteReference w:id="23"/>
      </w:r>
    </w:p>
    <w:p w:rsidR="001E2F25" w:rsidRDefault="004E1702" w:rsidP="001E2F25">
      <w:pPr>
        <w:pStyle w:val="AERbulletlistfirststyle"/>
      </w:pPr>
      <w:r>
        <w:t>a</w:t>
      </w:r>
      <w:r w:rsidR="001E2F25">
        <w:t xml:space="preserve"> March 2014 </w:t>
      </w:r>
      <w:r w:rsidR="00715AAE">
        <w:t>report</w:t>
      </w:r>
      <w:r w:rsidR="001E2F25">
        <w:t xml:space="preserve"> by Associate Professor Lally</w:t>
      </w:r>
      <w:r w:rsidR="001E2F25" w:rsidRPr="00E50874">
        <w:t xml:space="preserve"> </w:t>
      </w:r>
      <w:r w:rsidR="001E2F25">
        <w:t>that was commissioned by the Queensland Competition Authority.</w:t>
      </w:r>
      <w:r w:rsidR="001E2F25">
        <w:rPr>
          <w:rStyle w:val="FootnoteReference"/>
        </w:rPr>
        <w:footnoteReference w:id="24"/>
      </w:r>
    </w:p>
    <w:p w:rsidR="0099605E" w:rsidRDefault="004E1702" w:rsidP="004B0617">
      <w:pPr>
        <w:pStyle w:val="AERbulletlistfirststyle"/>
      </w:pPr>
      <w:r>
        <w:lastRenderedPageBreak/>
        <w:t>a</w:t>
      </w:r>
      <w:r w:rsidR="006D5263">
        <w:t>n October 2013</w:t>
      </w:r>
      <w:r w:rsidR="0099605E">
        <w:t xml:space="preserve"> review of </w:t>
      </w:r>
      <w:r w:rsidR="00984E45">
        <w:t>a network rail access undertaking</w:t>
      </w:r>
      <w:r w:rsidR="0099605E">
        <w:t xml:space="preserve"> by Professor Michael McKenzie </w:t>
      </w:r>
      <w:r w:rsidR="006D5263">
        <w:t xml:space="preserve">of the University of Liverpool </w:t>
      </w:r>
      <w:r w:rsidR="0099605E">
        <w:t xml:space="preserve">and </w:t>
      </w:r>
      <w:r w:rsidR="006D5263">
        <w:t xml:space="preserve">Associate Professor </w:t>
      </w:r>
      <w:r w:rsidR="0099605E">
        <w:t>Graham Partington</w:t>
      </w:r>
      <w:r w:rsidR="006D5263">
        <w:t xml:space="preserve"> of the University of Sydney</w:t>
      </w:r>
      <w:r w:rsidR="0099605E">
        <w:t>.</w:t>
      </w:r>
      <w:r w:rsidR="006D5263">
        <w:rPr>
          <w:rStyle w:val="FootnoteReference"/>
        </w:rPr>
        <w:footnoteReference w:id="25"/>
      </w:r>
      <w:r w:rsidR="0099605E">
        <w:t xml:space="preserve"> This review was commissioned by the Queensland Resources Council and submitted to the Queensland Competition Authority.</w:t>
      </w:r>
    </w:p>
    <w:p w:rsidR="001E2F25" w:rsidRDefault="004E1702" w:rsidP="004B0617">
      <w:pPr>
        <w:pStyle w:val="AERbulletlistfirststyle"/>
      </w:pPr>
      <w:r>
        <w:t>a</w:t>
      </w:r>
      <w:r w:rsidR="001E2F25">
        <w:t xml:space="preserve"> September 2013 report on tax statistics by </w:t>
      </w:r>
      <w:proofErr w:type="spellStart"/>
      <w:r w:rsidR="001E2F25">
        <w:t>Dr.</w:t>
      </w:r>
      <w:proofErr w:type="spellEnd"/>
      <w:r w:rsidR="001E2F25">
        <w:t xml:space="preserve"> Neville Hathaway that was commissioned by the Energy Networks Association.</w:t>
      </w:r>
      <w:r w:rsidR="00715AAE">
        <w:rPr>
          <w:rStyle w:val="FootnoteReference"/>
        </w:rPr>
        <w:footnoteReference w:id="26"/>
      </w:r>
    </w:p>
    <w:p w:rsidR="004B0617" w:rsidRDefault="004E1702" w:rsidP="004B0617">
      <w:pPr>
        <w:pStyle w:val="AERbulletlistfirststyle"/>
      </w:pPr>
      <w:r>
        <w:t>a</w:t>
      </w:r>
      <w:r w:rsidR="001E2F25">
        <w:t xml:space="preserve"> June 2013 report on the distribution rate by NERA Economic Consulting (NERA) that was commissioned by the Energy Networks Association.</w:t>
      </w:r>
      <w:r w:rsidR="00715AAE">
        <w:rPr>
          <w:rStyle w:val="FootnoteReference"/>
        </w:rPr>
        <w:footnoteReference w:id="27"/>
      </w:r>
    </w:p>
    <w:p w:rsidR="00984E45" w:rsidRDefault="00BD14D8" w:rsidP="003C38F6">
      <w:pPr>
        <w:pStyle w:val="AERbodytext"/>
      </w:pPr>
      <w:r>
        <w:t>We took into account</w:t>
      </w:r>
      <w:r w:rsidR="00984E45">
        <w:t xml:space="preserve"> the reports from Lally, Hathaway and NERA</w:t>
      </w:r>
      <w:r>
        <w:t xml:space="preserve"> in the Guideline. </w:t>
      </w:r>
      <w:r w:rsidR="003C38F6">
        <w:t>We consider t</w:t>
      </w:r>
      <w:r>
        <w:t>he other reports for the first time in this decision.</w:t>
      </w:r>
    </w:p>
    <w:p w:rsidR="00FF13BD" w:rsidRPr="00784B2C" w:rsidRDefault="001B5FE0" w:rsidP="00881F44">
      <w:pPr>
        <w:pStyle w:val="Heading3"/>
      </w:pPr>
      <w:r w:rsidRPr="00784B2C">
        <w:t xml:space="preserve">Approach to </w:t>
      </w:r>
      <w:r w:rsidR="00972B67" w:rsidRPr="00784B2C">
        <w:t>determining</w:t>
      </w:r>
      <w:r w:rsidRPr="00784B2C">
        <w:t xml:space="preserve"> the value of imputation credits</w:t>
      </w:r>
    </w:p>
    <w:p w:rsidR="00972B67" w:rsidRDefault="00972B67" w:rsidP="00FF13BD">
      <w:pPr>
        <w:pStyle w:val="AERbodytext"/>
      </w:pPr>
      <w:r>
        <w:t>There is no consensus among experts</w:t>
      </w:r>
      <w:r w:rsidR="00F6225D">
        <w:t xml:space="preserve"> or regulators</w:t>
      </w:r>
      <w:r>
        <w:t xml:space="preserve"> on the value of imputation credits or the techniques to use to estimate it.</w:t>
      </w:r>
      <w:r w:rsidR="001E634E">
        <w:rPr>
          <w:rStyle w:val="FootnoteReference"/>
        </w:rPr>
        <w:footnoteReference w:id="28"/>
      </w:r>
      <w:r>
        <w:t xml:space="preserve"> Our approach to determining the value of imputation credits is guided by:</w:t>
      </w:r>
    </w:p>
    <w:p w:rsidR="00972B67" w:rsidRDefault="004E1702" w:rsidP="00872E15">
      <w:pPr>
        <w:pStyle w:val="AERbulletlistfirststyle"/>
      </w:pPr>
      <w:proofErr w:type="gramStart"/>
      <w:r>
        <w:t>t</w:t>
      </w:r>
      <w:r w:rsidR="00872E15">
        <w:t>he</w:t>
      </w:r>
      <w:proofErr w:type="gramEnd"/>
      <w:r w:rsidR="00872E15">
        <w:t xml:space="preserve"> requirements of the rules</w:t>
      </w:r>
      <w:r w:rsidR="00380642">
        <w:t>—</w:t>
      </w:r>
      <w:r w:rsidR="008D7D50">
        <w:t xml:space="preserve">see section </w:t>
      </w:r>
      <w:r w:rsidR="008D7D50">
        <w:fldChar w:fldCharType="begin"/>
      </w:r>
      <w:r w:rsidR="008D7D50">
        <w:instrText xml:space="preserve"> REF _Ref400272912 \r \h </w:instrText>
      </w:r>
      <w:r w:rsidR="008D7D50">
        <w:fldChar w:fldCharType="separate"/>
      </w:r>
      <w:r w:rsidR="00927273">
        <w:t>4.3.1</w:t>
      </w:r>
      <w:r w:rsidR="008D7D50">
        <w:fldChar w:fldCharType="end"/>
      </w:r>
      <w:r w:rsidR="00380642">
        <w:t>.</w:t>
      </w:r>
    </w:p>
    <w:p w:rsidR="00872E15" w:rsidRDefault="004E1702" w:rsidP="00872E15">
      <w:pPr>
        <w:pStyle w:val="AERbulletlistfirststyle"/>
      </w:pPr>
      <w:r>
        <w:t>t</w:t>
      </w:r>
      <w:r w:rsidR="00872E15">
        <w:t>he role of the value of the imputation credits in the revenue building block framework</w:t>
      </w:r>
      <w:r w:rsidR="00380642">
        <w:t>—this suggests that the value of imputation credits is intended to reflect the value of imputation credits to investors in the benchmark efficient entity.</w:t>
      </w:r>
      <w:r w:rsidR="00035BE9">
        <w:rPr>
          <w:rStyle w:val="FootnoteReference"/>
        </w:rPr>
        <w:footnoteReference w:id="29"/>
      </w:r>
    </w:p>
    <w:p w:rsidR="00423E59" w:rsidRDefault="004E1702" w:rsidP="00872E15">
      <w:pPr>
        <w:pStyle w:val="AERbulletlistfirststyle"/>
      </w:pPr>
      <w:r>
        <w:t>r</w:t>
      </w:r>
      <w:r w:rsidR="004F5482">
        <w:t>elevant</w:t>
      </w:r>
      <w:r w:rsidR="00872E15">
        <w:t xml:space="preserve"> academic literature</w:t>
      </w:r>
      <w:r w:rsidR="00380642">
        <w:t>—</w:t>
      </w:r>
      <w:r w:rsidR="002A339B">
        <w:t xml:space="preserve">the framework developed in a 1994 paper by Officer is widely recognised as providing the basis for the value of imputation credits in the </w:t>
      </w:r>
      <w:r w:rsidR="00C23054">
        <w:t>building block framework</w:t>
      </w:r>
      <w:r w:rsidR="002A339B">
        <w:t>.</w:t>
      </w:r>
      <w:r w:rsidR="00035BE9">
        <w:rPr>
          <w:rStyle w:val="FootnoteReference"/>
        </w:rPr>
        <w:footnoteReference w:id="30"/>
      </w:r>
      <w:r w:rsidR="002A339B">
        <w:t xml:space="preserve"> </w:t>
      </w:r>
      <w:r w:rsidR="0043351C">
        <w:t xml:space="preserve">The work of </w:t>
      </w:r>
      <w:proofErr w:type="spellStart"/>
      <w:r w:rsidR="0043351C">
        <w:t>Monkhouse</w:t>
      </w:r>
      <w:proofErr w:type="spellEnd"/>
      <w:r w:rsidR="0043351C">
        <w:t xml:space="preserve"> (and others) extends the Officer framework, and shows that the value of imputation credits can </w:t>
      </w:r>
      <w:r w:rsidR="00BE5FAF">
        <w:t xml:space="preserve">be </w:t>
      </w:r>
      <w:r w:rsidR="0043351C">
        <w:t xml:space="preserve">estimated as the product of </w:t>
      </w:r>
      <w:r w:rsidR="00035BE9">
        <w:t>two parameters:</w:t>
      </w:r>
    </w:p>
    <w:p w:rsidR="00423E59" w:rsidRDefault="00423E59" w:rsidP="003C38F6">
      <w:pPr>
        <w:pStyle w:val="AERbulletlistsecondstyle"/>
      </w:pPr>
      <w:r w:rsidRPr="00423E59">
        <w:t>the proportion of imputation credits generated that is distributed to investors</w:t>
      </w:r>
      <w:r>
        <w:t xml:space="preserve"> (</w:t>
      </w:r>
      <w:r w:rsidR="00035BE9">
        <w:t>the</w:t>
      </w:r>
      <w:r w:rsidR="0043351C">
        <w:t xml:space="preserve"> </w:t>
      </w:r>
      <w:r w:rsidR="007B4BA3">
        <w:t>distribution rate</w:t>
      </w:r>
      <w:r>
        <w:t xml:space="preserve">), </w:t>
      </w:r>
      <w:r w:rsidR="007B4BA3">
        <w:t xml:space="preserve">and </w:t>
      </w:r>
    </w:p>
    <w:p w:rsidR="00423E59" w:rsidRDefault="00423E59" w:rsidP="003C38F6">
      <w:pPr>
        <w:pStyle w:val="AERbulletlistsecondstyle"/>
      </w:pPr>
      <w:r w:rsidRPr="00423E59">
        <w:t xml:space="preserve">the utilisation value to investors in the market per dollar of imputation credits distributed </w:t>
      </w:r>
      <w:r>
        <w:t>(</w:t>
      </w:r>
      <w:r w:rsidR="007B4BA3">
        <w:t>the utilisation rate</w:t>
      </w:r>
      <w:r>
        <w:t>)</w:t>
      </w:r>
      <w:r w:rsidR="007B4BA3">
        <w:t>.</w:t>
      </w:r>
      <w:r w:rsidR="00035BE9">
        <w:rPr>
          <w:rStyle w:val="FootnoteReference"/>
        </w:rPr>
        <w:footnoteReference w:id="31"/>
      </w:r>
      <w:r w:rsidR="00B66A82">
        <w:t xml:space="preserve"> </w:t>
      </w:r>
    </w:p>
    <w:p w:rsidR="004F5482" w:rsidRDefault="00B66A82" w:rsidP="003C38F6">
      <w:pPr>
        <w:pStyle w:val="AERbulletlistfirststyle"/>
        <w:numPr>
          <w:ilvl w:val="0"/>
          <w:numId w:val="0"/>
        </w:numPr>
        <w:ind w:left="357"/>
      </w:pPr>
      <w:r>
        <w:t>Consistent with this literature, we determine the value of imputation credits as the product of these two parameters.</w:t>
      </w:r>
    </w:p>
    <w:p w:rsidR="00222B8F" w:rsidRDefault="004F5482" w:rsidP="00872E15">
      <w:pPr>
        <w:pStyle w:val="AERbulletlistfirststyle"/>
      </w:pPr>
      <w:r>
        <w:t xml:space="preserve">A wide range of relevant </w:t>
      </w:r>
      <w:r w:rsidR="00163B76">
        <w:t>evidence</w:t>
      </w:r>
      <w:r w:rsidR="00380642">
        <w:t>—</w:t>
      </w:r>
      <w:r w:rsidR="003C4B75">
        <w:t xml:space="preserve">while there is a widely accepted approach to estimating the distribution rate, </w:t>
      </w:r>
      <w:r w:rsidR="00F429C0">
        <w:t xml:space="preserve">there is no single accepted approach to estimating the utilisation rate and </w:t>
      </w:r>
      <w:r w:rsidR="003C4B75">
        <w:t xml:space="preserve">there is a range of </w:t>
      </w:r>
      <w:r w:rsidR="0081146E">
        <w:t>evidence</w:t>
      </w:r>
      <w:r w:rsidR="003C4B75">
        <w:t xml:space="preserve"> relevant to the utilisation rate. </w:t>
      </w:r>
      <w:r w:rsidR="0081146E">
        <w:t>This</w:t>
      </w:r>
      <w:r w:rsidR="00222B8F">
        <w:t xml:space="preserve"> include</w:t>
      </w:r>
      <w:r w:rsidR="0081146E">
        <w:t>s</w:t>
      </w:r>
      <w:r w:rsidR="00222B8F">
        <w:t>:</w:t>
      </w:r>
    </w:p>
    <w:p w:rsidR="00222B8F" w:rsidRPr="00222B8F" w:rsidRDefault="004E1702" w:rsidP="00222B8F">
      <w:pPr>
        <w:pStyle w:val="AERbulletlistsecondstyle"/>
      </w:pPr>
      <w:r>
        <w:t>t</w:t>
      </w:r>
      <w:r w:rsidR="00222B8F" w:rsidRPr="00222B8F">
        <w:t>he proportion of Australian equity held by domestic investors (the 'equity ownership approach').</w:t>
      </w:r>
    </w:p>
    <w:p w:rsidR="00222B8F" w:rsidRPr="00222B8F" w:rsidRDefault="004E1702" w:rsidP="00222B8F">
      <w:pPr>
        <w:pStyle w:val="AERbulletlistsecondstyle"/>
      </w:pPr>
      <w:r>
        <w:lastRenderedPageBreak/>
        <w:t>t</w:t>
      </w:r>
      <w:r w:rsidR="00222B8F" w:rsidRPr="00222B8F">
        <w:t xml:space="preserve">he reported value of credits utilised by investors in </w:t>
      </w:r>
      <w:r w:rsidR="00D335F3">
        <w:t>Australian Taxation Office (</w:t>
      </w:r>
      <w:r w:rsidR="00222B8F" w:rsidRPr="00222B8F">
        <w:t>ATO</w:t>
      </w:r>
      <w:r w:rsidR="00D335F3">
        <w:t>)</w:t>
      </w:r>
      <w:r w:rsidR="00222B8F" w:rsidRPr="00222B8F">
        <w:t xml:space="preserve"> statistics ('tax statistics').</w:t>
      </w:r>
    </w:p>
    <w:p w:rsidR="00222B8F" w:rsidRPr="00222B8F" w:rsidRDefault="004E1702" w:rsidP="00ED6975">
      <w:pPr>
        <w:pStyle w:val="AERbulletlistsecondstyle"/>
      </w:pPr>
      <w:r>
        <w:t>s</w:t>
      </w:r>
      <w:r w:rsidR="00ED6975" w:rsidRPr="00ED6975">
        <w:t xml:space="preserve">tudies that seek to infer from market prices the value to investors of distributed imputation credits </w:t>
      </w:r>
      <w:r w:rsidR="00ED6975">
        <w:t>('i</w:t>
      </w:r>
      <w:r w:rsidR="00015D08">
        <w:t>mplied market value studies</w:t>
      </w:r>
      <w:r w:rsidR="00ED6975">
        <w:t>')</w:t>
      </w:r>
      <w:r w:rsidR="00015D08">
        <w:t>.</w:t>
      </w:r>
    </w:p>
    <w:p w:rsidR="00222B8F" w:rsidRDefault="0081146E" w:rsidP="00222B8F">
      <w:pPr>
        <w:pStyle w:val="AERbulletlistfirststyle"/>
        <w:numPr>
          <w:ilvl w:val="0"/>
          <w:numId w:val="0"/>
        </w:numPr>
        <w:ind w:left="357"/>
      </w:pPr>
      <w:r>
        <w:t xml:space="preserve">Also, when estimating the distribution rate and the utilisation rate there is </w:t>
      </w:r>
      <w:r w:rsidR="00222B8F">
        <w:t>no consensus regarding whether</w:t>
      </w:r>
      <w:r>
        <w:t xml:space="preserve"> evidence and data should be used on all companies and their investors</w:t>
      </w:r>
      <w:r w:rsidR="003D28CD">
        <w:t xml:space="preserve"> (all equity)</w:t>
      </w:r>
      <w:r>
        <w:t xml:space="preserve"> or just listed</w:t>
      </w:r>
      <w:r w:rsidR="00222B8F">
        <w:t xml:space="preserve"> </w:t>
      </w:r>
      <w:r>
        <w:t>companies and their investors</w:t>
      </w:r>
      <w:r w:rsidR="003D28CD">
        <w:t xml:space="preserve"> (listed equity</w:t>
      </w:r>
      <w:r w:rsidR="001E4EF7">
        <w:t xml:space="preserve"> only</w:t>
      </w:r>
      <w:r w:rsidR="003D28CD">
        <w:t>)</w:t>
      </w:r>
      <w:r>
        <w:t>.</w:t>
      </w:r>
      <w:r w:rsidR="00763421">
        <w:rPr>
          <w:rStyle w:val="FootnoteReference"/>
        </w:rPr>
        <w:footnoteReference w:id="32"/>
      </w:r>
      <w:r w:rsidR="00B66A82">
        <w:t xml:space="preserve"> In determining the value of imputation credits, we rely on the results from both approaches.</w:t>
      </w:r>
    </w:p>
    <w:p w:rsidR="00F25DB6" w:rsidRDefault="004F5482" w:rsidP="00872E15">
      <w:pPr>
        <w:pStyle w:val="AERbulletlistfirststyle"/>
      </w:pPr>
      <w:r>
        <w:t>The views of experts</w:t>
      </w:r>
      <w:r w:rsidR="00380642">
        <w:t>—</w:t>
      </w:r>
      <w:r w:rsidR="00D07350">
        <w:t>experts differ in their</w:t>
      </w:r>
      <w:r w:rsidR="00F25DB6">
        <w:t xml:space="preserve"> interpretations of the:</w:t>
      </w:r>
    </w:p>
    <w:p w:rsidR="00F25DB6" w:rsidRDefault="00F25DB6" w:rsidP="00F25DB6">
      <w:pPr>
        <w:pStyle w:val="AERbulletlistsecondstyle"/>
      </w:pPr>
      <w:r>
        <w:t>role of the value of imputation credits in the regulatory framework</w:t>
      </w:r>
    </w:p>
    <w:p w:rsidR="00F25DB6" w:rsidRDefault="00F25DB6" w:rsidP="00F25DB6">
      <w:pPr>
        <w:pStyle w:val="AERbulletlistsecondstyle"/>
      </w:pPr>
      <w:r>
        <w:t>underlying theory and academic literature</w:t>
      </w:r>
      <w:r w:rsidR="00704686">
        <w:t>, and</w:t>
      </w:r>
    </w:p>
    <w:p w:rsidR="00872E15" w:rsidRDefault="00F25DB6" w:rsidP="00F25DB6">
      <w:pPr>
        <w:pStyle w:val="AERbulletlistsecondstyle"/>
      </w:pPr>
      <w:r>
        <w:t>relevance of different estimation techniques</w:t>
      </w:r>
      <w:r w:rsidR="005C3F04">
        <w:t>, particularly for the utilisation rate</w:t>
      </w:r>
      <w:r>
        <w:t>.</w:t>
      </w:r>
      <w:r w:rsidR="00872E15">
        <w:t xml:space="preserve"> </w:t>
      </w:r>
    </w:p>
    <w:p w:rsidR="00B47945" w:rsidRDefault="00B47945" w:rsidP="00352762">
      <w:pPr>
        <w:pStyle w:val="Heading2"/>
      </w:pPr>
      <w:bookmarkStart w:id="36" w:name="_Toc396839200"/>
      <w:bookmarkStart w:id="37" w:name="_Ref401136494"/>
      <w:bookmarkStart w:id="38" w:name="_Toc404365662"/>
      <w:bookmarkEnd w:id="35"/>
      <w:r>
        <w:t>Reasons for draft decisio</w:t>
      </w:r>
      <w:bookmarkEnd w:id="36"/>
      <w:r w:rsidR="002E69E4">
        <w:t>n</w:t>
      </w:r>
      <w:bookmarkEnd w:id="37"/>
      <w:bookmarkEnd w:id="38"/>
    </w:p>
    <w:p w:rsidR="009C7069" w:rsidRDefault="00996115" w:rsidP="009C7069">
      <w:pPr>
        <w:pStyle w:val="AERbodytext"/>
      </w:pPr>
      <w:r>
        <w:t>In determining the value of imputation credits, we have considered the wide range of evidence before us with regard to its merit</w:t>
      </w:r>
      <w:r w:rsidR="00142828">
        <w:t>s</w:t>
      </w:r>
      <w:r>
        <w:t xml:space="preserve">. </w:t>
      </w:r>
      <w:r w:rsidR="00C23054">
        <w:t>We consider that a value of imputation credits of 0.4</w:t>
      </w:r>
      <w:r w:rsidR="00B66A82">
        <w:t>, selected from within a range of 0.3 to 0.5,</w:t>
      </w:r>
      <w:r w:rsidR="00C23054">
        <w:t xml:space="preserve"> is reasonable because:</w:t>
      </w:r>
    </w:p>
    <w:p w:rsidR="00C61368" w:rsidRDefault="00C61368" w:rsidP="00C23054">
      <w:pPr>
        <w:pStyle w:val="AERbulletlistfirststyle"/>
      </w:pPr>
      <w:r>
        <w:t>It is within the range of values indicated by the evidence, and the relevance of the evidence is supported by the expert opinion of Handley, Lally and McKenzie and Partington</w:t>
      </w:r>
      <w:r w:rsidR="00D63B18">
        <w:t>.</w:t>
      </w:r>
    </w:p>
    <w:p w:rsidR="00C61368" w:rsidRDefault="00C61368" w:rsidP="00917F07">
      <w:pPr>
        <w:pStyle w:val="AERbulletlistfirststyle"/>
      </w:pPr>
      <w:r>
        <w:t>It primarily reflects an estimate of the utilisation rate fro</w:t>
      </w:r>
      <w:r w:rsidR="00F411AD">
        <w:t>m the equity ownership approach. Handley consider</w:t>
      </w:r>
      <w:r w:rsidR="00BB0D6C">
        <w:t>ed</w:t>
      </w:r>
      <w:r w:rsidR="00F411AD">
        <w:t xml:space="preserve"> this</w:t>
      </w:r>
      <w:r w:rsidR="00D63B18">
        <w:t xml:space="preserve"> the most important</w:t>
      </w:r>
      <w:r w:rsidR="00F411AD">
        <w:t xml:space="preserve"> approach to estimating the utilisation rate, relative to the alternatives of tax statistics and implied market value studies.</w:t>
      </w:r>
      <w:r w:rsidR="00F411AD">
        <w:rPr>
          <w:rStyle w:val="FootnoteReference"/>
        </w:rPr>
        <w:footnoteReference w:id="33"/>
      </w:r>
      <w:r>
        <w:t xml:space="preserve"> </w:t>
      </w:r>
      <w:r w:rsidR="00D63B18">
        <w:t xml:space="preserve">The equity ownership approach </w:t>
      </w:r>
      <w:r w:rsidR="00FC2F5E">
        <w:t>wa</w:t>
      </w:r>
      <w:r w:rsidR="00D63B18">
        <w:t xml:space="preserve">s </w:t>
      </w:r>
      <w:r>
        <w:t>Lally</w:t>
      </w:r>
      <w:r w:rsidR="00D63B18">
        <w:t>'s second preference after his recommendation for a utilisation rate of 1.</w:t>
      </w:r>
      <w:r w:rsidR="00D63B18">
        <w:rPr>
          <w:rStyle w:val="FootnoteReference"/>
        </w:rPr>
        <w:footnoteReference w:id="34"/>
      </w:r>
    </w:p>
    <w:p w:rsidR="00C61368" w:rsidRDefault="00C61368" w:rsidP="00C23054">
      <w:pPr>
        <w:pStyle w:val="AERbulletlistfirststyle"/>
      </w:pPr>
      <w:r>
        <w:t xml:space="preserve">It is within the 'preferred' range for the value of imputation credits </w:t>
      </w:r>
      <w:r w:rsidR="00C9351E">
        <w:t xml:space="preserve">(0.4 to 0.5) </w:t>
      </w:r>
      <w:r>
        <w:t>in Handley's recent advice.</w:t>
      </w:r>
      <w:r w:rsidR="00015D08">
        <w:rPr>
          <w:rStyle w:val="FootnoteReference"/>
        </w:rPr>
        <w:footnoteReference w:id="35"/>
      </w:r>
    </w:p>
    <w:p w:rsidR="00C61368" w:rsidRDefault="002F19A6" w:rsidP="00C23054">
      <w:pPr>
        <w:pStyle w:val="AERbulletlistfirststyle"/>
      </w:pPr>
      <w:r>
        <w:t>Based on the evidence before us at this time, a</w:t>
      </w:r>
      <w:r w:rsidR="00C61368">
        <w:t xml:space="preserve">dopting a value of imputation credits that is rounded to one decimal place appropriately reflects the uncertainty and imprecision associated with this parameter. This uncertainty is evident in the range of views and values that have been </w:t>
      </w:r>
      <w:r w:rsidR="00C61368">
        <w:lastRenderedPageBreak/>
        <w:t xml:space="preserve">espoused by experts, and </w:t>
      </w:r>
      <w:r w:rsidR="00BB0D6C">
        <w:t>wa</w:t>
      </w:r>
      <w:r w:rsidR="00C61368">
        <w:t>s recognised by Handley and McKenzie and Partington.</w:t>
      </w:r>
      <w:r w:rsidR="00C61368">
        <w:rPr>
          <w:rStyle w:val="FootnoteReference"/>
        </w:rPr>
        <w:footnoteReference w:id="36"/>
      </w:r>
      <w:r w:rsidR="00996115">
        <w:t xml:space="preserve"> The imprecision of determining the value of imputation credits </w:t>
      </w:r>
      <w:r w:rsidR="00BB0D6C">
        <w:t>wa</w:t>
      </w:r>
      <w:r w:rsidR="00996115">
        <w:t>s emphasised by Handley.</w:t>
      </w:r>
      <w:r w:rsidR="00996115">
        <w:rPr>
          <w:rStyle w:val="FootnoteReference"/>
        </w:rPr>
        <w:footnoteReference w:id="37"/>
      </w:r>
    </w:p>
    <w:p w:rsidR="00152C9A" w:rsidRDefault="002E69E4" w:rsidP="002E69E4">
      <w:pPr>
        <w:pStyle w:val="AERbodytext"/>
      </w:pPr>
      <w:r>
        <w:t xml:space="preserve">In considering the evidence on the distribution </w:t>
      </w:r>
      <w:r w:rsidR="006241C0">
        <w:t xml:space="preserve">and </w:t>
      </w:r>
      <w:r>
        <w:t>utilisat</w:t>
      </w:r>
      <w:r w:rsidR="003D28CD">
        <w:t>ion rate</w:t>
      </w:r>
      <w:r w:rsidR="006241C0">
        <w:t>s</w:t>
      </w:r>
      <w:r w:rsidR="003D28CD">
        <w:t xml:space="preserve">, we </w:t>
      </w:r>
      <w:r w:rsidR="006241C0">
        <w:t xml:space="preserve">have broadly maintained the approach set out in the </w:t>
      </w:r>
      <w:r w:rsidR="0033289B">
        <w:t>Guideline</w:t>
      </w:r>
      <w:r w:rsidR="00015D08">
        <w:t>,</w:t>
      </w:r>
      <w:r w:rsidR="00152C9A">
        <w:t xml:space="preserve"> but have re-examined the relevant evidence and estimates</w:t>
      </w:r>
      <w:r w:rsidR="006241C0">
        <w:t>.</w:t>
      </w:r>
      <w:r w:rsidR="00855860">
        <w:t xml:space="preserve"> This re-examination, and new evidence and advice considered since</w:t>
      </w:r>
      <w:r w:rsidR="001E4EF7">
        <w:t xml:space="preserve"> the</w:t>
      </w:r>
      <w:r w:rsidR="003902FC">
        <w:t xml:space="preserve"> </w:t>
      </w:r>
      <w:r w:rsidR="0033289B">
        <w:t>Guideline</w:t>
      </w:r>
      <w:r w:rsidR="003902FC">
        <w:t>, le</w:t>
      </w:r>
      <w:r w:rsidR="00855860">
        <w:t xml:space="preserve">d us to depart from the </w:t>
      </w:r>
      <w:r w:rsidR="0033289B">
        <w:t>Guideline</w:t>
      </w:r>
      <w:r w:rsidR="00855860">
        <w:t xml:space="preserve"> value of imputation credits of 0.5. </w:t>
      </w:r>
      <w:r w:rsidR="00D71B43">
        <w:t>D</w:t>
      </w:r>
      <w:r w:rsidR="00152C9A">
        <w:t xml:space="preserve">epartures from </w:t>
      </w:r>
      <w:r w:rsidR="00D71B43">
        <w:t xml:space="preserve">specific aspects of the </w:t>
      </w:r>
      <w:r w:rsidR="0033289B">
        <w:t>Guideline</w:t>
      </w:r>
      <w:r w:rsidR="00152C9A">
        <w:t xml:space="preserve"> are noted in the discussion of the distribution rate and utilisation rate below.</w:t>
      </w:r>
      <w:r w:rsidR="006241C0">
        <w:t xml:space="preserve"> </w:t>
      </w:r>
    </w:p>
    <w:p w:rsidR="007824EF" w:rsidRDefault="00152C9A" w:rsidP="002E69E4">
      <w:pPr>
        <w:pStyle w:val="AERbodytext"/>
      </w:pPr>
      <w:r>
        <w:t xml:space="preserve">Further to the </w:t>
      </w:r>
      <w:r w:rsidR="0033289B">
        <w:t>Guideline</w:t>
      </w:r>
      <w:r>
        <w:t xml:space="preserve"> approach</w:t>
      </w:r>
      <w:r w:rsidR="006241C0">
        <w:t xml:space="preserve">, </w:t>
      </w:r>
      <w:r w:rsidR="00745601">
        <w:t xml:space="preserve">in this draft decision we </w:t>
      </w:r>
      <w:r w:rsidR="003D28CD">
        <w:t>consider that</w:t>
      </w:r>
      <w:r w:rsidR="002E69E4">
        <w:t>:</w:t>
      </w:r>
    </w:p>
    <w:p w:rsidR="002E69E4" w:rsidRDefault="00071F21" w:rsidP="001E4EF7">
      <w:pPr>
        <w:pStyle w:val="AERbulletlistfirststyle"/>
      </w:pPr>
      <w:r>
        <w:t>We may</w:t>
      </w:r>
      <w:r w:rsidR="002E69E4">
        <w:t xml:space="preserve"> have regard to evidence from all </w:t>
      </w:r>
      <w:r w:rsidR="003D28CD">
        <w:t>equity</w:t>
      </w:r>
      <w:r w:rsidR="002E69E4">
        <w:t xml:space="preserve"> and/or listed </w:t>
      </w:r>
      <w:r w:rsidR="003D28CD">
        <w:t>equity</w:t>
      </w:r>
      <w:r w:rsidR="002E69E4">
        <w:t xml:space="preserve"> </w:t>
      </w:r>
      <w:r w:rsidR="001E4EF7">
        <w:t>only</w:t>
      </w:r>
      <w:r w:rsidR="003B352D">
        <w:t>.</w:t>
      </w:r>
      <w:r w:rsidR="001E4EF7">
        <w:t xml:space="preserve"> S</w:t>
      </w:r>
      <w:r w:rsidR="001E4EF7" w:rsidRPr="001E4EF7">
        <w:t xml:space="preserve">ome experts advocate use of evidence on </w:t>
      </w:r>
      <w:r w:rsidR="001234FB">
        <w:t>only</w:t>
      </w:r>
      <w:r w:rsidR="001E4EF7" w:rsidRPr="001E4EF7">
        <w:t xml:space="preserve"> listed companies and their investors because this is considered to be more reflective of the benchmark efficient entity and its investo</w:t>
      </w:r>
      <w:r w:rsidR="00E17E21">
        <w:t xml:space="preserve">rs, </w:t>
      </w:r>
      <w:r w:rsidR="001E4EF7" w:rsidRPr="001E4EF7">
        <w:t xml:space="preserve">or </w:t>
      </w:r>
      <w:r w:rsidR="001E4EF7">
        <w:t xml:space="preserve">because </w:t>
      </w:r>
      <w:r w:rsidR="001E4EF7" w:rsidRPr="001E4EF7">
        <w:t xml:space="preserve">this is consistent with the use of evidence from </w:t>
      </w:r>
      <w:r w:rsidR="001234FB">
        <w:t>only</w:t>
      </w:r>
      <w:r w:rsidR="001E4EF7" w:rsidRPr="001E4EF7">
        <w:t xml:space="preserve"> listed companies when estimating the market risk premium.</w:t>
      </w:r>
      <w:r w:rsidR="001E4EF7">
        <w:t xml:space="preserve"> However, there is no consensus on this point. We discuss the issue further in</w:t>
      </w:r>
      <w:r w:rsidR="009F7D8B">
        <w:t xml:space="preserve"> section</w:t>
      </w:r>
      <w:r w:rsidR="001E5CFB">
        <w:t xml:space="preserve"> </w:t>
      </w:r>
      <w:r w:rsidR="001E5CFB">
        <w:fldChar w:fldCharType="begin"/>
      </w:r>
      <w:r w:rsidR="001E5CFB">
        <w:instrText xml:space="preserve"> REF _Ref401048631 \r \h </w:instrText>
      </w:r>
      <w:r w:rsidR="001E5CFB">
        <w:fldChar w:fldCharType="separate"/>
      </w:r>
      <w:r w:rsidR="00927273">
        <w:t>A.8.1</w:t>
      </w:r>
      <w:r w:rsidR="001E5CFB">
        <w:fldChar w:fldCharType="end"/>
      </w:r>
      <w:r w:rsidR="009F7D8B">
        <w:t xml:space="preserve"> of </w:t>
      </w:r>
      <w:r w:rsidR="00CB0A52">
        <w:t>appendix</w:t>
      </w:r>
      <w:r w:rsidR="00B04695">
        <w:t xml:space="preserve"> A</w:t>
      </w:r>
      <w:r w:rsidR="001E4EF7">
        <w:t>.</w:t>
      </w:r>
      <w:r w:rsidR="00A50EC2">
        <w:t xml:space="preserve"> We did not consider this issue in the Guideline.</w:t>
      </w:r>
    </w:p>
    <w:p w:rsidR="002E69E4" w:rsidRDefault="003D28CD" w:rsidP="002E69E4">
      <w:pPr>
        <w:pStyle w:val="AERbulletlistfirststyle"/>
      </w:pPr>
      <w:r>
        <w:t>It would be i</w:t>
      </w:r>
      <w:r w:rsidR="002E69E4">
        <w:t>nappropriate to pair an estimate of the utilis</w:t>
      </w:r>
      <w:r>
        <w:t>ation rate from listed equity</w:t>
      </w:r>
      <w:r w:rsidR="001234FB">
        <w:t xml:space="preserve"> only</w:t>
      </w:r>
      <w:r>
        <w:t xml:space="preserve"> with an estimate of the distribution rate from all equity (and vice versa). </w:t>
      </w:r>
      <w:r w:rsidR="001234FB">
        <w:t xml:space="preserve">There is a relationship between definitions and estimates of the distribution rate and utilisation rate that should be recognised when estimating the value of imputation credits. </w:t>
      </w:r>
      <w:r w:rsidR="00C9351E">
        <w:t xml:space="preserve">In the Guideline, we estimated the distribution and utilisation rates independently, and did not recognise this relationship. </w:t>
      </w:r>
      <w:r w:rsidR="001234FB">
        <w:t xml:space="preserve">We discuss this relationship further in </w:t>
      </w:r>
      <w:r w:rsidR="00B53234">
        <w:t>section</w:t>
      </w:r>
      <w:r w:rsidR="001E5CFB">
        <w:t xml:space="preserve"> </w:t>
      </w:r>
      <w:r w:rsidR="001E5CFB">
        <w:fldChar w:fldCharType="begin"/>
      </w:r>
      <w:r w:rsidR="001E5CFB">
        <w:instrText xml:space="preserve"> REF _Ref403481194 \r \h </w:instrText>
      </w:r>
      <w:r w:rsidR="001E5CFB">
        <w:fldChar w:fldCharType="separate"/>
      </w:r>
      <w:r w:rsidR="00927273">
        <w:t>A.8.2</w:t>
      </w:r>
      <w:r w:rsidR="001E5CFB">
        <w:fldChar w:fldCharType="end"/>
      </w:r>
      <w:r w:rsidR="00B53234">
        <w:t xml:space="preserve"> of </w:t>
      </w:r>
      <w:r w:rsidR="00CB0A52">
        <w:t>appendix</w:t>
      </w:r>
      <w:r w:rsidR="00B53234">
        <w:t xml:space="preserve"> </w:t>
      </w:r>
      <w:r w:rsidR="00B04695">
        <w:t>A</w:t>
      </w:r>
      <w:r w:rsidR="001234FB">
        <w:t xml:space="preserve">. </w:t>
      </w:r>
    </w:p>
    <w:p w:rsidR="00D3139D" w:rsidRPr="00EB588E" w:rsidRDefault="00EB588E" w:rsidP="00EB588E">
      <w:pPr>
        <w:pStyle w:val="AERbodytext"/>
      </w:pPr>
      <w:r>
        <w:t xml:space="preserve">Recognising these considerations, </w:t>
      </w:r>
      <w:r>
        <w:fldChar w:fldCharType="begin"/>
      </w:r>
      <w:r>
        <w:instrText xml:space="preserve"> REF  _Ref400900366 \* Lower \h </w:instrText>
      </w:r>
      <w:r>
        <w:fldChar w:fldCharType="separate"/>
      </w:r>
      <w:r w:rsidR="00927273">
        <w:t xml:space="preserve">table </w:t>
      </w:r>
      <w:r w:rsidR="00927273">
        <w:rPr>
          <w:noProof/>
        </w:rPr>
        <w:t>4</w:t>
      </w:r>
      <w:r w:rsidR="004E1702">
        <w:t>.</w:t>
      </w:r>
      <w:r w:rsidR="00927273">
        <w:rPr>
          <w:noProof/>
        </w:rPr>
        <w:t>1</w:t>
      </w:r>
      <w:r>
        <w:fldChar w:fldCharType="end"/>
      </w:r>
      <w:r>
        <w:t xml:space="preserve"> and </w:t>
      </w:r>
      <w:r>
        <w:fldChar w:fldCharType="begin"/>
      </w:r>
      <w:r>
        <w:instrText xml:space="preserve"> REF  _Ref404072148 \* Lower \h </w:instrText>
      </w:r>
      <w:r>
        <w:fldChar w:fldCharType="separate"/>
      </w:r>
      <w:r w:rsidR="00927273">
        <w:t xml:space="preserve">table </w:t>
      </w:r>
      <w:r w:rsidR="00927273">
        <w:rPr>
          <w:noProof/>
        </w:rPr>
        <w:t>4</w:t>
      </w:r>
      <w:r w:rsidR="004E1702">
        <w:t>.</w:t>
      </w:r>
      <w:r w:rsidR="00927273">
        <w:rPr>
          <w:noProof/>
        </w:rPr>
        <w:t>2</w:t>
      </w:r>
      <w:r>
        <w:fldChar w:fldCharType="end"/>
      </w:r>
      <w:r>
        <w:t xml:space="preserve"> </w:t>
      </w:r>
      <w:r w:rsidR="003A17C6" w:rsidRPr="00EB588E">
        <w:t>show estimates of the value of imputation credits that arise from internally consistent evidence from all equity and listed equity</w:t>
      </w:r>
      <w:r w:rsidR="00B53234" w:rsidRPr="00EB588E">
        <w:t xml:space="preserve"> only</w:t>
      </w:r>
      <w:r w:rsidR="003A17C6" w:rsidRPr="00EB588E">
        <w:t>, respectively.</w:t>
      </w:r>
      <w:r w:rsidR="00D07EA0" w:rsidRPr="00EB588E">
        <w:t xml:space="preserve"> </w:t>
      </w:r>
      <w:r w:rsidR="007A6B26" w:rsidRPr="00EB588E">
        <w:t>T</w:t>
      </w:r>
      <w:r w:rsidR="00D07EA0" w:rsidRPr="00EB588E">
        <w:t xml:space="preserve">hese individual sources of evidence allow us to </w:t>
      </w:r>
      <w:r w:rsidR="00C32996" w:rsidRPr="00EB588E">
        <w:t>present</w:t>
      </w:r>
      <w:r w:rsidR="00D07EA0" w:rsidRPr="00EB588E">
        <w:t xml:space="preserve"> estimates to two decimal place</w:t>
      </w:r>
      <w:r w:rsidR="007A6B26" w:rsidRPr="00EB588E">
        <w:t xml:space="preserve">s. However, </w:t>
      </w:r>
      <w:r w:rsidR="00A714B8" w:rsidRPr="00EB588E">
        <w:t xml:space="preserve">as discussed above, we consider it reasonable to determine a value of imputation credits to </w:t>
      </w:r>
      <w:r w:rsidR="003C513B" w:rsidRPr="00EB588E">
        <w:t xml:space="preserve">only </w:t>
      </w:r>
      <w:r w:rsidR="00A714B8" w:rsidRPr="00EB588E">
        <w:t xml:space="preserve">one decimal place </w:t>
      </w:r>
      <w:r w:rsidR="007A6B26" w:rsidRPr="00EB588E">
        <w:t xml:space="preserve">when determining a </w:t>
      </w:r>
      <w:r w:rsidR="002D4DC3" w:rsidRPr="00EB588E">
        <w:t xml:space="preserve">single </w:t>
      </w:r>
      <w:r w:rsidR="007A6B26" w:rsidRPr="00EB588E">
        <w:t>value from across this evidence</w:t>
      </w:r>
      <w:r w:rsidR="00A714B8" w:rsidRPr="00EB588E">
        <w:t>.</w:t>
      </w:r>
    </w:p>
    <w:p w:rsidR="001702C9" w:rsidRDefault="00506B17" w:rsidP="00506B17">
      <w:pPr>
        <w:pStyle w:val="Caption"/>
      </w:pPr>
      <w:bookmarkStart w:id="39" w:name="_Ref400900366"/>
      <w:bookmarkStart w:id="40" w:name="_Ref400900335"/>
      <w:r>
        <w:t xml:space="preserve">Table </w:t>
      </w:r>
      <w:fldSimple w:instr=" STYLEREF 1 \s ">
        <w:r w:rsidR="00927273">
          <w:rPr>
            <w:noProof/>
          </w:rPr>
          <w:t>4</w:t>
        </w:r>
      </w:fldSimple>
      <w:r w:rsidR="00C20561">
        <w:noBreakHyphen/>
      </w:r>
      <w:fldSimple w:instr=" SEQ Table \* ARABIC \s 1 ">
        <w:r w:rsidR="00927273">
          <w:rPr>
            <w:noProof/>
          </w:rPr>
          <w:t>1</w:t>
        </w:r>
      </w:fldSimple>
      <w:bookmarkEnd w:id="39"/>
      <w:r>
        <w:tab/>
        <w:t>Estimates of the value of imputation credits—evidence from all equity</w:t>
      </w:r>
      <w:bookmarkEnd w:id="40"/>
    </w:p>
    <w:tbl>
      <w:tblPr>
        <w:tblStyle w:val="AERtable-numbers"/>
        <w:tblW w:w="0" w:type="auto"/>
        <w:tblLook w:val="04A0" w:firstRow="1" w:lastRow="0" w:firstColumn="1" w:lastColumn="0" w:noHBand="0" w:noVBand="1"/>
      </w:tblPr>
      <w:tblGrid>
        <w:gridCol w:w="3085"/>
        <w:gridCol w:w="2052"/>
        <w:gridCol w:w="2052"/>
        <w:gridCol w:w="2053"/>
      </w:tblGrid>
      <w:tr w:rsidR="008F4773" w:rsidTr="00902F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8F4773" w:rsidRDefault="00474611" w:rsidP="009312B9">
            <w:pPr>
              <w:pStyle w:val="AERbodytext"/>
              <w:keepNext/>
              <w:keepLines/>
            </w:pPr>
            <w:r>
              <w:t>E</w:t>
            </w:r>
            <w:r w:rsidR="008F4773">
              <w:t>vidence</w:t>
            </w:r>
            <w:r>
              <w:t xml:space="preserve"> on utilisation rate</w:t>
            </w:r>
          </w:p>
        </w:tc>
        <w:tc>
          <w:tcPr>
            <w:tcW w:w="2052"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Utilisation rate</w:t>
            </w:r>
          </w:p>
        </w:tc>
        <w:tc>
          <w:tcPr>
            <w:tcW w:w="2052"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Distribution rate</w:t>
            </w:r>
          </w:p>
        </w:tc>
        <w:tc>
          <w:tcPr>
            <w:tcW w:w="2053"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Value of Imputation Credits</w:t>
            </w:r>
          </w:p>
        </w:tc>
      </w:tr>
      <w:tr w:rsidR="008F4773" w:rsidTr="00902FB3">
        <w:tc>
          <w:tcPr>
            <w:cnfStyle w:val="001000000000" w:firstRow="0" w:lastRow="0" w:firstColumn="1" w:lastColumn="0" w:oddVBand="0" w:evenVBand="0" w:oddHBand="0" w:evenHBand="0" w:firstRowFirstColumn="0" w:firstRowLastColumn="0" w:lastRowFirstColumn="0" w:lastRowLastColumn="0"/>
            <w:tcW w:w="3085" w:type="dxa"/>
          </w:tcPr>
          <w:p w:rsidR="008F4773" w:rsidRDefault="008F4773" w:rsidP="009312B9">
            <w:pPr>
              <w:pStyle w:val="AERbodytext"/>
              <w:keepNext/>
              <w:keepLines/>
            </w:pPr>
            <w:r>
              <w:t>Equity ownership approach</w:t>
            </w:r>
          </w:p>
        </w:tc>
        <w:tc>
          <w:tcPr>
            <w:tcW w:w="2052" w:type="dxa"/>
          </w:tcPr>
          <w:p w:rsidR="008F4773" w:rsidRDefault="00052838" w:rsidP="009312B9">
            <w:pPr>
              <w:pStyle w:val="AERbodytext"/>
              <w:keepNext/>
              <w:keepLines/>
              <w:numPr>
                <w:ilvl w:val="0"/>
                <w:numId w:val="0"/>
              </w:numPr>
              <w:cnfStyle w:val="000000000000" w:firstRow="0" w:lastRow="0" w:firstColumn="0" w:lastColumn="0" w:oddVBand="0" w:evenVBand="0" w:oddHBand="0" w:evenHBand="0" w:firstRowFirstColumn="0" w:firstRowLastColumn="0" w:lastRowFirstColumn="0" w:lastRowLastColumn="0"/>
            </w:pPr>
            <w:r>
              <w:t>0.55 to 0.7</w:t>
            </w:r>
          </w:p>
        </w:tc>
        <w:tc>
          <w:tcPr>
            <w:tcW w:w="2052" w:type="dxa"/>
          </w:tcPr>
          <w:p w:rsidR="008F4773" w:rsidRDefault="00165322"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0.7</w:t>
            </w:r>
          </w:p>
        </w:tc>
        <w:tc>
          <w:tcPr>
            <w:tcW w:w="2053" w:type="dxa"/>
          </w:tcPr>
          <w:p w:rsidR="008F4773"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0.39 to 0.49</w:t>
            </w:r>
          </w:p>
        </w:tc>
      </w:tr>
      <w:tr w:rsidR="008F4773" w:rsidTr="00902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8F4773" w:rsidRDefault="008F4773" w:rsidP="009312B9">
            <w:pPr>
              <w:pStyle w:val="AERbodytext"/>
              <w:keepNext/>
              <w:keepLines/>
            </w:pPr>
            <w:r>
              <w:t>Tax statistics</w:t>
            </w:r>
          </w:p>
        </w:tc>
        <w:tc>
          <w:tcPr>
            <w:tcW w:w="2052" w:type="dxa"/>
          </w:tcPr>
          <w:p w:rsidR="008F4773" w:rsidRDefault="00DA137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0.43</w:t>
            </w:r>
          </w:p>
        </w:tc>
        <w:tc>
          <w:tcPr>
            <w:tcW w:w="2052" w:type="dxa"/>
          </w:tcPr>
          <w:p w:rsidR="008F4773" w:rsidRDefault="00165322"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0.7</w:t>
            </w:r>
          </w:p>
        </w:tc>
        <w:tc>
          <w:tcPr>
            <w:tcW w:w="2053" w:type="dxa"/>
          </w:tcPr>
          <w:p w:rsidR="008F4773" w:rsidRDefault="00165322"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0.3</w:t>
            </w:r>
          </w:p>
        </w:tc>
      </w:tr>
    </w:tbl>
    <w:p w:rsidR="001B2B55" w:rsidRPr="001B2B55" w:rsidRDefault="00506B17" w:rsidP="009312B9">
      <w:pPr>
        <w:pStyle w:val="AERtablesource"/>
      </w:pPr>
      <w:r>
        <w:t>Source:</w:t>
      </w:r>
      <w:r>
        <w:tab/>
        <w:t>AER analysis.</w:t>
      </w:r>
      <w:bookmarkStart w:id="41" w:name="_Ref400900373"/>
    </w:p>
    <w:p w:rsidR="00506B17" w:rsidRDefault="00506B17" w:rsidP="00506B17">
      <w:pPr>
        <w:pStyle w:val="Caption"/>
      </w:pPr>
      <w:bookmarkStart w:id="42" w:name="_Ref404072148"/>
      <w:r>
        <w:lastRenderedPageBreak/>
        <w:t xml:space="preserve">Table </w:t>
      </w:r>
      <w:fldSimple w:instr=" STYLEREF 1 \s ">
        <w:r w:rsidR="00927273">
          <w:rPr>
            <w:noProof/>
          </w:rPr>
          <w:t>4</w:t>
        </w:r>
      </w:fldSimple>
      <w:r w:rsidR="00C20561">
        <w:noBreakHyphen/>
      </w:r>
      <w:fldSimple w:instr=" SEQ Table \* ARABIC \s 1 ">
        <w:r w:rsidR="00927273">
          <w:rPr>
            <w:noProof/>
          </w:rPr>
          <w:t>2</w:t>
        </w:r>
      </w:fldSimple>
      <w:bookmarkEnd w:id="41"/>
      <w:bookmarkEnd w:id="42"/>
      <w:r>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052838" w:rsidTr="00902F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52838" w:rsidRDefault="00474611" w:rsidP="009312B9">
            <w:pPr>
              <w:pStyle w:val="AERbodytext"/>
              <w:keepNext/>
              <w:keepLines/>
            </w:pPr>
            <w:r>
              <w:t>E</w:t>
            </w:r>
            <w:r w:rsidR="00052838">
              <w:t>vidence</w:t>
            </w:r>
            <w:r>
              <w:t xml:space="preserve"> on utilisation rate</w:t>
            </w:r>
          </w:p>
        </w:tc>
        <w:tc>
          <w:tcPr>
            <w:tcW w:w="2146"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47"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147"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052838" w:rsidTr="00902FB3">
        <w:tc>
          <w:tcPr>
            <w:cnfStyle w:val="001000000000" w:firstRow="0" w:lastRow="0" w:firstColumn="1" w:lastColumn="0" w:oddVBand="0" w:evenVBand="0" w:oddHBand="0" w:evenHBand="0" w:firstRowFirstColumn="0" w:firstRowLastColumn="0" w:lastRowFirstColumn="0" w:lastRowLastColumn="0"/>
            <w:tcW w:w="2802" w:type="dxa"/>
          </w:tcPr>
          <w:p w:rsidR="00052838" w:rsidRDefault="00052838" w:rsidP="009312B9">
            <w:pPr>
              <w:pStyle w:val="AERbodytext"/>
              <w:keepNext/>
              <w:keepLines/>
            </w:pPr>
            <w:r>
              <w:t>Equity ownership approach</w:t>
            </w:r>
          </w:p>
        </w:tc>
        <w:tc>
          <w:tcPr>
            <w:tcW w:w="2146" w:type="dxa"/>
          </w:tcPr>
          <w:p w:rsidR="00052838"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0.4 to 0.6</w:t>
            </w:r>
          </w:p>
        </w:tc>
        <w:tc>
          <w:tcPr>
            <w:tcW w:w="2147" w:type="dxa"/>
          </w:tcPr>
          <w:p w:rsidR="00052838" w:rsidRDefault="00052838" w:rsidP="009312B9">
            <w:pPr>
              <w:pStyle w:val="AERbodytext"/>
              <w:keepNext/>
              <w:keepLines/>
              <w:numPr>
                <w:ilvl w:val="0"/>
                <w:numId w:val="0"/>
              </w:numPr>
              <w:cnfStyle w:val="000000000000" w:firstRow="0" w:lastRow="0" w:firstColumn="0" w:lastColumn="0" w:oddVBand="0" w:evenVBand="0" w:oddHBand="0" w:evenHBand="0" w:firstRowFirstColumn="0" w:firstRowLastColumn="0" w:lastRowFirstColumn="0" w:lastRowLastColumn="0"/>
            </w:pPr>
            <w:r>
              <w:t>0.8</w:t>
            </w:r>
          </w:p>
        </w:tc>
        <w:tc>
          <w:tcPr>
            <w:tcW w:w="2147" w:type="dxa"/>
          </w:tcPr>
          <w:p w:rsidR="00052838"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0.32 to 0.48</w:t>
            </w:r>
          </w:p>
        </w:tc>
      </w:tr>
      <w:tr w:rsidR="00052838" w:rsidTr="00902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52838" w:rsidRDefault="00052838" w:rsidP="009312B9">
            <w:pPr>
              <w:pStyle w:val="AERbodytext"/>
              <w:keepNext/>
              <w:keepLines/>
            </w:pPr>
            <w:r>
              <w:t>Implied market value studies</w:t>
            </w:r>
          </w:p>
          <w:p w:rsidR="00052838" w:rsidRPr="00956099" w:rsidRDefault="00052838" w:rsidP="009312B9">
            <w:pPr>
              <w:pStyle w:val="AERbodytext"/>
              <w:keepNext/>
              <w:keepLines/>
              <w:rPr>
                <w:i/>
              </w:rPr>
            </w:pPr>
            <w:r w:rsidRPr="00052838">
              <w:rPr>
                <w:rStyle w:val="AERtextitalic"/>
              </w:rPr>
              <w:t>SFG dividend drop off study</w:t>
            </w:r>
            <w:r w:rsidR="0064590E">
              <w:rPr>
                <w:rStyle w:val="FootnoteReference"/>
              </w:rPr>
              <w:t>(a)</w:t>
            </w:r>
          </w:p>
        </w:tc>
        <w:tc>
          <w:tcPr>
            <w:tcW w:w="2146"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 to 1</w:t>
            </w:r>
          </w:p>
          <w:p w:rsidR="00052838" w:rsidRPr="00956099" w:rsidRDefault="00506B1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rPr>
                <w:vertAlign w:val="superscript"/>
              </w:rPr>
            </w:pPr>
            <w:r>
              <w:rPr>
                <w:rStyle w:val="AERtextitalic"/>
              </w:rPr>
              <w:t>0.35 (0.4)</w:t>
            </w:r>
            <w:r w:rsidR="0064590E">
              <w:rPr>
                <w:rStyle w:val="FootnoteReference"/>
              </w:rPr>
              <w:t>(b</w:t>
            </w:r>
            <w:r>
              <w:rPr>
                <w:rStyle w:val="FootnoteReference"/>
              </w:rPr>
              <w:t>)</w:t>
            </w:r>
          </w:p>
        </w:tc>
        <w:tc>
          <w:tcPr>
            <w:tcW w:w="2147"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0.8</w:t>
            </w:r>
          </w:p>
        </w:tc>
        <w:tc>
          <w:tcPr>
            <w:tcW w:w="2147"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 to 0.8</w:t>
            </w:r>
          </w:p>
          <w:p w:rsidR="00052838" w:rsidRPr="00956099" w:rsidRDefault="00506B1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rPr>
                <w:i/>
              </w:rPr>
            </w:pPr>
            <w:r>
              <w:rPr>
                <w:rStyle w:val="AERtextitalic"/>
              </w:rPr>
              <w:t>0.28 (0.32)</w:t>
            </w:r>
            <w:r w:rsidR="0064590E">
              <w:rPr>
                <w:rStyle w:val="FootnoteReference"/>
              </w:rPr>
              <w:t>(b</w:t>
            </w:r>
            <w:r>
              <w:rPr>
                <w:rStyle w:val="FootnoteReference"/>
              </w:rPr>
              <w:t>)</w:t>
            </w:r>
          </w:p>
        </w:tc>
      </w:tr>
    </w:tbl>
    <w:p w:rsidR="00506B17" w:rsidRDefault="00506B17" w:rsidP="00506B17">
      <w:pPr>
        <w:pStyle w:val="AERtablesource"/>
      </w:pPr>
      <w:r>
        <w:t>Source:</w:t>
      </w:r>
      <w:r>
        <w:tab/>
        <w:t>AER analysis.</w:t>
      </w:r>
    </w:p>
    <w:p w:rsidR="0064590E" w:rsidRDefault="0064590E" w:rsidP="00506B17">
      <w:pPr>
        <w:pStyle w:val="AERtablesource"/>
      </w:pPr>
      <w:r>
        <w:t>(a):</w:t>
      </w:r>
      <w:r>
        <w:tab/>
        <w:t>The service providers</w:t>
      </w:r>
      <w:r w:rsidR="00E94F88">
        <w:t>' proposals</w:t>
      </w:r>
      <w:r>
        <w:t xml:space="preserve"> rely on this study from within the class of implied market value studies.</w:t>
      </w:r>
    </w:p>
    <w:p w:rsidR="00506B17" w:rsidRDefault="0064590E" w:rsidP="00506B17">
      <w:pPr>
        <w:pStyle w:val="AERtablesource"/>
      </w:pPr>
      <w:r>
        <w:t>(b</w:t>
      </w:r>
      <w:r w:rsidR="00506B17">
        <w:t>):</w:t>
      </w:r>
      <w:r w:rsidR="00506B17">
        <w:tab/>
      </w:r>
      <w:r w:rsidR="00597D52">
        <w:t xml:space="preserve">Following the adjustment proposed by </w:t>
      </w:r>
      <w:r w:rsidR="00506B17">
        <w:t>Handley and Lally</w:t>
      </w:r>
      <w:r w:rsidR="00597D52">
        <w:t>. This adjustment is discussed f</w:t>
      </w:r>
      <w:r w:rsidR="00071F21">
        <w:t xml:space="preserve">urther in section </w:t>
      </w:r>
      <w:r w:rsidR="00071F21">
        <w:fldChar w:fldCharType="begin"/>
      </w:r>
      <w:r w:rsidR="00071F21">
        <w:instrText xml:space="preserve"> REF _Ref401165415 \r \h </w:instrText>
      </w:r>
      <w:r w:rsidR="00071F21">
        <w:fldChar w:fldCharType="separate"/>
      </w:r>
      <w:r w:rsidR="00927273">
        <w:t>4.4.2</w:t>
      </w:r>
      <w:r w:rsidR="00071F21">
        <w:fldChar w:fldCharType="end"/>
      </w:r>
      <w:r w:rsidR="00597D52">
        <w:t>.</w:t>
      </w:r>
    </w:p>
    <w:p w:rsidR="002C4A08" w:rsidRDefault="002C4A08" w:rsidP="007B0DA0">
      <w:pPr>
        <w:pStyle w:val="AERbodytext"/>
      </w:pPr>
      <w:r>
        <w:t>Overall, the evidence suggests that a reasonable estimate of the value of imputation credits is within the range 0.3 to 0.5.</w:t>
      </w:r>
      <w:r w:rsidR="00474611">
        <w:rPr>
          <w:rStyle w:val="FootnoteReference"/>
        </w:rPr>
        <w:footnoteReference w:id="38"/>
      </w:r>
      <w:r>
        <w:t xml:space="preserve"> From within this range, we choose a </w:t>
      </w:r>
      <w:r w:rsidR="00D44DFF">
        <w:t>value</w:t>
      </w:r>
      <w:r>
        <w:t xml:space="preserve"> of 0.4. </w:t>
      </w:r>
      <w:r w:rsidR="00AE3636">
        <w:t>This is</w:t>
      </w:r>
      <w:r>
        <w:t xml:space="preserve"> because:</w:t>
      </w:r>
    </w:p>
    <w:p w:rsidR="002C4A08" w:rsidRDefault="00AE3636" w:rsidP="00B340E4">
      <w:pPr>
        <w:pStyle w:val="AERbulletlistfirststyle"/>
      </w:pPr>
      <w:r>
        <w:t>The equity ownership approach, on which we have placed the most reliance, suggests a value between 0.4 and 0.5 when applied to all equity and between 0.3 and 0.5 when applied to listed equity only. Therefore, t</w:t>
      </w:r>
      <w:r w:rsidR="002C4A08">
        <w:t>he balance of evidence from</w:t>
      </w:r>
      <w:r>
        <w:t xml:space="preserve"> the equity ownership approach </w:t>
      </w:r>
      <w:r w:rsidR="002C4A08">
        <w:t>suggests a value between 0.4 and 0.5.</w:t>
      </w:r>
    </w:p>
    <w:p w:rsidR="002C4A08" w:rsidRDefault="002C4A08" w:rsidP="00B340E4">
      <w:pPr>
        <w:pStyle w:val="AERbulletlistfirststyle"/>
      </w:pPr>
      <w:r>
        <w:t>The evidence from tax statistics suggests</w:t>
      </w:r>
      <w:r w:rsidR="00D44DFF">
        <w:t xml:space="preserve"> </w:t>
      </w:r>
      <w:r w:rsidR="00335579">
        <w:t>the</w:t>
      </w:r>
      <w:r w:rsidR="00D44DFF">
        <w:t xml:space="preserve"> value </w:t>
      </w:r>
      <w:r w:rsidR="00335579">
        <w:t xml:space="preserve">could be </w:t>
      </w:r>
      <w:r w:rsidR="00D44DFF">
        <w:t>lower than 0.4</w:t>
      </w:r>
      <w:r w:rsidR="00335579">
        <w:t>. T</w:t>
      </w:r>
      <w:r w:rsidR="00D44DFF">
        <w:t>herefore we choose a value at the lower end of the range suggested by the balance of evidence from the equity ownership approach (that is, 0.4)</w:t>
      </w:r>
      <w:r>
        <w:t>.</w:t>
      </w:r>
    </w:p>
    <w:p w:rsidR="002C4A08" w:rsidRDefault="002C4A08" w:rsidP="00B340E4">
      <w:pPr>
        <w:pStyle w:val="AERbulletlistfirststyle"/>
      </w:pPr>
      <w:r>
        <w:t xml:space="preserve">A value of 0.4 is </w:t>
      </w:r>
      <w:r w:rsidR="007F7185">
        <w:t xml:space="preserve">also </w:t>
      </w:r>
      <w:r>
        <w:t>reasonable in light of the evidence from implied market value studies</w:t>
      </w:r>
      <w:r w:rsidR="00F529B9">
        <w:t xml:space="preserve"> </w:t>
      </w:r>
      <w:r w:rsidR="0088187F">
        <w:t>which produces results both higher and lower than this value</w:t>
      </w:r>
      <w:r w:rsidR="004469A8">
        <w:t>,</w:t>
      </w:r>
      <w:r w:rsidR="0088187F">
        <w:t xml:space="preserve"> </w:t>
      </w:r>
      <w:r w:rsidR="00F529B9">
        <w:t xml:space="preserve">and the lesser degree of reliance we </w:t>
      </w:r>
      <w:r w:rsidR="00AE3636">
        <w:t xml:space="preserve">have </w:t>
      </w:r>
      <w:r w:rsidR="00F529B9">
        <w:t>place</w:t>
      </w:r>
      <w:r w:rsidR="00AE3636">
        <w:t>d</w:t>
      </w:r>
      <w:r w:rsidR="00F529B9">
        <w:t xml:space="preserve"> upon these studies</w:t>
      </w:r>
      <w:r w:rsidR="00B340E4">
        <w:t>.</w:t>
      </w:r>
    </w:p>
    <w:p w:rsidR="00424B7D" w:rsidRDefault="00424B7D">
      <w:pPr>
        <w:pStyle w:val="AERbodytext"/>
      </w:pPr>
      <w:r>
        <w:t xml:space="preserve">The reasons for the relative levels of reliance that we place on different types of evidence are set out in this </w:t>
      </w:r>
      <w:r w:rsidR="00CB0A52">
        <w:t>attachment</w:t>
      </w:r>
      <w:r>
        <w:t xml:space="preserve"> and </w:t>
      </w:r>
      <w:r w:rsidR="00CB0A52">
        <w:t>appendix</w:t>
      </w:r>
      <w:r>
        <w:t xml:space="preserve"> </w:t>
      </w:r>
      <w:r w:rsidR="00B04695">
        <w:t>A</w:t>
      </w:r>
      <w:r>
        <w:t>.</w:t>
      </w:r>
    </w:p>
    <w:p w:rsidR="005A0F44" w:rsidRDefault="00436F15">
      <w:pPr>
        <w:pStyle w:val="AERbodytext"/>
      </w:pPr>
      <w:r>
        <w:t xml:space="preserve">We therefore </w:t>
      </w:r>
      <w:r w:rsidR="003D7807">
        <w:t>do not accept</w:t>
      </w:r>
      <w:r>
        <w:t xml:space="preserve"> the service providers' proposed value of imputation credits of 0.25, calculated as the product of a distribution rate of 0.7 and a utilisation rate of 0.35.</w:t>
      </w:r>
      <w:r w:rsidR="003D7807">
        <w:t xml:space="preserve"> Specifically, w</w:t>
      </w:r>
      <w:r w:rsidR="005A0F44">
        <w:t>e do not accept the service providers' proposed estimate of the utilisation rate of 0.35. This is because:</w:t>
      </w:r>
    </w:p>
    <w:p w:rsidR="005A0F44" w:rsidRDefault="005A0F44" w:rsidP="005A0F44">
      <w:pPr>
        <w:pStyle w:val="AERbulletlistfirststyle"/>
      </w:pPr>
      <w:r>
        <w:t xml:space="preserve">We do not consider it reasonable to rely exclusively on the results of </w:t>
      </w:r>
      <w:r w:rsidR="00745533">
        <w:t>a single study from within the class of implied market value studies (</w:t>
      </w:r>
      <w:r w:rsidR="007D1BC3">
        <w:t xml:space="preserve">that is, </w:t>
      </w:r>
      <w:r>
        <w:t xml:space="preserve">SFG's </w:t>
      </w:r>
      <w:r w:rsidR="005B1EFD">
        <w:t xml:space="preserve">dividend drop off </w:t>
      </w:r>
      <w:r>
        <w:t>study</w:t>
      </w:r>
      <w:r w:rsidR="00745533">
        <w:t>)</w:t>
      </w:r>
      <w:r>
        <w:t xml:space="preserve">. McKenzie and </w:t>
      </w:r>
      <w:proofErr w:type="spellStart"/>
      <w:r>
        <w:t>Partington</w:t>
      </w:r>
      <w:r w:rsidR="003D7807">
        <w:t>'s</w:t>
      </w:r>
      <w:proofErr w:type="spellEnd"/>
      <w:r w:rsidR="003D7807">
        <w:t xml:space="preserve"> report for the Queensland Resources Council</w:t>
      </w:r>
      <w:r>
        <w:t xml:space="preserve"> suggest</w:t>
      </w:r>
      <w:r w:rsidR="003D7807">
        <w:t>ed</w:t>
      </w:r>
      <w:r>
        <w:t xml:space="preserve"> that it is reasonable to have regard to implied market value studies other than SFG's.</w:t>
      </w:r>
      <w:r>
        <w:rPr>
          <w:rStyle w:val="FootnoteReference"/>
        </w:rPr>
        <w:footnoteReference w:id="39"/>
      </w:r>
    </w:p>
    <w:p w:rsidR="005A0F44" w:rsidRDefault="005A0F44" w:rsidP="005A0F44">
      <w:pPr>
        <w:pStyle w:val="AERbulletlistfirststyle"/>
      </w:pPr>
      <w:r>
        <w:t>We do not consider it reasonable to rely exclusively on the implied market value studies class of evidence. Handley and Lally advise</w:t>
      </w:r>
      <w:r w:rsidR="003D7807">
        <w:t>d</w:t>
      </w:r>
      <w:r>
        <w:t xml:space="preserve"> that other classes of evidence are more relevant.</w:t>
      </w:r>
      <w:r>
        <w:rPr>
          <w:rStyle w:val="FootnoteReference"/>
        </w:rPr>
        <w:footnoteReference w:id="40"/>
      </w:r>
      <w:r>
        <w:t xml:space="preserve"> </w:t>
      </w:r>
      <w:r w:rsidR="005B1EFD">
        <w:lastRenderedPageBreak/>
        <w:t xml:space="preserve">McKenzie and </w:t>
      </w:r>
      <w:proofErr w:type="spellStart"/>
      <w:r w:rsidR="005B1EFD">
        <w:t>Partington's</w:t>
      </w:r>
      <w:proofErr w:type="spellEnd"/>
      <w:r w:rsidR="005B1EFD">
        <w:t xml:space="preserve"> report for the Queensland Resources Council suggested that it is reasonable to</w:t>
      </w:r>
      <w:r>
        <w:t xml:space="preserve"> </w:t>
      </w:r>
      <w:r w:rsidR="005B1EFD">
        <w:t>have regard to</w:t>
      </w:r>
      <w:r>
        <w:t xml:space="preserve"> other c</w:t>
      </w:r>
      <w:r w:rsidR="005B1EFD">
        <w:t>lasses of evidence</w:t>
      </w:r>
      <w:r>
        <w:t>.</w:t>
      </w:r>
      <w:r>
        <w:rPr>
          <w:rStyle w:val="FootnoteReference"/>
        </w:rPr>
        <w:footnoteReference w:id="41"/>
      </w:r>
    </w:p>
    <w:p w:rsidR="005A0F44" w:rsidRDefault="005A0F44" w:rsidP="005A0F44">
      <w:pPr>
        <w:pStyle w:val="AERbodytext"/>
      </w:pPr>
      <w:r>
        <w:t>Even if the two points above are disregarded, and an estimate of the utilisation rate of 0.35 from SFG's study was used, we still consider that a value of imputation credits of 0.25 is unreasonable. This is because:</w:t>
      </w:r>
    </w:p>
    <w:p w:rsidR="005A0F44" w:rsidRDefault="005A0F44" w:rsidP="005A0F44">
      <w:pPr>
        <w:pStyle w:val="AERbulletlistfirststyle"/>
      </w:pPr>
      <w:r>
        <w:t>Handley and Lally advise</w:t>
      </w:r>
      <w:r w:rsidR="005B1EFD">
        <w:t>d</w:t>
      </w:r>
      <w:r>
        <w:t xml:space="preserve"> that the proper use of this estimate of the utilisati</w:t>
      </w:r>
      <w:r w:rsidR="001068F9">
        <w:t>on rate requires its adjustment</w:t>
      </w:r>
      <w:r>
        <w:t xml:space="preserve"> to 0.4.</w:t>
      </w:r>
      <w:r>
        <w:rPr>
          <w:rStyle w:val="FootnoteReference"/>
        </w:rPr>
        <w:footnoteReference w:id="42"/>
      </w:r>
      <w:r>
        <w:t xml:space="preserve"> We accept their approach.</w:t>
      </w:r>
    </w:p>
    <w:p w:rsidR="005A0F44" w:rsidRDefault="005A0F44" w:rsidP="005A0F44">
      <w:pPr>
        <w:pStyle w:val="AERbulletlistfirststyle"/>
      </w:pPr>
      <w:r>
        <w:t>This is an estimate of the utilisation rate of investors in listed equity only, and therefore it should be paired with an estimate of the distribution rate from listed equity only (that is, 0.8).</w:t>
      </w:r>
    </w:p>
    <w:p w:rsidR="005A0F44" w:rsidRDefault="005A0F44" w:rsidP="005A0F44">
      <w:pPr>
        <w:pStyle w:val="AERbodytext"/>
      </w:pPr>
      <w:r>
        <w:t>Therefore, we consider that even if the service providers' proposed utilisation rate is used, it yields a value of imputation credits of</w:t>
      </w:r>
      <w:r w:rsidR="008B75C6">
        <w:t xml:space="preserve"> (0.4 x 0.8)</w:t>
      </w:r>
      <w:r>
        <w:t xml:space="preserve"> 0.32 rather than 0.25. However, with regard to </w:t>
      </w:r>
      <w:r w:rsidR="005B1EFD">
        <w:t>discussion above</w:t>
      </w:r>
      <w:r>
        <w:t>, our preferred value of imputation credits is still higher than 0.32.</w:t>
      </w:r>
    </w:p>
    <w:p w:rsidR="008A785B" w:rsidRPr="00506B17" w:rsidRDefault="0057648E" w:rsidP="00506B17">
      <w:pPr>
        <w:pStyle w:val="AERbodytext"/>
      </w:pPr>
      <w:r>
        <w:t xml:space="preserve">In the following sections, we describe the sources of the estimates in </w:t>
      </w:r>
      <w:r>
        <w:fldChar w:fldCharType="begin"/>
      </w:r>
      <w:r>
        <w:instrText xml:space="preserve"> REF  _Ref400900366 \* Lower \h </w:instrText>
      </w:r>
      <w:r>
        <w:fldChar w:fldCharType="separate"/>
      </w:r>
      <w:r w:rsidR="00927273">
        <w:t xml:space="preserve">table </w:t>
      </w:r>
      <w:r w:rsidR="00927273">
        <w:rPr>
          <w:noProof/>
        </w:rPr>
        <w:t>4</w:t>
      </w:r>
      <w:r w:rsidR="004E1702">
        <w:t>.</w:t>
      </w:r>
      <w:r w:rsidR="00927273">
        <w:rPr>
          <w:noProof/>
        </w:rPr>
        <w:t>1</w:t>
      </w:r>
      <w:r>
        <w:fldChar w:fldCharType="end"/>
      </w:r>
      <w:r>
        <w:t xml:space="preserve"> and </w:t>
      </w:r>
      <w:r>
        <w:fldChar w:fldCharType="begin"/>
      </w:r>
      <w:r>
        <w:instrText xml:space="preserve"> REF  _Ref404072148 \* Lower \h </w:instrText>
      </w:r>
      <w:r>
        <w:fldChar w:fldCharType="separate"/>
      </w:r>
      <w:r w:rsidR="00927273">
        <w:t xml:space="preserve">table </w:t>
      </w:r>
      <w:r w:rsidR="00927273">
        <w:rPr>
          <w:noProof/>
        </w:rPr>
        <w:t>4</w:t>
      </w:r>
      <w:r w:rsidR="004E1702">
        <w:t>.</w:t>
      </w:r>
      <w:r w:rsidR="00927273">
        <w:rPr>
          <w:noProof/>
        </w:rPr>
        <w:t>2</w:t>
      </w:r>
      <w:r>
        <w:fldChar w:fldCharType="end"/>
      </w:r>
      <w:r>
        <w:t xml:space="preserve">, </w:t>
      </w:r>
      <w:r w:rsidR="009716E1">
        <w:t>and we present our assessment of the underlying evidence</w:t>
      </w:r>
      <w:r w:rsidR="008A785B">
        <w:t xml:space="preserve">. </w:t>
      </w:r>
    </w:p>
    <w:p w:rsidR="00C42707" w:rsidRDefault="00C42707" w:rsidP="002D7A10">
      <w:pPr>
        <w:pStyle w:val="Heading3"/>
      </w:pPr>
      <w:bookmarkStart w:id="43" w:name="_Ref403482746"/>
      <w:r>
        <w:t>The distribution rate</w:t>
      </w:r>
      <w:bookmarkEnd w:id="43"/>
    </w:p>
    <w:p w:rsidR="00C27A58" w:rsidRDefault="00851965" w:rsidP="00C27A58">
      <w:pPr>
        <w:pStyle w:val="AERbodytext"/>
      </w:pPr>
      <w:r>
        <w:t xml:space="preserve">We </w:t>
      </w:r>
      <w:r w:rsidR="002C3705">
        <w:t xml:space="preserve">define </w:t>
      </w:r>
      <w:r>
        <w:t>t</w:t>
      </w:r>
      <w:r w:rsidR="00C42707">
        <w:t xml:space="preserve">he distribution rate </w:t>
      </w:r>
      <w:r w:rsidR="002C3705">
        <w:t>as</w:t>
      </w:r>
      <w:r w:rsidR="00C42707">
        <w:t xml:space="preserve"> the proportion</w:t>
      </w:r>
      <w:r w:rsidR="006F7749">
        <w:t xml:space="preserve"> of imputation credits generated by the benchmark efficient entity that </w:t>
      </w:r>
      <w:r w:rsidR="00424F2D">
        <w:t>is</w:t>
      </w:r>
      <w:r w:rsidR="006F7749">
        <w:t xml:space="preserve"> distributed to investors.</w:t>
      </w:r>
      <w:r>
        <w:rPr>
          <w:rStyle w:val="FootnoteReference"/>
        </w:rPr>
        <w:footnoteReference w:id="43"/>
      </w:r>
      <w:r w:rsidR="00C27A58">
        <w:t xml:space="preserve"> We use a 0.8 estimate of the distribution rate in combination with estimates of the utilisation rate from listed equity only, and a 0.7 estimate of the distribution rate with estimates of the utilisation rate from all equity.</w:t>
      </w:r>
    </w:p>
    <w:p w:rsidR="00F5531F" w:rsidRDefault="006241C0" w:rsidP="00305957">
      <w:pPr>
        <w:pStyle w:val="AERbodytext"/>
      </w:pPr>
      <w:r>
        <w:t>Consistent with the</w:t>
      </w:r>
      <w:r w:rsidR="00404059">
        <w:t xml:space="preserve"> </w:t>
      </w:r>
      <w:r w:rsidR="0033289B">
        <w:t>Guideline</w:t>
      </w:r>
      <w:r>
        <w:t>, w</w:t>
      </w:r>
      <w:r w:rsidR="00305957">
        <w:t xml:space="preserve">e estimate </w:t>
      </w:r>
      <w:r w:rsidR="00C27A58">
        <w:t>the distribution rate</w:t>
      </w:r>
      <w:r w:rsidR="00305957">
        <w:t xml:space="preserve"> using</w:t>
      </w:r>
      <w:r w:rsidR="000B7792">
        <w:t xml:space="preserve"> the </w:t>
      </w:r>
      <w:r w:rsidR="00015D08">
        <w:t>'</w:t>
      </w:r>
      <w:r w:rsidR="000B7792">
        <w:t>cumulative payout ratio approach</w:t>
      </w:r>
      <w:r w:rsidR="00015D08">
        <w:t>'</w:t>
      </w:r>
      <w:r w:rsidR="000B7792">
        <w:t>, which uses</w:t>
      </w:r>
      <w:r w:rsidR="00305957">
        <w:t xml:space="preserve"> data </w:t>
      </w:r>
      <w:r w:rsidR="00734923">
        <w:t xml:space="preserve">from the </w:t>
      </w:r>
      <w:r w:rsidR="00D335F3">
        <w:t>ATO</w:t>
      </w:r>
      <w:r w:rsidR="00734923">
        <w:t xml:space="preserve"> on the</w:t>
      </w:r>
      <w:r w:rsidR="00305957">
        <w:t xml:space="preserve"> account</w:t>
      </w:r>
      <w:r w:rsidR="00734923">
        <w:t>s used by companies to track their stocks of imputation credits ('franking account balances')</w:t>
      </w:r>
      <w:r w:rsidR="00305957">
        <w:t>.</w:t>
      </w:r>
      <w:r w:rsidR="003D28CD">
        <w:rPr>
          <w:rStyle w:val="FootnoteReference"/>
        </w:rPr>
        <w:footnoteReference w:id="44"/>
      </w:r>
      <w:r w:rsidR="00305957">
        <w:t xml:space="preserve"> Using this approach, </w:t>
      </w:r>
      <w:r w:rsidR="00715AAE">
        <w:t>NERA</w:t>
      </w:r>
      <w:r w:rsidR="001E2F25">
        <w:t xml:space="preserve"> </w:t>
      </w:r>
      <w:r w:rsidR="00305957">
        <w:t>estimate</w:t>
      </w:r>
      <w:r w:rsidR="001E2F25">
        <w:t>d</w:t>
      </w:r>
      <w:r w:rsidR="00305957">
        <w:t xml:space="preserve"> a distribution rate across all equity of 0.7 for the period 1987 to 2011.</w:t>
      </w:r>
      <w:r w:rsidR="00FD7776">
        <w:rPr>
          <w:rStyle w:val="FootnoteReference"/>
        </w:rPr>
        <w:footnoteReference w:id="45"/>
      </w:r>
      <w:r w:rsidR="00305957">
        <w:t xml:space="preserve"> Hathaway </w:t>
      </w:r>
      <w:r w:rsidR="00715AAE">
        <w:t xml:space="preserve">found </w:t>
      </w:r>
      <w:r w:rsidR="00305957">
        <w:t>a similar estimate for the period 2004 to 2011.</w:t>
      </w:r>
      <w:r w:rsidR="00FD7776">
        <w:rPr>
          <w:rStyle w:val="FootnoteReference"/>
        </w:rPr>
        <w:footnoteReference w:id="46"/>
      </w:r>
      <w:r w:rsidR="00305957">
        <w:t xml:space="preserve"> </w:t>
      </w:r>
    </w:p>
    <w:p w:rsidR="00C42707" w:rsidRDefault="00776C0E" w:rsidP="00C42707">
      <w:pPr>
        <w:pStyle w:val="AERbodytext"/>
      </w:pPr>
      <w:r>
        <w:t>We use t</w:t>
      </w:r>
      <w:r w:rsidR="00734923">
        <w:t>he cumulative payout ratio approach</w:t>
      </w:r>
      <w:r>
        <w:t xml:space="preserve"> because it</w:t>
      </w:r>
      <w:r w:rsidR="00305957">
        <w:t>:</w:t>
      </w:r>
    </w:p>
    <w:p w:rsidR="00305957" w:rsidRDefault="00305957" w:rsidP="00305957">
      <w:pPr>
        <w:pStyle w:val="AERbulletlistfirststyle"/>
      </w:pPr>
      <w:r>
        <w:t>is simple and intuitive</w:t>
      </w:r>
    </w:p>
    <w:p w:rsidR="00305957" w:rsidRDefault="00305957" w:rsidP="00305957">
      <w:pPr>
        <w:pStyle w:val="AERbulletlistfirststyle"/>
      </w:pPr>
      <w:r>
        <w:t>uses long-term, published data</w:t>
      </w:r>
      <w:r w:rsidR="00704686">
        <w:t>, and</w:t>
      </w:r>
    </w:p>
    <w:p w:rsidR="00305957" w:rsidRDefault="00305957" w:rsidP="00305957">
      <w:pPr>
        <w:pStyle w:val="AERbulletlistfirststyle"/>
      </w:pPr>
      <w:r>
        <w:t>is supported by the s</w:t>
      </w:r>
      <w:r w:rsidR="006D1C84">
        <w:t xml:space="preserve">ervice providers, SFG, Handley and </w:t>
      </w:r>
      <w:r>
        <w:t>McKenzie and Partington</w:t>
      </w:r>
      <w:r w:rsidR="006D1C84">
        <w:t>.</w:t>
      </w:r>
      <w:r w:rsidR="00142828">
        <w:rPr>
          <w:rStyle w:val="FootnoteReference"/>
        </w:rPr>
        <w:footnoteReference w:id="47"/>
      </w:r>
    </w:p>
    <w:p w:rsidR="00FD6F15" w:rsidRDefault="00FD6F15" w:rsidP="00FD6F15">
      <w:pPr>
        <w:pStyle w:val="AERbodytext"/>
      </w:pPr>
      <w:r>
        <w:lastRenderedPageBreak/>
        <w:t>Also using this approach, Handley estimate</w:t>
      </w:r>
      <w:r w:rsidR="00457B0C">
        <w:t>d</w:t>
      </w:r>
      <w:r>
        <w:t xml:space="preserve"> a distribution rate across listed equity only of 0.8 for the period 1987 to 2011.</w:t>
      </w:r>
      <w:r>
        <w:rPr>
          <w:rStyle w:val="FootnoteReference"/>
        </w:rPr>
        <w:footnoteReference w:id="48"/>
      </w:r>
      <w:r>
        <w:t xml:space="preserve"> A distribution rate across listed equity only was not presented in the </w:t>
      </w:r>
      <w:r w:rsidR="0033289B">
        <w:t>Guideline</w:t>
      </w:r>
      <w:r>
        <w:t>. However, as set out above, we now consider that:</w:t>
      </w:r>
    </w:p>
    <w:p w:rsidR="00FD6F15" w:rsidRDefault="00FD6F15" w:rsidP="00FD6F15">
      <w:pPr>
        <w:pStyle w:val="AERbulletlistfirststyle"/>
      </w:pPr>
      <w:r>
        <w:t>It is o</w:t>
      </w:r>
      <w:r w:rsidRPr="00F5531F">
        <w:t>pen to us to have regard to evidence from all equity and/or listed equity only</w:t>
      </w:r>
      <w:r>
        <w:t>.</w:t>
      </w:r>
    </w:p>
    <w:p w:rsidR="00FD6F15" w:rsidRDefault="00FD6F15" w:rsidP="00FD6F15">
      <w:pPr>
        <w:pStyle w:val="AERbulletlistfirststyle"/>
      </w:pPr>
      <w:r>
        <w:t xml:space="preserve">It would be </w:t>
      </w:r>
      <w:r w:rsidR="002C3705">
        <w:t>inconsistent</w:t>
      </w:r>
      <w:r w:rsidR="002C3705" w:rsidRPr="00F5531F">
        <w:t xml:space="preserve"> </w:t>
      </w:r>
      <w:r w:rsidRPr="00F5531F">
        <w:t>to pair an estimate of the utilisation rate from listed equity only with an estimate of the distribution rate from all equity (and vice versa).</w:t>
      </w:r>
    </w:p>
    <w:p w:rsidR="00FF13BD" w:rsidRDefault="00C102E1" w:rsidP="002D7A10">
      <w:pPr>
        <w:pStyle w:val="Heading3"/>
      </w:pPr>
      <w:bookmarkStart w:id="44" w:name="_Ref401165415"/>
      <w:r>
        <w:t>The utilisation rate</w:t>
      </w:r>
      <w:bookmarkEnd w:id="44"/>
    </w:p>
    <w:p w:rsidR="000301D3" w:rsidRDefault="00957DF7" w:rsidP="006241C0">
      <w:pPr>
        <w:pStyle w:val="AERbodytext"/>
      </w:pPr>
      <w:r>
        <w:t>We define t</w:t>
      </w:r>
      <w:r w:rsidR="000301D3">
        <w:t xml:space="preserve">he utilisation rate </w:t>
      </w:r>
      <w:r>
        <w:t>as</w:t>
      </w:r>
      <w:r w:rsidR="00520083">
        <w:t xml:space="preserve"> the utilisation value to investors in the market per dollar of imputation credit</w:t>
      </w:r>
      <w:r w:rsidR="00C771B5">
        <w:t>s</w:t>
      </w:r>
      <w:r w:rsidR="00520083">
        <w:t xml:space="preserve"> distributed. In the </w:t>
      </w:r>
      <w:proofErr w:type="spellStart"/>
      <w:r w:rsidR="00520083">
        <w:t>Monkhouse</w:t>
      </w:r>
      <w:proofErr w:type="spellEnd"/>
      <w:r w:rsidR="00520083">
        <w:t xml:space="preserve"> framework, the utilisation rate is equal to the weighted average, by wealth and risk aversion, of the utilisation rates of individual investors. </w:t>
      </w:r>
      <w:r w:rsidR="00520083" w:rsidRPr="00EB5361">
        <w:t xml:space="preserve">For an ‘eligible’ investor, each dollar of imputation credit received can be fully </w:t>
      </w:r>
      <w:r w:rsidR="00520083">
        <w:t>returned to the investor</w:t>
      </w:r>
      <w:r w:rsidR="00520083" w:rsidRPr="00EB5361">
        <w:t xml:space="preserve"> </w:t>
      </w:r>
      <w:r w:rsidR="00520083">
        <w:t xml:space="preserve">in </w:t>
      </w:r>
      <w:r w:rsidR="00520083" w:rsidRPr="00EB5361">
        <w:t>the form of a reducti</w:t>
      </w:r>
      <w:r w:rsidR="00520083">
        <w:t>on in tax payable or a refund.</w:t>
      </w:r>
      <w:r w:rsidR="00520083">
        <w:rPr>
          <w:rStyle w:val="FootnoteReference"/>
        </w:rPr>
        <w:footnoteReference w:id="49"/>
      </w:r>
      <w:r w:rsidR="00520083">
        <w:t xml:space="preserve"> </w:t>
      </w:r>
      <w:r w:rsidR="00520083" w:rsidRPr="00EB5361">
        <w:t xml:space="preserve">Therefore, we consider that eligible investors have a utilisation rate of 1. Conversely, ‘ineligible’ investors cannot </w:t>
      </w:r>
      <w:r w:rsidR="00E93FFB">
        <w:t>utilise</w:t>
      </w:r>
      <w:r w:rsidR="00520083" w:rsidRPr="00EB5361">
        <w:t xml:space="preserve"> imputation credits and have a utilisation rate of 0.</w:t>
      </w:r>
      <w:r w:rsidR="00C16586">
        <w:t xml:space="preserve"> It follows that the utilisation rate reflects the extent to which investors can utilise the imputation credits they receive to reduce their tax or get a refund.</w:t>
      </w:r>
      <w:r w:rsidR="00520083">
        <w:t xml:space="preserve"> </w:t>
      </w:r>
      <w:r w:rsidR="00612270">
        <w:t>We discuss</w:t>
      </w:r>
      <w:r w:rsidR="00015D08">
        <w:t xml:space="preserve"> our interpretation and definition of</w:t>
      </w:r>
      <w:r w:rsidR="00520083">
        <w:t xml:space="preserve"> the utilisation rate</w:t>
      </w:r>
      <w:r w:rsidR="00612270">
        <w:t xml:space="preserve"> further in section</w:t>
      </w:r>
      <w:r w:rsidR="00DC5375">
        <w:t xml:space="preserve">s </w:t>
      </w:r>
      <w:r w:rsidR="00C61296">
        <w:fldChar w:fldCharType="begin"/>
      </w:r>
      <w:r w:rsidR="00C61296">
        <w:instrText xml:space="preserve"> REF _Ref400965182 \r \h </w:instrText>
      </w:r>
      <w:r w:rsidR="00C61296">
        <w:fldChar w:fldCharType="separate"/>
      </w:r>
      <w:r w:rsidR="00927273">
        <w:t>A.5</w:t>
      </w:r>
      <w:r w:rsidR="00C61296">
        <w:fldChar w:fldCharType="end"/>
      </w:r>
      <w:r w:rsidR="00DC5375">
        <w:t xml:space="preserve"> and</w:t>
      </w:r>
      <w:r w:rsidR="00612270">
        <w:t xml:space="preserve"> </w:t>
      </w:r>
      <w:r w:rsidR="00C61296">
        <w:fldChar w:fldCharType="begin"/>
      </w:r>
      <w:r w:rsidR="00C61296">
        <w:instrText xml:space="preserve"> REF _Ref401272599 \r \h </w:instrText>
      </w:r>
      <w:r w:rsidR="00C61296">
        <w:fldChar w:fldCharType="separate"/>
      </w:r>
      <w:r w:rsidR="00927273">
        <w:t>A.7</w:t>
      </w:r>
      <w:r w:rsidR="00C61296">
        <w:fldChar w:fldCharType="end"/>
      </w:r>
      <w:r w:rsidR="00612270">
        <w:t xml:space="preserve"> of </w:t>
      </w:r>
      <w:r w:rsidR="00CB0A52">
        <w:t>appendix</w:t>
      </w:r>
      <w:r w:rsidR="00B04695">
        <w:t xml:space="preserve"> A</w:t>
      </w:r>
      <w:r w:rsidR="00520083">
        <w:t xml:space="preserve">. </w:t>
      </w:r>
    </w:p>
    <w:p w:rsidR="006241C0" w:rsidRDefault="00FE08C3" w:rsidP="006241C0">
      <w:pPr>
        <w:pStyle w:val="AERbodytext"/>
      </w:pPr>
      <w:r>
        <w:t>Consistent with the</w:t>
      </w:r>
      <w:r w:rsidR="006241C0">
        <w:t xml:space="preserve"> </w:t>
      </w:r>
      <w:r w:rsidR="0033289B">
        <w:t>Guideline</w:t>
      </w:r>
      <w:r w:rsidR="006241C0">
        <w:t>, when estimating the uti</w:t>
      </w:r>
      <w:r w:rsidR="003902FC">
        <w:t xml:space="preserve">lisation rate </w:t>
      </w:r>
      <w:r w:rsidR="0061054A">
        <w:t xml:space="preserve">we </w:t>
      </w:r>
      <w:r w:rsidR="00C65855">
        <w:t>place</w:t>
      </w:r>
      <w:r w:rsidR="006241C0">
        <w:t>:</w:t>
      </w:r>
    </w:p>
    <w:p w:rsidR="006241C0" w:rsidRDefault="0061054A" w:rsidP="006241C0">
      <w:pPr>
        <w:pStyle w:val="AERbulletlistfirststyle"/>
      </w:pPr>
      <w:r>
        <w:t xml:space="preserve">significant </w:t>
      </w:r>
      <w:r w:rsidR="00724D6A">
        <w:t xml:space="preserve">reliance upon </w:t>
      </w:r>
      <w:r>
        <w:t>t</w:t>
      </w:r>
      <w:r w:rsidR="006241C0">
        <w:t>he equity ownership approach</w:t>
      </w:r>
    </w:p>
    <w:p w:rsidR="006241C0" w:rsidRDefault="00FD7402" w:rsidP="006241C0">
      <w:pPr>
        <w:pStyle w:val="AERbulletlistfirststyle"/>
      </w:pPr>
      <w:r>
        <w:t xml:space="preserve">some </w:t>
      </w:r>
      <w:r w:rsidR="00724D6A">
        <w:t>reliance upon</w:t>
      </w:r>
      <w:r w:rsidR="00DF5B72">
        <w:t xml:space="preserve"> </w:t>
      </w:r>
      <w:r w:rsidR="0061054A">
        <w:t>t</w:t>
      </w:r>
      <w:r w:rsidR="006241C0">
        <w:t>ax statistics</w:t>
      </w:r>
      <w:r w:rsidR="00FE08C3">
        <w:t>, and</w:t>
      </w:r>
    </w:p>
    <w:p w:rsidR="006241C0" w:rsidRDefault="0061054A" w:rsidP="006241C0">
      <w:pPr>
        <w:pStyle w:val="AERbulletlistfirststyle"/>
      </w:pPr>
      <w:r>
        <w:t xml:space="preserve">less </w:t>
      </w:r>
      <w:r w:rsidR="00724D6A">
        <w:t>reliance upon</w:t>
      </w:r>
      <w:r w:rsidR="00DF5B72">
        <w:t xml:space="preserve"> </w:t>
      </w:r>
      <w:r>
        <w:t>i</w:t>
      </w:r>
      <w:r w:rsidR="006241C0">
        <w:t>mplied market value studies</w:t>
      </w:r>
      <w:r w:rsidR="00D839AC">
        <w:t>.</w:t>
      </w:r>
    </w:p>
    <w:p w:rsidR="00444C92" w:rsidRDefault="00444C92" w:rsidP="0061054A">
      <w:pPr>
        <w:pStyle w:val="AERbodytext"/>
      </w:pPr>
      <w:r>
        <w:t xml:space="preserve">The results from those classes of evidence on which we place reliance are summarised in </w:t>
      </w:r>
      <w:r>
        <w:fldChar w:fldCharType="begin"/>
      </w:r>
      <w:r>
        <w:instrText xml:space="preserve"> REF  _Ref400900366 \* Lower \h </w:instrText>
      </w:r>
      <w:r>
        <w:fldChar w:fldCharType="separate"/>
      </w:r>
      <w:r w:rsidR="00927273">
        <w:t xml:space="preserve">table </w:t>
      </w:r>
      <w:r w:rsidR="00927273">
        <w:rPr>
          <w:noProof/>
        </w:rPr>
        <w:t>4</w:t>
      </w:r>
      <w:r w:rsidR="004E1702">
        <w:t>.</w:t>
      </w:r>
      <w:r w:rsidR="00927273">
        <w:rPr>
          <w:noProof/>
        </w:rPr>
        <w:t>1</w:t>
      </w:r>
      <w:r>
        <w:fldChar w:fldCharType="end"/>
      </w:r>
      <w:r>
        <w:t xml:space="preserve"> and </w:t>
      </w:r>
      <w:r>
        <w:fldChar w:fldCharType="begin"/>
      </w:r>
      <w:r>
        <w:instrText xml:space="preserve"> REF  _Ref404072148 \* Lower \h </w:instrText>
      </w:r>
      <w:r>
        <w:fldChar w:fldCharType="separate"/>
      </w:r>
      <w:r w:rsidR="00927273">
        <w:t xml:space="preserve">table </w:t>
      </w:r>
      <w:r w:rsidR="00927273">
        <w:rPr>
          <w:noProof/>
        </w:rPr>
        <w:t>4</w:t>
      </w:r>
      <w:r w:rsidR="004E1702">
        <w:t>.</w:t>
      </w:r>
      <w:r w:rsidR="00927273">
        <w:rPr>
          <w:noProof/>
        </w:rPr>
        <w:t>2</w:t>
      </w:r>
      <w:r>
        <w:fldChar w:fldCharType="end"/>
      </w:r>
      <w:r>
        <w:t>.</w:t>
      </w:r>
    </w:p>
    <w:p w:rsidR="006241C0" w:rsidRDefault="0061054A" w:rsidP="0061054A">
      <w:pPr>
        <w:pStyle w:val="AERbodytext"/>
      </w:pPr>
      <w:r>
        <w:t>The relative importance that we assign to each approach is supported by Handley and Lally</w:t>
      </w:r>
      <w:r w:rsidR="009153C2">
        <w:t xml:space="preserve">, while </w:t>
      </w:r>
      <w:r w:rsidR="00854C0A">
        <w:t xml:space="preserve">McKenzie and </w:t>
      </w:r>
      <w:proofErr w:type="spellStart"/>
      <w:r w:rsidR="00854C0A">
        <w:t>Partington's</w:t>
      </w:r>
      <w:proofErr w:type="spellEnd"/>
      <w:r w:rsidR="00854C0A">
        <w:t xml:space="preserve"> report for the Queensland Resources Council suggested that </w:t>
      </w:r>
      <w:r w:rsidR="009153C2">
        <w:t>having regard to all of these approaches is reasonable</w:t>
      </w:r>
      <w:r>
        <w:t>.</w:t>
      </w:r>
      <w:r>
        <w:rPr>
          <w:rStyle w:val="FootnoteReference"/>
        </w:rPr>
        <w:footnoteReference w:id="50"/>
      </w:r>
      <w:r>
        <w:t xml:space="preserve"> We discuss each approach</w:t>
      </w:r>
      <w:r w:rsidR="006241C0">
        <w:t xml:space="preserve"> </w:t>
      </w:r>
      <w:r>
        <w:t>in the sections below.</w:t>
      </w:r>
      <w:r w:rsidR="0050623B">
        <w:rPr>
          <w:rStyle w:val="FootnoteReference"/>
        </w:rPr>
        <w:footnoteReference w:id="51"/>
      </w:r>
      <w:r>
        <w:t xml:space="preserve"> </w:t>
      </w:r>
      <w:r w:rsidR="006241C0">
        <w:t xml:space="preserve">We depart from the </w:t>
      </w:r>
      <w:r w:rsidR="0033289B">
        <w:t>Guideline</w:t>
      </w:r>
      <w:r w:rsidR="006241C0">
        <w:t xml:space="preserve"> by not </w:t>
      </w:r>
      <w:r w:rsidR="00D15155">
        <w:t>relying upon</w:t>
      </w:r>
      <w:r w:rsidR="006241C0">
        <w:t xml:space="preserve"> the 'conceptual goalposts approach'. </w:t>
      </w:r>
      <w:r>
        <w:t>We discuss</w:t>
      </w:r>
      <w:r w:rsidR="006241C0">
        <w:t xml:space="preserve"> </w:t>
      </w:r>
      <w:r>
        <w:t xml:space="preserve">this </w:t>
      </w:r>
      <w:r w:rsidR="006241C0">
        <w:t>approach and our revised consider</w:t>
      </w:r>
      <w:r>
        <w:t xml:space="preserve">ation of it </w:t>
      </w:r>
      <w:r w:rsidR="006241C0">
        <w:t xml:space="preserve">in </w:t>
      </w:r>
      <w:r w:rsidR="00A81E3B">
        <w:t xml:space="preserve">section </w:t>
      </w:r>
      <w:r w:rsidR="002A2DF1">
        <w:fldChar w:fldCharType="begin"/>
      </w:r>
      <w:r w:rsidR="002A2DF1">
        <w:instrText xml:space="preserve"> REF _Ref403481482 \r \h </w:instrText>
      </w:r>
      <w:r w:rsidR="002A2DF1">
        <w:fldChar w:fldCharType="separate"/>
      </w:r>
      <w:r w:rsidR="00927273">
        <w:t>A.16</w:t>
      </w:r>
      <w:r w:rsidR="002A2DF1">
        <w:fldChar w:fldCharType="end"/>
      </w:r>
      <w:r w:rsidR="00A81E3B">
        <w:t xml:space="preserve"> of </w:t>
      </w:r>
      <w:r w:rsidR="00CB0A52">
        <w:t>appendix</w:t>
      </w:r>
      <w:r w:rsidR="00A81E3B">
        <w:t xml:space="preserve"> </w:t>
      </w:r>
      <w:r w:rsidR="00B04695">
        <w:t>A</w:t>
      </w:r>
      <w:r w:rsidR="006241C0">
        <w:t>.</w:t>
      </w:r>
    </w:p>
    <w:p w:rsidR="007D0F6F" w:rsidRPr="004E1702" w:rsidRDefault="007D0F6F" w:rsidP="004E1702">
      <w:pPr>
        <w:pStyle w:val="HeadingBoldItalic"/>
      </w:pPr>
      <w:r w:rsidRPr="004E1702">
        <w:t>Responses to key issues raised by stakeholders</w:t>
      </w:r>
    </w:p>
    <w:p w:rsidR="007D0F6F" w:rsidRDefault="007D0F6F" w:rsidP="0061054A">
      <w:pPr>
        <w:pStyle w:val="AERbodytext"/>
      </w:pPr>
      <w:r>
        <w:t xml:space="preserve">The issues raised by the service providers in relation to the utilisation rate are addressed in the relevant sections below and in various sections of </w:t>
      </w:r>
      <w:r w:rsidR="00CB0A52">
        <w:t>appendix</w:t>
      </w:r>
      <w:r w:rsidR="00B04695">
        <w:t xml:space="preserve"> A</w:t>
      </w:r>
      <w:r>
        <w:t>.</w:t>
      </w:r>
    </w:p>
    <w:p w:rsidR="005548BC" w:rsidRDefault="005548BC" w:rsidP="0061054A">
      <w:pPr>
        <w:pStyle w:val="AERbodytext"/>
      </w:pPr>
      <w:r>
        <w:lastRenderedPageBreak/>
        <w:t xml:space="preserve">There were two material comments on the value of imputation credits in submissions </w:t>
      </w:r>
      <w:r w:rsidR="0051360C">
        <w:t xml:space="preserve">from consumer representatives </w:t>
      </w:r>
      <w:r>
        <w:t xml:space="preserve">to the current set of </w:t>
      </w:r>
      <w:r w:rsidR="00A34DC3">
        <w:t>regulatory decisions</w:t>
      </w:r>
      <w:r>
        <w:t>:</w:t>
      </w:r>
    </w:p>
    <w:p w:rsidR="009153C2" w:rsidRDefault="00F829DB" w:rsidP="00F829DB">
      <w:pPr>
        <w:pStyle w:val="AERbulletlistfirststyle"/>
      </w:pPr>
      <w:r>
        <w:t>The Public Interest Advocacy Centre submitted that the Australian Competition Tribunal's decision in 2011 to rely on an estimate of the utilisation rate from SFG's dividend drop off study should not be viewed as permanently determinative.</w:t>
      </w:r>
      <w:r w:rsidR="00320D46">
        <w:rPr>
          <w:rStyle w:val="FootnoteReference"/>
        </w:rPr>
        <w:footnoteReference w:id="52"/>
      </w:r>
      <w:r>
        <w:t xml:space="preserve"> We agree with these comments in light of the Tribunal's finding that:</w:t>
      </w:r>
      <w:r>
        <w:rPr>
          <w:rStyle w:val="FootnoteReference"/>
        </w:rPr>
        <w:footnoteReference w:id="53"/>
      </w:r>
    </w:p>
    <w:p w:rsidR="00F829DB" w:rsidRDefault="008A03DA" w:rsidP="00F829DB">
      <w:pPr>
        <w:pStyle w:val="AERquote"/>
      </w:pPr>
      <w:r>
        <w:t xml:space="preserve">Further, </w:t>
      </w:r>
      <w:r w:rsidR="00F829DB">
        <w:t>the Tribunal notes that estimation of a parameter such as [the value of imputation credits] is necessarily, and desirably, an ongoing intellectual and empirical endeavour. Its decision in these proceedings is based on the material before it.</w:t>
      </w:r>
    </w:p>
    <w:p w:rsidR="007D0F6F" w:rsidRDefault="00F829DB" w:rsidP="00F829DB">
      <w:pPr>
        <w:pStyle w:val="AERbulletlistfirststyle"/>
      </w:pPr>
      <w:r>
        <w:t>The Energy Markets Reform Forum submitted that an appropriate estimate of the value of imputation credits should not be considered in isolation from other rate of return parameters.</w:t>
      </w:r>
      <w:r w:rsidR="00320D46">
        <w:rPr>
          <w:rStyle w:val="FootnoteReference"/>
        </w:rPr>
        <w:footnoteReference w:id="54"/>
      </w:r>
      <w:r>
        <w:t xml:space="preserve"> We agree that the reasonableness of the overall rate of return is of primary importance and </w:t>
      </w:r>
      <w:r w:rsidR="00A50EC2">
        <w:t xml:space="preserve">we have taken into account the </w:t>
      </w:r>
      <w:r>
        <w:t>interrelationships</w:t>
      </w:r>
      <w:r w:rsidR="00A50EC2">
        <w:t xml:space="preserve"> that</w:t>
      </w:r>
      <w:r>
        <w:t xml:space="preserve"> exist between rate of return parameters. </w:t>
      </w:r>
    </w:p>
    <w:p w:rsidR="00FF13BD" w:rsidRDefault="00C102E1" w:rsidP="002D7A10">
      <w:pPr>
        <w:pStyle w:val="HeadingBoldBlue"/>
        <w:numPr>
          <w:ilvl w:val="0"/>
          <w:numId w:val="0"/>
        </w:numPr>
      </w:pPr>
      <w:r>
        <w:t>The equity ownership approach</w:t>
      </w:r>
    </w:p>
    <w:p w:rsidR="0029614B" w:rsidRDefault="001F2EB4" w:rsidP="0029614B">
      <w:pPr>
        <w:pStyle w:val="AERbodytext"/>
      </w:pPr>
      <w:r>
        <w:t>W</w:t>
      </w:r>
      <w:r w:rsidR="00945671">
        <w:t xml:space="preserve">e consider that </w:t>
      </w:r>
      <w:r w:rsidR="00945671" w:rsidRPr="0029614B">
        <w:t>the value-weighted proportion of domestic investors in th</w:t>
      </w:r>
      <w:r w:rsidR="00945671">
        <w:t>e Australian equity market is a reasonable</w:t>
      </w:r>
      <w:r w:rsidR="00945671" w:rsidRPr="0029614B">
        <w:t xml:space="preserve"> estimate of the utilisation rate</w:t>
      </w:r>
      <w:r w:rsidR="00945671">
        <w:t>. This is because, i</w:t>
      </w:r>
      <w:r w:rsidR="0029614B">
        <w:t xml:space="preserve">n general, domestic investors are eligible to </w:t>
      </w:r>
      <w:r w:rsidR="00E93FFB">
        <w:t>utilise</w:t>
      </w:r>
      <w:r w:rsidR="0029614B">
        <w:t xml:space="preserve"> imputation credits and foreign investors are not. </w:t>
      </w:r>
      <w:r>
        <w:t xml:space="preserve">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t>
      </w:r>
      <w:r w:rsidR="0029614B" w:rsidRPr="003A2E5B">
        <w:t xml:space="preserve">We refer to this approach as </w:t>
      </w:r>
      <w:r w:rsidR="00945671">
        <w:t>the 'equity ownership approach', and w</w:t>
      </w:r>
      <w:r w:rsidR="002D7AC3">
        <w:t xml:space="preserve">e use data from </w:t>
      </w:r>
      <w:r w:rsidR="0061054A">
        <w:t xml:space="preserve">the National Accounts </w:t>
      </w:r>
      <w:r w:rsidR="001D6CCC">
        <w:t>of the</w:t>
      </w:r>
      <w:r w:rsidR="00DF0D74">
        <w:t xml:space="preserve"> Australian Bureau of Statistics</w:t>
      </w:r>
      <w:r w:rsidR="001D6CCC">
        <w:t xml:space="preserve"> </w:t>
      </w:r>
      <w:r w:rsidR="00DF0D74">
        <w:t>(</w:t>
      </w:r>
      <w:r w:rsidR="001D6CCC">
        <w:t>ABS</w:t>
      </w:r>
      <w:r w:rsidR="00DF0D74">
        <w:t>)</w:t>
      </w:r>
      <w:r w:rsidR="001D6CCC">
        <w:t xml:space="preserve"> </w:t>
      </w:r>
      <w:r w:rsidR="002D7AC3">
        <w:t>to estimate the domestic ownership share.</w:t>
      </w:r>
      <w:r w:rsidR="0061054A">
        <w:rPr>
          <w:rStyle w:val="FootnoteReference"/>
        </w:rPr>
        <w:footnoteReference w:id="55"/>
      </w:r>
    </w:p>
    <w:p w:rsidR="002D7AC3" w:rsidRDefault="002D7AC3" w:rsidP="0029614B">
      <w:pPr>
        <w:pStyle w:val="AERbodytext"/>
      </w:pPr>
      <w:r>
        <w:t xml:space="preserve">We </w:t>
      </w:r>
      <w:r w:rsidR="004F2DEB">
        <w:t>place</w:t>
      </w:r>
      <w:r>
        <w:t xml:space="preserve"> </w:t>
      </w:r>
      <w:r w:rsidR="00545605">
        <w:t>significant</w:t>
      </w:r>
      <w:r>
        <w:t xml:space="preserve"> </w:t>
      </w:r>
      <w:r w:rsidR="004F2DEB">
        <w:t>reliance</w:t>
      </w:r>
      <w:r>
        <w:t xml:space="preserve"> </w:t>
      </w:r>
      <w:r w:rsidR="004F2DEB">
        <w:t>upon</w:t>
      </w:r>
      <w:r>
        <w:t xml:space="preserve"> </w:t>
      </w:r>
      <w:r w:rsidR="00545605">
        <w:t>the equity ownership</w:t>
      </w:r>
      <w:r>
        <w:t xml:space="preserve"> approach when considering estimates of the utilisation rate. This is because:</w:t>
      </w:r>
    </w:p>
    <w:p w:rsidR="002D7AC3" w:rsidRDefault="00A7385C" w:rsidP="00A7385C">
      <w:pPr>
        <w:pStyle w:val="AERbulletlistfirststyle"/>
      </w:pPr>
      <w:r>
        <w:t xml:space="preserve">it is well aligned with the definition of the utilisation rate in the </w:t>
      </w:r>
      <w:proofErr w:type="spellStart"/>
      <w:r>
        <w:t>Monkhouse</w:t>
      </w:r>
      <w:proofErr w:type="spellEnd"/>
      <w:r>
        <w:t xml:space="preserve"> framework</w:t>
      </w:r>
    </w:p>
    <w:p w:rsidR="00A7385C" w:rsidRDefault="00A7385C" w:rsidP="00A7385C">
      <w:pPr>
        <w:pStyle w:val="AERbulletlistfirststyle"/>
      </w:pPr>
      <w:r>
        <w:t>it employs a relatively simple and intuitive methodology</w:t>
      </w:r>
    </w:p>
    <w:p w:rsidR="00A7385C" w:rsidRDefault="00A7385C" w:rsidP="00A7385C">
      <w:pPr>
        <w:pStyle w:val="AERbulletlistfirststyle"/>
      </w:pPr>
      <w:r>
        <w:t>it uses a reliable and transparent source of data</w:t>
      </w:r>
      <w:r w:rsidR="00704686">
        <w:t>, and</w:t>
      </w:r>
    </w:p>
    <w:p w:rsidR="00A7385C" w:rsidRDefault="00A7385C" w:rsidP="00A7385C">
      <w:pPr>
        <w:pStyle w:val="AERbulletlistfirststyle"/>
      </w:pPr>
      <w:r>
        <w:t xml:space="preserve">it provides </w:t>
      </w:r>
      <w:r w:rsidR="00DB240B">
        <w:t xml:space="preserve">estimates of the utilisation rate for investors in </w:t>
      </w:r>
      <w:r w:rsidR="009877DB">
        <w:t xml:space="preserve">both </w:t>
      </w:r>
      <w:r w:rsidR="00DB240B">
        <w:t>all equity and listed equity</w:t>
      </w:r>
      <w:r w:rsidR="001E4EF7">
        <w:t xml:space="preserve"> only</w:t>
      </w:r>
      <w:r w:rsidR="00DB240B">
        <w:t>.</w:t>
      </w:r>
    </w:p>
    <w:p w:rsidR="00BE43FC" w:rsidRDefault="00BE43FC" w:rsidP="0061054A">
      <w:pPr>
        <w:pStyle w:val="AERbodytext"/>
      </w:pPr>
      <w:r>
        <w:t xml:space="preserve">We have regard also to the limitations of this approach, but we do not consider them significant. We discuss these limitations in section </w:t>
      </w:r>
      <w:r w:rsidR="008B6562">
        <w:fldChar w:fldCharType="begin"/>
      </w:r>
      <w:r w:rsidR="008B6562">
        <w:instrText xml:space="preserve"> REF _Ref403481615 \r \h </w:instrText>
      </w:r>
      <w:r w:rsidR="008B6562">
        <w:fldChar w:fldCharType="separate"/>
      </w:r>
      <w:r w:rsidR="00927273">
        <w:t>A.11</w:t>
      </w:r>
      <w:r w:rsidR="008B6562">
        <w:fldChar w:fldCharType="end"/>
      </w:r>
      <w:r>
        <w:t xml:space="preserve"> of </w:t>
      </w:r>
      <w:r w:rsidR="00CB0A52">
        <w:t>appendix</w:t>
      </w:r>
      <w:r w:rsidR="00B04695">
        <w:t xml:space="preserve"> A</w:t>
      </w:r>
      <w:r>
        <w:t>.</w:t>
      </w:r>
    </w:p>
    <w:p w:rsidR="0061054A" w:rsidRDefault="0061054A" w:rsidP="0061054A">
      <w:pPr>
        <w:pStyle w:val="AERbodytext"/>
      </w:pPr>
      <w:r>
        <w:t>We consider that a reasonable estimate for the utilisation rate from the equity ownership approach is between:</w:t>
      </w:r>
    </w:p>
    <w:p w:rsidR="0061054A" w:rsidRDefault="0061054A" w:rsidP="0061054A">
      <w:pPr>
        <w:pStyle w:val="AERbulletlistfirststyle"/>
      </w:pPr>
      <w:r>
        <w:t>0.55 and 0.7</w:t>
      </w:r>
      <w:r w:rsidR="001D6CCC">
        <w:t>0</w:t>
      </w:r>
      <w:r>
        <w:t>, if all equity is considered</w:t>
      </w:r>
      <w:r w:rsidR="00D347DE">
        <w:t>.</w:t>
      </w:r>
    </w:p>
    <w:p w:rsidR="0061054A" w:rsidRDefault="0061054A" w:rsidP="0061054A">
      <w:pPr>
        <w:pStyle w:val="AERbulletlistfirststyle"/>
      </w:pPr>
      <w:r>
        <w:t>0.4</w:t>
      </w:r>
      <w:r w:rsidR="001D6CCC">
        <w:t>0</w:t>
      </w:r>
      <w:r>
        <w:t xml:space="preserve"> and 0.6</w:t>
      </w:r>
      <w:r w:rsidR="001D6CCC">
        <w:t>0</w:t>
      </w:r>
      <w:r>
        <w:t xml:space="preserve">, if </w:t>
      </w:r>
      <w:r w:rsidR="001E4EF7">
        <w:t xml:space="preserve">only </w:t>
      </w:r>
      <w:r>
        <w:t>listed equity is considered.</w:t>
      </w:r>
    </w:p>
    <w:p w:rsidR="00D32253" w:rsidRDefault="00D32253" w:rsidP="0061054A">
      <w:pPr>
        <w:pStyle w:val="AERbodytext"/>
      </w:pPr>
      <w:r>
        <w:lastRenderedPageBreak/>
        <w:t>This broadly accords with Handley's advice on the equity ownership approach, noting that Handley's report uses the March 2014 release of the relevant data whereas we have subsequently used the September 2014 release.</w:t>
      </w:r>
      <w:r>
        <w:rPr>
          <w:rStyle w:val="FootnoteReference"/>
        </w:rPr>
        <w:footnoteReference w:id="56"/>
      </w:r>
    </w:p>
    <w:p w:rsidR="00F85785" w:rsidRDefault="00F85785" w:rsidP="00C102E1">
      <w:pPr>
        <w:pStyle w:val="AERbodytext"/>
      </w:pPr>
      <w:r>
        <w:t xml:space="preserve">However, this differs from the </w:t>
      </w:r>
      <w:r w:rsidR="001537B6">
        <w:t>G</w:t>
      </w:r>
      <w:r>
        <w:t xml:space="preserve">uideline, in which we considered that the equity ownership approach supported a utilisation rate between 0.7 and 0.8. Since the </w:t>
      </w:r>
      <w:r w:rsidR="001537B6">
        <w:t>G</w:t>
      </w:r>
      <w:r>
        <w:t xml:space="preserve">uideline's publication, we have examined more closely the relevant data from the National Accounts. This has allowed us to update and refine our estimates. We describe our application of the equity ownership approach and our re-examination of this source of evidence since the </w:t>
      </w:r>
      <w:r w:rsidR="0033289B">
        <w:t>Guideline</w:t>
      </w:r>
      <w:r>
        <w:t xml:space="preserve"> in detail in </w:t>
      </w:r>
      <w:r w:rsidR="005B6311">
        <w:t xml:space="preserve">section </w:t>
      </w:r>
      <w:r w:rsidR="008B6562">
        <w:fldChar w:fldCharType="begin"/>
      </w:r>
      <w:r w:rsidR="008B6562">
        <w:instrText xml:space="preserve"> REF _Ref403481615 \r \h </w:instrText>
      </w:r>
      <w:r w:rsidR="008B6562">
        <w:fldChar w:fldCharType="separate"/>
      </w:r>
      <w:r w:rsidR="00927273">
        <w:t>A.11</w:t>
      </w:r>
      <w:r w:rsidR="008B6562">
        <w:fldChar w:fldCharType="end"/>
      </w:r>
      <w:r w:rsidR="005B6311">
        <w:t xml:space="preserve"> of </w:t>
      </w:r>
      <w:r w:rsidR="00CB0A52">
        <w:t>appendix</w:t>
      </w:r>
      <w:r w:rsidR="00B04695">
        <w:t xml:space="preserve"> A</w:t>
      </w:r>
      <w:r>
        <w:t>.</w:t>
      </w:r>
    </w:p>
    <w:p w:rsidR="00983A20" w:rsidRPr="004E1702" w:rsidRDefault="00983A20" w:rsidP="004E1702">
      <w:pPr>
        <w:pStyle w:val="HeadingBoldItalic"/>
      </w:pPr>
      <w:r w:rsidRPr="004E1702">
        <w:t>Responses to key issues raised by stakeholders</w:t>
      </w:r>
    </w:p>
    <w:p w:rsidR="00983A20" w:rsidRDefault="00983A20" w:rsidP="00983A20">
      <w:pPr>
        <w:pStyle w:val="AERbodytext"/>
      </w:pPr>
      <w:r>
        <w:t xml:space="preserve">The service providers submitted that the equity ownership </w:t>
      </w:r>
      <w:proofErr w:type="gramStart"/>
      <w:r>
        <w:t xml:space="preserve">approach, and other measures of the </w:t>
      </w:r>
      <w:r w:rsidR="00311E9C">
        <w:t xml:space="preserve">utilisation or redemption of imputation credits, </w:t>
      </w:r>
      <w:r w:rsidR="00CD5DFC">
        <w:t>do</w:t>
      </w:r>
      <w:proofErr w:type="gramEnd"/>
      <w:r w:rsidR="00CD5DFC">
        <w:t xml:space="preserve"> not reflect a number of factors which affect investors' valuation of imputation credits.</w:t>
      </w:r>
      <w:r w:rsidR="00042F5C">
        <w:rPr>
          <w:rStyle w:val="FootnoteReference"/>
        </w:rPr>
        <w:footnoteReference w:id="57"/>
      </w:r>
      <w:r w:rsidR="00446960">
        <w:t xml:space="preserve"> </w:t>
      </w:r>
      <w:r w:rsidR="00042F5C">
        <w:t xml:space="preserve">We have </w:t>
      </w:r>
      <w:r w:rsidR="00BD674A">
        <w:t>received</w:t>
      </w:r>
      <w:r w:rsidR="00042F5C">
        <w:t xml:space="preserve"> advice from Handley on </w:t>
      </w:r>
      <w:r w:rsidR="00446960">
        <w:t xml:space="preserve">these </w:t>
      </w:r>
      <w:r w:rsidR="007E5A1D">
        <w:t>factors</w:t>
      </w:r>
      <w:r w:rsidR="00042F5C">
        <w:t>, and our responses</w:t>
      </w:r>
      <w:r w:rsidR="00446960">
        <w:t xml:space="preserve"> are set out in detail in </w:t>
      </w:r>
      <w:r w:rsidR="006B1A9C">
        <w:t xml:space="preserve">section </w:t>
      </w:r>
      <w:r w:rsidR="008B6562">
        <w:fldChar w:fldCharType="begin"/>
      </w:r>
      <w:r w:rsidR="008B6562">
        <w:instrText xml:space="preserve"> REF _Ref400971678 \r \h </w:instrText>
      </w:r>
      <w:r w:rsidR="008B6562">
        <w:fldChar w:fldCharType="separate"/>
      </w:r>
      <w:r w:rsidR="00927273">
        <w:t>A.7.2</w:t>
      </w:r>
      <w:r w:rsidR="008B6562">
        <w:fldChar w:fldCharType="end"/>
      </w:r>
      <w:r w:rsidR="006B1A9C">
        <w:t xml:space="preserve"> of </w:t>
      </w:r>
      <w:r w:rsidR="00CB0A52">
        <w:t>appendix</w:t>
      </w:r>
      <w:r w:rsidR="00B04695">
        <w:t xml:space="preserve"> A</w:t>
      </w:r>
      <w:r w:rsidR="00446960">
        <w:t>.</w:t>
      </w:r>
      <w:r w:rsidR="005963B3">
        <w:t xml:space="preserve"> </w:t>
      </w:r>
      <w:r w:rsidR="00042F5C">
        <w:t xml:space="preserve">In summary, </w:t>
      </w:r>
      <w:r w:rsidR="00561B1B">
        <w:t>we consider</w:t>
      </w:r>
      <w:r w:rsidR="00042F5C">
        <w:t xml:space="preserve"> that </w:t>
      </w:r>
      <w:r w:rsidR="006B620B">
        <w:t>such factors are either immaterial or should not be accounted for when estimating the properly defined utilisation rate.</w:t>
      </w:r>
    </w:p>
    <w:p w:rsidR="00561B1B" w:rsidRDefault="00042F5C" w:rsidP="00983A20">
      <w:pPr>
        <w:pStyle w:val="AERbodytext"/>
      </w:pPr>
      <w:r>
        <w:t xml:space="preserve">The service providers </w:t>
      </w:r>
      <w:r w:rsidR="00BD674A">
        <w:t xml:space="preserve">also </w:t>
      </w:r>
      <w:r>
        <w:t>submitted that r</w:t>
      </w:r>
      <w:r w:rsidR="00983A20">
        <w:t>ates of domestic ownership in Australian entities are in fact lower</w:t>
      </w:r>
      <w:r>
        <w:t xml:space="preserve"> than what is stated in the </w:t>
      </w:r>
      <w:r w:rsidR="0033289B">
        <w:t>Guideline</w:t>
      </w:r>
      <w:r w:rsidR="00983A20">
        <w:t>.</w:t>
      </w:r>
      <w:r>
        <w:rPr>
          <w:rStyle w:val="FootnoteReference"/>
        </w:rPr>
        <w:footnoteReference w:id="58"/>
      </w:r>
      <w:r w:rsidR="00983A20">
        <w:t xml:space="preserve"> </w:t>
      </w:r>
      <w:r w:rsidR="004555E6">
        <w:t>The service providers refer to SFG'</w:t>
      </w:r>
      <w:r w:rsidR="00EA5B3C">
        <w:t>s analysis of this issue</w:t>
      </w:r>
      <w:r w:rsidR="004555E6">
        <w:t>.</w:t>
      </w:r>
      <w:r w:rsidR="00561B1B">
        <w:rPr>
          <w:rStyle w:val="FootnoteReference"/>
        </w:rPr>
        <w:footnoteReference w:id="59"/>
      </w:r>
      <w:r>
        <w:t xml:space="preserve"> </w:t>
      </w:r>
      <w:r w:rsidR="00561B1B">
        <w:t xml:space="preserve">We address SFG's analysis in </w:t>
      </w:r>
      <w:r w:rsidR="006B1A9C">
        <w:t xml:space="preserve">section </w:t>
      </w:r>
      <w:r w:rsidR="00034AC7">
        <w:fldChar w:fldCharType="begin"/>
      </w:r>
      <w:r w:rsidR="00034AC7">
        <w:instrText xml:space="preserve"> REF _Ref403481732 \r \h </w:instrText>
      </w:r>
      <w:r w:rsidR="00034AC7">
        <w:fldChar w:fldCharType="separate"/>
      </w:r>
      <w:r w:rsidR="00927273">
        <w:t>A.12</w:t>
      </w:r>
      <w:r w:rsidR="00034AC7">
        <w:fldChar w:fldCharType="end"/>
      </w:r>
      <w:r w:rsidR="006B1A9C">
        <w:t xml:space="preserve"> of </w:t>
      </w:r>
      <w:r w:rsidR="00CB0A52">
        <w:t>appendix</w:t>
      </w:r>
      <w:r w:rsidR="00B04695">
        <w:t xml:space="preserve"> A</w:t>
      </w:r>
      <w:r w:rsidR="00561B1B">
        <w:t xml:space="preserve">, and consider that the figures presented in </w:t>
      </w:r>
      <w:r w:rsidR="006B1A9C">
        <w:t xml:space="preserve">section </w:t>
      </w:r>
      <w:r w:rsidR="00034AC7">
        <w:fldChar w:fldCharType="begin"/>
      </w:r>
      <w:r w:rsidR="00034AC7">
        <w:instrText xml:space="preserve"> REF _Ref403481615 \r \h </w:instrText>
      </w:r>
      <w:r w:rsidR="00034AC7">
        <w:fldChar w:fldCharType="separate"/>
      </w:r>
      <w:r w:rsidR="00927273">
        <w:t>A.11</w:t>
      </w:r>
      <w:r w:rsidR="00034AC7">
        <w:fldChar w:fldCharType="end"/>
      </w:r>
      <w:r w:rsidR="006B1A9C">
        <w:t xml:space="preserve"> of </w:t>
      </w:r>
      <w:r w:rsidR="00CB0A52">
        <w:t>appendix</w:t>
      </w:r>
      <w:r w:rsidR="006B1A9C">
        <w:t xml:space="preserve"> </w:t>
      </w:r>
      <w:r w:rsidR="00B04695">
        <w:t xml:space="preserve">A </w:t>
      </w:r>
      <w:r w:rsidR="00561B1B">
        <w:t xml:space="preserve">reflect the most up-to-date data </w:t>
      </w:r>
      <w:r w:rsidR="00EB4E0E">
        <w:t xml:space="preserve">available </w:t>
      </w:r>
      <w:r w:rsidR="00561B1B">
        <w:t xml:space="preserve">on domestic ownership </w:t>
      </w:r>
      <w:r w:rsidR="00EB4E0E">
        <w:t>in Australian equity</w:t>
      </w:r>
      <w:r w:rsidR="00561B1B">
        <w:t>.</w:t>
      </w:r>
      <w:r w:rsidR="001537B6">
        <w:t xml:space="preserve"> In summary, the difference is because the service providers referred to the proportion of domestic ownership data on listed equity only, whereas in the Guideline we used data from all equity. In this decision, we rely on the proportion of domestic ownership using data from both listed equity only and all equity.</w:t>
      </w:r>
    </w:p>
    <w:p w:rsidR="00593342" w:rsidRDefault="0071324B" w:rsidP="00D71738">
      <w:pPr>
        <w:pStyle w:val="HeadingBoldBlue"/>
        <w:numPr>
          <w:ilvl w:val="0"/>
          <w:numId w:val="0"/>
        </w:numPr>
      </w:pPr>
      <w:r>
        <w:t>Tax statistics</w:t>
      </w:r>
    </w:p>
    <w:p w:rsidR="0071324B" w:rsidRDefault="00863CA4" w:rsidP="00863CA4">
      <w:pPr>
        <w:pStyle w:val="AERbodytext"/>
      </w:pPr>
      <w:r w:rsidRPr="00863CA4">
        <w:t xml:space="preserve">The ATO publishes aggregate statistics on the tax returns submitted by individuals, superannuation funds and companies, as well as on the imputation credits refunded to </w:t>
      </w:r>
      <w:r>
        <w:t xml:space="preserve">certain </w:t>
      </w:r>
      <w:r w:rsidR="00970F60">
        <w:t>income tax exempt entities (for example,</w:t>
      </w:r>
      <w:r w:rsidRPr="00863CA4">
        <w:t xml:space="preserve"> charities).</w:t>
      </w:r>
      <w:r w:rsidR="00D357D7">
        <w:rPr>
          <w:rStyle w:val="FootnoteReference"/>
        </w:rPr>
        <w:footnoteReference w:id="60"/>
      </w:r>
      <w:r w:rsidRPr="00863CA4">
        <w:t xml:space="preserve"> These statistics can be used to derive a measure of the total </w:t>
      </w:r>
      <w:r w:rsidR="00E93FFB">
        <w:t>amount</w:t>
      </w:r>
      <w:r w:rsidRPr="00863CA4">
        <w:t xml:space="preserve"> of imputation credits </w:t>
      </w:r>
      <w:r w:rsidR="00E93FFB">
        <w:t>utilised</w:t>
      </w:r>
      <w:r w:rsidRPr="00863CA4">
        <w:t xml:space="preserve"> by eligible investors to offset tax or to be refunded.</w:t>
      </w:r>
      <w:r w:rsidR="00871F88">
        <w:t xml:space="preserve"> As discussed in relation to the distribution rate, </w:t>
      </w:r>
      <w:r w:rsidR="00B02FC5">
        <w:t>ATO</w:t>
      </w:r>
      <w:r w:rsidR="00871F88">
        <w:t xml:space="preserve"> statistics also provide estimates of the </w:t>
      </w:r>
      <w:r w:rsidR="00E93FFB">
        <w:t>amount</w:t>
      </w:r>
      <w:r w:rsidR="00871F88">
        <w:t xml:space="preserve"> of imputation credits distributed. We consider that the </w:t>
      </w:r>
      <w:r w:rsidR="00E93FFB">
        <w:t>reported amount</w:t>
      </w:r>
      <w:r w:rsidR="00871F88">
        <w:t xml:space="preserve"> of credits </w:t>
      </w:r>
      <w:r w:rsidR="00E93FFB">
        <w:t>utilised</w:t>
      </w:r>
      <w:r w:rsidR="00871F88">
        <w:t xml:space="preserve"> divided by the </w:t>
      </w:r>
      <w:r w:rsidR="00E93FFB">
        <w:t>reported amount</w:t>
      </w:r>
      <w:r w:rsidR="00871F88">
        <w:t xml:space="preserve"> of credits distributed is a reasonable estimate of the utilisation rate.</w:t>
      </w:r>
    </w:p>
    <w:p w:rsidR="00871F88" w:rsidRDefault="00F0450B" w:rsidP="00863CA4">
      <w:pPr>
        <w:pStyle w:val="AERbodytext"/>
      </w:pPr>
      <w:r>
        <w:t xml:space="preserve">We have </w:t>
      </w:r>
      <w:r w:rsidR="00DF5B72">
        <w:t xml:space="preserve">had </w:t>
      </w:r>
      <w:r>
        <w:t xml:space="preserve">regard to tax statistics when considering estimates of the utilisation rate. </w:t>
      </w:r>
      <w:r w:rsidR="00B340E4">
        <w:t>We place a degree of reliance upon tax statistics that is less than that placed upon the equity ownership approach, but</w:t>
      </w:r>
      <w:r w:rsidR="00454FBE">
        <w:t xml:space="preserve"> which</w:t>
      </w:r>
      <w:r w:rsidR="00B340E4">
        <w:t xml:space="preserve"> is more than that placed on implied market value studies. </w:t>
      </w:r>
      <w:r w:rsidR="00D32253">
        <w:t xml:space="preserve">Our position on tax </w:t>
      </w:r>
      <w:r w:rsidR="00D32253">
        <w:lastRenderedPageBreak/>
        <w:t xml:space="preserve">statistics is consistent with the advice from </w:t>
      </w:r>
      <w:r>
        <w:t>Handley and Lally</w:t>
      </w:r>
      <w:r w:rsidR="00B340E4">
        <w:t>.</w:t>
      </w:r>
      <w:r w:rsidR="00214ECA">
        <w:t xml:space="preserve"> Handley consider</w:t>
      </w:r>
      <w:r w:rsidR="00444177">
        <w:t>ed</w:t>
      </w:r>
      <w:r w:rsidR="00214ECA">
        <w:t xml:space="preserve"> tax statistics to be the second most important approach to estimating the utilisation rate after the equity ownership approach.</w:t>
      </w:r>
      <w:r w:rsidR="00214ECA">
        <w:rPr>
          <w:rStyle w:val="FootnoteReference"/>
        </w:rPr>
        <w:footnoteReference w:id="61"/>
      </w:r>
      <w:r w:rsidR="00214ECA">
        <w:t xml:space="preserve"> Lally consider</w:t>
      </w:r>
      <w:r w:rsidR="00444177">
        <w:t>ed</w:t>
      </w:r>
      <w:r w:rsidR="00454FBE">
        <w:t xml:space="preserve"> that</w:t>
      </w:r>
      <w:r w:rsidR="00214ECA">
        <w:t xml:space="preserve"> the tax statistics approach lacks precision, and he </w:t>
      </w:r>
      <w:r w:rsidR="00444177">
        <w:t xml:space="preserve">did </w:t>
      </w:r>
      <w:r w:rsidR="00214ECA">
        <w:t>not prefer it to the equity ownership approach.</w:t>
      </w:r>
      <w:r w:rsidR="00214ECA">
        <w:rPr>
          <w:rStyle w:val="FootnoteReference"/>
        </w:rPr>
        <w:footnoteReference w:id="62"/>
      </w:r>
      <w:r w:rsidR="00214ECA">
        <w:t xml:space="preserve"> </w:t>
      </w:r>
      <w:r w:rsidR="00682BF4">
        <w:t xml:space="preserve"> However, Lally still preferred tax statistics </w:t>
      </w:r>
      <w:r w:rsidR="008610F3">
        <w:t>to</w:t>
      </w:r>
      <w:r w:rsidR="00682BF4">
        <w:t xml:space="preserve"> implied market value studies which he considered to be even more problematic.</w:t>
      </w:r>
    </w:p>
    <w:p w:rsidR="00871F88" w:rsidRDefault="00B25C15" w:rsidP="00863CA4">
      <w:pPr>
        <w:pStyle w:val="AERbodytext"/>
      </w:pPr>
      <w:r>
        <w:t xml:space="preserve">We have </w:t>
      </w:r>
      <w:r w:rsidR="00724D6A">
        <w:t>placed less reliance upon</w:t>
      </w:r>
      <w:r>
        <w:t xml:space="preserve"> tax statistics</w:t>
      </w:r>
      <w:r w:rsidR="004323C1">
        <w:t xml:space="preserve"> compared with the equity ownership approach</w:t>
      </w:r>
      <w:r>
        <w:t xml:space="preserve"> b</w:t>
      </w:r>
      <w:r w:rsidR="004323C1">
        <w:t>ecause</w:t>
      </w:r>
      <w:r>
        <w:t xml:space="preserve"> </w:t>
      </w:r>
      <w:r w:rsidR="00454FBE">
        <w:t>w</w:t>
      </w:r>
      <w:r w:rsidR="00F0450B">
        <w:t>e consider that tax statist</w:t>
      </w:r>
      <w:r w:rsidR="00012326">
        <w:t>ics have a number of limitations</w:t>
      </w:r>
      <w:r w:rsidR="00F0450B">
        <w:t>:</w:t>
      </w:r>
    </w:p>
    <w:p w:rsidR="00F0450B" w:rsidRDefault="00012326" w:rsidP="00F0450B">
      <w:pPr>
        <w:pStyle w:val="AERbulletlistfirststyle"/>
      </w:pPr>
      <w:r>
        <w:t>They do not reflect</w:t>
      </w:r>
      <w:r w:rsidR="00F103F5">
        <w:t xml:space="preserve"> the </w:t>
      </w:r>
      <w:r w:rsidR="00E93FFB">
        <w:t>amount</w:t>
      </w:r>
      <w:r w:rsidR="00F103F5">
        <w:t xml:space="preserve"> of credits refunded to individuals that do not have to fill out a tax return</w:t>
      </w:r>
      <w:r>
        <w:t>.</w:t>
      </w:r>
    </w:p>
    <w:p w:rsidR="00012326" w:rsidRDefault="00012326" w:rsidP="00293592">
      <w:pPr>
        <w:pStyle w:val="AERbulletlistfirststyle"/>
      </w:pPr>
      <w:r>
        <w:t xml:space="preserve">They might not reflect the </w:t>
      </w:r>
      <w:r w:rsidR="00E93FFB">
        <w:t>amount</w:t>
      </w:r>
      <w:r>
        <w:t xml:space="preserve"> of credits refunded to certain types of entities.</w:t>
      </w:r>
      <w:r w:rsidR="00B02FC5">
        <w:rPr>
          <w:rStyle w:val="FootnoteReference"/>
        </w:rPr>
        <w:footnoteReference w:id="63"/>
      </w:r>
      <w:r>
        <w:t xml:space="preserve"> </w:t>
      </w:r>
    </w:p>
    <w:p w:rsidR="009877DB" w:rsidRDefault="009877DB" w:rsidP="009877DB">
      <w:pPr>
        <w:pStyle w:val="AERbulletlistfirststyle"/>
      </w:pPr>
      <w:r>
        <w:t xml:space="preserve">They do not provide </w:t>
      </w:r>
      <w:r w:rsidRPr="009877DB">
        <w:t>estimates of the ut</w:t>
      </w:r>
      <w:r w:rsidR="00F1212E">
        <w:t>ilisation rate for investors in</w:t>
      </w:r>
      <w:r w:rsidRPr="009877DB">
        <w:t xml:space="preserve"> listed equity</w:t>
      </w:r>
      <w:r w:rsidR="001E4EF7">
        <w:t xml:space="preserve"> only</w:t>
      </w:r>
      <w:r>
        <w:t>.</w:t>
      </w:r>
      <w:r w:rsidR="00F1212E">
        <w:t xml:space="preserve"> Handley and SFG both suggested that evidence from listed equity is more relevant to the benchmark efficient entity.</w:t>
      </w:r>
      <w:r w:rsidR="00EB4E0E">
        <w:rPr>
          <w:rStyle w:val="FootnoteReference"/>
        </w:rPr>
        <w:footnoteReference w:id="64"/>
      </w:r>
    </w:p>
    <w:p w:rsidR="0081765E" w:rsidRPr="0081765E" w:rsidRDefault="0081765E" w:rsidP="0081765E">
      <w:pPr>
        <w:pStyle w:val="AERbulletlistfirststyle"/>
      </w:pPr>
      <w:r w:rsidRPr="0081765E">
        <w:t xml:space="preserve">There are residual concerns regarding the </w:t>
      </w:r>
      <w:r w:rsidR="00C946D6">
        <w:t>data. While</w:t>
      </w:r>
      <w:r w:rsidRPr="0081765E">
        <w:t xml:space="preserve"> Hathaway consider</w:t>
      </w:r>
      <w:r w:rsidR="00444177">
        <w:t>ed</w:t>
      </w:r>
      <w:r w:rsidRPr="0081765E">
        <w:t xml:space="preserve"> that the </w:t>
      </w:r>
      <w:r w:rsidR="00E93FFB">
        <w:t>amounts</w:t>
      </w:r>
      <w:r w:rsidRPr="0081765E">
        <w:t xml:space="preserve"> of tax paid and credits </w:t>
      </w:r>
      <w:r w:rsidR="00E93FFB">
        <w:t>utilised</w:t>
      </w:r>
      <w:r w:rsidRPr="0081765E">
        <w:t xml:space="preserve"> can be concluded ‘with some confidence’ and that they are </w:t>
      </w:r>
      <w:r w:rsidR="00C946D6">
        <w:t xml:space="preserve">‘unlikely to be in major error’, Hathaway also </w:t>
      </w:r>
      <w:r w:rsidR="00C946D6" w:rsidRPr="00C946D6">
        <w:t>identifie</w:t>
      </w:r>
      <w:r w:rsidR="00444177">
        <w:t>d</w:t>
      </w:r>
      <w:r w:rsidR="00C946D6" w:rsidRPr="00C946D6">
        <w:t xml:space="preserve"> a significant discrepancy associated with the tracking of </w:t>
      </w:r>
      <w:r w:rsidR="00DA6594">
        <w:t>imputation</w:t>
      </w:r>
      <w:r w:rsidR="00C946D6" w:rsidRPr="00C946D6">
        <w:t xml:space="preserve"> credits</w:t>
      </w:r>
      <w:r w:rsidR="00C946D6">
        <w:t xml:space="preserve"> in the data that </w:t>
      </w:r>
      <w:r w:rsidR="00444177">
        <w:t xml:space="preserve">led </w:t>
      </w:r>
      <w:r w:rsidR="00C946D6">
        <w:t xml:space="preserve">him to 'urge all caution in using ATO statistics for any estimates of parameters concerned with </w:t>
      </w:r>
      <w:r w:rsidR="007977FD">
        <w:t>[imputation]</w:t>
      </w:r>
      <w:r w:rsidR="00C946D6">
        <w:t xml:space="preserve"> credits'.</w:t>
      </w:r>
      <w:r w:rsidR="00483D4E">
        <w:rPr>
          <w:rStyle w:val="FootnoteReference"/>
        </w:rPr>
        <w:footnoteReference w:id="65"/>
      </w:r>
    </w:p>
    <w:p w:rsidR="002D06FF" w:rsidRDefault="00702CE3" w:rsidP="00454FBE">
      <w:pPr>
        <w:pStyle w:val="AERbodytext"/>
      </w:pPr>
      <w:r>
        <w:t>With regard to Hathaway's analysis, w</w:t>
      </w:r>
      <w:r w:rsidR="00D32253">
        <w:t xml:space="preserve">e </w:t>
      </w:r>
      <w:r w:rsidR="00293592">
        <w:t>consider that tax statistics support an estimate of the utilisation rate between 0.4 and 0.6</w:t>
      </w:r>
      <w:r>
        <w:t>.</w:t>
      </w:r>
      <w:r>
        <w:rPr>
          <w:rStyle w:val="FootnoteReference"/>
        </w:rPr>
        <w:footnoteReference w:id="66"/>
      </w:r>
      <w:r w:rsidR="00293592">
        <w:t xml:space="preserve"> </w:t>
      </w:r>
      <w:r>
        <w:t xml:space="preserve">However, </w:t>
      </w:r>
      <w:r w:rsidR="00293592">
        <w:t xml:space="preserve">our estimate of the distribution rate implies that we should </w:t>
      </w:r>
      <w:r w:rsidR="00454FBE">
        <w:t>adopt</w:t>
      </w:r>
      <w:r w:rsidR="00293592">
        <w:t xml:space="preserve"> </w:t>
      </w:r>
      <w:r w:rsidR="00724D6A">
        <w:t xml:space="preserve">a </w:t>
      </w:r>
      <w:r w:rsidR="00DF5B72">
        <w:t xml:space="preserve">utilisation </w:t>
      </w:r>
      <w:r w:rsidR="00293592">
        <w:t>rate of around 0.4</w:t>
      </w:r>
      <w:r w:rsidR="00DA1377">
        <w:t>3</w:t>
      </w:r>
      <w:r w:rsidR="00454FBE">
        <w:t xml:space="preserve"> from within this range</w:t>
      </w:r>
      <w:r w:rsidR="00682BF4">
        <w:t xml:space="preserve"> for consistency</w:t>
      </w:r>
      <w:r w:rsidR="00724D6A">
        <w:t>.</w:t>
      </w:r>
      <w:r w:rsidR="00D32253">
        <w:t xml:space="preserve"> This differs from t</w:t>
      </w:r>
      <w:r w:rsidR="00C946D6">
        <w:t xml:space="preserve">he </w:t>
      </w:r>
      <w:r w:rsidR="001A69FB">
        <w:t>G</w:t>
      </w:r>
      <w:r w:rsidR="00C946D6">
        <w:t xml:space="preserve">uideline, </w:t>
      </w:r>
      <w:r w:rsidR="00D32253">
        <w:t xml:space="preserve">in which </w:t>
      </w:r>
      <w:r w:rsidR="00C946D6">
        <w:t>we considered that tax statistics supported an estimate of the utilisation rate between 0.4 and 0.8.</w:t>
      </w:r>
      <w:r w:rsidR="009C2832">
        <w:t xml:space="preserve"> </w:t>
      </w:r>
    </w:p>
    <w:p w:rsidR="00890A49" w:rsidRDefault="00635321" w:rsidP="00890A49">
      <w:pPr>
        <w:pStyle w:val="AERbodytext"/>
      </w:pPr>
      <w:r>
        <w:t xml:space="preserve">Since the </w:t>
      </w:r>
      <w:r w:rsidR="0033289B">
        <w:t>Guideline</w:t>
      </w:r>
      <w:r>
        <w:t>, we have continued to examine this evidence.</w:t>
      </w:r>
      <w:r w:rsidR="00782406">
        <w:t xml:space="preserve"> We </w:t>
      </w:r>
      <w:r w:rsidR="00890A49">
        <w:t xml:space="preserve">now </w:t>
      </w:r>
      <w:r w:rsidR="00782406">
        <w:t>consider that</w:t>
      </w:r>
      <w:r w:rsidR="00EA2BB8">
        <w:t xml:space="preserve"> </w:t>
      </w:r>
      <w:r w:rsidR="00DF5B72">
        <w:t xml:space="preserve">greater </w:t>
      </w:r>
      <w:r w:rsidR="00724D6A">
        <w:t xml:space="preserve">reliance </w:t>
      </w:r>
      <w:r w:rsidR="00EA2BB8">
        <w:t xml:space="preserve">should be </w:t>
      </w:r>
      <w:r w:rsidR="00724D6A">
        <w:t xml:space="preserve">placed </w:t>
      </w:r>
      <w:r w:rsidR="007977FD">
        <w:t>upon</w:t>
      </w:r>
      <w:r w:rsidR="00EA2BB8">
        <w:t xml:space="preserve"> estimates that are</w:t>
      </w:r>
      <w:r w:rsidR="00890A49">
        <w:t>:</w:t>
      </w:r>
    </w:p>
    <w:p w:rsidR="00972746" w:rsidRDefault="00704686" w:rsidP="00890A49">
      <w:pPr>
        <w:pStyle w:val="AERbulletlistfirststyle"/>
      </w:pPr>
      <w:r>
        <w:t>d</w:t>
      </w:r>
      <w:r w:rsidR="00EA2BB8">
        <w:t xml:space="preserve">erived from post-2004 data, </w:t>
      </w:r>
      <w:r w:rsidR="00972746">
        <w:t>consistent with Hathaway's findings that the ATO statistics are subject to a number of issues prior to 2004</w:t>
      </w:r>
      <w:r>
        <w:t>,</w:t>
      </w:r>
      <w:r w:rsidR="00EC64CF">
        <w:rPr>
          <w:rStyle w:val="FootnoteReference"/>
        </w:rPr>
        <w:footnoteReference w:id="67"/>
      </w:r>
      <w:r>
        <w:t xml:space="preserve"> and</w:t>
      </w:r>
    </w:p>
    <w:p w:rsidR="00871F88" w:rsidRDefault="00704686" w:rsidP="00890A49">
      <w:pPr>
        <w:pStyle w:val="AERbulletlistfirststyle"/>
      </w:pPr>
      <w:r>
        <w:t>c</w:t>
      </w:r>
      <w:r w:rsidR="00EA2BB8">
        <w:t xml:space="preserve">onsistent with </w:t>
      </w:r>
      <w:r w:rsidR="00C53494">
        <w:t xml:space="preserve">our </w:t>
      </w:r>
      <w:r w:rsidR="00EA2BB8">
        <w:t>preferred estimates of the distribution rate</w:t>
      </w:r>
      <w:r w:rsidR="00C53494">
        <w:t>.</w:t>
      </w:r>
    </w:p>
    <w:p w:rsidR="0099398C" w:rsidRDefault="0099398C" w:rsidP="00C53494">
      <w:pPr>
        <w:pStyle w:val="AERbodytext"/>
      </w:pPr>
      <w:r>
        <w:t xml:space="preserve">This leads us to a range of 0.4 to 0.6, with </w:t>
      </w:r>
      <w:r w:rsidR="00454FBE">
        <w:t xml:space="preserve">an </w:t>
      </w:r>
      <w:r>
        <w:t xml:space="preserve">estimate of 0.43 </w:t>
      </w:r>
      <w:r w:rsidR="00724D6A">
        <w:t xml:space="preserve">being reasonable </w:t>
      </w:r>
      <w:r>
        <w:t>because this is consistent with our estimate of the distribution rate across all equity of 0.7. We discuss our revised consideration of tax statistics in more detail in</w:t>
      </w:r>
      <w:r w:rsidR="007977FD">
        <w:t xml:space="preserve"> section </w:t>
      </w:r>
      <w:r w:rsidR="009231A8">
        <w:fldChar w:fldCharType="begin"/>
      </w:r>
      <w:r w:rsidR="009231A8">
        <w:instrText xml:space="preserve"> REF _Ref402179420 \r \h </w:instrText>
      </w:r>
      <w:r w:rsidR="009231A8">
        <w:fldChar w:fldCharType="separate"/>
      </w:r>
      <w:r w:rsidR="00927273">
        <w:t>A.13</w:t>
      </w:r>
      <w:r w:rsidR="009231A8">
        <w:fldChar w:fldCharType="end"/>
      </w:r>
      <w:r w:rsidR="007977FD">
        <w:t xml:space="preserve"> of </w:t>
      </w:r>
      <w:r w:rsidR="00CB0A52">
        <w:t>appendix</w:t>
      </w:r>
      <w:r w:rsidR="00B04695">
        <w:t xml:space="preserve"> A</w:t>
      </w:r>
      <w:r>
        <w:t>.</w:t>
      </w:r>
    </w:p>
    <w:p w:rsidR="00F01F86" w:rsidRPr="004C6F08" w:rsidRDefault="00F01F86" w:rsidP="004C6F08">
      <w:pPr>
        <w:pStyle w:val="HeadingBoldItalic"/>
      </w:pPr>
      <w:r w:rsidRPr="004C6F08">
        <w:lastRenderedPageBreak/>
        <w:t>Responses to key issues raised by stakeholders</w:t>
      </w:r>
    </w:p>
    <w:p w:rsidR="00A9774E" w:rsidRDefault="00A9774E" w:rsidP="00A14C6B">
      <w:pPr>
        <w:pStyle w:val="AERbodytext"/>
      </w:pPr>
      <w:r>
        <w:t xml:space="preserve">The service providers submitted that tax statistics, and other measures of the utilisation or redemption of imputation credits, </w:t>
      </w:r>
      <w:r w:rsidR="006B620B">
        <w:t>do not reflect a number of factors which affect investors' valuation of imputation credits</w:t>
      </w:r>
      <w:r>
        <w:t>.</w:t>
      </w:r>
      <w:r>
        <w:rPr>
          <w:rStyle w:val="FootnoteReference"/>
        </w:rPr>
        <w:footnoteReference w:id="68"/>
      </w:r>
      <w:r w:rsidR="00FB33C0">
        <w:t xml:space="preserve"> </w:t>
      </w:r>
      <w:r w:rsidR="00BD06B1">
        <w:t xml:space="preserve">We have received advice from Handley on these factors, and our responses are set out in detail in </w:t>
      </w:r>
      <w:r w:rsidR="00132F9A" w:rsidRPr="00132F9A">
        <w:t xml:space="preserve">section </w:t>
      </w:r>
      <w:r w:rsidR="002E7EA0">
        <w:fldChar w:fldCharType="begin"/>
      </w:r>
      <w:r w:rsidR="002E7EA0">
        <w:instrText xml:space="preserve"> REF _Ref400971678 \r \h </w:instrText>
      </w:r>
      <w:r w:rsidR="002E7EA0">
        <w:fldChar w:fldCharType="separate"/>
      </w:r>
      <w:r w:rsidR="00927273">
        <w:t>A.7.2</w:t>
      </w:r>
      <w:r w:rsidR="002E7EA0">
        <w:fldChar w:fldCharType="end"/>
      </w:r>
      <w:r w:rsidR="00132F9A" w:rsidRPr="00132F9A">
        <w:t xml:space="preserve"> of </w:t>
      </w:r>
      <w:r w:rsidR="00CB0A52">
        <w:t>appendix</w:t>
      </w:r>
      <w:r w:rsidR="00B04695">
        <w:t xml:space="preserve"> A</w:t>
      </w:r>
      <w:r w:rsidR="00BD06B1">
        <w:t>. In summary, we consider that such factors are either immaterial or should not be accounted for when estimating the properly defined utilisation rate.</w:t>
      </w:r>
    </w:p>
    <w:p w:rsidR="00382B8E" w:rsidRDefault="00A9774E" w:rsidP="00A701E1">
      <w:pPr>
        <w:pStyle w:val="AERbodytext"/>
      </w:pPr>
      <w:r>
        <w:t xml:space="preserve">The service providers </w:t>
      </w:r>
      <w:r w:rsidR="00FB33C0">
        <w:t xml:space="preserve">also </w:t>
      </w:r>
      <w:r>
        <w:t>submit</w:t>
      </w:r>
      <w:r w:rsidR="00FB33C0">
        <w:t>ted</w:t>
      </w:r>
      <w:r>
        <w:t xml:space="preserve"> that no weight </w:t>
      </w:r>
      <w:r w:rsidR="00880888">
        <w:t xml:space="preserve">should </w:t>
      </w:r>
      <w:r>
        <w:t>be placed on estimates of the utilisation rate from</w:t>
      </w:r>
      <w:r w:rsidR="00C53494">
        <w:t xml:space="preserve"> </w:t>
      </w:r>
      <w:r w:rsidR="00FB33C0">
        <w:t>tax statistics</w:t>
      </w:r>
      <w:r w:rsidR="00FA6B94">
        <w:t xml:space="preserve"> because of significant unresolved </w:t>
      </w:r>
      <w:r w:rsidR="00880888">
        <w:t>problems identified with the data.</w:t>
      </w:r>
      <w:r w:rsidR="00880888">
        <w:rPr>
          <w:rStyle w:val="FootnoteReference"/>
        </w:rPr>
        <w:footnoteReference w:id="69"/>
      </w:r>
      <w:r w:rsidR="00880888">
        <w:t xml:space="preserve"> </w:t>
      </w:r>
      <w:r w:rsidR="00CF6A3E">
        <w:t xml:space="preserve">In support of this, the service providers refer to the issues identified </w:t>
      </w:r>
      <w:r w:rsidR="00444177">
        <w:t xml:space="preserve">by </w:t>
      </w:r>
      <w:r w:rsidR="00CF6A3E">
        <w:t xml:space="preserve">Hathaway. We are mindful of these data concerns, and this is reflected in the level of </w:t>
      </w:r>
      <w:r w:rsidR="00D15155">
        <w:t>reliance that</w:t>
      </w:r>
      <w:r w:rsidR="00CF6A3E">
        <w:t xml:space="preserve"> we </w:t>
      </w:r>
      <w:r w:rsidR="00D15155">
        <w:t>place upon</w:t>
      </w:r>
      <w:r w:rsidR="00CF6A3E">
        <w:t xml:space="preserve"> this class of evidence. However, we also note</w:t>
      </w:r>
      <w:r w:rsidR="00A701E1">
        <w:t xml:space="preserve"> Hathaway</w:t>
      </w:r>
      <w:r w:rsidR="00177B62">
        <w:t>'s finding that</w:t>
      </w:r>
      <w:r w:rsidR="00A701E1">
        <w:t xml:space="preserve"> </w:t>
      </w:r>
      <w:r w:rsidR="00A701E1" w:rsidRPr="00A701E1">
        <w:t xml:space="preserve">the </w:t>
      </w:r>
      <w:r w:rsidR="00E93FFB">
        <w:t>amounts</w:t>
      </w:r>
      <w:r w:rsidR="00A701E1" w:rsidRPr="00A701E1">
        <w:t xml:space="preserve"> of tax paid and credits </w:t>
      </w:r>
      <w:r w:rsidR="00E93FFB">
        <w:t>utilised</w:t>
      </w:r>
      <w:r w:rsidR="00A701E1" w:rsidRPr="00A701E1">
        <w:t xml:space="preserve"> can be concluded ‘with some confidence’ and that they are ‘unlikely to be in major error’</w:t>
      </w:r>
      <w:r w:rsidR="00177B62">
        <w:t>.</w:t>
      </w:r>
      <w:r w:rsidR="00177B62">
        <w:rPr>
          <w:rStyle w:val="FootnoteReference"/>
        </w:rPr>
        <w:footnoteReference w:id="70"/>
      </w:r>
      <w:r w:rsidR="00177B62">
        <w:t xml:space="preserve"> Moreover, Hathaway </w:t>
      </w:r>
      <w:r w:rsidR="00382B8E">
        <w:t>state</w:t>
      </w:r>
      <w:r w:rsidR="00444177">
        <w:t>d</w:t>
      </w:r>
      <w:r w:rsidR="00382B8E">
        <w:t xml:space="preserve"> that:</w:t>
      </w:r>
      <w:r w:rsidR="00EE5A9A">
        <w:rPr>
          <w:rStyle w:val="FootnoteReference"/>
        </w:rPr>
        <w:footnoteReference w:id="71"/>
      </w:r>
    </w:p>
    <w:p w:rsidR="00EE5A9A" w:rsidRDefault="00382B8E" w:rsidP="00382B8E">
      <w:pPr>
        <w:pStyle w:val="AERquote"/>
      </w:pPr>
      <w:r>
        <w:t>The only reasonably reliable estimate that I can obtain from the taxation statistics is the [distribution rate], which is obtained from the [franking account balance] data.</w:t>
      </w:r>
    </w:p>
    <w:p w:rsidR="008715A3" w:rsidRDefault="009C2DFD" w:rsidP="00EE5A9A">
      <w:pPr>
        <w:pStyle w:val="AERbodytext"/>
      </w:pPr>
      <w:r>
        <w:t>W</w:t>
      </w:r>
      <w:r w:rsidR="00EE5A9A">
        <w:t xml:space="preserve">e </w:t>
      </w:r>
      <w:r>
        <w:t xml:space="preserve">therefore </w:t>
      </w:r>
      <w:r w:rsidR="00EE5A9A">
        <w:t>consider that a distribution rate of around 0.7 and a utilisation rate of 0.</w:t>
      </w:r>
      <w:r w:rsidR="00C255C5">
        <w:t>43</w:t>
      </w:r>
      <w:r w:rsidR="00454FBE">
        <w:t xml:space="preserve"> </w:t>
      </w:r>
      <w:r w:rsidR="00EE5A9A">
        <w:t>are reasonable estimates but are subject to residual data concerns</w:t>
      </w:r>
      <w:r w:rsidR="003B1D33">
        <w:t xml:space="preserve"> that should be acknowledged</w:t>
      </w:r>
      <w:r w:rsidR="00EE5A9A">
        <w:t>.</w:t>
      </w:r>
    </w:p>
    <w:p w:rsidR="008715A3" w:rsidRDefault="008715A3" w:rsidP="008715A3">
      <w:pPr>
        <w:pStyle w:val="AERbodytext"/>
      </w:pPr>
      <w:r>
        <w:t>Further, as noted above, the level of reliance that we have placed upon tax statistics is supported by expert advice from Handley and Lally.</w:t>
      </w:r>
    </w:p>
    <w:p w:rsidR="0097728A" w:rsidRDefault="0097728A" w:rsidP="00593342">
      <w:pPr>
        <w:pStyle w:val="HeadingBoldBlue"/>
      </w:pPr>
      <w:r>
        <w:t>Implied market value studies</w:t>
      </w:r>
    </w:p>
    <w:p w:rsidR="0097728A" w:rsidRDefault="007E6C27" w:rsidP="007E6C27">
      <w:pPr>
        <w:pStyle w:val="AERbodytext"/>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w:t>
      </w:r>
      <w:r w:rsidR="001A69FB">
        <w:t>A</w:t>
      </w:r>
      <w:r>
        <w:t xml:space="preserve"> </w:t>
      </w:r>
      <w:r w:rsidR="007769F5">
        <w:t>common</w:t>
      </w:r>
      <w:r w:rsidR="002500C3">
        <w:t xml:space="preserve"> </w:t>
      </w:r>
      <w:r>
        <w:t>type of implied market value study are dividend drop off studies. These studies compare the price of a security before and after a dividend is distributed. Econometric techniques are then used to infer the value of the imputation credits attached to these dividends.</w:t>
      </w:r>
      <w:r w:rsidR="00747D57">
        <w:t xml:space="preserve"> We discuss the different types of implied market value study in section </w:t>
      </w:r>
      <w:r w:rsidR="006F6B54">
        <w:fldChar w:fldCharType="begin"/>
      </w:r>
      <w:r w:rsidR="006F6B54">
        <w:instrText xml:space="preserve"> REF _Ref402791521 \r \h </w:instrText>
      </w:r>
      <w:r w:rsidR="006F6B54">
        <w:fldChar w:fldCharType="separate"/>
      </w:r>
      <w:r w:rsidR="00927273">
        <w:t>A.14.1</w:t>
      </w:r>
      <w:r w:rsidR="006F6B54">
        <w:fldChar w:fldCharType="end"/>
      </w:r>
      <w:r w:rsidR="00747D57">
        <w:t xml:space="preserve"> of </w:t>
      </w:r>
      <w:r w:rsidR="00CB0A52">
        <w:t>appendix</w:t>
      </w:r>
      <w:r w:rsidR="00B04695">
        <w:t xml:space="preserve"> A</w:t>
      </w:r>
      <w:r w:rsidR="00747D57">
        <w:t>.</w:t>
      </w:r>
    </w:p>
    <w:p w:rsidR="00A46603" w:rsidRDefault="00355F7C" w:rsidP="00F70D3C">
      <w:pPr>
        <w:pStyle w:val="AERbodytext"/>
      </w:pPr>
      <w:r>
        <w:t xml:space="preserve">Although we consider that implied market value studies provide evidence relevant to the utilisation rate, we also consider </w:t>
      </w:r>
      <w:r w:rsidR="00430B5E">
        <w:t xml:space="preserve">that these studies can be subject to a number of limitations. </w:t>
      </w:r>
      <w:r w:rsidR="00F70D3C" w:rsidRPr="00F70D3C">
        <w:t>Handley</w:t>
      </w:r>
      <w:r w:rsidR="00E1004C">
        <w:t xml:space="preserve"> consider</w:t>
      </w:r>
      <w:r w:rsidR="00445995">
        <w:t>ed</w:t>
      </w:r>
      <w:r w:rsidR="00E1004C">
        <w:t xml:space="preserve"> that dividend drop off studies are the most relevant class of implied market value study, but </w:t>
      </w:r>
      <w:r w:rsidR="00D043E8">
        <w:t xml:space="preserve">that </w:t>
      </w:r>
      <w:r w:rsidR="00E1004C">
        <w:t>they are less important to estimating the utilisation rate than the equity ownership approach and tax statistics.</w:t>
      </w:r>
      <w:r w:rsidR="00E1004C">
        <w:rPr>
          <w:rStyle w:val="FootnoteReference"/>
        </w:rPr>
        <w:footnoteReference w:id="72"/>
      </w:r>
      <w:r w:rsidR="00E1004C">
        <w:t xml:space="preserve"> </w:t>
      </w:r>
      <w:r w:rsidR="00A46603">
        <w:t>Lally identifie</w:t>
      </w:r>
      <w:r w:rsidR="00445995">
        <w:t>d</w:t>
      </w:r>
      <w:r w:rsidR="00A46603">
        <w:t xml:space="preserve"> a number of issues with using market prices to estimate the utilisation rate, and </w:t>
      </w:r>
      <w:r w:rsidR="00445995">
        <w:t xml:space="preserve">did </w:t>
      </w:r>
      <w:r w:rsidR="00A46603">
        <w:t>not prefer this approach to the equity ownership approach.</w:t>
      </w:r>
      <w:r w:rsidR="00A46603">
        <w:rPr>
          <w:rStyle w:val="FootnoteReference"/>
        </w:rPr>
        <w:footnoteReference w:id="73"/>
      </w:r>
      <w:r w:rsidR="00A46603">
        <w:t xml:space="preserve"> </w:t>
      </w:r>
    </w:p>
    <w:p w:rsidR="00A12268" w:rsidRDefault="007D1088" w:rsidP="00F70D3C">
      <w:pPr>
        <w:pStyle w:val="AERbodytext"/>
      </w:pPr>
      <w:r>
        <w:lastRenderedPageBreak/>
        <w:t>The limitations of implied market value studies include:</w:t>
      </w:r>
    </w:p>
    <w:p w:rsidR="007D1088" w:rsidRDefault="00D043E8" w:rsidP="007D1088">
      <w:pPr>
        <w:pStyle w:val="AERbulletlistfirststyle"/>
      </w:pPr>
      <w:r>
        <w:t>T</w:t>
      </w:r>
      <w:r w:rsidR="00F623B5">
        <w:t>hese</w:t>
      </w:r>
      <w:r w:rsidR="007D1088">
        <w:t xml:space="preserve"> studies </w:t>
      </w:r>
      <w:r w:rsidR="00F623B5">
        <w:t xml:space="preserve">can </w:t>
      </w:r>
      <w:r w:rsidR="007D1088">
        <w:t xml:space="preserve">produce </w:t>
      </w:r>
      <w:r w:rsidR="00BB0A43">
        <w:t>nonsensical</w:t>
      </w:r>
      <w:r w:rsidR="007D1088">
        <w:t xml:space="preserve"> estimates of the utilisation rate</w:t>
      </w:r>
      <w:r w:rsidR="00142E9F">
        <w:t>; that is,</w:t>
      </w:r>
      <w:r w:rsidR="00262966">
        <w:t xml:space="preserve"> gre</w:t>
      </w:r>
      <w:r w:rsidR="00142E9F">
        <w:t>ater than one or less than zero</w:t>
      </w:r>
      <w:r>
        <w:t>.</w:t>
      </w:r>
    </w:p>
    <w:p w:rsidR="00F623B5" w:rsidRDefault="00D043E8" w:rsidP="007D1088">
      <w:pPr>
        <w:pStyle w:val="AERbulletlistfirststyle"/>
      </w:pPr>
      <w:r>
        <w:t>T</w:t>
      </w:r>
      <w:r w:rsidR="00F623B5">
        <w:t>he results of these studies can reflect factors, such as differential personal taxes and risk, which are not relevant to the utilisation rate</w:t>
      </w:r>
      <w:r>
        <w:t>.</w:t>
      </w:r>
    </w:p>
    <w:p w:rsidR="00F24D56" w:rsidRDefault="00D043E8" w:rsidP="007D1088">
      <w:pPr>
        <w:pStyle w:val="AERbulletlistfirststyle"/>
      </w:pPr>
      <w:r>
        <w:t>T</w:t>
      </w:r>
      <w:r w:rsidR="00201EEC">
        <w:t>he</w:t>
      </w:r>
      <w:r w:rsidR="00F623B5">
        <w:t xml:space="preserve"> </w:t>
      </w:r>
      <w:r w:rsidR="004546C0">
        <w:t>results of these studies might not be reflective</w:t>
      </w:r>
      <w:r w:rsidR="00262966">
        <w:t xml:space="preserve"> of the value of imputation credits to</w:t>
      </w:r>
      <w:r w:rsidR="006E6D72">
        <w:t xml:space="preserve"> investors in</w:t>
      </w:r>
      <w:r w:rsidR="00262966">
        <w:t xml:space="preserve"> the market as a whole</w:t>
      </w:r>
      <w:r>
        <w:t>.</w:t>
      </w:r>
      <w:r w:rsidR="00F623B5">
        <w:t xml:space="preserve"> </w:t>
      </w:r>
    </w:p>
    <w:p w:rsidR="002A25EE" w:rsidRDefault="00D043E8" w:rsidP="007D1088">
      <w:pPr>
        <w:pStyle w:val="AERbulletlistfirststyle"/>
      </w:pPr>
      <w:r>
        <w:t>T</w:t>
      </w:r>
      <w:r w:rsidR="00F24D56">
        <w:t xml:space="preserve">hese studies can </w:t>
      </w:r>
      <w:r w:rsidR="00552F5F">
        <w:t xml:space="preserve">be data intensive and </w:t>
      </w:r>
      <w:r w:rsidR="00F24D56">
        <w:t xml:space="preserve">employ complex </w:t>
      </w:r>
      <w:r w:rsidR="00552F5F">
        <w:t xml:space="preserve">and sometimes problematic estimation </w:t>
      </w:r>
      <w:r w:rsidR="00F24D56">
        <w:t>methodol</w:t>
      </w:r>
      <w:r w:rsidR="00552F5F">
        <w:t>ogies</w:t>
      </w:r>
      <w:r>
        <w:t>.</w:t>
      </w:r>
    </w:p>
    <w:p w:rsidR="002A25EE" w:rsidRDefault="00D043E8" w:rsidP="00D264A3">
      <w:pPr>
        <w:pStyle w:val="AERbulletlistfirststyle"/>
      </w:pPr>
      <w:r>
        <w:t>R</w:t>
      </w:r>
      <w:r w:rsidR="00C60278">
        <w:t xml:space="preserve">egarding dividend drop off studies, </w:t>
      </w:r>
      <w:r w:rsidR="00BB0A43">
        <w:t>it is only</w:t>
      </w:r>
      <w:r w:rsidR="00C60278">
        <w:t xml:space="preserve"> </w:t>
      </w:r>
      <w:r w:rsidR="00C60278" w:rsidRPr="00C60278">
        <w:t xml:space="preserve">the value of </w:t>
      </w:r>
      <w:r w:rsidR="00BB0A43">
        <w:t xml:space="preserve">the combined package of </w:t>
      </w:r>
      <w:r w:rsidR="00C60278" w:rsidRPr="00C60278">
        <w:t xml:space="preserve">dividends and </w:t>
      </w:r>
      <w:r w:rsidR="009227F3">
        <w:t>imputation</w:t>
      </w:r>
      <w:r w:rsidR="00C60278">
        <w:t xml:space="preserve"> credits </w:t>
      </w:r>
      <w:r w:rsidR="00BB0A43">
        <w:t>that can be observed in the market, and there is no consensus among experts on how to separate the value to the market of dividends from the value to the market of imputation credits (this is referred to as the 'allocation problem')</w:t>
      </w:r>
      <w:r w:rsidR="00D264A3">
        <w:t>.</w:t>
      </w:r>
    </w:p>
    <w:p w:rsidR="002A25EE" w:rsidRDefault="002A25EE" w:rsidP="002A25EE">
      <w:pPr>
        <w:pStyle w:val="AERbodytext"/>
      </w:pPr>
      <w:r>
        <w:t xml:space="preserve">The limitations of dividend drop off studies are discussed in more detail in </w:t>
      </w:r>
      <w:r w:rsidR="003854B2" w:rsidRPr="003854B2">
        <w:t xml:space="preserve">section </w:t>
      </w:r>
      <w:r w:rsidR="006F6B54">
        <w:fldChar w:fldCharType="begin"/>
      </w:r>
      <w:r w:rsidR="006F6B54">
        <w:instrText xml:space="preserve"> REF _Ref401276227 \r \h </w:instrText>
      </w:r>
      <w:r w:rsidR="006F6B54">
        <w:fldChar w:fldCharType="separate"/>
      </w:r>
      <w:r w:rsidR="00927273">
        <w:t>A.15</w:t>
      </w:r>
      <w:r w:rsidR="006F6B54">
        <w:fldChar w:fldCharType="end"/>
      </w:r>
      <w:r w:rsidR="003854B2" w:rsidRPr="003854B2">
        <w:t xml:space="preserve"> of </w:t>
      </w:r>
      <w:r w:rsidR="00CB0A52">
        <w:t>appendix</w:t>
      </w:r>
      <w:r w:rsidR="00B04695">
        <w:t xml:space="preserve"> A</w:t>
      </w:r>
      <w:r>
        <w:t>.</w:t>
      </w:r>
    </w:p>
    <w:p w:rsidR="00C768B1" w:rsidRDefault="00BE7675" w:rsidP="002A25EE">
      <w:pPr>
        <w:pStyle w:val="AERbodytext"/>
      </w:pPr>
      <w:r>
        <w:t xml:space="preserve">The available implied market value studies produce estimates for the utilisation rate between 0 and 1, with some studies even producing estimates outside this range. We </w:t>
      </w:r>
      <w:r w:rsidR="007F09E1">
        <w:t xml:space="preserve">summarise </w:t>
      </w:r>
      <w:r>
        <w:t xml:space="preserve">the </w:t>
      </w:r>
      <w:r w:rsidR="007F09E1">
        <w:t xml:space="preserve">available studies and their results </w:t>
      </w:r>
      <w:r>
        <w:t xml:space="preserve">in </w:t>
      </w:r>
      <w:r w:rsidR="003854B2" w:rsidRPr="003854B2">
        <w:t xml:space="preserve">section </w:t>
      </w:r>
      <w:r w:rsidR="006F6B54">
        <w:fldChar w:fldCharType="begin"/>
      </w:r>
      <w:r w:rsidR="006F6B54">
        <w:instrText xml:space="preserve"> REF _Ref403482459 \r \h </w:instrText>
      </w:r>
      <w:r w:rsidR="006F6B54">
        <w:fldChar w:fldCharType="separate"/>
      </w:r>
      <w:r w:rsidR="00927273">
        <w:t>A.14.2</w:t>
      </w:r>
      <w:r w:rsidR="006F6B54">
        <w:fldChar w:fldCharType="end"/>
      </w:r>
      <w:r w:rsidR="003854B2" w:rsidRPr="003854B2">
        <w:t xml:space="preserve"> of </w:t>
      </w:r>
      <w:r w:rsidR="00CB0A52">
        <w:t>appendix</w:t>
      </w:r>
      <w:r w:rsidR="00B04695">
        <w:t xml:space="preserve"> A</w:t>
      </w:r>
      <w:r>
        <w:t xml:space="preserve">. </w:t>
      </w:r>
      <w:r w:rsidR="00C768B1">
        <w:t>Opinion on the merit</w:t>
      </w:r>
      <w:r w:rsidR="00F06935">
        <w:t>s</w:t>
      </w:r>
      <w:r w:rsidR="00C768B1">
        <w:t xml:space="preserve"> of the various studies differs:</w:t>
      </w:r>
    </w:p>
    <w:p w:rsidR="00BE7675" w:rsidRDefault="00C768B1" w:rsidP="00C768B1">
      <w:pPr>
        <w:pStyle w:val="AERbulletlistfirststyle"/>
      </w:pPr>
      <w:r>
        <w:t>SFG consider</w:t>
      </w:r>
      <w:r w:rsidR="007F023B">
        <w:t>ed</w:t>
      </w:r>
      <w:r>
        <w:t xml:space="preserve"> that implied market value studies should be relied upon exclusively when estimating the utilisation rate. Moreover, it consider</w:t>
      </w:r>
      <w:r w:rsidR="007F023B">
        <w:t>ed</w:t>
      </w:r>
      <w:r>
        <w:t xml:space="preserve"> that dividend drop off studies should be preferred to alternative market studies, and that there is no reasonable basis for adopting an estimate from dividend drop off analysis above the 0.35 estimate from its study.</w:t>
      </w:r>
      <w:r w:rsidR="006324A0">
        <w:rPr>
          <w:rStyle w:val="FootnoteReference"/>
        </w:rPr>
        <w:footnoteReference w:id="74"/>
      </w:r>
    </w:p>
    <w:p w:rsidR="00C768B1" w:rsidRDefault="00C768B1" w:rsidP="00C768B1">
      <w:pPr>
        <w:pStyle w:val="AERbulletlistfirststyle"/>
      </w:pPr>
      <w:r>
        <w:t xml:space="preserve">The </w:t>
      </w:r>
      <w:r w:rsidR="007F023B">
        <w:t>Economic Regulation Authority of Western Australia (</w:t>
      </w:r>
      <w:r>
        <w:t>ERA</w:t>
      </w:r>
      <w:r w:rsidR="007F023B">
        <w:t>)</w:t>
      </w:r>
      <w:r>
        <w:t xml:space="preserve">, which at present relies exclusively on dividend drop off studies when estimating the utilisation rate, conducted its own </w:t>
      </w:r>
      <w:r w:rsidR="00AB25EB">
        <w:t xml:space="preserve">dividend drop off </w:t>
      </w:r>
      <w:r>
        <w:t xml:space="preserve">study and </w:t>
      </w:r>
      <w:r w:rsidR="007F023B">
        <w:t xml:space="preserve">concluded </w:t>
      </w:r>
      <w:r>
        <w:t>that a reasonable estimate is between 0.35 and 0.55.</w:t>
      </w:r>
      <w:r w:rsidR="006324A0">
        <w:rPr>
          <w:rStyle w:val="FootnoteReference"/>
        </w:rPr>
        <w:footnoteReference w:id="75"/>
      </w:r>
    </w:p>
    <w:p w:rsidR="00C768B1" w:rsidRDefault="00C768B1" w:rsidP="00C768B1">
      <w:pPr>
        <w:pStyle w:val="AERbulletlistfirststyle"/>
      </w:pPr>
      <w:r>
        <w:t xml:space="preserve">Lally </w:t>
      </w:r>
      <w:r w:rsidR="00A568A5">
        <w:t>concurred with the view</w:t>
      </w:r>
      <w:r w:rsidR="007F023B">
        <w:t xml:space="preserve"> </w:t>
      </w:r>
      <w:r>
        <w:t xml:space="preserve">that implied market value studies </w:t>
      </w:r>
      <w:r w:rsidR="00A568A5">
        <w:t>'warrant low weight'</w:t>
      </w:r>
      <w:r>
        <w:t xml:space="preserve">, but </w:t>
      </w:r>
      <w:r w:rsidR="00A568A5">
        <w:t xml:space="preserve">suggested </w:t>
      </w:r>
      <w:r>
        <w:t>that some studies are more useful than others based on their characteristics.</w:t>
      </w:r>
      <w:r w:rsidR="006324A0">
        <w:rPr>
          <w:rStyle w:val="FootnoteReference"/>
        </w:rPr>
        <w:footnoteReference w:id="76"/>
      </w:r>
    </w:p>
    <w:p w:rsidR="00C768B1" w:rsidRDefault="00C768B1" w:rsidP="00C768B1">
      <w:pPr>
        <w:pStyle w:val="AERbulletlistfirststyle"/>
      </w:pPr>
      <w:r>
        <w:t>McKenzie and Partington consider</w:t>
      </w:r>
      <w:r w:rsidR="007F023B">
        <w:t>ed</w:t>
      </w:r>
      <w:r>
        <w:t xml:space="preserve"> that there is no obvious </w:t>
      </w:r>
      <w:r w:rsidR="00AB25EB">
        <w:t>manner in which to weigh the results from various studies based on their characteristics. They observe</w:t>
      </w:r>
      <w:r w:rsidR="007F023B">
        <w:t>d</w:t>
      </w:r>
      <w:r w:rsidR="00AB25EB">
        <w:t xml:space="preserve"> that a simple average of the results from a reasonably comprehensive sample of studies suggests an estimate of the utilisation rate of 0.53. They also note</w:t>
      </w:r>
      <w:r w:rsidR="007F023B">
        <w:t>d</w:t>
      </w:r>
      <w:r w:rsidR="00AB25EB">
        <w:t xml:space="preserve"> that their own studies suggest a significantly higher estimate of 0.83.</w:t>
      </w:r>
      <w:r w:rsidR="006324A0">
        <w:rPr>
          <w:rStyle w:val="FootnoteReference"/>
        </w:rPr>
        <w:footnoteReference w:id="77"/>
      </w:r>
    </w:p>
    <w:p w:rsidR="00BE05DE" w:rsidRDefault="00BE05DE" w:rsidP="002A25EE">
      <w:pPr>
        <w:pStyle w:val="AERbodytext"/>
      </w:pPr>
      <w:r>
        <w:t>In light of these differing views</w:t>
      </w:r>
      <w:r w:rsidR="008F2F1C">
        <w:t xml:space="preserve"> and the range of estimates, we </w:t>
      </w:r>
      <w:r>
        <w:t xml:space="preserve">consider that implied market value studies </w:t>
      </w:r>
      <w:r w:rsidR="008F2F1C">
        <w:t>provide limited guidance. However,</w:t>
      </w:r>
      <w:r>
        <w:t xml:space="preserve"> we note that the estimates of the utilisation rate from the equity ownership approach and tax statistics sit within the broad range</w:t>
      </w:r>
      <w:r w:rsidR="008F2F1C">
        <w:t xml:space="preserve"> of estimates from this class of evidence</w:t>
      </w:r>
      <w:r w:rsidR="0061378D">
        <w:t>.</w:t>
      </w:r>
      <w:r w:rsidR="008F2F1C">
        <w:t xml:space="preserve"> </w:t>
      </w:r>
      <w:r w:rsidR="0061378D">
        <w:t>T</w:t>
      </w:r>
      <w:r w:rsidR="008F2F1C">
        <w:t xml:space="preserve">his </w:t>
      </w:r>
      <w:r w:rsidR="0061378D">
        <w:t>provides a degree of support for</w:t>
      </w:r>
      <w:r w:rsidR="008F2F1C">
        <w:t xml:space="preserve"> estimates from the equity ownership approach and tax statistics.</w:t>
      </w:r>
      <w:r>
        <w:t xml:space="preserve"> </w:t>
      </w:r>
    </w:p>
    <w:p w:rsidR="00A546F0" w:rsidRDefault="008F2F1C" w:rsidP="002A25EE">
      <w:pPr>
        <w:pStyle w:val="AERbodytext"/>
      </w:pPr>
      <w:r>
        <w:lastRenderedPageBreak/>
        <w:t xml:space="preserve">Our assessment of implied market value studies differs to that in the </w:t>
      </w:r>
      <w:r w:rsidR="00BB0A43">
        <w:t>G</w:t>
      </w:r>
      <w:r>
        <w:t xml:space="preserve">uideline. </w:t>
      </w:r>
      <w:r w:rsidR="00A546F0">
        <w:t xml:space="preserve">In the </w:t>
      </w:r>
      <w:r w:rsidR="00BB0A43">
        <w:t>G</w:t>
      </w:r>
      <w:r w:rsidR="00A546F0">
        <w:t>uideline, we considered that implied market value studies supported an estimate of the utilisation rate between 0 and 0.5. This range was determined with regard to</w:t>
      </w:r>
      <w:r w:rsidR="00AC49A6">
        <w:t xml:space="preserve"> </w:t>
      </w:r>
      <w:r w:rsidR="001F65CB">
        <w:t>a</w:t>
      </w:r>
      <w:r w:rsidR="00A546F0">
        <w:t xml:space="preserve"> range of studies, with higher regard given to those studies that:</w:t>
      </w:r>
    </w:p>
    <w:p w:rsidR="00A546F0" w:rsidRDefault="00B747B6" w:rsidP="00A546F0">
      <w:pPr>
        <w:pStyle w:val="AERbulletlistfirststyle"/>
      </w:pPr>
      <w:r>
        <w:t>u</w:t>
      </w:r>
      <w:r w:rsidR="00A546F0">
        <w:t>sed longer data periods</w:t>
      </w:r>
    </w:p>
    <w:p w:rsidR="00A546F0" w:rsidRDefault="00B747B6" w:rsidP="009C2DFD">
      <w:pPr>
        <w:pStyle w:val="AERbulletlistfirststyle"/>
      </w:pPr>
      <w:r>
        <w:t>u</w:t>
      </w:r>
      <w:r w:rsidR="00A546F0">
        <w:t>sed data</w:t>
      </w:r>
      <w:r w:rsidR="009C2DFD">
        <w:t xml:space="preserve"> since 2000, </w:t>
      </w:r>
      <w:r w:rsidR="009C2DFD" w:rsidRPr="009C2DFD">
        <w:t>when the change in tax law entitled eligible investors to a refund of credits that exceeded their tax liability</w:t>
      </w:r>
    </w:p>
    <w:p w:rsidR="00B747B6" w:rsidRDefault="00B747B6" w:rsidP="00A546F0">
      <w:pPr>
        <w:pStyle w:val="AERbulletlistfirststyle"/>
      </w:pPr>
      <w:r>
        <w:t>e</w:t>
      </w:r>
      <w:r w:rsidR="00A546F0">
        <w:t>ncompassed the breadth of the market instead of just selected firms</w:t>
      </w:r>
      <w:r w:rsidR="00F900C7">
        <w:t>, and</w:t>
      </w:r>
    </w:p>
    <w:p w:rsidR="00B747B6" w:rsidRDefault="00B747B6" w:rsidP="00A546F0">
      <w:pPr>
        <w:pStyle w:val="AERbulletlistfirststyle"/>
      </w:pPr>
      <w:r>
        <w:t>appeared to use more reasonable and robust econometric treatments.</w:t>
      </w:r>
    </w:p>
    <w:p w:rsidR="005E3DF0" w:rsidRDefault="005E3DF0" w:rsidP="001F65CB">
      <w:pPr>
        <w:pStyle w:val="AERbodytext"/>
      </w:pPr>
      <w:r>
        <w:t xml:space="preserve">However, with regard mainly to the </w:t>
      </w:r>
      <w:r w:rsidR="00196E27">
        <w:t>view</w:t>
      </w:r>
      <w:r>
        <w:t xml:space="preserve"> of McKenzie and Partington</w:t>
      </w:r>
      <w:r w:rsidR="00196E27">
        <w:t xml:space="preserve"> that there is no obvious manner by which the results of implied market value studies should be filtered</w:t>
      </w:r>
      <w:r>
        <w:t xml:space="preserve">, we no longer propose </w:t>
      </w:r>
      <w:r w:rsidR="00196E27">
        <w:t>to do so.</w:t>
      </w:r>
      <w:r w:rsidR="009F71E6">
        <w:rPr>
          <w:rStyle w:val="FootnoteReference"/>
        </w:rPr>
        <w:footnoteReference w:id="78"/>
      </w:r>
    </w:p>
    <w:p w:rsidR="001B44AD" w:rsidRDefault="008F2F1C" w:rsidP="001F65CB">
      <w:pPr>
        <w:pStyle w:val="AERbodytext"/>
      </w:pPr>
      <w:r>
        <w:t xml:space="preserve">A further issue regarding implied market value studies is the appropriate interpretation of their results. Handley and Lally </w:t>
      </w:r>
      <w:r w:rsidR="00F30FFC">
        <w:t xml:space="preserve">both </w:t>
      </w:r>
      <w:r>
        <w:t>advise</w:t>
      </w:r>
      <w:r w:rsidR="007F023B">
        <w:t>d</w:t>
      </w:r>
      <w:r w:rsidR="00F30FFC">
        <w:t xml:space="preserve"> that </w:t>
      </w:r>
      <w:r w:rsidR="00440BC3">
        <w:t>in the rate of return framework we use investors are assumed to value a dollar of dividends at one dollar. However, the results of implied market value studies can reflect certain factors that cause an investor to value a dollar of dividends at less than one dollar</w:t>
      </w:r>
      <w:r w:rsidR="001F65CB">
        <w:t xml:space="preserve"> (such as personal tax circumstances)</w:t>
      </w:r>
      <w:r w:rsidR="00440BC3">
        <w:t xml:space="preserve">. Moreover, </w:t>
      </w:r>
      <w:r w:rsidR="00EC17FD">
        <w:t xml:space="preserve">any </w:t>
      </w:r>
      <w:r w:rsidR="00440BC3">
        <w:t xml:space="preserve">such factors </w:t>
      </w:r>
      <w:r w:rsidR="00EC17FD">
        <w:t>will also affect investors' valuation of imputation credits. Handley and Lally advise</w:t>
      </w:r>
      <w:r w:rsidR="00A5075C">
        <w:t>d</w:t>
      </w:r>
      <w:r w:rsidR="00EC17FD">
        <w:t xml:space="preserve"> that </w:t>
      </w:r>
      <w:r w:rsidR="00F30FFC">
        <w:t>the desired estimate of the utilisation rate should exclude t</w:t>
      </w:r>
      <w:r w:rsidR="00EC17FD">
        <w:t>he effect of these</w:t>
      </w:r>
      <w:r w:rsidR="00F30FFC">
        <w:t xml:space="preserve"> factors</w:t>
      </w:r>
      <w:r w:rsidR="00EC17FD">
        <w:t>. To remove the effect, they advise</w:t>
      </w:r>
      <w:r w:rsidR="003B3BCC">
        <w:t>d</w:t>
      </w:r>
      <w:r w:rsidR="00EC17FD">
        <w:t xml:space="preserve"> that the estimate of the utilisation rate from a </w:t>
      </w:r>
      <w:r w:rsidR="002D5583">
        <w:t>given</w:t>
      </w:r>
      <w:r w:rsidR="00EC17FD">
        <w:t xml:space="preserve"> study </w:t>
      </w:r>
      <w:r w:rsidR="001F65CB">
        <w:t xml:space="preserve">can </w:t>
      </w:r>
      <w:r w:rsidR="00EC17FD">
        <w:t>be divided by investors' estimated valuation of dividends from the same study.</w:t>
      </w:r>
      <w:r w:rsidR="00255370">
        <w:rPr>
          <w:rStyle w:val="FootnoteReference"/>
        </w:rPr>
        <w:footnoteReference w:id="79"/>
      </w:r>
      <w:r w:rsidR="00EC17FD">
        <w:t xml:space="preserve"> </w:t>
      </w:r>
      <w:r w:rsidR="00C01828">
        <w:t>Therefore, Handley and Lally advise</w:t>
      </w:r>
      <w:r w:rsidR="003B3BCC">
        <w:t>d</w:t>
      </w:r>
      <w:r w:rsidR="00C01828">
        <w:t xml:space="preserve"> that the 0.35 estimate from SFG's </w:t>
      </w:r>
      <w:r w:rsidR="00082C99">
        <w:t>dividend drop off study should in fact be interpreted as an es</w:t>
      </w:r>
      <w:r w:rsidR="00E12B46">
        <w:t>timate of around 0.</w:t>
      </w:r>
      <w:r w:rsidR="009C06D6">
        <w:t>4.</w:t>
      </w:r>
      <w:r w:rsidR="00E12B46">
        <w:t xml:space="preserve"> T</w:t>
      </w:r>
      <w:r w:rsidR="00082C99">
        <w:t xml:space="preserve">his interpretation issue applies to other implied market value studies where </w:t>
      </w:r>
      <w:r w:rsidR="002D5583">
        <w:t>investors' estimated valuation of dividends is less than one dollar</w:t>
      </w:r>
      <w:r w:rsidR="00082C99">
        <w:t>. This includes the ERA study</w:t>
      </w:r>
      <w:r w:rsidR="00720C74">
        <w:t xml:space="preserve">. Given </w:t>
      </w:r>
      <w:r w:rsidR="00E12B46">
        <w:t>a coefficient on dividends in that study of 0.88, the adjusted range of estimates for the utilisation rate is 0.4 to 0.63.</w:t>
      </w:r>
      <w:r w:rsidR="009C06D6">
        <w:rPr>
          <w:rStyle w:val="FootnoteReference"/>
        </w:rPr>
        <w:footnoteReference w:id="80"/>
      </w:r>
      <w:r w:rsidR="008F44FB">
        <w:t xml:space="preserve"> </w:t>
      </w:r>
      <w:r w:rsidR="00923811">
        <w:t xml:space="preserve">McKenzie and </w:t>
      </w:r>
      <w:proofErr w:type="spellStart"/>
      <w:r w:rsidR="00923811">
        <w:t>Partington's</w:t>
      </w:r>
      <w:proofErr w:type="spellEnd"/>
      <w:r w:rsidR="00923811">
        <w:t xml:space="preserve"> average estimate of 0.53 will also be higher when the adjustment is applied to the </w:t>
      </w:r>
      <w:r w:rsidR="009C06D6">
        <w:t xml:space="preserve">results from the </w:t>
      </w:r>
      <w:r w:rsidR="00923811">
        <w:t>studies</w:t>
      </w:r>
      <w:r w:rsidR="009C06D6">
        <w:t xml:space="preserve"> to which they have regard.</w:t>
      </w:r>
      <w:r w:rsidR="00923811">
        <w:t xml:space="preserve"> </w:t>
      </w:r>
    </w:p>
    <w:p w:rsidR="00271051" w:rsidRPr="004C6F08" w:rsidRDefault="00271051" w:rsidP="004C6F08">
      <w:pPr>
        <w:pStyle w:val="HeadingBoldItalic"/>
      </w:pPr>
      <w:r w:rsidRPr="004C6F08">
        <w:t>Responses to key issues raised by stakeholders</w:t>
      </w:r>
    </w:p>
    <w:p w:rsidR="00ED2D35" w:rsidRDefault="00024280" w:rsidP="00C42707">
      <w:pPr>
        <w:pStyle w:val="AERbodytext"/>
      </w:pPr>
      <w:r>
        <w:t>The service providers submitted that the only source of evidence that can be used to derive a point estimate of the utilisation rate is market value evidence.</w:t>
      </w:r>
      <w:r w:rsidR="00C14E99">
        <w:rPr>
          <w:rStyle w:val="FootnoteReference"/>
        </w:rPr>
        <w:footnoteReference w:id="81"/>
      </w:r>
      <w:r>
        <w:t xml:space="preserve"> </w:t>
      </w:r>
      <w:r w:rsidR="00C14E99">
        <w:t xml:space="preserve">We disagree. </w:t>
      </w:r>
      <w:r w:rsidR="008969F7">
        <w:t>There is no consensus that only market value evidence is relevant. Moreover, the views of Handley, Lally and McKenzie and Partington</w:t>
      </w:r>
      <w:r w:rsidR="008E38E8">
        <w:t>, which have already been discussed,</w:t>
      </w:r>
      <w:r w:rsidR="008969F7">
        <w:t xml:space="preserve"> support the wider range of evidence to which we have regard.</w:t>
      </w:r>
    </w:p>
    <w:p w:rsidR="001D4597" w:rsidRDefault="00ED2D35" w:rsidP="008A4A47">
      <w:pPr>
        <w:pStyle w:val="AERbodytext"/>
      </w:pPr>
      <w:r>
        <w:lastRenderedPageBreak/>
        <w:t xml:space="preserve">The service providers also submitted </w:t>
      </w:r>
      <w:r w:rsidR="001D4597">
        <w:t>that not all dividend drop off studies should be given equal weight. Instead, the service providers submitted that the choice of relevant study must take into account:</w:t>
      </w:r>
      <w:r w:rsidR="008E38E8">
        <w:rPr>
          <w:rStyle w:val="FootnoteReference"/>
        </w:rPr>
        <w:footnoteReference w:id="82"/>
      </w:r>
    </w:p>
    <w:p w:rsidR="001D4597" w:rsidRDefault="001D4597" w:rsidP="001D4597">
      <w:pPr>
        <w:pStyle w:val="AERbulletlistfirststyle"/>
      </w:pPr>
      <w:r>
        <w:t xml:space="preserve">the time period covered (specifically, </w:t>
      </w:r>
      <w:r w:rsidR="00EA6BDF">
        <w:t>data should come from the period since 2000, when the change in tax law entitled eligible investors to a refund of credits that exceeded their tax liability</w:t>
      </w:r>
      <w:r>
        <w:t>)</w:t>
      </w:r>
      <w:r w:rsidR="008E38E8">
        <w:t>, and</w:t>
      </w:r>
    </w:p>
    <w:p w:rsidR="001D4597" w:rsidRDefault="001D4597" w:rsidP="001D4597">
      <w:pPr>
        <w:pStyle w:val="AERbulletlistfirststyle"/>
      </w:pPr>
      <w:r>
        <w:t xml:space="preserve">the robustness of the methodology and the data relied </w:t>
      </w:r>
      <w:r w:rsidR="008E38E8">
        <w:t>up</w:t>
      </w:r>
      <w:r>
        <w:t>on.</w:t>
      </w:r>
    </w:p>
    <w:p w:rsidR="001D4597" w:rsidRDefault="001D4597" w:rsidP="001D4597">
      <w:pPr>
        <w:pStyle w:val="AERbodytext"/>
      </w:pPr>
      <w:r>
        <w:t xml:space="preserve">These are reasonable </w:t>
      </w:r>
      <w:r w:rsidR="008A1EB1">
        <w:t xml:space="preserve">filters </w:t>
      </w:r>
      <w:r>
        <w:t xml:space="preserve">to apply, and we applied similar </w:t>
      </w:r>
      <w:r w:rsidR="008A1EB1">
        <w:t xml:space="preserve">filters </w:t>
      </w:r>
      <w:r>
        <w:t xml:space="preserve">when considering the results of dividend drop off studies for the purposes of the </w:t>
      </w:r>
      <w:r w:rsidR="0033289B">
        <w:t>Guideline</w:t>
      </w:r>
      <w:r>
        <w:t xml:space="preserve">. However, </w:t>
      </w:r>
      <w:r w:rsidR="004E23C8">
        <w:t xml:space="preserve">we now </w:t>
      </w:r>
      <w:r>
        <w:t>consider that:</w:t>
      </w:r>
    </w:p>
    <w:p w:rsidR="002A3A61" w:rsidRDefault="00B92A7B" w:rsidP="00B92A7B">
      <w:pPr>
        <w:pStyle w:val="AERbulletlistfirststyle"/>
      </w:pPr>
      <w:r>
        <w:t>Studies that use</w:t>
      </w:r>
      <w:r w:rsidR="002A3A61">
        <w:t xml:space="preserve"> pre-2000 data need not be </w:t>
      </w:r>
      <w:r>
        <w:t>strictly disregarded</w:t>
      </w:r>
      <w:r w:rsidR="002A3A61">
        <w:t xml:space="preserve">. This is because results from these studies can be interpreted with </w:t>
      </w:r>
      <w:r>
        <w:t xml:space="preserve">due regard to this limitation; specifically, </w:t>
      </w:r>
      <w:r w:rsidR="004E23C8">
        <w:t>one can consider that the results from these studies indicate a value of distributed credits that it is almost certainly lower than it would have been were investors at the time entitled to a refund of excess credits.</w:t>
      </w:r>
    </w:p>
    <w:p w:rsidR="004019E3" w:rsidRDefault="00B22D39" w:rsidP="008F3EBF">
      <w:pPr>
        <w:pStyle w:val="AERbulletlistfirststyle"/>
      </w:pPr>
      <w:r>
        <w:t>The</w:t>
      </w:r>
      <w:r w:rsidR="00FD3A9E">
        <w:t xml:space="preserve"> </w:t>
      </w:r>
      <w:r w:rsidR="003B3BCC">
        <w:t xml:space="preserve">reports </w:t>
      </w:r>
      <w:r w:rsidR="00FD3A9E">
        <w:t>by</w:t>
      </w:r>
      <w:r w:rsidR="004E23C8">
        <w:t xml:space="preserve"> Lally </w:t>
      </w:r>
      <w:r w:rsidR="00FD3A9E">
        <w:t>and</w:t>
      </w:r>
      <w:r w:rsidR="004E23C8">
        <w:t xml:space="preserve"> McKenzie and Partington </w:t>
      </w:r>
      <w:r w:rsidR="00FD3A9E">
        <w:t>provide no indication</w:t>
      </w:r>
      <w:r w:rsidR="004E23C8">
        <w:t xml:space="preserve"> that </w:t>
      </w:r>
      <w:r w:rsidR="00FD3A9E">
        <w:t xml:space="preserve">a consensus exists </w:t>
      </w:r>
      <w:r w:rsidR="008F3EBF">
        <w:t>as to</w:t>
      </w:r>
      <w:r w:rsidR="00FD3A9E">
        <w:t xml:space="preserve"> the best method by which the value of distributed imputation credits can be inferred from market prices.</w:t>
      </w:r>
      <w:r w:rsidR="00FD3A9E">
        <w:rPr>
          <w:rStyle w:val="FootnoteReference"/>
        </w:rPr>
        <w:footnoteReference w:id="83"/>
      </w:r>
      <w:r w:rsidR="00FD3A9E">
        <w:t xml:space="preserve"> </w:t>
      </w:r>
    </w:p>
    <w:p w:rsidR="00EC40B9" w:rsidRDefault="00EC53DB" w:rsidP="00EC40B9">
      <w:pPr>
        <w:pStyle w:val="AERbodytext"/>
      </w:pPr>
      <w:r>
        <w:t>SFG has addressed</w:t>
      </w:r>
      <w:r w:rsidR="00EC40B9">
        <w:t xml:space="preserve"> </w:t>
      </w:r>
      <w:r w:rsidR="00A475B1">
        <w:t>Lally's</w:t>
      </w:r>
      <w:r w:rsidR="00EC40B9">
        <w:t xml:space="preserve"> </w:t>
      </w:r>
      <w:r>
        <w:t>view</w:t>
      </w:r>
      <w:r w:rsidR="00EC40B9">
        <w:t xml:space="preserve"> that estimates of the utilisation rate from implied market value studies should be adjust</w:t>
      </w:r>
      <w:r w:rsidR="001F65CB">
        <w:t>ed by investors' estimated valuation of</w:t>
      </w:r>
      <w:r w:rsidR="00EC40B9">
        <w:t xml:space="preserve"> dividends.</w:t>
      </w:r>
      <w:r w:rsidR="00EC40B9">
        <w:rPr>
          <w:rStyle w:val="FootnoteReference"/>
        </w:rPr>
        <w:footnoteReference w:id="84"/>
      </w:r>
      <w:r w:rsidR="002B6BD6">
        <w:t xml:space="preserve"> In its discussion, SFG </w:t>
      </w:r>
      <w:r w:rsidR="00EC40B9">
        <w:t>note</w:t>
      </w:r>
      <w:r w:rsidR="003B3BCC">
        <w:t>d</w:t>
      </w:r>
      <w:r w:rsidR="00EC40B9">
        <w:t xml:space="preserve"> that divid</w:t>
      </w:r>
      <w:r w:rsidR="002B6BD6">
        <w:t xml:space="preserve">end drop off estimates of </w:t>
      </w:r>
      <w:r w:rsidR="001F65CB">
        <w:t>the value of distributed credits</w:t>
      </w:r>
      <w:r w:rsidR="002B6BD6">
        <w:t xml:space="preserve"> reflect the combined effect of three categories of reasons why imputation credits are likely to have a value less than their face value:</w:t>
      </w:r>
      <w:r w:rsidR="008270B6">
        <w:rPr>
          <w:rStyle w:val="FootnoteReference"/>
        </w:rPr>
        <w:footnoteReference w:id="85"/>
      </w:r>
    </w:p>
    <w:p w:rsidR="002B6BD6" w:rsidRDefault="00731ECA" w:rsidP="00731ECA">
      <w:pPr>
        <w:pStyle w:val="AERquote"/>
      </w:pPr>
      <w:r>
        <w:t xml:space="preserve">a) </w:t>
      </w:r>
      <w:r w:rsidR="002B6BD6">
        <w:t>Reasons that also</w:t>
      </w:r>
      <w:r w:rsidR="000618A4">
        <w:t xml:space="preserve"> apply to dividends (e.g.</w:t>
      </w:r>
      <w:r w:rsidR="002B6BD6">
        <w:t>, the poss</w:t>
      </w:r>
      <w:r w:rsidR="000618A4">
        <w:t>ible effects of personal taxes);</w:t>
      </w:r>
    </w:p>
    <w:p w:rsidR="002B6BD6" w:rsidRDefault="00731ECA" w:rsidP="00731ECA">
      <w:pPr>
        <w:pStyle w:val="AERquote"/>
      </w:pPr>
      <w:r>
        <w:t xml:space="preserve">b) </w:t>
      </w:r>
      <w:r w:rsidR="002B6BD6">
        <w:t>The fact that n</w:t>
      </w:r>
      <w:r w:rsidR="000618A4">
        <w:t>ot all credits will be utilised; and</w:t>
      </w:r>
    </w:p>
    <w:p w:rsidR="002B6BD6" w:rsidRDefault="00731ECA" w:rsidP="00731ECA">
      <w:pPr>
        <w:pStyle w:val="AERquote"/>
      </w:pPr>
      <w:r>
        <w:t xml:space="preserve">c) </w:t>
      </w:r>
      <w:r w:rsidR="000618A4">
        <w:t>Other reasons (e.g.</w:t>
      </w:r>
      <w:r w:rsidR="002B6BD6">
        <w:t xml:space="preserve">, there is a time delay in receiving them, there are administrative costs in </w:t>
      </w:r>
      <w:r w:rsidR="003121E3">
        <w:t xml:space="preserve">redeeming </w:t>
      </w:r>
      <w:r w:rsidR="002B6BD6">
        <w:t>them and there are portfolio diversification costs in acquiring them).</w:t>
      </w:r>
    </w:p>
    <w:p w:rsidR="002B6BD6" w:rsidRDefault="007624BC" w:rsidP="002B6BD6">
      <w:pPr>
        <w:pStyle w:val="AERbodytext"/>
      </w:pPr>
      <w:r>
        <w:t>Handley reviewed this response from SFG. A</w:t>
      </w:r>
      <w:r w:rsidR="002B6BD6">
        <w:t xml:space="preserve">s discussed in </w:t>
      </w:r>
      <w:r w:rsidR="00EC53DB" w:rsidRPr="00EC53DB">
        <w:t xml:space="preserve">section </w:t>
      </w:r>
      <w:r w:rsidR="006F6B54">
        <w:fldChar w:fldCharType="begin"/>
      </w:r>
      <w:r w:rsidR="006F6B54">
        <w:instrText xml:space="preserve"> REF _Ref401748758 \r \h </w:instrText>
      </w:r>
      <w:r w:rsidR="006F6B54">
        <w:fldChar w:fldCharType="separate"/>
      </w:r>
      <w:r w:rsidR="00927273">
        <w:t>A.7.1</w:t>
      </w:r>
      <w:r w:rsidR="006F6B54">
        <w:fldChar w:fldCharType="end"/>
      </w:r>
      <w:r w:rsidR="00EC53DB" w:rsidRPr="00EC53DB">
        <w:t xml:space="preserve"> of </w:t>
      </w:r>
      <w:r w:rsidR="00CB0A52">
        <w:t>appendix</w:t>
      </w:r>
      <w:r w:rsidR="00B04695">
        <w:t xml:space="preserve"> A</w:t>
      </w:r>
      <w:r w:rsidR="002B6BD6">
        <w:t>, Handley advise</w:t>
      </w:r>
      <w:r w:rsidR="003B3BCC">
        <w:t>d</w:t>
      </w:r>
      <w:r w:rsidR="002B6BD6">
        <w:t xml:space="preserve"> th</w:t>
      </w:r>
      <w:r w:rsidR="000D077B">
        <w:t>at:</w:t>
      </w:r>
      <w:r w:rsidR="000D077B">
        <w:rPr>
          <w:rStyle w:val="FootnoteReference"/>
        </w:rPr>
        <w:footnoteReference w:id="86"/>
      </w:r>
    </w:p>
    <w:p w:rsidR="000D077B" w:rsidRDefault="000D077B" w:rsidP="000D077B">
      <w:pPr>
        <w:pStyle w:val="AERquote"/>
      </w:pPr>
      <w:r>
        <w:t>…ideally we want the value of credits before administrative costs, personal taxes and diversification costs.</w:t>
      </w:r>
    </w:p>
    <w:p w:rsidR="003B7FE3" w:rsidRDefault="000D077B" w:rsidP="004B0617">
      <w:pPr>
        <w:pStyle w:val="AERbodytext"/>
      </w:pPr>
      <w:r>
        <w:t>Thus</w:t>
      </w:r>
      <w:r w:rsidR="002B6BD6">
        <w:t xml:space="preserve"> SFG has identified that </w:t>
      </w:r>
      <w:r w:rsidR="008D51B5">
        <w:t xml:space="preserve">the results of </w:t>
      </w:r>
      <w:r w:rsidR="002B6BD6">
        <w:t xml:space="preserve">dividend drop off estimates reflect some factors that are not relevant to the utilisation rate. Moreover, </w:t>
      </w:r>
      <w:r>
        <w:t xml:space="preserve">it is </w:t>
      </w:r>
      <w:r w:rsidR="002B6BD6">
        <w:t>Handley and Lally</w:t>
      </w:r>
      <w:r>
        <w:t>'s</w:t>
      </w:r>
      <w:r w:rsidR="002B6BD6">
        <w:t xml:space="preserve"> </w:t>
      </w:r>
      <w:r>
        <w:t>advice</w:t>
      </w:r>
      <w:r w:rsidR="002B6BD6">
        <w:t xml:space="preserve"> that to the extent </w:t>
      </w:r>
      <w:r w:rsidR="000B5CCB">
        <w:t>such</w:t>
      </w:r>
      <w:r w:rsidR="002B6BD6">
        <w:t xml:space="preserve"> estimates can be adjusted for these factors (because we can observe the effect they are having on estimates of the value of dividends), then this adjustment should be made.</w:t>
      </w:r>
    </w:p>
    <w:p w:rsidR="001E32C9" w:rsidRDefault="00C050E4" w:rsidP="00B04695">
      <w:pPr>
        <w:pStyle w:val="Heading7"/>
      </w:pPr>
      <w:bookmarkStart w:id="45" w:name="_Toc404365663"/>
      <w:r>
        <w:lastRenderedPageBreak/>
        <w:t xml:space="preserve">Value of imputation credits: </w:t>
      </w:r>
      <w:r w:rsidR="004469A8">
        <w:t>D</w:t>
      </w:r>
      <w:r>
        <w:t>etailed analysis</w:t>
      </w:r>
      <w:bookmarkEnd w:id="45"/>
    </w:p>
    <w:p w:rsidR="001E32C9" w:rsidRDefault="00B7073F" w:rsidP="001E32C9">
      <w:pPr>
        <w:pStyle w:val="AERbodytext"/>
      </w:pPr>
      <w:r>
        <w:t>In attachment</w:t>
      </w:r>
      <w:r w:rsidR="0051580D">
        <w:t xml:space="preserve"> 4</w:t>
      </w:r>
      <w:r w:rsidR="001E32C9">
        <w:t xml:space="preserve">, we set out our position on the value of imputation credits—which is to adopt a value of 0.4—and our key reasons for that position. We also indicated the position submitted to us by service providers with current </w:t>
      </w:r>
      <w:r w:rsidR="00A34DC3">
        <w:t>regulatory decisions</w:t>
      </w:r>
      <w:r w:rsidR="001E32C9">
        <w:t>, and briefly set out our consideration of that position. In this appendix, we set out further supporting material for our position on the value of imputation credits. We also respond in more detail to the position submitted to us by service providers.</w:t>
      </w:r>
    </w:p>
    <w:p w:rsidR="001E32C9" w:rsidRDefault="001E32C9" w:rsidP="001E32C9">
      <w:pPr>
        <w:pStyle w:val="AERbodytext"/>
      </w:pPr>
      <w:r>
        <w:t xml:space="preserve">All service providers with current </w:t>
      </w:r>
      <w:r w:rsidR="00A34DC3">
        <w:t>regulatory decisions</w:t>
      </w:r>
      <w:r>
        <w:t xml:space="preserve"> (ActewAGL, Ausgrid, Directlink, Endeavour Energy, Essential Energy, </w:t>
      </w:r>
      <w:r w:rsidR="00E90C6C">
        <w:t>JGN</w:t>
      </w:r>
      <w:r>
        <w:t xml:space="preserve"> and TransGrid), with the exception of TasNetworks, proposed a value of imputation credits of 0.25. The reasons submitted by those service providers were largely the same and the service providers jointly commissioned a report from SFG and relied on that report extensively in their proposals. Accordingly, our analysis in this appendix is applicable and consistent with our analysis of the proposals from those other service providers. </w:t>
      </w:r>
    </w:p>
    <w:p w:rsidR="001E32C9" w:rsidRDefault="001E32C9" w:rsidP="001E32C9">
      <w:pPr>
        <w:pStyle w:val="Heading8"/>
        <w:numPr>
          <w:ilvl w:val="5"/>
          <w:numId w:val="57"/>
        </w:numPr>
      </w:pPr>
      <w:bookmarkStart w:id="46" w:name="_Ref403477544"/>
      <w:bookmarkStart w:id="47" w:name="_Ref400374292"/>
      <w:bookmarkStart w:id="48" w:name="_Ref400463171"/>
      <w:r>
        <w:t>Expert views on the value of imputation credits</w:t>
      </w:r>
      <w:bookmarkEnd w:id="46"/>
    </w:p>
    <w:p w:rsidR="001E32C9" w:rsidRDefault="00D955E1" w:rsidP="001E32C9">
      <w:pPr>
        <w:pStyle w:val="AERbodytext"/>
      </w:pPr>
      <w:r>
        <w:t xml:space="preserve">We, other regulators, service providers and consumer representatives have commissioned expert </w:t>
      </w:r>
      <w:r w:rsidR="001E32C9">
        <w:t xml:space="preserve">advice on the value of imputation credits </w:t>
      </w:r>
      <w:r>
        <w:t>from a range of experts in the context of a number of regulatory processes. These expert reports demonstrate that there is no consensus among experts on either the value of imputation credits (particularly for the utilisation rate</w:t>
      </w:r>
      <w:r w:rsidR="00592893">
        <w:t xml:space="preserve"> parameter</w:t>
      </w:r>
      <w:r>
        <w:t xml:space="preserve">), nor on the </w:t>
      </w:r>
      <w:r w:rsidR="00592893">
        <w:t>techniques to estimate it</w:t>
      </w:r>
      <w:r>
        <w:t xml:space="preserve">. </w:t>
      </w:r>
      <w:r w:rsidR="001E32C9">
        <w:fldChar w:fldCharType="begin"/>
      </w:r>
      <w:r w:rsidR="001E32C9">
        <w:instrText xml:space="preserve"> REF _Ref400609043 \h </w:instrText>
      </w:r>
      <w:r w:rsidR="001E32C9">
        <w:fldChar w:fldCharType="separate"/>
      </w:r>
      <w:r w:rsidR="00927273" w:rsidRPr="009421A7">
        <w:t xml:space="preserve">Table </w:t>
      </w:r>
      <w:r w:rsidR="00927273">
        <w:rPr>
          <w:noProof/>
        </w:rPr>
        <w:t>4</w:t>
      </w:r>
      <w:r w:rsidR="004C6F08">
        <w:t>.</w:t>
      </w:r>
      <w:r w:rsidR="00927273">
        <w:rPr>
          <w:noProof/>
        </w:rPr>
        <w:t>3</w:t>
      </w:r>
      <w:r w:rsidR="001E32C9">
        <w:fldChar w:fldCharType="end"/>
      </w:r>
      <w:r w:rsidR="001E32C9">
        <w:t xml:space="preserve"> </w:t>
      </w:r>
      <w:r>
        <w:t>summari</w:t>
      </w:r>
      <w:r w:rsidR="00375121">
        <w:t>s</w:t>
      </w:r>
      <w:r>
        <w:t>es</w:t>
      </w:r>
      <w:r w:rsidR="001E32C9">
        <w:t xml:space="preserve"> recent expert </w:t>
      </w:r>
      <w:r>
        <w:t>advice</w:t>
      </w:r>
      <w:r w:rsidR="001E32C9">
        <w:t xml:space="preserve"> </w:t>
      </w:r>
      <w:r w:rsidR="00375121">
        <w:t xml:space="preserve">of which </w:t>
      </w:r>
      <w:r w:rsidR="001E32C9">
        <w:t xml:space="preserve">we are aware. We have considered the advice </w:t>
      </w:r>
      <w:r w:rsidR="00592893">
        <w:t>from</w:t>
      </w:r>
      <w:r w:rsidR="001E32C9">
        <w:t xml:space="preserve"> each of these experts in forming our position on the value of imputation credits.</w:t>
      </w:r>
    </w:p>
    <w:p w:rsidR="001E32C9" w:rsidRDefault="001E32C9" w:rsidP="001E32C9">
      <w:pPr>
        <w:pStyle w:val="Caption"/>
      </w:pPr>
      <w:bookmarkStart w:id="49" w:name="_Ref400609043"/>
      <w:r w:rsidRPr="009421A7">
        <w:t xml:space="preserve">Table </w:t>
      </w:r>
      <w:fldSimple w:instr=" STYLEREF 1 \s ">
        <w:r w:rsidR="00927273">
          <w:rPr>
            <w:noProof/>
          </w:rPr>
          <w:t>4</w:t>
        </w:r>
      </w:fldSimple>
      <w:r w:rsidR="00C20561">
        <w:noBreakHyphen/>
      </w:r>
      <w:fldSimple w:instr=" SEQ Table \* ARABIC \s 1 ">
        <w:r w:rsidR="00927273">
          <w:rPr>
            <w:noProof/>
          </w:rPr>
          <w:t>3</w:t>
        </w:r>
      </w:fldSimple>
      <w:bookmarkEnd w:id="49"/>
      <w:r w:rsidRPr="009421A7">
        <w:tab/>
        <w:t xml:space="preserve">Summary of expert views on the </w:t>
      </w:r>
      <w:r>
        <w:t>value of imputation credits</w:t>
      </w:r>
    </w:p>
    <w:tbl>
      <w:tblPr>
        <w:tblStyle w:val="AERtable-text"/>
        <w:tblW w:w="0" w:type="auto"/>
        <w:tblLook w:val="04A0" w:firstRow="1" w:lastRow="0" w:firstColumn="1" w:lastColumn="0" w:noHBand="0" w:noVBand="1"/>
      </w:tblPr>
      <w:tblGrid>
        <w:gridCol w:w="1562"/>
        <w:gridCol w:w="2560"/>
        <w:gridCol w:w="2560"/>
        <w:gridCol w:w="2560"/>
      </w:tblGrid>
      <w:tr w:rsidR="001E32C9" w:rsidTr="004C6F08">
        <w:trPr>
          <w:cnfStyle w:val="100000000000" w:firstRow="1" w:lastRow="0" w:firstColumn="0" w:lastColumn="0" w:oddVBand="0" w:evenVBand="0" w:oddHBand="0" w:evenHBand="0" w:firstRowFirstColumn="0" w:firstRowLastColumn="0" w:lastRowFirstColumn="0" w:lastRowLastColumn="0"/>
          <w:tblHeader/>
        </w:trPr>
        <w:tc>
          <w:tcPr>
            <w:tcW w:w="1562" w:type="dxa"/>
          </w:tcPr>
          <w:p w:rsidR="001E32C9" w:rsidRDefault="001E32C9" w:rsidP="001E32C9">
            <w:pPr>
              <w:pStyle w:val="AERbodytext"/>
            </w:pPr>
            <w:r w:rsidRPr="005527C3">
              <w:t>Expert</w:t>
            </w:r>
          </w:p>
        </w:tc>
        <w:tc>
          <w:tcPr>
            <w:tcW w:w="2560" w:type="dxa"/>
          </w:tcPr>
          <w:p w:rsidR="001E32C9" w:rsidRDefault="001E32C9" w:rsidP="001E32C9">
            <w:pPr>
              <w:pStyle w:val="AERbodytext"/>
            </w:pPr>
            <w:r>
              <w:t>Distribution rate</w:t>
            </w:r>
          </w:p>
        </w:tc>
        <w:tc>
          <w:tcPr>
            <w:tcW w:w="2560" w:type="dxa"/>
          </w:tcPr>
          <w:p w:rsidR="001E32C9" w:rsidRDefault="001E32C9" w:rsidP="001E32C9">
            <w:pPr>
              <w:pStyle w:val="AERbodytext"/>
            </w:pPr>
            <w:r>
              <w:t>Utilisation rate</w:t>
            </w:r>
          </w:p>
        </w:tc>
        <w:tc>
          <w:tcPr>
            <w:tcW w:w="2560" w:type="dxa"/>
          </w:tcPr>
          <w:p w:rsidR="001E32C9" w:rsidRDefault="001E32C9" w:rsidP="001E32C9">
            <w:pPr>
              <w:pStyle w:val="AERbodytext"/>
            </w:pPr>
            <w:r>
              <w:t>Value of imputation credits</w:t>
            </w:r>
          </w:p>
        </w:tc>
      </w:tr>
      <w:tr w:rsidR="001E32C9" w:rsidTr="001752ED">
        <w:tc>
          <w:tcPr>
            <w:tcW w:w="1562" w:type="dxa"/>
          </w:tcPr>
          <w:p w:rsidR="001E32C9" w:rsidRPr="005527C3" w:rsidRDefault="001E32C9" w:rsidP="001E32C9">
            <w:pPr>
              <w:pStyle w:val="AERbodytext"/>
            </w:pPr>
            <w:r w:rsidRPr="005527C3">
              <w:t>Lally (2013</w:t>
            </w:r>
            <w:r>
              <w:t>, 2014</w:t>
            </w:r>
            <w:r w:rsidRPr="005527C3">
              <w:t>)</w:t>
            </w:r>
            <w:r>
              <w:rPr>
                <w:rStyle w:val="FootnoteReference"/>
              </w:rPr>
              <w:footnoteReference w:id="87"/>
            </w:r>
          </w:p>
        </w:tc>
        <w:tc>
          <w:tcPr>
            <w:tcW w:w="2560" w:type="dxa"/>
          </w:tcPr>
          <w:p w:rsidR="001E32C9" w:rsidRPr="005527C3" w:rsidRDefault="001E32C9" w:rsidP="001E32C9">
            <w:pPr>
              <w:pStyle w:val="AERbodytext"/>
            </w:pPr>
            <w:r>
              <w:rPr>
                <w:rStyle w:val="AERtextbold"/>
              </w:rPr>
              <w:t>0.84</w:t>
            </w:r>
            <w:r>
              <w:t xml:space="preserve"> using the financial statements of 20 largest ASX-listed companies</w:t>
            </w:r>
          </w:p>
        </w:tc>
        <w:tc>
          <w:tcPr>
            <w:tcW w:w="2560" w:type="dxa"/>
          </w:tcPr>
          <w:p w:rsidR="001E32C9" w:rsidRDefault="001E32C9" w:rsidP="001E32C9">
            <w:pPr>
              <w:pStyle w:val="AERbodytext"/>
            </w:pPr>
            <w:r w:rsidRPr="00EB7ECD">
              <w:rPr>
                <w:rStyle w:val="AERtextbold"/>
              </w:rPr>
              <w:t>1</w:t>
            </w:r>
            <w:r>
              <w:rPr>
                <w:rStyle w:val="AERtextbold"/>
              </w:rPr>
              <w:t>.0</w:t>
            </w:r>
            <w:r w:rsidRPr="005527C3">
              <w:t>, based on assumption that all investors in the Officer CAPM are domestic investors</w:t>
            </w:r>
          </w:p>
          <w:p w:rsidR="001E32C9" w:rsidRPr="005527C3" w:rsidRDefault="001E32C9" w:rsidP="00592893">
            <w:pPr>
              <w:pStyle w:val="AERbodytext"/>
            </w:pPr>
            <w:r>
              <w:t xml:space="preserve">0.54 to 0.7, using equity ownership </w:t>
            </w:r>
            <w:r w:rsidR="00592893">
              <w:t>as</w:t>
            </w:r>
            <w:r>
              <w:t xml:space="preserve"> second preference</w:t>
            </w:r>
          </w:p>
        </w:tc>
        <w:tc>
          <w:tcPr>
            <w:tcW w:w="2560" w:type="dxa"/>
          </w:tcPr>
          <w:p w:rsidR="001E32C9" w:rsidRDefault="001E32C9" w:rsidP="001E32C9">
            <w:pPr>
              <w:pStyle w:val="AERbodytext"/>
              <w:rPr>
                <w:rStyle w:val="AERtextbold"/>
              </w:rPr>
            </w:pPr>
            <w:r w:rsidRPr="00371594">
              <w:rPr>
                <w:rStyle w:val="AERtextbold"/>
              </w:rPr>
              <w:t>0.</w:t>
            </w:r>
            <w:r>
              <w:rPr>
                <w:rStyle w:val="AERtextbold"/>
              </w:rPr>
              <w:t>84</w:t>
            </w:r>
          </w:p>
          <w:p w:rsidR="001E32C9" w:rsidRPr="0008324B" w:rsidRDefault="001E32C9" w:rsidP="0008324B">
            <w:pPr>
              <w:pStyle w:val="AERbodytext"/>
              <w:rPr>
                <w:rStyle w:val="AERtextbold"/>
                <w:b w:val="0"/>
              </w:rPr>
            </w:pPr>
            <w:r w:rsidRPr="0008324B">
              <w:rPr>
                <w:rStyle w:val="AERtextbold"/>
                <w:b w:val="0"/>
              </w:rPr>
              <w:t>0.45 to 0.59 using second preference utilisation rate</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1562" w:type="dxa"/>
          </w:tcPr>
          <w:p w:rsidR="001E32C9" w:rsidRPr="005527C3" w:rsidRDefault="001E32C9" w:rsidP="001E32C9">
            <w:pPr>
              <w:pStyle w:val="AERbodytext"/>
            </w:pPr>
            <w:r w:rsidRPr="005527C3">
              <w:t>McKenzie and Partington (2013)</w:t>
            </w:r>
            <w:r>
              <w:rPr>
                <w:rStyle w:val="FootnoteReference"/>
              </w:rPr>
              <w:footnoteReference w:id="88"/>
            </w:r>
          </w:p>
        </w:tc>
        <w:tc>
          <w:tcPr>
            <w:tcW w:w="2560" w:type="dxa"/>
          </w:tcPr>
          <w:p w:rsidR="001E32C9" w:rsidRPr="005527C3" w:rsidRDefault="001E32C9" w:rsidP="001E32C9">
            <w:pPr>
              <w:pStyle w:val="AERbodytext"/>
            </w:pPr>
            <w:r w:rsidRPr="00371594">
              <w:rPr>
                <w:rStyle w:val="AERtextbold"/>
              </w:rPr>
              <w:t>0.7</w:t>
            </w:r>
            <w:r>
              <w:t>, using</w:t>
            </w:r>
            <w:r w:rsidRPr="005527C3">
              <w:t xml:space="preserve"> cumulative payout </w:t>
            </w:r>
            <w:r>
              <w:t xml:space="preserve">ratio </w:t>
            </w:r>
            <w:r w:rsidRPr="005527C3">
              <w:t>approach</w:t>
            </w:r>
            <w:r>
              <w:t xml:space="preserve"> over all equity</w:t>
            </w:r>
          </w:p>
        </w:tc>
        <w:tc>
          <w:tcPr>
            <w:tcW w:w="2560" w:type="dxa"/>
          </w:tcPr>
          <w:p w:rsidR="001E32C9" w:rsidRPr="005527C3" w:rsidRDefault="001E32C9" w:rsidP="001E32C9">
            <w:pPr>
              <w:pStyle w:val="AERbodytext"/>
            </w:pPr>
            <w:r>
              <w:rPr>
                <w:rStyle w:val="AERtextbold"/>
              </w:rPr>
              <w:t>None recommended</w:t>
            </w:r>
            <w:r>
              <w:t xml:space="preserve">, although estimates considered included 0.7 from AER draft rate of return guideline approach, 0.53 from average of implied market value studies and 0.83 from average of McKenzie and </w:t>
            </w:r>
            <w:proofErr w:type="spellStart"/>
            <w:r>
              <w:t>Partington's</w:t>
            </w:r>
            <w:proofErr w:type="spellEnd"/>
            <w:r>
              <w:t xml:space="preserve"> implied market value studies</w:t>
            </w:r>
          </w:p>
        </w:tc>
        <w:tc>
          <w:tcPr>
            <w:tcW w:w="2560" w:type="dxa"/>
          </w:tcPr>
          <w:p w:rsidR="001E32C9" w:rsidRPr="00371594" w:rsidRDefault="001E32C9" w:rsidP="001E32C9">
            <w:pPr>
              <w:pStyle w:val="AERbodytext"/>
              <w:rPr>
                <w:rStyle w:val="AERtextbold"/>
              </w:rPr>
            </w:pPr>
            <w:r>
              <w:rPr>
                <w:rStyle w:val="AERtextbold"/>
              </w:rPr>
              <w:t>Evidence not</w:t>
            </w:r>
            <w:r w:rsidRPr="00371594">
              <w:rPr>
                <w:rStyle w:val="AERtextbold"/>
              </w:rPr>
              <w:t xml:space="preserve"> compelling</w:t>
            </w:r>
            <w:r>
              <w:rPr>
                <w:rStyle w:val="AERtextbold"/>
              </w:rPr>
              <w:t xml:space="preserve"> enough</w:t>
            </w:r>
            <w:r w:rsidRPr="00371594">
              <w:rPr>
                <w:rStyle w:val="AERtextbold"/>
              </w:rPr>
              <w:t xml:space="preserve"> to depart from 0.5</w:t>
            </w:r>
          </w:p>
        </w:tc>
      </w:tr>
      <w:tr w:rsidR="00592893" w:rsidTr="00592893">
        <w:tc>
          <w:tcPr>
            <w:tcW w:w="1562" w:type="dxa"/>
          </w:tcPr>
          <w:p w:rsidR="00592893" w:rsidRPr="005527C3" w:rsidRDefault="00592893" w:rsidP="00592893">
            <w:pPr>
              <w:pStyle w:val="AERbodytext"/>
            </w:pPr>
            <w:r>
              <w:t>Handley (2014)</w:t>
            </w:r>
            <w:r>
              <w:rPr>
                <w:rStyle w:val="FootnoteReference"/>
              </w:rPr>
              <w:footnoteReference w:id="89"/>
            </w:r>
          </w:p>
        </w:tc>
        <w:tc>
          <w:tcPr>
            <w:tcW w:w="2560" w:type="dxa"/>
          </w:tcPr>
          <w:p w:rsidR="00592893" w:rsidRPr="005527C3" w:rsidRDefault="00592893" w:rsidP="00592893">
            <w:pPr>
              <w:pStyle w:val="AERbodytext"/>
            </w:pPr>
            <w:r w:rsidRPr="00371594">
              <w:rPr>
                <w:rStyle w:val="AERtextbold"/>
              </w:rPr>
              <w:t>0.8</w:t>
            </w:r>
            <w:r>
              <w:t xml:space="preserve">, using cumulative payout ratio approach over listed equity </w:t>
            </w:r>
            <w:r>
              <w:lastRenderedPageBreak/>
              <w:t xml:space="preserve">only </w:t>
            </w:r>
          </w:p>
        </w:tc>
        <w:tc>
          <w:tcPr>
            <w:tcW w:w="2560" w:type="dxa"/>
          </w:tcPr>
          <w:p w:rsidR="00592893" w:rsidRPr="005527C3" w:rsidRDefault="00592893" w:rsidP="00592893">
            <w:pPr>
              <w:pStyle w:val="AERbodytext"/>
            </w:pPr>
            <w:r w:rsidRPr="00371594">
              <w:rPr>
                <w:rStyle w:val="AERtextbold"/>
              </w:rPr>
              <w:lastRenderedPageBreak/>
              <w:t>0.5 to 0.6</w:t>
            </w:r>
            <w:r>
              <w:t xml:space="preserve">, with regard to (in order of importance) equity </w:t>
            </w:r>
            <w:r>
              <w:lastRenderedPageBreak/>
              <w:t>ownership approach, tax statistics and dividend drop off studies</w:t>
            </w:r>
          </w:p>
        </w:tc>
        <w:tc>
          <w:tcPr>
            <w:tcW w:w="2560" w:type="dxa"/>
          </w:tcPr>
          <w:p w:rsidR="00592893" w:rsidRPr="00371594" w:rsidRDefault="00592893" w:rsidP="00592893">
            <w:pPr>
              <w:pStyle w:val="AERbodytext"/>
              <w:rPr>
                <w:rStyle w:val="AERtextbold"/>
              </w:rPr>
            </w:pPr>
            <w:r w:rsidRPr="00371594">
              <w:rPr>
                <w:rStyle w:val="AERtextbold"/>
              </w:rPr>
              <w:lastRenderedPageBreak/>
              <w:t>0.4 to 0.5</w:t>
            </w:r>
          </w:p>
        </w:tc>
      </w:tr>
      <w:tr w:rsidR="00592893" w:rsidTr="001752ED">
        <w:trPr>
          <w:cnfStyle w:val="000000010000" w:firstRow="0" w:lastRow="0" w:firstColumn="0" w:lastColumn="0" w:oddVBand="0" w:evenVBand="0" w:oddHBand="0" w:evenHBand="1" w:firstRowFirstColumn="0" w:firstRowLastColumn="0" w:lastRowFirstColumn="0" w:lastRowLastColumn="0"/>
        </w:trPr>
        <w:tc>
          <w:tcPr>
            <w:tcW w:w="1562" w:type="dxa"/>
          </w:tcPr>
          <w:p w:rsidR="00592893" w:rsidRDefault="00592893" w:rsidP="00592893">
            <w:pPr>
              <w:pStyle w:val="AERbodytext"/>
            </w:pPr>
            <w:r w:rsidRPr="005527C3">
              <w:lastRenderedPageBreak/>
              <w:t>CEG (2014)</w:t>
            </w:r>
            <w:r>
              <w:rPr>
                <w:rStyle w:val="FootnoteReference"/>
              </w:rPr>
              <w:footnoteReference w:id="90"/>
            </w:r>
          </w:p>
        </w:tc>
        <w:tc>
          <w:tcPr>
            <w:tcW w:w="2560" w:type="dxa"/>
          </w:tcPr>
          <w:p w:rsidR="00592893" w:rsidRDefault="00592893" w:rsidP="00592893">
            <w:pPr>
              <w:pStyle w:val="AERbodytext"/>
            </w:pPr>
            <w:r w:rsidRPr="00371594">
              <w:rPr>
                <w:rStyle w:val="AERtextbold"/>
              </w:rPr>
              <w:t>0.7</w:t>
            </w:r>
            <w:r w:rsidRPr="00371594">
              <w:t>, using cumulative payout ratio approach</w:t>
            </w:r>
            <w:r>
              <w:t xml:space="preserve"> over all equity</w:t>
            </w:r>
          </w:p>
        </w:tc>
        <w:tc>
          <w:tcPr>
            <w:tcW w:w="2560" w:type="dxa"/>
          </w:tcPr>
          <w:p w:rsidR="00592893" w:rsidRDefault="00592893" w:rsidP="00592893">
            <w:pPr>
              <w:pStyle w:val="AERbodytext"/>
            </w:pPr>
            <w:r w:rsidRPr="00371594">
              <w:rPr>
                <w:rStyle w:val="AERtextbold"/>
              </w:rPr>
              <w:t>0.35</w:t>
            </w:r>
            <w:r w:rsidRPr="00371594">
              <w:t>, based on SFG's dividend drop off study</w:t>
            </w:r>
          </w:p>
        </w:tc>
        <w:tc>
          <w:tcPr>
            <w:tcW w:w="2560" w:type="dxa"/>
          </w:tcPr>
          <w:p w:rsidR="00592893" w:rsidRPr="002C2564" w:rsidRDefault="00592893" w:rsidP="00592893">
            <w:pPr>
              <w:pStyle w:val="AERbodytext"/>
              <w:rPr>
                <w:rStyle w:val="AERtextbold"/>
              </w:rPr>
            </w:pPr>
            <w:r w:rsidRPr="002C2564">
              <w:rPr>
                <w:rStyle w:val="AERtextbold"/>
              </w:rPr>
              <w:t>0.25</w:t>
            </w:r>
          </w:p>
        </w:tc>
      </w:tr>
      <w:tr w:rsidR="00592893" w:rsidTr="001752ED">
        <w:tc>
          <w:tcPr>
            <w:tcW w:w="1562" w:type="dxa"/>
          </w:tcPr>
          <w:p w:rsidR="00592893" w:rsidRPr="005527C3" w:rsidRDefault="00592893" w:rsidP="00592893">
            <w:pPr>
              <w:pStyle w:val="AERbodytext"/>
            </w:pPr>
            <w:r w:rsidRPr="005527C3">
              <w:t>SFG (2014)</w:t>
            </w:r>
            <w:r>
              <w:rPr>
                <w:rStyle w:val="FootnoteReference"/>
              </w:rPr>
              <w:footnoteReference w:id="91"/>
            </w:r>
          </w:p>
        </w:tc>
        <w:tc>
          <w:tcPr>
            <w:tcW w:w="2560" w:type="dxa"/>
          </w:tcPr>
          <w:p w:rsidR="00592893" w:rsidRPr="005527C3" w:rsidRDefault="00592893" w:rsidP="00592893">
            <w:pPr>
              <w:pStyle w:val="AERbodytext"/>
            </w:pPr>
            <w:r w:rsidRPr="00371594">
              <w:rPr>
                <w:rStyle w:val="AERtextbold"/>
              </w:rPr>
              <w:t>0.7</w:t>
            </w:r>
            <w:r>
              <w:t>, using</w:t>
            </w:r>
            <w:r w:rsidRPr="00D7304F">
              <w:t xml:space="preserve"> cumulative payout ratio approach</w:t>
            </w:r>
            <w:r>
              <w:t xml:space="preserve"> over all equity</w:t>
            </w:r>
          </w:p>
        </w:tc>
        <w:tc>
          <w:tcPr>
            <w:tcW w:w="2560" w:type="dxa"/>
          </w:tcPr>
          <w:p w:rsidR="00592893" w:rsidRPr="005527C3" w:rsidRDefault="00592893" w:rsidP="00592893">
            <w:pPr>
              <w:pStyle w:val="AERbodytext"/>
            </w:pPr>
            <w:r w:rsidRPr="00371594">
              <w:rPr>
                <w:rStyle w:val="AERtextbold"/>
              </w:rPr>
              <w:t>0.35</w:t>
            </w:r>
            <w:r>
              <w:t>, based on SFG's dividend drop off study</w:t>
            </w:r>
          </w:p>
        </w:tc>
        <w:tc>
          <w:tcPr>
            <w:tcW w:w="2560" w:type="dxa"/>
          </w:tcPr>
          <w:p w:rsidR="00592893" w:rsidRPr="00371594" w:rsidRDefault="00592893" w:rsidP="00592893">
            <w:pPr>
              <w:pStyle w:val="AERbodytext"/>
              <w:rPr>
                <w:rStyle w:val="AERtextbold"/>
              </w:rPr>
            </w:pPr>
            <w:r w:rsidRPr="00371594">
              <w:rPr>
                <w:rStyle w:val="AERtextbold"/>
              </w:rPr>
              <w:t>0.25</w:t>
            </w:r>
          </w:p>
        </w:tc>
      </w:tr>
    </w:tbl>
    <w:p w:rsidR="001E32C9" w:rsidRDefault="001E32C9" w:rsidP="001E32C9">
      <w:pPr>
        <w:pStyle w:val="AERtablesource"/>
      </w:pPr>
      <w:r>
        <w:t>Source:</w:t>
      </w:r>
      <w:r>
        <w:tab/>
        <w:t>As specified in table.</w:t>
      </w:r>
    </w:p>
    <w:p w:rsidR="001E32C9" w:rsidRDefault="001E32C9" w:rsidP="001E32C9">
      <w:pPr>
        <w:pStyle w:val="AERbodytext"/>
      </w:pPr>
      <w:r>
        <w:t>In summary:</w:t>
      </w:r>
      <w:r w:rsidRPr="00DE068A">
        <w:t xml:space="preserve"> </w:t>
      </w:r>
    </w:p>
    <w:p w:rsidR="001E32C9" w:rsidRDefault="001E32C9" w:rsidP="001E32C9">
      <w:pPr>
        <w:pStyle w:val="AERbulletlistfirststyle"/>
      </w:pPr>
      <w:r>
        <w:t xml:space="preserve">A distribution rate of 0.7 estimated using the cumulative payout ratio approach is widely accepted. We describe this approach in section </w:t>
      </w:r>
      <w:r>
        <w:fldChar w:fldCharType="begin"/>
      </w:r>
      <w:r>
        <w:instrText xml:space="preserve"> REF _Ref401156644 \r \h </w:instrText>
      </w:r>
      <w:r>
        <w:fldChar w:fldCharType="separate"/>
      </w:r>
      <w:r w:rsidR="00927273">
        <w:t>A.9.1</w:t>
      </w:r>
      <w:r>
        <w:fldChar w:fldCharType="end"/>
      </w:r>
      <w:r>
        <w:t>. However, Handley considers that this approach should be applied to listed equity only, and this produces a higher estimate of the distribution rate of 0.8. Lally considers that the best estimate of the distribution rate is 0.84, calculated using the financial statements of the 20 largest ASX-listed companies.</w:t>
      </w:r>
    </w:p>
    <w:p w:rsidR="001E32C9" w:rsidRDefault="001E32C9" w:rsidP="001E32C9">
      <w:pPr>
        <w:pStyle w:val="AERbulletlistfirststyle"/>
      </w:pPr>
      <w:r>
        <w:t>T</w:t>
      </w:r>
      <w:r w:rsidRPr="00DE068A">
        <w:t xml:space="preserve">here is no </w:t>
      </w:r>
      <w:r>
        <w:t>widely accepted</w:t>
      </w:r>
      <w:r w:rsidRPr="00DE068A">
        <w:t xml:space="preserve"> </w:t>
      </w:r>
      <w:r>
        <w:t xml:space="preserve">utilisation rate or method for estimating it. The </w:t>
      </w:r>
      <w:r w:rsidRPr="00DE068A">
        <w:t xml:space="preserve">recommended values </w:t>
      </w:r>
      <w:r>
        <w:t>for the utilisation rate range from 0.35 to 1</w:t>
      </w:r>
      <w:r w:rsidRPr="00DE068A">
        <w:t>.</w:t>
      </w:r>
      <w:r>
        <w:t xml:space="preserve"> </w:t>
      </w:r>
    </w:p>
    <w:p w:rsidR="001E32C9" w:rsidRDefault="001E32C9" w:rsidP="001E32C9">
      <w:pPr>
        <w:pStyle w:val="AERbulletlistfirststyle"/>
      </w:pPr>
      <w:r>
        <w:t>Only CEG and SFG rely exclusively on the SFG dividend drop off study when estimating the utilisation rate. Handley and McKenzie and Partington rely on a range of evidence. Lally prefers a conceptual approach, but his second preference is the equity ownership approach.</w:t>
      </w:r>
    </w:p>
    <w:p w:rsidR="001E32C9" w:rsidRDefault="001E32C9" w:rsidP="001E32C9">
      <w:pPr>
        <w:pStyle w:val="AERbulletlistfirststyle"/>
      </w:pPr>
      <w:r>
        <w:t>As a result of the differing approaches, particularly to the utilisation rate, the range of estimates of the value of imputation credits is 0.25 to 0.84.</w:t>
      </w:r>
    </w:p>
    <w:p w:rsidR="001E32C9" w:rsidRPr="000A4554" w:rsidRDefault="001E32C9" w:rsidP="001E32C9">
      <w:pPr>
        <w:pStyle w:val="AERbodytext"/>
      </w:pPr>
      <w:r>
        <w:t>Conceptually, the value of imputation credits must be between 0 and 1. Accordingly the range of recommended estimates from 0.25 to 0.84, which spans most of the possible range for the value of imputation credits, highlights the lack of consensus among experts.</w:t>
      </w:r>
      <w:r w:rsidR="00C330D3">
        <w:t xml:space="preserve"> Our draft decision value of imputation credits of 0.4 sits within the range recommended by experts.</w:t>
      </w:r>
    </w:p>
    <w:p w:rsidR="001E32C9" w:rsidRDefault="001E32C9" w:rsidP="001E32C9">
      <w:pPr>
        <w:pStyle w:val="Heading8"/>
        <w:numPr>
          <w:ilvl w:val="5"/>
          <w:numId w:val="57"/>
        </w:numPr>
      </w:pPr>
      <w:bookmarkStart w:id="50" w:name="_Ref403480875"/>
      <w:r>
        <w:t>The value of imputation credits used by other regulators</w:t>
      </w:r>
      <w:bookmarkEnd w:id="50"/>
    </w:p>
    <w:p w:rsidR="008A493E" w:rsidRDefault="001E32C9" w:rsidP="009F469A">
      <w:pPr>
        <w:pStyle w:val="AERbodytext"/>
      </w:pPr>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927273">
        <w:t xml:space="preserve">Table </w:t>
      </w:r>
      <w:r w:rsidR="00927273">
        <w:rPr>
          <w:noProof/>
        </w:rPr>
        <w:t>4</w:t>
      </w:r>
      <w:r w:rsidR="004C6F08">
        <w:t>.</w:t>
      </w:r>
      <w:r w:rsidR="00927273">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1E32C9" w:rsidRDefault="001E32C9" w:rsidP="001E32C9">
      <w:pPr>
        <w:pStyle w:val="Caption"/>
      </w:pPr>
      <w:bookmarkStart w:id="51" w:name="_Ref401082422"/>
      <w:r>
        <w:lastRenderedPageBreak/>
        <w:t xml:space="preserve">Table </w:t>
      </w:r>
      <w:fldSimple w:instr=" STYLEREF 1 \s ">
        <w:r w:rsidR="00927273">
          <w:rPr>
            <w:noProof/>
          </w:rPr>
          <w:t>4</w:t>
        </w:r>
      </w:fldSimple>
      <w:r w:rsidR="00C20561">
        <w:noBreakHyphen/>
      </w:r>
      <w:fldSimple w:instr=" SEQ Table \* ARABIC \s 1 ">
        <w:r w:rsidR="00927273">
          <w:rPr>
            <w:noProof/>
          </w:rPr>
          <w:t>4</w:t>
        </w:r>
      </w:fldSimple>
      <w:bookmarkEnd w:id="51"/>
      <w:r>
        <w:tab/>
      </w:r>
      <w:r w:rsidRPr="000B7BA2">
        <w:t>Au</w:t>
      </w:r>
      <w:r>
        <w:t>stralian regulators' approaches to</w:t>
      </w:r>
      <w:r w:rsidRPr="000B7BA2">
        <w:t xml:space="preserve"> the value of imputation credits</w:t>
      </w:r>
    </w:p>
    <w:tbl>
      <w:tblPr>
        <w:tblStyle w:val="AERtable-numbers"/>
        <w:tblW w:w="0" w:type="auto"/>
        <w:tblLayout w:type="fixed"/>
        <w:tblLook w:val="04A0" w:firstRow="1" w:lastRow="0" w:firstColumn="1" w:lastColumn="0" w:noHBand="0" w:noVBand="1"/>
      </w:tblPr>
      <w:tblGrid>
        <w:gridCol w:w="963"/>
        <w:gridCol w:w="1839"/>
        <w:gridCol w:w="708"/>
        <w:gridCol w:w="1910"/>
        <w:gridCol w:w="1911"/>
        <w:gridCol w:w="1911"/>
      </w:tblGrid>
      <w:tr w:rsidR="001E32C9" w:rsidTr="00175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1E32C9" w:rsidRDefault="001E32C9" w:rsidP="009F469A">
            <w:pPr>
              <w:pStyle w:val="AERbodytext"/>
              <w:keepNext/>
              <w:keepLines/>
            </w:pPr>
            <w:r>
              <w:t>Regulator</w:t>
            </w:r>
          </w:p>
        </w:tc>
        <w:tc>
          <w:tcPr>
            <w:tcW w:w="1839"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Form of adoption</w:t>
            </w:r>
          </w:p>
        </w:tc>
        <w:tc>
          <w:tcPr>
            <w:tcW w:w="708"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Year</w:t>
            </w:r>
          </w:p>
        </w:tc>
        <w:tc>
          <w:tcPr>
            <w:tcW w:w="1910"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Value of imputation credits</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t>ESC</w:t>
            </w:r>
            <w:r w:rsidRPr="00B76A97">
              <w:rPr>
                <w:rStyle w:val="AERsuperscript"/>
              </w:rPr>
              <w:footnoteReference w:id="92"/>
            </w:r>
          </w:p>
        </w:tc>
        <w:tc>
          <w:tcPr>
            <w:tcW w:w="1839" w:type="dxa"/>
          </w:tcPr>
          <w:p w:rsidR="00B76A97" w:rsidRPr="00372214"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Price review, greater metropolitan water businesses, final decision</w:t>
            </w:r>
          </w:p>
        </w:tc>
        <w:tc>
          <w:tcPr>
            <w:tcW w:w="708"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2013</w:t>
            </w:r>
          </w:p>
        </w:tc>
        <w:tc>
          <w:tcPr>
            <w:tcW w:w="1910"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t>N/A</w:t>
            </w:r>
          </w:p>
        </w:tc>
        <w:tc>
          <w:tcPr>
            <w:tcW w:w="1911"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t>N/A</w:t>
            </w:r>
          </w:p>
        </w:tc>
        <w:tc>
          <w:tcPr>
            <w:tcW w:w="1911"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B7073F">
              <w:rPr>
                <w:rStyle w:val="AERtextbold"/>
              </w:rPr>
              <w:t>0.5</w:t>
            </w:r>
            <w:r>
              <w:t>, based on 2011 guidance</w:t>
            </w:r>
            <w:r>
              <w:rPr>
                <w:rStyle w:val="FootnoteReference"/>
              </w:rPr>
              <w:footnoteReference w:id="93"/>
            </w:r>
          </w:p>
        </w:tc>
      </w:tr>
      <w:tr w:rsidR="00B76A97"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rsidRPr="00501101">
              <w:t>QCA</w:t>
            </w:r>
            <w:r w:rsidRPr="00B76A97">
              <w:rPr>
                <w:rStyle w:val="FootnoteReference"/>
              </w:rPr>
              <w:footnoteReference w:id="94"/>
            </w:r>
            <w:r w:rsidRPr="00B76A97">
              <w:t xml:space="preserve">  </w:t>
            </w:r>
          </w:p>
        </w:tc>
        <w:tc>
          <w:tcPr>
            <w:tcW w:w="1839" w:type="dxa"/>
          </w:tcPr>
          <w:p w:rsidR="00B76A97" w:rsidRPr="000F2066"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372214">
              <w:t>Cost of capital market parameters, final decision</w:t>
            </w:r>
          </w:p>
        </w:tc>
        <w:tc>
          <w:tcPr>
            <w:tcW w:w="708"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t>2014</w:t>
            </w:r>
          </w:p>
        </w:tc>
        <w:tc>
          <w:tcPr>
            <w:tcW w:w="1910"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0.84</w:t>
            </w:r>
            <w:r w:rsidRPr="005657CB">
              <w:t>, using the financial statements of 20 largest ASX-listed companies</w:t>
            </w:r>
          </w:p>
        </w:tc>
        <w:tc>
          <w:tcPr>
            <w:tcW w:w="1911"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0.56</w:t>
            </w:r>
            <w:r>
              <w:t>, based primarily on the domestic ownership share of listed equity</w:t>
            </w:r>
          </w:p>
        </w:tc>
        <w:tc>
          <w:tcPr>
            <w:tcW w:w="1911" w:type="dxa"/>
          </w:tcPr>
          <w:p w:rsidR="00B76A97" w:rsidRPr="00584C69"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584C69">
              <w:rPr>
                <w:rStyle w:val="AERtextbold"/>
              </w:rPr>
              <w:t>0.47</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1E32C9" w:rsidRDefault="00B76A97" w:rsidP="009F469A">
            <w:pPr>
              <w:pStyle w:val="AERbodytext"/>
              <w:keepNext/>
              <w:keepLines/>
            </w:pPr>
            <w:r w:rsidRPr="00501101">
              <w:t>ACCC</w:t>
            </w:r>
            <w:r w:rsidRPr="001E32C9">
              <w:rPr>
                <w:rStyle w:val="FootnoteReference"/>
              </w:rPr>
              <w:footnoteReference w:id="95"/>
            </w:r>
            <w:r w:rsidRPr="001E32C9">
              <w:t xml:space="preserve"> </w:t>
            </w:r>
          </w:p>
        </w:tc>
        <w:tc>
          <w:tcPr>
            <w:tcW w:w="1839" w:type="dxa"/>
          </w:tcPr>
          <w:p w:rsidR="00B76A97" w:rsidRPr="000F2066"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372214">
              <w:t>Fixed line services (telecommunications), final access decision</w:t>
            </w:r>
          </w:p>
        </w:tc>
        <w:tc>
          <w:tcPr>
            <w:tcW w:w="708"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2011</w:t>
            </w:r>
          </w:p>
        </w:tc>
        <w:tc>
          <w:tcPr>
            <w:tcW w:w="1910"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N/A</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N/A</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806F67">
              <w:rPr>
                <w:rStyle w:val="AERtextbold"/>
              </w:rPr>
              <w:t>0.45</w:t>
            </w:r>
            <w:r>
              <w:t>, chosen from within the range of possible estimates and with regard to a wide range of evidence, including industry specific factors</w:t>
            </w:r>
          </w:p>
        </w:tc>
      </w:tr>
      <w:tr w:rsidR="00B76A97"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B76A97" w:rsidRPr="001E32C9" w:rsidRDefault="00B76A97" w:rsidP="009F469A">
            <w:pPr>
              <w:pStyle w:val="AERbodytext"/>
              <w:keepNext/>
              <w:keepLines/>
            </w:pPr>
            <w:r>
              <w:t>ERA</w:t>
            </w:r>
            <w:r w:rsidRPr="001E32C9">
              <w:rPr>
                <w:rStyle w:val="FootnoteReference"/>
              </w:rPr>
              <w:footnoteReference w:id="96"/>
            </w:r>
            <w:r w:rsidRPr="001E32C9">
              <w:t xml:space="preserve">  </w:t>
            </w:r>
          </w:p>
        </w:tc>
        <w:tc>
          <w:tcPr>
            <w:tcW w:w="1839" w:type="dxa"/>
          </w:tcPr>
          <w:p w:rsidR="00B76A97" w:rsidRPr="000F2066"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draft determination </w:t>
            </w:r>
          </w:p>
        </w:tc>
        <w:tc>
          <w:tcPr>
            <w:tcW w:w="708"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t>2</w:t>
            </w:r>
            <w:r w:rsidRPr="005657CB">
              <w:t>014</w:t>
            </w:r>
          </w:p>
        </w:tc>
        <w:tc>
          <w:tcPr>
            <w:tcW w:w="1910"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0.7</w:t>
            </w:r>
            <w:r>
              <w:t>, using cumulative payout ratio approach</w:t>
            </w:r>
          </w:p>
        </w:tc>
        <w:tc>
          <w:tcPr>
            <w:tcW w:w="1911"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0.35 to 0.55</w:t>
            </w:r>
            <w:r w:rsidRPr="005657CB">
              <w:t>, using SFG and ERA dividend drop off studies</w:t>
            </w:r>
          </w:p>
        </w:tc>
        <w:tc>
          <w:tcPr>
            <w:tcW w:w="1911"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0.3</w:t>
            </w:r>
            <w:r w:rsidRPr="005657CB">
              <w:t>, chosen from within the range of 0.25 to 0.385</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t>IPART</w:t>
            </w:r>
            <w:r w:rsidRPr="00B76A97">
              <w:rPr>
                <w:rStyle w:val="FootnoteReference"/>
              </w:rPr>
              <w:footnoteReference w:id="97"/>
            </w:r>
          </w:p>
        </w:tc>
        <w:tc>
          <w:tcPr>
            <w:tcW w:w="1839" w:type="dxa"/>
          </w:tcPr>
          <w:p w:rsidR="00B76A97" w:rsidRPr="000F2066"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8" w:type="dxa"/>
          </w:tcPr>
          <w:p w:rsidR="00B76A97" w:rsidRPr="005657CB"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2012</w:t>
            </w:r>
          </w:p>
        </w:tc>
        <w:tc>
          <w:tcPr>
            <w:tcW w:w="1910"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584C69">
              <w:rPr>
                <w:rStyle w:val="AERtextbold"/>
              </w:rPr>
              <w:t>0.7</w:t>
            </w:r>
            <w:r>
              <w:t>, using cumulative payout ratio approach</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584C69">
              <w:rPr>
                <w:rStyle w:val="AERtextbold"/>
              </w:rPr>
              <w:t>0.35</w:t>
            </w:r>
            <w:r>
              <w:t>, using SFG dividend drop off study</w:t>
            </w:r>
          </w:p>
        </w:tc>
        <w:tc>
          <w:tcPr>
            <w:tcW w:w="1911" w:type="dxa"/>
          </w:tcPr>
          <w:p w:rsidR="00B76A97" w:rsidRPr="005657CB"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584C69">
              <w:rPr>
                <w:rStyle w:val="AERtextbold"/>
              </w:rPr>
              <w:t>0.25</w:t>
            </w:r>
          </w:p>
        </w:tc>
      </w:tr>
    </w:tbl>
    <w:p w:rsidR="001E32C9" w:rsidRDefault="001E32C9" w:rsidP="001E32C9">
      <w:pPr>
        <w:pStyle w:val="AERtablesource"/>
      </w:pPr>
      <w:r>
        <w:t>Source:</w:t>
      </w:r>
      <w:r>
        <w:tab/>
        <w:t>As specified in table.</w:t>
      </w:r>
    </w:p>
    <w:p w:rsidR="00C330D3" w:rsidRPr="000A4554" w:rsidRDefault="00C330D3" w:rsidP="00C330D3">
      <w:pPr>
        <w:pStyle w:val="AERbodytext"/>
      </w:pPr>
      <w:r>
        <w:t xml:space="preserve">As noted above, conceptually, the value of imputation credits must be between 0 and 1. The range of values adopted by Australian regulators is from 0.25 to 0.5. This range is narrower than the range of estimates recommended by experts (from 0.25 to 0.84), </w:t>
      </w:r>
      <w:r w:rsidR="008E4432">
        <w:t>but</w:t>
      </w:r>
      <w:r>
        <w:t xml:space="preserve"> it is still quite wide. This highlights the lack of consensus among regulators on the value of imputation credits. Given the lack of consensus among experts, this is perhaps not surprising. Our draft decision value of imputation credits of 0.4 sits within the range adopted by regulators.</w:t>
      </w:r>
    </w:p>
    <w:p w:rsidR="001E32C9" w:rsidRDefault="001E32C9" w:rsidP="001E32C9">
      <w:pPr>
        <w:pStyle w:val="Heading8"/>
        <w:numPr>
          <w:ilvl w:val="5"/>
          <w:numId w:val="57"/>
        </w:numPr>
      </w:pPr>
      <w:r>
        <w:t>Previous Australian Competition Tribunal considerations</w:t>
      </w:r>
    </w:p>
    <w:p w:rsidR="001E32C9" w:rsidRDefault="001E32C9" w:rsidP="001E32C9">
      <w:pPr>
        <w:pStyle w:val="AERbodytext"/>
      </w:pPr>
      <w:r>
        <w:t>The Australian Competition Tribunal has considered in detail the value of imputation credits (gamma) in three proceedings since 2010, relating to applications by:</w:t>
      </w:r>
    </w:p>
    <w:p w:rsidR="001E32C9" w:rsidRDefault="001E32C9" w:rsidP="001E32C9">
      <w:pPr>
        <w:pStyle w:val="AERbulletlistfirststyle"/>
      </w:pPr>
      <w:r>
        <w:t>Energex Limited</w:t>
      </w:r>
    </w:p>
    <w:p w:rsidR="001E32C9" w:rsidRDefault="001E32C9" w:rsidP="001E32C9">
      <w:pPr>
        <w:pStyle w:val="AERbulletlistfirststyle"/>
      </w:pPr>
      <w:r>
        <w:lastRenderedPageBreak/>
        <w:t>DBNGP (WA) Transmission Pty Ltd, and</w:t>
      </w:r>
    </w:p>
    <w:p w:rsidR="001E32C9" w:rsidRDefault="001E32C9" w:rsidP="001E32C9">
      <w:pPr>
        <w:pStyle w:val="AERbulletlistfirststyle"/>
      </w:pPr>
      <w:r>
        <w:t>WA Gas Networks Pty Ltd.</w:t>
      </w:r>
    </w:p>
    <w:p w:rsidR="001E32C9" w:rsidRDefault="001E32C9" w:rsidP="001E32C9">
      <w:pPr>
        <w:pStyle w:val="AERbodytext"/>
      </w:pPr>
      <w:r>
        <w:t xml:space="preserve">Although the Tribunal came to views in these proceedings on an appropriate </w:t>
      </w:r>
      <w:r w:rsidRPr="00286750">
        <w:t>estimate</w:t>
      </w:r>
      <w:r>
        <w:t xml:space="preserve"> and the merits of different evidence, the Tribunal's comments in each case referred to the lack of </w:t>
      </w:r>
      <w:r w:rsidR="00BD1852">
        <w:t xml:space="preserve">expert </w:t>
      </w:r>
      <w:r>
        <w:t>consensus regarding the value of imputation credits and the scope that existed for future assessments of the evidence. We discuss these comments further in the sections below.</w:t>
      </w:r>
    </w:p>
    <w:p w:rsidR="001E32C9" w:rsidRDefault="001E32C9" w:rsidP="001E32C9">
      <w:pPr>
        <w:pStyle w:val="Heading9"/>
        <w:numPr>
          <w:ilvl w:val="6"/>
          <w:numId w:val="57"/>
        </w:numPr>
      </w:pPr>
      <w:r>
        <w:t>Energex</w:t>
      </w:r>
    </w:p>
    <w:p w:rsidR="001E32C9" w:rsidRPr="00F275F8" w:rsidRDefault="001E32C9" w:rsidP="001E32C9">
      <w:pPr>
        <w:pStyle w:val="AERbodytext"/>
      </w:pPr>
      <w:r>
        <w:t>In our 2009 industry wide review of rate of return parameters</w:t>
      </w:r>
      <w:r w:rsidR="00BD1852">
        <w:t xml:space="preserve"> (the 2009 WACC review)</w:t>
      </w:r>
      <w:r>
        <w:t>, we adopted a gamma of 0.65.</w:t>
      </w:r>
      <w:r>
        <w:rPr>
          <w:rStyle w:val="FootnoteReference"/>
        </w:rPr>
        <w:footnoteReference w:id="98"/>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w:t>
      </w:r>
      <w:r>
        <w:t xml:space="preserve"> which were the first set of determinations following the review</w:t>
      </w:r>
      <w:r w:rsidRPr="00F275F8">
        <w:t>.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idend drop off study from SFG</w:t>
      </w:r>
      <w:r w:rsidR="00BD1852">
        <w:t xml:space="preserve"> to estimate the utilisation rate</w:t>
      </w:r>
      <w:r>
        <w:t xml:space="preserve">. </w:t>
      </w:r>
      <w:r w:rsidRPr="00F275F8">
        <w:t xml:space="preserve">The Tribunal adopted SFG's recommendation that the utilisation rate be set at 0.35. This resulted in a gamma of 0.25. </w:t>
      </w:r>
    </w:p>
    <w:p w:rsidR="001E32C9" w:rsidRDefault="001E32C9" w:rsidP="001E32C9">
      <w:pPr>
        <w:pStyle w:val="AERbodytext"/>
      </w:pPr>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rsidR="00AD3769">
        <w:fldChar w:fldCharType="begin"/>
      </w:r>
      <w:r w:rsidR="00AD3769">
        <w:instrText xml:space="preserve"> REF  _Ref400609646 \* Lower \h </w:instrText>
      </w:r>
      <w:r w:rsidR="00AD3769">
        <w:fldChar w:fldCharType="separate"/>
      </w:r>
      <w:r w:rsidR="00927273" w:rsidRPr="000E711B">
        <w:t xml:space="preserve">table </w:t>
      </w:r>
      <w:r w:rsidR="00927273">
        <w:rPr>
          <w:noProof/>
        </w:rPr>
        <w:t>4</w:t>
      </w:r>
      <w:r w:rsidR="004C6F08">
        <w:t>.</w:t>
      </w:r>
      <w:r w:rsidR="00927273">
        <w:rPr>
          <w:noProof/>
        </w:rPr>
        <w:t>5</w:t>
      </w:r>
      <w:r w:rsidR="00AD3769">
        <w:fldChar w:fldCharType="end"/>
      </w:r>
      <w:r>
        <w:t xml:space="preserve"> below</w:t>
      </w:r>
      <w:r w:rsidRPr="00FC06FD">
        <w:t>.</w:t>
      </w:r>
      <w:r>
        <w:t xml:space="preserve"> </w:t>
      </w:r>
      <w:r w:rsidRPr="00F275F8">
        <w:t xml:space="preserve">We </w:t>
      </w:r>
      <w:r>
        <w:t xml:space="preserve">have </w:t>
      </w:r>
      <w:r w:rsidRPr="00F275F8">
        <w:t xml:space="preserve">carefully considered these views. </w:t>
      </w:r>
    </w:p>
    <w:p w:rsidR="001E32C9" w:rsidRPr="000E711B" w:rsidRDefault="001E32C9" w:rsidP="001E32C9">
      <w:pPr>
        <w:pStyle w:val="Caption"/>
      </w:pPr>
      <w:bookmarkStart w:id="52" w:name="_Ref400609646"/>
      <w:bookmarkStart w:id="53" w:name="_Ref401260171"/>
      <w:r w:rsidRPr="000E711B">
        <w:t xml:space="preserve">Table </w:t>
      </w:r>
      <w:fldSimple w:instr=" STYLEREF 1 \s ">
        <w:r w:rsidR="00927273">
          <w:rPr>
            <w:noProof/>
          </w:rPr>
          <w:t>4</w:t>
        </w:r>
      </w:fldSimple>
      <w:r w:rsidR="00C20561">
        <w:noBreakHyphen/>
      </w:r>
      <w:fldSimple w:instr=" SEQ Table \* ARABIC \s 1 ">
        <w:r w:rsidR="00927273">
          <w:rPr>
            <w:noProof/>
          </w:rPr>
          <w:t>5</w:t>
        </w:r>
      </w:fldSimple>
      <w:bookmarkEnd w:id="52"/>
      <w:r w:rsidRPr="000E711B">
        <w:tab/>
        <w:t>Australian Competition Tribunal's observations on imputation credits</w:t>
      </w:r>
      <w:bookmarkEnd w:id="53"/>
      <w:r>
        <w:t xml:space="preserve"> in Energex matter</w:t>
      </w:r>
    </w:p>
    <w:tbl>
      <w:tblPr>
        <w:tblStyle w:val="AERtable-numbers"/>
        <w:tblW w:w="0" w:type="auto"/>
        <w:tblLook w:val="04A0" w:firstRow="1" w:lastRow="0" w:firstColumn="1" w:lastColumn="0" w:noHBand="0" w:noVBand="1"/>
      </w:tblPr>
      <w:tblGrid>
        <w:gridCol w:w="1449"/>
        <w:gridCol w:w="4197"/>
        <w:gridCol w:w="3596"/>
      </w:tblGrid>
      <w:tr w:rsidR="001E32C9" w:rsidTr="004C6F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9" w:type="dxa"/>
          </w:tcPr>
          <w:p w:rsidR="001E32C9" w:rsidRPr="000E711B" w:rsidRDefault="001E32C9" w:rsidP="001E32C9">
            <w:pPr>
              <w:pStyle w:val="AERbodytext"/>
            </w:pPr>
            <w:r w:rsidRPr="000E711B">
              <w:t>Issue</w:t>
            </w:r>
          </w:p>
        </w:tc>
        <w:tc>
          <w:tcPr>
            <w:tcW w:w="4197" w:type="dxa"/>
          </w:tcPr>
          <w:p w:rsidR="001E32C9" w:rsidRPr="000E711B"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3596" w:type="dxa"/>
          </w:tcPr>
          <w:p w:rsidR="001E32C9" w:rsidRPr="000E711B"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t>AER comments</w:t>
            </w:r>
          </w:p>
        </w:tc>
      </w:tr>
      <w:tr w:rsidR="001E32C9"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The conceptual framework for gamma</w:t>
            </w:r>
          </w:p>
        </w:tc>
        <w:tc>
          <w:tcPr>
            <w:tcW w:w="4197"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(a) the rationale for including the gamma component in the formula for calculating the estimated cost of </w:t>
            </w:r>
            <w:r w:rsidRPr="000E711B">
              <w:lastRenderedPageBreak/>
              <w:t>corporate income tax; and</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(b) how it relates to the rest of the building blocks, especially the rate of return (cl 6.4.3(a) and cl 6.5.2(b) of the Rules)."</w:t>
            </w:r>
            <w:r w:rsidRPr="000E711B">
              <w:rPr>
                <w:rStyle w:val="FootnoteReference"/>
              </w:rPr>
              <w:footnoteReference w:id="99"/>
            </w:r>
          </w:p>
        </w:tc>
        <w:tc>
          <w:tcPr>
            <w:tcW w:w="3596"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lastRenderedPageBreak/>
              <w:t xml:space="preserve">In developing the </w:t>
            </w:r>
            <w:r w:rsidR="0033289B">
              <w:t>Guideline</w:t>
            </w:r>
            <w:r>
              <w:t xml:space="preserve">, we re-evaluated the conceptual framework for the value of imputation credits. In making this draft decision, we have built on this re-evaluation and received further advice from Handley. We discuss the role of the value of imputation credits and the underlying conceptual framework in sections </w:t>
            </w:r>
            <w:r>
              <w:fldChar w:fldCharType="begin"/>
            </w:r>
            <w:r>
              <w:instrText xml:space="preserve"> REF _Ref400961862 \r \h </w:instrText>
            </w:r>
            <w:r>
              <w:fldChar w:fldCharType="separate"/>
            </w:r>
            <w:r w:rsidR="00927273">
              <w:t>A.4</w:t>
            </w:r>
            <w:r>
              <w:fldChar w:fldCharType="end"/>
            </w:r>
            <w:r>
              <w:t xml:space="preserve"> and </w:t>
            </w:r>
            <w:r>
              <w:fldChar w:fldCharType="begin"/>
            </w:r>
            <w:r>
              <w:instrText xml:space="preserve"> REF _Ref400965182 \r \h </w:instrText>
            </w:r>
            <w:r>
              <w:fldChar w:fldCharType="separate"/>
            </w:r>
            <w:r w:rsidR="00927273">
              <w:t>A.5</w:t>
            </w:r>
            <w:r>
              <w:fldChar w:fldCharType="end"/>
            </w:r>
            <w:r>
              <w:t>.</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87194A">
            <w:pPr>
              <w:pStyle w:val="AERtabletextleft"/>
            </w:pPr>
            <w:r w:rsidRPr="000E711B">
              <w:lastRenderedPageBreak/>
              <w:t xml:space="preserve">The </w:t>
            </w:r>
            <w:r w:rsidR="0087194A">
              <w:t>distribution rate (payout ratio)</w:t>
            </w:r>
          </w:p>
        </w:tc>
        <w:tc>
          <w:tcPr>
            <w:tcW w:w="4197" w:type="dxa"/>
          </w:tcPr>
          <w:p w:rsidR="001E32C9" w:rsidRPr="000E711B" w:rsidRDefault="00C2727C" w:rsidP="001E32C9">
            <w:pPr>
              <w:pStyle w:val="AERbodytext"/>
              <w:cnfStyle w:val="000000010000" w:firstRow="0" w:lastRow="0" w:firstColumn="0" w:lastColumn="0" w:oddVBand="0" w:evenVBand="0" w:oddHBand="0" w:evenHBand="1" w:firstRowFirstColumn="0" w:firstRowLastColumn="0" w:lastRowFirstColumn="0" w:lastRowLastColumn="0"/>
            </w:pPr>
            <w:r>
              <w:t>"…there is [was]</w:t>
            </w:r>
            <w:r w:rsidR="001E32C9" w:rsidRPr="000E711B">
              <w:t xml:space="preserve"> no empirical evidence currently available su</w:t>
            </w:r>
            <w:r>
              <w:t>pporting a distribution</w:t>
            </w:r>
            <w:r w:rsidR="001E32C9" w:rsidRPr="000E711B">
              <w:t xml:space="preserve"> ratio higher than 0.70."</w:t>
            </w:r>
            <w:r w:rsidR="001E32C9" w:rsidRPr="000E711B">
              <w:rPr>
                <w:rStyle w:val="FootnoteReference"/>
              </w:rPr>
              <w:footnoteReference w:id="100"/>
            </w:r>
          </w:p>
        </w:tc>
        <w:tc>
          <w:tcPr>
            <w:tcW w:w="3596" w:type="dxa"/>
          </w:tcPr>
          <w:p w:rsidR="001E32C9" w:rsidRPr="000E711B" w:rsidRDefault="001E32C9" w:rsidP="0051580D">
            <w:pPr>
              <w:pStyle w:val="AERbodytext"/>
              <w:cnfStyle w:val="000000010000" w:firstRow="0" w:lastRow="0" w:firstColumn="0" w:lastColumn="0" w:oddVBand="0" w:evenVBand="0" w:oddHBand="0" w:evenHBand="1" w:firstRowFirstColumn="0" w:firstRowLastColumn="0" w:lastRowFirstColumn="0" w:lastRowLastColumn="0"/>
            </w:pPr>
            <w:r>
              <w:t xml:space="preserve">As discussed in section </w:t>
            </w:r>
            <w:r w:rsidR="00B7073F">
              <w:fldChar w:fldCharType="begin"/>
            </w:r>
            <w:r w:rsidR="00B7073F">
              <w:instrText xml:space="preserve"> REF _Ref403482746 \r \h </w:instrText>
            </w:r>
            <w:r w:rsidR="00B7073F">
              <w:fldChar w:fldCharType="separate"/>
            </w:r>
            <w:r w:rsidR="00927273">
              <w:t>4.4.1</w:t>
            </w:r>
            <w:r w:rsidR="00B7073F">
              <w:fldChar w:fldCharType="end"/>
            </w:r>
            <w:r>
              <w:t xml:space="preserve"> of attachment </w:t>
            </w:r>
            <w:r w:rsidR="0051580D">
              <w:t>4</w:t>
            </w:r>
            <w:r>
              <w:t xml:space="preserve"> and section </w:t>
            </w:r>
            <w:r>
              <w:fldChar w:fldCharType="begin"/>
            </w:r>
            <w:r>
              <w:instrText xml:space="preserve"> REF _Ref401133206 \r \h </w:instrText>
            </w:r>
            <w:r>
              <w:fldChar w:fldCharType="separate"/>
            </w:r>
            <w:r w:rsidR="00927273">
              <w:t>A.9</w:t>
            </w:r>
            <w:r>
              <w:fldChar w:fldCharType="end"/>
            </w:r>
            <w:r>
              <w:t xml:space="preserve"> of this appendix, we consider that the approach used to estimate a distribution rate of 0.7 across all equity can be applied to listed equity only to produce a distribution rate of 0.8.</w:t>
            </w:r>
            <w:r w:rsidR="008E4432">
              <w:t xml:space="preserve"> Lally also finds a distribution rate of 0.84 over the largest 20 ASX-listed companies.</w:t>
            </w:r>
          </w:p>
        </w:tc>
      </w:tr>
      <w:tr w:rsidR="001E32C9" w:rsidRPr="00B45BDD"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 xml:space="preserve">Tax </w:t>
            </w:r>
            <w:r w:rsidRPr="001E32C9">
              <w:t>statistic estimates</w:t>
            </w:r>
          </w:p>
        </w:tc>
        <w:tc>
          <w:tcPr>
            <w:tcW w:w="4197"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01"/>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w:t>
            </w:r>
            <w:r w:rsidRPr="000E711B">
              <w:lastRenderedPageBreak/>
              <w:t>being an example of such a use of an estimate of the utilisation rate.</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02"/>
            </w:r>
          </w:p>
        </w:tc>
        <w:tc>
          <w:tcPr>
            <w:tcW w:w="3596" w:type="dxa"/>
          </w:tcPr>
          <w:p w:rsidR="001E32C9" w:rsidRPr="000E711B" w:rsidRDefault="001E32C9" w:rsidP="0051580D">
            <w:pPr>
              <w:pStyle w:val="AERbodytext"/>
              <w:cnfStyle w:val="000000000000" w:firstRow="0" w:lastRow="0" w:firstColumn="0" w:lastColumn="0" w:oddVBand="0" w:evenVBand="0" w:oddHBand="0" w:evenHBand="0" w:firstRowFirstColumn="0" w:firstRowLastColumn="0" w:lastRowFirstColumn="0" w:lastRowLastColumn="0"/>
            </w:pPr>
            <w:r>
              <w:lastRenderedPageBreak/>
              <w:t xml:space="preserve">Handley advised that his previous comments regarding the use of tax statistics </w:t>
            </w:r>
            <w:r w:rsidR="00BD1852">
              <w:t xml:space="preserve">being an 'upper bound' </w:t>
            </w:r>
            <w:r>
              <w:t xml:space="preserve">were misinterpreted in these proceedings. Handley confirmed that tax statistics can be used to produce a point estimate of the utilisation rate. See our discussion of Handley's comments in section </w:t>
            </w:r>
            <w:r>
              <w:fldChar w:fldCharType="begin"/>
            </w:r>
            <w:r>
              <w:instrText xml:space="preserve"> REF _Ref402179374 \r \h </w:instrText>
            </w:r>
            <w:r>
              <w:fldChar w:fldCharType="separate"/>
            </w:r>
            <w:r w:rsidR="00927273">
              <w:t>A.6.1</w:t>
            </w:r>
            <w:r>
              <w:fldChar w:fldCharType="end"/>
            </w:r>
            <w:r>
              <w:t xml:space="preserve">. We discuss the use of tax statistics more broadly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 </w:t>
            </w:r>
            <w:r w:rsidR="0051580D">
              <w:t>4</w:t>
            </w:r>
            <w:r>
              <w:t xml:space="preserve"> and section </w:t>
            </w:r>
            <w:r>
              <w:fldChar w:fldCharType="begin"/>
            </w:r>
            <w:r>
              <w:instrText xml:space="preserve"> REF _Ref402179420 \r \h </w:instrText>
            </w:r>
            <w:r>
              <w:fldChar w:fldCharType="separate"/>
            </w:r>
            <w:r w:rsidR="00927273">
              <w:t>A.13</w:t>
            </w:r>
            <w:r>
              <w:fldChar w:fldCharType="end"/>
            </w:r>
            <w:r>
              <w:t xml:space="preserve"> of this appendix.</w:t>
            </w:r>
          </w:p>
        </w:tc>
      </w:tr>
      <w:tr w:rsidR="001E32C9" w:rsidRPr="00B45BDD"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lastRenderedPageBreak/>
              <w:t>The conceptual basis for dividend drop off studies</w:t>
            </w:r>
          </w:p>
        </w:tc>
        <w:tc>
          <w:tcPr>
            <w:tcW w:w="4197" w:type="dxa"/>
          </w:tcPr>
          <w:p w:rsidR="001E32C9" w:rsidRPr="000E711B" w:rsidRDefault="001E32C9" w:rsidP="001E32C9">
            <w:pPr>
              <w:pStyle w:val="AERbodytext"/>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1E32C9" w:rsidRPr="000E711B" w:rsidRDefault="001E32C9" w:rsidP="001E32C9">
            <w:pPr>
              <w:pStyle w:val="AERbodytext"/>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03"/>
            </w:r>
          </w:p>
        </w:tc>
        <w:tc>
          <w:tcPr>
            <w:tcW w:w="3596" w:type="dxa"/>
          </w:tcPr>
          <w:p w:rsidR="001E32C9" w:rsidRPr="000E711B" w:rsidRDefault="001E32C9" w:rsidP="00BC05E4">
            <w:pPr>
              <w:pStyle w:val="AERbodytext"/>
              <w:cnfStyle w:val="000000010000" w:firstRow="0" w:lastRow="0" w:firstColumn="0" w:lastColumn="0" w:oddVBand="0" w:evenVBand="0" w:oddHBand="0" w:evenHBand="1" w:firstRowFirstColumn="0" w:firstRowLastColumn="0" w:lastRowFirstColumn="0" w:lastRowLastColumn="0"/>
            </w:pPr>
            <w:r>
              <w:t xml:space="preserve">The limitations of dividend drop off studies have been widely identified since these proceedings—we provide a selection of comments from academics and regulators in section </w:t>
            </w:r>
            <w:r>
              <w:fldChar w:fldCharType="begin"/>
            </w:r>
            <w:r>
              <w:instrText xml:space="preserve"> REF _Ref402180002 \r \h </w:instrText>
            </w:r>
            <w:r>
              <w:fldChar w:fldCharType="separate"/>
            </w:r>
            <w:r w:rsidR="00927273">
              <w:t>A.15.2</w:t>
            </w:r>
            <w:r>
              <w:fldChar w:fldCharType="end"/>
            </w:r>
            <w:r>
              <w:t xml:space="preserve">. Moreover, both Handley and Lally advised that other approaches to estimating the utilisation rate should be preferred (see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t>
            </w:r>
            <w:r w:rsidR="00BC05E4">
              <w:t>Handley and Lally also advised that, without adjustment, dividend drop off studies produce downwards</w:t>
            </w:r>
            <w:r w:rsidR="008E4432">
              <w:t>-</w:t>
            </w:r>
            <w:r w:rsidR="00BC05E4">
              <w:t>biased estimates of the utilisation rate.</w:t>
            </w:r>
          </w:p>
        </w:tc>
      </w:tr>
      <w:tr w:rsidR="001E32C9"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The need to re-evaluate gamma</w:t>
            </w:r>
          </w:p>
        </w:tc>
        <w:tc>
          <w:tcPr>
            <w:tcW w:w="4197"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04"/>
            </w:r>
          </w:p>
        </w:tc>
        <w:tc>
          <w:tcPr>
            <w:tcW w:w="3596"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draft decision. Instead, we adopt a value of imputation credits that is based on our assessment of the merits of the evidence before us. </w:t>
            </w:r>
          </w:p>
        </w:tc>
      </w:tr>
    </w:tbl>
    <w:p w:rsidR="001E32C9" w:rsidRPr="000E711B" w:rsidRDefault="001E32C9" w:rsidP="001E32C9">
      <w:pPr>
        <w:pStyle w:val="AERtablesource"/>
      </w:pPr>
      <w:r>
        <w:t xml:space="preserve">Source: </w:t>
      </w:r>
      <w:r>
        <w:tab/>
        <w:t>As specified in table.</w:t>
      </w:r>
    </w:p>
    <w:p w:rsidR="001E32C9" w:rsidRDefault="001E32C9" w:rsidP="001E32C9">
      <w:pPr>
        <w:pStyle w:val="AERbodytext"/>
      </w:pPr>
      <w:r>
        <w:t xml:space="preserve">During the </w:t>
      </w:r>
      <w:r w:rsidR="0033289B">
        <w:t>Guideline</w:t>
      </w:r>
      <w:r>
        <w:t xml:space="preserve"> process, service providers frequently proposed a value of imputation credits of 0.25 and referenced the Tribunal decision in support of this. However, the last quote from the Tribunal demonstrates that it did not intend for its decision to be permanently determinative. In the </w:t>
      </w:r>
      <w:r w:rsidR="0033289B">
        <w:t>Guideline</w:t>
      </w:r>
      <w:r>
        <w:t>, we also made this point. Service providers with current proposals no longer refer to the Tribunal's decision as if it were precedent, but those service providers propose a value of imputation credits, and reasons for that value, which are consistent with the Tribunal decision.</w:t>
      </w:r>
    </w:p>
    <w:p w:rsidR="001E32C9" w:rsidRDefault="001E32C9" w:rsidP="001E32C9">
      <w:pPr>
        <w:pStyle w:val="AERbodytext"/>
      </w:pPr>
      <w:r>
        <w:t xml:space="preserve">Both during the </w:t>
      </w:r>
      <w:r w:rsidR="0033289B">
        <w:t>Guideline</w:t>
      </w:r>
      <w:r>
        <w:t xml:space="preserve"> development process and this determination process, we have considered the previous Tribunal decision carefully in forming our view on the value of imputation credits. However, for the reasons expressed i</w:t>
      </w:r>
      <w:r w:rsidR="00E26BBD">
        <w:t xml:space="preserve">n this appendix and attachment </w:t>
      </w:r>
      <w:r w:rsidR="0051580D">
        <w:t>4</w:t>
      </w:r>
      <w:r>
        <w:t xml:space="preserve"> we have come to a different </w:t>
      </w:r>
      <w:r w:rsidR="00BC05E4">
        <w:t>position</w:t>
      </w:r>
      <w:r>
        <w:t>. This is consistent with the Tribunal's expectation that the value of imputation credits is 'necessarily, and desirably, an ongoing intellectual and empirical endeavour'.</w:t>
      </w:r>
    </w:p>
    <w:p w:rsidR="001E32C9" w:rsidRDefault="001E32C9" w:rsidP="001E32C9">
      <w:pPr>
        <w:pStyle w:val="AERbodytext"/>
      </w:pPr>
      <w:r>
        <w:lastRenderedPageBreak/>
        <w:t>On a specific issue considered in the Tribunal decision, SFG submitted that:</w:t>
      </w:r>
      <w:r>
        <w:rPr>
          <w:rStyle w:val="FootnoteReference"/>
        </w:rPr>
        <w:footnoteReference w:id="105"/>
      </w:r>
    </w:p>
    <w:p w:rsidR="001E32C9" w:rsidRDefault="001E32C9" w:rsidP="001E32C9">
      <w:pPr>
        <w:pStyle w:val="AERquote"/>
      </w:pPr>
      <w:r>
        <w:t>The Tribunal has ruled that redemption rates cannot be used to estimate the value of a distributed credit;</w:t>
      </w:r>
    </w:p>
    <w:p w:rsidR="001E32C9" w:rsidRDefault="001E32C9" w:rsidP="001E32C9">
      <w:pPr>
        <w:pStyle w:val="AERbodytext"/>
      </w:pPr>
      <w:r>
        <w:t>However, based on the Tribunal's observations</w:t>
      </w:r>
      <w:r w:rsidRPr="000E711B">
        <w:t xml:space="preserve"> </w:t>
      </w:r>
      <w:r>
        <w:t xml:space="preserve">in </w:t>
      </w:r>
      <w:r w:rsidR="00AD3769">
        <w:fldChar w:fldCharType="begin"/>
      </w:r>
      <w:r w:rsidR="00AD3769">
        <w:instrText xml:space="preserve"> REF  _Ref400609646 \* Lower \h </w:instrText>
      </w:r>
      <w:r w:rsidR="00AD3769">
        <w:fldChar w:fldCharType="separate"/>
      </w:r>
      <w:r w:rsidR="00927273" w:rsidRPr="000E711B">
        <w:t xml:space="preserve">table </w:t>
      </w:r>
      <w:r w:rsidR="00927273">
        <w:rPr>
          <w:noProof/>
        </w:rPr>
        <w:t>4</w:t>
      </w:r>
      <w:r w:rsidR="00927273">
        <w:noBreakHyphen/>
      </w:r>
      <w:r w:rsidR="00927273">
        <w:rPr>
          <w:noProof/>
        </w:rPr>
        <w:t>5</w:t>
      </w:r>
      <w:r w:rsidR="00AD3769">
        <w:fldChar w:fldCharType="end"/>
      </w:r>
      <w:r w:rsidRPr="000E711B">
        <w:t xml:space="preserve">, </w:t>
      </w:r>
      <w:r>
        <w:t xml:space="preserve">we disagree with SFG's characterisation of the Tribunal's decision. It does not appear to us </w:t>
      </w:r>
      <w:r w:rsidRPr="000E711B">
        <w:t xml:space="preserve">that the Tribunal sought to draw any conclusions about redemption rate (tax </w:t>
      </w:r>
      <w:r>
        <w:t>statistics</w:t>
      </w:r>
      <w:r w:rsidRPr="000E711B">
        <w:t>) studies</w:t>
      </w:r>
      <w:r>
        <w:t xml:space="preserve"> or any other estimation approach</w:t>
      </w:r>
      <w:r w:rsidRPr="000E711B">
        <w:t xml:space="preserve"> beyond the material advanced to it during the review. In contrast, the Tribunal directly observed that it was unable to reach any conclusions about </w:t>
      </w:r>
      <w:r w:rsidR="00BC05E4">
        <w:t xml:space="preserve">the </w:t>
      </w:r>
      <w:r w:rsidRPr="000E711B">
        <w:t>future use of tax statistic</w:t>
      </w:r>
      <w:r w:rsidR="00BC05E4">
        <w:t>s</w:t>
      </w:r>
      <w:r w:rsidRPr="000E711B">
        <w:t>.</w:t>
      </w:r>
      <w:r w:rsidRPr="000E711B">
        <w:rPr>
          <w:rStyle w:val="FootnoteReference"/>
        </w:rPr>
        <w:footnoteReference w:id="106"/>
      </w:r>
      <w:r w:rsidRPr="000E711B">
        <w:t xml:space="preserve"> More generally, the Tribunal acknowledged the limitations of the material before it, and highlighted the need for further analysis of the conceptual task and evidence </w:t>
      </w:r>
      <w:r>
        <w:t xml:space="preserve">available </w:t>
      </w:r>
      <w:r w:rsidRPr="000E711B">
        <w:t>to estimate t</w:t>
      </w:r>
      <w:r>
        <w:t>he value of imputation credits.</w:t>
      </w:r>
    </w:p>
    <w:p w:rsidR="001E32C9" w:rsidRDefault="001E32C9" w:rsidP="001E32C9">
      <w:pPr>
        <w:pStyle w:val="Heading9"/>
        <w:numPr>
          <w:ilvl w:val="6"/>
          <w:numId w:val="57"/>
        </w:numPr>
      </w:pPr>
      <w:r>
        <w:t>DBNGP and WA Gas Networks</w:t>
      </w:r>
    </w:p>
    <w:p w:rsidR="001E32C9" w:rsidRDefault="001E32C9" w:rsidP="001E32C9">
      <w:pPr>
        <w:pStyle w:val="AERbodytext"/>
      </w:pPr>
      <w:r>
        <w:t xml:space="preserve">In 2012, </w:t>
      </w:r>
      <w:r w:rsidR="009163D0">
        <w:t>Dampier to Bunbury Natural Gas Pipeline (</w:t>
      </w:r>
      <w:r>
        <w:t>DBNGP</w:t>
      </w:r>
      <w:r w:rsidR="009163D0">
        <w:t>)</w:t>
      </w:r>
      <w:r>
        <w:t xml:space="preserve"> sought Tribunal review of the ERA's decision to adopt a value of imputation credits of 0.25. In upholding the ERA's value, the Tribunal again emphasised the lack of consensus on an appropriate value:</w:t>
      </w:r>
      <w:r>
        <w:rPr>
          <w:rStyle w:val="FootnoteReference"/>
        </w:rPr>
        <w:footnoteReference w:id="107"/>
      </w:r>
    </w:p>
    <w:p w:rsidR="001E32C9" w:rsidRDefault="001E32C9" w:rsidP="001E32C9">
      <w:pPr>
        <w:pStyle w:val="AERquote"/>
      </w:pPr>
      <w:r>
        <w:t xml:space="preserve">171 </w:t>
      </w:r>
      <w:r>
        <w:tab/>
      </w:r>
      <w:r w:rsidRPr="00883DBE">
        <w:t xml:space="preserve">Determining the appropriate values of F </w:t>
      </w:r>
      <w:r w:rsidR="009163D0">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1E32C9" w:rsidRPr="00883DBE" w:rsidRDefault="001E32C9" w:rsidP="001E32C9">
      <w:pPr>
        <w:pStyle w:val="AERquote"/>
      </w:pPr>
      <w:r>
        <w:t>…</w:t>
      </w:r>
    </w:p>
    <w:p w:rsidR="001E32C9" w:rsidRDefault="001E32C9" w:rsidP="001E32C9">
      <w:pPr>
        <w:pStyle w:val="AERquote"/>
      </w:pPr>
      <w:r>
        <w:t xml:space="preserve">210 </w:t>
      </w:r>
      <w:r>
        <w:tab/>
      </w:r>
      <w:r w:rsidRPr="00883DBE">
        <w:t xml:space="preserve">The material (and conclusions drawn from it) that were relied on by the ERA were objectively produced by respected academic researchers. Professor </w:t>
      </w:r>
      <w:proofErr w:type="spellStart"/>
      <w:r w:rsidRPr="00883DBE">
        <w:t>Gray</w:t>
      </w:r>
      <w:proofErr w:type="spellEnd"/>
      <w:r w:rsidRPr="00883DBE">
        <w:t xml:space="preserve">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w:t>
      </w:r>
      <w:proofErr w:type="spellStart"/>
      <w:r w:rsidRPr="00883DBE">
        <w:t>Gray</w:t>
      </w:r>
      <w:proofErr w:type="spellEnd"/>
      <w:r w:rsidRPr="00883DBE">
        <w:t>, who had been engaged by DBP. Such a difference of opinion is common amongst academics in this as in other similar areas. Thus, so long as the ERA acted reasonably in preferring one expert to another, it will not have committed error.</w:t>
      </w:r>
    </w:p>
    <w:p w:rsidR="001E32C9" w:rsidRDefault="001E32C9" w:rsidP="001E32C9">
      <w:pPr>
        <w:pStyle w:val="AERquote"/>
      </w:pPr>
      <w:r>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1E32C9" w:rsidRPr="00883DBE" w:rsidRDefault="001E32C9" w:rsidP="001E32C9">
      <w:pPr>
        <w:pStyle w:val="AERquote"/>
      </w:pPr>
      <w:r>
        <w:t>…</w:t>
      </w:r>
    </w:p>
    <w:p w:rsidR="001E32C9" w:rsidRPr="007C139E" w:rsidRDefault="001E32C9" w:rsidP="001E32C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1E32C9" w:rsidRDefault="001E32C9" w:rsidP="001E32C9">
      <w:pPr>
        <w:pStyle w:val="AERbodytext"/>
      </w:pPr>
      <w:r>
        <w:t xml:space="preserve">The Tribunal made similar comments in the earlier </w:t>
      </w:r>
      <w:r w:rsidRPr="00C247C6">
        <w:t>WA Gas Networks</w:t>
      </w:r>
      <w:r>
        <w:t xml:space="preserve"> matter</w:t>
      </w:r>
      <w:r w:rsidR="009163D0">
        <w:t>.</w:t>
      </w:r>
      <w:r>
        <w:rPr>
          <w:rStyle w:val="FootnoteReference"/>
        </w:rPr>
        <w:footnoteReference w:id="108"/>
      </w:r>
    </w:p>
    <w:p w:rsidR="001E32C9" w:rsidRDefault="001E32C9" w:rsidP="001E32C9">
      <w:pPr>
        <w:pStyle w:val="Heading8"/>
        <w:numPr>
          <w:ilvl w:val="5"/>
          <w:numId w:val="57"/>
        </w:numPr>
      </w:pPr>
      <w:bookmarkStart w:id="54" w:name="_Ref400961862"/>
      <w:r>
        <w:lastRenderedPageBreak/>
        <w:t>The role of the value of imputation credits in the regulatory framework</w:t>
      </w:r>
      <w:bookmarkEnd w:id="54"/>
    </w:p>
    <w:p w:rsidR="001E32C9" w:rsidRDefault="001E32C9" w:rsidP="001E32C9">
      <w:pPr>
        <w:pStyle w:val="AERbodytext"/>
      </w:pPr>
      <w:r>
        <w:t>To explain the role of the value of imputation credits in the rules, we must consider:</w:t>
      </w:r>
    </w:p>
    <w:p w:rsidR="001E32C9" w:rsidRDefault="001E32C9" w:rsidP="001E32C9">
      <w:pPr>
        <w:pStyle w:val="AERbulletlistfirststyle"/>
      </w:pPr>
      <w:r>
        <w:t>the 'building block' revenue framework in the rules, and</w:t>
      </w:r>
    </w:p>
    <w:p w:rsidR="001E32C9" w:rsidRDefault="001E32C9" w:rsidP="001E32C9">
      <w:pPr>
        <w:pStyle w:val="AERbulletlistfirststyle"/>
      </w:pPr>
      <w:r>
        <w:t>the construction of the tax building block.</w:t>
      </w:r>
    </w:p>
    <w:p w:rsidR="001E32C9" w:rsidRDefault="001E32C9" w:rsidP="001E32C9">
      <w:pPr>
        <w:pStyle w:val="Heading9"/>
        <w:numPr>
          <w:ilvl w:val="6"/>
          <w:numId w:val="57"/>
        </w:numPr>
      </w:pPr>
      <w:r>
        <w:t>The building block framework</w:t>
      </w:r>
    </w:p>
    <w:p w:rsidR="001E32C9" w:rsidRPr="009D12C3" w:rsidRDefault="001E32C9" w:rsidP="001E32C9">
      <w:pPr>
        <w:pStyle w:val="AERbodytext"/>
      </w:pPr>
      <w:r w:rsidRPr="009D12C3">
        <w:t xml:space="preserve">Under the rules, we are required to use a building block framework to estimate </w:t>
      </w:r>
      <w:r>
        <w:t xml:space="preserve">the </w:t>
      </w:r>
      <w:r w:rsidRPr="009D12C3">
        <w:t>revenue for service providers. The building block framework sets out how to estimate the various revenue streams</w:t>
      </w:r>
      <w:r>
        <w:t>/costs (that is, 'building blocks')</w:t>
      </w:r>
      <w:r w:rsidRPr="009D12C3">
        <w:t xml:space="preserve"> that make up a total revenue allowance.</w:t>
      </w:r>
      <w:r>
        <w:rPr>
          <w:rStyle w:val="FootnoteReference"/>
        </w:rPr>
        <w:footnoteReference w:id="109"/>
      </w:r>
      <w:r w:rsidRPr="009D12C3">
        <w:t xml:space="preserve">  The function of this building block revenue estimate is to determine the allowed revenue </w:t>
      </w:r>
      <w:r>
        <w:t xml:space="preserve">for each regulatory year and, in turn, the relevant period, </w:t>
      </w:r>
      <w:r w:rsidRPr="009D12C3">
        <w:t>that a service provider requires to:</w:t>
      </w:r>
    </w:p>
    <w:p w:rsidR="001E32C9" w:rsidRPr="009D12C3" w:rsidRDefault="001E32C9" w:rsidP="001E32C9">
      <w:pPr>
        <w:pStyle w:val="AERbulletlistfirststyle"/>
      </w:pPr>
      <w:r w:rsidRPr="009D12C3">
        <w:t>Fund its operating expenses.</w:t>
      </w:r>
    </w:p>
    <w:p w:rsidR="001E32C9" w:rsidRPr="009D12C3" w:rsidRDefault="001E32C9" w:rsidP="001E32C9">
      <w:pPr>
        <w:pStyle w:val="AERbulletlistfirststyle"/>
      </w:pPr>
      <w:r w:rsidRPr="009D12C3">
        <w:t>Achieve adequate returns to raise debt and equity in order to finance its capital investments. This is made up</w:t>
      </w:r>
      <w:r>
        <w:t xml:space="preserve"> of a rate of return on capital</w:t>
      </w:r>
      <w:r w:rsidRPr="009D12C3">
        <w:t xml:space="preserve"> to compensate investors for the risks of investment. It also includes a return of capital (depreciation), which gradually returns the initial principal of the investment, and subsequent investments, back to investors.</w:t>
      </w:r>
    </w:p>
    <w:p w:rsidR="001E32C9" w:rsidRPr="009D12C3" w:rsidRDefault="001E32C9" w:rsidP="001E32C9">
      <w:pPr>
        <w:pStyle w:val="AERbulletlistfirststyle"/>
      </w:pPr>
      <w:r w:rsidRPr="009D12C3">
        <w:t>Pay its tax liability.</w:t>
      </w:r>
    </w:p>
    <w:p w:rsidR="001E32C9" w:rsidRPr="009D12C3" w:rsidRDefault="001E32C9" w:rsidP="001E32C9">
      <w:pPr>
        <w:pStyle w:val="AERbulletlistfirststyle"/>
      </w:pPr>
      <w:r w:rsidRPr="009D12C3">
        <w:t xml:space="preserve">Reflect any </w:t>
      </w:r>
      <w:r w:rsidR="000805B1">
        <w:t>revenue</w:t>
      </w:r>
      <w:r w:rsidRPr="009D12C3">
        <w:t xml:space="preserve"> increments or decrements </w:t>
      </w:r>
      <w:r w:rsidR="000805B1">
        <w:t xml:space="preserve">from incentive mechanisms </w:t>
      </w:r>
      <w:r w:rsidRPr="009D12C3">
        <w:t>in the design of the regulatory regime.</w:t>
      </w:r>
    </w:p>
    <w:p w:rsidR="001E32C9" w:rsidRDefault="001E32C9" w:rsidP="001E32C9">
      <w:pPr>
        <w:pStyle w:val="AERbodytext"/>
      </w:pPr>
      <w:r>
        <w:t>Importantly, the building block framework is intended to compensate the service provider (and its investors) only for costs incurred by the service provider and not by its investors. Handley described this consideration as follows:</w:t>
      </w:r>
      <w:r>
        <w:rPr>
          <w:rStyle w:val="FootnoteReference"/>
        </w:rPr>
        <w:footnoteReference w:id="110"/>
      </w:r>
    </w:p>
    <w:p w:rsidR="001E32C9" w:rsidRDefault="001E32C9" w:rsidP="001E32C9">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1E32C9" w:rsidRDefault="001E32C9" w:rsidP="001E32C9">
      <w:pPr>
        <w:pStyle w:val="Heading9"/>
        <w:numPr>
          <w:ilvl w:val="6"/>
          <w:numId w:val="57"/>
        </w:numPr>
      </w:pPr>
      <w:bookmarkStart w:id="55" w:name="_Ref400962032"/>
      <w:r>
        <w:t>The tax building block</w:t>
      </w:r>
      <w:bookmarkEnd w:id="55"/>
    </w:p>
    <w:p w:rsidR="000805B1" w:rsidRDefault="001E32C9" w:rsidP="001E32C9">
      <w:pPr>
        <w:pStyle w:val="AERbodytext"/>
      </w:pPr>
      <w:r>
        <w:t>O</w:t>
      </w:r>
      <w:r w:rsidRPr="00721B11">
        <w:t>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rules specify that we must estimate a nominal vanilla rate of return.</w:t>
      </w:r>
      <w:r w:rsidRPr="00721B11">
        <w:rPr>
          <w:rStyle w:val="FootnoteReference"/>
        </w:rPr>
        <w:footnoteReference w:id="111"/>
      </w:r>
      <w:r w:rsidRPr="00721B11">
        <w:t xml:space="preserve">  </w:t>
      </w:r>
      <w:r w:rsidR="000805B1">
        <w:t xml:space="preserve">A nominal vanilla rate of return combines a post-tax return on equity with a pre-tax return on debt. More specifically, as </w:t>
      </w:r>
      <w:r w:rsidR="000805B1">
        <w:lastRenderedPageBreak/>
        <w:t>described by Handley above, the return on equity is a post-company-tax-pre-personal-tax return on equity.</w:t>
      </w:r>
    </w:p>
    <w:p w:rsidR="001E32C9" w:rsidRPr="00721B11" w:rsidRDefault="001E32C9" w:rsidP="001E32C9">
      <w:pPr>
        <w:pStyle w:val="AERbodytext"/>
      </w:pPr>
      <w:r w:rsidRPr="00721B11">
        <w:t>Amongst other things, this means the return on capital does not include an allowance for the cost of taxation.</w:t>
      </w:r>
      <w:r w:rsidR="008E4432">
        <w:t xml:space="preserve"> </w:t>
      </w:r>
      <w:r w:rsidRPr="00721B11">
        <w:t xml:space="preserve">As a result, the building block framework includes an estimate of the cost of corporate income tax as a separate revenue item. </w:t>
      </w:r>
    </w:p>
    <w:p w:rsidR="001E32C9" w:rsidRDefault="001E32C9" w:rsidP="001E32C9">
      <w:pPr>
        <w:pStyle w:val="AERbodytext"/>
      </w:pPr>
      <w:r>
        <w:t>The cost of corporate income tax building block takes the following form:</w:t>
      </w:r>
    </w:p>
    <w:p w:rsidR="001E32C9" w:rsidRDefault="00A854AC" w:rsidP="001E32C9">
      <w:pPr>
        <w:pStyle w:val="AERbodytext"/>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1E32C9" w:rsidRDefault="001E32C9" w:rsidP="001E32C9">
      <w:pPr>
        <w:pStyle w:val="AERbodytext"/>
      </w:pPr>
      <w:r>
        <w:t>where:</w:t>
      </w:r>
    </w:p>
    <w:p w:rsidR="001E32C9" w:rsidRDefault="00A854AC" w:rsidP="001E32C9">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1E32C9" w:rsidDel="00CE0EED">
        <w:t xml:space="preserve"> </w:t>
      </w:r>
      <w:r w:rsidR="001E32C9">
        <w:t>is an estimate of the benchmark efficient entity's tax liability.</w:t>
      </w:r>
    </w:p>
    <w:p w:rsidR="001E32C9" w:rsidRDefault="001E32C9" w:rsidP="001E32C9">
      <w:pPr>
        <w:pStyle w:val="AERbulletlistfirststyle"/>
      </w:pPr>
      <m:oMath>
        <m:r>
          <w:rPr>
            <w:rFonts w:ascii="Cambria Math" w:hAnsi="Cambria Math"/>
          </w:rPr>
          <m:t>γ</m:t>
        </m:r>
      </m:oMath>
      <w:r>
        <w:t xml:space="preserve"> is the value of imputation credits.</w:t>
      </w:r>
    </w:p>
    <w:p w:rsidR="001E32C9" w:rsidRDefault="001E32C9" w:rsidP="001E32C9">
      <w:pPr>
        <w:pStyle w:val="AERbodytext"/>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it is the </w:t>
      </w:r>
      <w:r w:rsidR="009F59D5">
        <w:t xml:space="preserve">(pre-personal tax) </w:t>
      </w:r>
      <w:r>
        <w:t>value of imputation credits to investors in the benchmark efficient entity that is relevant.</w:t>
      </w:r>
    </w:p>
    <w:p w:rsidR="001E32C9" w:rsidRDefault="001E32C9" w:rsidP="001E32C9">
      <w:pPr>
        <w:pStyle w:val="Heading8"/>
        <w:numPr>
          <w:ilvl w:val="5"/>
          <w:numId w:val="57"/>
        </w:numPr>
      </w:pPr>
      <w:bookmarkStart w:id="56" w:name="_Ref400965182"/>
      <w:r>
        <w:t>The conceptual framework for the value of imputation credits</w:t>
      </w:r>
      <w:bookmarkEnd w:id="56"/>
    </w:p>
    <w:p w:rsidR="001E32C9" w:rsidRDefault="001E32C9" w:rsidP="001E32C9">
      <w:pPr>
        <w:pStyle w:val="AERbodytext"/>
      </w:pPr>
      <w:r>
        <w:t xml:space="preserve">With regard to the discussion of the tax building block in section </w:t>
      </w:r>
      <w:r>
        <w:fldChar w:fldCharType="begin"/>
      </w:r>
      <w:r>
        <w:instrText xml:space="preserve"> REF _Ref400962032 \r \h </w:instrText>
      </w:r>
      <w:r>
        <w:fldChar w:fldCharType="separate"/>
      </w:r>
      <w:r w:rsidR="00927273">
        <w:t>A.4.2</w:t>
      </w:r>
      <w:r>
        <w:fldChar w:fldCharType="end"/>
      </w:r>
      <w:r>
        <w:t xml:space="preserve">, we consider the 'value of imputation credits' to be the value of imputation credits to investors in the benchmark efficient entity. </w:t>
      </w:r>
      <w:r w:rsidR="008E4432">
        <w:t>Moreover, a</w:t>
      </w:r>
      <w:r w:rsidR="009F59D5">
        <w:t xml:space="preserve">s noted above, it is the pre-personal tax value of imputation credits to those investors that we seek to estimate. </w:t>
      </w:r>
      <w:r>
        <w:t>The question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12"/>
      </w:r>
      <w:r>
        <w:t xml:space="preserve"> This is because:</w:t>
      </w:r>
    </w:p>
    <w:p w:rsidR="001E32C9" w:rsidRDefault="001E32C9" w:rsidP="001E32C9">
      <w:pPr>
        <w:pStyle w:val="AERbulletlistfirststyle"/>
      </w:pPr>
      <w:r>
        <w:t>The construction of the tax building block mirrors the treatment of imputation credits in the framework developed by Officer, including through use of the parameter denoted by the Greek letter 'gamma'.</w:t>
      </w:r>
      <w:r>
        <w:rPr>
          <w:rStyle w:val="FootnoteReference"/>
        </w:rPr>
        <w:footnoteReference w:id="113"/>
      </w:r>
    </w:p>
    <w:p w:rsidR="001E32C9" w:rsidRDefault="001E32C9" w:rsidP="001E32C9">
      <w:pPr>
        <w:pStyle w:val="AERbulletlistfirststyle"/>
      </w:pPr>
      <w:r>
        <w:t>Handley advised that Officer's definition of the nominal vanilla rate of return provides the basis for the rate of return framework in the rules.</w:t>
      </w:r>
      <w:r>
        <w:rPr>
          <w:rStyle w:val="FootnoteReference"/>
        </w:rPr>
        <w:footnoteReference w:id="114"/>
      </w:r>
    </w:p>
    <w:p w:rsidR="001E32C9" w:rsidRDefault="001E32C9" w:rsidP="001E32C9">
      <w:pPr>
        <w:pStyle w:val="AERbulletlistfirststyle"/>
      </w:pPr>
      <w:r>
        <w:t xml:space="preserve">The rules require that we determine the rate of return </w:t>
      </w:r>
      <w:r w:rsidRPr="008C49DA">
        <w:t xml:space="preserve">on a nominal vanilla basis that is consistent with </w:t>
      </w:r>
      <w:r>
        <w:t>our</w:t>
      </w:r>
      <w:r w:rsidRPr="008C49DA">
        <w:t xml:space="preserve"> estimate of the value of imputation credits</w:t>
      </w:r>
      <w:r>
        <w:t>.</w:t>
      </w:r>
      <w:r>
        <w:rPr>
          <w:rStyle w:val="FootnoteReference"/>
        </w:rPr>
        <w:footnoteReference w:id="115"/>
      </w:r>
    </w:p>
    <w:p w:rsidR="001E32C9" w:rsidRDefault="001E32C9" w:rsidP="001E32C9">
      <w:pPr>
        <w:pStyle w:val="AERbodytext"/>
      </w:pPr>
      <w:r>
        <w:t xml:space="preserve">Officer describes gamma in different ways, and this is a potential source of ambiguity regarding what the parameter represents and therefore how one might estimate it in practice. Whilst Handley </w:t>
      </w:r>
      <w:r>
        <w:lastRenderedPageBreak/>
        <w:t>acknowledged that Officer describes gamma in seemingly different ways, he advised that</w:t>
      </w:r>
      <w:r w:rsidR="009F59D5">
        <w:t>, when examined closely,</w:t>
      </w:r>
      <w:r>
        <w:t xml:space="preserve"> there is no ambiguity in the meaning of Officer. Handley advised:</w:t>
      </w:r>
      <w:r>
        <w:rPr>
          <w:rStyle w:val="FootnoteReference"/>
        </w:rPr>
        <w:footnoteReference w:id="116"/>
      </w:r>
    </w:p>
    <w:p w:rsidR="001E32C9" w:rsidRPr="00EB15F4" w:rsidRDefault="001E32C9" w:rsidP="001E32C9">
      <w:pPr>
        <w:pStyle w:val="AERquote"/>
      </w:pPr>
      <w:r w:rsidRPr="00EB15F4">
        <w:t>Similarly,</w:t>
      </w:r>
      <w:r>
        <w:t xml:space="preserve"> Officer has described gamma in </w:t>
      </w:r>
      <w:r w:rsidRPr="00EB15F4">
        <w:t>seemingly different ways. For example he refers to:</w:t>
      </w:r>
    </w:p>
    <w:p w:rsidR="001E32C9" w:rsidRPr="00EB15F4" w:rsidRDefault="001E32C9" w:rsidP="001E32C9">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1E32C9" w:rsidRPr="00EB15F4" w:rsidRDefault="001E32C9" w:rsidP="001E32C9">
      <w:pPr>
        <w:pStyle w:val="AERquote"/>
      </w:pPr>
      <w:r w:rsidRPr="00EB15F4">
        <w:t>and shortly thereafter:</w:t>
      </w:r>
    </w:p>
    <w:p w:rsidR="001E32C9" w:rsidRPr="00EB15F4" w:rsidRDefault="001E32C9" w:rsidP="001E32C9">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1E32C9" w:rsidRDefault="001E32C9" w:rsidP="001E32C9">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1E32C9" w:rsidRDefault="001E32C9" w:rsidP="001E32C9">
      <w:pPr>
        <w:pStyle w:val="AERbodytext"/>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w:t>
      </w:r>
      <w:r w:rsidR="0033289B">
        <w:t>Guideline</w:t>
      </w:r>
      <w:r>
        <w:t xml:space="preserve"> and continue to adopt in this decision. As is evident from the above discussion, this interpretation is consistent with the Officer framework and is supported by advice from Handley. </w:t>
      </w:r>
    </w:p>
    <w:p w:rsidR="001E32C9" w:rsidRDefault="001E32C9" w:rsidP="001E32C9">
      <w:pPr>
        <w:pStyle w:val="AERbodytext"/>
      </w:pPr>
      <w:r>
        <w:t>The Officer framework assumes that all free cash flow</w:t>
      </w:r>
      <w:r w:rsidR="00CA5D32">
        <w:t>s</w:t>
      </w:r>
      <w:r>
        <w:t xml:space="preserve"> (including imputation credits) are </w:t>
      </w:r>
      <w:r w:rsidR="009F59D5">
        <w:t xml:space="preserve">fully </w:t>
      </w:r>
      <w:r>
        <w:t>paid out each period. That is, the Officer framework is a 'perpetuity' framework. However, in reality not all imputation credits are necessarily paid out</w:t>
      </w:r>
      <w:r w:rsidR="009F59D5">
        <w:t xml:space="preserve"> each period, nor are all other free cash</w:t>
      </w:r>
      <w:r w:rsidR="00100609">
        <w:t xml:space="preserve"> </w:t>
      </w:r>
      <w:r w:rsidR="009F59D5">
        <w:t>flows necessarily paid out</w:t>
      </w:r>
      <w:r>
        <w:t>.</w:t>
      </w:r>
      <w:r>
        <w:rPr>
          <w:rStyle w:val="FootnoteReference"/>
        </w:rPr>
        <w:footnoteReference w:id="117"/>
      </w:r>
      <w:r>
        <w:t xml:space="preserve"> </w:t>
      </w:r>
      <w:r w:rsidR="009F59D5">
        <w:t>For example, it is typical for a company to retain some earnings from a previous year to fund part of its futur</w:t>
      </w:r>
      <w:r w:rsidR="00CA5D32">
        <w:t>e investment, rather than pay</w:t>
      </w:r>
      <w:r w:rsidR="009F59D5">
        <w:t xml:space="preserve"> out all earnings as dividends and </w:t>
      </w:r>
      <w:r w:rsidR="009F5460">
        <w:t xml:space="preserve">fully </w:t>
      </w:r>
      <w:r w:rsidR="009F59D5">
        <w:t xml:space="preserve">raise the funding of future investment from external sources. </w:t>
      </w:r>
      <w:r>
        <w:t xml:space="preserve">Work by </w:t>
      </w:r>
      <w:proofErr w:type="spellStart"/>
      <w:r>
        <w:t>Monkhouse</w:t>
      </w:r>
      <w:proofErr w:type="spellEnd"/>
      <w:r>
        <w:t xml:space="preserve"> (and others) extends the Officer framework by allowing for less than a full payout of cash flows and imputation credits each period. Handley advised that </w:t>
      </w:r>
      <w:proofErr w:type="spellStart"/>
      <w:r>
        <w:t>Monkhouse</w:t>
      </w:r>
      <w:proofErr w:type="spellEnd"/>
      <w:r>
        <w:t xml:space="preserve"> effectively shows that:</w:t>
      </w:r>
      <w:r>
        <w:rPr>
          <w:rStyle w:val="FootnoteReference"/>
        </w:rPr>
        <w:footnoteReference w:id="118"/>
      </w:r>
    </w:p>
    <w:p w:rsidR="001E32C9" w:rsidRDefault="001E32C9" w:rsidP="001E32C9">
      <w:pPr>
        <w:pStyle w:val="AERbodytext"/>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1E32C9" w:rsidRDefault="001E32C9" w:rsidP="001E32C9">
      <w:pPr>
        <w:pStyle w:val="AERbodytext"/>
      </w:pPr>
      <w:r>
        <w:t>where:</w:t>
      </w:r>
    </w:p>
    <w:p w:rsidR="001E32C9" w:rsidRDefault="001E32C9" w:rsidP="001E32C9">
      <w:pPr>
        <w:pStyle w:val="AERbulletlistfirststyle"/>
      </w:pPr>
      <m:oMath>
        <m:r>
          <w:rPr>
            <w:rFonts w:ascii="Cambria Math" w:hAnsi="Cambria Math"/>
          </w:rPr>
          <m:t>F</m:t>
        </m:r>
      </m:oMath>
      <w:r>
        <w:t xml:space="preserve"> is the proportion of imputation credits generated that are distributed in a period (the 'distribution rate').</w:t>
      </w:r>
    </w:p>
    <w:p w:rsidR="001E32C9" w:rsidRDefault="001E32C9" w:rsidP="001E32C9">
      <w:pPr>
        <w:pStyle w:val="AERbulletlistfirststyle"/>
      </w:pPr>
      <m:oMath>
        <m:r>
          <w:rPr>
            <w:rFonts w:ascii="Cambria Math" w:hAnsi="Cambria Math"/>
          </w:rPr>
          <m:t>θ</m:t>
        </m:r>
      </m:oMath>
      <w:r>
        <w:t xml:space="preserve"> (theta) is the utilisation value to investors in the market per dollar of impu</w:t>
      </w:r>
      <w:r w:rsidR="00697231">
        <w:t>tation credits distributed (the</w:t>
      </w:r>
      <w:r>
        <w:t xml:space="preserve"> 'utilisation rate'), which in equilibrium is equal to the weighted average, by wealth and risk aversion, of the individual utilisation rates of investors in the market.</w:t>
      </w:r>
    </w:p>
    <w:p w:rsidR="001E32C9" w:rsidRDefault="001E32C9" w:rsidP="001E32C9">
      <w:pPr>
        <w:pStyle w:val="AERbulletlistfirststyle"/>
      </w:pPr>
      <m:oMath>
        <m:r>
          <w:rPr>
            <w:rFonts w:ascii="Cambria Math" w:hAnsi="Cambria Math"/>
          </w:rPr>
          <m:t>ψ</m:t>
        </m:r>
      </m:oMath>
      <w:r w:rsidRPr="00E867C3" w:rsidDel="008647A1">
        <w:t xml:space="preserve"> </w:t>
      </w:r>
      <w:r>
        <w:t xml:space="preserve"> (psi) is the utilisation value of a retained credit to investors in the market.</w:t>
      </w:r>
    </w:p>
    <w:p w:rsidR="001E32C9" w:rsidRDefault="001E32C9" w:rsidP="001E32C9">
      <w:pPr>
        <w:pStyle w:val="AERbodytext"/>
      </w:pPr>
      <w:r>
        <w:lastRenderedPageBreak/>
        <w:t>Handley advised that this characterisation of the utilisation rate is consistent with that in other relevant literature:</w:t>
      </w:r>
      <w:r>
        <w:rPr>
          <w:rStyle w:val="FootnoteReference"/>
        </w:rPr>
        <w:footnoteReference w:id="119"/>
      </w:r>
    </w:p>
    <w:p w:rsidR="001E32C9" w:rsidRDefault="001E32C9" w:rsidP="001E32C9">
      <w:pPr>
        <w:pStyle w:val="AERquote"/>
      </w:pPr>
      <w:r>
        <w:t xml:space="preserve">This interpretation of theta as a complex weighted average of investor utilisation rates is consistent with that appearing in </w:t>
      </w:r>
      <w:proofErr w:type="spellStart"/>
      <w:r>
        <w:t>Monkhouse</w:t>
      </w:r>
      <w:proofErr w:type="spellEnd"/>
      <w:r>
        <w:t xml:space="preserve"> (1993) and Lally and van </w:t>
      </w:r>
      <w:proofErr w:type="spellStart"/>
      <w:r>
        <w:t>Zijl</w:t>
      </w:r>
      <w:proofErr w:type="spellEnd"/>
      <w:r>
        <w:t xml:space="preserve"> (2003)…</w:t>
      </w:r>
    </w:p>
    <w:p w:rsidR="001E32C9" w:rsidRDefault="001E32C9" w:rsidP="001E32C9">
      <w:pPr>
        <w:pStyle w:val="AERbodytext"/>
      </w:pPr>
      <w:r>
        <w:t xml:space="preserve">This is also supported by Lally's remarks on the work of Lally and van </w:t>
      </w:r>
      <w:proofErr w:type="spellStart"/>
      <w:r>
        <w:t>Zijl</w:t>
      </w:r>
      <w:proofErr w:type="spellEnd"/>
      <w:r>
        <w:t>:</w:t>
      </w:r>
      <w:r>
        <w:rPr>
          <w:rStyle w:val="FootnoteReference"/>
        </w:rPr>
        <w:footnoteReference w:id="120"/>
      </w:r>
    </w:p>
    <w:p w:rsidR="001E32C9" w:rsidRPr="00194D4D" w:rsidRDefault="001E32C9" w:rsidP="001E32C9">
      <w:pPr>
        <w:pStyle w:val="AERquote"/>
      </w:pPr>
      <w:r w:rsidRPr="00C17EEC">
        <w:t xml:space="preserve">Although Officer (1994) provides no clarification on this matter, because his derivation of the model is intuitive rather than formal, Lally and van </w:t>
      </w:r>
      <w:proofErr w:type="spellStart"/>
      <w:r w:rsidRPr="00C17EEC">
        <w:t>Zijl</w:t>
      </w:r>
      <w:proofErr w:type="spellEnd"/>
      <w:r w:rsidRPr="00C17EEC">
        <w:t xml:space="preserve">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1E32C9" w:rsidRDefault="00A565A8" w:rsidP="001E32C9">
      <w:pPr>
        <w:pStyle w:val="AERbodytext"/>
      </w:pPr>
      <w:r>
        <w:t xml:space="preserve">Consistent with the advice we received from Lally, in the Guideline we recognised </w:t>
      </w:r>
      <w:r w:rsidR="001E32C9">
        <w:t xml:space="preserve">that the utilisation rate </w:t>
      </w:r>
      <w:r>
        <w:t xml:space="preserve">is </w:t>
      </w:r>
      <w:r w:rsidR="001E32C9">
        <w:t xml:space="preserve">equal to the weighted average, by wealth and risk aversion, of the individual utilisation rates of investors in the market. In the </w:t>
      </w:r>
      <w:r w:rsidR="0033289B">
        <w:t>Guideline</w:t>
      </w:r>
      <w:r w:rsidR="001E32C9">
        <w:t xml:space="preserve">, we also defined the utilisation rate as the extent to which investors can use the imputation credits they receive to reduce their tax (or receive a refund). In this decision, consistent with Handley's advice, we define the utilisation rate as the utilisation value to investors in the market per dollar of imputation credits distributed. However, we consider that the definitions used in the </w:t>
      </w:r>
      <w:r w:rsidR="0033289B">
        <w:t>Guideline</w:t>
      </w:r>
      <w:r w:rsidR="001E32C9">
        <w:t xml:space="preserve"> and in this decision are equivalent. This is because, to be consistent with the building block framework, the utilisation rate should reflect the before-personal-tax and before-personal-costs value of imputation credits to investors. Once these factors are excluded, an investor that is eligible to fully utilise imputation credits should value each dollar of imputation credits received at one dollar (that is, have a utilisation rate of 1). Therefore, the utilisation value to investors in the market will reflect the </w:t>
      </w:r>
      <w:r w:rsidR="00586A85">
        <w:t>weighted average, by wealth and risk aversion, of the utilisation rates of investors—some of who</w:t>
      </w:r>
      <w:r w:rsidR="00F02A9C">
        <w:t>m</w:t>
      </w:r>
      <w:r w:rsidR="00586A85">
        <w:t xml:space="preserve"> will have </w:t>
      </w:r>
      <w:proofErr w:type="gramStart"/>
      <w:r w:rsidR="00586A85">
        <w:t>a</w:t>
      </w:r>
      <w:proofErr w:type="gramEnd"/>
      <w:r w:rsidR="00586A85">
        <w:t xml:space="preserve"> utilisation rate of 1 and others who will have a utilisation rate of </w:t>
      </w:r>
      <w:r w:rsidR="00F02A9C">
        <w:t>0</w:t>
      </w:r>
      <w:r w:rsidR="001E32C9">
        <w:t>.</w:t>
      </w:r>
      <w:r w:rsidR="00F02A9C">
        <w:rPr>
          <w:rStyle w:val="FootnoteReference"/>
        </w:rPr>
        <w:footnoteReference w:id="121"/>
      </w:r>
      <w:r w:rsidR="001E32C9">
        <w:t xml:space="preserve"> We discuss Handley's advice on this matter further in section </w:t>
      </w:r>
      <w:r w:rsidR="001E32C9">
        <w:fldChar w:fldCharType="begin"/>
      </w:r>
      <w:r w:rsidR="001E32C9">
        <w:instrText xml:space="preserve"> REF _Ref401748758 \r \h </w:instrText>
      </w:r>
      <w:r w:rsidR="001E32C9">
        <w:fldChar w:fldCharType="separate"/>
      </w:r>
      <w:r w:rsidR="00927273">
        <w:t>A.7.1</w:t>
      </w:r>
      <w:r w:rsidR="001E32C9">
        <w:fldChar w:fldCharType="end"/>
      </w:r>
      <w:r w:rsidR="001E32C9">
        <w:t>.</w:t>
      </w:r>
    </w:p>
    <w:p w:rsidR="001E32C9" w:rsidRPr="00EB15F4" w:rsidRDefault="001E32C9" w:rsidP="001E32C9">
      <w:pPr>
        <w:pStyle w:val="AERbodytext"/>
      </w:pPr>
      <w:r>
        <w:t xml:space="preserve">We do not include the value of retained credits when determining the value of imputation credits. This is because we recognise that investors can only use imputation credits to reduce tax or receive a refund once the credits have been distributed. Moreover, our approach to estimating the distribution rate (see section </w:t>
      </w:r>
      <w:r>
        <w:fldChar w:fldCharType="begin"/>
      </w:r>
      <w:r>
        <w:instrText xml:space="preserve"> REF _Ref401133206 \r \h </w:instrText>
      </w:r>
      <w:r>
        <w:fldChar w:fldCharType="separate"/>
      </w:r>
      <w:r w:rsidR="00927273">
        <w:t>A.9</w:t>
      </w:r>
      <w:r>
        <w:fldChar w:fldCharType="end"/>
      </w:r>
      <w:r>
        <w:t>) reflects the historical evidence that a proportion of credits is never paid out.</w:t>
      </w:r>
      <w:r>
        <w:rPr>
          <w:rStyle w:val="FootnoteReference"/>
        </w:rPr>
        <w:footnoteReference w:id="122"/>
      </w:r>
      <w:r>
        <w:t xml:space="preserve">  It follows that we estimate the value of imputation credits as the product of the distribution rate and the utilisation rate only.</w:t>
      </w:r>
    </w:p>
    <w:p w:rsidR="001E32C9" w:rsidRPr="00547513" w:rsidRDefault="001E32C9" w:rsidP="001E32C9">
      <w:pPr>
        <w:pStyle w:val="Heading8"/>
        <w:numPr>
          <w:ilvl w:val="5"/>
          <w:numId w:val="57"/>
        </w:numPr>
      </w:pPr>
      <w:r>
        <w:t>SFG's comments on the conceptual framework</w:t>
      </w:r>
    </w:p>
    <w:p w:rsidR="001E32C9" w:rsidRDefault="001E32C9" w:rsidP="001E32C9">
      <w:pPr>
        <w:pStyle w:val="AERbodytext"/>
      </w:pPr>
      <w:r>
        <w:t>In the previous section, we set out our position on the appropriate conceptual framework for the estimation of the value of imputation credits. In this section, we respond to SFG's view. SFG's advice on the conceptual framework was largely adopted by the service providers in their proposals.</w:t>
      </w:r>
    </w:p>
    <w:p w:rsidR="001E32C9" w:rsidRDefault="001E32C9" w:rsidP="001E32C9">
      <w:pPr>
        <w:pStyle w:val="AERbodytext"/>
      </w:pPr>
      <w:r>
        <w:t>SFG's May 2014 report for the service providers contended that:</w:t>
      </w:r>
    </w:p>
    <w:p w:rsidR="001E32C9" w:rsidRDefault="001E32C9" w:rsidP="001E32C9">
      <w:pPr>
        <w:pStyle w:val="AERbulletlistfirststyle"/>
      </w:pPr>
      <w:r>
        <w:t xml:space="preserve">The advice and evidence cited in the </w:t>
      </w:r>
      <w:r w:rsidR="0033289B">
        <w:t>Guideline</w:t>
      </w:r>
      <w:r>
        <w:t xml:space="preserve"> does not support the interpretation of the utilisation rate in the </w:t>
      </w:r>
      <w:r w:rsidR="0033289B">
        <w:t>Guideline</w:t>
      </w:r>
      <w:r>
        <w:t>.</w:t>
      </w:r>
      <w:r w:rsidRPr="00E8774C">
        <w:t xml:space="preserve"> </w:t>
      </w:r>
    </w:p>
    <w:p w:rsidR="001E32C9" w:rsidRPr="00E8774C" w:rsidRDefault="001E32C9" w:rsidP="001E32C9">
      <w:pPr>
        <w:pStyle w:val="AERbulletlistfirststyle"/>
      </w:pPr>
      <w:r w:rsidRPr="00E8774C">
        <w:lastRenderedPageBreak/>
        <w:t>Officer unambiguously shows that the value of imputation credits</w:t>
      </w:r>
      <w:r>
        <w:t xml:space="preserve"> (gamma)</w:t>
      </w:r>
      <w:r w:rsidRPr="00E8774C">
        <w:t xml:space="preserve"> represents the extent to which imputation credits are c</w:t>
      </w:r>
      <w:r>
        <w:t>apitalised into the stock price.</w:t>
      </w:r>
    </w:p>
    <w:p w:rsidR="001E32C9" w:rsidRDefault="001E32C9" w:rsidP="001E32C9">
      <w:pPr>
        <w:pStyle w:val="AERbulletlistfirststyle"/>
      </w:pPr>
      <w:r>
        <w:t xml:space="preserve">The utilisation rate in the framework provided by </w:t>
      </w:r>
      <w:proofErr w:type="spellStart"/>
      <w:r>
        <w:t>Monkhouse</w:t>
      </w:r>
      <w:proofErr w:type="spellEnd"/>
      <w:r>
        <w:t xml:space="preserve"> (and Lally and van </w:t>
      </w:r>
      <w:proofErr w:type="spellStart"/>
      <w:r>
        <w:t>Zijl</w:t>
      </w:r>
      <w:proofErr w:type="spellEnd"/>
      <w:r>
        <w:t>) should not be used to estimate the value of imputation credits.</w:t>
      </w:r>
    </w:p>
    <w:p w:rsidR="001E32C9" w:rsidRDefault="001E32C9" w:rsidP="001E32C9">
      <w:pPr>
        <w:pStyle w:val="AERbodytext"/>
      </w:pPr>
      <w:r>
        <w:t>We disagree with these contentions and our responses are set out below.</w:t>
      </w:r>
    </w:p>
    <w:p w:rsidR="001E32C9" w:rsidRDefault="001E32C9" w:rsidP="001E32C9">
      <w:pPr>
        <w:pStyle w:val="Heading9"/>
        <w:numPr>
          <w:ilvl w:val="6"/>
          <w:numId w:val="57"/>
        </w:numPr>
      </w:pPr>
      <w:bookmarkStart w:id="57" w:name="_Ref402179374"/>
      <w:r>
        <w:t>SFG's comments on the ev</w:t>
      </w:r>
      <w:r w:rsidR="0033289B">
        <w:t>idence and advice cited in the G</w:t>
      </w:r>
      <w:r>
        <w:t>uideline</w:t>
      </w:r>
      <w:bookmarkEnd w:id="57"/>
    </w:p>
    <w:p w:rsidR="001E32C9" w:rsidRDefault="001E32C9" w:rsidP="001E32C9">
      <w:pPr>
        <w:pStyle w:val="AERbodytext"/>
      </w:pPr>
      <w:r>
        <w:t>We disagree with SFG's statement that:</w:t>
      </w:r>
      <w:r>
        <w:rPr>
          <w:rStyle w:val="FootnoteReference"/>
        </w:rPr>
        <w:footnoteReference w:id="123"/>
      </w:r>
    </w:p>
    <w:p w:rsidR="001E32C9" w:rsidRDefault="001E32C9" w:rsidP="001E32C9">
      <w:pPr>
        <w:pStyle w:val="AERquote"/>
      </w:pPr>
      <w:r w:rsidRPr="00134AD6">
        <w:t>None of the proposed reasons for the conceptual redefinition of theta that are set out in the Guideline materials are valid, or supported by advice or evidence</w:t>
      </w:r>
      <w:r>
        <w:t>:</w:t>
      </w:r>
    </w:p>
    <w:p w:rsidR="001E32C9" w:rsidRDefault="001E32C9" w:rsidP="001E32C9">
      <w:pPr>
        <w:pStyle w:val="AERbodytext"/>
      </w:pPr>
      <w:r>
        <w:t>We respond to each point raised by SFG in turn below.</w:t>
      </w:r>
    </w:p>
    <w:p w:rsidR="001E32C9" w:rsidRDefault="001E32C9" w:rsidP="001E32C9">
      <w:pPr>
        <w:pStyle w:val="HeadingBoldBlue"/>
      </w:pPr>
      <w:r>
        <w:t>The AEMC rule change</w:t>
      </w:r>
    </w:p>
    <w:p w:rsidR="001E32C9" w:rsidRDefault="001E32C9" w:rsidP="001E32C9">
      <w:pPr>
        <w:pStyle w:val="AERbodytext"/>
      </w:pPr>
      <w:r>
        <w:t>In 2012, the AEMC changed the description of the parameter represented by gamma in the tax building block from 'the assumed utilisation of imputation credits' to 'the value of imputation credits'. We have traced the point at which the AEMC made this change to the draft rules during the 2012 network regulation rule change process.</w:t>
      </w:r>
      <w:r>
        <w:rPr>
          <w:rStyle w:val="FootnoteReference"/>
        </w:rPr>
        <w:footnoteReference w:id="124"/>
      </w:r>
      <w:r>
        <w:t xml:space="preserve"> The AEMC's rule determination documents are extrinsic material for the purposes of interpreting the rules.</w:t>
      </w:r>
      <w:r>
        <w:rPr>
          <w:rStyle w:val="FootnoteReference"/>
        </w:rPr>
        <w:footnoteReference w:id="125"/>
      </w:r>
      <w:r>
        <w:t xml:space="preserve"> However, neither the AEMC's draft nor final rule determination documents for the 2012 network regulation rule change process explain why the AEMC changed the description of gamma. </w:t>
      </w:r>
      <w:r w:rsidRPr="002A34DA">
        <w:t>Moreover, we have approached AEMC staff, who did not provide any further insight into this matter</w:t>
      </w:r>
      <w:r>
        <w:t>.</w:t>
      </w:r>
    </w:p>
    <w:p w:rsidR="001E32C9" w:rsidRDefault="001E32C9" w:rsidP="001E32C9">
      <w:pPr>
        <w:pStyle w:val="AERbodytext"/>
      </w:pPr>
      <w:r>
        <w:t>SFG interpreted the change in wording as follows:</w:t>
      </w:r>
      <w:r>
        <w:rPr>
          <w:rStyle w:val="FootnoteReference"/>
        </w:rPr>
        <w:footnoteReference w:id="126"/>
      </w:r>
    </w:p>
    <w:p w:rsidR="001E32C9" w:rsidRDefault="001E32C9" w:rsidP="001E32C9">
      <w:pPr>
        <w:pStyle w:val="AERquote"/>
      </w:pPr>
      <w:r w:rsidRPr="00173FA6">
        <w:t>The AEMC Rule change (which now specifically defines gamma to be “the value of imputation credits”) does not support the new conceptual definition. It seems clear that the intention of the AEMC was simply to tidy up the Rule to properly reflect the longstanding regulatory practice of adopting a market value interpretation of theta and gamma. The Rule change is quite inconsistent with the notion that the longstanding value interpretation should be replaced by a different interpretation;</w:t>
      </w:r>
    </w:p>
    <w:p w:rsidR="001E32C9" w:rsidRDefault="001E32C9" w:rsidP="001E32C9">
      <w:pPr>
        <w:pStyle w:val="AERbodytext"/>
      </w:pPr>
      <w:r>
        <w:t>We disagree. The AEMC has not expressed the intention behind the change in wording therefore the intention behind the change is not clear. Overall, we consider no meaning or significance can or should be drawn by the AEMC's rephrasing of the description of gamma. This raises the question of how the value of imputation credits should be interpreted. The law states that the law is to be interpreted in a manner that best achieves the law's purpose, which is the national electricity/gas objective.</w:t>
      </w:r>
      <w:r>
        <w:rPr>
          <w:rStyle w:val="FootnoteReference"/>
        </w:rPr>
        <w:footnoteReference w:id="127"/>
      </w:r>
      <w:r>
        <w:t xml:space="preserve"> We note that the value of imputation credits is a component of the building block framework, which itself is underpinned by a conceptual framework. We have therefore interpreted (and consequently estimated) the value of imputation credits consistent with the building block framework and its underlying conceptual framework.</w:t>
      </w:r>
    </w:p>
    <w:p w:rsidR="001E32C9" w:rsidRDefault="001E32C9" w:rsidP="001E32C9">
      <w:pPr>
        <w:pStyle w:val="HeadingBoldBlue"/>
      </w:pPr>
      <w:r>
        <w:lastRenderedPageBreak/>
        <w:t>McKenzie and Partington (2013)</w:t>
      </w:r>
    </w:p>
    <w:p w:rsidR="001E32C9" w:rsidRDefault="001E32C9" w:rsidP="001E32C9">
      <w:pPr>
        <w:pStyle w:val="AERbodytext"/>
      </w:pPr>
      <w:r>
        <w:t xml:space="preserve">SFG stated that McKenzie and </w:t>
      </w:r>
      <w:proofErr w:type="spellStart"/>
      <w:r>
        <w:t>Partington's</w:t>
      </w:r>
      <w:proofErr w:type="spellEnd"/>
      <w:r>
        <w:t xml:space="preserve"> advice to the Queensland Resources Council in 2013 did not support the approach to estimating the utilisation rate in the </w:t>
      </w:r>
      <w:r w:rsidR="0033289B">
        <w:t>Guideline</w:t>
      </w:r>
      <w:r>
        <w:t>.</w:t>
      </w:r>
      <w:r>
        <w:rPr>
          <w:rStyle w:val="FootnoteReference"/>
        </w:rPr>
        <w:footnoteReference w:id="128"/>
      </w:r>
      <w:r>
        <w:t xml:space="preserve"> We disagree. McKenzie and </w:t>
      </w:r>
      <w:proofErr w:type="spellStart"/>
      <w:r>
        <w:t>Partington's</w:t>
      </w:r>
      <w:proofErr w:type="spellEnd"/>
      <w:r>
        <w:t xml:space="preserve"> remarks suggest that the approach in the draft </w:t>
      </w:r>
      <w:r w:rsidR="0033289B">
        <w:t>Guideline</w:t>
      </w:r>
      <w:r>
        <w:t xml:space="preserve"> (which is broadly maintained in this draft decision) is reasonable:</w:t>
      </w:r>
      <w:r>
        <w:rPr>
          <w:rStyle w:val="FootnoteReference"/>
        </w:rPr>
        <w:footnoteReference w:id="129"/>
      </w:r>
      <w:r>
        <w:t xml:space="preserve">   </w:t>
      </w:r>
    </w:p>
    <w:p w:rsidR="001E32C9" w:rsidRDefault="001E32C9" w:rsidP="001E32C9">
      <w:pPr>
        <w:pStyle w:val="AERquote"/>
      </w:pPr>
      <w:r>
        <w:t>[The AER in its draft guideline]</w:t>
      </w:r>
      <w:r w:rsidRPr="00AA5C46">
        <w:t xml:space="preserve"> proposes to employ the utilisation rate as a part</w:t>
      </w:r>
      <w:r>
        <w:t xml:space="preserve"> of its determination of theta, </w:t>
      </w:r>
      <w:r w:rsidRPr="00AA5C46">
        <w:t>but the estimate of theta is triangulated across several sou</w:t>
      </w:r>
      <w:r>
        <w:t xml:space="preserve">rces of evidence. These sources </w:t>
      </w:r>
      <w:r w:rsidRPr="00AA5C46">
        <w:t>include the extent to which shares are held by Australian</w:t>
      </w:r>
      <w:r>
        <w:t xml:space="preserve"> residents who can utilise the </w:t>
      </w:r>
      <w:r w:rsidRPr="00AA5C46">
        <w:t>credits, the estimates of utilisation from taxation statistics</w:t>
      </w:r>
      <w:r>
        <w:t xml:space="preserve">, the evidence from studies of </w:t>
      </w:r>
      <w:r w:rsidRPr="00AA5C46">
        <w:t>market value (including ex-dividend studies) and other su</w:t>
      </w:r>
      <w:r>
        <w:t xml:space="preserve">pporting evidence that suggests </w:t>
      </w:r>
      <w:r w:rsidRPr="00AA5C46">
        <w:t>investors place a positive value on franking credits (although this latter evidence does</w:t>
      </w:r>
      <w:r>
        <w:t xml:space="preserve"> not </w:t>
      </w:r>
      <w:r w:rsidRPr="00AA5C46">
        <w:t>provide an estimate of the magnitude of that value). In the l</w:t>
      </w:r>
      <w:r>
        <w:t xml:space="preserve">ight of this evidence, the AER </w:t>
      </w:r>
      <w:r w:rsidRPr="00AA5C46">
        <w:t>concludes, that an appropriate estimate of the value of the</w:t>
      </w:r>
      <w:r>
        <w:t xml:space="preserve">ta is 0.7. In our opinion they </w:t>
      </w:r>
      <w:r w:rsidRPr="00AA5C46">
        <w:t>make a reasonable case for this theta estimate.</w:t>
      </w:r>
    </w:p>
    <w:p w:rsidR="001E32C9" w:rsidRPr="002607CB" w:rsidRDefault="001E32C9" w:rsidP="001E32C9">
      <w:pPr>
        <w:pStyle w:val="AERbodytext"/>
      </w:pPr>
      <w:r>
        <w:t>Further, they go on to state that they have 'several problems' with an estimate of gamma that relies on SFG's dividend drop off study.</w:t>
      </w:r>
      <w:r>
        <w:rPr>
          <w:rStyle w:val="FootnoteReference"/>
        </w:rPr>
        <w:footnoteReference w:id="130"/>
      </w:r>
    </w:p>
    <w:p w:rsidR="001E32C9" w:rsidRDefault="001E32C9" w:rsidP="001E32C9">
      <w:pPr>
        <w:pStyle w:val="HeadingBoldBlue"/>
      </w:pPr>
      <w:r>
        <w:t>Handley (2008)</w:t>
      </w:r>
    </w:p>
    <w:p w:rsidR="001E32C9" w:rsidRPr="001E32C9" w:rsidRDefault="001E32C9" w:rsidP="001E32C9">
      <w:pPr>
        <w:pStyle w:val="AERbodytext"/>
      </w:pPr>
      <w:r>
        <w:t xml:space="preserve">SFG referred to previous comments by Handley which suggested that </w:t>
      </w:r>
      <w:r w:rsidRPr="001E32C9">
        <w:t>tax statistics could not be used to produce a point estimate of the utilisation rate.</w:t>
      </w:r>
      <w:r w:rsidRPr="001E32C9">
        <w:rPr>
          <w:rStyle w:val="FootnoteReference"/>
        </w:rPr>
        <w:footnoteReference w:id="131"/>
      </w:r>
      <w:r w:rsidRPr="001E32C9">
        <w:t xml:space="preserve"> However, in his recent advice to us Handley clarified his earlier remarks and confirmed that tax statistics can produce a point estimate:</w:t>
      </w:r>
      <w:r w:rsidRPr="001E32C9">
        <w:rPr>
          <w:rStyle w:val="FootnoteReference"/>
        </w:rPr>
        <w:footnoteReference w:id="132"/>
      </w:r>
    </w:p>
    <w:p w:rsidR="001E32C9" w:rsidRDefault="001E32C9" w:rsidP="001E32C9">
      <w:pPr>
        <w:pStyle w:val="AERquote"/>
      </w:pPr>
      <w:r w:rsidRPr="00052680">
        <w:t>I wish to make one point for clarification in relation to th</w:t>
      </w:r>
      <w:r>
        <w:t xml:space="preserve">e use of taxation statistics. I </w:t>
      </w:r>
      <w:r w:rsidRPr="00052680">
        <w:t>have previously suggested that estimates of utilisation rat</w:t>
      </w:r>
      <w:r>
        <w:t xml:space="preserve">es from taxation statistics can </w:t>
      </w:r>
      <w:r w:rsidRPr="00052680">
        <w:t>be interpreted as a reasonable upper bound estimate of th</w:t>
      </w:r>
      <w:r>
        <w:t xml:space="preserve">e value of theta. The purpose </w:t>
      </w:r>
      <w:r w:rsidRPr="00052680">
        <w:t>for including the “upper bound” part was simply to convey the fact that the ultima</w:t>
      </w:r>
      <w:r>
        <w:t xml:space="preserve">te </w:t>
      </w:r>
      <w:r w:rsidRPr="00052680">
        <w:t>source of value of a distributed franking credit is the am</w:t>
      </w:r>
      <w:r>
        <w:t xml:space="preserve">ount of personal tax saved as a </w:t>
      </w:r>
      <w:r w:rsidRPr="00052680">
        <w:t xml:space="preserve">result of redeeming the credit – something which is given </w:t>
      </w:r>
      <w:r>
        <w:t xml:space="preserve">by taxation statistics data. In </w:t>
      </w:r>
      <w:r w:rsidRPr="00052680">
        <w:t>other words, value can only be realized by “re</w:t>
      </w:r>
      <w:r>
        <w:t xml:space="preserve">deeming” the credit at the ATO. </w:t>
      </w:r>
      <w:r w:rsidRPr="00052680">
        <w:t>Unfortunately the “upper bound” part has inadv</w:t>
      </w:r>
      <w:r>
        <w:t xml:space="preserve">ertently been misinterpreted as </w:t>
      </w:r>
      <w:r w:rsidRPr="00052680">
        <w:t>suggesting that taxation statistic estimates of theta canno</w:t>
      </w:r>
      <w:r>
        <w:t xml:space="preserve">t be used as point estimates of </w:t>
      </w:r>
      <w:r w:rsidRPr="00052680">
        <w:t>theta</w:t>
      </w:r>
      <w:r>
        <w:t>.</w:t>
      </w:r>
    </w:p>
    <w:p w:rsidR="001E32C9" w:rsidRPr="00E23CBF" w:rsidRDefault="001E32C9" w:rsidP="001E32C9">
      <w:pPr>
        <w:pStyle w:val="AERquote"/>
      </w:pPr>
      <w:r>
        <w:t>…</w:t>
      </w:r>
    </w:p>
    <w:p w:rsidR="001E32C9" w:rsidRPr="00052680" w:rsidRDefault="001E32C9" w:rsidP="001E32C9">
      <w:pPr>
        <w:pStyle w:val="AERquote"/>
      </w:pPr>
      <w:r w:rsidRPr="00052680">
        <w:t>To be clear, taxation statistics</w:t>
      </w:r>
      <w:r>
        <w:t xml:space="preserve"> </w:t>
      </w:r>
      <w:r w:rsidRPr="00052680">
        <w:t>(like other methodologies) can be used to derive reasonable albeit imprecise point</w:t>
      </w:r>
      <w:r>
        <w:t xml:space="preserve"> </w:t>
      </w:r>
      <w:r w:rsidRPr="00052680">
        <w:t>estimates of theta. The previously used “upper bound” terminology in no way</w:t>
      </w:r>
      <w:r>
        <w:t xml:space="preserve"> </w:t>
      </w:r>
      <w:r w:rsidRPr="00052680">
        <w:t>invalidates its interpretation or use as a point estimate.</w:t>
      </w:r>
    </w:p>
    <w:p w:rsidR="001E32C9" w:rsidRDefault="001E32C9" w:rsidP="001E32C9">
      <w:pPr>
        <w:pStyle w:val="AERbodytext"/>
      </w:pPr>
      <w:r>
        <w:t>Further, Handley's recent advice supported both the approach employed and the estimate of the value of imputation credits adopted in this draft decision.</w:t>
      </w:r>
    </w:p>
    <w:p w:rsidR="001E32C9" w:rsidRDefault="001E32C9" w:rsidP="001E32C9">
      <w:pPr>
        <w:pStyle w:val="HeadingBoldBlue"/>
      </w:pPr>
      <w:r>
        <w:t>Officer (1994)</w:t>
      </w:r>
    </w:p>
    <w:p w:rsidR="001E32C9" w:rsidRPr="001E32C9" w:rsidRDefault="001E32C9" w:rsidP="001E32C9">
      <w:pPr>
        <w:pStyle w:val="AERbodytext"/>
      </w:pPr>
      <w:r>
        <w:t>SFG concluded that t</w:t>
      </w:r>
      <w:r w:rsidRPr="001E32C9">
        <w:t>he formulas in Officer unambiguously show that gamma represents the extent to which imputation credits are capitalised into the stock price.</w:t>
      </w:r>
      <w:r w:rsidRPr="001E32C9">
        <w:rPr>
          <w:rStyle w:val="FootnoteReference"/>
        </w:rPr>
        <w:footnoteReference w:id="133"/>
      </w:r>
      <w:r w:rsidRPr="001E32C9">
        <w:t xml:space="preserve"> We disagree, and our assessment of the relevant formulas is presented in section </w:t>
      </w:r>
      <w:r w:rsidRPr="001E32C9">
        <w:fldChar w:fldCharType="begin"/>
      </w:r>
      <w:r w:rsidRPr="001E32C9">
        <w:instrText xml:space="preserve"> REF _Ref401057240 \r \h </w:instrText>
      </w:r>
      <w:r w:rsidRPr="001E32C9">
        <w:fldChar w:fldCharType="separate"/>
      </w:r>
      <w:r w:rsidR="00927273">
        <w:t>A.6.2</w:t>
      </w:r>
      <w:r w:rsidRPr="001E32C9">
        <w:fldChar w:fldCharType="end"/>
      </w:r>
      <w:r w:rsidRPr="001E32C9">
        <w:t>.</w:t>
      </w:r>
    </w:p>
    <w:p w:rsidR="001E32C9" w:rsidRDefault="001E32C9" w:rsidP="001E32C9">
      <w:pPr>
        <w:pStyle w:val="HeadingBoldBlue"/>
      </w:pPr>
      <w:r>
        <w:lastRenderedPageBreak/>
        <w:t>Hathaway and Officer (2004)</w:t>
      </w:r>
    </w:p>
    <w:p w:rsidR="001E32C9" w:rsidRPr="001E32C9" w:rsidRDefault="001E32C9" w:rsidP="001E32C9">
      <w:pPr>
        <w:pStyle w:val="AERbodytext"/>
      </w:pPr>
      <w:r>
        <w:t xml:space="preserve">In the </w:t>
      </w:r>
      <w:r w:rsidR="0033289B">
        <w:t>Guideline</w:t>
      </w:r>
      <w:r>
        <w:t xml:space="preserve"> we quoted a passage from Hathaway and Officer's 2004 paper in support of what was described in the </w:t>
      </w:r>
      <w:r w:rsidR="0033289B">
        <w:t>Guideline</w:t>
      </w:r>
      <w:r>
        <w:t xml:space="preserve"> as the 'cash flow interpretation' of the value of imputation credits.</w:t>
      </w:r>
      <w:r w:rsidRPr="001E32C9">
        <w:rPr>
          <w:rStyle w:val="FootnoteReference"/>
        </w:rPr>
        <w:footnoteReference w:id="134"/>
      </w:r>
      <w:r w:rsidRPr="001E32C9">
        <w:t xml:space="preserve"> With reference to the full text of the paragraph from which the passage was taken, SFG stated that we had misconstrued the point being made by Hathaway and Officer.</w:t>
      </w:r>
      <w:r w:rsidRPr="001E32C9">
        <w:rPr>
          <w:rStyle w:val="FootnoteReference"/>
        </w:rPr>
        <w:footnoteReference w:id="135"/>
      </w:r>
      <w:r w:rsidRPr="001E32C9">
        <w:t xml:space="preserve"> We disagree. The intention of the relevant part of the </w:t>
      </w:r>
      <w:r w:rsidR="0033289B">
        <w:t>Guideline</w:t>
      </w:r>
      <w:r w:rsidRPr="001E32C9">
        <w:t xml:space="preserve"> was to identify that the quoted passage supported the 'cash flow interpretation'. SFG did not state whether or not it agreed that the quoted passage supports the cash flow interpretation.</w:t>
      </w:r>
    </w:p>
    <w:p w:rsidR="001E32C9" w:rsidRDefault="001E32C9" w:rsidP="001E32C9">
      <w:pPr>
        <w:pStyle w:val="AERbodytext"/>
      </w:pPr>
      <w:r>
        <w:t>We disagree also with SFG's statement that:</w:t>
      </w:r>
      <w:r>
        <w:rPr>
          <w:rStyle w:val="FootnoteReference"/>
        </w:rPr>
        <w:footnoteReference w:id="136"/>
      </w:r>
    </w:p>
    <w:p w:rsidR="001E32C9" w:rsidRDefault="001E32C9" w:rsidP="001E32C9">
      <w:pPr>
        <w:pStyle w:val="AERquote"/>
      </w:pPr>
      <w:r>
        <w:t>…</w:t>
      </w:r>
      <w:r w:rsidRPr="002607CB">
        <w:t xml:space="preserve">the primary purpose of the Hathaway and Officer (2004) study was to present the results of a dividend drop-off analysis, which is clearly relevant only to the standard </w:t>
      </w:r>
      <w:r w:rsidRPr="002607CB">
        <w:rPr>
          <w:rStyle w:val="AERtextitalic"/>
        </w:rPr>
        <w:t>value</w:t>
      </w:r>
      <w:r w:rsidRPr="002607CB">
        <w:t xml:space="preserve"> interpretation of theta. Hathaway and Officer also present some statistics relating to redemption rates, but that analysis has been retracted by Hathaway who has since stated that it should not be relied upon.</w:t>
      </w:r>
    </w:p>
    <w:p w:rsidR="001E32C9" w:rsidRDefault="001E32C9" w:rsidP="001E32C9">
      <w:pPr>
        <w:pStyle w:val="AERbodytext"/>
      </w:pPr>
      <w:r>
        <w:t xml:space="preserve">Firstly, Hathaway and Officer did not state that the purpose of their report was to present the results of a dividend drop-off analysis. The first section in the report after the introduction is entitled 'Redemption Value of Credits (ATO Data)', and contains extensive analysis of ATO statistics. The dividend drop-off analysis in the report follows the redemption rate analysis, and a similar number of pages are devoted to it. </w:t>
      </w:r>
    </w:p>
    <w:p w:rsidR="001E32C9" w:rsidRDefault="001E32C9" w:rsidP="001E32C9">
      <w:pPr>
        <w:pStyle w:val="AERbodytext"/>
      </w:pPr>
      <w:r>
        <w:t>Secondly, Hathaway's retraction of the ATO data analysis is based on issues of data quality and not on any conceptual consideration that tax statistics cannot be used to estimate the value of imputation credits:</w:t>
      </w:r>
      <w:r>
        <w:rPr>
          <w:rStyle w:val="FootnoteReference"/>
        </w:rPr>
        <w:footnoteReference w:id="137"/>
      </w:r>
    </w:p>
    <w:p w:rsidR="001E32C9" w:rsidRDefault="001E32C9" w:rsidP="001E32C9">
      <w:pPr>
        <w:pStyle w:val="AERquote"/>
      </w:pPr>
      <w:r w:rsidRPr="00EA610E">
        <w:t>I would caution anyone, including the AER, against relying on those parts of my earlier reports which focussed on ATO statistics. The data was then not as clear as it is today. I had to rely on separate analyses of ATO tax data and the ATO financial data. As I am now aware with the new data, there is an extremely large discrepancy between these two subsets of data. The missing link was the data on the flows of credits between companies which is now visible after the changes of 1 July 2002. I would recommend that the AER do not rely on that earlier report.</w:t>
      </w:r>
    </w:p>
    <w:p w:rsidR="001E32C9" w:rsidRDefault="001E32C9" w:rsidP="001E32C9">
      <w:pPr>
        <w:pStyle w:val="Heading9"/>
        <w:numPr>
          <w:ilvl w:val="6"/>
          <w:numId w:val="57"/>
        </w:numPr>
      </w:pPr>
      <w:bookmarkStart w:id="58" w:name="_Ref401057240"/>
      <w:r>
        <w:t>SFG's comments on the Officer framework</w:t>
      </w:r>
      <w:bookmarkEnd w:id="58"/>
    </w:p>
    <w:p w:rsidR="001E32C9" w:rsidRDefault="001E32C9" w:rsidP="001E32C9">
      <w:pPr>
        <w:pStyle w:val="AERbodytext"/>
      </w:pPr>
      <w:r>
        <w:t>SFG's report contains the following conclusions in regard to the value of imputation credits:</w:t>
      </w:r>
    </w:p>
    <w:p w:rsidR="001E32C9" w:rsidRDefault="001E32C9" w:rsidP="001E32C9">
      <w:pPr>
        <w:pStyle w:val="AERbulletlistfirststyle"/>
      </w:pPr>
      <w:r>
        <w:t>The formulas in Officer unambiguously show that the value of imputation credits (gamma) represents the extent to which imputation credits are capitalised into the stock price.</w:t>
      </w:r>
      <w:r>
        <w:rPr>
          <w:rStyle w:val="FootnoteReference"/>
        </w:rPr>
        <w:footnoteReference w:id="138"/>
      </w:r>
    </w:p>
    <w:p w:rsidR="001E32C9" w:rsidRDefault="001E32C9" w:rsidP="001E32C9">
      <w:pPr>
        <w:pStyle w:val="AERbulletlistfirststyle"/>
      </w:pPr>
      <w:r>
        <w:t>The value of imputation credits is estimated as the product of the distribution rate and the extent to which a distributed credit is reflected in the share price (which SFG labelled 'theta').</w:t>
      </w:r>
      <w:r>
        <w:rPr>
          <w:rStyle w:val="FootnoteReference"/>
        </w:rPr>
        <w:footnoteReference w:id="139"/>
      </w:r>
    </w:p>
    <w:p w:rsidR="001E32C9" w:rsidRDefault="001E32C9" w:rsidP="001E32C9">
      <w:pPr>
        <w:pStyle w:val="AERbulletlistfirststyle"/>
      </w:pPr>
      <w:r>
        <w:t>The only appropriate way to estimate theta is via the empirical analysis of observed market prices.</w:t>
      </w:r>
      <w:r>
        <w:rPr>
          <w:rStyle w:val="FootnoteReference"/>
        </w:rPr>
        <w:footnoteReference w:id="140"/>
      </w:r>
    </w:p>
    <w:p w:rsidR="001E32C9" w:rsidRDefault="001E32C9" w:rsidP="001E32C9">
      <w:pPr>
        <w:pStyle w:val="AERbodytext"/>
      </w:pPr>
      <w:r>
        <w:lastRenderedPageBreak/>
        <w:t xml:space="preserve">However, SFG omitted a parameter in its derivation of gamma from the formulas in Officer. Once corrected, the relevant formula does not support SFG's interpretation. Instead, the corrected formula supports our view, which is in turn supported by advice from Handley and Lally, that gamma in the Officer framework represents the proportion of company tax that is returned to investors through the utilisation of imputation credits (see section </w:t>
      </w:r>
      <w:r>
        <w:fldChar w:fldCharType="begin"/>
      </w:r>
      <w:r>
        <w:instrText xml:space="preserve"> REF _Ref400965182 \r \h </w:instrText>
      </w:r>
      <w:r>
        <w:fldChar w:fldCharType="separate"/>
      </w:r>
      <w:r w:rsidR="00927273">
        <w:t>A.5</w:t>
      </w:r>
      <w:r>
        <w:fldChar w:fldCharType="end"/>
      </w:r>
      <w:r>
        <w:t>). Moreover, the corrected formula does not suggest to us that the value of imputation credits must be estimated using evidence from market prices alone.</w:t>
      </w:r>
    </w:p>
    <w:p w:rsidR="001E32C9" w:rsidRDefault="001E32C9" w:rsidP="001E32C9">
      <w:pPr>
        <w:pStyle w:val="AERbodytext"/>
      </w:pPr>
      <w:r>
        <w:t>Our review of SFG's analysis of the formulas is set out below.</w:t>
      </w:r>
    </w:p>
    <w:p w:rsidR="001E32C9" w:rsidRDefault="001E32C9" w:rsidP="001E32C9">
      <w:pPr>
        <w:pStyle w:val="AERbodytext"/>
      </w:pPr>
      <w:r>
        <w:t>SFG's analysis began with the expression:</w:t>
      </w:r>
      <w:r>
        <w:rPr>
          <w:rStyle w:val="FootnoteReference"/>
        </w:rPr>
        <w:footnoteReference w:id="141"/>
      </w:r>
    </w:p>
    <w:p w:rsidR="001E32C9" w:rsidRPr="008A20CA" w:rsidRDefault="001E32C9" w:rsidP="001E32C9">
      <w:pPr>
        <w:pStyle w:val="AERbodytext"/>
      </w:pPr>
      <m:oMath>
        <m:r>
          <w:rPr>
            <w:rFonts w:ascii="Cambria Math" w:eastAsiaTheme="minorEastAsia" w:hAnsi="Cambria Math"/>
          </w:rPr>
          <m:t>E</m:t>
        </m:r>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r>
              <m:rPr>
                <m:sty m:val="p"/>
              </m:rPr>
              <w:rPr>
                <w:rFonts w:ascii="Cambria Math" w:eastAsiaTheme="minorEastAsia" w:hAnsi="Cambria Math"/>
              </w:rPr>
              <m:t>+</m:t>
            </m:r>
            <m:r>
              <w:rPr>
                <w:rFonts w:ascii="Cambria Math" w:eastAsiaTheme="minorEastAsia" w:hAnsi="Cambria Math"/>
              </w:rPr>
              <m:t>γIC</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where:</w:t>
      </w:r>
    </w:p>
    <w:p w:rsidR="001E32C9" w:rsidRDefault="001E32C9" w:rsidP="001E32C9">
      <w:pPr>
        <w:pStyle w:val="AERbulletlistfirststyle"/>
      </w:pPr>
      <m:oMath>
        <m:r>
          <w:rPr>
            <w:rFonts w:ascii="Cambria Math" w:eastAsiaTheme="minorEastAsia" w:hAnsi="Cambria Math"/>
          </w:rPr>
          <m:t>E</m:t>
        </m:r>
      </m:oMath>
      <w:r w:rsidDel="007C0BC7">
        <w:t xml:space="preserve"> </w:t>
      </w:r>
      <w:r>
        <w:t>is the value of equity</w:t>
      </w:r>
    </w:p>
    <w:p w:rsidR="001E32C9" w:rsidRDefault="00A854AC" w:rsidP="001E32C9">
      <w:pPr>
        <w:pStyle w:val="AERbulletlistfirststyle"/>
      </w:pPr>
      <m:oMath>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oMath>
      <w:r w:rsidR="001E32C9">
        <w:rPr>
          <w:rStyle w:val="AERsubscript"/>
        </w:rPr>
        <w:t xml:space="preserve"> </w:t>
      </w:r>
      <w:r w:rsidR="001E32C9">
        <w:t>is operating income</w:t>
      </w:r>
    </w:p>
    <w:p w:rsidR="001E32C9" w:rsidRDefault="00A854AC" w:rsidP="001E32C9">
      <w:pPr>
        <w:pStyle w:val="AERbulletlistfirststyle"/>
      </w:pPr>
      <m:oMath>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oMath>
      <w:r w:rsidR="001E32C9">
        <w:rPr>
          <w:rStyle w:val="AERsubscript"/>
        </w:rPr>
        <w:t xml:space="preserve"> </w:t>
      </w:r>
      <w:r w:rsidR="001E32C9">
        <w:t xml:space="preserve">is the </w:t>
      </w:r>
      <w:proofErr w:type="spellStart"/>
      <w:r w:rsidR="001E32C9">
        <w:t>debtholders</w:t>
      </w:r>
      <w:proofErr w:type="spellEnd"/>
      <w:r w:rsidR="001E32C9">
        <w:t>' share of operating income</w:t>
      </w:r>
    </w:p>
    <w:p w:rsidR="001E32C9" w:rsidRDefault="001E32C9" w:rsidP="001E32C9">
      <w:pPr>
        <w:pStyle w:val="AERbulletlistfirststyle"/>
      </w:pPr>
      <m:oMath>
        <m:r>
          <w:rPr>
            <w:rFonts w:ascii="Cambria Math" w:eastAsiaTheme="minorEastAsia" w:hAnsi="Cambria Math"/>
          </w:rPr>
          <m:t>TAX</m:t>
        </m:r>
      </m:oMath>
      <w:r w:rsidDel="007C0BC7">
        <w:t xml:space="preserve"> </w:t>
      </w:r>
      <w:r>
        <w:t>is corporate tax paid</w:t>
      </w:r>
    </w:p>
    <w:p w:rsidR="001E32C9" w:rsidRDefault="001E32C9" w:rsidP="001E32C9">
      <w:pPr>
        <w:pStyle w:val="AERbulletlistfirststyle"/>
      </w:pPr>
      <m:oMath>
        <m:r>
          <w:rPr>
            <w:rFonts w:ascii="Cambria Math" w:eastAsiaTheme="minorEastAsia" w:hAnsi="Cambria Math"/>
          </w:rPr>
          <m:t>IC</m:t>
        </m:r>
      </m:oMath>
      <w:r>
        <w:t xml:space="preserve"> is imputation credits generated, and</w:t>
      </w:r>
    </w:p>
    <w:p w:rsidR="001E32C9" w:rsidRDefault="00A854AC" w:rsidP="001E32C9">
      <w:pPr>
        <w:pStyle w:val="AERbulletlistfirststyle"/>
      </w:pPr>
      <m:oMath>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oMath>
      <w:r w:rsidR="001E32C9">
        <w:rPr>
          <w:rStyle w:val="AERsubscript"/>
        </w:rPr>
        <w:t xml:space="preserve"> </w:t>
      </w:r>
      <w:r w:rsidR="001E32C9">
        <w:t>is the return on equity.</w:t>
      </w:r>
    </w:p>
    <w:p w:rsidR="001E32C9" w:rsidRPr="00D12C67" w:rsidRDefault="001E32C9" w:rsidP="001E32C9">
      <w:pPr>
        <w:pStyle w:val="AERbodytext"/>
      </w:pPr>
      <w:r>
        <w:t>SFG</w:t>
      </w:r>
      <w:r w:rsidRPr="00D12C67">
        <w:t xml:space="preserve"> state</w:t>
      </w:r>
      <w:r>
        <w:t>d</w:t>
      </w:r>
      <w:r w:rsidRPr="00D12C67">
        <w:t xml:space="preserve"> that this expression:</w:t>
      </w:r>
      <w:r w:rsidRPr="00D12C67">
        <w:rPr>
          <w:rStyle w:val="FootnoteReference"/>
        </w:rPr>
        <w:footnoteReference w:id="142"/>
      </w:r>
    </w:p>
    <w:p w:rsidR="001E32C9" w:rsidRDefault="001E32C9" w:rsidP="001E32C9">
      <w:pPr>
        <w:pStyle w:val="AERquote"/>
      </w:pPr>
      <w:r>
        <w:t>…unambiguously shows that gamma represents the extent to which imputation credits are capitalised into the stock price.</w:t>
      </w:r>
    </w:p>
    <w:p w:rsidR="001E32C9" w:rsidRDefault="001E32C9" w:rsidP="001E32C9">
      <w:pPr>
        <w:pStyle w:val="AERbodytext"/>
      </w:pPr>
      <w:r>
        <w:t>SFG then stated that the value of equity in the absence of imputation credits would be:</w:t>
      </w:r>
      <w:r>
        <w:rPr>
          <w:rStyle w:val="FootnoteReference"/>
        </w:rPr>
        <w:footnoteReference w:id="143"/>
      </w:r>
    </w:p>
    <w:p w:rsidR="001E32C9" w:rsidRPr="00C915A0" w:rsidRDefault="00A854AC"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ex</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 xml:space="preserve">and subtracted this expression from the expression for E (which SFG renamed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t>) to isolate gamma:</w:t>
      </w:r>
      <w:r>
        <w:rPr>
          <w:rStyle w:val="FootnoteReference"/>
        </w:rPr>
        <w:footnoteReference w:id="144"/>
      </w:r>
    </w:p>
    <w:p w:rsidR="001E32C9" w:rsidRPr="002F2D6C"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num>
          <m:den>
            <m:r>
              <w:rPr>
                <w:rFonts w:ascii="Cambria Math" w:hAnsi="Cambria Math"/>
              </w:rPr>
              <m:t>IC</m:t>
            </m:r>
          </m:den>
        </m:f>
      </m:oMath>
    </w:p>
    <w:p w:rsidR="001E32C9" w:rsidRDefault="001E32C9" w:rsidP="001E32C9">
      <w:pPr>
        <w:pStyle w:val="AERbodytext"/>
      </w:pPr>
      <w:r>
        <w:t>SFG concluded from this expression that:</w:t>
      </w:r>
    </w:p>
    <w:p w:rsidR="001E32C9" w:rsidRDefault="001E32C9" w:rsidP="001E32C9">
      <w:pPr>
        <w:pStyle w:val="AERquote"/>
      </w:pPr>
      <w:r>
        <w:t xml:space="preserve">Gamma then represents the increase in the </w:t>
      </w:r>
      <w:r w:rsidRPr="002F2D6C">
        <w:rPr>
          <w:rStyle w:val="AERtextitalic"/>
        </w:rPr>
        <w:t>value</w:t>
      </w:r>
      <w:r>
        <w:t xml:space="preserve"> of equity due to imputation credits, expressed as a proportion of the face value of imputation credits.</w:t>
      </w:r>
    </w:p>
    <w:p w:rsidR="001E32C9" w:rsidRDefault="001E32C9" w:rsidP="001E32C9">
      <w:pPr>
        <w:pStyle w:val="AERbodytext"/>
      </w:pPr>
      <w:r>
        <w:t>Moreover, given the statements from SFG quoted above, SFG appeared to suggest that gamma represents the increase in the stock price due to imputation credits, expressed as a proportion of the face value of imputation credits.</w:t>
      </w:r>
    </w:p>
    <w:p w:rsidR="001E32C9" w:rsidRDefault="001E32C9" w:rsidP="001E32C9">
      <w:pPr>
        <w:pStyle w:val="AERbodytext"/>
      </w:pPr>
      <w:r>
        <w:lastRenderedPageBreak/>
        <w:t>However, the expression for gamma presented by SFG omits a parameter. When one subtracts:</w:t>
      </w:r>
    </w:p>
    <w:p w:rsidR="001E32C9" w:rsidRPr="00E50088" w:rsidRDefault="00A854AC"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ex</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from:</w:t>
      </w:r>
    </w:p>
    <w:p w:rsidR="001E32C9" w:rsidRPr="00E50088" w:rsidRDefault="00A854AC"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w</m:t>
            </m:r>
            <m:r>
              <w:rPr>
                <w:rFonts w:ascii="Cambria Math" w:eastAsiaTheme="minorEastAsia" w:hAnsi="Cambria Math"/>
              </w:rPr>
              <m:t>ith</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r>
              <m:rPr>
                <m:sty m:val="p"/>
              </m:rPr>
              <w:rPr>
                <w:rFonts w:ascii="Cambria Math" w:eastAsiaTheme="minorEastAsia" w:hAnsi="Cambria Math"/>
              </w:rPr>
              <m:t>+</m:t>
            </m:r>
            <m:r>
              <w:rPr>
                <w:rFonts w:ascii="Cambria Math" w:eastAsiaTheme="minorEastAsia" w:hAnsi="Cambria Math"/>
              </w:rPr>
              <m:t>γIC</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the resulting expression is actually:</w:t>
      </w:r>
    </w:p>
    <w:p w:rsidR="001E32C9"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num>
          <m:den>
            <m:r>
              <w:rPr>
                <w:rFonts w:ascii="Cambria Math" w:hAnsi="Cambria Math"/>
              </w:rPr>
              <m:t>IC</m:t>
            </m:r>
          </m:den>
        </m:f>
      </m:oMath>
    </w:p>
    <w:p w:rsidR="001E32C9" w:rsidRDefault="001E32C9" w:rsidP="001E32C9">
      <w:pPr>
        <w:pStyle w:val="AERbodytext"/>
      </w:pPr>
      <w:r>
        <w:t xml:space="preserve">That is, SFG's expression omits the return on equity from the numerator. To understand the significance of this omission, recall from section </w:t>
      </w:r>
      <w:r>
        <w:fldChar w:fldCharType="begin"/>
      </w:r>
      <w:r>
        <w:instrText xml:space="preserve"> REF _Ref400965182 \r \h </w:instrText>
      </w:r>
      <w:r>
        <w:fldChar w:fldCharType="separate"/>
      </w:r>
      <w:r w:rsidR="00927273">
        <w:t>A.5</w:t>
      </w:r>
      <w:r>
        <w:fldChar w:fldCharType="end"/>
      </w:r>
      <w:r>
        <w:t xml:space="preserve"> that the Officer framework is a perpetuity framework and consider the general expression for the present value of a perpetuity:</w:t>
      </w:r>
      <w:r>
        <w:rPr>
          <w:rStyle w:val="FootnoteReference"/>
        </w:rPr>
        <w:footnoteReference w:id="145"/>
      </w:r>
    </w:p>
    <w:p w:rsidR="001E32C9" w:rsidRDefault="001E32C9" w:rsidP="001E32C9">
      <w:pPr>
        <w:pStyle w:val="AERbodytext"/>
      </w:pPr>
      <m:oMath>
        <m:r>
          <w:rPr>
            <w:rFonts w:ascii="Cambria Math" w:hAnsi="Cambria Math"/>
          </w:rPr>
          <m:t>Present</m:t>
        </m:r>
        <m:r>
          <m:rPr>
            <m:sty m:val="p"/>
          </m:rPr>
          <w:rPr>
            <w:rFonts w:ascii="Cambria Math" w:hAnsi="Cambria Math"/>
          </w:rPr>
          <m:t xml:space="preserve"> </m:t>
        </m:r>
        <m:r>
          <w:rPr>
            <w:rFonts w:ascii="Cambria Math" w:hAnsi="Cambria Math"/>
          </w:rPr>
          <m:t>valu</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num>
          <m:den>
            <m:r>
              <w:rPr>
                <w:rFonts w:ascii="Cambria Math" w:hAnsi="Cambria Math"/>
              </w:rPr>
              <m:t>Discount</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den>
        </m:f>
      </m:oMath>
    </w:p>
    <w:p w:rsidR="001E32C9" w:rsidRDefault="001E32C9" w:rsidP="001E32C9">
      <w:pPr>
        <w:pStyle w:val="AERbodytext"/>
      </w:pPr>
      <w:r>
        <w:t xml:space="preserve">Rearranging this expression, it is true also that: </w:t>
      </w:r>
    </w:p>
    <w:p w:rsidR="001E32C9" w:rsidRDefault="001E32C9" w:rsidP="001E32C9">
      <w:pPr>
        <w:pStyle w:val="AERbodytext"/>
      </w:pPr>
      <m:oMath>
        <m:r>
          <w:rPr>
            <w:rFonts w:ascii="Cambria Math" w:hAnsi="Cambria Math"/>
          </w:rPr>
          <m:t>Present</m:t>
        </m:r>
        <m:r>
          <m:rPr>
            <m:sty m:val="p"/>
          </m:rPr>
          <w:rPr>
            <w:rFonts w:ascii="Cambria Math" w:hAnsi="Cambria Math"/>
          </w:rPr>
          <m:t xml:space="preserve"> </m:t>
        </m:r>
        <m:r>
          <w:rPr>
            <w:rFonts w:ascii="Cambria Math" w:hAnsi="Cambria Math"/>
          </w:rPr>
          <m:t>value</m:t>
        </m:r>
        <m:r>
          <m:rPr>
            <m:sty m:val="p"/>
          </m:rPr>
          <w:rPr>
            <w:rFonts w:ascii="Cambria Math" w:hAnsi="Cambria Math"/>
          </w:rPr>
          <m:t>×</m:t>
        </m:r>
        <m:r>
          <w:rPr>
            <w:rFonts w:ascii="Cambria Math" w:hAnsi="Cambria Math"/>
          </w:rPr>
          <m:t>Discount</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r>
          <m:rPr>
            <m:sty m:val="p"/>
          </m:rPr>
          <w:rPr>
            <w:rFonts w:ascii="Cambria Math" w:hAnsi="Cambria Math"/>
          </w:rPr>
          <m:t>=</m:t>
        </m:r>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oMath>
    </w:p>
    <w:p w:rsidR="001E32C9" w:rsidRDefault="001E32C9" w:rsidP="001E32C9">
      <w:pPr>
        <w:pStyle w:val="AERbodytext"/>
      </w:pPr>
      <w:r>
        <w:t>Relating the present value expression to the formulas in Officer, we note that:</w:t>
      </w:r>
    </w:p>
    <w:p w:rsidR="001E32C9" w:rsidRDefault="00A854AC" w:rsidP="001E32C9">
      <w:pPr>
        <w:pStyle w:val="AERbulletlistfirststyle"/>
      </w:pPr>
      <m:oMath>
        <m:sSub>
          <m:sSubPr>
            <m:ctrlPr>
              <w:rPr>
                <w:rFonts w:ascii="Cambria Math" w:hAnsi="Cambria Math"/>
              </w:rPr>
            </m:ctrlPr>
          </m:sSubPr>
          <m:e>
            <m:r>
              <w:rPr>
                <w:rFonts w:ascii="Cambria Math" w:hAnsi="Cambria Math"/>
              </w:rPr>
              <m:t>E</m:t>
            </m:r>
          </m:e>
          <m:sub>
            <m:r>
              <w:rPr>
                <w:rFonts w:ascii="Cambria Math" w:hAnsi="Cambria Math"/>
              </w:rPr>
              <m:t>with-IC</m:t>
            </m:r>
          </m:sub>
        </m:sSub>
      </m:oMath>
      <w:r w:rsidR="001E32C9">
        <w:t xml:space="preserve"> and </w:t>
      </w:r>
      <m:oMath>
        <m:sSub>
          <m:sSubPr>
            <m:ctrlPr>
              <w:rPr>
                <w:rFonts w:ascii="Cambria Math" w:hAnsi="Cambria Math"/>
              </w:rPr>
            </m:ctrlPr>
          </m:sSubPr>
          <m:e>
            <m:r>
              <w:rPr>
                <w:rFonts w:ascii="Cambria Math" w:hAnsi="Cambria Math"/>
              </w:rPr>
              <m:t>E</m:t>
            </m:r>
          </m:e>
          <m:sub>
            <m:r>
              <w:rPr>
                <w:rFonts w:ascii="Cambria Math" w:hAnsi="Cambria Math"/>
              </w:rPr>
              <m:t>ex-IC</m:t>
            </m:r>
          </m:sub>
        </m:sSub>
      </m:oMath>
      <w:r w:rsidR="001E32C9">
        <w:rPr>
          <w:rStyle w:val="AERsubscript"/>
        </w:rPr>
        <w:t xml:space="preserve"> </w:t>
      </w:r>
      <w:r w:rsidR="001E32C9">
        <w:t>are present values, and</w:t>
      </w:r>
    </w:p>
    <w:p w:rsidR="001E32C9" w:rsidRDefault="00A854AC"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oMath>
      <w:r w:rsidR="001E32C9">
        <w:rPr>
          <w:rStyle w:val="AERsubscript"/>
        </w:rPr>
        <w:t xml:space="preserve"> </w:t>
      </w:r>
      <w:r w:rsidR="001E32C9">
        <w:t>is the discount rate per period.</w:t>
      </w:r>
    </w:p>
    <w:p w:rsidR="001E32C9" w:rsidRPr="005657CB" w:rsidRDefault="001E32C9" w:rsidP="001E32C9">
      <w:pPr>
        <w:pStyle w:val="AERbodytext"/>
      </w:pPr>
      <w:r>
        <w:t xml:space="preserve">Therefore, </w:t>
      </w:r>
      <w:r w:rsidRPr="005657CB">
        <w:t>because a present value multiplied by a discount rate equals a cash flow, we can say that:</w:t>
      </w:r>
    </w:p>
    <w:p w:rsidR="001E32C9" w:rsidRDefault="00A854AC"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oMath>
      <w:r w:rsidR="001E32C9">
        <w:t xml:space="preserve"> is the cash flow per period to investors from equity with imputation credits, and</w:t>
      </w:r>
    </w:p>
    <w:p w:rsidR="001E32C9" w:rsidRDefault="00A854AC"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oMath>
      <w:r w:rsidR="001E32C9">
        <w:t xml:space="preserve"> is </w:t>
      </w:r>
      <w:r w:rsidR="001E32C9" w:rsidRPr="00291E25">
        <w:t>the cash flow per period to investors from equity with</w:t>
      </w:r>
      <w:r w:rsidR="001E32C9">
        <w:t>out</w:t>
      </w:r>
      <w:r w:rsidR="001E32C9" w:rsidRPr="00291E25">
        <w:t xml:space="preserve"> imputation credits</w:t>
      </w:r>
      <w:r w:rsidR="001E32C9">
        <w:t>.</w:t>
      </w:r>
    </w:p>
    <w:p w:rsidR="001E32C9" w:rsidRDefault="001E32C9" w:rsidP="001E32C9">
      <w:pPr>
        <w:pStyle w:val="AERbodytext"/>
      </w:pPr>
      <w:r>
        <w:t>Recall that the corrected expression for gamma is:</w:t>
      </w:r>
    </w:p>
    <w:p w:rsidR="001E32C9"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num>
          <m:den>
            <m:r>
              <w:rPr>
                <w:rFonts w:ascii="Cambria Math" w:hAnsi="Cambria Math"/>
              </w:rPr>
              <m:t>IC</m:t>
            </m:r>
          </m:den>
        </m:f>
      </m:oMath>
    </w:p>
    <w:p w:rsidR="001E32C9" w:rsidRDefault="001E32C9" w:rsidP="001E32C9">
      <w:pPr>
        <w:pStyle w:val="AERbodytext"/>
      </w:pPr>
      <w:r>
        <w:t>The numerator in the corrected expression for gamma is the difference between:</w:t>
      </w:r>
    </w:p>
    <w:p w:rsidR="001E32C9" w:rsidRDefault="001E32C9" w:rsidP="001E32C9">
      <w:pPr>
        <w:pStyle w:val="AERbulletlistfirststyle"/>
      </w:pPr>
      <w:r w:rsidRPr="007E66AC">
        <w:t>the cash flow per period to investors from equity with imputation credits, and</w:t>
      </w:r>
    </w:p>
    <w:p w:rsidR="001E32C9" w:rsidRDefault="001E32C9" w:rsidP="001E32C9">
      <w:pPr>
        <w:pStyle w:val="AERbulletlistfirststyle"/>
      </w:pPr>
      <w:r w:rsidRPr="007E66AC">
        <w:t>the cash flow per period to investors from equity without imputation credits.</w:t>
      </w:r>
      <w:r>
        <w:t xml:space="preserve"> </w:t>
      </w:r>
    </w:p>
    <w:p w:rsidR="001E32C9" w:rsidRDefault="001E32C9" w:rsidP="001E32C9">
      <w:pPr>
        <w:pStyle w:val="AERbodytext"/>
      </w:pPr>
      <w:r>
        <w:t>Therefore, the numerator is equal to the cash flow per period to investors from imputation credits alone. That is:</w:t>
      </w:r>
    </w:p>
    <w:p w:rsidR="001E32C9" w:rsidRPr="00291E25"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num>
          <m:den>
            <m:r>
              <w:rPr>
                <w:rFonts w:ascii="Cambria Math" w:hAnsi="Cambria Math"/>
              </w:rPr>
              <m:t>IC</m:t>
            </m:r>
          </m:den>
        </m:f>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IC</m:t>
            </m:r>
          </m:den>
        </m:f>
      </m:oMath>
    </w:p>
    <w:p w:rsidR="001E32C9" w:rsidRDefault="001E32C9" w:rsidP="001E32C9">
      <w:pPr>
        <w:pStyle w:val="AERbodytext"/>
      </w:pPr>
      <w:r>
        <w:lastRenderedPageBreak/>
        <w:t xml:space="preserve">Moreover, note that </w:t>
      </w:r>
      <m:oMath>
        <m:r>
          <w:rPr>
            <w:rFonts w:ascii="Cambria Math" w:hAnsi="Cambria Math"/>
          </w:rPr>
          <m:t>IC</m:t>
        </m:r>
      </m:oMath>
      <w:r w:rsidDel="00EC2C62">
        <w:t xml:space="preserve"> </w:t>
      </w:r>
      <w:r>
        <w:t xml:space="preserve">(the amount of imputation credits generated) is equal to </w:t>
      </w:r>
      <m:oMath>
        <m:r>
          <w:rPr>
            <w:rFonts w:ascii="Cambria Math" w:eastAsiaTheme="minorEastAsia" w:hAnsi="Cambria Math"/>
          </w:rPr>
          <m:t>TAX</m:t>
        </m:r>
      </m:oMath>
      <w:r w:rsidDel="00EC2C62">
        <w:t xml:space="preserve"> </w:t>
      </w:r>
      <w:r>
        <w:t>(corporate tax paid) in this expression because a company generates one dollar of imputation credit for each dollar of corporate tax paid and the Officer framework assumes all imputation credits are paid out. Therefore:</w:t>
      </w:r>
    </w:p>
    <w:p w:rsidR="001E32C9" w:rsidRPr="005657CB" w:rsidRDefault="001E32C9" w:rsidP="001E32C9">
      <w:pPr>
        <w:pStyle w:val="AERbodytext"/>
      </w:pPr>
      <w:r w:rsidRPr="005657CB">
        <w:t xml:space="preserve"> </w:t>
      </w:r>
      <m:oMath>
        <m:r>
          <w:rPr>
            <w:rFonts w:ascii="Cambria Math" w:hAnsi="Cambria Math"/>
          </w:rPr>
          <m:t>γ</m:t>
        </m:r>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TAX</m:t>
            </m:r>
          </m:den>
        </m:f>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m:t>
            </m:r>
            <m:r>
              <w:rPr>
                <w:rFonts w:ascii="Cambria Math" w:hAnsi="Cambria Math"/>
              </w:rPr>
              <m:t>on</m:t>
            </m:r>
            <m:r>
              <m:rPr>
                <m:sty m:val="p"/>
              </m:rPr>
              <w:rPr>
                <w:rFonts w:ascii="Cambria Math" w:hAnsi="Cambria Math"/>
              </w:rPr>
              <m:t xml:space="preserve"> </m:t>
            </m:r>
            <m:r>
              <w:rPr>
                <w:rFonts w:ascii="Cambria Math" w:hAnsi="Cambria Math"/>
              </w:rPr>
              <m:t>credits</m:t>
            </m:r>
          </m:num>
          <m:den>
            <m:r>
              <w:rPr>
                <w:rFonts w:ascii="Cambria Math" w:hAnsi="Cambria Math"/>
              </w:rPr>
              <m:t>Corporate</m:t>
            </m:r>
            <m:r>
              <m:rPr>
                <m:sty m:val="p"/>
              </m:rPr>
              <w:rPr>
                <w:rFonts w:ascii="Cambria Math" w:hAnsi="Cambria Math"/>
              </w:rPr>
              <m:t xml:space="preserve"> </m:t>
            </m:r>
            <m:r>
              <w:rPr>
                <w:rFonts w:ascii="Cambria Math" w:hAnsi="Cambria Math"/>
              </w:rPr>
              <m:t>tax</m:t>
            </m:r>
            <m:r>
              <m:rPr>
                <m:sty m:val="p"/>
              </m:rPr>
              <w:rPr>
                <w:rFonts w:ascii="Cambria Math" w:hAnsi="Cambria Math"/>
              </w:rPr>
              <m:t xml:space="preserve"> </m:t>
            </m:r>
            <m:r>
              <w:rPr>
                <w:rFonts w:ascii="Cambria Math" w:hAnsi="Cambria Math"/>
              </w:rPr>
              <m:t>paid</m:t>
            </m:r>
          </m:den>
        </m:f>
      </m:oMath>
      <w:r w:rsidRPr="005657CB">
        <w:t xml:space="preserve"> </w:t>
      </w:r>
    </w:p>
    <w:p w:rsidR="001E32C9" w:rsidRPr="005657CB" w:rsidRDefault="001E32C9" w:rsidP="001E32C9">
      <w:pPr>
        <w:pStyle w:val="AERbodytext"/>
      </w:pPr>
      <w:r>
        <w:t>T</w:t>
      </w:r>
      <w:r w:rsidRPr="005657CB">
        <w:t>he cash flow to investors from imputation credits is the reduction in tax or refund they receive through utilising imputation credits. Therefore, this expression accords with our interpretation of gamma as the proportion of company tax returned to investors through the utilisation of imputation credits.</w:t>
      </w:r>
    </w:p>
    <w:p w:rsidR="001E32C9" w:rsidRDefault="001E32C9" w:rsidP="001E32C9">
      <w:pPr>
        <w:pStyle w:val="Heading9"/>
        <w:numPr>
          <w:ilvl w:val="6"/>
          <w:numId w:val="57"/>
        </w:numPr>
      </w:pPr>
      <w:r>
        <w:t xml:space="preserve">SFG's comments on the </w:t>
      </w:r>
      <w:proofErr w:type="spellStart"/>
      <w:r>
        <w:t>Monkhouse</w:t>
      </w:r>
      <w:proofErr w:type="spellEnd"/>
      <w:r>
        <w:t xml:space="preserve"> framework</w:t>
      </w:r>
    </w:p>
    <w:p w:rsidR="001E32C9" w:rsidRDefault="001E32C9" w:rsidP="001E32C9">
      <w:pPr>
        <w:pStyle w:val="AERbodytext"/>
      </w:pPr>
      <w:r>
        <w:t xml:space="preserve">As discussed in section </w:t>
      </w:r>
      <w:r>
        <w:fldChar w:fldCharType="begin"/>
      </w:r>
      <w:r>
        <w:instrText xml:space="preserve"> REF _Ref400965182 \r \h </w:instrText>
      </w:r>
      <w:r>
        <w:fldChar w:fldCharType="separate"/>
      </w:r>
      <w:r w:rsidR="00927273">
        <w:t>A.5</w:t>
      </w:r>
      <w:r>
        <w:fldChar w:fldCharType="end"/>
      </w:r>
      <w:r>
        <w:t>, we consider that:</w:t>
      </w:r>
    </w:p>
    <w:p w:rsidR="001E32C9" w:rsidRDefault="001E32C9" w:rsidP="001E32C9">
      <w:pPr>
        <w:pStyle w:val="AERbulletlistfirststyle"/>
      </w:pPr>
      <w:r>
        <w:t>The Officer framework provides the basis for the value of imputation credits adjustment in the rules.</w:t>
      </w:r>
    </w:p>
    <w:p w:rsidR="001E32C9" w:rsidRDefault="001E32C9" w:rsidP="001E32C9">
      <w:pPr>
        <w:pStyle w:val="AERbulletlistfirststyle"/>
      </w:pPr>
      <w:proofErr w:type="spellStart"/>
      <w:r>
        <w:t>Monkhouse</w:t>
      </w:r>
      <w:proofErr w:type="spellEnd"/>
      <w:r>
        <w:t xml:space="preserve"> extends the Officer framework to a non-perpetuity setting, and shows that—assuming retained credits have no value—gamma from the Officer framework effectively equals the product of the distribution rate and the utilisation rate (which is represented by the Greek letter theta).</w:t>
      </w:r>
    </w:p>
    <w:p w:rsidR="001E32C9" w:rsidRDefault="001E32C9" w:rsidP="001E32C9">
      <w:pPr>
        <w:pStyle w:val="AERbodytext"/>
      </w:pPr>
      <w:r>
        <w:t xml:space="preserve">SFG provided a discussion of the class of CAPM employed by </w:t>
      </w:r>
      <w:proofErr w:type="spellStart"/>
      <w:r>
        <w:t>Monkhouse</w:t>
      </w:r>
      <w:proofErr w:type="spellEnd"/>
      <w:r>
        <w:t xml:space="preserve"> (and related literature).</w:t>
      </w:r>
      <w:r>
        <w:rPr>
          <w:rStyle w:val="FootnoteReference"/>
        </w:rPr>
        <w:footnoteReference w:id="146"/>
      </w:r>
      <w:r>
        <w:t xml:space="preserve"> SFG concluded that our recognition of foreign investors breaches the assumptions of this class of CAPM, and therefore we cannot estimate the value of imputation credits using the definition of theta in equilibrium from the </w:t>
      </w:r>
      <w:proofErr w:type="spellStart"/>
      <w:r>
        <w:t>Monkhouse</w:t>
      </w:r>
      <w:proofErr w:type="spellEnd"/>
      <w:r>
        <w:t xml:space="preserve"> framework:</w:t>
      </w:r>
      <w:r>
        <w:rPr>
          <w:rStyle w:val="FootnoteReference"/>
        </w:rPr>
        <w:footnoteReference w:id="147"/>
      </w:r>
    </w:p>
    <w:p w:rsidR="001E32C9" w:rsidRDefault="001E32C9" w:rsidP="001E32C9">
      <w:pPr>
        <w:pStyle w:val="AERquote"/>
      </w:pPr>
      <w:r>
        <w:t xml:space="preserve">This is not a closed system because it is not the case that the </w:t>
      </w:r>
      <w:r w:rsidRPr="00165359">
        <w:rPr>
          <w:rStyle w:val="AERtextitalic"/>
        </w:rPr>
        <w:t>m</w:t>
      </w:r>
      <w:r>
        <w:t xml:space="preserve"> investors collectively own all of the </w:t>
      </w:r>
      <w:r w:rsidRPr="00165359">
        <w:rPr>
          <w:rStyle w:val="AERtextitalic"/>
        </w:rPr>
        <w:t>n</w:t>
      </w:r>
      <w:r>
        <w:t xml:space="preserve"> assets and nothing else. Consequently, no market clearing equilibrium can be derived and it will not be the case that an equilibrium exists in which the value of imputation credits capitalised into the stock price is equal to the weighted-average of the utilisation rates over the </w:t>
      </w:r>
      <w:r w:rsidRPr="00780310">
        <w:rPr>
          <w:rStyle w:val="AERtextitalic"/>
        </w:rPr>
        <w:t>m</w:t>
      </w:r>
      <w:r>
        <w:t xml:space="preserve"> investors.</w:t>
      </w:r>
    </w:p>
    <w:p w:rsidR="001E32C9" w:rsidRDefault="001E32C9" w:rsidP="001E32C9">
      <w:pPr>
        <w:pStyle w:val="AERquote"/>
      </w:pPr>
      <w:r>
        <w:t>In the context of these equilibrium models, if foreign investors are included, foreign assets must also be included. Alternatively, if foreign assets are not included, foreign investors must be assumed away. If neither of these assumptions is made, no equilibrium model will apply and the weighted-average utilisation rate cannot be used as an estimate of theta.</w:t>
      </w:r>
    </w:p>
    <w:p w:rsidR="001E32C9" w:rsidRDefault="001E32C9" w:rsidP="001E32C9">
      <w:pPr>
        <w:pStyle w:val="AERbodytext"/>
      </w:pPr>
      <w:r>
        <w:t>However, Handley disagreed with SFG's assessment, and advised that our interpretation of theta as the weighted average of the utilisation rates of investors remains reasonable:</w:t>
      </w:r>
      <w:r>
        <w:rPr>
          <w:rStyle w:val="FootnoteReference"/>
        </w:rPr>
        <w:footnoteReference w:id="148"/>
      </w:r>
    </w:p>
    <w:p w:rsidR="001E32C9" w:rsidRDefault="001E32C9" w:rsidP="001E32C9">
      <w:pPr>
        <w:pStyle w:val="AERquote"/>
      </w:pPr>
      <w:r w:rsidRPr="006D0F1A">
        <w:t xml:space="preserve">SFG’s comments are based on a faulty premise – that the </w:t>
      </w:r>
      <w:r w:rsidRPr="006D0F1A">
        <w:rPr>
          <w:rStyle w:val="AERtextitalic"/>
        </w:rPr>
        <w:t>m</w:t>
      </w:r>
      <w:r w:rsidRPr="006D0F1A">
        <w:t xml:space="preserve"> investors can own no other</w:t>
      </w:r>
      <w:r>
        <w:t xml:space="preserve"> </w:t>
      </w:r>
      <w:r w:rsidRPr="006D0F1A">
        <w:t>assets. This is an assumption of SFG but is not an assumption of the CAPM. In the</w:t>
      </w:r>
      <w:r>
        <w:t xml:space="preserve"> </w:t>
      </w:r>
      <w:r w:rsidRPr="006D0F1A">
        <w:t>current context, it is not assumed that investors in th</w:t>
      </w:r>
      <w:r>
        <w:t xml:space="preserve">e domestic market hold no other </w:t>
      </w:r>
      <w:r w:rsidRPr="006D0F1A">
        <w:t>assets but rather it is assumed that investors in the</w:t>
      </w:r>
      <w:r>
        <w:t xml:space="preserve"> domestic market price domestic </w:t>
      </w:r>
      <w:r w:rsidRPr="006D0F1A">
        <w:t xml:space="preserve">assets in isolation of any other assets they may or </w:t>
      </w:r>
      <w:r>
        <w:t xml:space="preserve">may not hold. For this purpose, </w:t>
      </w:r>
      <w:r w:rsidRPr="006D0F1A">
        <w:t>investors in the domestic market consist of domestic in</w:t>
      </w:r>
      <w:r>
        <w:t xml:space="preserve">vestors to the extent that they </w:t>
      </w:r>
      <w:r w:rsidRPr="006D0F1A">
        <w:t>hold domestic assets and foreign investors to the extent that they hold domestic assets</w:t>
      </w:r>
      <w:r>
        <w:t xml:space="preserve"> – </w:t>
      </w:r>
      <w:r w:rsidRPr="006D0F1A">
        <w:t xml:space="preserve">this is the set of </w:t>
      </w:r>
      <w:r w:rsidRPr="006D0F1A">
        <w:rPr>
          <w:rStyle w:val="AERtextitalic"/>
        </w:rPr>
        <w:t>n</w:t>
      </w:r>
      <w:r w:rsidRPr="006D0F1A">
        <w:t xml:space="preserve"> assets and the set of </w:t>
      </w:r>
      <w:r w:rsidRPr="006D0F1A">
        <w:rPr>
          <w:rStyle w:val="AERtextitalic"/>
        </w:rPr>
        <w:t>m</w:t>
      </w:r>
      <w:r w:rsidRPr="006D0F1A">
        <w:t xml:space="preserve"> investors who hold those </w:t>
      </w:r>
      <w:proofErr w:type="spellStart"/>
      <w:r w:rsidRPr="006D0F1A">
        <w:rPr>
          <w:rStyle w:val="AERtextitalic"/>
        </w:rPr>
        <w:t>n</w:t>
      </w:r>
      <w:proofErr w:type="spellEnd"/>
      <w:r>
        <w:t xml:space="preserve"> assets. Foreign </w:t>
      </w:r>
      <w:r w:rsidRPr="006D0F1A">
        <w:t xml:space="preserve">assets held by these domestic investors, foreign assets </w:t>
      </w:r>
      <w:r>
        <w:t xml:space="preserve">held by these foreign investors </w:t>
      </w:r>
      <w:r w:rsidRPr="006D0F1A">
        <w:t xml:space="preserve">and foreign assets held by other foreign investors are outside the model. </w:t>
      </w:r>
      <w:r>
        <w:t xml:space="preserve">If one </w:t>
      </w:r>
      <w:r w:rsidRPr="006D0F1A">
        <w:t>disagrees with this notion of segmentation, then the soluti</w:t>
      </w:r>
      <w:r>
        <w:t xml:space="preserve">on is to bring other assets and </w:t>
      </w:r>
      <w:r w:rsidRPr="006D0F1A">
        <w:t xml:space="preserve">investors into the model – for example, use an </w:t>
      </w:r>
      <w:r>
        <w:t xml:space="preserve">international CAPM which prices </w:t>
      </w:r>
      <w:r w:rsidRPr="006D0F1A">
        <w:t xml:space="preserve">domestic </w:t>
      </w:r>
      <w:r w:rsidRPr="006D0F1A">
        <w:lastRenderedPageBreak/>
        <w:t xml:space="preserve">assets relative to an international benchmark rather than relative to </w:t>
      </w:r>
      <w:r>
        <w:t xml:space="preserve">a domestic </w:t>
      </w:r>
      <w:r w:rsidRPr="006D0F1A">
        <w:t>benchmark. SFG’s conclusion that no equilibrium can exist is therefore invalid.</w:t>
      </w:r>
      <w:r>
        <w:t xml:space="preserve"> </w:t>
      </w:r>
    </w:p>
    <w:p w:rsidR="005B4337" w:rsidRPr="005B4337" w:rsidRDefault="001E78D0" w:rsidP="005B4337">
      <w:pPr>
        <w:pStyle w:val="AERbodytext"/>
      </w:pPr>
      <w:r>
        <w:t xml:space="preserve">We use the same definition of the relevant market when estimating both the value of imputation credits and the return on equity. This </w:t>
      </w:r>
      <w:r w:rsidR="00343B68">
        <w:t>accords</w:t>
      </w:r>
      <w:r>
        <w:t xml:space="preserve"> with the rules, which require an estimate of the allowed rate of return that is consistent with the value of imputation credits.</w:t>
      </w:r>
      <w:r>
        <w:rPr>
          <w:rStyle w:val="FootnoteReference"/>
        </w:rPr>
        <w:footnoteReference w:id="149"/>
      </w:r>
      <w:r w:rsidR="005B4337">
        <w:t xml:space="preserve"> </w:t>
      </w:r>
      <w:r w:rsidR="00016398">
        <w:t>As noted in the quote above from</w:t>
      </w:r>
      <w:r w:rsidR="00343B68">
        <w:t xml:space="preserve"> Handley, </w:t>
      </w:r>
      <w:r w:rsidR="002B54D1">
        <w:t>we could</w:t>
      </w:r>
      <w:r w:rsidR="00016398">
        <w:t xml:space="preserve"> alternatively define the market</w:t>
      </w:r>
      <w:r w:rsidR="002B54D1">
        <w:t xml:space="preserve"> </w:t>
      </w:r>
      <w:r w:rsidR="00016398">
        <w:t xml:space="preserve">as </w:t>
      </w:r>
      <w:r w:rsidR="00343B68">
        <w:t>the international market.</w:t>
      </w:r>
      <w:r w:rsidR="002B54D1">
        <w:t xml:space="preserve"> </w:t>
      </w:r>
      <w:r w:rsidR="00343B68">
        <w:t xml:space="preserve">Using this market definition would likely result in a lower value of imputation credits, and therefore </w:t>
      </w:r>
      <w:r w:rsidR="00016398">
        <w:t xml:space="preserve">a </w:t>
      </w:r>
      <w:r w:rsidR="00343B68">
        <w:t xml:space="preserve">higher revenue allowance, because investors </w:t>
      </w:r>
      <w:r w:rsidR="00016398">
        <w:t xml:space="preserve">that value imputation credits (eligible, domestic investors) </w:t>
      </w:r>
      <w:r w:rsidR="00343B68">
        <w:t>make up a small proportion of the global set of investors. However, using an international market definition would also likely lead to a lower return on equity</w:t>
      </w:r>
      <w:r w:rsidR="00016398">
        <w:t xml:space="preserve"> and therefore lower revenue allowance.</w:t>
      </w:r>
      <w:r w:rsidR="00016398">
        <w:rPr>
          <w:rStyle w:val="FootnoteReference"/>
        </w:rPr>
        <w:footnoteReference w:id="150"/>
      </w:r>
      <w:r w:rsidR="00016398">
        <w:t xml:space="preserve"> The net result of these countervailing effects on the revenue allowance is unclear. In any case, we consider that our use of a consistent market definition across our determination of the value of imputation credits and return on equity is important.</w:t>
      </w:r>
    </w:p>
    <w:p w:rsidR="001E32C9" w:rsidRDefault="001E32C9" w:rsidP="001E32C9">
      <w:pPr>
        <w:pStyle w:val="Heading8"/>
        <w:numPr>
          <w:ilvl w:val="5"/>
          <w:numId w:val="57"/>
        </w:numPr>
      </w:pPr>
      <w:bookmarkStart w:id="59" w:name="_Ref401272599"/>
      <w:r>
        <w:t>Further issues relating to the utilisation rate</w:t>
      </w:r>
      <w:bookmarkEnd w:id="59"/>
    </w:p>
    <w:p w:rsidR="001E32C9" w:rsidRDefault="001E32C9" w:rsidP="001E32C9">
      <w:pPr>
        <w:pStyle w:val="AERbodytext"/>
      </w:pPr>
      <w:r>
        <w:t xml:space="preserve">As discussed in section </w:t>
      </w:r>
      <w:r>
        <w:fldChar w:fldCharType="begin"/>
      </w:r>
      <w:r>
        <w:instrText xml:space="preserve"> REF _Ref400965182 \r \h </w:instrText>
      </w:r>
      <w:r>
        <w:fldChar w:fldCharType="separate"/>
      </w:r>
      <w:r w:rsidR="00927273">
        <w:t>A.5</w:t>
      </w:r>
      <w:r>
        <w:fldChar w:fldCharType="end"/>
      </w:r>
      <w:r>
        <w:t xml:space="preserve">, and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927273">
        <w:t>A.5</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eligible investors have a utilisation rate of 1.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1E32C9" w:rsidRDefault="001E32C9" w:rsidP="001E32C9">
      <w:pPr>
        <w:pStyle w:val="AERbodytext"/>
      </w:pPr>
      <w:r>
        <w:t>In this section we provide further support for our position on the utilisation</w:t>
      </w:r>
      <w:r w:rsidR="007860EF">
        <w:t xml:space="preserve"> rate</w:t>
      </w:r>
      <w:r>
        <w:t>. In particular, we:</w:t>
      </w:r>
    </w:p>
    <w:p w:rsidR="001E32C9" w:rsidRDefault="001E32C9" w:rsidP="001E32C9">
      <w:pPr>
        <w:pStyle w:val="AERbulletlistfirststyle"/>
      </w:pPr>
      <w:r>
        <w:t>explain how our position is consistent with the basis of the building block framework, and</w:t>
      </w:r>
    </w:p>
    <w:p w:rsidR="001E32C9" w:rsidRDefault="001E32C9" w:rsidP="001E32C9">
      <w:pPr>
        <w:pStyle w:val="AERbulletlistfirststyle"/>
      </w:pPr>
      <w:r>
        <w:t>contrast our position with that of the service providers, including with reference to factors they considered should be reflected in the utilisation rate.</w:t>
      </w:r>
    </w:p>
    <w:p w:rsidR="001E32C9" w:rsidRDefault="001E32C9" w:rsidP="001E32C9">
      <w:pPr>
        <w:pStyle w:val="Heading9"/>
        <w:numPr>
          <w:ilvl w:val="6"/>
          <w:numId w:val="57"/>
        </w:numPr>
      </w:pPr>
      <w:bookmarkStart w:id="60" w:name="_Ref401748758"/>
      <w:r w:rsidRPr="007968D2">
        <w:t>Consistency</w:t>
      </w:r>
      <w:r>
        <w:t xml:space="preserve"> with the building block framework</w:t>
      </w:r>
      <w:bookmarkEnd w:id="60"/>
    </w:p>
    <w:p w:rsidR="001E32C9" w:rsidRDefault="001E32C9" w:rsidP="001E32C9">
      <w:pPr>
        <w:pStyle w:val="AERbodytext"/>
      </w:pPr>
      <w:r>
        <w:t>To be consistent with the building block framework, the utilisation rate should reflect the before-personal-tax and before-personal-costs value of imputation credits to investors.</w:t>
      </w:r>
      <w:r>
        <w:rPr>
          <w:rStyle w:val="FootnoteReference"/>
        </w:rPr>
        <w:footnoteReference w:id="151"/>
      </w:r>
      <w:r>
        <w:t xml:space="preserve"> Once these factors are excluded, an investor that is eligible to fully utilise imputation credits should value each dollar of imputation credits received at one dollar (that is, have a utilisation rate of 1).</w:t>
      </w:r>
    </w:p>
    <w:p w:rsidR="001E32C9" w:rsidRDefault="001E32C9" w:rsidP="001E32C9">
      <w:pPr>
        <w:pStyle w:val="AERbodytext"/>
      </w:pPr>
      <w:r>
        <w:t>This consideration is supported by Handley's advice on the basis of the regulatory (building block) framework:</w:t>
      </w:r>
      <w:r>
        <w:rPr>
          <w:rStyle w:val="FootnoteReference"/>
        </w:rPr>
        <w:footnoteReference w:id="152"/>
      </w:r>
      <w:r>
        <w:t xml:space="preserve"> </w:t>
      </w:r>
    </w:p>
    <w:p w:rsidR="001E32C9" w:rsidRPr="000F6886" w:rsidRDefault="001E32C9" w:rsidP="001E32C9">
      <w:pPr>
        <w:pStyle w:val="AERquote"/>
      </w:pPr>
      <w:r w:rsidRPr="000F6886">
        <w:lastRenderedPageBreak/>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1E32C9" w:rsidRDefault="001E32C9" w:rsidP="001E32C9">
      <w:pPr>
        <w:pStyle w:val="AERbodytext"/>
      </w:pPr>
      <w:r>
        <w:t>Handley also referred specifically to the basis on which the utilisation rate should be estimated:</w:t>
      </w:r>
      <w:r>
        <w:rPr>
          <w:rStyle w:val="FootnoteReference"/>
        </w:rPr>
        <w:footnoteReference w:id="153"/>
      </w:r>
    </w:p>
    <w:p w:rsidR="001E32C9" w:rsidRDefault="001E32C9" w:rsidP="001E32C9">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1E32C9" w:rsidRDefault="001E32C9" w:rsidP="001E32C9">
      <w:pPr>
        <w:pStyle w:val="AERbodytext"/>
      </w:pPr>
      <w:r>
        <w:t xml:space="preserve">The service providers did not address in their proposals these aspects of the building block framework and their implications for interpreting and estimating the utilisation rate (which the service providers defined as 'the value of distributed imputation credits to investors who receive them' and which they labelled 'theta'). As stated above, we consider that to be consistent with the building block framework the utilisation rate should reflect the before-personal-tax and before-personal-costs value of imputation credits to investors. However, the service providers' interpretation does not appear to be consistent with this definition, and this is best seen with reference to the assessment in section </w:t>
      </w:r>
      <w:r>
        <w:fldChar w:fldCharType="begin"/>
      </w:r>
      <w:r>
        <w:instrText xml:space="preserve"> REF _Ref400971678 \r \h </w:instrText>
      </w:r>
      <w:r>
        <w:fldChar w:fldCharType="separate"/>
      </w:r>
      <w:r w:rsidR="00927273">
        <w:t>A.7.2</w:t>
      </w:r>
      <w:r>
        <w:fldChar w:fldCharType="end"/>
      </w:r>
      <w:r>
        <w:t xml:space="preserve"> of some of the factors that the service providers consider should be reflected in an estimate of 'theta'. </w:t>
      </w:r>
    </w:p>
    <w:p w:rsidR="001E32C9" w:rsidRDefault="001E32C9" w:rsidP="001E32C9">
      <w:pPr>
        <w:pStyle w:val="Heading9"/>
        <w:numPr>
          <w:ilvl w:val="6"/>
          <w:numId w:val="57"/>
        </w:numPr>
      </w:pPr>
      <w:bookmarkStart w:id="61" w:name="_Ref400971678"/>
      <w:r>
        <w:t>Factors affecting investors' valuation of imputation credits</w:t>
      </w:r>
      <w:bookmarkEnd w:id="61"/>
    </w:p>
    <w:p w:rsidR="001E32C9" w:rsidRDefault="001E32C9" w:rsidP="001E32C9">
      <w:pPr>
        <w:pStyle w:val="AERbodytext"/>
      </w:pPr>
      <w:r>
        <w:t>The service providers submitted that the equity ownership approach, and other measures of the utilisation or redemption of imputation credits</w:t>
      </w:r>
      <w:r w:rsidR="00C1472B">
        <w:t xml:space="preserve"> (such as tax statistics)</w:t>
      </w:r>
      <w:r>
        <w:t>, do not reflect a number of factors which affect investors' valuation of imputation credits.</w:t>
      </w:r>
      <w:r>
        <w:rPr>
          <w:rStyle w:val="FootnoteReference"/>
        </w:rPr>
        <w:footnoteReference w:id="154"/>
      </w:r>
      <w:r>
        <w:t xml:space="preserve"> In support of this, they presented </w:t>
      </w:r>
      <w:r w:rsidR="00AD3769">
        <w:fldChar w:fldCharType="begin"/>
      </w:r>
      <w:r w:rsidR="00AD3769">
        <w:instrText xml:space="preserve"> REF  _Ref402519265 \* Lower \h </w:instrText>
      </w:r>
      <w:r w:rsidR="00AD3769">
        <w:fldChar w:fldCharType="separate"/>
      </w:r>
      <w:r w:rsidR="00927273">
        <w:t xml:space="preserve">figure </w:t>
      </w:r>
      <w:r w:rsidR="00927273">
        <w:rPr>
          <w:noProof/>
        </w:rPr>
        <w:t>4</w:t>
      </w:r>
      <w:r w:rsidR="004C6F08">
        <w:t>.</w:t>
      </w:r>
      <w:r w:rsidR="00927273">
        <w:rPr>
          <w:noProof/>
        </w:rPr>
        <w:t>1</w:t>
      </w:r>
      <w:r w:rsidR="00AD3769">
        <w:fldChar w:fldCharType="end"/>
      </w:r>
      <w:r>
        <w:t xml:space="preserve"> to illustrate the effect of these factors.</w:t>
      </w:r>
    </w:p>
    <w:p w:rsidR="001E32C9" w:rsidRDefault="001E32C9" w:rsidP="001E32C9">
      <w:pPr>
        <w:pStyle w:val="Caption"/>
      </w:pPr>
      <w:bookmarkStart w:id="62" w:name="_Ref402519265"/>
      <w:r>
        <w:lastRenderedPageBreak/>
        <w:t xml:space="preserve">Figure </w:t>
      </w:r>
      <w:fldSimple w:instr=" STYLEREF 1 \s ">
        <w:r w:rsidR="00927273">
          <w:rPr>
            <w:noProof/>
          </w:rPr>
          <w:t>4</w:t>
        </w:r>
      </w:fldSimple>
      <w:r w:rsidR="00DC50AF">
        <w:noBreakHyphen/>
      </w:r>
      <w:fldSimple w:instr=" SEQ Figure \* ARABIC \s 1 ">
        <w:r w:rsidR="00927273">
          <w:rPr>
            <w:noProof/>
          </w:rPr>
          <w:t>1</w:t>
        </w:r>
      </w:fldSimple>
      <w:bookmarkEnd w:id="62"/>
      <w:r>
        <w:tab/>
        <w:t>Illustrative impact on value of imputation credits – numbers</w:t>
      </w:r>
    </w:p>
    <w:p w:rsidR="001E32C9" w:rsidRDefault="001E32C9" w:rsidP="001E32C9">
      <w:pPr>
        <w:pStyle w:val="AERtablesource"/>
      </w:pPr>
      <w:r w:rsidRPr="001E32C9">
        <w:rPr>
          <w:noProof/>
          <w:lang w:eastAsia="en-AU"/>
        </w:rPr>
        <w:drawing>
          <wp:inline distT="0" distB="0" distL="0" distR="0" wp14:anchorId="2F3314B6" wp14:editId="55AE533F">
            <wp:extent cx="5328000" cy="34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8000" cy="3481200"/>
                    </a:xfrm>
                    <a:prstGeom prst="rect">
                      <a:avLst/>
                    </a:prstGeom>
                    <a:noFill/>
                    <a:ln>
                      <a:noFill/>
                    </a:ln>
                  </pic:spPr>
                </pic:pic>
              </a:graphicData>
            </a:graphic>
          </wp:inline>
        </w:drawing>
      </w:r>
    </w:p>
    <w:p w:rsidR="001E32C9" w:rsidRPr="00515364" w:rsidRDefault="001E32C9" w:rsidP="001E32C9">
      <w:pPr>
        <w:pStyle w:val="AERtablesource"/>
      </w:pPr>
      <w:r>
        <w:t xml:space="preserve">Source: </w:t>
      </w:r>
      <w:r>
        <w:tab/>
        <w:t>Service providers' proposals.</w:t>
      </w:r>
    </w:p>
    <w:p w:rsidR="00C1472B" w:rsidRDefault="00C1472B" w:rsidP="001E32C9">
      <w:pPr>
        <w:pStyle w:val="AERbodytext"/>
      </w:pPr>
      <w:r>
        <w:t>This chart appears</w:t>
      </w:r>
      <w:r w:rsidR="005D3206">
        <w:t xml:space="preserve"> to be an attempt to reconcile the utilisation or redemption value of imputation credits with the estimates derived from SFG's dividend drop off study. This is because, after adjusting the face value of distributed credits for a number of factors, it results in a value of approximately 0.35, which is SFG's dividend drop off estimate.</w:t>
      </w:r>
    </w:p>
    <w:p w:rsidR="001E32C9" w:rsidRDefault="001E32C9" w:rsidP="001E32C9">
      <w:pPr>
        <w:pStyle w:val="AERbodytext"/>
      </w:pPr>
      <w:r>
        <w:t xml:space="preserve">We address each of these factors in turn below. In summary, we consider that such factors are either immaterial or should not be accounted for when estimating the properly defined utilisation rate. Accordingly, we consider that the evidence does not support the illustrative impact of some of these factors as indicated by </w:t>
      </w:r>
      <w:r w:rsidR="00AD3769">
        <w:fldChar w:fldCharType="begin"/>
      </w:r>
      <w:r w:rsidR="00AD3769">
        <w:instrText xml:space="preserve"> REF  _Ref402519265 \* Lower \h </w:instrText>
      </w:r>
      <w:r w:rsidR="00AD3769">
        <w:fldChar w:fldCharType="separate"/>
      </w:r>
      <w:r w:rsidR="00927273">
        <w:t xml:space="preserve">figure </w:t>
      </w:r>
      <w:r w:rsidR="00927273">
        <w:rPr>
          <w:noProof/>
        </w:rPr>
        <w:t>4</w:t>
      </w:r>
      <w:r w:rsidR="004C6F08">
        <w:t>.</w:t>
      </w:r>
      <w:r w:rsidR="00927273">
        <w:rPr>
          <w:noProof/>
        </w:rPr>
        <w:t>1</w:t>
      </w:r>
      <w:r w:rsidR="00AD3769">
        <w:fldChar w:fldCharType="end"/>
      </w:r>
      <w:r>
        <w:t>.</w:t>
      </w:r>
    </w:p>
    <w:p w:rsidR="001E32C9" w:rsidRDefault="001E32C9" w:rsidP="001E32C9">
      <w:pPr>
        <w:pStyle w:val="HeadingBoldBlue"/>
      </w:pPr>
      <w:r>
        <w:t>The 45-day holding rule</w:t>
      </w:r>
    </w:p>
    <w:p w:rsidR="001E32C9" w:rsidRDefault="001E32C9" w:rsidP="001E32C9">
      <w:pPr>
        <w:pStyle w:val="AERbodytext"/>
      </w:pPr>
      <w:r>
        <w:t>To be eligible to utilise imputation credits, an otherwise-eligible investor must have held the</w:t>
      </w:r>
      <w:r w:rsidRPr="0026243E">
        <w:t xml:space="preserve"> shares</w:t>
      </w:r>
      <w:r>
        <w:t xml:space="preserve"> that distributed </w:t>
      </w:r>
      <w:r w:rsidR="001F3F83">
        <w:t>the credits</w:t>
      </w:r>
      <w:r w:rsidRPr="0026243E">
        <w:t xml:space="preserve"> ‘at risk’ for at least 45 days (90 days for certain preference shares)</w:t>
      </w:r>
      <w:r>
        <w:t>.</w:t>
      </w:r>
      <w:r>
        <w:rPr>
          <w:rStyle w:val="FootnoteReference"/>
        </w:rPr>
        <w:footnoteReference w:id="155"/>
      </w:r>
      <w:r>
        <w:t xml:space="preserve"> However, this rule does not apply </w:t>
      </w:r>
      <w:r w:rsidRPr="00FD3209">
        <w:t xml:space="preserve">if </w:t>
      </w:r>
      <w:r>
        <w:t>the investor's</w:t>
      </w:r>
      <w:r w:rsidRPr="00FD3209">
        <w:t xml:space="preserve"> total credit entitlement is below $5,000</w:t>
      </w:r>
      <w:r>
        <w:t xml:space="preserve">. </w:t>
      </w:r>
    </w:p>
    <w:p w:rsidR="001E32C9" w:rsidRDefault="001E32C9" w:rsidP="001E32C9">
      <w:pPr>
        <w:pStyle w:val="AERbodytext"/>
      </w:pPr>
      <w:r>
        <w:t>The service providers stated:</w:t>
      </w:r>
      <w:r>
        <w:rPr>
          <w:rStyle w:val="FootnoteReference"/>
        </w:rPr>
        <w:footnoteReference w:id="156"/>
      </w:r>
    </w:p>
    <w:p w:rsidR="001E32C9" w:rsidRDefault="001E32C9" w:rsidP="001E32C9">
      <w:pPr>
        <w:pStyle w:val="AERquote"/>
      </w:pPr>
      <w:r>
        <w:t>It has been estimated that the 45-day rule has about a 5-10% impact on the redemption rate.</w:t>
      </w:r>
    </w:p>
    <w:p w:rsidR="001E32C9" w:rsidRDefault="001E32C9" w:rsidP="001E32C9">
      <w:pPr>
        <w:pStyle w:val="AERbodytext"/>
      </w:pPr>
      <w:r>
        <w:t>The source of this estimate is a 2010 paper by Handley. The relevant passage from this paper is:</w:t>
      </w:r>
      <w:r>
        <w:rPr>
          <w:rStyle w:val="FootnoteReference"/>
        </w:rPr>
        <w:footnoteReference w:id="157"/>
      </w:r>
    </w:p>
    <w:p w:rsidR="001E32C9" w:rsidRDefault="001E32C9" w:rsidP="001E32C9">
      <w:pPr>
        <w:pStyle w:val="AERquote"/>
      </w:pPr>
      <w:r w:rsidRPr="00E23E1D">
        <w:lastRenderedPageBreak/>
        <w:t xml:space="preserve">Post 1 July 2000, [Handley and </w:t>
      </w:r>
      <w:proofErr w:type="spellStart"/>
      <w:r w:rsidRPr="00E23E1D">
        <w:t>Mahesw</w:t>
      </w:r>
      <w:r>
        <w:t>aran</w:t>
      </w:r>
      <w:proofErr w:type="spellEnd"/>
      <w:r>
        <w:t xml:space="preserve">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 xml:space="preserve">[Handley and </w:t>
      </w:r>
      <w:proofErr w:type="spellStart"/>
      <w:r>
        <w:t>Maheswaran</w:t>
      </w:r>
      <w:proofErr w:type="spellEnd"/>
      <w:r>
        <w:t>]</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rsidR="005D3206">
        <w:t xml:space="preserve"> </w:t>
      </w:r>
      <w:r w:rsidRPr="00E23E1D">
        <w:t>5-10% impact on the utilisation rate.</w:t>
      </w:r>
    </w:p>
    <w:p w:rsidR="004D5B83" w:rsidRDefault="001E32C9" w:rsidP="001E32C9">
      <w:pPr>
        <w:pStyle w:val="AERbodytext"/>
      </w:pPr>
      <w:r>
        <w:t xml:space="preserve">Thus, the ultimate source of the estimate is Handley and </w:t>
      </w:r>
      <w:proofErr w:type="spellStart"/>
      <w:r>
        <w:t>Maheswaran's</w:t>
      </w:r>
      <w:proofErr w:type="spellEnd"/>
      <w:r>
        <w:t xml:space="preserve"> 2008 paper. However, it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indicated by the analysis conducted in Handley and </w:t>
      </w:r>
      <w:proofErr w:type="spellStart"/>
      <w:r w:rsidRPr="00E23E1D">
        <w:t>Maheswaran</w:t>
      </w:r>
      <w:proofErr w:type="spellEnd"/>
      <w:r w:rsidRPr="00E23E1D">
        <w:t xml:space="preserve">. Our interpretation of Handley’s intention is supported by the fact that in their paper Handley and </w:t>
      </w:r>
      <w:proofErr w:type="spellStart"/>
      <w:r w:rsidRPr="00E23E1D">
        <w:t>Ma</w:t>
      </w:r>
      <w:r>
        <w:t>heswaran</w:t>
      </w:r>
      <w:proofErr w:type="spellEnd"/>
      <w:r>
        <w:t xml:space="preserve"> consider the post-</w:t>
      </w:r>
      <w:r w:rsidRPr="00E23E1D">
        <w:t xml:space="preserve">2000 utilisation rate to be </w:t>
      </w:r>
      <w:r>
        <w:t>1.</w:t>
      </w:r>
      <w:r w:rsidRPr="00E23E1D">
        <w:t xml:space="preserve"> </w:t>
      </w:r>
      <w:r>
        <w:t>That</w:t>
      </w:r>
      <w:r w:rsidRPr="00E23E1D">
        <w:t xml:space="preserve"> is, we consider that if Handley and </w:t>
      </w:r>
      <w:proofErr w:type="spellStart"/>
      <w:r w:rsidRPr="00E23E1D">
        <w:t>Maheswaran</w:t>
      </w:r>
      <w:proofErr w:type="spellEnd"/>
      <w:r w:rsidRPr="00E23E1D">
        <w:t xml:space="preserve">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58"/>
      </w:r>
    </w:p>
    <w:p w:rsidR="001E32C9" w:rsidRDefault="005D3206" w:rsidP="001E32C9">
      <w:pPr>
        <w:pStyle w:val="AERbodytext"/>
      </w:pPr>
      <w:r>
        <w:t xml:space="preserve">It is also appears from the above quote that Handley and </w:t>
      </w:r>
      <w:proofErr w:type="spellStart"/>
      <w:r>
        <w:t>Maheswaran</w:t>
      </w:r>
      <w:proofErr w:type="spellEnd"/>
      <w:r>
        <w:t xml:space="preserve"> considered that, if anything, </w:t>
      </w:r>
      <w:r w:rsidR="004D5B83">
        <w:t>the</w:t>
      </w:r>
      <w:r w:rsidR="00065E24">
        <w:t xml:space="preserve"> 5 to </w:t>
      </w:r>
      <w:r>
        <w:t xml:space="preserve">10 per cent </w:t>
      </w:r>
      <w:r w:rsidR="004D5B83">
        <w:t xml:space="preserve">estimate </w:t>
      </w:r>
      <w:r>
        <w:t xml:space="preserve">would be an overestimate of the impact of the 45 day rule. This is because they attribute the full underutilisation </w:t>
      </w:r>
      <w:r w:rsidR="004D5B83">
        <w:t>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1E32C9" w:rsidRDefault="001E32C9" w:rsidP="001E32C9">
      <w:pPr>
        <w:pStyle w:val="AERbodytext"/>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59"/>
      </w:r>
      <w:r>
        <w:t xml:space="preserve"> We know that the amount of imputation credits attached to a dollar of fully franked dividends is $0.43 ($1 x 0.3/(1–0.3)).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927273">
        <w:t xml:space="preserve">Table </w:t>
      </w:r>
      <w:r w:rsidR="00927273">
        <w:rPr>
          <w:noProof/>
        </w:rPr>
        <w:t>4</w:t>
      </w:r>
      <w:r w:rsidR="004C6F08">
        <w:t>.</w:t>
      </w:r>
      <w:r w:rsidR="00927273">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00BF3A09">
        <w:rPr>
          <w:rStyle w:val="FootnoteReference"/>
        </w:rPr>
        <w:footnoteReference w:id="160"/>
      </w:r>
      <w:r>
        <w:t xml:space="preserve"> This suggests that the 45-day holding rule is not having a material effect.</w:t>
      </w:r>
    </w:p>
    <w:p w:rsidR="004C6F08" w:rsidRDefault="004C6F08" w:rsidP="001E32C9">
      <w:pPr>
        <w:pStyle w:val="AERbodytext"/>
      </w:pPr>
    </w:p>
    <w:p w:rsidR="001E32C9" w:rsidRDefault="001E32C9" w:rsidP="001E32C9">
      <w:pPr>
        <w:pStyle w:val="Caption"/>
      </w:pPr>
      <w:bookmarkStart w:id="63" w:name="_Ref401848641"/>
      <w:r>
        <w:lastRenderedPageBreak/>
        <w:t xml:space="preserve">Table </w:t>
      </w:r>
      <w:fldSimple w:instr=" STYLEREF 1 \s ">
        <w:r w:rsidR="00927273">
          <w:rPr>
            <w:noProof/>
          </w:rPr>
          <w:t>4</w:t>
        </w:r>
      </w:fldSimple>
      <w:r w:rsidR="00C20561">
        <w:noBreakHyphen/>
      </w:r>
      <w:fldSimple w:instr=" SEQ Table \* ARABIC \s 1 ">
        <w:r w:rsidR="00927273">
          <w:rPr>
            <w:noProof/>
          </w:rPr>
          <w:t>6</w:t>
        </w:r>
      </w:fldSimple>
      <w:bookmarkEnd w:id="63"/>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1E32C9" w:rsidTr="00175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1E32C9">
            <w:pPr>
              <w:pStyle w:val="AERbodytext"/>
            </w:pPr>
          </w:p>
        </w:tc>
        <w:tc>
          <w:tcPr>
            <w:tcW w:w="2712" w:type="dxa"/>
          </w:tcPr>
          <w:p w:rsidR="001E32C9"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1E32C9"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t>Superannuation funds</w:t>
            </w:r>
          </w:p>
        </w:tc>
      </w:tr>
      <w:tr w:rsidR="001E32C9" w:rsidTr="001752ED">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1E32C9">
            <w:pPr>
              <w:pStyle w:val="AERbodytext"/>
            </w:pPr>
            <w:r>
              <w:t>Fully franked dividends received</w:t>
            </w:r>
          </w:p>
        </w:tc>
        <w:tc>
          <w:tcPr>
            <w:tcW w:w="2712"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84.8</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rsidR="001E32C9" w:rsidRPr="005646B3" w:rsidRDefault="001E32C9" w:rsidP="001E32C9">
            <w:pPr>
              <w:pStyle w:val="AERbodytext"/>
              <w:rPr>
                <w:rStyle w:val="AERtextitalic"/>
              </w:rPr>
            </w:pPr>
            <w:r w:rsidRPr="005646B3">
              <w:rPr>
                <w:rStyle w:val="AERtextitalic"/>
              </w:rPr>
              <w:t>Implied imputation credits received</w:t>
            </w:r>
          </w:p>
        </w:tc>
        <w:tc>
          <w:tcPr>
            <w:tcW w:w="2712" w:type="dxa"/>
          </w:tcPr>
          <w:p w:rsidR="001E32C9" w:rsidRPr="005646B3" w:rsidRDefault="001E32C9" w:rsidP="001E32C9">
            <w:pPr>
              <w:pStyle w:val="AERbodytext"/>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1E32C9" w:rsidRPr="005646B3" w:rsidRDefault="001E32C9" w:rsidP="001E32C9">
            <w:pPr>
              <w:pStyle w:val="AERbodytext"/>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1E32C9" w:rsidTr="001752ED">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1E32C9">
            <w:pPr>
              <w:pStyle w:val="AERbodytext"/>
            </w:pPr>
            <w:r>
              <w:t>Imputation credits utilised</w:t>
            </w:r>
          </w:p>
        </w:tc>
        <w:tc>
          <w:tcPr>
            <w:tcW w:w="2712"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36.2</w:t>
            </w:r>
          </w:p>
        </w:tc>
      </w:tr>
    </w:tbl>
    <w:p w:rsidR="001E32C9" w:rsidRDefault="001E32C9" w:rsidP="001E32C9">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1E32C9" w:rsidRDefault="001E32C9" w:rsidP="001E32C9">
      <w:pPr>
        <w:pStyle w:val="AERbodytext"/>
      </w:pPr>
      <w:r>
        <w:t>Based on these considerations, we conclude that the 45-day holding rule does not appear to have a material effect on the utilisation rate.</w:t>
      </w:r>
    </w:p>
    <w:p w:rsidR="001E32C9" w:rsidRDefault="001E32C9" w:rsidP="001E32C9">
      <w:pPr>
        <w:pStyle w:val="HeadingBoldBlue"/>
      </w:pPr>
      <w:bookmarkStart w:id="64" w:name="_Ref400540858"/>
      <w:r>
        <w:t>Transactions costs</w:t>
      </w:r>
      <w:bookmarkEnd w:id="64"/>
    </w:p>
    <w:p w:rsidR="001E32C9" w:rsidRDefault="001E32C9" w:rsidP="001E32C9">
      <w:pPr>
        <w:pStyle w:val="AERbodytext"/>
      </w:pPr>
      <w:r>
        <w:t>The service providers submitted that the redemption of imputation credits may involve transactions costs, such as requirements to keep records and follow administrative processes.</w:t>
      </w:r>
      <w:r>
        <w:rPr>
          <w:rStyle w:val="FootnoteReference"/>
        </w:rPr>
        <w:footnoteReference w:id="161"/>
      </w:r>
      <w:r>
        <w:t xml:space="preserve"> The service providers also submitted that these transactions costs may dissuade some investors from redeeming (utilising) imputation credits.</w:t>
      </w:r>
    </w:p>
    <w:p w:rsidR="001E32C9" w:rsidRDefault="001E32C9" w:rsidP="001E32C9">
      <w:pPr>
        <w:pStyle w:val="AERbodytext"/>
      </w:pPr>
      <w:r>
        <w:t>We first note that the service providers' suggestion is slightly different to remarks made by SFG on this topic in its advice to the service providers. SFG stated:</w:t>
      </w:r>
      <w:r>
        <w:rPr>
          <w:rStyle w:val="FootnoteReference"/>
        </w:rPr>
        <w:footnoteReference w:id="162"/>
      </w:r>
    </w:p>
    <w:p w:rsidR="001E32C9" w:rsidRDefault="001E32C9" w:rsidP="001E32C9">
      <w:pPr>
        <w:pStyle w:val="AERquote"/>
      </w:pPr>
      <w:r w:rsidRPr="001D5018">
        <w:t>There are administrative costs involved in the redemption of imputation credits. The investor must maintain records of all credits that are received and redeem them by preparing the necessary schedules for the investor’s tax return. This involves time and expenses such as accountant fees. By contrast, when an investor buys shares, they provide bank account details and all dividends are automatically transferred into that account without any action required of the investor. That is, it is more costly to conver</w:t>
      </w:r>
      <w:r>
        <w:t>t imputation credits into value;</w:t>
      </w:r>
    </w:p>
    <w:p w:rsidR="001E32C9" w:rsidRDefault="001E32C9" w:rsidP="001E32C9">
      <w:pPr>
        <w:pStyle w:val="AERbodytext"/>
      </w:pPr>
      <w:r>
        <w:t>SFG did not suggest that transactions costs dissuade investors from redemption, and that it is for this reason they should be recognised when estimating the investors' valuation of imputation credits. Instead, SFG appeared to suggest that it is the transactions costs themselves that need to be accounted for. However, Handley advised that we specifically do not want to take account of these costs:</w:t>
      </w:r>
      <w:r>
        <w:rPr>
          <w:rStyle w:val="FootnoteReference"/>
        </w:rPr>
        <w:footnoteReference w:id="163"/>
      </w:r>
    </w:p>
    <w:p w:rsidR="001E32C9" w:rsidRDefault="001E32C9" w:rsidP="001E32C9">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1E32C9" w:rsidRDefault="001E32C9" w:rsidP="001E32C9">
      <w:pPr>
        <w:pStyle w:val="AERbodytext"/>
      </w:pPr>
      <w:r>
        <w:t>Returning to the service providers' submission, they provide no evidence to support their suggestion that transactions costs dissuade redemption. However, one can consider conceptually whether transactions costs are likely to dissuade a material number of investors from redeeming imputation credits. Our considerations on this are as follows:</w:t>
      </w:r>
    </w:p>
    <w:p w:rsidR="001E32C9" w:rsidRDefault="001E32C9" w:rsidP="001E32C9">
      <w:pPr>
        <w:pStyle w:val="AERbulletlistfirststyle"/>
      </w:pPr>
      <w:r>
        <w:lastRenderedPageBreak/>
        <w:t>When filling out a tax return, one is required to report the franked dividends received and the imputation credits that are eligible to be utilised.</w:t>
      </w:r>
      <w:r>
        <w:rPr>
          <w:rStyle w:val="FootnoteReference"/>
        </w:rPr>
        <w:footnoteReference w:id="164"/>
      </w:r>
    </w:p>
    <w:p w:rsidR="001E32C9" w:rsidRDefault="001E32C9" w:rsidP="001E32C9">
      <w:pPr>
        <w:pStyle w:val="AERbulletlistfirststyle"/>
      </w:pPr>
      <w:r>
        <w:t xml:space="preserve">Investors are already incurring the transactions costs associated with shareholding, and most would also be already incurring the transactions costs associated with completing a tax return. </w:t>
      </w:r>
      <w:r w:rsidR="004D5B83">
        <w:t xml:space="preserve">It does not appear that </w:t>
      </w:r>
      <w:r>
        <w:t>any costs that are incremental to these</w:t>
      </w:r>
      <w:r w:rsidR="004D5B83">
        <w:t>, if any,</w:t>
      </w:r>
      <w:r>
        <w:t xml:space="preserve"> and related specifically to redeeming imputation credits </w:t>
      </w:r>
      <w:r w:rsidR="004D5B83">
        <w:t>w</w:t>
      </w:r>
      <w:r>
        <w:t xml:space="preserve">ould be material enough to dissuade an investor from redemption. This applies particularly to professional </w:t>
      </w:r>
      <w:r w:rsidR="004D5B83">
        <w:t>organisations</w:t>
      </w:r>
      <w:r>
        <w:t xml:space="preserve">, such as charities and superannuation funds, which we expect would utilise all imputation credits as a matter of proper accounting. But we consider it true also of individual investors, particularly when innovations such as 'e-tax' and automatic pre-filling of tax returns </w:t>
      </w:r>
      <w:r w:rsidR="004D5B83">
        <w:t>would</w:t>
      </w:r>
      <w:r>
        <w:t xml:space="preserve"> reduce any incremental costs if they exist.</w:t>
      </w:r>
      <w:r>
        <w:rPr>
          <w:rStyle w:val="FootnoteReference"/>
        </w:rPr>
        <w:footnoteReference w:id="165"/>
      </w:r>
    </w:p>
    <w:p w:rsidR="001E32C9" w:rsidRDefault="001E32C9" w:rsidP="001E32C9">
      <w:pPr>
        <w:pStyle w:val="AERbodytext"/>
      </w:pPr>
      <w:r>
        <w:t>Based on these considerations, we conclude that transactions costs should not be adjusted for in estimating the utilisation rate. And even if an adjustment were to be made, it would have an immaterial effect on the utilisation rate.</w:t>
      </w:r>
    </w:p>
    <w:p w:rsidR="001E32C9" w:rsidRDefault="001E32C9" w:rsidP="001E32C9">
      <w:pPr>
        <w:pStyle w:val="HeadingBoldBlue"/>
      </w:pPr>
      <w:r>
        <w:t>Time value of money</w:t>
      </w:r>
    </w:p>
    <w:p w:rsidR="001E32C9" w:rsidRDefault="001E32C9" w:rsidP="001E32C9">
      <w:pPr>
        <w:pStyle w:val="AERbodytext"/>
      </w:pPr>
      <w:r>
        <w:t>The service providers submitted that the delay between the distribution of an imputation credit and the time at which it is redeemed may be expected to reduce an investor's valuation of the credit.</w:t>
      </w:r>
      <w:r>
        <w:rPr>
          <w:rStyle w:val="FootnoteReference"/>
        </w:rPr>
        <w:footnoteReference w:id="166"/>
      </w:r>
      <w:r>
        <w:t xml:space="preserve"> In response, we note that:</w:t>
      </w:r>
    </w:p>
    <w:p w:rsidR="001E32C9" w:rsidRDefault="001E32C9" w:rsidP="001E32C9">
      <w:pPr>
        <w:pStyle w:val="AERbulletlistfirststyle"/>
      </w:pPr>
      <w:r>
        <w:t>The rules do not indicate that the value of imputation credits should reflect the time delay between the distribution of an imputation credit and the time at which it is redeemed.</w:t>
      </w:r>
    </w:p>
    <w:p w:rsidR="001E32C9" w:rsidRDefault="001E32C9" w:rsidP="001E32C9">
      <w:pPr>
        <w:pStyle w:val="AERbulletlistfirststyle"/>
      </w:pPr>
      <w:r>
        <w:t>We are unaware of any evidence that indicates the average size of this time delay across all investors.</w:t>
      </w:r>
    </w:p>
    <w:p w:rsidR="001E32C9" w:rsidRDefault="001E32C9" w:rsidP="001E32C9">
      <w:pPr>
        <w:pStyle w:val="AERbulletlistfirststyle"/>
      </w:pPr>
      <w:r>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Interest rates on two year Commonwealth Government bonds over 2014 suggest that the appropriate discount rate would be likely less than 3 per cent. Therefore, the magnitude of the adjustment would be quite small.</w:t>
      </w:r>
    </w:p>
    <w:p w:rsidR="001E32C9" w:rsidRDefault="001E32C9" w:rsidP="001E32C9">
      <w:pPr>
        <w:pStyle w:val="AERbodytext"/>
      </w:pPr>
      <w:r>
        <w:t>Handley agreed with the immateriality of any required adjustment for time delay, and noted that time delay:</w:t>
      </w:r>
      <w:r>
        <w:rPr>
          <w:rStyle w:val="FootnoteReference"/>
        </w:rPr>
        <w:footnoteReference w:id="167"/>
      </w:r>
    </w:p>
    <w:p w:rsidR="001E32C9" w:rsidRDefault="001E32C9" w:rsidP="001E32C9">
      <w:pPr>
        <w:pStyle w:val="AERquote"/>
      </w:pPr>
      <w:r>
        <w:t>…is relevant to implied market value studies and tax statistics studies but should be immaterial in most cases and therefore require no adjustment.</w:t>
      </w:r>
    </w:p>
    <w:p w:rsidR="001E32C9" w:rsidRDefault="001E32C9" w:rsidP="001E32C9">
      <w:pPr>
        <w:pStyle w:val="AERbodytext"/>
      </w:pPr>
      <w:r>
        <w:lastRenderedPageBreak/>
        <w:t>Based on these considerations, we conclude that it is reasonable to not adjust any of our estimates of the utilisation rate for the time value of money where this effect is not already accounted for.</w:t>
      </w:r>
    </w:p>
    <w:p w:rsidR="001E32C9" w:rsidRDefault="001E32C9" w:rsidP="001E32C9">
      <w:pPr>
        <w:pStyle w:val="HeadingBoldBlue"/>
      </w:pPr>
      <w:r>
        <w:t>Portfolio effects</w:t>
      </w:r>
    </w:p>
    <w:p w:rsidR="001E32C9" w:rsidRPr="004453AC" w:rsidRDefault="001E32C9" w:rsidP="001E32C9">
      <w:pPr>
        <w:pStyle w:val="AERbodytext"/>
      </w:pPr>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68"/>
      </w:r>
      <w:r>
        <w:t xml:space="preserve"> SFG's advice to the service providers on this topic referred to the 'cost of losing diversification'.</w:t>
      </w:r>
      <w:r>
        <w:rPr>
          <w:rStyle w:val="FootnoteReference"/>
        </w:rPr>
        <w:footnoteReference w:id="169"/>
      </w:r>
      <w:r>
        <w:t xml:space="preserve"> However, as discussed in section </w:t>
      </w:r>
      <w:r>
        <w:fldChar w:fldCharType="begin"/>
      </w:r>
      <w:r>
        <w:instrText xml:space="preserve"> REF _Ref401272599 \r \h </w:instrText>
      </w:r>
      <w:r>
        <w:fldChar w:fldCharType="separate"/>
      </w:r>
      <w:r w:rsidR="00927273">
        <w:t>A.7</w:t>
      </w:r>
      <w:r>
        <w:fldChar w:fldCharType="end"/>
      </w:r>
      <w:r>
        <w:t>,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pre-personal-tax and pre-personal-costs basis. Therefore, we conclude that it is reasonable to not adjust any of our estimates of the utilisation rate for portfolio effects.</w:t>
      </w:r>
    </w:p>
    <w:p w:rsidR="001E32C9" w:rsidRDefault="001E32C9" w:rsidP="001E32C9">
      <w:pPr>
        <w:pStyle w:val="Heading8"/>
        <w:numPr>
          <w:ilvl w:val="5"/>
          <w:numId w:val="57"/>
        </w:numPr>
      </w:pPr>
      <w:r>
        <w:t>Estimation approach considerations</w:t>
      </w:r>
    </w:p>
    <w:p w:rsidR="001E32C9" w:rsidRDefault="001E32C9" w:rsidP="001E32C9">
      <w:pPr>
        <w:pStyle w:val="AERbodytext"/>
      </w:pPr>
      <w:r>
        <w:t xml:space="preserve">Our approach to determining the value of imputation credits involves two considerations that were not proposed in the </w:t>
      </w:r>
      <w:r w:rsidR="0033289B">
        <w:t>Guideline</w:t>
      </w:r>
      <w:r>
        <w:t>. We discuss each below.</w:t>
      </w:r>
    </w:p>
    <w:p w:rsidR="001E32C9" w:rsidRDefault="001E32C9" w:rsidP="001E32C9">
      <w:pPr>
        <w:pStyle w:val="Heading9"/>
        <w:numPr>
          <w:ilvl w:val="6"/>
          <w:numId w:val="57"/>
        </w:numPr>
      </w:pPr>
      <w:bookmarkStart w:id="65" w:name="_Ref401048631"/>
      <w:r>
        <w:t>Evidence from all equity or listed equity only</w:t>
      </w:r>
      <w:bookmarkEnd w:id="65"/>
    </w:p>
    <w:p w:rsidR="001E32C9" w:rsidRDefault="001E32C9" w:rsidP="001E32C9">
      <w:pPr>
        <w:pStyle w:val="AERbodytext"/>
      </w:pPr>
      <w:r>
        <w:t>When determining the value of imputation credits, we have regard to evidence from all companies and their investors (all equity) and just listed companies and their investors (listed equity only). There is no consensus on which should be the preferred approach.</w:t>
      </w:r>
    </w:p>
    <w:p w:rsidR="001E32C9" w:rsidRDefault="001E32C9" w:rsidP="001E32C9">
      <w:pPr>
        <w:pStyle w:val="AERbodytext"/>
      </w:pPr>
      <w:r>
        <w:t>We have had regard to experts' comments on the issue. Lally made some comments in support of considering all equity:</w:t>
      </w:r>
      <w:r>
        <w:rPr>
          <w:rStyle w:val="FootnoteReference"/>
        </w:rPr>
        <w:footnoteReference w:id="170"/>
      </w:r>
    </w:p>
    <w:p w:rsidR="001E32C9" w:rsidRDefault="001E32C9" w:rsidP="001E32C9">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1E32C9" w:rsidRDefault="001E32C9" w:rsidP="001E32C9">
      <w:pPr>
        <w:pStyle w:val="AERbodytext"/>
      </w:pPr>
      <w:r>
        <w:t>However, SFG and Handley suggested that evidence from listed equity is more relevant. SFG stated:</w:t>
      </w:r>
      <w:r>
        <w:rPr>
          <w:rStyle w:val="FootnoteReference"/>
        </w:rPr>
        <w:footnoteReference w:id="171"/>
      </w:r>
    </w:p>
    <w:p w:rsidR="001E32C9" w:rsidRDefault="001E32C9" w:rsidP="001E32C9">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1E32C9" w:rsidRDefault="001E32C9" w:rsidP="001E32C9">
      <w:pPr>
        <w:pStyle w:val="AERbodytext"/>
      </w:pPr>
      <w:r>
        <w:t>And Handley stated:</w:t>
      </w:r>
      <w:r>
        <w:rPr>
          <w:rStyle w:val="FootnoteReference"/>
        </w:rPr>
        <w:footnoteReference w:id="172"/>
      </w:r>
    </w:p>
    <w:p w:rsidR="001E32C9" w:rsidRPr="00F4415A" w:rsidRDefault="001E32C9" w:rsidP="001E32C9">
      <w:pPr>
        <w:pStyle w:val="AERquote"/>
      </w:pPr>
      <w:r w:rsidRPr="00D3139D">
        <w:lastRenderedPageBreak/>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1E32C9" w:rsidRDefault="001E32C9" w:rsidP="001E32C9">
      <w:pPr>
        <w:pStyle w:val="Heading9"/>
        <w:numPr>
          <w:ilvl w:val="6"/>
          <w:numId w:val="57"/>
        </w:numPr>
      </w:pPr>
      <w:bookmarkStart w:id="66" w:name="_Ref403481194"/>
      <w:r>
        <w:t>Relationship between the distribution rate and the utilisation rate</w:t>
      </w:r>
      <w:bookmarkEnd w:id="66"/>
    </w:p>
    <w:p w:rsidR="001E32C9" w:rsidRPr="007467FD" w:rsidRDefault="001E32C9" w:rsidP="001E32C9">
      <w:pPr>
        <w:pStyle w:val="AERbodytext"/>
      </w:pPr>
      <w:r w:rsidRPr="007467FD">
        <w:t xml:space="preserve">In the </w:t>
      </w:r>
      <w:r w:rsidR="0033289B">
        <w:t>Guideline</w:t>
      </w:r>
      <w:r w:rsidRPr="007467FD">
        <w:t xml:space="preserve">, we did not recognise the relationship between definitions and estimates of the distribution rate and the utilisation rate. A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1E32C9" w:rsidRPr="007467FD" w:rsidRDefault="001E32C9" w:rsidP="001E32C9">
      <w:pPr>
        <w:pStyle w:val="AERbodytext"/>
      </w:pPr>
      <w:r w:rsidRPr="007467FD">
        <w:t>We consider that this relationship should be recognised when determining estimates of the value of imputation credits. We therefore consider that estimates of the utilisation rate determined with regard to investors in listed equity only should be paired with estimates of the distribution rate that are also determined with regard to listed equity only. Similarly, estimates of the utilisation rate determined with regard to all equity should be paired with estimates of the distribution rate that are also determined with all equity.</w:t>
      </w:r>
    </w:p>
    <w:p w:rsidR="001E32C9" w:rsidRDefault="001E32C9" w:rsidP="001E32C9">
      <w:pPr>
        <w:pStyle w:val="Heading8"/>
        <w:numPr>
          <w:ilvl w:val="5"/>
          <w:numId w:val="57"/>
        </w:numPr>
      </w:pPr>
      <w:bookmarkStart w:id="67" w:name="_Ref401133206"/>
      <w:r>
        <w:t>Estimating the distribution rate</w:t>
      </w:r>
      <w:bookmarkEnd w:id="67"/>
    </w:p>
    <w:p w:rsidR="001E32C9" w:rsidRDefault="001E32C9" w:rsidP="001E32C9">
      <w:pPr>
        <w:pStyle w:val="AERbodytext"/>
      </w:pPr>
      <w:r>
        <w:t xml:space="preserve">We consider that the distribution rate is the proportion of imputation credits generated by the benchmark efficient entity that is distributed to investors. We set out our position on the distribution rate in section </w:t>
      </w:r>
      <w:r w:rsidR="00E26BBD">
        <w:fldChar w:fldCharType="begin"/>
      </w:r>
      <w:r w:rsidR="00E26BBD">
        <w:instrText xml:space="preserve"> REF _Ref403482746 \r \h </w:instrText>
      </w:r>
      <w:r w:rsidR="00E26BBD">
        <w:fldChar w:fldCharType="separate"/>
      </w:r>
      <w:r w:rsidR="00927273">
        <w:t>4.4.1</w:t>
      </w:r>
      <w:r w:rsidR="00E26BBD">
        <w:fldChar w:fldCharType="end"/>
      </w:r>
      <w:r>
        <w:t xml:space="preserve"> of attachment</w:t>
      </w:r>
      <w:r w:rsidR="0051580D">
        <w:t xml:space="preserve"> 4</w:t>
      </w:r>
      <w:r>
        <w:t xml:space="preserve">. Consistent with the </w:t>
      </w:r>
      <w:r w:rsidR="0033289B">
        <w:t>Guideline</w:t>
      </w:r>
      <w:r>
        <w:t>,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73"/>
      </w:r>
      <w:r>
        <w:t xml:space="preserve"> Hathaway found a similar estimate for the period 2004 to 2011.</w:t>
      </w:r>
      <w:r>
        <w:rPr>
          <w:rStyle w:val="FootnoteReference"/>
        </w:rPr>
        <w:footnoteReference w:id="174"/>
      </w:r>
      <w:r>
        <w:t xml:space="preserve"> Also using this approach, Handley estimated a distribution rate across listed equity only of 0.8 for the period 1987 to 2011.</w:t>
      </w:r>
      <w:r>
        <w:rPr>
          <w:rStyle w:val="FootnoteReference"/>
        </w:rPr>
        <w:footnoteReference w:id="175"/>
      </w:r>
    </w:p>
    <w:p w:rsidR="001E32C9" w:rsidRPr="00AA0E3C" w:rsidRDefault="001E32C9" w:rsidP="001E32C9">
      <w:pPr>
        <w:pStyle w:val="AERbodytext"/>
      </w:pPr>
      <w:r>
        <w:t>In this section we describe the cumulative payout ratio approach and alternative approaches to estimating the distribution rate.</w:t>
      </w:r>
    </w:p>
    <w:p w:rsidR="001E32C9" w:rsidRDefault="001E32C9" w:rsidP="001E32C9">
      <w:pPr>
        <w:pStyle w:val="Heading9"/>
        <w:numPr>
          <w:ilvl w:val="6"/>
          <w:numId w:val="57"/>
        </w:numPr>
      </w:pPr>
      <w:bookmarkStart w:id="68" w:name="_Ref401156644"/>
      <w:r>
        <w:t>The cumulative payout ratio approach</w:t>
      </w:r>
      <w:bookmarkEnd w:id="68"/>
    </w:p>
    <w:p w:rsidR="001E32C9" w:rsidRDefault="001E32C9" w:rsidP="001E32C9">
      <w:pPr>
        <w:pStyle w:val="AERbodytext"/>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1E32C9" w:rsidRDefault="001E32C9" w:rsidP="001E32C9">
      <w:pPr>
        <w:pStyle w:val="AERbodytext"/>
      </w:pPr>
      <w:r>
        <w:lastRenderedPageBreak/>
        <w:t>A limitation of this approach is that factors other than the distribution of imputation credits can lead to a decrease in aggregate franking account balances.</w:t>
      </w:r>
      <w:r>
        <w:rPr>
          <w:rStyle w:val="FootnoteReference"/>
        </w:rPr>
        <w:footnoteReference w:id="176"/>
      </w:r>
      <w:r>
        <w:t xml:space="preserve"> However, we are unaware of the materiality of these factors. Moreover, as discussed in the next section:</w:t>
      </w:r>
    </w:p>
    <w:p w:rsidR="001E32C9" w:rsidRDefault="001E32C9" w:rsidP="001E32C9">
      <w:pPr>
        <w:pStyle w:val="AERbulletlistfirststyle"/>
      </w:pPr>
      <w:r w:rsidRPr="009C59D1">
        <w:t>Hathaway and NERA each</w:t>
      </w:r>
      <w:r>
        <w:t xml:space="preserve"> preferred this approach to an approach involving data on franked dividends, and</w:t>
      </w:r>
    </w:p>
    <w:p w:rsidR="001E32C9" w:rsidRDefault="001E32C9" w:rsidP="001E32C9">
      <w:pPr>
        <w:pStyle w:val="AERbulletlistfirststyle"/>
      </w:pPr>
      <w:r>
        <w:t>an estimate of the distribution rate across listed equity only using this approach is broadly reinforced by evidence from the financial statements of the largest listed companies.</w:t>
      </w:r>
    </w:p>
    <w:p w:rsidR="001E32C9" w:rsidRDefault="001E32C9" w:rsidP="001E32C9">
      <w:pPr>
        <w:pStyle w:val="Heading9"/>
        <w:numPr>
          <w:ilvl w:val="6"/>
          <w:numId w:val="57"/>
        </w:numPr>
      </w:pPr>
      <w:r>
        <w:t>Alternative approaches</w:t>
      </w:r>
    </w:p>
    <w:p w:rsidR="001E32C9" w:rsidRDefault="001E32C9" w:rsidP="001E32C9">
      <w:pPr>
        <w:pStyle w:val="AERbodytext"/>
      </w:pPr>
      <w:r>
        <w:t>There are at least two alternative approaches to estimating the distribution rate:</w:t>
      </w:r>
    </w:p>
    <w:p w:rsidR="001E32C9" w:rsidRPr="00296C23" w:rsidRDefault="001E32C9" w:rsidP="001E32C9">
      <w:pPr>
        <w:pStyle w:val="AERbulletlistfirststyle"/>
      </w:pPr>
      <w:r w:rsidRPr="00296C23">
        <w:t>Hathaway and NERA each estimate</w:t>
      </w:r>
      <w:r>
        <w:t>d</w:t>
      </w:r>
      <w:r w:rsidRPr="00296C23">
        <w:t xml:space="preserve"> a distribution rate of around 0.5 using ATO statistics on the franked dividends distributed by companies as reported in their tax returns.</w:t>
      </w:r>
      <w:r w:rsidRPr="00296C23">
        <w:rPr>
          <w:rStyle w:val="FootnoteReference"/>
        </w:rPr>
        <w:footnoteReference w:id="177"/>
      </w:r>
      <w:r w:rsidRPr="00296C23">
        <w:t xml:space="preserve"> However, neither advocates the use of this estimate. NERA consider</w:t>
      </w:r>
      <w:r>
        <w:t>ed</w:t>
      </w:r>
      <w:r w:rsidRPr="00296C23">
        <w:t>:</w:t>
      </w:r>
      <w:r w:rsidRPr="00296C23">
        <w:rPr>
          <w:rStyle w:val="FootnoteReference"/>
        </w:rPr>
        <w:footnoteReference w:id="178"/>
      </w:r>
    </w:p>
    <w:p w:rsidR="001E32C9" w:rsidRDefault="001E32C9" w:rsidP="001E32C9">
      <w:pPr>
        <w:pStyle w:val="AERquote"/>
      </w:pPr>
      <w:r w:rsidRPr="000B7792">
        <w:t>In our opinion, the cumulative payout ratio is the most reliable estimate that is least likely to be affected by potential distortions in the underlying data set.</w:t>
      </w:r>
      <w:r>
        <w:t xml:space="preserve"> </w:t>
      </w:r>
    </w:p>
    <w:p w:rsidR="001E32C9" w:rsidRPr="001E32C9" w:rsidRDefault="001E32C9" w:rsidP="001E32C9">
      <w:pPr>
        <w:pStyle w:val="AERbulletlistfirststyle"/>
      </w:pPr>
      <w:r>
        <w:t>And Hathaway consider</w:t>
      </w:r>
      <w:r w:rsidRPr="001E32C9">
        <w:t>ed:</w:t>
      </w:r>
      <w:r w:rsidRPr="001E32C9">
        <w:rPr>
          <w:rStyle w:val="FootnoteReference"/>
        </w:rPr>
        <w:footnoteReference w:id="179"/>
      </w:r>
    </w:p>
    <w:p w:rsidR="001E32C9" w:rsidRDefault="001E32C9" w:rsidP="001E32C9">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1E32C9" w:rsidRDefault="001E32C9" w:rsidP="001E32C9">
      <w:pPr>
        <w:pStyle w:val="AERbulletlistfirststyle"/>
      </w:pPr>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sidR="00F147F5">
        <w:rPr>
          <w:rStyle w:val="FootnoteReference"/>
        </w:rPr>
        <w:footnoteReference w:id="180"/>
      </w:r>
      <w:r w:rsidRPr="00296C23">
        <w:t xml:space="preserve"> We consider that this broadly reinforces </w:t>
      </w:r>
      <w:r>
        <w:t>Handley's</w:t>
      </w:r>
      <w:r w:rsidRPr="00296C23">
        <w:t xml:space="preserve"> cumulative payout ratio estimate across listed equity </w:t>
      </w:r>
      <w:r>
        <w:t xml:space="preserve">only </w:t>
      </w:r>
      <w:r w:rsidRPr="00296C23">
        <w:t>of 0.8.</w:t>
      </w:r>
    </w:p>
    <w:p w:rsidR="001E32C9" w:rsidRDefault="001E32C9" w:rsidP="001E32C9">
      <w:pPr>
        <w:pStyle w:val="Heading8"/>
        <w:numPr>
          <w:ilvl w:val="5"/>
          <w:numId w:val="57"/>
        </w:numPr>
      </w:pPr>
      <w:bookmarkStart w:id="69" w:name="_Ref403481535"/>
      <w:r>
        <w:t>Application of rate of return criteria to evidence on the utilisation rate</w:t>
      </w:r>
      <w:bookmarkEnd w:id="69"/>
    </w:p>
    <w:p w:rsidR="001E32C9" w:rsidRDefault="001E32C9" w:rsidP="001E32C9">
      <w:pPr>
        <w:pStyle w:val="AERbodytext"/>
      </w:pPr>
      <w:r>
        <w:t xml:space="preserve">Our main assessment of the various approaches to estimating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with supporting evidence provided in this appendix. However, we have also considered these approaches and the evidence they employ against </w:t>
      </w:r>
      <w:r w:rsidRPr="0073373B">
        <w:t>the criteria used to assess evidence on the allowed rate of return</w:t>
      </w:r>
      <w:r>
        <w:t xml:space="preserve"> (</w:t>
      </w:r>
      <w:r w:rsidR="00AD3769">
        <w:fldChar w:fldCharType="begin"/>
      </w:r>
      <w:r w:rsidR="00AD3769">
        <w:instrText xml:space="preserve"> REF  _Ref402542034 \* Lower \h </w:instrText>
      </w:r>
      <w:r w:rsidR="00AD3769">
        <w:fldChar w:fldCharType="separate"/>
      </w:r>
      <w:r w:rsidR="00927273">
        <w:t xml:space="preserve">table </w:t>
      </w:r>
      <w:r w:rsidR="00927273">
        <w:rPr>
          <w:noProof/>
        </w:rPr>
        <w:t>4</w:t>
      </w:r>
      <w:r w:rsidR="004C6F08">
        <w:t>.</w:t>
      </w:r>
      <w:r w:rsidR="00927273">
        <w:rPr>
          <w:noProof/>
        </w:rPr>
        <w:t>7</w:t>
      </w:r>
      <w:r w:rsidR="00AD3769">
        <w:fldChar w:fldCharType="end"/>
      </w:r>
      <w:r>
        <w:t>)</w:t>
      </w:r>
      <w:r w:rsidRPr="0073373B">
        <w:t>.</w:t>
      </w:r>
      <w:r>
        <w:t xml:space="preserve"> Assessment against these criteria broadly supports our main assessment of the approaches.</w:t>
      </w:r>
    </w:p>
    <w:p w:rsidR="001E32C9" w:rsidRDefault="001E32C9" w:rsidP="001E32C9">
      <w:pPr>
        <w:pStyle w:val="AERbodytext"/>
        <w:sectPr w:rsidR="001E32C9" w:rsidSect="00BB2594">
          <w:footerReference w:type="even" r:id="rId14"/>
          <w:footerReference w:type="default" r:id="rId15"/>
          <w:pgSz w:w="11906" w:h="16838"/>
          <w:pgMar w:top="1440" w:right="1440" w:bottom="1440" w:left="1440" w:header="708" w:footer="708" w:gutter="0"/>
          <w:pgNumType w:chapStyle="1"/>
          <w:cols w:space="708"/>
          <w:docGrid w:linePitch="360"/>
        </w:sectPr>
      </w:pPr>
    </w:p>
    <w:p w:rsidR="001E32C9" w:rsidRDefault="001E32C9" w:rsidP="001E32C9">
      <w:pPr>
        <w:pStyle w:val="Caption"/>
      </w:pPr>
      <w:bookmarkStart w:id="70" w:name="_Ref402542034"/>
      <w:r>
        <w:lastRenderedPageBreak/>
        <w:t xml:space="preserve">Table </w:t>
      </w:r>
      <w:fldSimple w:instr=" STYLEREF 1 \s ">
        <w:r w:rsidR="00927273">
          <w:rPr>
            <w:noProof/>
          </w:rPr>
          <w:t>4</w:t>
        </w:r>
      </w:fldSimple>
      <w:r w:rsidR="00C20561">
        <w:noBreakHyphen/>
      </w:r>
      <w:fldSimple w:instr=" SEQ Table \* ARABIC \s 1 ">
        <w:r w:rsidR="00927273">
          <w:rPr>
            <w:noProof/>
          </w:rPr>
          <w:t>7</w:t>
        </w:r>
      </w:fldSimple>
      <w:bookmarkEnd w:id="70"/>
      <w:r>
        <w:tab/>
      </w:r>
      <w:r w:rsidRPr="000E72CB">
        <w:t>Application of rate of return criteria to evidence on the utilisation rate</w:t>
      </w:r>
    </w:p>
    <w:tbl>
      <w:tblPr>
        <w:tblStyle w:val="AERtable-text"/>
        <w:tblpPr w:leftFromText="180" w:rightFromText="180" w:vertAnchor="page" w:horzAnchor="margin" w:tblpY="2029"/>
        <w:tblW w:w="0" w:type="auto"/>
        <w:tblLayout w:type="fixed"/>
        <w:tblLook w:val="04A0" w:firstRow="1" w:lastRow="0" w:firstColumn="1" w:lastColumn="0" w:noHBand="0" w:noVBand="1"/>
      </w:tblPr>
      <w:tblGrid>
        <w:gridCol w:w="3936"/>
        <w:gridCol w:w="3140"/>
        <w:gridCol w:w="3238"/>
        <w:gridCol w:w="3838"/>
      </w:tblGrid>
      <w:tr w:rsidR="001E32C9" w:rsidTr="001752ED">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1E32C9" w:rsidRPr="001E32C9" w:rsidRDefault="001E32C9" w:rsidP="001E32C9">
            <w:pPr>
              <w:pStyle w:val="AERtabletextleft"/>
            </w:pPr>
            <w:r>
              <w:t>Criteria</w:t>
            </w:r>
            <w:r w:rsidRPr="001E32C9">
              <w:rPr>
                <w:rStyle w:val="FootnoteReference"/>
              </w:rPr>
              <w:t>(a)</w:t>
            </w:r>
          </w:p>
        </w:tc>
        <w:tc>
          <w:tcPr>
            <w:tcW w:w="3140" w:type="dxa"/>
          </w:tcPr>
          <w:p w:rsidR="001E32C9" w:rsidRPr="001E32C9" w:rsidRDefault="001E32C9" w:rsidP="001E32C9">
            <w:pPr>
              <w:pStyle w:val="AERtabletextleft"/>
            </w:pPr>
            <w:r>
              <w:t>Equity ownership approach</w:t>
            </w:r>
          </w:p>
        </w:tc>
        <w:tc>
          <w:tcPr>
            <w:tcW w:w="3238" w:type="dxa"/>
          </w:tcPr>
          <w:p w:rsidR="001E32C9" w:rsidRPr="001E32C9" w:rsidRDefault="001E32C9" w:rsidP="001E32C9">
            <w:pPr>
              <w:pStyle w:val="AERtabletextleft"/>
            </w:pPr>
            <w:r>
              <w:t>Tax statistics</w:t>
            </w:r>
          </w:p>
        </w:tc>
        <w:tc>
          <w:tcPr>
            <w:tcW w:w="3838" w:type="dxa"/>
          </w:tcPr>
          <w:p w:rsidR="001E32C9" w:rsidRPr="001E32C9" w:rsidRDefault="001E32C9" w:rsidP="001E32C9">
            <w:pPr>
              <w:pStyle w:val="AERtabletextleft"/>
            </w:pPr>
            <w:r>
              <w:t>Implied market value studies</w:t>
            </w:r>
          </w:p>
        </w:tc>
      </w:tr>
      <w:tr w:rsidR="001E32C9" w:rsidTr="001752ED">
        <w:trPr>
          <w:cantSplit/>
        </w:trPr>
        <w:tc>
          <w:tcPr>
            <w:tcW w:w="3936" w:type="dxa"/>
          </w:tcPr>
          <w:p w:rsidR="001E32C9" w:rsidRPr="001E32C9" w:rsidRDefault="001E32C9" w:rsidP="001E32C9">
            <w:pPr>
              <w:pStyle w:val="AERtabletextleft"/>
            </w:pPr>
            <w:r>
              <w:t>W</w:t>
            </w:r>
            <w:r w:rsidRPr="001E32C9">
              <w:t xml:space="preserve">here applicable, reflective of economic and finance principles and market information. </w:t>
            </w:r>
          </w:p>
          <w:p w:rsidR="001E32C9" w:rsidRPr="001E32C9" w:rsidRDefault="001F3F83" w:rsidP="001E32C9">
            <w:pPr>
              <w:pStyle w:val="AERtabletextleft"/>
            </w:pPr>
            <w:r>
              <w:t xml:space="preserve">- </w:t>
            </w:r>
            <w:r w:rsidR="001E32C9" w:rsidRPr="00760BFA">
              <w:t>Estimation methods and financial models are consistent with well accepted economic and finance principles and informed by sound empirical analysis and robust data</w:t>
            </w:r>
            <w:r w:rsidR="001E32C9" w:rsidRPr="001E32C9">
              <w:t>.</w:t>
            </w:r>
          </w:p>
        </w:tc>
        <w:tc>
          <w:tcPr>
            <w:tcW w:w="3140" w:type="dxa"/>
          </w:tcPr>
          <w:p w:rsidR="001E32C9" w:rsidRPr="001E32C9" w:rsidRDefault="001E32C9" w:rsidP="001E32C9">
            <w:pPr>
              <w:pStyle w:val="AERtabletextleft"/>
            </w:pPr>
            <w:r>
              <w:t xml:space="preserve">Accords with </w:t>
            </w:r>
            <w:proofErr w:type="spellStart"/>
            <w:r>
              <w:t>Monkhouse</w:t>
            </w:r>
            <w:proofErr w:type="spellEnd"/>
            <w:r>
              <w:t xml:space="preserve"> framework and principle of investor rationality (e.g. eligible investors expected to utilise credits to which they are entitled).</w:t>
            </w:r>
          </w:p>
          <w:p w:rsidR="001E32C9" w:rsidRPr="001E32C9" w:rsidRDefault="001E32C9" w:rsidP="001E32C9">
            <w:pPr>
              <w:pStyle w:val="AERtabletextleft"/>
            </w:pPr>
            <w:r>
              <w:t>Analysis is straightforward and sound. Data is from credible source (ABS).</w:t>
            </w:r>
          </w:p>
        </w:tc>
        <w:tc>
          <w:tcPr>
            <w:tcW w:w="3238" w:type="dxa"/>
          </w:tcPr>
          <w:p w:rsidR="001E32C9" w:rsidRPr="001E32C9" w:rsidRDefault="001E32C9" w:rsidP="001E32C9">
            <w:pPr>
              <w:pStyle w:val="AERtabletextleft"/>
            </w:pPr>
            <w:r>
              <w:t>Market information on the amount of imputation credits utilised.</w:t>
            </w:r>
          </w:p>
          <w:p w:rsidR="001E32C9" w:rsidRPr="001E32C9" w:rsidRDefault="001E32C9" w:rsidP="001E32C9">
            <w:pPr>
              <w:pStyle w:val="AERtabletextleft"/>
            </w:pPr>
            <w:r>
              <w:t xml:space="preserve">Analysis is straightforward and sound. Data is from credible source (ATO), </w:t>
            </w:r>
            <w:r w:rsidRPr="001E32C9">
              <w:t>but some data concerns have been identified.</w:t>
            </w:r>
          </w:p>
        </w:tc>
        <w:tc>
          <w:tcPr>
            <w:tcW w:w="3838" w:type="dxa"/>
          </w:tcPr>
          <w:p w:rsidR="001E32C9" w:rsidRPr="001E32C9" w:rsidRDefault="001E32C9" w:rsidP="001E32C9">
            <w:pPr>
              <w:pStyle w:val="AERtabletextleft"/>
            </w:pPr>
            <w:r>
              <w:t xml:space="preserve">Mainly based on the principle </w:t>
            </w:r>
            <w:r w:rsidR="009E0CC7">
              <w:t xml:space="preserve">that share prices reflect the </w:t>
            </w:r>
            <w:r>
              <w:t xml:space="preserve">present value </w:t>
            </w:r>
            <w:r w:rsidR="009E0CC7">
              <w:t xml:space="preserve">of future dividends (and imputation credits) </w:t>
            </w:r>
            <w:r>
              <w:t>and 'no arbitrage'.</w:t>
            </w:r>
          </w:p>
          <w:p w:rsidR="001E32C9" w:rsidRPr="001E32C9" w:rsidRDefault="001E32C9" w:rsidP="001E32C9">
            <w:pPr>
              <w:pStyle w:val="AERtabletextleft"/>
            </w:pPr>
            <w:r>
              <w:t>Varying opinions on the soundness of analysis across studies. Underlying data is typically from credible sources (e.g. Bloomberg, ASX).</w:t>
            </w:r>
          </w:p>
        </w:tc>
      </w:tr>
      <w:tr w:rsidR="001E32C9" w:rsidTr="001752ED">
        <w:trPr>
          <w:cnfStyle w:val="000000010000" w:firstRow="0" w:lastRow="0" w:firstColumn="0" w:lastColumn="0" w:oddVBand="0" w:evenVBand="0" w:oddHBand="0" w:evenHBand="1" w:firstRowFirstColumn="0" w:firstRowLastColumn="0" w:lastRowFirstColumn="0" w:lastRowLastColumn="0"/>
          <w:cantSplit/>
        </w:trPr>
        <w:tc>
          <w:tcPr>
            <w:tcW w:w="3936" w:type="dxa"/>
          </w:tcPr>
          <w:p w:rsidR="001E32C9" w:rsidRPr="001E32C9" w:rsidRDefault="001E32C9" w:rsidP="001E32C9">
            <w:pPr>
              <w:pStyle w:val="AERtabletextleft"/>
            </w:pPr>
            <w:r>
              <w:t xml:space="preserve">Fit for purpose. </w:t>
            </w:r>
          </w:p>
          <w:p w:rsidR="001E32C9" w:rsidRPr="001E32C9" w:rsidRDefault="001F3F83" w:rsidP="001E32C9">
            <w:pPr>
              <w:pStyle w:val="AERtabletextleft"/>
            </w:pPr>
            <w:r>
              <w:t xml:space="preserve">- </w:t>
            </w:r>
            <w:r w:rsidR="001E32C9">
              <w:t xml:space="preserve">The </w:t>
            </w:r>
            <w:r w:rsidR="001E32C9" w:rsidRPr="001E32C9">
              <w:t xml:space="preserve">use of estimation methods, financial models, market data and other evidence should be consistent with the original purpose for which it was compiled and have regard to the limitations of that purpose. </w:t>
            </w:r>
          </w:p>
          <w:p w:rsidR="001E32C9" w:rsidRPr="001E32C9" w:rsidRDefault="001F3F83" w:rsidP="001E32C9">
            <w:pPr>
              <w:pStyle w:val="AERtabletextleft"/>
            </w:pPr>
            <w:r>
              <w:t xml:space="preserve">- </w:t>
            </w:r>
            <w:r w:rsidR="001E32C9">
              <w:t>P</w:t>
            </w:r>
            <w:r w:rsidR="001E32C9" w:rsidRPr="001E32C9">
              <w:t>romote simple over complex approaches where appropriate.</w:t>
            </w:r>
          </w:p>
        </w:tc>
        <w:tc>
          <w:tcPr>
            <w:tcW w:w="3140" w:type="dxa"/>
          </w:tcPr>
          <w:p w:rsidR="001E32C9" w:rsidRPr="001E32C9" w:rsidRDefault="001E32C9" w:rsidP="001E32C9">
            <w:pPr>
              <w:pStyle w:val="AERtabletextleft"/>
            </w:pPr>
            <w:r>
              <w:t>ABS data used to estimate the domestic ownership share of Australian equity, which is consistent with its purpose. Approach is simple.</w:t>
            </w:r>
          </w:p>
        </w:tc>
        <w:tc>
          <w:tcPr>
            <w:tcW w:w="3238" w:type="dxa"/>
          </w:tcPr>
          <w:p w:rsidR="001E32C9" w:rsidRPr="001E32C9" w:rsidRDefault="001E32C9" w:rsidP="001E32C9">
            <w:pPr>
              <w:pStyle w:val="AERtabletextleft"/>
            </w:pPr>
            <w:r>
              <w:t>ATO statistics used to observe the reported amount of imputation credits utilised by investors, which is consistent with their purpose. Approach is simple.</w:t>
            </w:r>
          </w:p>
        </w:tc>
        <w:tc>
          <w:tcPr>
            <w:tcW w:w="3838" w:type="dxa"/>
          </w:tcPr>
          <w:p w:rsidR="001E32C9" w:rsidRPr="001E32C9" w:rsidRDefault="001E32C9" w:rsidP="001E32C9">
            <w:pPr>
              <w:pStyle w:val="AERtabletextleft"/>
            </w:pPr>
            <w:r>
              <w:t xml:space="preserve">Some studies undertaken for the specific purpose of estimating the utilisation rate for regulatory purposes. Results of some studies need to be interpreted carefully to be consistent with the regulatory framework. Studies can </w:t>
            </w:r>
            <w:r w:rsidRPr="001E32C9">
              <w:t>employ complex and sometimes problematic estimation methodologies.</w:t>
            </w:r>
          </w:p>
        </w:tc>
      </w:tr>
      <w:tr w:rsidR="001E32C9" w:rsidTr="001752ED">
        <w:trPr>
          <w:cantSplit/>
        </w:trPr>
        <w:tc>
          <w:tcPr>
            <w:tcW w:w="3936" w:type="dxa"/>
          </w:tcPr>
          <w:p w:rsidR="001E32C9" w:rsidRPr="001E32C9" w:rsidRDefault="001E32C9" w:rsidP="001E32C9">
            <w:pPr>
              <w:pStyle w:val="AERtabletextleft"/>
            </w:pPr>
            <w:r>
              <w:t>I</w:t>
            </w:r>
            <w:r w:rsidRPr="001E32C9">
              <w:t xml:space="preserve">mplemented in accordance with good practice. </w:t>
            </w:r>
          </w:p>
          <w:p w:rsidR="001E32C9" w:rsidRPr="001E32C9" w:rsidRDefault="001F3F83" w:rsidP="001E32C9">
            <w:pPr>
              <w:pStyle w:val="AERtabletextleft"/>
            </w:pPr>
            <w:r>
              <w:t xml:space="preserve">- </w:t>
            </w:r>
            <w:r w:rsidR="001E32C9">
              <w:t>S</w:t>
            </w:r>
            <w:r w:rsidR="001E32C9" w:rsidRPr="001E32C9">
              <w:t>upported by robust, transparent and replicable analysis that is derived from available credible datasets.</w:t>
            </w:r>
          </w:p>
        </w:tc>
        <w:tc>
          <w:tcPr>
            <w:tcW w:w="3140" w:type="dxa"/>
          </w:tcPr>
          <w:p w:rsidR="001E32C9" w:rsidRPr="001E32C9" w:rsidRDefault="001E32C9" w:rsidP="001E32C9">
            <w:pPr>
              <w:pStyle w:val="AERtabletextleft"/>
            </w:pPr>
            <w:r>
              <w:t>Transparent and replicable using published data. Some knowledge of ABS classifications required.</w:t>
            </w:r>
          </w:p>
        </w:tc>
        <w:tc>
          <w:tcPr>
            <w:tcW w:w="3238" w:type="dxa"/>
          </w:tcPr>
          <w:p w:rsidR="001E32C9" w:rsidRPr="001E32C9" w:rsidRDefault="001E32C9" w:rsidP="001E32C9">
            <w:pPr>
              <w:pStyle w:val="AERtabletextleft"/>
            </w:pPr>
            <w:r>
              <w:t>Transparent and replicable using published data, although detailed knowledge of tax return labels required. Some data concerns have been identified.</w:t>
            </w:r>
          </w:p>
        </w:tc>
        <w:tc>
          <w:tcPr>
            <w:tcW w:w="3838" w:type="dxa"/>
          </w:tcPr>
          <w:p w:rsidR="001E32C9" w:rsidRPr="001E32C9" w:rsidRDefault="001E32C9" w:rsidP="001E32C9">
            <w:pPr>
              <w:pStyle w:val="AERtabletextleft"/>
            </w:pPr>
            <w:r>
              <w:t>Less transparent and replicable, as econometrics knowledge required and data not always publicly or freely available.</w:t>
            </w:r>
          </w:p>
        </w:tc>
      </w:tr>
      <w:tr w:rsidR="001E32C9" w:rsidTr="001752ED">
        <w:trPr>
          <w:cnfStyle w:val="000000010000" w:firstRow="0" w:lastRow="0" w:firstColumn="0" w:lastColumn="0" w:oddVBand="0" w:evenVBand="0" w:oddHBand="0" w:evenHBand="1" w:firstRowFirstColumn="0" w:firstRowLastColumn="0" w:lastRowFirstColumn="0" w:lastRowLastColumn="0"/>
          <w:cantSplit/>
        </w:trPr>
        <w:tc>
          <w:tcPr>
            <w:tcW w:w="3936" w:type="dxa"/>
          </w:tcPr>
          <w:p w:rsidR="001E32C9" w:rsidRPr="001E32C9" w:rsidRDefault="001E32C9" w:rsidP="001E32C9">
            <w:pPr>
              <w:pStyle w:val="AERtabletextleft"/>
            </w:pPr>
            <w:r>
              <w:t>W</w:t>
            </w:r>
            <w:r w:rsidRPr="001E32C9">
              <w:t>here market data and other information is used, this information is: credible and verifiable; comparable and timely; and clearly sourced.</w:t>
            </w:r>
          </w:p>
        </w:tc>
        <w:tc>
          <w:tcPr>
            <w:tcW w:w="3140" w:type="dxa"/>
          </w:tcPr>
          <w:p w:rsidR="001E32C9" w:rsidRPr="001E32C9" w:rsidRDefault="001E32C9" w:rsidP="001E32C9">
            <w:pPr>
              <w:pStyle w:val="AERtabletextleft"/>
            </w:pPr>
            <w:r>
              <w:t xml:space="preserve">ABS is a credible source. Relevant statistics are published online on a quarterly basis. </w:t>
            </w:r>
          </w:p>
        </w:tc>
        <w:tc>
          <w:tcPr>
            <w:tcW w:w="3238" w:type="dxa"/>
          </w:tcPr>
          <w:p w:rsidR="001E32C9" w:rsidRPr="001E32C9" w:rsidRDefault="001E32C9" w:rsidP="001E32C9">
            <w:pPr>
              <w:pStyle w:val="AERtabletextleft"/>
            </w:pPr>
            <w:r>
              <w:t>ATO is a credible source. Relevant statistics are published online on an annual basis, with a two-year lag (e.g. 2011-12 statistics published in 2014). Some data concerns have been identified.</w:t>
            </w:r>
          </w:p>
        </w:tc>
        <w:tc>
          <w:tcPr>
            <w:tcW w:w="3838" w:type="dxa"/>
          </w:tcPr>
          <w:p w:rsidR="001E32C9" w:rsidRPr="001E32C9" w:rsidRDefault="001E32C9" w:rsidP="001E32C9">
            <w:pPr>
              <w:pStyle w:val="AERtabletextleft"/>
            </w:pPr>
            <w:r>
              <w:t>Underlying data typically from credible sources (e.g. Bloomberg, ASX) and is produced on a timely basis. Data not always publicly or freely available.</w:t>
            </w:r>
          </w:p>
          <w:p w:rsidR="001E32C9" w:rsidRPr="001E32C9" w:rsidRDefault="001E32C9" w:rsidP="001E32C9">
            <w:pPr>
              <w:pStyle w:val="AERtabletextleft"/>
            </w:pPr>
            <w:r>
              <w:t>Use of econometrics makes the results difficult and complex to verify.</w:t>
            </w:r>
          </w:p>
        </w:tc>
      </w:tr>
      <w:tr w:rsidR="001E32C9" w:rsidTr="001752ED">
        <w:trPr>
          <w:cantSplit/>
        </w:trPr>
        <w:tc>
          <w:tcPr>
            <w:tcW w:w="3936" w:type="dxa"/>
          </w:tcPr>
          <w:p w:rsidR="001E32C9" w:rsidRPr="001E32C9" w:rsidRDefault="001E32C9" w:rsidP="001E32C9">
            <w:pPr>
              <w:pStyle w:val="AERtabletextleft"/>
            </w:pPr>
            <w:r w:rsidRPr="007333FB">
              <w:t>Sufficiently flexible as to allow changing market conditions and new information to be reflected in regulatory outcomes, as appropriate.</w:t>
            </w:r>
          </w:p>
        </w:tc>
        <w:tc>
          <w:tcPr>
            <w:tcW w:w="3140" w:type="dxa"/>
          </w:tcPr>
          <w:p w:rsidR="001E32C9" w:rsidRPr="001E32C9" w:rsidRDefault="001E32C9" w:rsidP="009E0CC7">
            <w:pPr>
              <w:pStyle w:val="AERtabletextleft"/>
            </w:pPr>
            <w:r>
              <w:t xml:space="preserve">Reflects current ownership of Australian equities. However, </w:t>
            </w:r>
            <w:r w:rsidRPr="001E32C9">
              <w:t xml:space="preserve">will not reflect any tax law changes that reduce eligible investors’ utilisation rates below 1.  </w:t>
            </w:r>
          </w:p>
        </w:tc>
        <w:tc>
          <w:tcPr>
            <w:tcW w:w="3238" w:type="dxa"/>
          </w:tcPr>
          <w:p w:rsidR="001E32C9" w:rsidRPr="001E32C9" w:rsidRDefault="001E32C9" w:rsidP="001E32C9">
            <w:pPr>
              <w:pStyle w:val="AERtabletextleft"/>
            </w:pPr>
            <w:r>
              <w:t>Reflects conditions up to two years ago.</w:t>
            </w:r>
          </w:p>
        </w:tc>
        <w:tc>
          <w:tcPr>
            <w:tcW w:w="3838" w:type="dxa"/>
          </w:tcPr>
          <w:p w:rsidR="001E32C9" w:rsidRPr="001E32C9" w:rsidRDefault="001E32C9" w:rsidP="001E32C9">
            <w:pPr>
              <w:pStyle w:val="AERtabletextleft"/>
            </w:pPr>
            <w:r>
              <w:t>Reflects current conditions to the extent that recent data is used. Different studies span various time periods.</w:t>
            </w:r>
          </w:p>
        </w:tc>
      </w:tr>
    </w:tbl>
    <w:p w:rsidR="001E32C9" w:rsidRDefault="001E32C9" w:rsidP="001E32C9">
      <w:pPr>
        <w:pStyle w:val="AERtablesource"/>
      </w:pPr>
      <w:r>
        <w:t>Source:</w:t>
      </w:r>
      <w:r>
        <w:tab/>
        <w:t>AER analysis.</w:t>
      </w:r>
    </w:p>
    <w:p w:rsidR="001E32C9" w:rsidRPr="00B14799" w:rsidRDefault="001E32C9" w:rsidP="001E32C9">
      <w:pPr>
        <w:pStyle w:val="AERtablesource"/>
      </w:pPr>
      <w:r>
        <w:t>(a):</w:t>
      </w:r>
      <w:r>
        <w:tab/>
        <w:t>The criteria relating specifically to return on equity and debt quantitative models are excluded because they are not applicable.</w:t>
      </w:r>
    </w:p>
    <w:p w:rsidR="001E32C9" w:rsidRDefault="001E32C9" w:rsidP="001E32C9">
      <w:pPr>
        <w:pStyle w:val="AERbodytext"/>
        <w:sectPr w:rsidR="001E32C9" w:rsidSect="00994D24">
          <w:pgSz w:w="16838" w:h="11906" w:orient="landscape"/>
          <w:pgMar w:top="1440" w:right="1440" w:bottom="1440" w:left="1440" w:header="708" w:footer="708" w:gutter="0"/>
          <w:pgNumType w:chapStyle="1"/>
          <w:cols w:space="708"/>
          <w:docGrid w:linePitch="360"/>
        </w:sectPr>
      </w:pPr>
    </w:p>
    <w:p w:rsidR="001E32C9" w:rsidRDefault="001E32C9" w:rsidP="001E32C9">
      <w:pPr>
        <w:pStyle w:val="Heading8"/>
        <w:numPr>
          <w:ilvl w:val="5"/>
          <w:numId w:val="57"/>
        </w:numPr>
      </w:pPr>
      <w:bookmarkStart w:id="71" w:name="_Ref403481615"/>
      <w:r>
        <w:lastRenderedPageBreak/>
        <w:t>The equity ownership approach</w:t>
      </w:r>
      <w:bookmarkEnd w:id="71"/>
    </w:p>
    <w:p w:rsidR="001E32C9" w:rsidRDefault="001E32C9" w:rsidP="001E32C9">
      <w:pPr>
        <w:pStyle w:val="AERbodytext"/>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181"/>
      </w:r>
    </w:p>
    <w:p w:rsidR="001E32C9" w:rsidRDefault="001E32C9" w:rsidP="001E32C9">
      <w:pPr>
        <w:pStyle w:val="AERbodytext"/>
      </w:pPr>
      <w:r>
        <w:t xml:space="preserve">Our position on the equity ownership approach to estimating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In this section, we provide further detail on our application of the approach. We also compare our assessment of the approach in this draft decision with our assessment in the </w:t>
      </w:r>
      <w:r w:rsidR="0033289B">
        <w:t>Guideline</w:t>
      </w:r>
      <w:r>
        <w:t>.</w:t>
      </w:r>
    </w:p>
    <w:p w:rsidR="001E32C9" w:rsidRDefault="001E32C9" w:rsidP="001E32C9">
      <w:pPr>
        <w:pStyle w:val="AERbodytext"/>
      </w:pPr>
      <w:r>
        <w:t xml:space="preserve">We place significant reliance on the equity ownership approach for the reasons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We have regard also to the limitations of this approach, but we do not consider them significant:</w:t>
      </w:r>
    </w:p>
    <w:p w:rsidR="001E32C9" w:rsidRPr="005D0122" w:rsidRDefault="001E32C9" w:rsidP="001E32C9">
      <w:pPr>
        <w:pStyle w:val="AERbulletlistfirststyle"/>
      </w:pPr>
      <w:r w:rsidRPr="005D0122">
        <w:t>The approach does not take into account the effect of</w:t>
      </w:r>
      <w:r>
        <w:t xml:space="preserve"> the 45-day holding rule (or any other</w:t>
      </w:r>
      <w:r w:rsidRPr="005D0122">
        <w:t xml:space="preserve"> rules that can affect the eligibility of domestic investors to claim imputation credits</w:t>
      </w:r>
      <w:r>
        <w:t>)</w:t>
      </w:r>
      <w:r w:rsidRPr="005D0122">
        <w:t xml:space="preserve">. However, </w:t>
      </w:r>
      <w:r>
        <w:t xml:space="preserve">as discussed in section </w:t>
      </w:r>
      <w:r>
        <w:fldChar w:fldCharType="begin"/>
      </w:r>
      <w:r>
        <w:instrText xml:space="preserve"> REF _Ref400971678 \r \h </w:instrText>
      </w:r>
      <w:r>
        <w:fldChar w:fldCharType="separate"/>
      </w:r>
      <w:r w:rsidR="00927273">
        <w:t>A.7.2</w:t>
      </w:r>
      <w:r>
        <w:fldChar w:fldCharType="end"/>
      </w:r>
      <w:r>
        <w:t xml:space="preserve">, </w:t>
      </w:r>
      <w:r w:rsidRPr="005D0122">
        <w:t>we do not consider that there is clear evidence as to effect that these rules have or should be expected to have. Moreover, we consider that the most relevant evidence on the effect of these rules suggest that they have a negligible effect.</w:t>
      </w:r>
    </w:p>
    <w:p w:rsidR="001E32C9" w:rsidRDefault="001E32C9" w:rsidP="001E32C9">
      <w:pPr>
        <w:pStyle w:val="AERbulletlistfirststyle"/>
      </w:pPr>
      <w:r w:rsidRPr="005D0122">
        <w:t xml:space="preserve">The approach </w:t>
      </w:r>
      <w:r w:rsidR="009E0CC7">
        <w:t xml:space="preserve">allows </w:t>
      </w:r>
      <w:r w:rsidRPr="005D0122">
        <w:t xml:space="preserve">investors' utilisation rates </w:t>
      </w:r>
      <w:r w:rsidR="009E0CC7">
        <w:t xml:space="preserve">to be weighted by wealth, but not </w:t>
      </w:r>
      <w:r w:rsidRPr="005D0122">
        <w:t xml:space="preserve">by risk aversion, as required by the </w:t>
      </w:r>
      <w:r>
        <w:t xml:space="preserve">definition of the utilisation rate in the </w:t>
      </w:r>
      <w:proofErr w:type="spellStart"/>
      <w:r w:rsidRPr="005D0122">
        <w:t>Monkhouse</w:t>
      </w:r>
      <w:proofErr w:type="spellEnd"/>
      <w:r w:rsidRPr="005D0122">
        <w:t xml:space="preserve"> framework.  However, we do not consider that we can feasibly weight our estimates in this regard, as this would require specific calculations or assumptions regarding the portfolios and risk preferences of individuals or classes of investors. Moreover, neither Handley </w:t>
      </w:r>
      <w:r>
        <w:t>nor Lally identified</w:t>
      </w:r>
      <w:r w:rsidRPr="005D0122">
        <w:t xml:space="preserve"> the inability to weight by risk aversion as an unacceptable limitation of the approach.</w:t>
      </w:r>
      <w:r w:rsidRPr="005D0122">
        <w:rPr>
          <w:rStyle w:val="FootnoteReference"/>
        </w:rPr>
        <w:footnoteReference w:id="182"/>
      </w:r>
    </w:p>
    <w:p w:rsidR="001E32C9" w:rsidRPr="000F2482" w:rsidRDefault="001E32C9" w:rsidP="001E32C9">
      <w:pPr>
        <w:pStyle w:val="AERbodytext"/>
      </w:pPr>
      <w:r w:rsidRPr="000F2482">
        <w:t>We consider that a reasonable estimate for the utilisation rate from the equity ownership approach is between:</w:t>
      </w:r>
    </w:p>
    <w:p w:rsidR="001E32C9" w:rsidRPr="000F2482" w:rsidRDefault="001E32C9" w:rsidP="001E32C9">
      <w:pPr>
        <w:pStyle w:val="AERbulletlistfirststyle"/>
      </w:pPr>
      <w:r w:rsidRPr="000F2482">
        <w:t>0.55 and 0.7, if all equity is considered</w:t>
      </w:r>
      <w:r>
        <w:t>, and</w:t>
      </w:r>
    </w:p>
    <w:p w:rsidR="001E32C9" w:rsidRDefault="001E32C9" w:rsidP="001E32C9">
      <w:pPr>
        <w:pStyle w:val="AERbulletlistfirststyle"/>
      </w:pPr>
      <w:r w:rsidRPr="000F2482">
        <w:t>0.4 and 0.6, if only listed equity is considered.</w:t>
      </w:r>
    </w:p>
    <w:p w:rsidR="001E32C9" w:rsidRPr="000F2482" w:rsidRDefault="001E32C9" w:rsidP="001E32C9">
      <w:pPr>
        <w:pStyle w:val="AERbodytext"/>
      </w:pPr>
      <w:r w:rsidRPr="000F2482">
        <w:t xml:space="preserve">In the </w:t>
      </w:r>
      <w:r w:rsidR="0033289B">
        <w:t>Guideline</w:t>
      </w:r>
      <w:r w:rsidRPr="000F2482">
        <w:t>, we considered that the equity ownership approach supported a utilisation rate between 0.7 and 0.8. This range was based on:</w:t>
      </w:r>
    </w:p>
    <w:p w:rsidR="001E32C9" w:rsidRPr="00575F22" w:rsidRDefault="001E32C9" w:rsidP="001E32C9">
      <w:pPr>
        <w:pStyle w:val="AERbulletlistfirststyle"/>
      </w:pPr>
      <w:r w:rsidRPr="00575F22">
        <w:t>A 2007 feature article by the ABS, in which it was estimated using data from the National Accounts that domestic investors held 71 per cent of Australian equity.</w:t>
      </w:r>
      <w:r w:rsidRPr="000F2482">
        <w:rPr>
          <w:rStyle w:val="FootnoteReference"/>
        </w:rPr>
        <w:footnoteReference w:id="183"/>
      </w:r>
    </w:p>
    <w:p w:rsidR="001E32C9" w:rsidRPr="00575F22" w:rsidRDefault="001E32C9" w:rsidP="001E32C9">
      <w:pPr>
        <w:pStyle w:val="AERbulletlistfirststyle"/>
      </w:pPr>
      <w:r w:rsidRPr="00575F22">
        <w:t>A graph in a September 2013 report by Hathaway, which suggested that the domestic ownership share of Australian equity had fluctuated between 75 and 81 per cent over the period 1988 to 2012.</w:t>
      </w:r>
      <w:r w:rsidRPr="00836F78">
        <w:rPr>
          <w:rStyle w:val="FootnoteReference"/>
        </w:rPr>
        <w:footnoteReference w:id="184"/>
      </w:r>
      <w:r w:rsidRPr="00575F22">
        <w:t xml:space="preserve"> The data underlying this graph also came from the National Accounts.</w:t>
      </w:r>
    </w:p>
    <w:p w:rsidR="001E32C9" w:rsidRDefault="001E32C9" w:rsidP="001E32C9">
      <w:pPr>
        <w:pStyle w:val="AERbodytext"/>
      </w:pPr>
      <w:r w:rsidRPr="00575F22">
        <w:lastRenderedPageBreak/>
        <w:t xml:space="preserve">Since the </w:t>
      </w:r>
      <w:r w:rsidR="0033289B">
        <w:t>Guideline</w:t>
      </w:r>
      <w:r w:rsidRPr="00575F22">
        <w:t>'s publication, we have examined more closely the relevant data from the National Accounts. This has allowed us to update and refine our estimates.</w:t>
      </w:r>
      <w:r>
        <w:t xml:space="preserve"> Moreover, we </w:t>
      </w:r>
      <w:r w:rsidR="009E0CC7">
        <w:t xml:space="preserve">now </w:t>
      </w:r>
      <w:r>
        <w:t xml:space="preserve">express estimates for both all equity and listed equity only, consistent with the approach set out in section </w:t>
      </w:r>
      <w:r>
        <w:fldChar w:fldCharType="begin"/>
      </w:r>
      <w:r>
        <w:instrText xml:space="preserve"> REF _Ref401048631 \r \h </w:instrText>
      </w:r>
      <w:r>
        <w:fldChar w:fldCharType="separate"/>
      </w:r>
      <w:r w:rsidR="00927273">
        <w:t>A.8.1</w:t>
      </w:r>
      <w:r>
        <w:fldChar w:fldCharType="end"/>
      </w:r>
      <w:r>
        <w:t>.</w:t>
      </w:r>
      <w:r w:rsidRPr="00575F22">
        <w:t xml:space="preserve"> </w:t>
      </w:r>
    </w:p>
    <w:p w:rsidR="001E32C9" w:rsidRPr="00575F22" w:rsidRDefault="001E32C9" w:rsidP="001E32C9">
      <w:pPr>
        <w:pStyle w:val="AERbodytext"/>
      </w:pPr>
      <w:r w:rsidRPr="00575F22">
        <w:fldChar w:fldCharType="begin"/>
      </w:r>
      <w:r w:rsidRPr="00575F22">
        <w:instrText xml:space="preserve"> REF _Ref399922581 \h </w:instrText>
      </w:r>
      <w:r>
        <w:instrText xml:space="preserve"> \* MERGEFORMAT </w:instrText>
      </w:r>
      <w:r w:rsidRPr="00575F22">
        <w:fldChar w:fldCharType="separate"/>
      </w:r>
      <w:r w:rsidR="00927273" w:rsidRPr="00575F22">
        <w:t xml:space="preserve">Figure </w:t>
      </w:r>
      <w:r w:rsidR="004C6F08">
        <w:t>4.</w:t>
      </w:r>
      <w:r w:rsidR="00927273">
        <w:t>2</w:t>
      </w:r>
      <w:r w:rsidRPr="00575F22">
        <w:fldChar w:fldCharType="end"/>
      </w:r>
      <w:r w:rsidRPr="00575F22">
        <w:t xml:space="preserve"> shows the domestic ownership share of Australian equity on an end-quarter basis between June 1988 and June 2014. Although somewhat variable from quarter to quarter, the share has declined from above 80 per cent in 1988 to around 70 per cent in recent years. The domestic ownership share has been calculated as one minus the share of Australian equity held by the 'rest of world', with unlisted equity issued by 'rest of world' excluded. This calculation methodology is consistent with that employed by the ABS in its 2007 feature article.</w:t>
      </w:r>
    </w:p>
    <w:p w:rsidR="001E32C9" w:rsidRDefault="001E32C9" w:rsidP="001E32C9">
      <w:pPr>
        <w:pStyle w:val="Caption"/>
      </w:pPr>
      <w:bookmarkStart w:id="72" w:name="_Ref399922581"/>
      <w:r w:rsidRPr="00575F22">
        <w:t xml:space="preserve">Figure </w:t>
      </w:r>
      <w:fldSimple w:instr=" STYLEREF 1 \s ">
        <w:r w:rsidR="00927273">
          <w:rPr>
            <w:noProof/>
          </w:rPr>
          <w:t>4</w:t>
        </w:r>
      </w:fldSimple>
      <w:r w:rsidR="00DC50AF">
        <w:noBreakHyphen/>
      </w:r>
      <w:fldSimple w:instr=" SEQ Figure \* ARABIC \s 1 ">
        <w:r w:rsidR="00927273">
          <w:rPr>
            <w:noProof/>
          </w:rPr>
          <w:t>2</w:t>
        </w:r>
      </w:fldSimple>
      <w:bookmarkEnd w:id="72"/>
      <w:r w:rsidRPr="00575F22">
        <w:tab/>
        <w:t>Domestic ownership share of listed and unlisted Australian equity</w:t>
      </w:r>
    </w:p>
    <w:p w:rsidR="001E32C9" w:rsidRPr="00575F22" w:rsidRDefault="001E32C9" w:rsidP="001E32C9">
      <w:pPr>
        <w:pStyle w:val="AERbodytext"/>
      </w:pPr>
      <w:r w:rsidRPr="001E32C9">
        <w:rPr>
          <w:noProof/>
          <w:lang w:eastAsia="en-AU"/>
        </w:rPr>
        <w:drawing>
          <wp:inline distT="0" distB="0" distL="0" distR="0" wp14:anchorId="1BBC7C85" wp14:editId="2901AB9F">
            <wp:extent cx="5328000" cy="3468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68381"/>
                    </a:xfrm>
                    <a:prstGeom prst="rect">
                      <a:avLst/>
                    </a:prstGeom>
                    <a:noFill/>
                    <a:ln>
                      <a:noFill/>
                    </a:ln>
                  </pic:spPr>
                </pic:pic>
              </a:graphicData>
            </a:graphic>
          </wp:inline>
        </w:drawing>
      </w:r>
      <w:r w:rsidRPr="00575F22">
        <w:t xml:space="preserve"> </w:t>
      </w:r>
    </w:p>
    <w:p w:rsidR="0078271F" w:rsidRDefault="001E32C9" w:rsidP="001E32C9">
      <w:pPr>
        <w:pStyle w:val="AERtablesource"/>
      </w:pPr>
      <w:bookmarkStart w:id="73" w:name="_Ref399922857"/>
      <w:r>
        <w:t xml:space="preserve">Source: </w:t>
      </w:r>
      <w:r>
        <w:tab/>
      </w:r>
      <w:r w:rsidRPr="0061054A">
        <w:t>Australian National Accounts: Financial Accounts (ABS cat. 5232.0)</w:t>
      </w:r>
      <w:r>
        <w:t>, tables 32 and 33.</w:t>
      </w:r>
    </w:p>
    <w:p w:rsidR="0078271F" w:rsidRPr="00575F22" w:rsidRDefault="0078271F" w:rsidP="0078271F">
      <w:pPr>
        <w:pStyle w:val="AERbodytext"/>
      </w:pPr>
      <w:r w:rsidRPr="00575F22">
        <w:t>We have considered also the domestic ownership share of just listed equity.</w:t>
      </w:r>
      <w:r>
        <w:t xml:space="preserve"> </w:t>
      </w:r>
      <w:r>
        <w:fldChar w:fldCharType="begin"/>
      </w:r>
      <w:r>
        <w:instrText xml:space="preserve"> REF _Ref403483809 \h </w:instrText>
      </w:r>
      <w:r>
        <w:fldChar w:fldCharType="separate"/>
      </w:r>
      <w:r w:rsidR="00927273" w:rsidRPr="00575F22">
        <w:t xml:space="preserve">Figure </w:t>
      </w:r>
      <w:r w:rsidR="00927273">
        <w:rPr>
          <w:noProof/>
        </w:rPr>
        <w:t>4</w:t>
      </w:r>
      <w:r w:rsidR="004C6F08">
        <w:t>.</w:t>
      </w:r>
      <w:r w:rsidR="00927273">
        <w:rPr>
          <w:noProof/>
        </w:rPr>
        <w:t>3</w:t>
      </w:r>
      <w:r>
        <w:fldChar w:fldCharType="end"/>
      </w:r>
      <w:r>
        <w:t xml:space="preserve"> </w:t>
      </w:r>
      <w:r w:rsidRPr="00575F22">
        <w:t xml:space="preserve">shows the domestic ownership share of just listed Australian equity. This share has not exhibited a </w:t>
      </w:r>
      <w:r>
        <w:t>strong</w:t>
      </w:r>
      <w:r w:rsidRPr="00575F22">
        <w:t xml:space="preserve"> trend over time, and has varied mainly between 50 and 65 per cent.</w:t>
      </w:r>
      <w:r w:rsidRPr="008977D1">
        <w:rPr>
          <w:rStyle w:val="FootnoteReference"/>
        </w:rPr>
        <w:footnoteReference w:id="185"/>
      </w:r>
      <w:r w:rsidRPr="00575F22">
        <w:t xml:space="preserve"> Since 2009, the share has tended to remain within the slightly narrower range of 50 to 60 per cent.</w:t>
      </w:r>
    </w:p>
    <w:p w:rsidR="001E32C9" w:rsidRPr="0078271F" w:rsidRDefault="001E32C9" w:rsidP="0078271F"/>
    <w:p w:rsidR="001E32C9" w:rsidRPr="00575F22" w:rsidRDefault="001E32C9" w:rsidP="001E32C9">
      <w:pPr>
        <w:pStyle w:val="Caption"/>
      </w:pPr>
      <w:bookmarkStart w:id="74" w:name="_Ref403483809"/>
      <w:r w:rsidRPr="00575F22">
        <w:lastRenderedPageBreak/>
        <w:t xml:space="preserve">Figure </w:t>
      </w:r>
      <w:fldSimple w:instr=" STYLEREF 1 \s ">
        <w:r w:rsidR="00927273">
          <w:rPr>
            <w:noProof/>
          </w:rPr>
          <w:t>4</w:t>
        </w:r>
      </w:fldSimple>
      <w:r w:rsidR="00DC50AF">
        <w:noBreakHyphen/>
      </w:r>
      <w:fldSimple w:instr=" SEQ Figure \* ARABIC \s 1 ">
        <w:r w:rsidR="00927273">
          <w:rPr>
            <w:noProof/>
          </w:rPr>
          <w:t>3</w:t>
        </w:r>
      </w:fldSimple>
      <w:bookmarkEnd w:id="73"/>
      <w:bookmarkEnd w:id="74"/>
      <w:r w:rsidRPr="00575F22">
        <w:tab/>
        <w:t>Domestic ownership share of listed Australian equity</w:t>
      </w:r>
    </w:p>
    <w:p w:rsidR="001E32C9" w:rsidRPr="00575F22" w:rsidRDefault="001E32C9" w:rsidP="001E32C9">
      <w:pPr>
        <w:pStyle w:val="AERbodytext"/>
      </w:pPr>
      <w:r w:rsidRPr="001E32C9">
        <w:rPr>
          <w:noProof/>
          <w:lang w:eastAsia="en-AU"/>
        </w:rPr>
        <w:drawing>
          <wp:inline distT="0" distB="0" distL="0" distR="0" wp14:anchorId="4021BA2B" wp14:editId="68EFE16E">
            <wp:extent cx="5328000" cy="34683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68381"/>
                    </a:xfrm>
                    <a:prstGeom prst="rect">
                      <a:avLst/>
                    </a:prstGeom>
                    <a:noFill/>
                    <a:ln>
                      <a:noFill/>
                    </a:ln>
                  </pic:spPr>
                </pic:pic>
              </a:graphicData>
            </a:graphic>
          </wp:inline>
        </w:drawing>
      </w:r>
    </w:p>
    <w:p w:rsidR="001E32C9" w:rsidRDefault="001E32C9" w:rsidP="001E32C9">
      <w:pPr>
        <w:pStyle w:val="AERtablesource"/>
      </w:pPr>
      <w:r>
        <w:t xml:space="preserve">Source: </w:t>
      </w:r>
      <w:r>
        <w:tab/>
      </w:r>
      <w:r w:rsidRPr="0061054A">
        <w:t>Australian National Accounts: Financial Accounts (ABS cat. 5232.0)</w:t>
      </w:r>
      <w:r>
        <w:t>, table 32.</w:t>
      </w:r>
    </w:p>
    <w:p w:rsidR="001E32C9" w:rsidRPr="00575F22" w:rsidRDefault="001E32C9" w:rsidP="001E32C9">
      <w:pPr>
        <w:pStyle w:val="AERbodytext"/>
      </w:pPr>
      <w:r w:rsidRPr="00575F22">
        <w:t>We consider that the equity ownership approach can be refined further, by filtering the National Accounts data to focus on the types of equity that are deemed to be most relevant to the benchmark entity, and the specific classes of investor that are expected to either utilise or waste the imputation credits they receive. That is, we can:</w:t>
      </w:r>
    </w:p>
    <w:p w:rsidR="001E32C9" w:rsidRPr="00575F22" w:rsidRDefault="001E32C9" w:rsidP="001E32C9">
      <w:pPr>
        <w:pStyle w:val="AERbulletlistfirststyle"/>
      </w:pPr>
      <w:r w:rsidRPr="00575F22">
        <w:t>Exclude from the calculation equity in entities that are wholly owned by the public sector. In the National Accounts, this is equity issued by the 'central bank', 'central borrowing authorities', 'national public non-financial corporations' and 'state and local public non-financial corporations'.</w:t>
      </w:r>
    </w:p>
    <w:p w:rsidR="001E32C9" w:rsidRPr="00575F22" w:rsidRDefault="001E32C9" w:rsidP="001E32C9">
      <w:pPr>
        <w:pStyle w:val="AERbulletlistfirststyle"/>
      </w:pPr>
      <w:r w:rsidRPr="00575F22">
        <w:t>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'households', 'pension funds', 'life insurance corporations', 'state and local general government', 'national general government' and 'rest of world'.</w:t>
      </w:r>
      <w:r w:rsidRPr="00550979">
        <w:rPr>
          <w:rStyle w:val="FootnoteReference"/>
        </w:rPr>
        <w:footnoteReference w:id="186"/>
      </w:r>
    </w:p>
    <w:p w:rsidR="001E32C9" w:rsidRDefault="001E32C9" w:rsidP="0078271F">
      <w:pPr>
        <w:pStyle w:val="AERbodytext"/>
      </w:pPr>
      <w:r w:rsidRPr="00575F22">
        <w:t xml:space="preserve">These refined estimates of the domestic ownership share are shown for all equity and just listed equity in </w:t>
      </w:r>
      <w:r w:rsidR="00AD3769">
        <w:fldChar w:fldCharType="begin"/>
      </w:r>
      <w:r w:rsidR="00AD3769">
        <w:instrText xml:space="preserve"> REF  _Ref399928279 \* Lower \h  \* MERGEFORMAT </w:instrText>
      </w:r>
      <w:r w:rsidR="00AD3769">
        <w:fldChar w:fldCharType="separate"/>
      </w:r>
      <w:r w:rsidR="00927273" w:rsidRPr="00575F22">
        <w:t xml:space="preserve">figure </w:t>
      </w:r>
      <w:r w:rsidR="004C6F08">
        <w:rPr>
          <w:noProof/>
        </w:rPr>
        <w:t>4</w:t>
      </w:r>
      <w:r w:rsidR="004C6F08">
        <w:t>.</w:t>
      </w:r>
      <w:r w:rsidR="00927273">
        <w:rPr>
          <w:noProof/>
        </w:rPr>
        <w:t>4</w:t>
      </w:r>
      <w:r w:rsidR="00AD3769">
        <w:fldChar w:fldCharType="end"/>
      </w:r>
      <w:r w:rsidR="0078271F">
        <w:t xml:space="preserve"> and </w:t>
      </w:r>
      <w:r w:rsidR="00AD3769">
        <w:fldChar w:fldCharType="begin"/>
      </w:r>
      <w:r w:rsidR="00AD3769">
        <w:instrText xml:space="preserve"> REF  _Ref403483972 \* Lower \h </w:instrText>
      </w:r>
      <w:r w:rsidR="00AD3769">
        <w:fldChar w:fldCharType="separate"/>
      </w:r>
      <w:r w:rsidR="00927273" w:rsidRPr="00575F22">
        <w:t xml:space="preserve">figure </w:t>
      </w:r>
      <w:r w:rsidR="00927273">
        <w:rPr>
          <w:noProof/>
        </w:rPr>
        <w:t>4</w:t>
      </w:r>
      <w:r w:rsidR="004C6F08">
        <w:t>.</w:t>
      </w:r>
      <w:r w:rsidR="00927273">
        <w:rPr>
          <w:noProof/>
        </w:rPr>
        <w:t>5</w:t>
      </w:r>
      <w:r w:rsidR="00AD3769">
        <w:fldChar w:fldCharType="end"/>
      </w:r>
      <w:r w:rsidR="0078271F">
        <w:t xml:space="preserve"> </w:t>
      </w:r>
      <w:r w:rsidRPr="00575F22">
        <w:t xml:space="preserve">respectively. There is no </w:t>
      </w:r>
      <w:r>
        <w:t>strong</w:t>
      </w:r>
      <w:r w:rsidRPr="00575F22">
        <w:t xml:space="preserve"> trend in either series over time. The refined share of all equity has varied mainly between 55 and 60 per cent. The refined share of listed equity has varied mainly between 40 and 55 per cent.</w:t>
      </w:r>
    </w:p>
    <w:p w:rsidR="001E32C9" w:rsidRPr="00575F22" w:rsidRDefault="001E32C9" w:rsidP="001E32C9">
      <w:pPr>
        <w:pStyle w:val="Caption"/>
      </w:pPr>
      <w:bookmarkStart w:id="75" w:name="_Ref399928279"/>
      <w:r w:rsidRPr="00575F22">
        <w:lastRenderedPageBreak/>
        <w:t xml:space="preserve">Figure </w:t>
      </w:r>
      <w:fldSimple w:instr=" STYLEREF 1 \s ">
        <w:r w:rsidR="00927273">
          <w:rPr>
            <w:noProof/>
          </w:rPr>
          <w:t>4</w:t>
        </w:r>
      </w:fldSimple>
      <w:r w:rsidR="00DC50AF">
        <w:noBreakHyphen/>
      </w:r>
      <w:fldSimple w:instr=" SEQ Figure \* ARABIC \s 1 ">
        <w:r w:rsidR="00927273">
          <w:rPr>
            <w:noProof/>
          </w:rPr>
          <w:t>4</w:t>
        </w:r>
      </w:fldSimple>
      <w:bookmarkEnd w:id="75"/>
      <w:r w:rsidRPr="00575F22">
        <w:tab/>
        <w:t>Refined domestic ownership share of listed and unlisted Australian equity</w:t>
      </w:r>
    </w:p>
    <w:p w:rsidR="001E32C9" w:rsidRPr="00575F22" w:rsidRDefault="001E32C9" w:rsidP="001E32C9">
      <w:pPr>
        <w:pStyle w:val="AERbodytext"/>
      </w:pPr>
      <w:r w:rsidRPr="001E32C9">
        <w:rPr>
          <w:noProof/>
          <w:lang w:eastAsia="en-AU"/>
        </w:rPr>
        <w:drawing>
          <wp:inline distT="0" distB="0" distL="0" distR="0" wp14:anchorId="55A822AF" wp14:editId="2E4778BB">
            <wp:extent cx="5328000" cy="34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8000" cy="3466800"/>
                    </a:xfrm>
                    <a:prstGeom prst="rect">
                      <a:avLst/>
                    </a:prstGeom>
                    <a:noFill/>
                    <a:ln>
                      <a:noFill/>
                    </a:ln>
                  </pic:spPr>
                </pic:pic>
              </a:graphicData>
            </a:graphic>
          </wp:inline>
        </w:drawing>
      </w:r>
    </w:p>
    <w:p w:rsidR="001E32C9" w:rsidRDefault="001E32C9" w:rsidP="001E32C9">
      <w:pPr>
        <w:pStyle w:val="AERtablesource"/>
      </w:pPr>
      <w:bookmarkStart w:id="76" w:name="_Ref399928294"/>
      <w:r>
        <w:t xml:space="preserve">Source: </w:t>
      </w:r>
      <w:r>
        <w:tab/>
      </w:r>
      <w:r w:rsidRPr="0061054A">
        <w:t>Australian National Accounts: Financial Accounts (ABS cat. 5232.0)</w:t>
      </w:r>
      <w:r>
        <w:t>, tables 32 and 33.</w:t>
      </w:r>
    </w:p>
    <w:p w:rsidR="001E32C9" w:rsidRPr="00575F22" w:rsidRDefault="001E32C9" w:rsidP="001E32C9">
      <w:pPr>
        <w:pStyle w:val="Caption"/>
      </w:pPr>
      <w:bookmarkStart w:id="77" w:name="_Ref403483972"/>
      <w:r w:rsidRPr="00575F22">
        <w:t xml:space="preserve">Figure </w:t>
      </w:r>
      <w:fldSimple w:instr=" STYLEREF 1 \s ">
        <w:r w:rsidR="00927273">
          <w:rPr>
            <w:noProof/>
          </w:rPr>
          <w:t>4</w:t>
        </w:r>
      </w:fldSimple>
      <w:r w:rsidR="00DC50AF">
        <w:noBreakHyphen/>
      </w:r>
      <w:fldSimple w:instr=" SEQ Figure \* ARABIC \s 1 ">
        <w:r w:rsidR="00927273">
          <w:rPr>
            <w:noProof/>
          </w:rPr>
          <w:t>5</w:t>
        </w:r>
      </w:fldSimple>
      <w:bookmarkEnd w:id="76"/>
      <w:bookmarkEnd w:id="77"/>
      <w:r w:rsidRPr="00575F22">
        <w:tab/>
        <w:t>Refined domestic ownership share of listed Australian equity</w:t>
      </w:r>
    </w:p>
    <w:p w:rsidR="001E32C9" w:rsidRPr="00575F22" w:rsidRDefault="001E32C9" w:rsidP="001E32C9">
      <w:pPr>
        <w:pStyle w:val="AERbodytext"/>
      </w:pPr>
      <w:r w:rsidRPr="001E32C9">
        <w:rPr>
          <w:noProof/>
          <w:lang w:eastAsia="en-AU"/>
        </w:rPr>
        <w:drawing>
          <wp:inline distT="0" distB="0" distL="0" distR="0" wp14:anchorId="06EF59A8" wp14:editId="274F2C98">
            <wp:extent cx="5328000" cy="347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1E32C9" w:rsidRDefault="001E32C9" w:rsidP="001E32C9">
      <w:pPr>
        <w:pStyle w:val="AERtablesource"/>
      </w:pPr>
      <w:r>
        <w:t xml:space="preserve">Source: </w:t>
      </w:r>
      <w:r>
        <w:tab/>
      </w:r>
      <w:r w:rsidRPr="0061054A">
        <w:t>Australian National Accounts: Financial Accounts (ABS cat. 5232.0)</w:t>
      </w:r>
      <w:r>
        <w:t>, table 32.</w:t>
      </w:r>
    </w:p>
    <w:p w:rsidR="001E32C9" w:rsidRPr="000F2482" w:rsidRDefault="001E32C9" w:rsidP="00703024">
      <w:pPr>
        <w:pStyle w:val="AERbodytext"/>
      </w:pPr>
      <w:r>
        <w:lastRenderedPageBreak/>
        <w:t>Handley advised that all estimation approaches involve uncertainty and imprecision, including the equity ownership approach.</w:t>
      </w:r>
      <w:r>
        <w:rPr>
          <w:rStyle w:val="FootnoteReference"/>
        </w:rPr>
        <w:footnoteReference w:id="187"/>
      </w:r>
      <w:r>
        <w:t xml:space="preserve"> Therefore, we present ranges of estimates for the utilisation rate from the equity ownership approach across the evidence presented in </w:t>
      </w:r>
      <w:r w:rsidR="00AD3769">
        <w:fldChar w:fldCharType="begin"/>
      </w:r>
      <w:r w:rsidR="00AD3769">
        <w:instrText xml:space="preserve"> REF  _Ref399922581 \* Lower \h  \* MERGEFORMAT </w:instrText>
      </w:r>
      <w:r w:rsidR="00AD3769">
        <w:fldChar w:fldCharType="separate"/>
      </w:r>
      <w:r w:rsidR="00927273" w:rsidRPr="00575F22">
        <w:t xml:space="preserve">figure </w:t>
      </w:r>
      <w:r w:rsidR="004C6F08">
        <w:rPr>
          <w:noProof/>
        </w:rPr>
        <w:t>4</w:t>
      </w:r>
      <w:r w:rsidR="004C6F08">
        <w:t>.</w:t>
      </w:r>
      <w:r w:rsidR="00927273">
        <w:rPr>
          <w:noProof/>
        </w:rPr>
        <w:t>2</w:t>
      </w:r>
      <w:r w:rsidR="00AD3769">
        <w:fldChar w:fldCharType="end"/>
      </w:r>
      <w:r>
        <w:t xml:space="preserve"> to</w:t>
      </w:r>
      <w:r w:rsidR="00703024">
        <w:t xml:space="preserve"> </w:t>
      </w:r>
      <w:r w:rsidR="00AD3769">
        <w:fldChar w:fldCharType="begin"/>
      </w:r>
      <w:r w:rsidR="00AD3769">
        <w:instrText xml:space="preserve"> REF  _Ref403483972 \* Lower \h </w:instrText>
      </w:r>
      <w:r w:rsidR="00AD3769">
        <w:fldChar w:fldCharType="separate"/>
      </w:r>
      <w:r w:rsidR="00927273" w:rsidRPr="00575F22">
        <w:t xml:space="preserve">figure </w:t>
      </w:r>
      <w:r w:rsidR="00927273">
        <w:rPr>
          <w:noProof/>
        </w:rPr>
        <w:t>4</w:t>
      </w:r>
      <w:r w:rsidR="004C6F08">
        <w:t>.</w:t>
      </w:r>
      <w:r w:rsidR="00927273">
        <w:rPr>
          <w:noProof/>
        </w:rPr>
        <w:t>5</w:t>
      </w:r>
      <w:r w:rsidR="00AD3769">
        <w:fldChar w:fldCharType="end"/>
      </w:r>
      <w:r>
        <w:t xml:space="preserve">. With reference also to the preceding discussion, we </w:t>
      </w:r>
      <w:r w:rsidRPr="000F2482">
        <w:t>consider that a reasonable estimate for the utilisation rate from the equity ownership approach is between:</w:t>
      </w:r>
    </w:p>
    <w:p w:rsidR="001E32C9" w:rsidRDefault="001E32C9" w:rsidP="001E32C9">
      <w:pPr>
        <w:pStyle w:val="AERbulletlistfirststyle"/>
      </w:pPr>
      <w:r w:rsidRPr="000F2482">
        <w:t>0.55 and 0.7, if all equity is considered</w:t>
      </w:r>
      <w:r>
        <w:t>, and</w:t>
      </w:r>
    </w:p>
    <w:p w:rsidR="001E32C9" w:rsidRPr="00575F22" w:rsidRDefault="001E32C9" w:rsidP="001E32C9">
      <w:pPr>
        <w:pStyle w:val="AERbulletlistfirststyle"/>
      </w:pPr>
      <w:r w:rsidRPr="000F2482">
        <w:t>0.4 and 0.6, if only listed equity is considered.</w:t>
      </w:r>
    </w:p>
    <w:p w:rsidR="001E32C9" w:rsidRDefault="001E32C9" w:rsidP="001E32C9">
      <w:pPr>
        <w:pStyle w:val="Heading8"/>
        <w:numPr>
          <w:ilvl w:val="5"/>
          <w:numId w:val="57"/>
        </w:numPr>
      </w:pPr>
      <w:bookmarkStart w:id="78" w:name="_Ref403481732"/>
      <w:r>
        <w:t>SFG's analysis of equity ownership data</w:t>
      </w:r>
      <w:bookmarkEnd w:id="78"/>
    </w:p>
    <w:p w:rsidR="001E32C9" w:rsidRDefault="001E32C9" w:rsidP="001E32C9">
      <w:pPr>
        <w:pStyle w:val="AERbodytext"/>
      </w:pPr>
      <w:r>
        <w:t>In this section we respond to key comments made by SFG on the equity ownership approach. In summary, we conclude that it is reasonable to have regard to data on the domestic ownership share from the National Accounts and that the data we rely on is the most up to date.</w:t>
      </w:r>
    </w:p>
    <w:p w:rsidR="001E32C9" w:rsidRDefault="001E32C9" w:rsidP="001E32C9">
      <w:pPr>
        <w:pStyle w:val="Heading9"/>
        <w:numPr>
          <w:ilvl w:val="6"/>
          <w:numId w:val="57"/>
        </w:numPr>
      </w:pPr>
      <w:r>
        <w:t>Sources of evidence on the ownership of Australian equity</w:t>
      </w:r>
    </w:p>
    <w:p w:rsidR="001E32C9" w:rsidRDefault="001E32C9" w:rsidP="001E32C9">
      <w:pPr>
        <w:pStyle w:val="AERbodytext"/>
      </w:pPr>
      <w:r>
        <w:t xml:space="preserve">SFG assessed the </w:t>
      </w:r>
      <w:r w:rsidR="0033289B">
        <w:t>Guideline</w:t>
      </w:r>
      <w:r>
        <w:t xml:space="preserve"> estimate of the domestic ownership share against three pieces of evidence, all of which use the same source of data. </w:t>
      </w:r>
    </w:p>
    <w:p w:rsidR="001E32C9" w:rsidRDefault="001E32C9" w:rsidP="001E32C9">
      <w:pPr>
        <w:pStyle w:val="AERbodytext"/>
      </w:pPr>
      <w:r w:rsidRPr="00C77485">
        <w:t>SFG refer</w:t>
      </w:r>
      <w:r>
        <w:t>red</w:t>
      </w:r>
      <w:r w:rsidRPr="00C77485">
        <w:t xml:space="preserve"> to three </w:t>
      </w:r>
      <w:r>
        <w:t>pieces</w:t>
      </w:r>
      <w:r w:rsidRPr="00C77485">
        <w:t xml:space="preserve"> of evidence on the domestic</w:t>
      </w:r>
      <w:r>
        <w:t>-foreign</w:t>
      </w:r>
      <w:r w:rsidRPr="00C77485">
        <w:t xml:space="preserve"> ownership</w:t>
      </w:r>
      <w:r>
        <w:t xml:space="preserve"> split</w:t>
      </w:r>
      <w:r w:rsidRPr="00C77485">
        <w:t xml:space="preserve"> of Australian equities:</w:t>
      </w:r>
      <w:r>
        <w:rPr>
          <w:rStyle w:val="FootnoteReference"/>
        </w:rPr>
        <w:footnoteReference w:id="188"/>
      </w:r>
      <w:r w:rsidRPr="00C77485">
        <w:t xml:space="preserve"> </w:t>
      </w:r>
    </w:p>
    <w:p w:rsidR="001E32C9" w:rsidRDefault="001E32C9" w:rsidP="001E32C9">
      <w:pPr>
        <w:pStyle w:val="AERbulletlistfirststyle"/>
      </w:pPr>
      <w:r>
        <w:t>A</w:t>
      </w:r>
      <w:r w:rsidRPr="00C77485">
        <w:t xml:space="preserve"> graph from a 201</w:t>
      </w:r>
      <w:r>
        <w:t>0 Reserve Bank of Australia Bulletin article by Black and Kirkwood.</w:t>
      </w:r>
      <w:r>
        <w:rPr>
          <w:rStyle w:val="FootnoteReference"/>
        </w:rPr>
        <w:footnoteReference w:id="189"/>
      </w:r>
      <w:r w:rsidRPr="00C77485">
        <w:t xml:space="preserve"> </w:t>
      </w:r>
    </w:p>
    <w:p w:rsidR="001E32C9" w:rsidRDefault="001E32C9" w:rsidP="001E32C9">
      <w:pPr>
        <w:pStyle w:val="AERbulletlistfirststyle"/>
      </w:pPr>
      <w:r>
        <w:t>A</w:t>
      </w:r>
      <w:r w:rsidRPr="00C77485">
        <w:t xml:space="preserve"> foreign ownership series that SFG itself derived from the </w:t>
      </w:r>
      <w:r>
        <w:t>National Accounts.</w:t>
      </w:r>
      <w:r>
        <w:rPr>
          <w:rStyle w:val="FootnoteReference"/>
        </w:rPr>
        <w:footnoteReference w:id="190"/>
      </w:r>
    </w:p>
    <w:p w:rsidR="001E32C9" w:rsidRDefault="001E32C9" w:rsidP="001E32C9">
      <w:pPr>
        <w:pStyle w:val="AERbulletlistfirststyle"/>
      </w:pPr>
      <w:r>
        <w:t>A</w:t>
      </w:r>
      <w:r w:rsidRPr="00C77485">
        <w:t>n estimate from a 2013 report by the ASX.</w:t>
      </w:r>
      <w:r>
        <w:rPr>
          <w:rStyle w:val="FootnoteReference"/>
        </w:rPr>
        <w:footnoteReference w:id="191"/>
      </w:r>
      <w:r w:rsidRPr="00C77485">
        <w:t xml:space="preserve"> </w:t>
      </w:r>
    </w:p>
    <w:p w:rsidR="001E32C9" w:rsidRDefault="001E32C9" w:rsidP="001E32C9">
      <w:pPr>
        <w:pStyle w:val="AERbodytext"/>
      </w:pPr>
      <w:r w:rsidRPr="00C77485">
        <w:t>However, all of these estimates use data from</w:t>
      </w:r>
      <w:r>
        <w:t xml:space="preserve"> the same source; specifically,</w:t>
      </w:r>
      <w:r w:rsidRPr="00C77485">
        <w:t xml:space="preserve"> </w:t>
      </w:r>
      <w:r>
        <w:t xml:space="preserve">table 32 of </w:t>
      </w:r>
      <w:r w:rsidRPr="00C77485">
        <w:t>Australian National Accounts: Financial Accounts (ABS cat. 5232.0) (albeit from different releases of this data over time). This fact is clear in respect of</w:t>
      </w:r>
      <w:r>
        <w:t>:</w:t>
      </w:r>
    </w:p>
    <w:p w:rsidR="001E32C9" w:rsidRDefault="001E32C9" w:rsidP="001E32C9">
      <w:pPr>
        <w:pStyle w:val="AERbulletlistfirststyle"/>
      </w:pPr>
      <w:r w:rsidRPr="00C77485">
        <w:t xml:space="preserve">the foreign ownership series derived by SFG given the source </w:t>
      </w:r>
      <w:r>
        <w:t>for figure 9 in SFG's report, and</w:t>
      </w:r>
    </w:p>
    <w:p w:rsidR="001E32C9" w:rsidRDefault="001E32C9" w:rsidP="001E32C9">
      <w:pPr>
        <w:pStyle w:val="AERbulletlistfirststyle"/>
      </w:pPr>
      <w:r w:rsidRPr="00C77485">
        <w:t xml:space="preserve">the estimate from the ASX report given footnote 218 in SFG's report. </w:t>
      </w:r>
    </w:p>
    <w:p w:rsidR="009B1A2A" w:rsidRPr="005657CB" w:rsidRDefault="001E32C9" w:rsidP="001E32C9">
      <w:pPr>
        <w:pStyle w:val="AERbodytext"/>
      </w:pPr>
      <w:r>
        <w:t>This fact is less clear</w:t>
      </w:r>
      <w:r w:rsidRPr="005657CB">
        <w:t xml:space="preserve"> for the graph in Black and Kirkwood's article because, although the ABS is recognised as a source, the specific ABS series does not appear to be identified in the article. However, </w:t>
      </w:r>
      <w:r>
        <w:t>we have been able to</w:t>
      </w:r>
      <w:r w:rsidRPr="005657CB">
        <w:t xml:space="preserve"> identify table 32 of ABS cat. 5232.0 as the source by graphing the 'rest of world' holdings of equity from the March 2010 release of ABS cat. 5232.0, which included data up to December 2009. </w:t>
      </w:r>
    </w:p>
    <w:p w:rsidR="001E32C9" w:rsidRDefault="001E32C9" w:rsidP="001E32C9">
      <w:pPr>
        <w:pStyle w:val="Heading9"/>
        <w:numPr>
          <w:ilvl w:val="6"/>
          <w:numId w:val="57"/>
        </w:numPr>
      </w:pPr>
      <w:r>
        <w:lastRenderedPageBreak/>
        <w:t xml:space="preserve">Comparison with the </w:t>
      </w:r>
      <w:r w:rsidR="0033289B">
        <w:t>Guideline</w:t>
      </w:r>
      <w:r>
        <w:t xml:space="preserve"> estimate</w:t>
      </w:r>
    </w:p>
    <w:p w:rsidR="001E32C9" w:rsidRDefault="001E32C9" w:rsidP="001E32C9">
      <w:pPr>
        <w:pStyle w:val="AERbodytext"/>
      </w:pPr>
      <w:r>
        <w:t xml:space="preserve">SFG assessed the </w:t>
      </w:r>
      <w:r w:rsidR="0033289B">
        <w:t>Guideline</w:t>
      </w:r>
      <w:r>
        <w:t xml:space="preserve"> estimate of the domestic ownership share, which was based on all equity, against estimates based on listed equity only.</w:t>
      </w:r>
    </w:p>
    <w:p w:rsidR="001E32C9" w:rsidRDefault="001E32C9" w:rsidP="001E32C9">
      <w:pPr>
        <w:pStyle w:val="AERbodytext"/>
      </w:pPr>
      <w:r>
        <w:t xml:space="preserve">SFG's analysis on pages 82 to 84 of its report suggests that the 70 per cent estimate of the domestic ownership share in the </w:t>
      </w:r>
      <w:r w:rsidR="0033289B">
        <w:t>Guideline</w:t>
      </w:r>
      <w:r>
        <w:t xml:space="preserve"> is too high when compared to the three sources of evidence identified by SFG.</w:t>
      </w:r>
      <w:r>
        <w:rPr>
          <w:rStyle w:val="FootnoteReference"/>
        </w:rPr>
        <w:footnoteReference w:id="192"/>
      </w:r>
      <w:r>
        <w:t xml:space="preserve"> As discussed above, the three sources identified by SFG all rely on the same table from the National Accounts. Moreover, this </w:t>
      </w:r>
      <w:r w:rsidRPr="00C77485">
        <w:t xml:space="preserve">table relates to listed equity only, whereas the 70 per cent estimate </w:t>
      </w:r>
      <w:r>
        <w:t xml:space="preserve">quoted in the </w:t>
      </w:r>
      <w:r w:rsidR="0033289B">
        <w:t>Guideline</w:t>
      </w:r>
      <w:r>
        <w:t xml:space="preserve"> came </w:t>
      </w:r>
      <w:r w:rsidRPr="00C77485">
        <w:t xml:space="preserve">from the 2007 feature article by the ABS </w:t>
      </w:r>
      <w:r>
        <w:t xml:space="preserve">and </w:t>
      </w:r>
      <w:r w:rsidRPr="00C77485">
        <w:t>related to both listed and unlisted equity.</w:t>
      </w:r>
    </w:p>
    <w:p w:rsidR="009B1A2A" w:rsidRPr="00C77485" w:rsidRDefault="009B1A2A" w:rsidP="001E32C9">
      <w:pPr>
        <w:pStyle w:val="AERbodytext"/>
      </w:pPr>
      <w:r>
        <w:t xml:space="preserve">In summary, SFG appears to attempt to demonstrate that our estimate of the domestic ownership share in the Guideline was incorrect or out-dated. However, close examination of SFG's report reveals that SFG's report and the Guideline </w:t>
      </w:r>
      <w:r w:rsidR="00B86469">
        <w:t>used</w:t>
      </w:r>
      <w:r w:rsidR="00003016">
        <w:t xml:space="preserve"> </w:t>
      </w:r>
      <w:r w:rsidR="00096ECC">
        <w:t xml:space="preserve">estimates of </w:t>
      </w:r>
      <w:r w:rsidR="00003016">
        <w:t xml:space="preserve">different </w:t>
      </w:r>
      <w:r w:rsidR="00096ECC">
        <w:t>things</w:t>
      </w:r>
      <w:r>
        <w:t>. SFG's report used data on equity ownership from listed equity only. In the Guideline, we used data on equity ownership from all equity. In this draft decision, we rely on equity ownership data from both listed equity only and all equity.</w:t>
      </w:r>
    </w:p>
    <w:p w:rsidR="001E32C9" w:rsidRDefault="001E32C9" w:rsidP="001E32C9">
      <w:pPr>
        <w:pStyle w:val="Heading9"/>
        <w:numPr>
          <w:ilvl w:val="6"/>
          <w:numId w:val="57"/>
        </w:numPr>
      </w:pPr>
      <w:r>
        <w:t>ABS data quality</w:t>
      </w:r>
    </w:p>
    <w:p w:rsidR="001E32C9" w:rsidRDefault="001E32C9" w:rsidP="001E32C9">
      <w:pPr>
        <w:pStyle w:val="AERbodytext"/>
      </w:pPr>
      <w:r>
        <w:t>Our regard to data from the National Accounts is not affected by the data quality concerns identified by SFG.</w:t>
      </w:r>
    </w:p>
    <w:p w:rsidR="001E32C9" w:rsidRPr="00C77485" w:rsidRDefault="001E32C9" w:rsidP="001E32C9">
      <w:pPr>
        <w:pStyle w:val="AERbodytext"/>
      </w:pPr>
      <w:r w:rsidRPr="00C77485">
        <w:t>SFG state</w:t>
      </w:r>
      <w:r>
        <w:t>d</w:t>
      </w:r>
      <w:r w:rsidRPr="00C77485">
        <w:t xml:space="preserve"> that:</w:t>
      </w:r>
      <w:r>
        <w:rPr>
          <w:rStyle w:val="FootnoteReference"/>
        </w:rPr>
        <w:footnoteReference w:id="193"/>
      </w:r>
    </w:p>
    <w:p w:rsidR="001E32C9" w:rsidRPr="00C77485" w:rsidRDefault="001E32C9" w:rsidP="001E32C9">
      <w:pPr>
        <w:pStyle w:val="AERquote"/>
      </w:pPr>
      <w:r w:rsidRPr="00C77485">
        <w:t>The Australian Bureau of Statistics has posted a data quality warning in relation to the data that has been relied upon by Lally (2103a) [sic] and the AER.</w:t>
      </w:r>
    </w:p>
    <w:p w:rsidR="001E32C9" w:rsidRPr="00C77485" w:rsidRDefault="001E32C9" w:rsidP="001E32C9">
      <w:pPr>
        <w:pStyle w:val="AERbodytext"/>
      </w:pPr>
      <w:r w:rsidRPr="00C77485">
        <w:t>The 'data quality warning' to which SFG refer</w:t>
      </w:r>
      <w:r>
        <w:t>red</w:t>
      </w:r>
      <w:r w:rsidRPr="00C77485">
        <w:t xml:space="preserve"> is a section from an ABS feature article from 1992.</w:t>
      </w:r>
      <w:r w:rsidRPr="009A339F">
        <w:rPr>
          <w:rStyle w:val="FootnoteReference"/>
        </w:rPr>
        <w:footnoteReference w:id="194"/>
      </w:r>
      <w:r w:rsidRPr="00C77485">
        <w:t xml:space="preserve"> It gives us no cause to stop having regard to data from </w:t>
      </w:r>
      <w:r>
        <w:t>the National Accounts</w:t>
      </w:r>
      <w:r w:rsidRPr="00C77485">
        <w:t xml:space="preserve">. This is because: </w:t>
      </w:r>
    </w:p>
    <w:p w:rsidR="001E32C9" w:rsidRPr="00C77485" w:rsidRDefault="001E32C9" w:rsidP="001E32C9">
      <w:pPr>
        <w:pStyle w:val="AERbulletlistfirststyle"/>
      </w:pPr>
      <w:r w:rsidRPr="00C77485">
        <w:t xml:space="preserve">The ABS article in question is over 20 years old. We consider that the ABS has likely improved the quality of this data over time. </w:t>
      </w:r>
      <w:r>
        <w:t>T</w:t>
      </w:r>
      <w:r w:rsidRPr="00C77485">
        <w:t>he September 2014 release of ABS cat. 5232.0 discusses in some detail the most recent set of revisions and improvements to this data.</w:t>
      </w:r>
      <w:r w:rsidRPr="003377F9">
        <w:rPr>
          <w:rStyle w:val="FootnoteReference"/>
        </w:rPr>
        <w:footnoteReference w:id="195"/>
      </w:r>
    </w:p>
    <w:p w:rsidR="001E32C9" w:rsidRPr="00C77485" w:rsidRDefault="001E32C9" w:rsidP="001E32C9">
      <w:pPr>
        <w:pStyle w:val="AERbulletlistfirststyle"/>
      </w:pPr>
      <w:r w:rsidRPr="00C77485">
        <w:t xml:space="preserve">The data is deemed to be of publishable quality by </w:t>
      </w:r>
      <w:r>
        <w:t>the ABS</w:t>
      </w:r>
      <w:r w:rsidRPr="00C77485">
        <w:t xml:space="preserve">. We therefore think it is reasonable to have regard to it, notwithstanding any residual quality issues that may exist.  </w:t>
      </w:r>
    </w:p>
    <w:p w:rsidR="001E32C9" w:rsidRPr="00C77485" w:rsidRDefault="001E32C9" w:rsidP="001E32C9">
      <w:pPr>
        <w:pStyle w:val="AERbulletlistfirststyle"/>
      </w:pPr>
      <w:r w:rsidRPr="00C77485">
        <w:t>This 'data quality warning' is not repeated in the ABS feature article from 2007.</w:t>
      </w:r>
    </w:p>
    <w:p w:rsidR="001E32C9" w:rsidRDefault="001E32C9" w:rsidP="001E32C9">
      <w:pPr>
        <w:pStyle w:val="Heading8"/>
        <w:numPr>
          <w:ilvl w:val="5"/>
          <w:numId w:val="57"/>
        </w:numPr>
      </w:pPr>
      <w:bookmarkStart w:id="79" w:name="_Ref402179420"/>
      <w:r>
        <w:t>Tax statistics</w:t>
      </w:r>
      <w:bookmarkEnd w:id="79"/>
    </w:p>
    <w:p w:rsidR="001E32C9" w:rsidRDefault="001E32C9" w:rsidP="001E32C9">
      <w:pPr>
        <w:pStyle w:val="AERbodytext"/>
      </w:pPr>
      <w:r w:rsidRPr="00863CA4">
        <w:t xml:space="preserve">The ATO publishes aggregate statistics on the tax returns submitted by individuals, superannuation funds and companies, as well as on the imputation credits refunded to </w:t>
      </w:r>
      <w:r>
        <w:t xml:space="preserve">certain income tax exempt </w:t>
      </w:r>
      <w:r>
        <w:lastRenderedPageBreak/>
        <w:t>entities (for example,</w:t>
      </w:r>
      <w:r w:rsidRPr="00863CA4">
        <w:t xml:space="preserve"> charities).</w:t>
      </w:r>
      <w:r>
        <w:rPr>
          <w:rStyle w:val="FootnoteReference"/>
        </w:rPr>
        <w:footnoteReference w:id="196"/>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amount of credits utilised divided by the reported amount of credits distributed is a reasonable estimate of the utilisation rate.</w:t>
      </w:r>
    </w:p>
    <w:p w:rsidR="001E32C9" w:rsidRDefault="001E32C9" w:rsidP="001E32C9">
      <w:pPr>
        <w:pStyle w:val="AERbodytext"/>
      </w:pPr>
      <w:r>
        <w:t xml:space="preserve">Our position on the use of tax statistics to estimate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In this section, we explain how our position has changed compared to that in the </w:t>
      </w:r>
      <w:r w:rsidR="0033289B">
        <w:t>Guideline</w:t>
      </w:r>
      <w:r>
        <w:t>.</w:t>
      </w:r>
    </w:p>
    <w:p w:rsidR="001E32C9" w:rsidRDefault="001E32C9" w:rsidP="001E32C9">
      <w:pPr>
        <w:pStyle w:val="AERbodytext"/>
      </w:pPr>
      <w:r>
        <w:t>We consider that tax statistics support an estimate of the utilisation rate between 0.4 and 0.6, although our estimate of the distribution rate implies that we should adopt a utilisation rate of around 0.43 from within this range.</w:t>
      </w:r>
    </w:p>
    <w:p w:rsidR="001E32C9" w:rsidRDefault="001E32C9" w:rsidP="001E32C9">
      <w:pPr>
        <w:pStyle w:val="AERbodytext"/>
      </w:pPr>
      <w:r>
        <w:t xml:space="preserve">In the </w:t>
      </w:r>
      <w:r w:rsidR="0033289B">
        <w:t>Guideline</w:t>
      </w:r>
      <w:r>
        <w:t>, we considered that tax statistics supported a utilisation rate between 0.4 and 0.8. This was based on:</w:t>
      </w:r>
    </w:p>
    <w:p w:rsidR="001E32C9" w:rsidRDefault="001E32C9" w:rsidP="001E32C9">
      <w:pPr>
        <w:pStyle w:val="AERbulletlistfirststyle"/>
      </w:pPr>
      <w:r>
        <w:t xml:space="preserve">A 2013 report by Hathaway, </w:t>
      </w:r>
      <w:r w:rsidRPr="002D06FF">
        <w:t xml:space="preserve">which </w:t>
      </w:r>
      <w:r>
        <w:t>sought</w:t>
      </w:r>
      <w:r w:rsidRPr="002D06FF">
        <w:t xml:space="preserve"> to estimate the </w:t>
      </w:r>
      <w:r>
        <w:t>proportion</w:t>
      </w:r>
      <w:r w:rsidRPr="002D06FF">
        <w:t xml:space="preserve"> of distributed credits that have been </w:t>
      </w:r>
      <w:r>
        <w:t>utilised</w:t>
      </w:r>
      <w:r w:rsidRPr="002D06FF">
        <w:t>.</w:t>
      </w:r>
      <w:r>
        <w:t xml:space="preserve"> This report produced two estimates for the period 2004 to 2011: 0.43 and 0.61. The two estimates reflect two alternative measures of the value of credits distributed, which in turn imply two alternative estimates of the distribution rate (as discussed in section </w:t>
      </w:r>
      <w:r>
        <w:fldChar w:fldCharType="begin"/>
      </w:r>
      <w:r>
        <w:instrText xml:space="preserve"> REF _Ref401133206 \r \h </w:instrText>
      </w:r>
      <w:r>
        <w:fldChar w:fldCharType="separate"/>
      </w:r>
      <w:r w:rsidR="00927273">
        <w:t>A.9</w:t>
      </w:r>
      <w:r>
        <w:fldChar w:fldCharType="end"/>
      </w:r>
      <w:r>
        <w:t>). The 0.43 and 0.61 estimates of the utilisation rate correspond to estimates of the distribution rate of around 0.7 and 0.5 respectively.</w:t>
      </w:r>
      <w:r>
        <w:rPr>
          <w:rStyle w:val="FootnoteReference"/>
        </w:rPr>
        <w:footnoteReference w:id="197"/>
      </w:r>
      <w:r>
        <w:t xml:space="preserve"> </w:t>
      </w:r>
    </w:p>
    <w:p w:rsidR="001E32C9" w:rsidRDefault="001E32C9" w:rsidP="001E32C9">
      <w:pPr>
        <w:pStyle w:val="AERbulletlistfirststyle"/>
      </w:pPr>
      <w:r>
        <w:t xml:space="preserve">A 2004 paper by Handley and </w:t>
      </w:r>
      <w:proofErr w:type="spellStart"/>
      <w:r>
        <w:t>Maheswaran</w:t>
      </w:r>
      <w:proofErr w:type="spellEnd"/>
      <w:r>
        <w:t>, which sought</w:t>
      </w:r>
      <w:r w:rsidRPr="002D06FF">
        <w:t xml:space="preserve"> to estimate the </w:t>
      </w:r>
      <w:r>
        <w:t>proportion</w:t>
      </w:r>
      <w:r w:rsidRPr="002D06FF">
        <w:t xml:space="preserve"> of distributed credits that were used to reduce </w:t>
      </w:r>
      <w:r>
        <w:t>investors' tax liabilities. This paper produced an estimate for the period 2001 to 2004 of 0.81.</w:t>
      </w:r>
    </w:p>
    <w:p w:rsidR="001E32C9" w:rsidRDefault="001E32C9" w:rsidP="001E32C9">
      <w:pPr>
        <w:pStyle w:val="AERbodytext"/>
      </w:pPr>
      <w:r>
        <w:t xml:space="preserve">Since the </w:t>
      </w:r>
      <w:r w:rsidR="0033289B">
        <w:t>Guideline</w:t>
      </w:r>
      <w:r>
        <w:t xml:space="preserve"> we have continued to examine this evidence. We now consider that greater reliance should be placed upon estimates that are:</w:t>
      </w:r>
    </w:p>
    <w:p w:rsidR="001E32C9" w:rsidRDefault="001E32C9" w:rsidP="001E32C9">
      <w:pPr>
        <w:pStyle w:val="AERbulletlistfirststyle"/>
      </w:pPr>
      <w:r>
        <w:t>derived from post-2004 data, consistent with Hathaway's findings that the ATO statistics are subject to a number of issues prior to 2004,</w:t>
      </w:r>
      <w:r>
        <w:rPr>
          <w:rStyle w:val="FootnoteReference"/>
        </w:rPr>
        <w:footnoteReference w:id="198"/>
      </w:r>
      <w:r>
        <w:t xml:space="preserve"> and</w:t>
      </w:r>
    </w:p>
    <w:p w:rsidR="001E32C9" w:rsidRDefault="001E32C9" w:rsidP="001E32C9">
      <w:pPr>
        <w:pStyle w:val="AERbulletlistfirststyle"/>
      </w:pPr>
      <w:r>
        <w:t>consistent with our preferred estimates of the distribution rate.</w:t>
      </w:r>
    </w:p>
    <w:p w:rsidR="001E32C9" w:rsidRDefault="001E32C9" w:rsidP="001E32C9">
      <w:pPr>
        <w:pStyle w:val="AERbodytext"/>
      </w:pPr>
      <w:r>
        <w:t>Applying these considerations, we place less reliance upon:</w:t>
      </w:r>
    </w:p>
    <w:p w:rsidR="001E32C9" w:rsidRDefault="001E32C9" w:rsidP="001E32C9">
      <w:pPr>
        <w:pStyle w:val="AERbulletlistfirststyle"/>
      </w:pPr>
      <w:r>
        <w:t xml:space="preserve">Handley and </w:t>
      </w:r>
      <w:proofErr w:type="spellStart"/>
      <w:r>
        <w:t>Maheswaran's</w:t>
      </w:r>
      <w:proofErr w:type="spellEnd"/>
      <w:r>
        <w:t xml:space="preserve"> estimate of 0.81, because this is (predominantly) derived from pre-2004 data.</w:t>
      </w:r>
    </w:p>
    <w:p w:rsidR="001E32C9" w:rsidRDefault="001E32C9" w:rsidP="001E32C9">
      <w:pPr>
        <w:pStyle w:val="AERbulletlistfirststyle"/>
      </w:pPr>
      <w:r>
        <w:t xml:space="preserve">Hathaway's estimate of 0.61, because this corresponds to an estimate of the distribution rate of around 0.5 whereas we </w:t>
      </w:r>
      <w:r w:rsidR="00026B9F">
        <w:t>adopt an</w:t>
      </w:r>
      <w:r>
        <w:t xml:space="preserve"> estimate of the distribution rate</w:t>
      </w:r>
      <w:r w:rsidR="00026B9F">
        <w:t xml:space="preserve"> over all equity</w:t>
      </w:r>
      <w:r>
        <w:t xml:space="preserve"> of 0.7.</w:t>
      </w:r>
    </w:p>
    <w:p w:rsidR="001E32C9" w:rsidRDefault="001E32C9" w:rsidP="001E32C9">
      <w:pPr>
        <w:pStyle w:val="Heading8"/>
        <w:numPr>
          <w:ilvl w:val="5"/>
          <w:numId w:val="57"/>
        </w:numPr>
      </w:pPr>
      <w:bookmarkStart w:id="80" w:name="_Ref401080753"/>
      <w:bookmarkEnd w:id="47"/>
      <w:bookmarkEnd w:id="48"/>
      <w:r>
        <w:lastRenderedPageBreak/>
        <w:t>Implied market value studies</w:t>
      </w:r>
      <w:bookmarkEnd w:id="80"/>
    </w:p>
    <w:p w:rsidR="001E32C9" w:rsidRDefault="001E32C9" w:rsidP="001E32C9">
      <w:pPr>
        <w:pStyle w:val="AERbodytext"/>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t>
      </w:r>
    </w:p>
    <w:p w:rsidR="001E32C9" w:rsidRDefault="001E32C9" w:rsidP="001E32C9">
      <w:pPr>
        <w:pStyle w:val="AERbodytext"/>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the level of reliance we place on implied market value studies reflects the limitations of these studies. We discuss the limitations of the most common type of implied market value study, dividend drop off studies, in section </w:t>
      </w:r>
      <w:r>
        <w:fldChar w:fldCharType="begin"/>
      </w:r>
      <w:r>
        <w:instrText xml:space="preserve"> REF _Ref401276227 \r \h </w:instrText>
      </w:r>
      <w:r>
        <w:fldChar w:fldCharType="separate"/>
      </w:r>
      <w:r w:rsidR="00927273">
        <w:t>A.15</w:t>
      </w:r>
      <w:r>
        <w:fldChar w:fldCharType="end"/>
      </w:r>
      <w:r>
        <w:t>.</w:t>
      </w:r>
    </w:p>
    <w:p w:rsidR="001E32C9" w:rsidRPr="00222643" w:rsidRDefault="001E32C9" w:rsidP="001E32C9">
      <w:pPr>
        <w:pStyle w:val="Heading9"/>
        <w:numPr>
          <w:ilvl w:val="6"/>
          <w:numId w:val="57"/>
        </w:numPr>
      </w:pPr>
      <w:bookmarkStart w:id="81" w:name="_Ref402791521"/>
      <w:r w:rsidRPr="00222643">
        <w:t>Types of implied market value studies</w:t>
      </w:r>
      <w:bookmarkEnd w:id="81"/>
    </w:p>
    <w:p w:rsidR="001E32C9" w:rsidRPr="00222643" w:rsidRDefault="001E32C9" w:rsidP="001E32C9">
      <w:pPr>
        <w:pStyle w:val="AERbodytext"/>
      </w:pPr>
      <w:r w:rsidRPr="00222643">
        <w:t>In this section, we describe the key characteristics of dividend drop off studies and other implied market value studies.</w:t>
      </w:r>
    </w:p>
    <w:p w:rsidR="001E32C9" w:rsidRPr="00222643" w:rsidRDefault="001E32C9" w:rsidP="001E32C9">
      <w:pPr>
        <w:pStyle w:val="HeadingBoldBlue"/>
      </w:pPr>
      <w:r w:rsidRPr="00222643">
        <w:t>Dividend drop off studies</w:t>
      </w:r>
    </w:p>
    <w:p w:rsidR="001E32C9" w:rsidRPr="00222643" w:rsidRDefault="001E32C9" w:rsidP="001E32C9">
      <w:pPr>
        <w:pStyle w:val="AERbodytext"/>
      </w:pPr>
      <w:r w:rsidRPr="00222643">
        <w:t>Dividend drop off studies are the most common type of implied market value study. These studies involve comparing share prices between:</w:t>
      </w:r>
    </w:p>
    <w:p w:rsidR="001E32C9" w:rsidRPr="00222643" w:rsidRDefault="001E32C9" w:rsidP="001E32C9">
      <w:pPr>
        <w:pStyle w:val="AERbulletlistfirststyle"/>
      </w:pPr>
      <w:r w:rsidRPr="00222643">
        <w:t>the cum-dividend date—the last day on which investors owning shares will be eligible to receive dividends and the attached imputation credits</w:t>
      </w:r>
      <w:r>
        <w:t>, and</w:t>
      </w:r>
    </w:p>
    <w:p w:rsidR="001E32C9" w:rsidRPr="00222643" w:rsidRDefault="001E32C9" w:rsidP="001E32C9">
      <w:pPr>
        <w:pStyle w:val="AERbulletlistfirststyle"/>
      </w:pPr>
      <w:r w:rsidRPr="00222643">
        <w:t>the ex-dividend date—the first day on which investors owning shares will not be eligible to receive dividends and attached imputation credits.</w:t>
      </w:r>
    </w:p>
    <w:p w:rsidR="001E32C9" w:rsidRDefault="001E32C9" w:rsidP="001E32C9">
      <w:pPr>
        <w:pStyle w:val="AERbodytext"/>
      </w:pPr>
      <w:r w:rsidRPr="00222643">
        <w:t xml:space="preserve">That is, an investor that buys a share on the cum-dividend date will be eligible to receive a dividend from that company. In theory, an investor who buys a share on the ex-dividend date will not. The difference in these prices should therefore reflect the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1E32C9" w:rsidRDefault="001E32C9" w:rsidP="001E32C9">
      <w:pPr>
        <w:pStyle w:val="AERbodytext"/>
      </w:pPr>
      <w:r>
        <w:fldChar w:fldCharType="begin"/>
      </w:r>
      <w:r>
        <w:instrText xml:space="preserve"> REF _Ref401075742 \h </w:instrText>
      </w:r>
      <w:r>
        <w:fldChar w:fldCharType="separate"/>
      </w:r>
      <w:r w:rsidR="00927273">
        <w:t xml:space="preserve">Table </w:t>
      </w:r>
      <w:r w:rsidR="00927273">
        <w:rPr>
          <w:noProof/>
        </w:rPr>
        <w:t>4</w:t>
      </w:r>
      <w:r w:rsidR="004C6F08">
        <w:t>.</w:t>
      </w:r>
      <w:r w:rsidR="00927273">
        <w:rPr>
          <w:noProof/>
        </w:rPr>
        <w:t>8</w:t>
      </w:r>
      <w:r>
        <w:fldChar w:fldCharType="end"/>
      </w:r>
      <w:r>
        <w:t xml:space="preserve"> </w:t>
      </w:r>
      <w:r w:rsidR="008104A9">
        <w:t xml:space="preserve">identifies the dividend drop off studies that we are aware of, and </w:t>
      </w:r>
      <w:r w:rsidR="00F72F56">
        <w:t xml:space="preserve">describes </w:t>
      </w:r>
      <w:r>
        <w:t xml:space="preserve">the </w:t>
      </w:r>
      <w:r w:rsidR="00F72F56">
        <w:t xml:space="preserve">methodology of each </w:t>
      </w:r>
      <w:r>
        <w:t>stud</w:t>
      </w:r>
      <w:r w:rsidR="00F72F56">
        <w:t>y</w:t>
      </w:r>
      <w:r>
        <w:t>.</w:t>
      </w:r>
      <w:r w:rsidR="00F72F56">
        <w:t xml:space="preserve"> The results from these studies are presented in </w:t>
      </w:r>
      <w:r w:rsidR="00065E24">
        <w:fldChar w:fldCharType="begin"/>
      </w:r>
      <w:r w:rsidR="00065E24">
        <w:instrText xml:space="preserve"> REF  _Ref401075676 \* Lower \h </w:instrText>
      </w:r>
      <w:r w:rsidR="00065E24">
        <w:fldChar w:fldCharType="separate"/>
      </w:r>
      <w:r w:rsidR="00927273">
        <w:t xml:space="preserve">table </w:t>
      </w:r>
      <w:r w:rsidR="00927273">
        <w:rPr>
          <w:noProof/>
        </w:rPr>
        <w:t>4</w:t>
      </w:r>
      <w:r w:rsidR="00927273">
        <w:noBreakHyphen/>
      </w:r>
      <w:r w:rsidR="00927273">
        <w:rPr>
          <w:noProof/>
        </w:rPr>
        <w:t>10</w:t>
      </w:r>
      <w:r w:rsidR="00065E24">
        <w:fldChar w:fldCharType="end"/>
      </w:r>
      <w:r w:rsidR="00F72F56">
        <w:t>.</w:t>
      </w:r>
    </w:p>
    <w:p w:rsidR="001E32C9" w:rsidRDefault="001E32C9" w:rsidP="001E32C9">
      <w:pPr>
        <w:pStyle w:val="Caption"/>
      </w:pPr>
      <w:bookmarkStart w:id="82" w:name="_Ref401075742"/>
      <w:r>
        <w:t xml:space="preserve">Table </w:t>
      </w:r>
      <w:fldSimple w:instr=" STYLEREF 1 \s ">
        <w:r w:rsidR="00927273">
          <w:rPr>
            <w:noProof/>
          </w:rPr>
          <w:t>4</w:t>
        </w:r>
      </w:fldSimple>
      <w:r w:rsidR="00C20561">
        <w:noBreakHyphen/>
      </w:r>
      <w:fldSimple w:instr=" SEQ Table \* ARABIC \s 1 ">
        <w:r w:rsidR="00927273">
          <w:rPr>
            <w:noProof/>
          </w:rPr>
          <w:t>8</w:t>
        </w:r>
      </w:fldSimple>
      <w:bookmarkEnd w:id="82"/>
      <w:r>
        <w:tab/>
        <w:t>Summary of available dividend drop off studies</w:t>
      </w:r>
    </w:p>
    <w:tbl>
      <w:tblPr>
        <w:tblStyle w:val="AERtable-text"/>
        <w:tblW w:w="0" w:type="auto"/>
        <w:tblLook w:val="04A0" w:firstRow="1" w:lastRow="0" w:firstColumn="1" w:lastColumn="0" w:noHBand="0" w:noVBand="1"/>
      </w:tblPr>
      <w:tblGrid>
        <w:gridCol w:w="2518"/>
        <w:gridCol w:w="1276"/>
        <w:gridCol w:w="5448"/>
      </w:tblGrid>
      <w:tr w:rsidR="001E32C9" w:rsidTr="004C6F08">
        <w:trPr>
          <w:cnfStyle w:val="100000000000" w:firstRow="1" w:lastRow="0" w:firstColumn="0" w:lastColumn="0" w:oddVBand="0" w:evenVBand="0" w:oddHBand="0" w:evenHBand="0" w:firstRowFirstColumn="0" w:firstRowLastColumn="0" w:lastRowFirstColumn="0" w:lastRowLastColumn="0"/>
          <w:tblHeader/>
        </w:trPr>
        <w:tc>
          <w:tcPr>
            <w:tcW w:w="2518" w:type="dxa"/>
          </w:tcPr>
          <w:p w:rsidR="001E32C9" w:rsidRPr="001E32C9" w:rsidRDefault="001E32C9" w:rsidP="001E32C9">
            <w:r w:rsidRPr="00222643">
              <w:t>Authors</w:t>
            </w:r>
          </w:p>
        </w:tc>
        <w:tc>
          <w:tcPr>
            <w:tcW w:w="1276" w:type="dxa"/>
          </w:tcPr>
          <w:p w:rsidR="001E32C9" w:rsidRPr="001E32C9" w:rsidRDefault="001E32C9" w:rsidP="001E32C9">
            <w:r w:rsidRPr="00222643">
              <w:t>Data range</w:t>
            </w:r>
          </w:p>
        </w:tc>
        <w:tc>
          <w:tcPr>
            <w:tcW w:w="5448" w:type="dxa"/>
          </w:tcPr>
          <w:p w:rsidR="001E32C9" w:rsidRPr="001E32C9" w:rsidRDefault="001E32C9" w:rsidP="001E32C9">
            <w:r w:rsidRPr="00222643">
              <w:t xml:space="preserve">Assessment </w:t>
            </w:r>
            <w:r w:rsidRPr="001E32C9">
              <w:t>relative to other studies in that class</w:t>
            </w:r>
          </w:p>
        </w:tc>
      </w:tr>
      <w:tr w:rsidR="001E32C9" w:rsidTr="001752ED">
        <w:tc>
          <w:tcPr>
            <w:tcW w:w="9242" w:type="dxa"/>
            <w:gridSpan w:val="3"/>
          </w:tcPr>
          <w:p w:rsidR="001E32C9" w:rsidRDefault="001E32C9" w:rsidP="001E32C9">
            <w:pPr>
              <w:pStyle w:val="AERbodytext"/>
            </w:pPr>
            <w:r w:rsidRPr="009229BE">
              <w:rPr>
                <w:rStyle w:val="AERtextbold"/>
              </w:rPr>
              <w:t>Dividend drop off study</w:t>
            </w:r>
            <w:r w:rsidRPr="00222643">
              <w:t xml:space="preserve"> – Compare share prices before and after dividend events (with and without imputation credits).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Vo et al (2013)</w:t>
            </w:r>
            <w:r w:rsidRPr="001E32C9">
              <w:rPr>
                <w:rStyle w:val="FootnoteReference"/>
              </w:rPr>
              <w:footnoteReference w:id="199"/>
            </w:r>
          </w:p>
        </w:tc>
        <w:tc>
          <w:tcPr>
            <w:tcW w:w="1276" w:type="dxa"/>
          </w:tcPr>
          <w:p w:rsidR="001E32C9" w:rsidRPr="001E32C9" w:rsidRDefault="001E32C9" w:rsidP="001E32C9">
            <w:r w:rsidRPr="00222643">
              <w:t>2001-2012</w:t>
            </w:r>
          </w:p>
        </w:tc>
        <w:tc>
          <w:tcPr>
            <w:tcW w:w="5448" w:type="dxa"/>
          </w:tcPr>
          <w:p w:rsidR="001E32C9" w:rsidRPr="001E32C9" w:rsidRDefault="001E32C9" w:rsidP="001E32C9">
            <w:r w:rsidRPr="00222643">
              <w:t xml:space="preserve">Builds on SFG (2011), </w:t>
            </w:r>
            <w:r w:rsidRPr="001E32C9">
              <w:t>includes additional econometric permutations and sensitivity analysis.</w:t>
            </w:r>
          </w:p>
        </w:tc>
      </w:tr>
      <w:tr w:rsidR="001E32C9" w:rsidTr="001752ED">
        <w:tc>
          <w:tcPr>
            <w:tcW w:w="2518" w:type="dxa"/>
          </w:tcPr>
          <w:p w:rsidR="001E32C9" w:rsidRPr="001E32C9" w:rsidRDefault="001E32C9" w:rsidP="001E32C9">
            <w:r w:rsidRPr="00222643">
              <w:t>SFG (2013a)</w:t>
            </w:r>
            <w:r w:rsidRPr="001E32C9">
              <w:rPr>
                <w:rStyle w:val="FootnoteReference"/>
              </w:rPr>
              <w:footnoteReference w:id="200"/>
            </w:r>
          </w:p>
        </w:tc>
        <w:tc>
          <w:tcPr>
            <w:tcW w:w="1276" w:type="dxa"/>
          </w:tcPr>
          <w:p w:rsidR="001E32C9" w:rsidRPr="001E32C9" w:rsidRDefault="001E32C9" w:rsidP="001E32C9">
            <w:r w:rsidRPr="00222643">
              <w:t>2001-2012</w:t>
            </w:r>
          </w:p>
        </w:tc>
        <w:tc>
          <w:tcPr>
            <w:tcW w:w="5448" w:type="dxa"/>
          </w:tcPr>
          <w:p w:rsidR="001E32C9" w:rsidRPr="001E32C9" w:rsidRDefault="001E32C9" w:rsidP="001E32C9">
            <w:r w:rsidRPr="00222643">
              <w:t>Updates SFG (2011) – same author, longer data series.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lastRenderedPageBreak/>
              <w:t>SFG (2011)</w:t>
            </w:r>
            <w:r w:rsidRPr="001E32C9">
              <w:rPr>
                <w:rStyle w:val="FootnoteReference"/>
              </w:rPr>
              <w:footnoteReference w:id="201"/>
            </w:r>
          </w:p>
        </w:tc>
        <w:tc>
          <w:tcPr>
            <w:tcW w:w="1276" w:type="dxa"/>
          </w:tcPr>
          <w:p w:rsidR="001E32C9" w:rsidRPr="001E32C9" w:rsidRDefault="001E32C9" w:rsidP="001E32C9">
            <w:r w:rsidRPr="00222643">
              <w:t>2001-2010</w:t>
            </w:r>
          </w:p>
        </w:tc>
        <w:tc>
          <w:tcPr>
            <w:tcW w:w="5448" w:type="dxa"/>
          </w:tcPr>
          <w:p w:rsidR="001E32C9" w:rsidRPr="001E32C9" w:rsidRDefault="001E32C9" w:rsidP="001E32C9">
            <w:r w:rsidRPr="00222643">
              <w:t xml:space="preserve">Study commissioned by the </w:t>
            </w:r>
            <w:r w:rsidRPr="001E32C9">
              <w:t>Australian Competition Tribunal.</w:t>
            </w:r>
          </w:p>
        </w:tc>
      </w:tr>
      <w:tr w:rsidR="001E32C9" w:rsidTr="001752ED">
        <w:tc>
          <w:tcPr>
            <w:tcW w:w="2518" w:type="dxa"/>
          </w:tcPr>
          <w:p w:rsidR="001E32C9" w:rsidRPr="001E32C9" w:rsidRDefault="001E32C9" w:rsidP="001E32C9">
            <w:proofErr w:type="spellStart"/>
            <w:r w:rsidRPr="00222643">
              <w:t>Minney</w:t>
            </w:r>
            <w:proofErr w:type="spellEnd"/>
            <w:r w:rsidRPr="00222643">
              <w:t xml:space="preserve"> (2010)</w:t>
            </w:r>
            <w:r w:rsidRPr="001E32C9">
              <w:rPr>
                <w:rStyle w:val="FootnoteReference"/>
              </w:rPr>
              <w:footnoteReference w:id="202"/>
            </w:r>
          </w:p>
        </w:tc>
        <w:tc>
          <w:tcPr>
            <w:tcW w:w="1276" w:type="dxa"/>
          </w:tcPr>
          <w:p w:rsidR="001E32C9" w:rsidRPr="001E32C9" w:rsidRDefault="001E32C9" w:rsidP="001E32C9">
            <w:r w:rsidRPr="00222643">
              <w:t>2001–2009</w:t>
            </w:r>
          </w:p>
        </w:tc>
        <w:tc>
          <w:tcPr>
            <w:tcW w:w="5448" w:type="dxa"/>
          </w:tcPr>
          <w:p w:rsidR="001E32C9" w:rsidRPr="001E32C9" w:rsidRDefault="001E32C9" w:rsidP="001E32C9">
            <w:r w:rsidRPr="00222643">
              <w:t>Partitions by firm</w:t>
            </w:r>
            <w:r w:rsidRPr="001E32C9">
              <w:t xml:space="preserve"> size; sub-periods 2001–2005 and 2006–2009.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proofErr w:type="spellStart"/>
            <w:r w:rsidRPr="00222643">
              <w:t>Beggs</w:t>
            </w:r>
            <w:proofErr w:type="spellEnd"/>
            <w:r w:rsidRPr="00222643">
              <w:t xml:space="preserve"> and </w:t>
            </w:r>
            <w:proofErr w:type="spellStart"/>
            <w:r w:rsidRPr="00222643">
              <w:t>Skeels</w:t>
            </w:r>
            <w:proofErr w:type="spellEnd"/>
            <w:r w:rsidRPr="00222643">
              <w:t xml:space="preserve"> (2006)</w:t>
            </w:r>
            <w:r w:rsidRPr="001E32C9">
              <w:rPr>
                <w:rStyle w:val="FootnoteReference"/>
              </w:rPr>
              <w:footnoteReference w:id="203"/>
            </w:r>
          </w:p>
        </w:tc>
        <w:tc>
          <w:tcPr>
            <w:tcW w:w="1276" w:type="dxa"/>
          </w:tcPr>
          <w:p w:rsidR="001E32C9" w:rsidRPr="001E32C9" w:rsidRDefault="001E32C9" w:rsidP="001E32C9">
            <w:r w:rsidRPr="00222643">
              <w:t>1986-2004</w:t>
            </w:r>
          </w:p>
        </w:tc>
        <w:tc>
          <w:tcPr>
            <w:tcW w:w="5448" w:type="dxa"/>
          </w:tcPr>
          <w:p w:rsidR="001E32C9" w:rsidRPr="001E32C9" w:rsidRDefault="001E32C9" w:rsidP="001E32C9">
            <w:r w:rsidRPr="00222643">
              <w:t>Key study in the AER's 2009 review</w:t>
            </w:r>
            <w:r w:rsidRPr="001E32C9">
              <w:t xml:space="preserve"> of rate of return parameters. Data calculated yearly.</w:t>
            </w:r>
          </w:p>
        </w:tc>
      </w:tr>
      <w:tr w:rsidR="001E32C9" w:rsidTr="001752ED">
        <w:tc>
          <w:tcPr>
            <w:tcW w:w="2518" w:type="dxa"/>
          </w:tcPr>
          <w:p w:rsidR="001E32C9" w:rsidRPr="001E32C9" w:rsidRDefault="001E32C9" w:rsidP="001E32C9">
            <w:r w:rsidRPr="00222643">
              <w:t>Hathaway and Officer (2004)</w:t>
            </w:r>
            <w:r w:rsidRPr="001E32C9">
              <w:rPr>
                <w:rStyle w:val="FootnoteReference"/>
              </w:rPr>
              <w:footnoteReference w:id="204"/>
            </w:r>
          </w:p>
        </w:tc>
        <w:tc>
          <w:tcPr>
            <w:tcW w:w="1276" w:type="dxa"/>
          </w:tcPr>
          <w:p w:rsidR="001E32C9" w:rsidRPr="001E32C9" w:rsidRDefault="001E32C9" w:rsidP="001E32C9">
            <w:r w:rsidRPr="00222643">
              <w:t>1986-2004</w:t>
            </w:r>
          </w:p>
        </w:tc>
        <w:tc>
          <w:tcPr>
            <w:tcW w:w="5448" w:type="dxa"/>
          </w:tcPr>
          <w:p w:rsidR="001E32C9" w:rsidRPr="001E32C9" w:rsidRDefault="001E32C9" w:rsidP="001E32C9">
            <w:r w:rsidRPr="00222643">
              <w:t xml:space="preserve">Study partitions by firm size, </w:t>
            </w:r>
            <w:r w:rsidRPr="001E32C9">
              <w:t>dividend yield level.</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 xml:space="preserve">Bellamy and </w:t>
            </w:r>
            <w:proofErr w:type="spellStart"/>
            <w:r w:rsidRPr="00222643">
              <w:t>Gray</w:t>
            </w:r>
            <w:proofErr w:type="spellEnd"/>
            <w:r w:rsidRPr="00222643">
              <w:t xml:space="preserve"> (2004)</w:t>
            </w:r>
            <w:r w:rsidRPr="001E32C9">
              <w:rPr>
                <w:rStyle w:val="FootnoteReference"/>
              </w:rPr>
              <w:footnoteReference w:id="205"/>
            </w:r>
          </w:p>
        </w:tc>
        <w:tc>
          <w:tcPr>
            <w:tcW w:w="1276" w:type="dxa"/>
          </w:tcPr>
          <w:p w:rsidR="001E32C9" w:rsidRPr="001E32C9" w:rsidRDefault="001E32C9" w:rsidP="001E32C9">
            <w:r w:rsidRPr="00222643">
              <w:t>1995-2002</w:t>
            </w:r>
          </w:p>
        </w:tc>
        <w:tc>
          <w:tcPr>
            <w:tcW w:w="5448" w:type="dxa"/>
          </w:tcPr>
          <w:p w:rsidR="001E32C9" w:rsidRPr="001E32C9" w:rsidRDefault="001E32C9" w:rsidP="001E32C9">
            <w:r w:rsidRPr="00222643">
              <w:t>Several regression forms</w:t>
            </w:r>
            <w:r w:rsidRPr="001E32C9">
              <w:t xml:space="preserve"> and sample selections. Partitions by size and time period (pre and post 45-day holding rule). Use of simulation to inform regression equation.</w:t>
            </w:r>
          </w:p>
        </w:tc>
      </w:tr>
      <w:tr w:rsidR="001E32C9" w:rsidTr="001752ED">
        <w:tc>
          <w:tcPr>
            <w:tcW w:w="2518" w:type="dxa"/>
          </w:tcPr>
          <w:p w:rsidR="001E32C9" w:rsidRPr="001E32C9" w:rsidRDefault="001E32C9" w:rsidP="001E32C9">
            <w:r w:rsidRPr="00222643">
              <w:t>Bruckner et al (1994)</w:t>
            </w:r>
            <w:r w:rsidRPr="001E32C9">
              <w:rPr>
                <w:rStyle w:val="FootnoteReference"/>
              </w:rPr>
              <w:footnoteReference w:id="206"/>
            </w:r>
          </w:p>
        </w:tc>
        <w:tc>
          <w:tcPr>
            <w:tcW w:w="1276" w:type="dxa"/>
          </w:tcPr>
          <w:p w:rsidR="001E32C9" w:rsidRPr="001E32C9" w:rsidRDefault="001E32C9" w:rsidP="001E32C9">
            <w:r w:rsidRPr="00222643">
              <w:t>1987-1993</w:t>
            </w:r>
          </w:p>
        </w:tc>
        <w:tc>
          <w:tcPr>
            <w:tcW w:w="5448" w:type="dxa"/>
          </w:tcPr>
          <w:p w:rsidR="001E32C9" w:rsidRPr="001E32C9" w:rsidRDefault="001E32C9" w:rsidP="001E32C9">
            <w:r w:rsidRPr="00222643">
              <w:t>Early study</w:t>
            </w:r>
            <w:r w:rsidRPr="001E32C9">
              <w:t xml:space="preserve"> with limited data; sub-periods 1987–1990 and 1991–1993.</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Brown and Clarke (1</w:t>
            </w:r>
            <w:r w:rsidRPr="001E32C9">
              <w:t>993)</w:t>
            </w:r>
            <w:r w:rsidRPr="001E32C9">
              <w:rPr>
                <w:rStyle w:val="FootnoteReference"/>
              </w:rPr>
              <w:footnoteReference w:id="207"/>
            </w:r>
          </w:p>
        </w:tc>
        <w:tc>
          <w:tcPr>
            <w:tcW w:w="1276" w:type="dxa"/>
          </w:tcPr>
          <w:p w:rsidR="001E32C9" w:rsidRPr="001E32C9" w:rsidRDefault="001E32C9" w:rsidP="001E32C9">
            <w:r>
              <w:t>1973</w:t>
            </w:r>
            <w:r w:rsidRPr="001E32C9">
              <w:t>–1991</w:t>
            </w:r>
          </w:p>
        </w:tc>
        <w:tc>
          <w:tcPr>
            <w:tcW w:w="5448" w:type="dxa"/>
          </w:tcPr>
          <w:p w:rsidR="001E32C9" w:rsidRPr="001E32C9" w:rsidRDefault="001E32C9" w:rsidP="001E32C9">
            <w:r w:rsidRPr="00222643">
              <w:t xml:space="preserve">Compares dividend drop off before and after imputation; presents yearly </w:t>
            </w:r>
            <w:r w:rsidRPr="001E32C9">
              <w:t>figures and sub-periods.</w:t>
            </w:r>
          </w:p>
        </w:tc>
      </w:tr>
    </w:tbl>
    <w:p w:rsidR="001E32C9" w:rsidRDefault="001E32C9" w:rsidP="001E32C9">
      <w:pPr>
        <w:pStyle w:val="AERtablesource"/>
      </w:pPr>
      <w:r w:rsidRPr="00222643">
        <w:t xml:space="preserve">Source: </w:t>
      </w:r>
      <w:r w:rsidRPr="00222643">
        <w:tab/>
        <w:t>As specified in table.</w:t>
      </w:r>
    </w:p>
    <w:p w:rsidR="001E32C9" w:rsidRPr="00222643" w:rsidRDefault="001E32C9" w:rsidP="001E32C9">
      <w:pPr>
        <w:pStyle w:val="HeadingBoldBlue"/>
      </w:pPr>
      <w:r w:rsidRPr="00222643">
        <w:t>Alternative implied market value studies</w:t>
      </w:r>
    </w:p>
    <w:p w:rsidR="001E32C9" w:rsidRPr="00222643" w:rsidRDefault="001E32C9" w:rsidP="001E32C9">
      <w:pPr>
        <w:pStyle w:val="AERbodytext"/>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1E32C9" w:rsidRPr="00222643" w:rsidRDefault="001E32C9" w:rsidP="001E32C9">
      <w:pPr>
        <w:pStyle w:val="AERbulletlistfirststyle"/>
      </w:pPr>
      <w:r>
        <w:t>S</w:t>
      </w:r>
      <w:r w:rsidRPr="00222643">
        <w:t>imultaneous trading of shares with and without entitlements</w:t>
      </w:r>
      <w:r>
        <w:t>.</w:t>
      </w:r>
    </w:p>
    <w:p w:rsidR="001E32C9" w:rsidRPr="00222643" w:rsidRDefault="001E32C9" w:rsidP="001E32C9">
      <w:pPr>
        <w:pStyle w:val="AERbulletlistfirststyle"/>
      </w:pPr>
      <w:r>
        <w:t>S</w:t>
      </w:r>
      <w:r w:rsidRPr="00222643">
        <w:t>imultaneous trading of derivatives and futures and of their underlying shares</w:t>
      </w:r>
      <w:r>
        <w:t>.</w:t>
      </w:r>
    </w:p>
    <w:p w:rsidR="001E32C9" w:rsidRPr="00222643" w:rsidRDefault="001E32C9" w:rsidP="001E32C9">
      <w:pPr>
        <w:pStyle w:val="AERbulletlistfirststyle"/>
      </w:pPr>
      <w:r>
        <w:t>H</w:t>
      </w:r>
      <w:r w:rsidRPr="00222643">
        <w:t>ybrid securities which trade with imputation c</w:t>
      </w:r>
      <w:r>
        <w:t>redits.</w:t>
      </w:r>
    </w:p>
    <w:p w:rsidR="001E32C9" w:rsidRDefault="001E32C9" w:rsidP="001E32C9">
      <w:pPr>
        <w:pStyle w:val="AERbulletlistfirststyle"/>
      </w:pPr>
      <w:r>
        <w:t>C</w:t>
      </w:r>
      <w:r w:rsidRPr="00222643">
        <w:t>omparison of the capital gains and (cash) dividend returns across time.</w:t>
      </w:r>
    </w:p>
    <w:p w:rsidR="001E32C9" w:rsidRDefault="001E32C9" w:rsidP="001E32C9">
      <w:pPr>
        <w:pStyle w:val="AERbodytext"/>
      </w:pPr>
      <w:r>
        <w:lastRenderedPageBreak/>
        <w:fldChar w:fldCharType="begin"/>
      </w:r>
      <w:r>
        <w:instrText xml:space="preserve"> REF _Ref401075839 \h </w:instrText>
      </w:r>
      <w:r>
        <w:fldChar w:fldCharType="separate"/>
      </w:r>
      <w:r w:rsidR="00927273">
        <w:t xml:space="preserve">Table </w:t>
      </w:r>
      <w:r w:rsidR="00927273">
        <w:rPr>
          <w:noProof/>
        </w:rPr>
        <w:t>4</w:t>
      </w:r>
      <w:r w:rsidR="004C6F08">
        <w:t>.</w:t>
      </w:r>
      <w:r w:rsidR="00927273">
        <w:rPr>
          <w:noProof/>
        </w:rPr>
        <w:t>9</w:t>
      </w:r>
      <w:r>
        <w:fldChar w:fldCharType="end"/>
      </w:r>
      <w:r>
        <w:t xml:space="preserve"> </w:t>
      </w:r>
      <w:r w:rsidR="008104A9">
        <w:t xml:space="preserve">identifies </w:t>
      </w:r>
      <w:r>
        <w:t xml:space="preserve">the </w:t>
      </w:r>
      <w:r w:rsidR="008104A9">
        <w:t xml:space="preserve">alternative implied market value </w:t>
      </w:r>
      <w:r>
        <w:t>studies</w:t>
      </w:r>
      <w:r w:rsidR="008104A9">
        <w:t xml:space="preserve"> that we are aware of, and describes the methodology of each study</w:t>
      </w:r>
      <w:r>
        <w:t>.</w:t>
      </w:r>
      <w:r w:rsidR="008104A9">
        <w:t xml:space="preserve"> The results from these studies are presented in </w:t>
      </w:r>
      <w:r w:rsidR="008104A9">
        <w:fldChar w:fldCharType="begin"/>
      </w:r>
      <w:r w:rsidR="008104A9">
        <w:instrText xml:space="preserve"> REF  _Ref401076250 \* Lower \h </w:instrText>
      </w:r>
      <w:r w:rsidR="008104A9">
        <w:fldChar w:fldCharType="separate"/>
      </w:r>
      <w:r w:rsidR="00927273">
        <w:t xml:space="preserve">table </w:t>
      </w:r>
      <w:r w:rsidR="00927273">
        <w:rPr>
          <w:noProof/>
        </w:rPr>
        <w:t>4</w:t>
      </w:r>
      <w:r w:rsidR="004C6F08">
        <w:t>.</w:t>
      </w:r>
      <w:r w:rsidR="00927273">
        <w:rPr>
          <w:noProof/>
        </w:rPr>
        <w:t>11</w:t>
      </w:r>
      <w:r w:rsidR="008104A9">
        <w:fldChar w:fldCharType="end"/>
      </w:r>
      <w:r w:rsidR="008104A9">
        <w:t>.</w:t>
      </w:r>
    </w:p>
    <w:p w:rsidR="001E32C9" w:rsidRDefault="001E32C9" w:rsidP="001E32C9">
      <w:pPr>
        <w:pStyle w:val="Caption"/>
      </w:pPr>
      <w:bookmarkStart w:id="83" w:name="_Ref401075839"/>
      <w:r>
        <w:t xml:space="preserve">Table </w:t>
      </w:r>
      <w:fldSimple w:instr=" STYLEREF 1 \s ">
        <w:r w:rsidR="00927273">
          <w:rPr>
            <w:noProof/>
          </w:rPr>
          <w:t>4</w:t>
        </w:r>
      </w:fldSimple>
      <w:r w:rsidR="00C20561">
        <w:noBreakHyphen/>
      </w:r>
      <w:fldSimple w:instr=" SEQ Table \* ARABIC \s 1 ">
        <w:r w:rsidR="00927273">
          <w:rPr>
            <w:noProof/>
          </w:rPr>
          <w:t>9</w:t>
        </w:r>
      </w:fldSimple>
      <w:bookmarkEnd w:id="83"/>
      <w:r>
        <w:tab/>
      </w:r>
      <w:r w:rsidRPr="00B7093A">
        <w:t>Summary of alternative implied market value studies</w:t>
      </w:r>
    </w:p>
    <w:tbl>
      <w:tblPr>
        <w:tblStyle w:val="AERtable-text"/>
        <w:tblW w:w="0" w:type="auto"/>
        <w:tblLook w:val="04A0" w:firstRow="1" w:lastRow="0" w:firstColumn="1" w:lastColumn="0" w:noHBand="0" w:noVBand="1"/>
      </w:tblPr>
      <w:tblGrid>
        <w:gridCol w:w="2683"/>
        <w:gridCol w:w="1111"/>
        <w:gridCol w:w="5448"/>
      </w:tblGrid>
      <w:tr w:rsidR="001E32C9" w:rsidTr="004C6F08">
        <w:trPr>
          <w:cnfStyle w:val="100000000000" w:firstRow="1" w:lastRow="0" w:firstColumn="0" w:lastColumn="0" w:oddVBand="0" w:evenVBand="0" w:oddHBand="0" w:evenHBand="0" w:firstRowFirstColumn="0" w:firstRowLastColumn="0" w:lastRowFirstColumn="0" w:lastRowLastColumn="0"/>
          <w:tblHeader/>
        </w:trPr>
        <w:tc>
          <w:tcPr>
            <w:tcW w:w="2683" w:type="dxa"/>
          </w:tcPr>
          <w:p w:rsidR="001E32C9" w:rsidRDefault="001E32C9" w:rsidP="001E32C9">
            <w:pPr>
              <w:pStyle w:val="AERbodytext"/>
            </w:pPr>
            <w:r>
              <w:t>Authors</w:t>
            </w:r>
          </w:p>
        </w:tc>
        <w:tc>
          <w:tcPr>
            <w:tcW w:w="1111" w:type="dxa"/>
          </w:tcPr>
          <w:p w:rsidR="001E32C9" w:rsidRPr="0005385E" w:rsidRDefault="001E32C9" w:rsidP="001E32C9">
            <w:pPr>
              <w:pStyle w:val="AERbodytext"/>
            </w:pPr>
            <w:r>
              <w:t>Data range</w:t>
            </w:r>
          </w:p>
        </w:tc>
        <w:tc>
          <w:tcPr>
            <w:tcW w:w="5448" w:type="dxa"/>
          </w:tcPr>
          <w:p w:rsidR="001E32C9" w:rsidRPr="0005385E" w:rsidRDefault="001E32C9" w:rsidP="001E32C9">
            <w:pPr>
              <w:pStyle w:val="AERbodytext"/>
            </w:pPr>
            <w:r>
              <w:t>Assessment relative to other studies in</w:t>
            </w:r>
            <w:r w:rsidRPr="0005385E">
              <w:t xml:space="preserve"> that class</w:t>
            </w:r>
          </w:p>
        </w:tc>
      </w:tr>
      <w:tr w:rsidR="001E32C9" w:rsidTr="001752ED">
        <w:tc>
          <w:tcPr>
            <w:tcW w:w="9242" w:type="dxa"/>
            <w:gridSpan w:val="3"/>
          </w:tcPr>
          <w:p w:rsidR="001E32C9" w:rsidRDefault="001E32C9" w:rsidP="001E32C9">
            <w:pPr>
              <w:pStyle w:val="AERbodytext"/>
            </w:pPr>
            <w:r w:rsidRPr="008616CE">
              <w:rPr>
                <w:rStyle w:val="AERtextbold"/>
              </w:rPr>
              <w:t>Dividend drop off using hybrids</w:t>
            </w:r>
            <w:r w:rsidRPr="004E6A67">
              <w:t xml:space="preserve"> – Similar to standard DDO but using debt/equity hybrid securities.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proofErr w:type="spellStart"/>
            <w:r w:rsidRPr="00222643">
              <w:t>Feuerherdt</w:t>
            </w:r>
            <w:proofErr w:type="spellEnd"/>
            <w:r w:rsidRPr="00222643">
              <w:t xml:space="preserve"> et al (2010)</w:t>
            </w:r>
            <w:r w:rsidRPr="001E32C9">
              <w:rPr>
                <w:rStyle w:val="FootnoteReference"/>
              </w:rPr>
              <w:footnoteReference w:id="208"/>
            </w:r>
          </w:p>
        </w:tc>
        <w:tc>
          <w:tcPr>
            <w:tcW w:w="1111" w:type="dxa"/>
          </w:tcPr>
          <w:p w:rsidR="001E32C9" w:rsidRPr="001E32C9" w:rsidRDefault="001E32C9" w:rsidP="001E32C9">
            <w:r w:rsidRPr="00222643">
              <w:t>1995–2002</w:t>
            </w:r>
          </w:p>
        </w:tc>
        <w:tc>
          <w:tcPr>
            <w:tcW w:w="5448" w:type="dxa"/>
          </w:tcPr>
          <w:p w:rsidR="001E32C9" w:rsidRPr="001E32C9" w:rsidRDefault="001E32C9" w:rsidP="001E32C9">
            <w:r w:rsidRPr="00222643">
              <w:t xml:space="preserve">Uses hybrid securities (such as convertible preference shares), 165 ex-dividend events for 46 securities </w:t>
            </w:r>
            <w:r w:rsidRPr="001E32C9">
              <w:t>which are primarily fully franked.</w:t>
            </w:r>
          </w:p>
        </w:tc>
      </w:tr>
      <w:tr w:rsidR="001E32C9" w:rsidTr="001752ED">
        <w:tc>
          <w:tcPr>
            <w:tcW w:w="9242" w:type="dxa"/>
            <w:gridSpan w:val="3"/>
          </w:tcPr>
          <w:p w:rsidR="001E32C9" w:rsidRDefault="001E32C9" w:rsidP="001E32C9">
            <w:pPr>
              <w:pStyle w:val="AERbodytext"/>
            </w:pPr>
            <w:r w:rsidRPr="008616CE">
              <w:rPr>
                <w:rStyle w:val="AERtextbold"/>
              </w:rPr>
              <w:t>Futures study (using individual firms or index)</w:t>
            </w:r>
            <w:r w:rsidRPr="00222643">
              <w:t xml:space="preserve"> – Compare simultaneous prices for securities and futures contracts.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SFG (2013b)</w:t>
            </w:r>
            <w:r w:rsidRPr="001E32C9">
              <w:rPr>
                <w:rStyle w:val="FootnoteReference"/>
              </w:rPr>
              <w:footnoteReference w:id="209"/>
            </w:r>
          </w:p>
        </w:tc>
        <w:tc>
          <w:tcPr>
            <w:tcW w:w="1111" w:type="dxa"/>
          </w:tcPr>
          <w:p w:rsidR="001E32C9" w:rsidRPr="001E32C9" w:rsidRDefault="001E32C9" w:rsidP="001E32C9">
            <w:r w:rsidRPr="00222643">
              <w:t>2000–2013</w:t>
            </w:r>
          </w:p>
        </w:tc>
        <w:tc>
          <w:tcPr>
            <w:tcW w:w="5448" w:type="dxa"/>
          </w:tcPr>
          <w:p w:rsidR="001E32C9" w:rsidRPr="001E32C9" w:rsidRDefault="001E32C9" w:rsidP="001E32C9">
            <w:r w:rsidRPr="00222643">
              <w:t xml:space="preserve">Updates </w:t>
            </w:r>
            <w:proofErr w:type="spellStart"/>
            <w:r w:rsidRPr="00222643">
              <w:t>Cannavan</w:t>
            </w:r>
            <w:proofErr w:type="spellEnd"/>
            <w:r w:rsidRPr="00222643">
              <w:t xml:space="preserve"> et al</w:t>
            </w:r>
            <w:r w:rsidRPr="001E32C9">
              <w:t xml:space="preserve"> (2004). Compares matched trades in individual shares to futures contracts and low exercise price options for 98 firms (over 52,000 trades).</w:t>
            </w:r>
          </w:p>
        </w:tc>
      </w:tr>
      <w:tr w:rsidR="001E32C9" w:rsidTr="001752ED">
        <w:tc>
          <w:tcPr>
            <w:tcW w:w="2683" w:type="dxa"/>
          </w:tcPr>
          <w:p w:rsidR="001E32C9" w:rsidRPr="001E32C9" w:rsidRDefault="001E32C9" w:rsidP="001E32C9">
            <w:proofErr w:type="spellStart"/>
            <w:r w:rsidRPr="00222643">
              <w:t>Cannavan</w:t>
            </w:r>
            <w:proofErr w:type="spellEnd"/>
            <w:r w:rsidRPr="00222643">
              <w:t xml:space="preserve"> et al (2004)</w:t>
            </w:r>
            <w:r w:rsidRPr="001E32C9">
              <w:rPr>
                <w:rStyle w:val="FootnoteReference"/>
              </w:rPr>
              <w:footnoteReference w:id="210"/>
            </w:r>
          </w:p>
        </w:tc>
        <w:tc>
          <w:tcPr>
            <w:tcW w:w="1111" w:type="dxa"/>
          </w:tcPr>
          <w:p w:rsidR="001E32C9" w:rsidRPr="001E32C9" w:rsidRDefault="001E32C9" w:rsidP="001E32C9">
            <w:r w:rsidRPr="00222643">
              <w:t>1994–1999</w:t>
            </w:r>
          </w:p>
        </w:tc>
        <w:tc>
          <w:tcPr>
            <w:tcW w:w="5448" w:type="dxa"/>
          </w:tcPr>
          <w:p w:rsidR="001E32C9" w:rsidRPr="001E32C9" w:rsidRDefault="001E32C9" w:rsidP="001E32C9">
            <w:r w:rsidRPr="00222643">
              <w:t>Uses matched trades (four minute window) in individual shares and futures contracts for 19 firms (</w:t>
            </w:r>
            <w:r w:rsidRPr="001E32C9">
              <w:t>over 14,000 trades). Sub-periods 1994–1997 and 1997–1999.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 xml:space="preserve">Cummings and </w:t>
            </w:r>
            <w:proofErr w:type="spellStart"/>
            <w:r w:rsidRPr="00222643">
              <w:t>Frino</w:t>
            </w:r>
            <w:proofErr w:type="spellEnd"/>
            <w:r w:rsidRPr="00222643">
              <w:t xml:space="preserve"> (2008)</w:t>
            </w:r>
            <w:r w:rsidRPr="001E32C9">
              <w:rPr>
                <w:rStyle w:val="FootnoteReference"/>
              </w:rPr>
              <w:footnoteReference w:id="211"/>
            </w:r>
          </w:p>
        </w:tc>
        <w:tc>
          <w:tcPr>
            <w:tcW w:w="1111" w:type="dxa"/>
          </w:tcPr>
          <w:p w:rsidR="001E32C9" w:rsidRPr="001E32C9" w:rsidRDefault="001E32C9" w:rsidP="001E32C9">
            <w:r w:rsidRPr="00222643">
              <w:t>2002-2005</w:t>
            </w:r>
          </w:p>
        </w:tc>
        <w:tc>
          <w:tcPr>
            <w:tcW w:w="5448" w:type="dxa"/>
          </w:tcPr>
          <w:p w:rsidR="001E32C9" w:rsidRPr="001E32C9" w:rsidRDefault="001E32C9" w:rsidP="001E32C9">
            <w:r w:rsidRPr="00222643">
              <w:t xml:space="preserve">Uses entire ASX200 index (rather than specific firms) and futures over the index, distinct from other studies in this class (which use individual shares). </w:t>
            </w:r>
          </w:p>
        </w:tc>
      </w:tr>
      <w:tr w:rsidR="001E32C9" w:rsidTr="001752ED">
        <w:tc>
          <w:tcPr>
            <w:tcW w:w="9242" w:type="dxa"/>
            <w:gridSpan w:val="3"/>
          </w:tcPr>
          <w:p w:rsidR="001E32C9" w:rsidRDefault="001E32C9" w:rsidP="001E32C9">
            <w:pPr>
              <w:pStyle w:val="AERbodytext"/>
            </w:pPr>
            <w:r w:rsidRPr="008616CE">
              <w:rPr>
                <w:rStyle w:val="AERtextbold"/>
              </w:rPr>
              <w:t>Rate of return study</w:t>
            </w:r>
            <w:r w:rsidRPr="008616CE">
              <w:t xml:space="preserve"> – Compare past returns (capital gains and cash dividends) or future returns (dividend forecasts).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NERA (2013b)</w:t>
            </w:r>
            <w:r w:rsidRPr="001E32C9">
              <w:rPr>
                <w:rStyle w:val="FootnoteReference"/>
              </w:rPr>
              <w:footnoteReference w:id="212"/>
            </w:r>
          </w:p>
        </w:tc>
        <w:tc>
          <w:tcPr>
            <w:tcW w:w="1111" w:type="dxa"/>
          </w:tcPr>
          <w:p w:rsidR="001E32C9" w:rsidRPr="001E32C9" w:rsidRDefault="001E32C9" w:rsidP="001E32C9">
            <w:r>
              <w:t>1987</w:t>
            </w:r>
            <w:r w:rsidRPr="001E32C9">
              <w:t>–2012</w:t>
            </w:r>
          </w:p>
        </w:tc>
        <w:tc>
          <w:tcPr>
            <w:tcW w:w="5448" w:type="dxa"/>
          </w:tcPr>
          <w:p w:rsidR="001E32C9" w:rsidRPr="001E32C9" w:rsidRDefault="001E32C9" w:rsidP="001E32C9">
            <w:r w:rsidRPr="00222643">
              <w:t xml:space="preserve">Updates the </w:t>
            </w:r>
            <w:proofErr w:type="spellStart"/>
            <w:r w:rsidRPr="00222643">
              <w:t>Lajbcygier</w:t>
            </w:r>
            <w:proofErr w:type="spellEnd"/>
            <w:r w:rsidRPr="00222643">
              <w:t xml:space="preserve"> </w:t>
            </w:r>
            <w:r w:rsidRPr="001E32C9">
              <w:t>and Wheatley paper; same author and more relevant data set. Sub-period splits 1987–2000 and 2000–2012.</w:t>
            </w:r>
          </w:p>
        </w:tc>
      </w:tr>
      <w:tr w:rsidR="001E32C9" w:rsidTr="001752ED">
        <w:tc>
          <w:tcPr>
            <w:tcW w:w="2683" w:type="dxa"/>
          </w:tcPr>
          <w:p w:rsidR="001E32C9" w:rsidRPr="001E32C9" w:rsidRDefault="001E32C9" w:rsidP="001E32C9">
            <w:proofErr w:type="spellStart"/>
            <w:r w:rsidRPr="00222643">
              <w:t>Lajbcygier</w:t>
            </w:r>
            <w:proofErr w:type="spellEnd"/>
            <w:r w:rsidRPr="001E32C9">
              <w:t xml:space="preserve"> and Wheatley (2012)</w:t>
            </w:r>
            <w:r w:rsidRPr="001E32C9">
              <w:rPr>
                <w:rStyle w:val="FootnoteReference"/>
              </w:rPr>
              <w:footnoteReference w:id="213"/>
            </w:r>
          </w:p>
        </w:tc>
        <w:tc>
          <w:tcPr>
            <w:tcW w:w="1111" w:type="dxa"/>
          </w:tcPr>
          <w:p w:rsidR="001E32C9" w:rsidRPr="001E32C9" w:rsidRDefault="001E32C9" w:rsidP="001E32C9">
            <w:r>
              <w:t>1987</w:t>
            </w:r>
            <w:r w:rsidRPr="001E32C9">
              <w:t>–2009</w:t>
            </w:r>
          </w:p>
        </w:tc>
        <w:tc>
          <w:tcPr>
            <w:tcW w:w="5448" w:type="dxa"/>
          </w:tcPr>
          <w:p w:rsidR="001E32C9" w:rsidRPr="001E32C9" w:rsidRDefault="001E32C9" w:rsidP="001E32C9">
            <w:r w:rsidRPr="00222643">
              <w:t>Compares current prices to past returns from capital gains and dividends</w:t>
            </w:r>
            <w:r w:rsidRPr="001E32C9">
              <w:t>. Includes sub-periods from 1987–2000 and 2000-2009.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proofErr w:type="spellStart"/>
            <w:r w:rsidRPr="00222643">
              <w:t>Siau</w:t>
            </w:r>
            <w:proofErr w:type="spellEnd"/>
            <w:r w:rsidRPr="00222643">
              <w:t xml:space="preserve"> et al (2013)</w:t>
            </w:r>
            <w:r w:rsidRPr="001E32C9">
              <w:rPr>
                <w:rStyle w:val="FootnoteReference"/>
              </w:rPr>
              <w:footnoteReference w:id="214"/>
            </w:r>
          </w:p>
        </w:tc>
        <w:tc>
          <w:tcPr>
            <w:tcW w:w="1111" w:type="dxa"/>
          </w:tcPr>
          <w:p w:rsidR="001E32C9" w:rsidRPr="001E32C9" w:rsidRDefault="001E32C9" w:rsidP="001E32C9">
            <w:r w:rsidRPr="00222643">
              <w:t>1996–2011</w:t>
            </w:r>
          </w:p>
        </w:tc>
        <w:tc>
          <w:tcPr>
            <w:tcW w:w="5448" w:type="dxa"/>
          </w:tcPr>
          <w:p w:rsidR="001E32C9" w:rsidRPr="001E32C9" w:rsidRDefault="001E32C9" w:rsidP="001E32C9">
            <w:r w:rsidRPr="00222643">
              <w:t xml:space="preserve">Compares current prices to </w:t>
            </w:r>
            <w:r w:rsidRPr="001E32C9">
              <w:t xml:space="preserve">expected future returns. Uses ASX300 index firms and consensus analyst dividend forecasts. </w:t>
            </w:r>
          </w:p>
        </w:tc>
      </w:tr>
      <w:tr w:rsidR="001E32C9" w:rsidTr="001752ED">
        <w:tc>
          <w:tcPr>
            <w:tcW w:w="9242" w:type="dxa"/>
            <w:gridSpan w:val="3"/>
          </w:tcPr>
          <w:p w:rsidR="001E32C9" w:rsidRDefault="001E32C9" w:rsidP="001E32C9">
            <w:pPr>
              <w:pStyle w:val="AERbodytext"/>
            </w:pPr>
            <w:r w:rsidRPr="008616CE">
              <w:rPr>
                <w:rStyle w:val="AERtextbold"/>
              </w:rPr>
              <w:t>Simultaneous share trades</w:t>
            </w:r>
            <w:r w:rsidRPr="00222643">
              <w:t xml:space="preserve"> – Compare simultaneous prices for shares that are/are not entitled to imputation credits.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Chu and Partington (2008)</w:t>
            </w:r>
            <w:r w:rsidRPr="001E32C9">
              <w:rPr>
                <w:rStyle w:val="FootnoteReference"/>
              </w:rPr>
              <w:footnoteReference w:id="215"/>
            </w:r>
          </w:p>
        </w:tc>
        <w:tc>
          <w:tcPr>
            <w:tcW w:w="1111" w:type="dxa"/>
          </w:tcPr>
          <w:p w:rsidR="001E32C9" w:rsidRPr="001E32C9" w:rsidRDefault="001E32C9" w:rsidP="001E32C9">
            <w:r w:rsidRPr="00222643">
              <w:t>1996</w:t>
            </w:r>
          </w:p>
        </w:tc>
        <w:tc>
          <w:tcPr>
            <w:tcW w:w="5448" w:type="dxa"/>
          </w:tcPr>
          <w:p w:rsidR="001E32C9" w:rsidRPr="001E32C9" w:rsidRDefault="001E32C9" w:rsidP="001E32C9">
            <w:r w:rsidRPr="00222643">
              <w:t>Uses shares trading in two forms (one with dividend, one</w:t>
            </w:r>
            <w:r w:rsidRPr="001E32C9">
              <w:t xml:space="preserve"> without) as a result of the CRA bonus issue. 154 matched trades (one minute window) </w:t>
            </w:r>
            <w:r w:rsidRPr="001E32C9">
              <w:lastRenderedPageBreak/>
              <w:t>across 3 months.</w:t>
            </w:r>
          </w:p>
        </w:tc>
      </w:tr>
      <w:tr w:rsidR="001E32C9" w:rsidTr="001752ED">
        <w:tc>
          <w:tcPr>
            <w:tcW w:w="2683" w:type="dxa"/>
          </w:tcPr>
          <w:p w:rsidR="001E32C9" w:rsidRPr="001E32C9" w:rsidRDefault="001E32C9" w:rsidP="001E32C9">
            <w:r w:rsidRPr="00222643">
              <w:lastRenderedPageBreak/>
              <w:t>Chu and Partington (2001)</w:t>
            </w:r>
            <w:r w:rsidRPr="001E32C9">
              <w:rPr>
                <w:rStyle w:val="FootnoteReference"/>
              </w:rPr>
              <w:footnoteReference w:id="216"/>
            </w:r>
          </w:p>
        </w:tc>
        <w:tc>
          <w:tcPr>
            <w:tcW w:w="1111" w:type="dxa"/>
          </w:tcPr>
          <w:p w:rsidR="001E32C9" w:rsidRPr="001E32C9" w:rsidRDefault="001E32C9" w:rsidP="001E32C9">
            <w:r w:rsidRPr="00222643">
              <w:t>1991–1999</w:t>
            </w:r>
          </w:p>
        </w:tc>
        <w:tc>
          <w:tcPr>
            <w:tcW w:w="5448" w:type="dxa"/>
          </w:tcPr>
          <w:p w:rsidR="001E32C9" w:rsidRPr="001E32C9" w:rsidDel="003D6627" w:rsidRDefault="001E32C9" w:rsidP="001E32C9">
            <w:r w:rsidRPr="00222643">
              <w:t xml:space="preserve">Uses shares trading simultaneously with and without dividend after certain rights issues - </w:t>
            </w:r>
            <w:r w:rsidRPr="001E32C9">
              <w:t>3,356 trades (matched within a minute) from 26 rights issues for 23 firms.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Walker and Partington (1999)</w:t>
            </w:r>
            <w:r w:rsidRPr="001E32C9">
              <w:rPr>
                <w:rStyle w:val="FootnoteReference"/>
              </w:rPr>
              <w:footnoteReference w:id="217"/>
            </w:r>
          </w:p>
        </w:tc>
        <w:tc>
          <w:tcPr>
            <w:tcW w:w="1111" w:type="dxa"/>
          </w:tcPr>
          <w:p w:rsidR="001E32C9" w:rsidRPr="001E32C9" w:rsidRDefault="001E32C9" w:rsidP="001E32C9">
            <w:r w:rsidRPr="00222643">
              <w:t>1995–1997</w:t>
            </w:r>
          </w:p>
        </w:tc>
        <w:tc>
          <w:tcPr>
            <w:tcW w:w="5448" w:type="dxa"/>
          </w:tcPr>
          <w:p w:rsidR="001E32C9" w:rsidRPr="001E32C9" w:rsidRDefault="001E32C9" w:rsidP="001E32C9">
            <w:r w:rsidRPr="00222643">
              <w:t>Looks at shares trading cum-dividend in the ex-dividend period. 1</w:t>
            </w:r>
            <w:r w:rsidRPr="001E32C9">
              <w:t>,015 data points (trades matched within a minute) for 93 ex-dividend events from 50 securities.</w:t>
            </w:r>
          </w:p>
        </w:tc>
      </w:tr>
    </w:tbl>
    <w:p w:rsidR="001E32C9" w:rsidRPr="00222643" w:rsidRDefault="001E32C9" w:rsidP="001E32C9">
      <w:pPr>
        <w:pStyle w:val="AERtablesource"/>
      </w:pPr>
      <w:r w:rsidRPr="00222643">
        <w:t xml:space="preserve">Source: </w:t>
      </w:r>
      <w:r w:rsidRPr="00222643">
        <w:tab/>
        <w:t>As specified in table.</w:t>
      </w:r>
    </w:p>
    <w:p w:rsidR="001E32C9" w:rsidRPr="00222643" w:rsidRDefault="001E32C9" w:rsidP="001E32C9">
      <w:pPr>
        <w:pStyle w:val="Heading9"/>
        <w:numPr>
          <w:ilvl w:val="6"/>
          <w:numId w:val="57"/>
        </w:numPr>
      </w:pPr>
      <w:bookmarkStart w:id="84" w:name="_Ref403482459"/>
      <w:r w:rsidRPr="00222643">
        <w:t>Estimates from implied market value studies</w:t>
      </w:r>
      <w:bookmarkEnd w:id="84"/>
    </w:p>
    <w:p w:rsidR="001E32C9" w:rsidRPr="00222643" w:rsidRDefault="001E32C9" w:rsidP="001E32C9">
      <w:pPr>
        <w:pStyle w:val="AERbodytext"/>
      </w:pPr>
      <w:r w:rsidRPr="00222643">
        <w:t>This section presents the results from the available implied market value studies.</w:t>
      </w:r>
    </w:p>
    <w:p w:rsidR="001E32C9" w:rsidRPr="00222643" w:rsidRDefault="001E32C9" w:rsidP="001E32C9">
      <w:pPr>
        <w:pStyle w:val="AERbodytext"/>
      </w:pPr>
      <w:r>
        <w:fldChar w:fldCharType="begin"/>
      </w:r>
      <w:r>
        <w:instrText xml:space="preserve"> REF _Ref401075676 \h </w:instrText>
      </w:r>
      <w:r>
        <w:fldChar w:fldCharType="separate"/>
      </w:r>
      <w:r w:rsidR="00927273">
        <w:t xml:space="preserve">Table </w:t>
      </w:r>
      <w:r w:rsidR="00927273">
        <w:rPr>
          <w:noProof/>
        </w:rPr>
        <w:t>4</w:t>
      </w:r>
      <w:r w:rsidR="004C6F08">
        <w:t>.</w:t>
      </w:r>
      <w:r w:rsidR="00927273">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1E32C9" w:rsidRPr="00222643" w:rsidRDefault="001E32C9" w:rsidP="001E32C9">
      <w:pPr>
        <w:pStyle w:val="AERbodytext"/>
      </w:pPr>
      <w:r>
        <w:fldChar w:fldCharType="begin"/>
      </w:r>
      <w:r>
        <w:instrText xml:space="preserve"> REF _Ref401076250 \h </w:instrText>
      </w:r>
      <w:r>
        <w:fldChar w:fldCharType="separate"/>
      </w:r>
      <w:r w:rsidR="00927273">
        <w:t xml:space="preserve">Table </w:t>
      </w:r>
      <w:r w:rsidR="00927273">
        <w:rPr>
          <w:noProof/>
        </w:rPr>
        <w:t>4</w:t>
      </w:r>
      <w:r w:rsidR="004C6F08">
        <w:t>.</w:t>
      </w:r>
      <w:r w:rsidR="00927273">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1E32C9" w:rsidRPr="00222643" w:rsidRDefault="001E32C9" w:rsidP="001E32C9">
      <w:pPr>
        <w:pStyle w:val="Caption"/>
      </w:pPr>
      <w:bookmarkStart w:id="85" w:name="_Ref401075676"/>
      <w:r>
        <w:t xml:space="preserve">Table </w:t>
      </w:r>
      <w:fldSimple w:instr=" STYLEREF 1 \s ">
        <w:r w:rsidR="00927273">
          <w:rPr>
            <w:noProof/>
          </w:rPr>
          <w:t>4</w:t>
        </w:r>
      </w:fldSimple>
      <w:r w:rsidR="00C20561">
        <w:noBreakHyphen/>
      </w:r>
      <w:fldSimple w:instr=" SEQ Table \* ARABIC \s 1 ">
        <w:r w:rsidR="00927273">
          <w:rPr>
            <w:noProof/>
          </w:rPr>
          <w:t>10</w:t>
        </w:r>
      </w:fldSimple>
      <w:bookmarkEnd w:id="85"/>
      <w:r>
        <w:tab/>
      </w:r>
      <w:r w:rsidRPr="00482215">
        <w:t>Estimates of the utilisation rate from dividend drop off studies</w:t>
      </w:r>
    </w:p>
    <w:tbl>
      <w:tblPr>
        <w:tblStyle w:val="AERtable-text"/>
        <w:tblW w:w="0" w:type="auto"/>
        <w:tblLayout w:type="fixed"/>
        <w:tblLook w:val="04A0" w:firstRow="1" w:lastRow="0" w:firstColumn="1" w:lastColumn="0" w:noHBand="0" w:noVBand="1"/>
      </w:tblPr>
      <w:tblGrid>
        <w:gridCol w:w="250"/>
        <w:gridCol w:w="142"/>
        <w:gridCol w:w="2835"/>
        <w:gridCol w:w="1346"/>
        <w:gridCol w:w="1347"/>
        <w:gridCol w:w="3260"/>
      </w:tblGrid>
      <w:tr w:rsidR="001E32C9" w:rsidRPr="00222643" w:rsidTr="004C6F08">
        <w:trPr>
          <w:cnfStyle w:val="100000000000" w:firstRow="1" w:lastRow="0" w:firstColumn="0" w:lastColumn="0" w:oddVBand="0" w:evenVBand="0" w:oddHBand="0" w:evenHBand="0" w:firstRowFirstColumn="0" w:firstRowLastColumn="0" w:lastRowFirstColumn="0" w:lastRowLastColumn="0"/>
          <w:tblHeader/>
        </w:trPr>
        <w:tc>
          <w:tcPr>
            <w:tcW w:w="392" w:type="dxa"/>
            <w:gridSpan w:val="2"/>
          </w:tcPr>
          <w:p w:rsidR="001E32C9" w:rsidRPr="00222643" w:rsidRDefault="001E32C9" w:rsidP="001E32C9"/>
        </w:tc>
        <w:tc>
          <w:tcPr>
            <w:tcW w:w="2835" w:type="dxa"/>
          </w:tcPr>
          <w:p w:rsidR="001E32C9" w:rsidRPr="001E32C9" w:rsidRDefault="001E32C9" w:rsidP="001E32C9">
            <w:r w:rsidRPr="00222643">
              <w:t>Authors</w:t>
            </w:r>
          </w:p>
        </w:tc>
        <w:tc>
          <w:tcPr>
            <w:tcW w:w="1346" w:type="dxa"/>
          </w:tcPr>
          <w:p w:rsidR="001E32C9" w:rsidRPr="001E32C9" w:rsidRDefault="001E32C9" w:rsidP="001E32C9">
            <w:r w:rsidRPr="00222643">
              <w:t>Pre-2000 results</w:t>
            </w:r>
          </w:p>
        </w:tc>
        <w:tc>
          <w:tcPr>
            <w:tcW w:w="1347" w:type="dxa"/>
          </w:tcPr>
          <w:p w:rsidR="001E32C9" w:rsidRPr="001E32C9" w:rsidRDefault="001E32C9" w:rsidP="001E32C9">
            <w:r w:rsidRPr="00222643">
              <w:t>Post-2000 results</w:t>
            </w:r>
          </w:p>
        </w:tc>
        <w:tc>
          <w:tcPr>
            <w:tcW w:w="3260" w:type="dxa"/>
          </w:tcPr>
          <w:p w:rsidR="001E32C9" w:rsidRPr="001E32C9" w:rsidRDefault="001E32C9" w:rsidP="001E32C9">
            <w:r w:rsidRPr="00222643">
              <w:t>Notes</w:t>
            </w:r>
          </w:p>
        </w:tc>
      </w:tr>
      <w:tr w:rsidR="001E32C9" w:rsidRPr="00222643" w:rsidTr="001752ED">
        <w:trPr>
          <w:trHeight w:val="426"/>
        </w:trPr>
        <w:tc>
          <w:tcPr>
            <w:tcW w:w="3227" w:type="dxa"/>
            <w:gridSpan w:val="3"/>
          </w:tcPr>
          <w:p w:rsidR="001E32C9" w:rsidRPr="001E32C9" w:rsidRDefault="001E32C9" w:rsidP="001E32C9">
            <w:pPr>
              <w:rPr>
                <w:rStyle w:val="AERtextbold"/>
              </w:rPr>
            </w:pPr>
            <w:r w:rsidRPr="001F2ECE">
              <w:rPr>
                <w:rStyle w:val="AERtextbold"/>
              </w:rPr>
              <w:t>Dividend drop off study</w:t>
            </w:r>
          </w:p>
        </w:tc>
        <w:tc>
          <w:tcPr>
            <w:tcW w:w="1346" w:type="dxa"/>
          </w:tcPr>
          <w:p w:rsidR="001E32C9" w:rsidRPr="00222643" w:rsidRDefault="001E32C9" w:rsidP="001E32C9"/>
        </w:tc>
        <w:tc>
          <w:tcPr>
            <w:tcW w:w="1347" w:type="dxa"/>
          </w:tcPr>
          <w:p w:rsidR="001E32C9" w:rsidRPr="00222643" w:rsidRDefault="001E32C9" w:rsidP="001E32C9"/>
        </w:tc>
        <w:tc>
          <w:tcPr>
            <w:tcW w:w="3260" w:type="dxa"/>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406"/>
        </w:trPr>
        <w:tc>
          <w:tcPr>
            <w:tcW w:w="250" w:type="dxa"/>
          </w:tcPr>
          <w:p w:rsidR="001E32C9" w:rsidRPr="00222643" w:rsidRDefault="001E32C9" w:rsidP="001E32C9"/>
        </w:tc>
        <w:tc>
          <w:tcPr>
            <w:tcW w:w="2977" w:type="dxa"/>
            <w:gridSpan w:val="2"/>
          </w:tcPr>
          <w:p w:rsidR="001E32C9" w:rsidRPr="001E32C9" w:rsidRDefault="001E32C9" w:rsidP="001E32C9">
            <w:r w:rsidRPr="00222643">
              <w:t>Vo et al (2013)</w:t>
            </w:r>
            <w:r w:rsidRPr="001E32C9">
              <w:rPr>
                <w:rStyle w:val="FootnoteReference"/>
              </w:rPr>
              <w:footnoteReference w:id="218"/>
            </w:r>
          </w:p>
        </w:tc>
        <w:tc>
          <w:tcPr>
            <w:tcW w:w="1346" w:type="dxa"/>
          </w:tcPr>
          <w:p w:rsidR="001E32C9" w:rsidRPr="00222643" w:rsidRDefault="001E32C9" w:rsidP="001E32C9"/>
        </w:tc>
        <w:tc>
          <w:tcPr>
            <w:tcW w:w="1347" w:type="dxa"/>
          </w:tcPr>
          <w:p w:rsidR="001E32C9" w:rsidRPr="001E32C9" w:rsidRDefault="001E32C9" w:rsidP="001E32C9">
            <w:r w:rsidRPr="00222643">
              <w:t>0.35–0.55</w:t>
            </w:r>
            <w:r w:rsidRPr="00222643">
              <w:br/>
              <w:t>(2001–2012)</w:t>
            </w:r>
          </w:p>
        </w:tc>
        <w:tc>
          <w:tcPr>
            <w:tcW w:w="3260" w:type="dxa"/>
          </w:tcPr>
          <w:p w:rsidR="001E32C9" w:rsidRPr="001E32C9" w:rsidRDefault="001E32C9" w:rsidP="001E32C9">
            <w:r w:rsidRPr="00222643">
              <w:t>Range derived from large number of permutations and sensitivity tests.</w:t>
            </w:r>
          </w:p>
        </w:tc>
      </w:tr>
      <w:tr w:rsidR="001E32C9" w:rsidRPr="00222643" w:rsidTr="001752ED">
        <w:tc>
          <w:tcPr>
            <w:tcW w:w="250" w:type="dxa"/>
          </w:tcPr>
          <w:p w:rsidR="001E32C9" w:rsidRPr="00222643" w:rsidRDefault="001E32C9" w:rsidP="001E32C9"/>
        </w:tc>
        <w:tc>
          <w:tcPr>
            <w:tcW w:w="2977" w:type="dxa"/>
            <w:gridSpan w:val="2"/>
          </w:tcPr>
          <w:p w:rsidR="001E32C9" w:rsidRPr="001E32C9" w:rsidRDefault="001E32C9" w:rsidP="001E32C9">
            <w:r w:rsidRPr="00222643">
              <w:t>SFG (2013a)</w:t>
            </w:r>
            <w:r w:rsidRPr="001E32C9">
              <w:rPr>
                <w:rStyle w:val="FootnoteReference"/>
              </w:rPr>
              <w:footnoteReference w:id="219"/>
            </w:r>
          </w:p>
        </w:tc>
        <w:tc>
          <w:tcPr>
            <w:tcW w:w="1346" w:type="dxa"/>
          </w:tcPr>
          <w:p w:rsidR="001E32C9" w:rsidRPr="00222643" w:rsidRDefault="001E32C9" w:rsidP="001E32C9"/>
        </w:tc>
        <w:tc>
          <w:tcPr>
            <w:tcW w:w="1347" w:type="dxa"/>
          </w:tcPr>
          <w:p w:rsidR="001E32C9" w:rsidRPr="001E32C9" w:rsidRDefault="001E32C9" w:rsidP="001E32C9">
            <w:r w:rsidRPr="00222643">
              <w:t>0.35</w:t>
            </w:r>
            <w:r w:rsidRPr="00222643">
              <w:br/>
              <w:t>(2001–2012)</w:t>
            </w:r>
          </w:p>
        </w:tc>
        <w:tc>
          <w:tcPr>
            <w:tcW w:w="3260" w:type="dxa"/>
          </w:tcPr>
          <w:p w:rsidR="001E32C9" w:rsidRPr="001E32C9" w:rsidRDefault="001E32C9" w:rsidP="001E32C9">
            <w:r w:rsidRPr="00222643">
              <w:t>Author's point estimate across a number of different regression forms.</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rsidRPr="00222643">
              <w:t>SFG (2011)</w:t>
            </w:r>
            <w:r w:rsidRPr="001E32C9">
              <w:rPr>
                <w:rStyle w:val="FootnoteReference"/>
              </w:rPr>
              <w:footnoteReference w:id="220"/>
            </w:r>
          </w:p>
        </w:tc>
        <w:tc>
          <w:tcPr>
            <w:tcW w:w="1346" w:type="dxa"/>
          </w:tcPr>
          <w:p w:rsidR="001E32C9" w:rsidRPr="00222643" w:rsidRDefault="001E32C9" w:rsidP="001E32C9"/>
        </w:tc>
        <w:tc>
          <w:tcPr>
            <w:tcW w:w="1347" w:type="dxa"/>
          </w:tcPr>
          <w:p w:rsidR="001E32C9" w:rsidRPr="001E32C9" w:rsidRDefault="001E32C9" w:rsidP="001E32C9">
            <w:r w:rsidRPr="00222643">
              <w:t>0.35</w:t>
            </w:r>
            <w:r w:rsidRPr="00222643">
              <w:br/>
              <w:t>(2001–2010)</w:t>
            </w:r>
          </w:p>
        </w:tc>
        <w:tc>
          <w:tcPr>
            <w:tcW w:w="3260" w:type="dxa"/>
          </w:tcPr>
          <w:p w:rsidR="001E32C9" w:rsidRPr="00222643" w:rsidRDefault="001E32C9" w:rsidP="001E32C9"/>
        </w:tc>
      </w:tr>
      <w:tr w:rsidR="001E32C9" w:rsidRPr="00222643" w:rsidTr="001752ED">
        <w:trPr>
          <w:trHeight w:val="301"/>
        </w:trPr>
        <w:tc>
          <w:tcPr>
            <w:tcW w:w="250" w:type="dxa"/>
          </w:tcPr>
          <w:p w:rsidR="001E32C9" w:rsidRPr="00222643" w:rsidRDefault="001E32C9" w:rsidP="001E32C9"/>
        </w:tc>
        <w:tc>
          <w:tcPr>
            <w:tcW w:w="2977" w:type="dxa"/>
            <w:gridSpan w:val="2"/>
          </w:tcPr>
          <w:p w:rsidR="001E32C9" w:rsidRPr="001E32C9" w:rsidRDefault="001E32C9" w:rsidP="001E32C9">
            <w:proofErr w:type="spellStart"/>
            <w:r w:rsidRPr="00222643">
              <w:t>Minney</w:t>
            </w:r>
            <w:proofErr w:type="spellEnd"/>
            <w:r w:rsidRPr="00222643">
              <w:t xml:space="preserve"> (2010)</w:t>
            </w:r>
            <w:r w:rsidRPr="001E32C9">
              <w:rPr>
                <w:rStyle w:val="FootnoteReference"/>
              </w:rPr>
              <w:footnoteReference w:id="221"/>
            </w:r>
          </w:p>
        </w:tc>
        <w:tc>
          <w:tcPr>
            <w:tcW w:w="1346" w:type="dxa"/>
          </w:tcPr>
          <w:p w:rsidR="001E32C9" w:rsidRPr="00222643" w:rsidRDefault="001E32C9" w:rsidP="001E32C9"/>
        </w:tc>
        <w:tc>
          <w:tcPr>
            <w:tcW w:w="1347" w:type="dxa"/>
          </w:tcPr>
          <w:p w:rsidR="001E32C9" w:rsidRPr="001E32C9" w:rsidRDefault="001E32C9" w:rsidP="001E32C9">
            <w:r w:rsidRPr="00222643">
              <w:t>0.39</w:t>
            </w:r>
            <w:r w:rsidRPr="00222643">
              <w:br/>
              <w:t>(2001–2009)</w:t>
            </w:r>
          </w:p>
        </w:tc>
        <w:tc>
          <w:tcPr>
            <w:tcW w:w="3260" w:type="dxa"/>
          </w:tcPr>
          <w:p w:rsidR="001E32C9" w:rsidRPr="001E32C9" w:rsidRDefault="001E32C9" w:rsidP="001E32C9">
            <w:r>
              <w:t>Average of results from 2001</w:t>
            </w:r>
            <w:r w:rsidRPr="001E32C9">
              <w:t>–2005 and 2006–2009 sub-periods. For the most recent sub-period (2006–2009), utilisation rate is 0.53.</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720"/>
        </w:trPr>
        <w:tc>
          <w:tcPr>
            <w:tcW w:w="250" w:type="dxa"/>
          </w:tcPr>
          <w:p w:rsidR="001E32C9" w:rsidRPr="00222643" w:rsidRDefault="001E32C9" w:rsidP="001E32C9"/>
        </w:tc>
        <w:tc>
          <w:tcPr>
            <w:tcW w:w="2977" w:type="dxa"/>
            <w:gridSpan w:val="2"/>
          </w:tcPr>
          <w:p w:rsidR="001E32C9" w:rsidRPr="001E32C9" w:rsidRDefault="001E32C9" w:rsidP="001E32C9">
            <w:proofErr w:type="spellStart"/>
            <w:r w:rsidRPr="00222643">
              <w:t>Beggs</w:t>
            </w:r>
            <w:proofErr w:type="spellEnd"/>
            <w:r w:rsidRPr="00222643">
              <w:t xml:space="preserve"> and </w:t>
            </w:r>
            <w:proofErr w:type="spellStart"/>
            <w:r w:rsidRPr="00222643">
              <w:t>Skeels</w:t>
            </w:r>
            <w:proofErr w:type="spellEnd"/>
            <w:r w:rsidRPr="00222643">
              <w:t xml:space="preserve"> (2006)</w:t>
            </w:r>
            <w:r w:rsidRPr="001E32C9">
              <w:rPr>
                <w:rStyle w:val="FootnoteReference"/>
              </w:rPr>
              <w:footnoteReference w:id="222"/>
            </w:r>
          </w:p>
        </w:tc>
        <w:tc>
          <w:tcPr>
            <w:tcW w:w="1346" w:type="dxa"/>
          </w:tcPr>
          <w:p w:rsidR="001E32C9" w:rsidRPr="001E32C9" w:rsidRDefault="001E32C9" w:rsidP="001E32C9">
            <w:r w:rsidRPr="00222643">
              <w:t>0.20</w:t>
            </w:r>
            <w:r w:rsidRPr="00222643">
              <w:br/>
              <w:t>(1992–1997)</w:t>
            </w:r>
          </w:p>
        </w:tc>
        <w:tc>
          <w:tcPr>
            <w:tcW w:w="1347" w:type="dxa"/>
          </w:tcPr>
          <w:p w:rsidR="001E32C9" w:rsidRPr="001E32C9" w:rsidRDefault="001E32C9" w:rsidP="001E32C9">
            <w:r w:rsidRPr="00222643">
              <w:t>0.57</w:t>
            </w:r>
            <w:r w:rsidRPr="00222643">
              <w:br/>
              <w:t>(2001–2004)</w:t>
            </w:r>
          </w:p>
        </w:tc>
        <w:tc>
          <w:tcPr>
            <w:tcW w:w="3260" w:type="dxa"/>
          </w:tcPr>
          <w:p w:rsidR="001E32C9" w:rsidRPr="001E32C9" w:rsidRDefault="001E32C9" w:rsidP="001E32C9">
            <w:r w:rsidRPr="00222643">
              <w:t>Several other pre-2000 periods are presented.</w:t>
            </w:r>
          </w:p>
        </w:tc>
      </w:tr>
      <w:tr w:rsidR="001E32C9" w:rsidRPr="00222643" w:rsidTr="001752ED">
        <w:trPr>
          <w:trHeight w:val="789"/>
        </w:trPr>
        <w:tc>
          <w:tcPr>
            <w:tcW w:w="250" w:type="dxa"/>
          </w:tcPr>
          <w:p w:rsidR="001E32C9" w:rsidRPr="00222643" w:rsidRDefault="001E32C9" w:rsidP="001E32C9"/>
        </w:tc>
        <w:tc>
          <w:tcPr>
            <w:tcW w:w="2977" w:type="dxa"/>
            <w:gridSpan w:val="2"/>
          </w:tcPr>
          <w:p w:rsidR="001E32C9" w:rsidRPr="001E32C9" w:rsidRDefault="001E32C9" w:rsidP="001E32C9">
            <w:r w:rsidRPr="00222643">
              <w:t>Hathaway and Officer (2004)</w:t>
            </w:r>
            <w:r w:rsidRPr="001E32C9">
              <w:rPr>
                <w:rStyle w:val="FootnoteReference"/>
              </w:rPr>
              <w:footnoteReference w:id="223"/>
            </w:r>
          </w:p>
        </w:tc>
        <w:tc>
          <w:tcPr>
            <w:tcW w:w="1346" w:type="dxa"/>
          </w:tcPr>
          <w:p w:rsidR="001E32C9" w:rsidRPr="001E32C9" w:rsidRDefault="001E32C9" w:rsidP="001E32C9">
            <w:r w:rsidRPr="00222643">
              <w:t>0.49</w:t>
            </w:r>
            <w:r w:rsidRPr="00222643">
              <w:br/>
              <w:t>(1986–2004)</w:t>
            </w:r>
          </w:p>
        </w:tc>
        <w:tc>
          <w:tcPr>
            <w:tcW w:w="1347" w:type="dxa"/>
          </w:tcPr>
          <w:p w:rsidR="001E32C9" w:rsidRPr="00222643" w:rsidRDefault="001E32C9" w:rsidP="001E32C9"/>
        </w:tc>
        <w:tc>
          <w:tcPr>
            <w:tcW w:w="3260" w:type="dxa"/>
          </w:tcPr>
          <w:p w:rsidR="001E32C9" w:rsidRPr="001E32C9" w:rsidRDefault="001E32C9" w:rsidP="001E32C9">
            <w:r w:rsidRPr="00222643">
              <w:t xml:space="preserve">Authors suggest that estimate has increased </w:t>
            </w:r>
            <w:r w:rsidRPr="001E32C9">
              <w:t>post-2000.</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rsidRPr="00222643">
              <w:t xml:space="preserve">Bellamy and </w:t>
            </w:r>
            <w:proofErr w:type="spellStart"/>
            <w:r w:rsidRPr="00222643">
              <w:t>Gray</w:t>
            </w:r>
            <w:proofErr w:type="spellEnd"/>
            <w:r w:rsidRPr="00222643">
              <w:t xml:space="preserve"> (2004)</w:t>
            </w:r>
            <w:r w:rsidRPr="001E32C9">
              <w:rPr>
                <w:rStyle w:val="FootnoteReference"/>
              </w:rPr>
              <w:footnoteReference w:id="224"/>
            </w:r>
          </w:p>
        </w:tc>
        <w:tc>
          <w:tcPr>
            <w:tcW w:w="1346" w:type="dxa"/>
          </w:tcPr>
          <w:p w:rsidR="001E32C9" w:rsidRPr="001E32C9" w:rsidRDefault="001E32C9" w:rsidP="001E32C9">
            <w:r w:rsidRPr="00222643">
              <w:t>0.36</w:t>
            </w:r>
            <w:r w:rsidRPr="00222643">
              <w:br/>
              <w:t>(1995–2002)</w:t>
            </w:r>
          </w:p>
        </w:tc>
        <w:tc>
          <w:tcPr>
            <w:tcW w:w="1347" w:type="dxa"/>
          </w:tcPr>
          <w:p w:rsidR="001E32C9" w:rsidRPr="00222643" w:rsidRDefault="001E32C9" w:rsidP="001E32C9"/>
        </w:tc>
        <w:tc>
          <w:tcPr>
            <w:tcW w:w="3260" w:type="dxa"/>
          </w:tcPr>
          <w:p w:rsidR="001E32C9" w:rsidRPr="001E32C9" w:rsidRDefault="001E32C9" w:rsidP="001E32C9">
            <w:r w:rsidRPr="00222643">
              <w:t>Range of 0.0–0.60 is also presented.</w:t>
            </w:r>
          </w:p>
        </w:tc>
      </w:tr>
      <w:tr w:rsidR="001E32C9" w:rsidRPr="00222643" w:rsidTr="001752ED">
        <w:tc>
          <w:tcPr>
            <w:tcW w:w="250" w:type="dxa"/>
          </w:tcPr>
          <w:p w:rsidR="001E32C9" w:rsidRPr="00222643" w:rsidRDefault="001E32C9" w:rsidP="001E32C9"/>
        </w:tc>
        <w:tc>
          <w:tcPr>
            <w:tcW w:w="2977" w:type="dxa"/>
            <w:gridSpan w:val="2"/>
          </w:tcPr>
          <w:p w:rsidR="001E32C9" w:rsidRPr="001E32C9" w:rsidRDefault="001E32C9" w:rsidP="001E32C9">
            <w:r w:rsidRPr="00222643">
              <w:t>Bruckner et al (1994)</w:t>
            </w:r>
            <w:r w:rsidRPr="001E32C9">
              <w:rPr>
                <w:rStyle w:val="FootnoteReference"/>
              </w:rPr>
              <w:footnoteReference w:id="225"/>
            </w:r>
          </w:p>
        </w:tc>
        <w:tc>
          <w:tcPr>
            <w:tcW w:w="1346" w:type="dxa"/>
          </w:tcPr>
          <w:p w:rsidR="001E32C9" w:rsidRPr="001E32C9" w:rsidRDefault="001E32C9" w:rsidP="001E32C9">
            <w:r>
              <w:t>0.69</w:t>
            </w:r>
            <w:r>
              <w:br/>
              <w:t>(199</w:t>
            </w:r>
            <w:r w:rsidRPr="001E32C9">
              <w:t>1–1993)</w:t>
            </w:r>
          </w:p>
        </w:tc>
        <w:tc>
          <w:tcPr>
            <w:tcW w:w="1347" w:type="dxa"/>
          </w:tcPr>
          <w:p w:rsidR="001E32C9" w:rsidRPr="00222643" w:rsidRDefault="001E32C9" w:rsidP="001E32C9"/>
        </w:tc>
        <w:tc>
          <w:tcPr>
            <w:tcW w:w="3260" w:type="dxa"/>
          </w:tcPr>
          <w:p w:rsidR="001E32C9" w:rsidRPr="001E32C9" w:rsidRDefault="001E32C9" w:rsidP="001E32C9">
            <w:r w:rsidRPr="00222643">
              <w:t>Also</w:t>
            </w:r>
            <w:r w:rsidRPr="001E32C9">
              <w:t xml:space="preserve"> present an earlier period (1987–1990).</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t>Brown and Clarke (1993)</w:t>
            </w:r>
            <w:r w:rsidRPr="001E32C9">
              <w:rPr>
                <w:rStyle w:val="FootnoteReference"/>
              </w:rPr>
              <w:footnoteReference w:id="226"/>
            </w:r>
          </w:p>
        </w:tc>
        <w:tc>
          <w:tcPr>
            <w:tcW w:w="1346" w:type="dxa"/>
          </w:tcPr>
          <w:p w:rsidR="001E32C9" w:rsidRPr="001E32C9" w:rsidRDefault="001E32C9" w:rsidP="001E32C9">
            <w:r w:rsidRPr="00222643">
              <w:t>0.80</w:t>
            </w:r>
            <w:r w:rsidRPr="00222643">
              <w:br/>
              <w:t>(1988–1991)</w:t>
            </w:r>
          </w:p>
        </w:tc>
        <w:tc>
          <w:tcPr>
            <w:tcW w:w="1347" w:type="dxa"/>
          </w:tcPr>
          <w:p w:rsidR="001E32C9" w:rsidRPr="00222643" w:rsidRDefault="001E32C9" w:rsidP="001E32C9"/>
        </w:tc>
        <w:tc>
          <w:tcPr>
            <w:tcW w:w="3260" w:type="dxa"/>
          </w:tcPr>
          <w:p w:rsidR="001E32C9" w:rsidRPr="00222643" w:rsidRDefault="001E32C9" w:rsidP="001E32C9"/>
        </w:tc>
      </w:tr>
    </w:tbl>
    <w:p w:rsidR="001E32C9" w:rsidRPr="00222643" w:rsidRDefault="001E32C9" w:rsidP="001E32C9">
      <w:pPr>
        <w:pStyle w:val="AERtablesource"/>
      </w:pPr>
      <w:r w:rsidRPr="00222643">
        <w:t xml:space="preserve">Source: </w:t>
      </w:r>
      <w:r w:rsidRPr="00222643">
        <w:tab/>
        <w:t>As specified in table.</w:t>
      </w:r>
    </w:p>
    <w:p w:rsidR="001E32C9" w:rsidRPr="00222643" w:rsidRDefault="001E32C9" w:rsidP="001E32C9">
      <w:pPr>
        <w:pStyle w:val="Caption"/>
      </w:pPr>
      <w:bookmarkStart w:id="86" w:name="_Ref401076250"/>
      <w:r>
        <w:t xml:space="preserve">Table </w:t>
      </w:r>
      <w:fldSimple w:instr=" STYLEREF 1 \s ">
        <w:r w:rsidR="00927273">
          <w:rPr>
            <w:noProof/>
          </w:rPr>
          <w:t>4</w:t>
        </w:r>
      </w:fldSimple>
      <w:r w:rsidR="00C20561">
        <w:noBreakHyphen/>
      </w:r>
      <w:fldSimple w:instr=" SEQ Table \* ARABIC \s 1 ">
        <w:r w:rsidR="00927273">
          <w:rPr>
            <w:noProof/>
          </w:rPr>
          <w:t>11</w:t>
        </w:r>
      </w:fldSimple>
      <w:bookmarkEnd w:id="86"/>
      <w:r>
        <w:tab/>
      </w:r>
      <w:r w:rsidRPr="00222643">
        <w:t>Estimates of the utilisation rate from alternative market value studies</w:t>
      </w:r>
    </w:p>
    <w:tbl>
      <w:tblPr>
        <w:tblStyle w:val="AERtable-text"/>
        <w:tblW w:w="0" w:type="auto"/>
        <w:tblLayout w:type="fixed"/>
        <w:tblLook w:val="04A0" w:firstRow="1" w:lastRow="0" w:firstColumn="1" w:lastColumn="0" w:noHBand="0" w:noVBand="1"/>
      </w:tblPr>
      <w:tblGrid>
        <w:gridCol w:w="392"/>
        <w:gridCol w:w="2835"/>
        <w:gridCol w:w="1346"/>
        <w:gridCol w:w="1347"/>
        <w:gridCol w:w="3260"/>
        <w:gridCol w:w="62"/>
      </w:tblGrid>
      <w:tr w:rsidR="001E32C9" w:rsidRPr="00222643" w:rsidTr="004C6F08">
        <w:trPr>
          <w:gridAfter w:val="1"/>
          <w:cnfStyle w:val="100000000000" w:firstRow="1" w:lastRow="0" w:firstColumn="0" w:lastColumn="0" w:oddVBand="0" w:evenVBand="0" w:oddHBand="0" w:evenHBand="0" w:firstRowFirstColumn="0" w:firstRowLastColumn="0" w:lastRowFirstColumn="0" w:lastRowLastColumn="0"/>
          <w:wAfter w:w="62" w:type="dxa"/>
          <w:tblHeader/>
        </w:trPr>
        <w:tc>
          <w:tcPr>
            <w:tcW w:w="392" w:type="dxa"/>
          </w:tcPr>
          <w:p w:rsidR="001E32C9" w:rsidRPr="00222643" w:rsidRDefault="001E32C9" w:rsidP="001E32C9"/>
        </w:tc>
        <w:tc>
          <w:tcPr>
            <w:tcW w:w="2835" w:type="dxa"/>
          </w:tcPr>
          <w:p w:rsidR="001E32C9" w:rsidRPr="001E32C9" w:rsidRDefault="001E32C9" w:rsidP="001E32C9">
            <w:r w:rsidRPr="00222643">
              <w:t>Authors</w:t>
            </w:r>
          </w:p>
        </w:tc>
        <w:tc>
          <w:tcPr>
            <w:tcW w:w="1346" w:type="dxa"/>
          </w:tcPr>
          <w:p w:rsidR="001E32C9" w:rsidRPr="001E32C9" w:rsidRDefault="001E32C9" w:rsidP="001E32C9">
            <w:r w:rsidRPr="00222643">
              <w:t>Pre-2000 results</w:t>
            </w:r>
          </w:p>
        </w:tc>
        <w:tc>
          <w:tcPr>
            <w:tcW w:w="1347" w:type="dxa"/>
          </w:tcPr>
          <w:p w:rsidR="001E32C9" w:rsidRPr="001E32C9" w:rsidRDefault="001E32C9" w:rsidP="001E32C9">
            <w:r w:rsidRPr="00222643">
              <w:t>Post-2000 results</w:t>
            </w:r>
          </w:p>
        </w:tc>
        <w:tc>
          <w:tcPr>
            <w:tcW w:w="3260" w:type="dxa"/>
          </w:tcPr>
          <w:p w:rsidR="001E32C9" w:rsidRPr="001E32C9" w:rsidRDefault="001E32C9" w:rsidP="001E32C9">
            <w:r w:rsidRPr="00222643">
              <w:t>Notes</w:t>
            </w:r>
          </w:p>
        </w:tc>
      </w:tr>
      <w:tr w:rsidR="001E32C9" w:rsidRPr="00222643" w:rsidTr="001752ED">
        <w:trPr>
          <w:trHeight w:val="479"/>
        </w:trPr>
        <w:tc>
          <w:tcPr>
            <w:tcW w:w="3227" w:type="dxa"/>
            <w:gridSpan w:val="2"/>
          </w:tcPr>
          <w:p w:rsidR="001E32C9" w:rsidRPr="001E32C9" w:rsidRDefault="001E32C9" w:rsidP="001E32C9">
            <w:pPr>
              <w:rPr>
                <w:rStyle w:val="AERtextbold"/>
              </w:rPr>
            </w:pPr>
            <w:r w:rsidRPr="00482215">
              <w:rPr>
                <w:rStyle w:val="AERtextbold"/>
              </w:rPr>
              <w:t>Dividend drop off study using hybrids</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proofErr w:type="spellStart"/>
            <w:r w:rsidRPr="00222643">
              <w:t>Feuerherdt</w:t>
            </w:r>
            <w:proofErr w:type="spellEnd"/>
            <w:r w:rsidRPr="00222643">
              <w:t xml:space="preserve">, </w:t>
            </w:r>
            <w:proofErr w:type="spellStart"/>
            <w:r w:rsidRPr="00222643">
              <w:t>Gray</w:t>
            </w:r>
            <w:proofErr w:type="spellEnd"/>
            <w:r w:rsidRPr="00222643">
              <w:t xml:space="preserve"> and Hall </w:t>
            </w:r>
            <w:r w:rsidRPr="001E32C9">
              <w:t>(2010)</w:t>
            </w:r>
            <w:r w:rsidRPr="001E32C9">
              <w:rPr>
                <w:rStyle w:val="FootnoteReference"/>
              </w:rPr>
              <w:footnoteReference w:id="227"/>
            </w:r>
          </w:p>
        </w:tc>
        <w:tc>
          <w:tcPr>
            <w:tcW w:w="1346" w:type="dxa"/>
          </w:tcPr>
          <w:p w:rsidR="001E32C9" w:rsidRPr="001E32C9" w:rsidRDefault="001E32C9" w:rsidP="001E32C9">
            <w:r w:rsidRPr="00222643">
              <w:t>N/A</w:t>
            </w:r>
            <w:r w:rsidRPr="00222643">
              <w:br/>
              <w:t>(1995–2002)</w:t>
            </w:r>
          </w:p>
        </w:tc>
        <w:tc>
          <w:tcPr>
            <w:tcW w:w="1347" w:type="dxa"/>
          </w:tcPr>
          <w:p w:rsidR="001E32C9" w:rsidRPr="00222643" w:rsidRDefault="001E32C9" w:rsidP="001E32C9"/>
        </w:tc>
        <w:tc>
          <w:tcPr>
            <w:tcW w:w="3322" w:type="dxa"/>
            <w:gridSpan w:val="2"/>
          </w:tcPr>
          <w:p w:rsidR="001E32C9" w:rsidRPr="001E32C9" w:rsidRDefault="001E32C9" w:rsidP="001E32C9">
            <w:r>
              <w:t>Combined drop off of 1.</w:t>
            </w:r>
            <w:r w:rsidRPr="001E32C9">
              <w:t>0. With dividends at full value, this is a utilisation rate of 0.</w:t>
            </w:r>
          </w:p>
        </w:tc>
      </w:tr>
      <w:tr w:rsidR="001E32C9" w:rsidRPr="00222643" w:rsidTr="001752ED">
        <w:tc>
          <w:tcPr>
            <w:tcW w:w="3227" w:type="dxa"/>
            <w:gridSpan w:val="2"/>
          </w:tcPr>
          <w:p w:rsidR="001E32C9" w:rsidRPr="001E32C9" w:rsidRDefault="001E32C9" w:rsidP="001E32C9">
            <w:pPr>
              <w:rPr>
                <w:rStyle w:val="AERtextbold"/>
              </w:rPr>
            </w:pPr>
            <w:r w:rsidRPr="00482215">
              <w:rPr>
                <w:rStyle w:val="AERtextbold"/>
              </w:rPr>
              <w:lastRenderedPageBreak/>
              <w:t>Futures study (individual or index)</w:t>
            </w:r>
          </w:p>
        </w:tc>
        <w:tc>
          <w:tcPr>
            <w:tcW w:w="1346" w:type="dxa"/>
          </w:tcPr>
          <w:p w:rsidR="001E32C9" w:rsidRPr="00482215" w:rsidRDefault="001E32C9" w:rsidP="001E32C9">
            <w:pPr>
              <w:rPr>
                <w:rStyle w:val="AERtextbold"/>
              </w:rPr>
            </w:pPr>
          </w:p>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542"/>
        </w:trPr>
        <w:tc>
          <w:tcPr>
            <w:tcW w:w="392" w:type="dxa"/>
          </w:tcPr>
          <w:p w:rsidR="001E32C9" w:rsidRPr="00222643" w:rsidRDefault="001E32C9" w:rsidP="001E32C9"/>
        </w:tc>
        <w:tc>
          <w:tcPr>
            <w:tcW w:w="2835" w:type="dxa"/>
          </w:tcPr>
          <w:p w:rsidR="001E32C9" w:rsidRPr="001E32C9" w:rsidRDefault="001E32C9" w:rsidP="001E32C9">
            <w:r w:rsidRPr="00222643">
              <w:t>SFG (2013b)</w:t>
            </w:r>
            <w:r w:rsidRPr="001E32C9">
              <w:rPr>
                <w:rStyle w:val="FootnoteReference"/>
              </w:rPr>
              <w:footnoteReference w:id="228"/>
            </w:r>
          </w:p>
        </w:tc>
        <w:tc>
          <w:tcPr>
            <w:tcW w:w="1346" w:type="dxa"/>
          </w:tcPr>
          <w:p w:rsidR="001E32C9" w:rsidRPr="00222643" w:rsidRDefault="001E32C9" w:rsidP="001E32C9"/>
        </w:tc>
        <w:tc>
          <w:tcPr>
            <w:tcW w:w="1347" w:type="dxa"/>
          </w:tcPr>
          <w:p w:rsidR="001E32C9" w:rsidRPr="001E32C9" w:rsidRDefault="001E32C9" w:rsidP="001E32C9">
            <w:r w:rsidRPr="00222643">
              <w:t>0.12</w:t>
            </w:r>
            <w:r w:rsidRPr="00222643">
              <w:br/>
              <w:t>(2000–2013)</w:t>
            </w:r>
          </w:p>
        </w:tc>
        <w:tc>
          <w:tcPr>
            <w:tcW w:w="3322" w:type="dxa"/>
            <w:gridSpan w:val="2"/>
          </w:tcPr>
          <w:p w:rsidR="001E32C9" w:rsidRPr="001E32C9" w:rsidRDefault="001E32C9" w:rsidP="001E32C9">
            <w:r w:rsidRPr="00222643">
              <w:t>Uses individual firms.</w:t>
            </w:r>
          </w:p>
        </w:tc>
      </w:tr>
      <w:tr w:rsidR="001E32C9" w:rsidRPr="00222643" w:rsidTr="001752ED">
        <w:trPr>
          <w:trHeight w:val="465"/>
        </w:trPr>
        <w:tc>
          <w:tcPr>
            <w:tcW w:w="392" w:type="dxa"/>
          </w:tcPr>
          <w:p w:rsidR="001E32C9" w:rsidRPr="00222643" w:rsidRDefault="001E32C9" w:rsidP="001E32C9"/>
        </w:tc>
        <w:tc>
          <w:tcPr>
            <w:tcW w:w="2835" w:type="dxa"/>
          </w:tcPr>
          <w:p w:rsidR="001E32C9" w:rsidRPr="001E32C9" w:rsidRDefault="001E32C9" w:rsidP="001E32C9">
            <w:proofErr w:type="spellStart"/>
            <w:r w:rsidRPr="00222643">
              <w:t>Cannavan</w:t>
            </w:r>
            <w:proofErr w:type="spellEnd"/>
            <w:r w:rsidRPr="00222643">
              <w:t xml:space="preserve"> et al (2004)</w:t>
            </w:r>
            <w:r w:rsidRPr="001E32C9">
              <w:rPr>
                <w:rStyle w:val="FootnoteReference"/>
              </w:rPr>
              <w:footnoteReference w:id="229"/>
            </w:r>
          </w:p>
        </w:tc>
        <w:tc>
          <w:tcPr>
            <w:tcW w:w="1346" w:type="dxa"/>
          </w:tcPr>
          <w:p w:rsidR="001E32C9" w:rsidRPr="001E32C9" w:rsidRDefault="001E32C9" w:rsidP="001E32C9">
            <w:r w:rsidRPr="00222643">
              <w:t>0–0.15</w:t>
            </w:r>
            <w:r w:rsidRPr="00222643">
              <w:br/>
              <w:t>(1994–1999)</w:t>
            </w:r>
          </w:p>
        </w:tc>
        <w:tc>
          <w:tcPr>
            <w:tcW w:w="1347" w:type="dxa"/>
          </w:tcPr>
          <w:p w:rsidR="001E32C9" w:rsidRPr="00222643" w:rsidRDefault="001E32C9" w:rsidP="001E32C9"/>
        </w:tc>
        <w:tc>
          <w:tcPr>
            <w:tcW w:w="3322" w:type="dxa"/>
            <w:gridSpan w:val="2"/>
          </w:tcPr>
          <w:p w:rsidR="001E32C9" w:rsidRPr="001E32C9" w:rsidRDefault="001E32C9" w:rsidP="001E32C9">
            <w:r w:rsidRPr="00222643">
              <w:t>Uses individual firms.</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 xml:space="preserve">Cummings and </w:t>
            </w:r>
            <w:proofErr w:type="spellStart"/>
            <w:r w:rsidRPr="00222643">
              <w:t>Frino</w:t>
            </w:r>
            <w:proofErr w:type="spellEnd"/>
            <w:r w:rsidRPr="00222643">
              <w:t xml:space="preserve"> (2008)</w:t>
            </w:r>
            <w:r w:rsidRPr="001E32C9">
              <w:rPr>
                <w:rStyle w:val="FootnoteReference"/>
              </w:rPr>
              <w:footnoteReference w:id="230"/>
            </w:r>
          </w:p>
        </w:tc>
        <w:tc>
          <w:tcPr>
            <w:tcW w:w="1346" w:type="dxa"/>
          </w:tcPr>
          <w:p w:rsidR="001E32C9" w:rsidRPr="00222643" w:rsidRDefault="001E32C9" w:rsidP="001E32C9"/>
        </w:tc>
        <w:tc>
          <w:tcPr>
            <w:tcW w:w="1347" w:type="dxa"/>
          </w:tcPr>
          <w:p w:rsidR="001E32C9" w:rsidRPr="001E32C9" w:rsidRDefault="001E32C9" w:rsidP="001E32C9">
            <w:r>
              <w:t>0.52</w:t>
            </w:r>
            <w:r w:rsidRPr="001E32C9">
              <w:br/>
              <w:t>(2002–2005)</w:t>
            </w:r>
          </w:p>
        </w:tc>
        <w:tc>
          <w:tcPr>
            <w:tcW w:w="3322" w:type="dxa"/>
            <w:gridSpan w:val="2"/>
          </w:tcPr>
          <w:p w:rsidR="001E32C9" w:rsidRPr="001E32C9" w:rsidRDefault="001E32C9" w:rsidP="001E32C9">
            <w:r w:rsidRPr="00222643">
              <w:t>Uses index.</w:t>
            </w:r>
          </w:p>
        </w:tc>
      </w:tr>
      <w:tr w:rsidR="001E32C9" w:rsidRPr="00222643" w:rsidTr="001752ED">
        <w:tc>
          <w:tcPr>
            <w:tcW w:w="3227" w:type="dxa"/>
            <w:gridSpan w:val="2"/>
          </w:tcPr>
          <w:p w:rsidR="001E32C9" w:rsidRPr="001E32C9" w:rsidRDefault="001E32C9" w:rsidP="001E32C9">
            <w:pPr>
              <w:rPr>
                <w:rStyle w:val="AERtextbold"/>
              </w:rPr>
            </w:pPr>
            <w:r w:rsidRPr="00482215">
              <w:rPr>
                <w:rStyle w:val="AERtextbold"/>
              </w:rPr>
              <w:t>Rate of return study</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NERA (2013b)</w:t>
            </w:r>
            <w:r w:rsidRPr="001E32C9">
              <w:rPr>
                <w:rStyle w:val="FootnoteReference"/>
              </w:rPr>
              <w:footnoteReference w:id="231"/>
            </w:r>
          </w:p>
        </w:tc>
        <w:tc>
          <w:tcPr>
            <w:tcW w:w="1346" w:type="dxa"/>
          </w:tcPr>
          <w:p w:rsidR="001E32C9" w:rsidRPr="001E32C9" w:rsidRDefault="001E32C9" w:rsidP="001E32C9">
            <w:r>
              <w:t>-1.57</w:t>
            </w:r>
            <w:r>
              <w:br/>
              <w:t>(1987</w:t>
            </w:r>
            <w:r w:rsidRPr="001E32C9">
              <w:t>–2000)</w:t>
            </w:r>
          </w:p>
        </w:tc>
        <w:tc>
          <w:tcPr>
            <w:tcW w:w="1347" w:type="dxa"/>
          </w:tcPr>
          <w:p w:rsidR="001E32C9" w:rsidRPr="001E32C9" w:rsidRDefault="001E32C9" w:rsidP="001E32C9">
            <w:r>
              <w:t>-1.90</w:t>
            </w:r>
            <w:r>
              <w:br/>
              <w:t>(2000–2012</w:t>
            </w:r>
            <w:r w:rsidRPr="001E32C9">
              <w:t>)</w:t>
            </w:r>
          </w:p>
        </w:tc>
        <w:tc>
          <w:tcPr>
            <w:tcW w:w="3322" w:type="dxa"/>
            <w:gridSpan w:val="2"/>
          </w:tcPr>
          <w:p w:rsidR="001E32C9" w:rsidRPr="001E32C9" w:rsidRDefault="001E32C9" w:rsidP="001E32C9">
            <w:r w:rsidRPr="00222643">
              <w:t>Uses past returns. For the entire period, estimate is -1.50.</w:t>
            </w:r>
          </w:p>
        </w:tc>
      </w:tr>
      <w:tr w:rsidR="001E32C9" w:rsidRPr="00222643" w:rsidTr="001752ED">
        <w:trPr>
          <w:trHeight w:val="535"/>
        </w:trPr>
        <w:tc>
          <w:tcPr>
            <w:tcW w:w="392" w:type="dxa"/>
          </w:tcPr>
          <w:p w:rsidR="001E32C9" w:rsidRPr="00222643" w:rsidRDefault="001E32C9" w:rsidP="001E32C9"/>
        </w:tc>
        <w:tc>
          <w:tcPr>
            <w:tcW w:w="2835" w:type="dxa"/>
          </w:tcPr>
          <w:p w:rsidR="001E32C9" w:rsidRPr="001E32C9" w:rsidRDefault="001E32C9" w:rsidP="001E32C9">
            <w:proofErr w:type="spellStart"/>
            <w:r w:rsidRPr="00222643">
              <w:t>Lajbcygier</w:t>
            </w:r>
            <w:proofErr w:type="spellEnd"/>
            <w:r w:rsidRPr="00222643">
              <w:t xml:space="preserve"> and Wheatley (2012)</w:t>
            </w:r>
            <w:r w:rsidRPr="001E32C9">
              <w:rPr>
                <w:rStyle w:val="FootnoteReference"/>
              </w:rPr>
              <w:footnoteReference w:id="232"/>
            </w:r>
          </w:p>
        </w:tc>
        <w:tc>
          <w:tcPr>
            <w:tcW w:w="1346" w:type="dxa"/>
          </w:tcPr>
          <w:p w:rsidR="001E32C9" w:rsidRPr="001E32C9" w:rsidRDefault="001E32C9" w:rsidP="001E32C9">
            <w:r>
              <w:t>-1.57</w:t>
            </w:r>
            <w:r>
              <w:br/>
              <w:t>(1987</w:t>
            </w:r>
            <w:r w:rsidRPr="001E32C9">
              <w:t>–2000)</w:t>
            </w:r>
          </w:p>
        </w:tc>
        <w:tc>
          <w:tcPr>
            <w:tcW w:w="1347" w:type="dxa"/>
          </w:tcPr>
          <w:p w:rsidR="001E32C9" w:rsidRPr="001E32C9" w:rsidRDefault="001E32C9" w:rsidP="001E32C9">
            <w:r w:rsidRPr="00222643">
              <w:t>-1.68</w:t>
            </w:r>
            <w:r w:rsidRPr="00222643">
              <w:br/>
              <w:t>(2000–2009)</w:t>
            </w:r>
          </w:p>
        </w:tc>
        <w:tc>
          <w:tcPr>
            <w:tcW w:w="3322" w:type="dxa"/>
            <w:gridSpan w:val="2"/>
          </w:tcPr>
          <w:p w:rsidR="001E32C9" w:rsidRPr="001E32C9" w:rsidRDefault="001E32C9" w:rsidP="001E32C9">
            <w:r w:rsidRPr="00222643">
              <w:t>Uses past returns. For the entire period, estimate is -1.88</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299"/>
        </w:trPr>
        <w:tc>
          <w:tcPr>
            <w:tcW w:w="392" w:type="dxa"/>
          </w:tcPr>
          <w:p w:rsidR="001E32C9" w:rsidRPr="00222643" w:rsidRDefault="001E32C9" w:rsidP="001E32C9"/>
        </w:tc>
        <w:tc>
          <w:tcPr>
            <w:tcW w:w="2835" w:type="dxa"/>
          </w:tcPr>
          <w:p w:rsidR="001E32C9" w:rsidRPr="001E32C9" w:rsidRDefault="001E32C9" w:rsidP="001E32C9">
            <w:proofErr w:type="spellStart"/>
            <w:r w:rsidRPr="00222643">
              <w:t>Siau</w:t>
            </w:r>
            <w:proofErr w:type="spellEnd"/>
            <w:r w:rsidRPr="00222643">
              <w:t xml:space="preserve"> et al (2013)</w:t>
            </w:r>
            <w:r w:rsidRPr="001E32C9">
              <w:rPr>
                <w:rStyle w:val="FootnoteReference"/>
              </w:rPr>
              <w:footnoteReference w:id="233"/>
            </w:r>
          </w:p>
        </w:tc>
        <w:tc>
          <w:tcPr>
            <w:tcW w:w="1346" w:type="dxa"/>
          </w:tcPr>
          <w:p w:rsidR="001E32C9" w:rsidRPr="00222643" w:rsidRDefault="001E32C9" w:rsidP="001E32C9"/>
        </w:tc>
        <w:tc>
          <w:tcPr>
            <w:tcW w:w="1347" w:type="dxa"/>
          </w:tcPr>
          <w:p w:rsidR="001E32C9" w:rsidRPr="001E32C9" w:rsidRDefault="001E32C9" w:rsidP="001E32C9">
            <w:r w:rsidRPr="00222643">
              <w:t>-0.29–0.30</w:t>
            </w:r>
            <w:r w:rsidRPr="00222643">
              <w:br/>
              <w:t>(1996–2011)</w:t>
            </w:r>
          </w:p>
        </w:tc>
        <w:tc>
          <w:tcPr>
            <w:tcW w:w="3322" w:type="dxa"/>
            <w:gridSpan w:val="2"/>
          </w:tcPr>
          <w:p w:rsidR="001E32C9" w:rsidRPr="001E32C9" w:rsidRDefault="001E32C9" w:rsidP="001E32C9">
            <w:r w:rsidRPr="00222643">
              <w:t>Uses forecast returns. Note range is from negative 0.29 to positive 0.30.</w:t>
            </w:r>
          </w:p>
        </w:tc>
      </w:tr>
      <w:tr w:rsidR="001E32C9" w:rsidRPr="00222643" w:rsidTr="001752ED">
        <w:trPr>
          <w:trHeight w:val="402"/>
        </w:trPr>
        <w:tc>
          <w:tcPr>
            <w:tcW w:w="3227" w:type="dxa"/>
            <w:gridSpan w:val="2"/>
          </w:tcPr>
          <w:p w:rsidR="001E32C9" w:rsidRPr="001E32C9" w:rsidRDefault="001E32C9" w:rsidP="001E32C9">
            <w:pPr>
              <w:rPr>
                <w:rStyle w:val="AERtextbold"/>
              </w:rPr>
            </w:pPr>
            <w:r w:rsidRPr="00482215">
              <w:rPr>
                <w:rStyle w:val="AERtextbold"/>
              </w:rPr>
              <w:t>Simultaneous share trades</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402"/>
        </w:trPr>
        <w:tc>
          <w:tcPr>
            <w:tcW w:w="392" w:type="dxa"/>
          </w:tcPr>
          <w:p w:rsidR="001E32C9" w:rsidRPr="00222643" w:rsidRDefault="001E32C9" w:rsidP="001E32C9"/>
        </w:tc>
        <w:tc>
          <w:tcPr>
            <w:tcW w:w="2835" w:type="dxa"/>
          </w:tcPr>
          <w:p w:rsidR="001E32C9" w:rsidRPr="001E32C9" w:rsidRDefault="001E32C9" w:rsidP="001E32C9">
            <w:r w:rsidRPr="00222643">
              <w:t xml:space="preserve">Chu and </w:t>
            </w:r>
            <w:r w:rsidRPr="001E32C9">
              <w:t>Partington (2008)</w:t>
            </w:r>
            <w:r w:rsidRPr="001E32C9">
              <w:rPr>
                <w:rStyle w:val="FootnoteReference"/>
              </w:rPr>
              <w:footnoteReference w:id="234"/>
            </w:r>
          </w:p>
        </w:tc>
        <w:tc>
          <w:tcPr>
            <w:tcW w:w="1346" w:type="dxa"/>
          </w:tcPr>
          <w:p w:rsidR="001E32C9" w:rsidRPr="001E32C9" w:rsidRDefault="001E32C9" w:rsidP="001E32C9">
            <w:r w:rsidRPr="00222643">
              <w:t>N/A</w:t>
            </w:r>
            <w:r w:rsidRPr="00222643">
              <w:br/>
              <w:t>(1996)</w:t>
            </w:r>
          </w:p>
        </w:tc>
        <w:tc>
          <w:tcPr>
            <w:tcW w:w="1347" w:type="dxa"/>
          </w:tcPr>
          <w:p w:rsidR="001E32C9" w:rsidRPr="00222643" w:rsidRDefault="001E32C9" w:rsidP="001E32C9"/>
        </w:tc>
        <w:tc>
          <w:tcPr>
            <w:tcW w:w="3322" w:type="dxa"/>
            <w:gridSpan w:val="2"/>
          </w:tcPr>
          <w:p w:rsidR="001E32C9" w:rsidRPr="001E32C9" w:rsidRDefault="001E32C9" w:rsidP="001E32C9">
            <w:r w:rsidRPr="00222643">
              <w:t>Combined drop off of 1.29. With dividends at full value, this is a utilisation rate of 0.68.</w:t>
            </w:r>
          </w:p>
        </w:tc>
      </w:tr>
      <w:tr w:rsidR="001E32C9" w:rsidRPr="00222643" w:rsidTr="001752ED">
        <w:trPr>
          <w:trHeight w:val="284"/>
        </w:trPr>
        <w:tc>
          <w:tcPr>
            <w:tcW w:w="392" w:type="dxa"/>
          </w:tcPr>
          <w:p w:rsidR="001E32C9" w:rsidRPr="00222643" w:rsidRDefault="001E32C9" w:rsidP="001E32C9"/>
        </w:tc>
        <w:tc>
          <w:tcPr>
            <w:tcW w:w="2835" w:type="dxa"/>
          </w:tcPr>
          <w:p w:rsidR="001E32C9" w:rsidRPr="001E32C9" w:rsidRDefault="001E32C9" w:rsidP="001E32C9">
            <w:r w:rsidRPr="00222643">
              <w:t>Walker and Partington (1999)</w:t>
            </w:r>
            <w:r w:rsidRPr="001E32C9">
              <w:rPr>
                <w:rStyle w:val="FootnoteReference"/>
              </w:rPr>
              <w:footnoteReference w:id="235"/>
            </w:r>
          </w:p>
        </w:tc>
        <w:tc>
          <w:tcPr>
            <w:tcW w:w="1346" w:type="dxa"/>
          </w:tcPr>
          <w:p w:rsidR="001E32C9" w:rsidRPr="001E32C9" w:rsidRDefault="001E32C9" w:rsidP="001E32C9">
            <w:r w:rsidRPr="00222643">
              <w:t>0.88–0.96</w:t>
            </w:r>
            <w:r w:rsidRPr="00222643">
              <w:br/>
              <w:t>(1995–1997)</w:t>
            </w:r>
          </w:p>
        </w:tc>
        <w:tc>
          <w:tcPr>
            <w:tcW w:w="1347" w:type="dxa"/>
          </w:tcPr>
          <w:p w:rsidR="001E32C9" w:rsidRPr="00222643" w:rsidRDefault="001E32C9" w:rsidP="001E32C9"/>
        </w:tc>
        <w:tc>
          <w:tcPr>
            <w:tcW w:w="3322" w:type="dxa"/>
            <w:gridSpan w:val="2"/>
          </w:tcPr>
          <w:p w:rsidR="001E32C9" w:rsidRPr="00222643" w:rsidDel="003D6627"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658"/>
        </w:trPr>
        <w:tc>
          <w:tcPr>
            <w:tcW w:w="392" w:type="dxa"/>
          </w:tcPr>
          <w:p w:rsidR="001E32C9" w:rsidRPr="00222643" w:rsidRDefault="001E32C9" w:rsidP="001E32C9"/>
        </w:tc>
        <w:tc>
          <w:tcPr>
            <w:tcW w:w="2835" w:type="dxa"/>
          </w:tcPr>
          <w:p w:rsidR="001E32C9" w:rsidRPr="001E32C9" w:rsidRDefault="001E32C9" w:rsidP="001E32C9">
            <w:r w:rsidRPr="00222643">
              <w:t>Chu and Partington (2001)</w:t>
            </w:r>
            <w:r w:rsidRPr="001E32C9">
              <w:rPr>
                <w:rStyle w:val="FootnoteReference"/>
              </w:rPr>
              <w:footnoteReference w:id="236"/>
            </w:r>
          </w:p>
        </w:tc>
        <w:tc>
          <w:tcPr>
            <w:tcW w:w="1346" w:type="dxa"/>
          </w:tcPr>
          <w:p w:rsidR="001E32C9" w:rsidRPr="001E32C9" w:rsidRDefault="001E32C9" w:rsidP="001E32C9">
            <w:r>
              <w:t>N/A</w:t>
            </w:r>
            <w:r>
              <w:br/>
              <w:t>(</w:t>
            </w:r>
            <w:r w:rsidRPr="001E32C9">
              <w:t>1991–1999)</w:t>
            </w:r>
          </w:p>
        </w:tc>
        <w:tc>
          <w:tcPr>
            <w:tcW w:w="1347" w:type="dxa"/>
          </w:tcPr>
          <w:p w:rsidR="001E32C9" w:rsidRPr="00222643" w:rsidRDefault="001E32C9" w:rsidP="001E32C9"/>
        </w:tc>
        <w:tc>
          <w:tcPr>
            <w:tcW w:w="3322" w:type="dxa"/>
            <w:gridSpan w:val="2"/>
          </w:tcPr>
          <w:p w:rsidR="001E32C9" w:rsidRPr="001E32C9" w:rsidDel="003D6627" w:rsidRDefault="001E32C9" w:rsidP="001E32C9">
            <w:r w:rsidRPr="00222643">
              <w:t>Combined drop off of 1.5. With</w:t>
            </w:r>
            <w:r w:rsidRPr="001E32C9">
              <w:t xml:space="preserve"> dividends at full value, this is a utilisation rate above 1.</w:t>
            </w:r>
          </w:p>
        </w:tc>
      </w:tr>
    </w:tbl>
    <w:p w:rsidR="001E32C9" w:rsidRPr="00222643" w:rsidRDefault="001E32C9" w:rsidP="001E32C9">
      <w:pPr>
        <w:pStyle w:val="AERtablesource"/>
      </w:pPr>
      <w:r w:rsidRPr="00222643">
        <w:t xml:space="preserve">Source: </w:t>
      </w:r>
      <w:r w:rsidRPr="00222643">
        <w:tab/>
        <w:t xml:space="preserve">As specified in table. </w:t>
      </w:r>
    </w:p>
    <w:p w:rsidR="001E32C9" w:rsidRDefault="001E32C9" w:rsidP="001E32C9">
      <w:pPr>
        <w:pStyle w:val="Heading8"/>
        <w:numPr>
          <w:ilvl w:val="5"/>
          <w:numId w:val="57"/>
        </w:numPr>
      </w:pPr>
      <w:bookmarkStart w:id="87" w:name="_Ref401276227"/>
      <w:r>
        <w:lastRenderedPageBreak/>
        <w:t>Limitations of dividend drop off studies</w:t>
      </w:r>
      <w:bookmarkEnd w:id="87"/>
    </w:p>
    <w:p w:rsidR="001E32C9" w:rsidRDefault="001E32C9" w:rsidP="001E32C9">
      <w:pPr>
        <w:pStyle w:val="AERbodytext"/>
      </w:pPr>
      <w:r>
        <w:t>This section sets out further evidence which supports our position on the use of implied market value studies—in particular dividend drop off studies—to estimate the utilisation rate. Specifically, we consider the limitations of dividend drop off studies as evident in:</w:t>
      </w:r>
    </w:p>
    <w:p w:rsidR="001E32C9" w:rsidRDefault="001E32C9" w:rsidP="001E32C9">
      <w:pPr>
        <w:pStyle w:val="AERbulletlistfirststyle"/>
      </w:pPr>
      <w:r>
        <w:t>A comparison of these studies with other market-based estimation approaches.</w:t>
      </w:r>
    </w:p>
    <w:p w:rsidR="001E32C9" w:rsidRDefault="001E32C9" w:rsidP="001E32C9">
      <w:pPr>
        <w:pStyle w:val="AERbulletlistfirststyle"/>
      </w:pPr>
      <w:r>
        <w:t>The views of academics and other regulators.</w:t>
      </w:r>
    </w:p>
    <w:p w:rsidR="001E32C9" w:rsidRDefault="001E32C9" w:rsidP="001E32C9">
      <w:pPr>
        <w:pStyle w:val="Heading9"/>
        <w:numPr>
          <w:ilvl w:val="6"/>
          <w:numId w:val="57"/>
        </w:numPr>
      </w:pPr>
      <w:r>
        <w:t>Comparison with other market-based estimation approaches</w:t>
      </w:r>
    </w:p>
    <w:p w:rsidR="001E32C9" w:rsidRDefault="001E32C9" w:rsidP="001E32C9">
      <w:pPr>
        <w:pStyle w:val="AERbodytext"/>
      </w:pPr>
      <w:r>
        <w:t>The service providers submitted that their interpretation of the value of imputation credits is consistent with the approach taken to other elements of the return on capital. They provided the example of the return on debt, where the returns 'actually' required by investors are estimated with regard to the market prices of the relevant securities.</w:t>
      </w:r>
      <w:r>
        <w:rPr>
          <w:rStyle w:val="FootnoteReference"/>
        </w:rPr>
        <w:footnoteReference w:id="237"/>
      </w:r>
      <w:r>
        <w:t xml:space="preserve"> Further, they submitted that the only source of evidence capable of providing a point estimate for the value of distributed imputation credits are implied market value studies, in particular dividend drop off studies.</w:t>
      </w:r>
      <w:r>
        <w:rPr>
          <w:rStyle w:val="FootnoteReference"/>
        </w:rPr>
        <w:footnoteReference w:id="238"/>
      </w:r>
    </w:p>
    <w:p w:rsidR="001E32C9" w:rsidRDefault="001E32C9" w:rsidP="001E32C9">
      <w:pPr>
        <w:pStyle w:val="AERbodytext"/>
      </w:pPr>
      <w:r>
        <w:t xml:space="preserve">However, we consider that using market prices to estimate the value of imputation credits is fundamentally different to using market prices to estimate the return on debt (and other rate of return parameters). This is because: </w:t>
      </w:r>
    </w:p>
    <w:p w:rsidR="001E32C9" w:rsidRDefault="001E32C9" w:rsidP="001E32C9">
      <w:pPr>
        <w:pStyle w:val="AERbulletlistfirststyle"/>
      </w:pPr>
      <w:r>
        <w:t>T</w:t>
      </w:r>
      <w:r w:rsidRPr="00D129A8">
        <w:t xml:space="preserve">he valuation technique employed by </w:t>
      </w:r>
      <w:r>
        <w:t>dividend drop off studies (and other implied market value studies)</w:t>
      </w:r>
      <w:r w:rsidRPr="00D129A8">
        <w:t xml:space="preserve"> </w:t>
      </w:r>
      <w:r>
        <w:t>is unlike</w:t>
      </w:r>
      <w:r w:rsidRPr="00D129A8">
        <w:t xml:space="preserve"> a valuation technique that simply </w:t>
      </w:r>
      <w:r>
        <w:t>involves observing</w:t>
      </w:r>
      <w:r w:rsidRPr="00D129A8">
        <w:t xml:space="preserve"> the price of an asset in a market in which that asset is </w:t>
      </w:r>
      <w:r w:rsidR="00F72F56">
        <w:t>separately</w:t>
      </w:r>
      <w:r w:rsidR="00F72F56" w:rsidRPr="00D129A8">
        <w:t xml:space="preserve"> </w:t>
      </w:r>
      <w:r w:rsidRPr="00D129A8">
        <w:t>traded. Imputation credits are not traded separately</w:t>
      </w:r>
      <w:r w:rsidR="00F72F56">
        <w:t xml:space="preserve"> from the dividend </w:t>
      </w:r>
      <w:r w:rsidR="00C14341">
        <w:t xml:space="preserve">to which </w:t>
      </w:r>
      <w:r w:rsidR="00F72F56">
        <w:t>they are attached</w:t>
      </w:r>
      <w:r w:rsidRPr="00D129A8">
        <w:t xml:space="preserve">. Therefore, </w:t>
      </w:r>
      <w:r>
        <w:t>dividend drop off studies</w:t>
      </w:r>
      <w:r w:rsidRPr="00D129A8">
        <w:t xml:space="preserve"> must infer</w:t>
      </w:r>
      <w:r>
        <w:t xml:space="preserve"> </w:t>
      </w:r>
      <w:r w:rsidRPr="00D129A8">
        <w:t>using ex-dividend price changes and econometric techniques</w:t>
      </w:r>
      <w:r>
        <w:t xml:space="preserve"> (rather than observe or measure)</w:t>
      </w:r>
      <w:r w:rsidRPr="00D129A8">
        <w:t xml:space="preserve"> the value attributed to imputation credits by investors.</w:t>
      </w:r>
    </w:p>
    <w:p w:rsidR="001E32C9" w:rsidRPr="00ED19A3" w:rsidRDefault="001E32C9" w:rsidP="001E32C9">
      <w:pPr>
        <w:pStyle w:val="AERbulletlistfirststyle"/>
      </w:pPr>
      <w:r>
        <w:t>N</w:t>
      </w:r>
      <w:r w:rsidRPr="00D129A8">
        <w:t>o directly observable, widely</w:t>
      </w:r>
      <w:r>
        <w:t xml:space="preserve"> </w:t>
      </w:r>
      <w:r w:rsidRPr="00D129A8">
        <w:t xml:space="preserve">agreed proxy for </w:t>
      </w:r>
      <w:r>
        <w:t>the value of imputation credits</w:t>
      </w:r>
      <w:r w:rsidRPr="00D129A8">
        <w:t xml:space="preserve"> exists. While debate exists around certain technical issues in estimating other </w:t>
      </w:r>
      <w:r>
        <w:t xml:space="preserve">rate of return </w:t>
      </w:r>
      <w:r w:rsidRPr="00D129A8">
        <w:t>parameters, the fundamental point remains that relevant proxies exist and these can be directly observable. For example, it is widel</w:t>
      </w:r>
      <w:r>
        <w:t>y agreed that the interest rate</w:t>
      </w:r>
      <w:r w:rsidRPr="00D129A8">
        <w:t xml:space="preserve"> on government bonds is a proxy for the risk free rate. Moreover, the </w:t>
      </w:r>
      <w:r>
        <w:t>interest rate</w:t>
      </w:r>
      <w:r w:rsidRPr="00D129A8">
        <w:t xml:space="preserve"> on government bonds is directly observable.  </w:t>
      </w:r>
    </w:p>
    <w:p w:rsidR="001E32C9" w:rsidRDefault="001E32C9" w:rsidP="001E32C9">
      <w:pPr>
        <w:pStyle w:val="Heading9"/>
        <w:numPr>
          <w:ilvl w:val="6"/>
          <w:numId w:val="57"/>
        </w:numPr>
      </w:pPr>
      <w:bookmarkStart w:id="88" w:name="_Ref402180002"/>
      <w:r>
        <w:t>The views of academics and other regulators</w:t>
      </w:r>
      <w:bookmarkEnd w:id="88"/>
    </w:p>
    <w:p w:rsidR="001E32C9" w:rsidRDefault="001E32C9" w:rsidP="001E32C9">
      <w:pPr>
        <w:pStyle w:val="AERbodytext"/>
      </w:pPr>
      <w:r>
        <w:t>A number of academics and regulators have recognised the limitations of dividend drop off studies. Moreover, many of these concerns continue to be expressed even after the study undertaken by SFG in 2011 (which was relied upon by the Australian Competition Tribunal in the Energex matter), and the 2013 update of that study (which was relied upon in service providers' current proposals).</w:t>
      </w:r>
      <w:r>
        <w:rPr>
          <w:rStyle w:val="FootnoteReference"/>
        </w:rPr>
        <w:footnoteReference w:id="239"/>
      </w:r>
      <w:r>
        <w:t xml:space="preserve"> </w:t>
      </w:r>
    </w:p>
    <w:p w:rsidR="001E32C9" w:rsidRDefault="001E32C9" w:rsidP="001E32C9">
      <w:pPr>
        <w:pStyle w:val="AERbodytext"/>
      </w:pPr>
      <w:r>
        <w:lastRenderedPageBreak/>
        <w:t>The comments of academics and other regulators contribute to our conclusion that:</w:t>
      </w:r>
    </w:p>
    <w:p w:rsidR="001E32C9" w:rsidRDefault="001E32C9" w:rsidP="001E32C9">
      <w:pPr>
        <w:pStyle w:val="AERbulletlistfirststyle"/>
      </w:pPr>
      <w:r>
        <w:t xml:space="preserve">SFG's dividend drop off study should not be relied upon to the </w:t>
      </w:r>
      <w:r w:rsidR="00F72F56">
        <w:t xml:space="preserve">total </w:t>
      </w:r>
      <w:r>
        <w:t xml:space="preserve">exclusion of other </w:t>
      </w:r>
      <w:r w:rsidR="00F72F56">
        <w:t>dividend drop off studies</w:t>
      </w:r>
      <w:r>
        <w:t>.</w:t>
      </w:r>
    </w:p>
    <w:p w:rsidR="001E32C9" w:rsidRDefault="001E32C9" w:rsidP="001E32C9">
      <w:pPr>
        <w:pStyle w:val="AERbulletlistfirststyle"/>
      </w:pPr>
      <w:r>
        <w:t xml:space="preserve">Dividend drop off studies should not be relied upon to the </w:t>
      </w:r>
      <w:r w:rsidR="00F72F56">
        <w:t xml:space="preserve">total </w:t>
      </w:r>
      <w:r>
        <w:t>exclusion of other implied market value studies.</w:t>
      </w:r>
    </w:p>
    <w:p w:rsidR="001E32C9" w:rsidRDefault="001E32C9" w:rsidP="001E32C9">
      <w:pPr>
        <w:pStyle w:val="AERbulletlistfirststyle"/>
      </w:pPr>
      <w:r>
        <w:t xml:space="preserve">Implied market value studies should not be relied upon to the </w:t>
      </w:r>
      <w:r w:rsidR="00F72F56">
        <w:t xml:space="preserve">total </w:t>
      </w:r>
      <w:r>
        <w:t>exclusion of other relevant evidence.</w:t>
      </w:r>
    </w:p>
    <w:p w:rsidR="001E32C9" w:rsidRDefault="001E32C9" w:rsidP="001E32C9">
      <w:pPr>
        <w:pStyle w:val="AERbodytext"/>
      </w:pPr>
      <w:r>
        <w:t>A selection of comments is reproduced below:</w:t>
      </w:r>
    </w:p>
    <w:p w:rsidR="001E32C9" w:rsidRDefault="001E32C9" w:rsidP="001E32C9">
      <w:pPr>
        <w:pStyle w:val="AERbulletlistfirststyle"/>
      </w:pPr>
      <w:proofErr w:type="spellStart"/>
      <w:r>
        <w:t>Cannavan</w:t>
      </w:r>
      <w:proofErr w:type="spellEnd"/>
      <w:r>
        <w:t xml:space="preserve">, Finn and </w:t>
      </w:r>
      <w:proofErr w:type="spellStart"/>
      <w:r>
        <w:t>Gray</w:t>
      </w:r>
      <w:proofErr w:type="spellEnd"/>
      <w:r>
        <w:t xml:space="preserve"> (2004):</w:t>
      </w:r>
      <w:r>
        <w:rPr>
          <w:rStyle w:val="FootnoteReference"/>
        </w:rPr>
        <w:footnoteReference w:id="240"/>
      </w:r>
    </w:p>
    <w:p w:rsidR="001E32C9" w:rsidRDefault="001E32C9" w:rsidP="001E32C9">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1E32C9" w:rsidRDefault="001E32C9" w:rsidP="001E32C9">
      <w:pPr>
        <w:pStyle w:val="AERbulletlistfirststyle"/>
      </w:pPr>
      <w:proofErr w:type="spellStart"/>
      <w:r>
        <w:t>Siau</w:t>
      </w:r>
      <w:proofErr w:type="spellEnd"/>
      <w:r>
        <w:t>, Sault and Warren (2013):</w:t>
      </w:r>
      <w:r>
        <w:rPr>
          <w:rStyle w:val="FootnoteReference"/>
        </w:rPr>
        <w:footnoteReference w:id="241"/>
      </w:r>
    </w:p>
    <w:p w:rsidR="001E32C9" w:rsidRPr="00B749AE" w:rsidRDefault="001E32C9" w:rsidP="001E32C9">
      <w:pPr>
        <w:pStyle w:val="AERquote"/>
      </w:pPr>
      <w:r w:rsidRPr="007E336D">
        <w:t xml:space="preserve">Despite a large number </w:t>
      </w:r>
      <w:r>
        <w:t xml:space="preserve">of studies, the market value of </w:t>
      </w:r>
      <w:r w:rsidRPr="007E336D">
        <w:t xml:space="preserve">imputation credits remains broadly disputed (see, for example, </w:t>
      </w:r>
      <w:proofErr w:type="spellStart"/>
      <w:r w:rsidRPr="007E336D">
        <w:t>Gr</w:t>
      </w:r>
      <w:r>
        <w:t>ay</w:t>
      </w:r>
      <w:proofErr w:type="spellEnd"/>
      <w:r>
        <w:t xml:space="preserve"> and Hall, 2006; Lally, 2008; </w:t>
      </w:r>
      <w:r w:rsidRPr="007E336D">
        <w:t xml:space="preserve">Partington and Truong, 2008; </w:t>
      </w:r>
      <w:proofErr w:type="spellStart"/>
      <w:r w:rsidRPr="007E336D">
        <w:t>Gray</w:t>
      </w:r>
      <w:proofErr w:type="spellEnd"/>
      <w:r w:rsidRPr="007E336D">
        <w:t>,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and limited samples in the case of comparative studies. Uncertainty over</w:t>
      </w:r>
      <w:r>
        <w:t xml:space="preserve"> the issue is heightened by the </w:t>
      </w:r>
      <w:r w:rsidRPr="00B749AE">
        <w:t xml:space="preserve">work of </w:t>
      </w:r>
      <w:proofErr w:type="spellStart"/>
      <w:r w:rsidRPr="00B749AE">
        <w:t>Lajbcygier</w:t>
      </w:r>
      <w:proofErr w:type="spellEnd"/>
      <w:r w:rsidRPr="00B749AE">
        <w:t xml:space="preserve"> and Wheatley (2012). These authors examine a range</w:t>
      </w:r>
      <w:r>
        <w:t xml:space="preserve"> of pricing models, and find no </w:t>
      </w:r>
      <w:r w:rsidRPr="00B749AE">
        <w:t>evidence that the existence of imputation credits is associated with lower r</w:t>
      </w:r>
      <w:r>
        <w:t xml:space="preserve">ealised returns, as might be </w:t>
      </w:r>
      <w:r w:rsidRPr="00B749AE">
        <w:t>expected if they were valued by the market. These results set up an int</w:t>
      </w:r>
      <w:r>
        <w:t xml:space="preserve">eresting conundrum: while there </w:t>
      </w:r>
      <w:r w:rsidRPr="00B749AE">
        <w:t>are signs of some influence on pricing and return patterns around dividend events, there is no evidence</w:t>
      </w:r>
      <w:r>
        <w:t xml:space="preserve"> </w:t>
      </w:r>
      <w:r w:rsidRPr="00B749AE">
        <w:t>that imputation credits have an impact on the level of returns a</w:t>
      </w:r>
      <w:r>
        <w:t>chieved by investors over time.</w:t>
      </w:r>
    </w:p>
    <w:p w:rsidR="001E32C9" w:rsidRPr="005906BA" w:rsidRDefault="001E32C9" w:rsidP="001E32C9">
      <w:pPr>
        <w:pStyle w:val="AERquote"/>
      </w:pPr>
      <w:r>
        <w:t>…</w:t>
      </w:r>
    </w:p>
    <w:p w:rsidR="001E32C9" w:rsidRDefault="001E32C9" w:rsidP="001E32C9">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w:t>
      </w:r>
      <w:proofErr w:type="spellStart"/>
      <w:r w:rsidRPr="00B749AE">
        <w:t>Eades</w:t>
      </w:r>
      <w:proofErr w:type="spellEnd"/>
      <w:r w:rsidRPr="00B749AE">
        <w:t xml:space="preserve">, Hess, and Kim ,1984); </w:t>
      </w:r>
      <w:proofErr w:type="spellStart"/>
      <w:r w:rsidRPr="00B749AE">
        <w:t>Lakonishok</w:t>
      </w:r>
      <w:proofErr w:type="spellEnd"/>
      <w:r w:rsidRPr="00B749AE">
        <w:t xml:space="preserve"> and </w:t>
      </w:r>
      <w:proofErr w:type="spellStart"/>
      <w:r w:rsidRPr="00B749AE">
        <w:t>Vermael</w:t>
      </w:r>
      <w:r>
        <w:t>en</w:t>
      </w:r>
      <w:proofErr w:type="spellEnd"/>
      <w:r>
        <w:t xml:space="preserve">, 1986; </w:t>
      </w:r>
      <w:proofErr w:type="spellStart"/>
      <w:r>
        <w:t>Karpoff</w:t>
      </w:r>
      <w:proofErr w:type="spellEnd"/>
      <w:r>
        <w:t xml:space="preserve"> and </w:t>
      </w:r>
      <w:proofErr w:type="spellStart"/>
      <w:r>
        <w:t>Walkling</w:t>
      </w:r>
      <w:proofErr w:type="spellEnd"/>
      <w:r>
        <w:t xml:space="preserve">, </w:t>
      </w:r>
      <w:r w:rsidRPr="00B749AE">
        <w:t>1988, 1990; Bali and Francis, 2011); or the risk involved (</w:t>
      </w:r>
      <w:proofErr w:type="spellStart"/>
      <w:r w:rsidRPr="00B749AE">
        <w:t>Fedenia</w:t>
      </w:r>
      <w:proofErr w:type="spellEnd"/>
      <w:r w:rsidRPr="00B749AE">
        <w:t xml:space="preserve"> and </w:t>
      </w:r>
      <w:proofErr w:type="spellStart"/>
      <w:r w:rsidRPr="00B749AE">
        <w:t>Grammat</w:t>
      </w:r>
      <w:r>
        <w:t>ikos</w:t>
      </w:r>
      <w:proofErr w:type="spellEnd"/>
      <w:r>
        <w:t xml:space="preserve">, 1993; </w:t>
      </w:r>
      <w:proofErr w:type="spellStart"/>
      <w:r>
        <w:t>Grammatikos</w:t>
      </w:r>
      <w:proofErr w:type="spellEnd"/>
      <w:r>
        <w:t xml:space="preserve">, </w:t>
      </w:r>
      <w:r w:rsidRPr="00B749AE">
        <w:t xml:space="preserve">1989; Heath and </w:t>
      </w:r>
      <w:proofErr w:type="spellStart"/>
      <w:r w:rsidRPr="00B749AE">
        <w:t>Jarrow</w:t>
      </w:r>
      <w:proofErr w:type="spellEnd"/>
      <w:r w:rsidRPr="00B749AE">
        <w:t xml:space="preserve">, 1988; </w:t>
      </w:r>
      <w:proofErr w:type="spellStart"/>
      <w:r w:rsidRPr="00B749AE">
        <w:t>Michaely</w:t>
      </w:r>
      <w:proofErr w:type="spellEnd"/>
      <w:r w:rsidRPr="00B749AE">
        <w:t xml:space="preserve"> and Vila, 1995). Transaction co</w:t>
      </w:r>
      <w:r>
        <w:t xml:space="preserve">sts may be substantial, and can </w:t>
      </w:r>
      <w:r w:rsidRPr="00B749AE">
        <w:t>drive the drop-off ratio below one (</w:t>
      </w:r>
      <w:proofErr w:type="spellStart"/>
      <w:r w:rsidRPr="00B749AE">
        <w:t>Kalay</w:t>
      </w:r>
      <w:proofErr w:type="spellEnd"/>
      <w:r w:rsidRPr="00B749AE">
        <w:t xml:space="preserve"> 1982, 1984; Boyd</w:t>
      </w:r>
      <w:r>
        <w:t xml:space="preserve"> and </w:t>
      </w:r>
      <w:proofErr w:type="spellStart"/>
      <w:r>
        <w:t>Jagannathan</w:t>
      </w:r>
      <w:proofErr w:type="spellEnd"/>
      <w:r>
        <w:t xml:space="preserve">, 1994). Market </w:t>
      </w:r>
      <w:r w:rsidRPr="00B749AE">
        <w:t xml:space="preserve">microstructure effects may also complicate estimation of market value, </w:t>
      </w:r>
      <w:r>
        <w:t xml:space="preserve">as discrete tick sizes can bias </w:t>
      </w:r>
      <w:r w:rsidRPr="00B749AE">
        <w:t>drop-off ratios downwards (</w:t>
      </w:r>
      <w:proofErr w:type="spellStart"/>
      <w:r w:rsidRPr="00B749AE">
        <w:t>Dubof</w:t>
      </w:r>
      <w:r>
        <w:t>sky</w:t>
      </w:r>
      <w:proofErr w:type="spellEnd"/>
      <w:r>
        <w:t>, 1992; Bali and Hite, 1998).</w:t>
      </w:r>
    </w:p>
    <w:p w:rsidR="001E32C9" w:rsidRDefault="001E32C9" w:rsidP="001E32C9">
      <w:pPr>
        <w:pStyle w:val="AERquote"/>
      </w:pPr>
      <w:r w:rsidRPr="00AC4A58">
        <w:t xml:space="preserve">A further key methodological issue is the difficulty in attributing the </w:t>
      </w:r>
      <w:r>
        <w:t xml:space="preserve">observed drop-off value between </w:t>
      </w:r>
      <w:r w:rsidRPr="00AC4A58">
        <w:t>cash dividends and imputation credits. Dempsey and Partington (200</w:t>
      </w:r>
      <w:r>
        <w:t xml:space="preserve">8) nominate this identification </w:t>
      </w:r>
      <w:r w:rsidRPr="00AC4A58">
        <w:t>problem as a serious limitation of ex-dividend drop-off studies. Dr</w:t>
      </w:r>
      <w:r>
        <w:t xml:space="preserve">op-off studies are afflicted by </w:t>
      </w:r>
      <w:proofErr w:type="spellStart"/>
      <w:r w:rsidRPr="00AC4A58">
        <w:t>multicollinearity</w:t>
      </w:r>
      <w:proofErr w:type="spellEnd"/>
      <w:r w:rsidRPr="00AC4A58">
        <w:t xml:space="preserve"> issues. </w:t>
      </w:r>
      <w:proofErr w:type="spellStart"/>
      <w:r w:rsidRPr="00AC4A58">
        <w:t>Cannavan</w:t>
      </w:r>
      <w:proofErr w:type="spellEnd"/>
      <w:r w:rsidRPr="00AC4A58">
        <w:t xml:space="preserve"> et al. (2004) and Bellamy and </w:t>
      </w:r>
      <w:proofErr w:type="spellStart"/>
      <w:r w:rsidRPr="00AC4A58">
        <w:t>Gra</w:t>
      </w:r>
      <w:r>
        <w:t>y</w:t>
      </w:r>
      <w:proofErr w:type="spellEnd"/>
      <w:r>
        <w:t xml:space="preserve">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 xml:space="preserve">than the norm. </w:t>
      </w:r>
      <w:proofErr w:type="spellStart"/>
      <w:r w:rsidRPr="00AC4A58">
        <w:t>Gray</w:t>
      </w:r>
      <w:proofErr w:type="spellEnd"/>
      <w:r w:rsidRPr="00AC4A58">
        <w:t xml:space="preserve"> (2008) points out that the value attributed to imput</w:t>
      </w:r>
      <w:r>
        <w:t xml:space="preserve">ation credits is conditional on </w:t>
      </w:r>
      <w:r w:rsidRPr="00AC4A58">
        <w:t xml:space="preserve">the assumed value on cash dividends by design, to the extent that they are supplementary components within a single package. This notion is </w:t>
      </w:r>
      <w:r w:rsidRPr="00AC4A58">
        <w:lastRenderedPageBreak/>
        <w:t>reinforced by evidence of of</w:t>
      </w:r>
      <w:r>
        <w:t xml:space="preserve">fsetting variation in the value </w:t>
      </w:r>
      <w:r w:rsidRPr="00AC4A58">
        <w:t>attributed to dividends and imputation credits across samples (see Bella</w:t>
      </w:r>
      <w:r>
        <w:t xml:space="preserve">my and </w:t>
      </w:r>
      <w:proofErr w:type="spellStart"/>
      <w:r>
        <w:t>Gray</w:t>
      </w:r>
      <w:proofErr w:type="spellEnd"/>
      <w:r>
        <w:t xml:space="preserve">, 2006; </w:t>
      </w:r>
      <w:proofErr w:type="spellStart"/>
      <w:r>
        <w:t>Gray</w:t>
      </w:r>
      <w:proofErr w:type="spellEnd"/>
      <w:r>
        <w:t>, 2008).</w:t>
      </w:r>
    </w:p>
    <w:p w:rsidR="001E32C9" w:rsidRDefault="001E32C9" w:rsidP="001E32C9">
      <w:pPr>
        <w:pStyle w:val="AERbulletlistfirststyle"/>
      </w:pPr>
      <w:r>
        <w:t>McKenzie and Partington (2013):</w:t>
      </w:r>
      <w:r>
        <w:rPr>
          <w:rStyle w:val="FootnoteReference"/>
        </w:rPr>
        <w:footnoteReference w:id="242"/>
      </w:r>
    </w:p>
    <w:p w:rsidR="001E32C9" w:rsidRDefault="001E32C9" w:rsidP="001E32C9">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1E32C9" w:rsidRDefault="001E32C9" w:rsidP="001E32C9">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1E32C9" w:rsidRPr="00ED2709" w:rsidRDefault="001E32C9" w:rsidP="001E32C9">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one such study by SFG </w:t>
      </w:r>
      <w:r w:rsidRPr="00ED2709">
        <w:t>that theta was taken to be 0.35 and hence the value of gamma is given by 0.7 x 0.35, which</w:t>
      </w:r>
      <w:r>
        <w:t xml:space="preserve"> </w:t>
      </w:r>
      <w:r w:rsidRPr="00ED2709">
        <w:t>rounded up furnishes a value of 0.25 or 25%.</w:t>
      </w:r>
    </w:p>
    <w:p w:rsidR="001E32C9" w:rsidRDefault="001E32C9" w:rsidP="001E32C9">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 xml:space="preserve">conceptual and econometric problems. For example, </w:t>
      </w:r>
      <w:proofErr w:type="spellStart"/>
      <w:r w:rsidRPr="00ED2709">
        <w:t>multi</w:t>
      </w:r>
      <w:r>
        <w:t>colliniarity</w:t>
      </w:r>
      <w:proofErr w:type="spellEnd"/>
      <w:r>
        <w:t xml:space="preserve">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1E32C9" w:rsidRDefault="001E32C9" w:rsidP="001E32C9">
      <w:pPr>
        <w:pStyle w:val="AERbulletlistfirststyle"/>
      </w:pPr>
      <w:r>
        <w:t>Lally (2013):</w:t>
      </w:r>
      <w:r>
        <w:rPr>
          <w:rStyle w:val="FootnoteReference"/>
        </w:rPr>
        <w:footnoteReference w:id="243"/>
      </w:r>
    </w:p>
    <w:p w:rsidR="001E32C9" w:rsidRPr="00EE1293" w:rsidRDefault="001E32C9" w:rsidP="001E32C9">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1E32C9" w:rsidRDefault="001E32C9" w:rsidP="001E32C9">
      <w:pPr>
        <w:pStyle w:val="AERquote"/>
      </w:pPr>
      <w:r w:rsidRPr="00EE1293">
        <w:t>I concur with all of these concerns, and I have additional concerns about these studies or their interpretation.</w:t>
      </w:r>
    </w:p>
    <w:p w:rsidR="001E32C9" w:rsidRDefault="001E32C9" w:rsidP="001E32C9">
      <w:pPr>
        <w:pStyle w:val="AERbulletlistfirststyle"/>
      </w:pPr>
      <w:r>
        <w:t>QCA (2014):</w:t>
      </w:r>
      <w:r>
        <w:rPr>
          <w:rStyle w:val="FootnoteReference"/>
        </w:rPr>
        <w:footnoteReference w:id="244"/>
      </w:r>
    </w:p>
    <w:p w:rsidR="001E32C9" w:rsidRDefault="001E32C9" w:rsidP="001E32C9">
      <w:pPr>
        <w:pStyle w:val="AERquote"/>
      </w:pPr>
      <w:r>
        <w:lastRenderedPageBreak/>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1E32C9" w:rsidRDefault="001E32C9" w:rsidP="001E32C9">
      <w:pPr>
        <w:pStyle w:val="AERbulletlistfirststyle"/>
      </w:pPr>
      <w:r>
        <w:t>Handley (2014):</w:t>
      </w:r>
      <w:r>
        <w:rPr>
          <w:rStyle w:val="FootnoteReference"/>
        </w:rPr>
        <w:footnoteReference w:id="245"/>
      </w:r>
    </w:p>
    <w:p w:rsidR="001E32C9" w:rsidRPr="00CF096F" w:rsidRDefault="001E32C9" w:rsidP="001E32C9">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1E32C9" w:rsidRDefault="001E32C9" w:rsidP="001E32C9">
      <w:pPr>
        <w:pStyle w:val="AERbodytext"/>
      </w:pPr>
      <w:r>
        <w:t>Even the ERA, which at present prefers the use of dividend drop off studies, stated:</w:t>
      </w:r>
      <w:r>
        <w:rPr>
          <w:rStyle w:val="FootnoteReference"/>
        </w:rPr>
        <w:footnoteReference w:id="246"/>
      </w:r>
    </w:p>
    <w:p w:rsidR="001E32C9" w:rsidRDefault="001E32C9" w:rsidP="001E32C9">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1E32C9" w:rsidRDefault="001E32C9" w:rsidP="001E32C9">
      <w:pPr>
        <w:pStyle w:val="Heading8"/>
        <w:numPr>
          <w:ilvl w:val="5"/>
          <w:numId w:val="57"/>
        </w:numPr>
      </w:pPr>
      <w:bookmarkStart w:id="89" w:name="_Ref403481482"/>
      <w:r>
        <w:t>Revised consideration of the conceptual goalposts approach</w:t>
      </w:r>
      <w:bookmarkEnd w:id="89"/>
    </w:p>
    <w:p w:rsidR="00DE7E22" w:rsidRDefault="001E32C9" w:rsidP="00DE7E22">
      <w:pPr>
        <w:pStyle w:val="AERbodytext"/>
      </w:pPr>
      <w:r>
        <w:t xml:space="preserve">We placed a degree of reliance upon the conceptual goalposts approach when coming to an estimate for the utilisation rate in the </w:t>
      </w:r>
      <w:r w:rsidR="0033289B">
        <w:t>Guideline</w:t>
      </w:r>
      <w:r>
        <w:t xml:space="preserve">. However, we </w:t>
      </w:r>
      <w:r w:rsidR="00F72F56">
        <w:t xml:space="preserve">do </w:t>
      </w:r>
      <w:r>
        <w:t>no</w:t>
      </w:r>
      <w:r w:rsidR="00F72F56">
        <w:t>t</w:t>
      </w:r>
      <w:r>
        <w:t xml:space="preserve"> rel</w:t>
      </w:r>
      <w:r w:rsidR="00F72F56">
        <w:t xml:space="preserve">y on </w:t>
      </w:r>
      <w:r>
        <w:t xml:space="preserve">the conceptual goalposts approach in this draft decision. </w:t>
      </w:r>
      <w:r w:rsidR="00DE7E22">
        <w:t>This is mainly to be consistent with Handley's advice on the conceptual framework, which we have accepted in making this draft decision. Further, we do not consider this to be a significant departure from the Guideline given we placed only limited reliance on the conceptual goalposts approach in the Guideline.</w:t>
      </w:r>
      <w:r w:rsidR="00DE7E22" w:rsidDel="007E6C35">
        <w:t xml:space="preserve"> </w:t>
      </w:r>
      <w:r w:rsidR="00DE7E22">
        <w:t>Our revised consideration of the approach is set out in this section.</w:t>
      </w:r>
    </w:p>
    <w:p w:rsidR="001E32C9" w:rsidRDefault="001E32C9" w:rsidP="001E32C9">
      <w:pPr>
        <w:pStyle w:val="Heading9"/>
        <w:numPr>
          <w:ilvl w:val="6"/>
          <w:numId w:val="57"/>
        </w:numPr>
      </w:pPr>
      <w:r>
        <w:t>Description of the approach</w:t>
      </w:r>
    </w:p>
    <w:p w:rsidR="001E32C9" w:rsidRDefault="001E32C9" w:rsidP="001E32C9">
      <w:pPr>
        <w:pStyle w:val="AERbodytext"/>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47"/>
      </w:r>
      <w:r>
        <w:t xml:space="preserve"> In the Officer CAPM, the given set of assets is the domestic market and Lally considered that the given set of investors is domestic investors; that is, the </w:t>
      </w:r>
      <w:r w:rsidR="00F72F56">
        <w:t xml:space="preserve">domestic </w:t>
      </w:r>
      <w:r>
        <w:t>market is assumed to be 'fully segmented' from international markets.</w:t>
      </w:r>
      <w:r>
        <w:rPr>
          <w:rStyle w:val="FootnoteReference"/>
        </w:rPr>
        <w:footnoteReference w:id="248"/>
      </w:r>
    </w:p>
    <w:p w:rsidR="001E32C9" w:rsidRDefault="001E32C9" w:rsidP="001E32C9">
      <w:pPr>
        <w:pStyle w:val="AERbodytext"/>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49"/>
      </w:r>
    </w:p>
    <w:p w:rsidR="00BE0506" w:rsidRPr="002B01D6" w:rsidRDefault="00BE0506" w:rsidP="00BE0506">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1E32C9" w:rsidRPr="002B01D6" w:rsidRDefault="001E32C9" w:rsidP="001E32C9">
      <w:pPr>
        <w:pStyle w:val="AERbodytext"/>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50"/>
      </w:r>
    </w:p>
    <w:p w:rsidR="001E32C9" w:rsidRPr="002B01D6" w:rsidRDefault="001E32C9" w:rsidP="001E32C9">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1E32C9" w:rsidRPr="002B01D6" w:rsidRDefault="001E32C9" w:rsidP="001E32C9">
      <w:pPr>
        <w:pStyle w:val="AERquote"/>
      </w:pPr>
      <w:r w:rsidRPr="002B01D6">
        <w:t>…</w:t>
      </w:r>
    </w:p>
    <w:p w:rsidR="001E32C9" w:rsidRDefault="001E32C9" w:rsidP="001E32C9">
      <w:pPr>
        <w:pStyle w:val="AERquote"/>
      </w:pPr>
      <w:r w:rsidRPr="002B01D6">
        <w:t>Using the three criteria described above, my preferred estimate is 1 from the first approach…</w:t>
      </w:r>
    </w:p>
    <w:p w:rsidR="001E32C9" w:rsidRDefault="001E32C9" w:rsidP="001E32C9">
      <w:pPr>
        <w:pStyle w:val="AERbodytext"/>
      </w:pPr>
      <w:r>
        <w:t xml:space="preserve">An alternative to the 'domestic' Officer CAPM is an international CAPM, whereby the relevant set of assets is all assets in the world and the relevant set of investors is all investors in the world; that is, the </w:t>
      </w:r>
      <w:r w:rsidR="00F72F56">
        <w:t xml:space="preserve">domestic </w:t>
      </w:r>
      <w:r>
        <w:t xml:space="preserve">market is assumed to be 'fully integrated' with international markets.  Using this model would require inputs based on international benchmarks, including a utilisation rate of 0 because the proportion of global investors eligible to make use of </w:t>
      </w:r>
      <w:r w:rsidR="00F72F56">
        <w:t xml:space="preserve">domestic </w:t>
      </w:r>
      <w:r>
        <w:t>imputation credits  is close to zero.</w:t>
      </w:r>
    </w:p>
    <w:p w:rsidR="001E32C9" w:rsidRDefault="001E32C9" w:rsidP="001E32C9">
      <w:pPr>
        <w:pStyle w:val="AERbodytext"/>
      </w:pPr>
      <w:r>
        <w:t xml:space="preserve">Both in the </w:t>
      </w:r>
      <w:r w:rsidR="0033289B">
        <w:t>Guideline</w:t>
      </w:r>
      <w:r>
        <w:t xml:space="preserve"> and in this draft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51"/>
      </w:r>
    </w:p>
    <w:p w:rsidR="001E32C9" w:rsidRPr="002C135E" w:rsidRDefault="001E32C9" w:rsidP="001E32C9">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1E32C9" w:rsidRPr="002C135E" w:rsidRDefault="001E32C9" w:rsidP="001E32C9">
      <w:pPr>
        <w:pStyle w:val="AERbodytext"/>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252"/>
      </w:r>
      <w:r w:rsidRPr="002C135E">
        <w:t xml:space="preserve"> </w:t>
      </w:r>
    </w:p>
    <w:p w:rsidR="001E32C9" w:rsidRPr="002C135E" w:rsidRDefault="001E32C9" w:rsidP="001E32C9">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1E32C9" w:rsidRPr="002C135E" w:rsidRDefault="001E32C9" w:rsidP="001E32C9">
      <w:pPr>
        <w:pStyle w:val="AERquote"/>
      </w:pPr>
      <w:r w:rsidRPr="002C135E">
        <w:t>To do so it is necessary to consider the implications for the cost of equity of complete integration and complete segmentation of national markets for risky assets.</w:t>
      </w:r>
    </w:p>
    <w:p w:rsidR="001E32C9" w:rsidRPr="002C135E" w:rsidRDefault="001E32C9" w:rsidP="001E32C9">
      <w:pPr>
        <w:pStyle w:val="AERbodytext"/>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t>
      </w:r>
      <w:r w:rsidRPr="002C135E">
        <w:lastRenderedPageBreak/>
        <w:t xml:space="preserve">whether </w:t>
      </w:r>
      <w:r>
        <w:t>the</w:t>
      </w:r>
      <w:r w:rsidRPr="002C135E">
        <w:t xml:space="preserve"> approach</w:t>
      </w:r>
      <w:r>
        <w:t xml:space="preserve"> in the draft </w:t>
      </w:r>
      <w:r w:rsidR="0033289B">
        <w:t>Guideline</w:t>
      </w:r>
      <w:r>
        <w:t xml:space="preserve"> passed this test, Lally estimated</w:t>
      </w:r>
      <w:r w:rsidRPr="002C135E">
        <w:t xml:space="preserve"> for the average Australian firm:</w:t>
      </w:r>
      <w:r>
        <w:rPr>
          <w:rStyle w:val="FootnoteReference"/>
        </w:rPr>
        <w:footnoteReference w:id="253"/>
      </w:r>
      <w:r w:rsidRPr="002C135E">
        <w:t xml:space="preserve"> </w:t>
      </w:r>
    </w:p>
    <w:p w:rsidR="001E32C9" w:rsidRPr="002C135E" w:rsidRDefault="001E32C9" w:rsidP="001E32C9">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t>1</w:t>
      </w:r>
      <w:r w:rsidRPr="002C135E">
        <w:t>.</w:t>
      </w:r>
    </w:p>
    <w:p w:rsidR="001E32C9" w:rsidRPr="002C135E" w:rsidRDefault="001E32C9" w:rsidP="001E32C9">
      <w:pPr>
        <w:pStyle w:val="AERbulletlistfirststyle"/>
      </w:pPr>
      <w:r w:rsidRPr="002C135E">
        <w:t xml:space="preserve">The return on equity under integration, using an international CAPM (based on </w:t>
      </w:r>
      <w:proofErr w:type="spellStart"/>
      <w:r w:rsidRPr="002C135E">
        <w:t>Solnik</w:t>
      </w:r>
      <w:proofErr w:type="spellEnd"/>
      <w:r w:rsidRPr="002C135E">
        <w:t xml:space="preserve">, 1974) populated with global parameters. That is, using a market risk premium for an integrated (global) market, an equity beta relative to the global market and a utilisation rate of </w:t>
      </w:r>
      <w:r>
        <w:t>0</w:t>
      </w:r>
      <w:r w:rsidRPr="002C135E">
        <w:t>.</w:t>
      </w:r>
    </w:p>
    <w:p w:rsidR="001E32C9" w:rsidRPr="002C135E" w:rsidRDefault="001E32C9" w:rsidP="001E32C9">
      <w:pPr>
        <w:pStyle w:val="AERbulletlistfirststyle"/>
      </w:pPr>
      <w:r w:rsidRPr="002C135E">
        <w:t xml:space="preserve">The return on equity using a segmented (Officer) CAPM, populated with parameters that accord with </w:t>
      </w:r>
      <w:r>
        <w:t>our '</w:t>
      </w:r>
      <w:r w:rsidRPr="002C135E">
        <w:t>partially integrated</w:t>
      </w:r>
      <w:r>
        <w:t>'</w:t>
      </w:r>
      <w:r w:rsidRPr="002C135E">
        <w:t xml:space="preserve"> market definition. That is, a market risk premium and an equity beta that reflect the domestic market, but recognising foreign investors to the extent that they invest </w:t>
      </w:r>
      <w:r>
        <w:t>in the domestic (Australian) market</w:t>
      </w:r>
      <w:r w:rsidRPr="002C135E">
        <w:t xml:space="preserve">. </w:t>
      </w:r>
    </w:p>
    <w:p w:rsidR="001E32C9" w:rsidRPr="00953733" w:rsidRDefault="001E32C9" w:rsidP="001E32C9">
      <w:pPr>
        <w:pStyle w:val="AERbodytext"/>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254"/>
      </w:r>
      <w:r w:rsidRPr="00953733">
        <w:t xml:space="preserve"> </w:t>
      </w:r>
    </w:p>
    <w:p w:rsidR="001E32C9" w:rsidRPr="00953733" w:rsidRDefault="001E32C9" w:rsidP="001E32C9">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 xml:space="preserve">that are significantly less than 1 fail this test in virtually every case examined, and are therefore deficient. In effect, combining Officer’s CAPM with a utilisation rate that is significantly less than 1 constitutes a </w:t>
      </w:r>
      <w:proofErr w:type="spellStart"/>
      <w:r w:rsidRPr="00953733">
        <w:t>defacto</w:t>
      </w:r>
      <w:proofErr w:type="spellEnd"/>
      <w:r w:rsidRPr="00953733">
        <w:t xml:space="preserve">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1E32C9" w:rsidRPr="00953733" w:rsidRDefault="001E32C9" w:rsidP="001E32C9">
      <w:pPr>
        <w:pStyle w:val="AERbodytext"/>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1E32C9" w:rsidRDefault="001E32C9" w:rsidP="001E32C9">
      <w:pPr>
        <w:pStyle w:val="AERbodytext"/>
      </w:pPr>
      <w:r>
        <w:t xml:space="preserve">In conclusion, in the </w:t>
      </w:r>
      <w:r w:rsidR="0033289B">
        <w:t>Guideline</w:t>
      </w:r>
      <w:r>
        <w:t xml:space="preserv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1E32C9" w:rsidRDefault="001E32C9" w:rsidP="001E32C9">
      <w:pPr>
        <w:pStyle w:val="Heading9"/>
        <w:numPr>
          <w:ilvl w:val="6"/>
          <w:numId w:val="57"/>
        </w:numPr>
      </w:pPr>
      <w:r>
        <w:lastRenderedPageBreak/>
        <w:t xml:space="preserve">Advice received since the </w:t>
      </w:r>
      <w:r w:rsidR="0033289B">
        <w:t>Guideline</w:t>
      </w:r>
    </w:p>
    <w:p w:rsidR="001E32C9" w:rsidRDefault="001E32C9" w:rsidP="001E32C9">
      <w:pPr>
        <w:pStyle w:val="AERbodytext"/>
      </w:pPr>
      <w:r>
        <w:t xml:space="preserve">In advice received since the </w:t>
      </w:r>
      <w:r w:rsidR="0033289B">
        <w:t>Guideline</w:t>
      </w:r>
      <w:r>
        <w:t>'s publication, Handley advised that he does not consider the conceptual goalposts approach to be a reasonable approach to estimating the utilisation rate:</w:t>
      </w:r>
      <w:r>
        <w:rPr>
          <w:rStyle w:val="FootnoteReference"/>
        </w:rPr>
        <w:footnoteReference w:id="255"/>
      </w:r>
    </w:p>
    <w:p w:rsidR="001E32C9" w:rsidRDefault="001E32C9" w:rsidP="001E32C9">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1E32C9" w:rsidRDefault="001E32C9" w:rsidP="001E32C9">
      <w:pPr>
        <w:pStyle w:val="AERbodytext"/>
      </w:pPr>
      <w:r>
        <w:t>Handley expanded on his first point elsewhere in his advice:</w:t>
      </w:r>
      <w:r>
        <w:rPr>
          <w:rStyle w:val="FootnoteReference"/>
        </w:rPr>
        <w:footnoteReference w:id="256"/>
      </w:r>
    </w:p>
    <w:p w:rsidR="001E32C9" w:rsidRDefault="001E32C9" w:rsidP="001E32C9">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1E32C9" w:rsidRDefault="001E32C9" w:rsidP="001E32C9">
      <w:pPr>
        <w:pStyle w:val="AERbodytext"/>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257"/>
      </w:r>
    </w:p>
    <w:p w:rsidR="001E32C9" w:rsidRDefault="001E32C9" w:rsidP="001E32C9">
      <w:pPr>
        <w:pStyle w:val="AERbodytext"/>
      </w:pPr>
      <w:r>
        <w:t>SFG also raised concerns with the approach, and a number of these have been responded to by Lally.</w:t>
      </w:r>
      <w:r>
        <w:rPr>
          <w:rStyle w:val="FootnoteReference"/>
        </w:rPr>
        <w:footnoteReference w:id="258"/>
      </w:r>
    </w:p>
    <w:p w:rsidR="001E32C9" w:rsidRPr="003324F7" w:rsidRDefault="001E32C9" w:rsidP="004B0617">
      <w:pPr>
        <w:pStyle w:val="AERbodytext"/>
      </w:pPr>
    </w:p>
    <w:sectPr w:rsidR="001E32C9" w:rsidRPr="003324F7" w:rsidSect="00994D24">
      <w:footerReference w:type="even" r:id="rId20"/>
      <w:footerReference w:type="default" r:id="rId21"/>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08" w:rsidRPr="00AB4345" w:rsidRDefault="004C6F08" w:rsidP="00AB4345">
      <w:r>
        <w:separator/>
      </w:r>
    </w:p>
  </w:endnote>
  <w:endnote w:type="continuationSeparator" w:id="0">
    <w:p w:rsidR="004C6F08" w:rsidRPr="00AB4345" w:rsidRDefault="004C6F0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08" w:rsidRPr="00824CC8" w:rsidRDefault="004C6F08" w:rsidP="001752ED">
    <w:pPr>
      <w:pStyle w:val="Footer"/>
      <w:tabs>
        <w:tab w:val="clear" w:pos="4513"/>
      </w:tabs>
    </w:pPr>
    <w:r>
      <w:rPr>
        <w:rStyle w:val="AERbody"/>
      </w:rPr>
      <w:t>4-</w:t>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A854AC">
      <w:rPr>
        <w:rStyle w:val="AERbody"/>
        <w:noProof/>
      </w:rPr>
      <w:t>6</w:t>
    </w:r>
    <w:r w:rsidRPr="00824CC8">
      <w:rPr>
        <w:rStyle w:val="AERbody"/>
      </w:rPr>
      <w:fldChar w:fldCharType="end"/>
    </w:r>
    <w:r w:rsidRPr="00824CC8">
      <w:rPr>
        <w:rStyle w:val="AERbody"/>
      </w:rPr>
      <w:tab/>
    </w:r>
    <w:r w:rsidRPr="000A7330">
      <w:rPr>
        <w:rStyle w:val="AERbody"/>
      </w:rPr>
      <w:t xml:space="preserve">Attachment </w:t>
    </w:r>
    <w:r>
      <w:rPr>
        <w:rStyle w:val="AERbody"/>
      </w:rPr>
      <w:t>4: Value of imputation credits</w:t>
    </w:r>
    <w:r w:rsidRPr="00305E37">
      <w:rPr>
        <w:rStyle w:val="AERbody"/>
      </w:rPr>
      <w:t xml:space="preserve"> | Ausgrid draft decision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08" w:rsidRPr="00824CC8" w:rsidRDefault="004C6F08" w:rsidP="001752ED">
    <w:pPr>
      <w:pStyle w:val="Footer"/>
      <w:tabs>
        <w:tab w:val="clear" w:pos="4513"/>
      </w:tabs>
    </w:pPr>
    <w:r w:rsidRPr="000A7330">
      <w:rPr>
        <w:rStyle w:val="AERbody"/>
      </w:rPr>
      <w:t xml:space="preserve">Attachment </w:t>
    </w:r>
    <w:r w:rsidRPr="00305E37">
      <w:rPr>
        <w:rStyle w:val="AERbody"/>
      </w:rPr>
      <w:t>4: Value of imputation credits | Ausgrid draft decision</w:t>
    </w:r>
    <w:r w:rsidRPr="00210880">
      <w:rPr>
        <w:rStyle w:val="AERbody"/>
      </w:rPr>
      <w:tab/>
    </w:r>
    <w:r>
      <w:rPr>
        <w:rStyle w:val="AERbody"/>
      </w:rPr>
      <w:t>4-</w:t>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A854AC">
      <w:rPr>
        <w:rStyle w:val="AERbody"/>
        <w:noProof/>
      </w:rPr>
      <w:t>1</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96370"/>
      <w:docPartObj>
        <w:docPartGallery w:val="Page Numbers (Bottom of Page)"/>
        <w:docPartUnique/>
      </w:docPartObj>
    </w:sdtPr>
    <w:sdtEndPr/>
    <w:sdtContent>
      <w:p w:rsidR="004C6F08" w:rsidRPr="00824CC8" w:rsidRDefault="004C6F08" w:rsidP="00824CC8">
        <w:pPr>
          <w:pStyle w:val="Footer"/>
        </w:pPr>
        <w:r w:rsidRPr="00824CC8">
          <w:fldChar w:fldCharType="begin"/>
        </w:r>
        <w:r w:rsidRPr="00824CC8">
          <w:instrText xml:space="preserve"> PAGE   \* MERGEFORMAT </w:instrText>
        </w:r>
        <w:r w:rsidRPr="00824CC8">
          <w:fldChar w:fldCharType="separate"/>
        </w:r>
        <w:r w:rsidR="00A854AC">
          <w:rPr>
            <w:noProof/>
          </w:rPr>
          <w:t>4-10</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08" w:rsidRPr="00824CC8" w:rsidRDefault="004C6F08" w:rsidP="00824CC8">
    <w:pPr>
      <w:pStyle w:val="Footer"/>
      <w:rPr>
        <w:rStyle w:val="AERbody"/>
      </w:rPr>
    </w:pPr>
    <w:r w:rsidRPr="000A7330">
      <w:rPr>
        <w:rStyle w:val="AERbody"/>
      </w:rPr>
      <w:t xml:space="preserve">Attachment </w:t>
    </w:r>
    <w:r>
      <w:rPr>
        <w:rStyle w:val="AERbody"/>
      </w:rPr>
      <w:t>4: Value of imputation credits</w:t>
    </w:r>
    <w:r w:rsidRPr="00305E37">
      <w:rPr>
        <w:rStyle w:val="AERbody"/>
      </w:rPr>
      <w:t xml:space="preserve"> | Ausgrid draft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A854AC">
      <w:rPr>
        <w:rStyle w:val="AERbody"/>
        <w:noProof/>
      </w:rPr>
      <w:t>4-9</w:t>
    </w:r>
    <w:r w:rsidRPr="00824CC8">
      <w:rPr>
        <w:rStyle w:val="AERbody"/>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4C6F08" w:rsidRPr="00824CC8" w:rsidRDefault="004C6F08" w:rsidP="00824CC8">
        <w:pPr>
          <w:pStyle w:val="Footer"/>
        </w:pPr>
        <w:r w:rsidRPr="00824CC8">
          <w:fldChar w:fldCharType="begin"/>
        </w:r>
        <w:r w:rsidRPr="00824CC8">
          <w:instrText xml:space="preserve"> PAGE   \* MERGEFORMAT </w:instrText>
        </w:r>
        <w:r w:rsidRPr="00824CC8">
          <w:fldChar w:fldCharType="separate"/>
        </w:r>
        <w:r w:rsidR="00A854AC">
          <w:rPr>
            <w:noProof/>
          </w:rPr>
          <w:t>4-70</w:t>
        </w:r>
        <w:r w:rsidRPr="00824CC8">
          <w:fldChar w:fldCharType="end"/>
        </w:r>
        <w:r w:rsidRPr="00824CC8">
          <w:tab/>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08" w:rsidRPr="00824CC8" w:rsidRDefault="004C6F08" w:rsidP="00824CC8">
    <w:pPr>
      <w:pStyle w:val="Footer"/>
      <w:rPr>
        <w:rStyle w:val="AERbody"/>
      </w:rPr>
    </w:pPr>
    <w:r w:rsidRPr="000A7330">
      <w:rPr>
        <w:rStyle w:val="AERbody"/>
      </w:rPr>
      <w:t xml:space="preserve">Attachment </w:t>
    </w:r>
    <w:r>
      <w:rPr>
        <w:rStyle w:val="AERbody"/>
      </w:rPr>
      <w:t>4: Value of imputation credits</w:t>
    </w:r>
    <w:r w:rsidRPr="00305E37">
      <w:rPr>
        <w:rStyle w:val="AERbody"/>
      </w:rPr>
      <w:t xml:space="preserve"> | Ausgrid draft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A854AC">
      <w:rPr>
        <w:rStyle w:val="AERbody"/>
        <w:noProof/>
      </w:rPr>
      <w:t>4-71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08" w:rsidRPr="00AB4345" w:rsidRDefault="004C6F08" w:rsidP="00AB4345">
      <w:r>
        <w:separator/>
      </w:r>
    </w:p>
  </w:footnote>
  <w:footnote w:type="continuationSeparator" w:id="0">
    <w:p w:rsidR="004C6F08" w:rsidRPr="00AB4345" w:rsidRDefault="004C6F08" w:rsidP="00AB4345">
      <w:r>
        <w:continuationSeparator/>
      </w:r>
    </w:p>
  </w:footnote>
  <w:footnote w:id="1">
    <w:p w:rsidR="004C6F08" w:rsidRDefault="004C6F08">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4C6F08" w:rsidRDefault="004C6F08">
      <w:pPr>
        <w:pStyle w:val="FootnoteText"/>
      </w:pPr>
      <w:r>
        <w:rPr>
          <w:rStyle w:val="FootnoteReference"/>
        </w:rPr>
        <w:footnoteRef/>
      </w:r>
      <w:r>
        <w:t xml:space="preserve"> </w:t>
      </w:r>
      <w:r>
        <w:tab/>
        <w:t xml:space="preserve">NER, </w:t>
      </w:r>
      <w:proofErr w:type="spellStart"/>
      <w:r>
        <w:t>cll</w:t>
      </w:r>
      <w:proofErr w:type="spellEnd"/>
      <w:r>
        <w:t xml:space="preserve">. 6.4.3(a)(4), 6.4.3(b)(4), 6.5.3, 6A.5.4(a)(4), 6A.5.4(b)(4) and 6A.6.4; NGR, </w:t>
      </w:r>
      <w:proofErr w:type="spellStart"/>
      <w:r>
        <w:t>rs</w:t>
      </w:r>
      <w:proofErr w:type="spellEnd"/>
      <w:r>
        <w:t>. 76(c) and 87A.</w:t>
      </w:r>
    </w:p>
  </w:footnote>
  <w:footnote w:id="3">
    <w:p w:rsidR="004C6F08" w:rsidRDefault="004C6F08">
      <w:pPr>
        <w:pStyle w:val="FootnoteText"/>
      </w:pPr>
      <w:r>
        <w:rPr>
          <w:rStyle w:val="FootnoteReference"/>
        </w:rPr>
        <w:footnoteRef/>
      </w:r>
      <w:r>
        <w:t xml:space="preserve"> </w:t>
      </w:r>
      <w:r>
        <w:tab/>
        <w:t xml:space="preserve">See section </w:t>
      </w:r>
      <w:r>
        <w:fldChar w:fldCharType="begin"/>
      </w:r>
      <w:r>
        <w:instrText xml:space="preserve"> REF _Ref403477544 \r \h </w:instrText>
      </w:r>
      <w:r>
        <w:fldChar w:fldCharType="separate"/>
      </w:r>
      <w:r>
        <w:t>A.1</w:t>
      </w:r>
      <w:r>
        <w:fldChar w:fldCharType="end"/>
      </w:r>
      <w:r>
        <w:t xml:space="preserve"> of appendix A.</w:t>
      </w:r>
    </w:p>
  </w:footnote>
  <w:footnote w:id="4">
    <w:p w:rsidR="004C6F08" w:rsidRDefault="004C6F08">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5">
    <w:p w:rsidR="004C6F08" w:rsidRDefault="004C6F08">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_Ref401136494 \r \h </w:instrText>
      </w:r>
      <w:r>
        <w:fldChar w:fldCharType="separate"/>
      </w:r>
      <w:r>
        <w:t>4.4</w:t>
      </w:r>
      <w:r>
        <w:fldChar w:fldCharType="end"/>
      </w:r>
      <w:r>
        <w:t>.</w:t>
      </w:r>
    </w:p>
  </w:footnote>
  <w:footnote w:id="6">
    <w:p w:rsidR="004C6F08" w:rsidRDefault="004C6F08">
      <w:pPr>
        <w:pStyle w:val="FootnoteText"/>
      </w:pPr>
      <w:r>
        <w:rPr>
          <w:rStyle w:val="FootnoteReference"/>
        </w:rPr>
        <w:footnoteRef/>
      </w:r>
      <w:r>
        <w:t xml:space="preserve"> </w:t>
      </w:r>
      <w:r>
        <w:tab/>
        <w:t xml:space="preserve">Ausgrid actually referred to the utilisation rate as 'the value of distributed imputation credits to investors who receive them', and labelled this parameter the Greek letter 'theta'. The alternative labelling and interpretations of the utilisation rate are discussed in section </w:t>
      </w:r>
      <w:r>
        <w:fldChar w:fldCharType="begin"/>
      </w:r>
      <w:r>
        <w:instrText xml:space="preserve"> REF _Ref401272599 \r \h </w:instrText>
      </w:r>
      <w:r>
        <w:fldChar w:fldCharType="separate"/>
      </w:r>
      <w:r>
        <w:t>A.7</w:t>
      </w:r>
      <w:r>
        <w:fldChar w:fldCharType="end"/>
      </w:r>
      <w:r>
        <w:t xml:space="preserve"> of appendix A. </w:t>
      </w:r>
    </w:p>
  </w:footnote>
  <w:footnote w:id="7">
    <w:p w:rsidR="004C6F08" w:rsidRDefault="004C6F08">
      <w:pPr>
        <w:pStyle w:val="FootnoteText"/>
      </w:pPr>
      <w:r>
        <w:rPr>
          <w:rStyle w:val="FootnoteReference"/>
        </w:rPr>
        <w:footnoteRef/>
      </w:r>
      <w:r>
        <w:t xml:space="preserve"> </w:t>
      </w:r>
      <w:r>
        <w:tab/>
        <w:t xml:space="preserve">We discuss the Guideline in section </w:t>
      </w:r>
      <w:r>
        <w:fldChar w:fldCharType="begin"/>
      </w:r>
      <w:r>
        <w:instrText xml:space="preserve"> REF _Ref401234016 \r \h </w:instrText>
      </w:r>
      <w:r>
        <w:fldChar w:fldCharType="separate"/>
      </w:r>
      <w:r>
        <w:t>4.3.2</w:t>
      </w:r>
      <w:r>
        <w:fldChar w:fldCharType="end"/>
      </w:r>
      <w:r>
        <w:t>.</w:t>
      </w:r>
    </w:p>
  </w:footnote>
  <w:footnote w:id="8">
    <w:p w:rsidR="004C6F08" w:rsidRDefault="004C6F08">
      <w:pPr>
        <w:pStyle w:val="FootnoteText"/>
      </w:pPr>
      <w:r>
        <w:rPr>
          <w:rStyle w:val="FootnoteReference"/>
        </w:rPr>
        <w:footnoteRef/>
      </w:r>
      <w:r>
        <w:t xml:space="preserve"> </w:t>
      </w:r>
      <w:r>
        <w:tab/>
        <w:t>Ausgrid</w:t>
      </w:r>
      <w:r w:rsidRPr="00A62FE1">
        <w:t xml:space="preserve">, </w:t>
      </w:r>
      <w:r w:rsidRPr="000C4BB9">
        <w:rPr>
          <w:rStyle w:val="AERtextitalic"/>
        </w:rPr>
        <w:t>Ausgrid's gamma proposal</w:t>
      </w:r>
      <w:r>
        <w:t xml:space="preserve">, May 2014. We discuss the different types of implied market value study, including dividend drop off studies, in section </w:t>
      </w:r>
      <w:r>
        <w:fldChar w:fldCharType="begin"/>
      </w:r>
      <w:r>
        <w:instrText xml:space="preserve"> REF _Ref401080753 \r \h </w:instrText>
      </w:r>
      <w:r>
        <w:fldChar w:fldCharType="separate"/>
      </w:r>
      <w:r>
        <w:t>A.14</w:t>
      </w:r>
      <w:r>
        <w:fldChar w:fldCharType="end"/>
      </w:r>
      <w:r>
        <w:t xml:space="preserve"> of appendix A.</w:t>
      </w:r>
    </w:p>
  </w:footnote>
  <w:footnote w:id="9">
    <w:p w:rsidR="004C6F08" w:rsidRDefault="004C6F08">
      <w:pPr>
        <w:pStyle w:val="FootnoteText"/>
      </w:pPr>
      <w:r>
        <w:rPr>
          <w:rStyle w:val="FootnoteReference"/>
        </w:rPr>
        <w:footnoteRef/>
      </w:r>
      <w:r>
        <w:t xml:space="preserve"> </w:t>
      </w:r>
      <w:r>
        <w:tab/>
        <w:t xml:space="preserve">The service providers with current regulatory decisions that made consistent proposals on the value of imputation credits were </w:t>
      </w:r>
      <w:r w:rsidRPr="00A62FE1">
        <w:t>ActewAGL</w:t>
      </w:r>
      <w:r>
        <w:t>, Ausg</w:t>
      </w:r>
      <w:r w:rsidRPr="00A62FE1">
        <w:t>rid, Directlink</w:t>
      </w:r>
      <w:r>
        <w:t>,</w:t>
      </w:r>
      <w:r w:rsidRPr="00A62FE1">
        <w:t xml:space="preserve"> Endeavour Ene</w:t>
      </w:r>
      <w:r>
        <w:t>rgy, Essential Energy, JGN and TransGrid.</w:t>
      </w:r>
      <w:r w:rsidRPr="00A62FE1">
        <w:t xml:space="preserve"> </w:t>
      </w:r>
    </w:p>
  </w:footnote>
  <w:footnote w:id="10">
    <w:p w:rsidR="004C6F08" w:rsidRDefault="004C6F08">
      <w:pPr>
        <w:pStyle w:val="FootnoteText"/>
      </w:pPr>
      <w:r>
        <w:rPr>
          <w:rStyle w:val="FootnoteReference"/>
        </w:rPr>
        <w:footnoteRef/>
      </w:r>
      <w:r>
        <w:t xml:space="preserve"> </w:t>
      </w:r>
      <w:r>
        <w:tab/>
        <w:t xml:space="preserve">NER, </w:t>
      </w:r>
      <w:proofErr w:type="spellStart"/>
      <w:r>
        <w:t>cll</w:t>
      </w:r>
      <w:proofErr w:type="spellEnd"/>
      <w:r>
        <w:t>. 6.5.3 and 6A.6.4; NGR, r. 87A.</w:t>
      </w:r>
    </w:p>
  </w:footnote>
  <w:footnote w:id="11">
    <w:p w:rsidR="004C6F08" w:rsidRDefault="004C6F08">
      <w:pPr>
        <w:pStyle w:val="FootnoteText"/>
      </w:pPr>
      <w:r>
        <w:rPr>
          <w:rStyle w:val="FootnoteReference"/>
        </w:rPr>
        <w:footnoteRef/>
      </w:r>
      <w:r>
        <w:t xml:space="preserve"> </w:t>
      </w:r>
      <w:r>
        <w:tab/>
        <w:t xml:space="preserve">NER, </w:t>
      </w:r>
      <w:proofErr w:type="spellStart"/>
      <w:r>
        <w:t>cll</w:t>
      </w:r>
      <w:proofErr w:type="spellEnd"/>
      <w:r>
        <w:t>. 6.5.2(d)(2) and 6A.6.2(d)(2); NGR, r. 87(4)(b).</w:t>
      </w:r>
    </w:p>
  </w:footnote>
  <w:footnote w:id="12">
    <w:p w:rsidR="004C6F08" w:rsidRDefault="004C6F08">
      <w:pPr>
        <w:pStyle w:val="FootnoteText"/>
      </w:pPr>
      <w:r>
        <w:rPr>
          <w:rStyle w:val="FootnoteReference"/>
        </w:rPr>
        <w:footnoteRef/>
      </w:r>
      <w:r>
        <w:tab/>
        <w:t xml:space="preserve">NEL, s. 16(1)(a); NGL, s. 28(1)(a). </w:t>
      </w:r>
    </w:p>
  </w:footnote>
  <w:footnote w:id="13">
    <w:p w:rsidR="004C6F08" w:rsidRDefault="004C6F08">
      <w:pPr>
        <w:pStyle w:val="FootnoteText"/>
      </w:pPr>
      <w:r>
        <w:rPr>
          <w:rStyle w:val="FootnoteReference"/>
        </w:rPr>
        <w:footnoteRef/>
      </w:r>
      <w:r>
        <w:t xml:space="preserve"> </w:t>
      </w:r>
      <w:r>
        <w:tab/>
        <w:t>NEL, s. 16(2)(a)(</w:t>
      </w:r>
      <w:proofErr w:type="spellStart"/>
      <w:r>
        <w:t>i</w:t>
      </w:r>
      <w:proofErr w:type="spellEnd"/>
      <w:r>
        <w:t>); NGL, s. 28(2)(a)(</w:t>
      </w:r>
      <w:proofErr w:type="spellStart"/>
      <w:r>
        <w:t>i</w:t>
      </w:r>
      <w:proofErr w:type="spellEnd"/>
      <w:r>
        <w:t>).</w:t>
      </w:r>
    </w:p>
  </w:footnote>
  <w:footnote w:id="14">
    <w:p w:rsidR="004C6F08" w:rsidRDefault="004C6F08">
      <w:pPr>
        <w:pStyle w:val="FootnoteText"/>
      </w:pPr>
      <w:r>
        <w:rPr>
          <w:rStyle w:val="FootnoteReference"/>
        </w:rPr>
        <w:footnoteRef/>
      </w:r>
      <w:r>
        <w:t xml:space="preserve"> </w:t>
      </w:r>
      <w:r>
        <w:tab/>
        <w:t>NEL, ss. 7A(2)–(7); NGL, ss. 24(2)–(7).</w:t>
      </w:r>
    </w:p>
  </w:footnote>
  <w:footnote w:id="15">
    <w:p w:rsidR="004C6F08" w:rsidRDefault="004C6F08" w:rsidP="004B0617">
      <w:pPr>
        <w:pStyle w:val="FootnoteText"/>
      </w:pPr>
      <w:r>
        <w:rPr>
          <w:rStyle w:val="FootnoteReference"/>
        </w:rPr>
        <w:footnoteRef/>
      </w:r>
      <w:r>
        <w:t xml:space="preserve"> </w:t>
      </w:r>
      <w:r>
        <w:tab/>
        <w:t xml:space="preserve">The requirements to make and publish the Guideline are set out in: NER, </w:t>
      </w:r>
      <w:proofErr w:type="spellStart"/>
      <w:r>
        <w:t>cls</w:t>
      </w:r>
      <w:proofErr w:type="spellEnd"/>
      <w:r>
        <w:t xml:space="preserve">. 6.5.2(m) and 6A.6.2(m); NGR, r. 87(13). </w:t>
      </w:r>
      <w:r w:rsidRPr="004B0617">
        <w:t xml:space="preserve">The </w:t>
      </w:r>
      <w:r>
        <w:t>Guideline</w:t>
      </w:r>
      <w:r w:rsidRPr="004B0617">
        <w:t xml:space="preserve"> is available at: http://www.aer.gov.au/node/18859</w:t>
      </w:r>
      <w:r w:rsidRPr="004B0617">
        <w:rPr>
          <w:rStyle w:val="Hyperlink"/>
          <w:color w:val="auto"/>
          <w:u w:val="none"/>
        </w:rPr>
        <w:t>.</w:t>
      </w:r>
    </w:p>
  </w:footnote>
  <w:footnote w:id="16">
    <w:p w:rsidR="004C6F08" w:rsidRDefault="004C6F08" w:rsidP="00A442E5">
      <w:pPr>
        <w:pStyle w:val="FootnoteText"/>
      </w:pPr>
      <w:r>
        <w:rPr>
          <w:rStyle w:val="FootnoteReference"/>
        </w:rPr>
        <w:footnoteRef/>
      </w:r>
      <w:r>
        <w:t xml:space="preserve"> </w:t>
      </w:r>
      <w:r>
        <w:tab/>
        <w:t xml:space="preserve">NER, </w:t>
      </w:r>
      <w:proofErr w:type="spellStart"/>
      <w:r>
        <w:t>cll</w:t>
      </w:r>
      <w:proofErr w:type="spellEnd"/>
      <w:r>
        <w:t>. 6.5.2(n</w:t>
      </w:r>
      <w:r w:rsidRPr="0090536E">
        <w:t xml:space="preserve">) and </w:t>
      </w:r>
      <w:r>
        <w:t>6A.6.2(n); NGR, r. 87(14).</w:t>
      </w:r>
    </w:p>
  </w:footnote>
  <w:footnote w:id="17">
    <w:p w:rsidR="004C6F08" w:rsidRDefault="004C6F08" w:rsidP="00A442E5">
      <w:pPr>
        <w:pStyle w:val="FootnoteText"/>
      </w:pPr>
      <w:r>
        <w:rPr>
          <w:rStyle w:val="FootnoteReference"/>
        </w:rPr>
        <w:footnoteRef/>
      </w:r>
      <w:r>
        <w:t xml:space="preserve"> </w:t>
      </w:r>
      <w:r>
        <w:tab/>
        <w:t xml:space="preserve">NER, </w:t>
      </w:r>
      <w:proofErr w:type="spellStart"/>
      <w:r>
        <w:t>cll</w:t>
      </w:r>
      <w:proofErr w:type="spellEnd"/>
      <w:r>
        <w:t xml:space="preserve">. </w:t>
      </w:r>
      <w:r w:rsidRPr="001E5B06">
        <w:t>6.5.2(n)</w:t>
      </w:r>
      <w:r>
        <w:t>(2) and 6.A.6.2(n)(2); NGR, r. 87(14)(b).</w:t>
      </w:r>
    </w:p>
  </w:footnote>
  <w:footnote w:id="18">
    <w:p w:rsidR="004C6F08" w:rsidRDefault="004C6F08" w:rsidP="00A442E5">
      <w:pPr>
        <w:pStyle w:val="FootnoteText"/>
      </w:pPr>
      <w:r>
        <w:rPr>
          <w:rStyle w:val="FootnoteReference"/>
        </w:rPr>
        <w:footnoteRef/>
      </w:r>
      <w:r>
        <w:t xml:space="preserve"> </w:t>
      </w:r>
      <w:r>
        <w:tab/>
        <w:t xml:space="preserve">NER, </w:t>
      </w:r>
      <w:proofErr w:type="spellStart"/>
      <w:r>
        <w:t>cll</w:t>
      </w:r>
      <w:proofErr w:type="spellEnd"/>
      <w:r>
        <w:t>. 6.2.8(c) and 6A.2.3(c); NGR, r. 87(18).</w:t>
      </w:r>
    </w:p>
  </w:footnote>
  <w:footnote w:id="19">
    <w:p w:rsidR="004C6F08" w:rsidRDefault="004C6F08" w:rsidP="00A442E5">
      <w:pPr>
        <w:pStyle w:val="FootnoteText"/>
      </w:pPr>
      <w:r>
        <w:rPr>
          <w:rStyle w:val="FootnoteReference"/>
        </w:rPr>
        <w:footnoteRef/>
      </w:r>
      <w:r>
        <w:t xml:space="preserve"> </w:t>
      </w:r>
      <w:r>
        <w:tab/>
        <w:t xml:space="preserve">NER, ss. </w:t>
      </w:r>
      <w:r w:rsidRPr="00A609E3">
        <w:t>S6.1.3</w:t>
      </w:r>
      <w:r>
        <w:t>(9)–(9B) and S6A.1.3(4)(vi),(4A)–(4C); NGR, r. 72(1)(g).</w:t>
      </w:r>
    </w:p>
  </w:footnote>
  <w:footnote w:id="20">
    <w:p w:rsidR="004C6F08" w:rsidRDefault="004C6F08">
      <w:pPr>
        <w:pStyle w:val="FootnoteText"/>
      </w:pPr>
      <w:r>
        <w:rPr>
          <w:rStyle w:val="FootnoteReference"/>
        </w:rPr>
        <w:footnoteRef/>
      </w:r>
      <w:r>
        <w:t xml:space="preserve"> </w:t>
      </w:r>
      <w:r>
        <w:tab/>
      </w:r>
      <w:r w:rsidRPr="007646B1">
        <w:t xml:space="preserve">AER, </w:t>
      </w:r>
      <w:r w:rsidRPr="007646B1">
        <w:rPr>
          <w:rStyle w:val="AERtextitalic"/>
        </w:rPr>
        <w:t>Better r</w:t>
      </w:r>
      <w:r>
        <w:rPr>
          <w:rStyle w:val="AERtextitalic"/>
        </w:rPr>
        <w:t>egulation:</w:t>
      </w:r>
      <w:r w:rsidRPr="007646B1">
        <w:rPr>
          <w:rStyle w:val="AERtextitalic"/>
        </w:rPr>
        <w:t xml:space="preserve"> rate</w:t>
      </w:r>
      <w:r>
        <w:rPr>
          <w:rStyle w:val="AERtextitalic"/>
        </w:rPr>
        <w:t xml:space="preserve"> of return guideline</w:t>
      </w:r>
      <w:r w:rsidRPr="007646B1">
        <w:t>, December 2013</w:t>
      </w:r>
      <w:r>
        <w:t>, p. 7.</w:t>
      </w:r>
    </w:p>
  </w:footnote>
  <w:footnote w:id="21">
    <w:p w:rsidR="004C6F08" w:rsidRDefault="004C6F0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22">
    <w:p w:rsidR="004C6F08" w:rsidRDefault="004C6F08">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w:t>
      </w:r>
      <w:r w:rsidRPr="004D735C">
        <w:t>.</w:t>
      </w:r>
    </w:p>
  </w:footnote>
  <w:footnote w:id="23">
    <w:p w:rsidR="004C6F08" w:rsidRDefault="004C6F08">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w:t>
      </w:r>
    </w:p>
  </w:footnote>
  <w:footnote w:id="24">
    <w:p w:rsidR="004C6F08" w:rsidRDefault="004C6F08" w:rsidP="001E2F25">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25">
    <w:p w:rsidR="004C6F08" w:rsidRDefault="004C6F08">
      <w:pPr>
        <w:pStyle w:val="FootnoteText"/>
      </w:pPr>
      <w:r>
        <w:rPr>
          <w:rStyle w:val="FootnoteReference"/>
        </w:rPr>
        <w:footnoteRef/>
      </w:r>
      <w:r>
        <w:t xml:space="preserve"> </w:t>
      </w:r>
      <w:r>
        <w:tab/>
        <w:t xml:space="preserve">M. McKenzie and G. Partington,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w:t>
      </w:r>
    </w:p>
  </w:footnote>
  <w:footnote w:id="26">
    <w:p w:rsidR="004C6F08" w:rsidRDefault="004C6F0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27">
    <w:p w:rsidR="004C6F08" w:rsidRDefault="004C6F08">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28">
    <w:p w:rsidR="004C6F08" w:rsidRDefault="004C6F08">
      <w:pPr>
        <w:pStyle w:val="FootnoteText"/>
      </w:pPr>
      <w:r>
        <w:rPr>
          <w:rStyle w:val="FootnoteReference"/>
        </w:rPr>
        <w:footnoteRef/>
      </w:r>
      <w:r>
        <w:t xml:space="preserve"> </w:t>
      </w:r>
      <w:r>
        <w:tab/>
        <w:t xml:space="preserve">See sections </w:t>
      </w:r>
      <w:r>
        <w:fldChar w:fldCharType="begin"/>
      </w:r>
      <w:r>
        <w:instrText xml:space="preserve"> REF _Ref403477544 \r \h </w:instrText>
      </w:r>
      <w:r>
        <w:fldChar w:fldCharType="separate"/>
      </w:r>
      <w:r>
        <w:t>A.1</w:t>
      </w:r>
      <w:r>
        <w:fldChar w:fldCharType="end"/>
      </w:r>
      <w:r>
        <w:t xml:space="preserve"> and </w:t>
      </w:r>
      <w:r>
        <w:fldChar w:fldCharType="begin"/>
      </w:r>
      <w:r>
        <w:instrText xml:space="preserve"> REF _Ref403480875 \r \h </w:instrText>
      </w:r>
      <w:r>
        <w:fldChar w:fldCharType="separate"/>
      </w:r>
      <w:r>
        <w:t>A.2</w:t>
      </w:r>
      <w:r>
        <w:fldChar w:fldCharType="end"/>
      </w:r>
      <w:r>
        <w:t xml:space="preserve"> of appendix A.</w:t>
      </w:r>
    </w:p>
  </w:footnote>
  <w:footnote w:id="29">
    <w:p w:rsidR="004C6F08" w:rsidRDefault="004C6F08" w:rsidP="00035BE9">
      <w:pPr>
        <w:pStyle w:val="FootnoteText"/>
      </w:pPr>
      <w:r>
        <w:rPr>
          <w:rStyle w:val="FootnoteReference"/>
        </w:rPr>
        <w:footnoteRef/>
      </w:r>
      <w:r>
        <w:t xml:space="preserve"> </w:t>
      </w:r>
      <w:r>
        <w:tab/>
        <w:t xml:space="preserve">See section </w:t>
      </w:r>
      <w:r>
        <w:fldChar w:fldCharType="begin"/>
      </w:r>
      <w:r>
        <w:instrText xml:space="preserve"> REF _Ref400961862 \r \h </w:instrText>
      </w:r>
      <w:r>
        <w:fldChar w:fldCharType="separate"/>
      </w:r>
      <w:r>
        <w:t>A.4</w:t>
      </w:r>
      <w:r>
        <w:fldChar w:fldCharType="end"/>
      </w:r>
      <w:r>
        <w:t xml:space="preserve"> of appendix A.</w:t>
      </w:r>
    </w:p>
  </w:footnote>
  <w:footnote w:id="30">
    <w:p w:rsidR="004C6F08" w:rsidRDefault="004C6F08">
      <w:pPr>
        <w:pStyle w:val="FootnoteText"/>
      </w:pPr>
      <w:r>
        <w:rPr>
          <w:rStyle w:val="FootnoteReference"/>
        </w:rPr>
        <w:footnoteRef/>
      </w:r>
      <w:r>
        <w:t xml:space="preserve"> </w:t>
      </w:r>
      <w:r>
        <w:tab/>
        <w:t xml:space="preserve">See section </w:t>
      </w:r>
      <w:r>
        <w:fldChar w:fldCharType="begin"/>
      </w:r>
      <w:r>
        <w:instrText xml:space="preserve"> REF _Ref400965182 \r \h </w:instrText>
      </w:r>
      <w:r>
        <w:fldChar w:fldCharType="separate"/>
      </w:r>
      <w:r>
        <w:t>A.5</w:t>
      </w:r>
      <w:r>
        <w:fldChar w:fldCharType="end"/>
      </w:r>
      <w:r>
        <w:t xml:space="preserve"> of appendix A.</w:t>
      </w:r>
    </w:p>
  </w:footnote>
  <w:footnote w:id="31">
    <w:p w:rsidR="004C6F08" w:rsidRDefault="004C6F08">
      <w:pPr>
        <w:pStyle w:val="FootnoteText"/>
      </w:pPr>
      <w:r>
        <w:rPr>
          <w:rStyle w:val="FootnoteReference"/>
        </w:rPr>
        <w:footnoteRef/>
      </w:r>
      <w:r>
        <w:t xml:space="preserve"> </w:t>
      </w:r>
      <w:r>
        <w:tab/>
        <w:t xml:space="preserve">See section </w:t>
      </w:r>
      <w:r>
        <w:fldChar w:fldCharType="begin"/>
      </w:r>
      <w:r>
        <w:instrText xml:space="preserve"> REF _Ref400965182 \r \h </w:instrText>
      </w:r>
      <w:r>
        <w:fldChar w:fldCharType="separate"/>
      </w:r>
      <w:r>
        <w:t>A.5</w:t>
      </w:r>
      <w:r>
        <w:fldChar w:fldCharType="end"/>
      </w:r>
      <w:r>
        <w:t xml:space="preserve"> of appendix A.</w:t>
      </w:r>
    </w:p>
  </w:footnote>
  <w:footnote w:id="32">
    <w:p w:rsidR="004C6F08" w:rsidRDefault="004C6F08">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t>A.8.1</w:t>
      </w:r>
      <w:r>
        <w:fldChar w:fldCharType="end"/>
      </w:r>
      <w:r>
        <w:t xml:space="preserve"> of appendix A for more discussion. </w:t>
      </w:r>
    </w:p>
  </w:footnote>
  <w:footnote w:id="33">
    <w:p w:rsidR="004C6F08" w:rsidRDefault="004C6F08">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34">
    <w:p w:rsidR="004C6F08" w:rsidRDefault="004C6F0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35">
    <w:p w:rsidR="004C6F08" w:rsidRDefault="004C6F08">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36">
    <w:p w:rsidR="004C6F08" w:rsidRDefault="004C6F08">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xml:space="preserve">, 5 October 2013, pp. 31–35. See also section </w:t>
      </w:r>
      <w:r>
        <w:fldChar w:fldCharType="begin"/>
      </w:r>
      <w:r>
        <w:instrText xml:space="preserve"> REF _Ref403477544 \r \h </w:instrText>
      </w:r>
      <w:r>
        <w:fldChar w:fldCharType="separate"/>
      </w:r>
      <w:r>
        <w:t>A.1</w:t>
      </w:r>
      <w:r>
        <w:fldChar w:fldCharType="end"/>
      </w:r>
      <w:r>
        <w:t xml:space="preserve"> of appendix A.</w:t>
      </w:r>
    </w:p>
  </w:footnote>
  <w:footnote w:id="37">
    <w:p w:rsidR="004C6F08" w:rsidRDefault="004C6F08">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38">
    <w:p w:rsidR="004C6F08" w:rsidRDefault="004C6F08">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39">
    <w:p w:rsidR="004C6F08" w:rsidRDefault="004C6F08" w:rsidP="005A0F44">
      <w:pPr>
        <w:pStyle w:val="FootnoteText"/>
      </w:pPr>
      <w:r>
        <w:rPr>
          <w:rStyle w:val="FootnoteReference"/>
        </w:rPr>
        <w:footnoteRef/>
      </w:r>
      <w:r>
        <w:t xml:space="preserve"> </w:t>
      </w:r>
      <w:r>
        <w:tab/>
        <w:t xml:space="preserve">M. McKenzie and G. Partington,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pp. 33–35.</w:t>
      </w:r>
    </w:p>
  </w:footnote>
  <w:footnote w:id="40">
    <w:p w:rsidR="004C6F08" w:rsidRDefault="004C6F08" w:rsidP="005A0F4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_Ref401165415 \r \h </w:instrText>
      </w:r>
      <w:r>
        <w:fldChar w:fldCharType="separate"/>
      </w:r>
      <w:r>
        <w:t>4.4.2</w:t>
      </w:r>
      <w:r>
        <w:fldChar w:fldCharType="end"/>
      </w:r>
      <w:r>
        <w:t>.</w:t>
      </w:r>
    </w:p>
  </w:footnote>
  <w:footnote w:id="41">
    <w:p w:rsidR="004C6F08" w:rsidRDefault="004C6F08" w:rsidP="005A0F4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 32.</w:t>
      </w:r>
    </w:p>
  </w:footnote>
  <w:footnote w:id="42">
    <w:p w:rsidR="004C6F08" w:rsidRDefault="004C6F08" w:rsidP="005A0F4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_Ref401165415 \r \h </w:instrText>
      </w:r>
      <w:r>
        <w:fldChar w:fldCharType="separate"/>
      </w:r>
      <w:r>
        <w:t>4.4.2</w:t>
      </w:r>
      <w:r>
        <w:fldChar w:fldCharType="end"/>
      </w:r>
      <w:r>
        <w:t>.</w:t>
      </w:r>
    </w:p>
  </w:footnote>
  <w:footnote w:id="43">
    <w:p w:rsidR="004C6F08" w:rsidRDefault="004C6F08">
      <w:pPr>
        <w:pStyle w:val="FootnoteText"/>
      </w:pPr>
      <w:r>
        <w:rPr>
          <w:rStyle w:val="FootnoteReference"/>
        </w:rPr>
        <w:footnoteRef/>
      </w:r>
      <w:r>
        <w:t xml:space="preserve"> </w:t>
      </w:r>
      <w:r>
        <w:tab/>
        <w:t xml:space="preserve">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w:t>
      </w:r>
      <w:proofErr w:type="spellStart"/>
      <w:r>
        <w:t>Monkhouse</w:t>
      </w:r>
      <w:proofErr w:type="spellEnd"/>
      <w:r>
        <w:t xml:space="preserve"> framework.</w:t>
      </w:r>
    </w:p>
  </w:footnote>
  <w:footnote w:id="44">
    <w:p w:rsidR="004C6F08" w:rsidRDefault="004C6F08">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A.9</w:t>
      </w:r>
      <w:r>
        <w:fldChar w:fldCharType="end"/>
      </w:r>
      <w:r w:rsidRPr="007F4E38">
        <w:t xml:space="preserve"> of </w:t>
      </w:r>
      <w:r>
        <w:t>appendix A.</w:t>
      </w:r>
    </w:p>
  </w:footnote>
  <w:footnote w:id="45">
    <w:p w:rsidR="004C6F08" w:rsidRDefault="004C6F08">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6">
    <w:p w:rsidR="004C6F08" w:rsidRDefault="004C6F0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7">
    <w:p w:rsidR="004C6F08" w:rsidRDefault="004C6F08" w:rsidP="00142828">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paras</w:t>
      </w:r>
      <w:proofErr w:type="spellEnd"/>
      <w:r>
        <w:t xml:space="preserve">.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 31.</w:t>
      </w:r>
    </w:p>
  </w:footnote>
  <w:footnote w:id="48">
    <w:p w:rsidR="004C6F08" w:rsidRDefault="004C6F08" w:rsidP="00FD6F1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9">
    <w:p w:rsidR="004C6F08" w:rsidRDefault="004C6F08" w:rsidP="00520083">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A.7.1</w:t>
      </w:r>
      <w:r>
        <w:fldChar w:fldCharType="end"/>
      </w:r>
      <w:r>
        <w:t xml:space="preserve"> of appendix A.</w:t>
      </w:r>
    </w:p>
  </w:footnote>
  <w:footnote w:id="50">
    <w:p w:rsidR="004C6F08" w:rsidRDefault="004C6F08">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 32.</w:t>
      </w:r>
    </w:p>
  </w:footnote>
  <w:footnote w:id="51">
    <w:p w:rsidR="004C6F08" w:rsidRDefault="004C6F08">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A.10</w:t>
      </w:r>
      <w:r>
        <w:fldChar w:fldCharType="end"/>
      </w:r>
      <w:r>
        <w:t xml:space="preserve"> of appendix A.</w:t>
      </w:r>
    </w:p>
  </w:footnote>
  <w:footnote w:id="52">
    <w:p w:rsidR="004C6F08" w:rsidRPr="005000F9" w:rsidRDefault="004C6F08" w:rsidP="008E4F74">
      <w:pPr>
        <w:pStyle w:val="FootnoteText"/>
        <w:rPr>
          <w:i/>
        </w:rPr>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8 August 2014, pp. 90–92.</w:t>
      </w:r>
    </w:p>
  </w:footnote>
  <w:footnote w:id="53">
    <w:p w:rsidR="004C6F08" w:rsidRDefault="004C6F08" w:rsidP="0074446C">
      <w:pPr>
        <w:pStyle w:val="FootnoteText"/>
      </w:pPr>
      <w:r>
        <w:rPr>
          <w:rStyle w:val="FootnoteReference"/>
        </w:rPr>
        <w:footnoteRef/>
      </w:r>
      <w:r>
        <w:t xml:space="preserve"> </w:t>
      </w:r>
      <w:r>
        <w:tab/>
      </w:r>
      <w:r w:rsidRPr="0074446C">
        <w:t xml:space="preserve">Australian Competition Tribunal, </w:t>
      </w:r>
      <w:r w:rsidRPr="008A03DA">
        <w:rPr>
          <w:rStyle w:val="AERtextitalic"/>
        </w:rPr>
        <w:t xml:space="preserve">Application by Energex Limited (Gamma) (No 5) [2011] </w:t>
      </w:r>
      <w:proofErr w:type="spellStart"/>
      <w:r w:rsidRPr="008A03DA">
        <w:rPr>
          <w:rStyle w:val="AERtextitalic"/>
        </w:rPr>
        <w:t>ACompT</w:t>
      </w:r>
      <w:proofErr w:type="spellEnd"/>
      <w:r w:rsidRPr="008A03DA">
        <w:rPr>
          <w:rStyle w:val="AERtextitalic"/>
        </w:rPr>
        <w:t xml:space="preserve"> 9</w:t>
      </w:r>
      <w:r>
        <w:t xml:space="preserve">, 12 May 2011, </w:t>
      </w:r>
      <w:proofErr w:type="spellStart"/>
      <w:r>
        <w:t>para</w:t>
      </w:r>
      <w:proofErr w:type="spellEnd"/>
      <w:r>
        <w:t>. 45.</w:t>
      </w:r>
    </w:p>
  </w:footnote>
  <w:footnote w:id="54">
    <w:p w:rsidR="004C6F08" w:rsidRDefault="004C6F08">
      <w:pPr>
        <w:pStyle w:val="FootnoteText"/>
      </w:pPr>
      <w:r>
        <w:rPr>
          <w:rStyle w:val="FootnoteReference"/>
        </w:rPr>
        <w:footnoteRef/>
      </w:r>
      <w:r>
        <w:tab/>
        <w:t xml:space="preserve">EMRF, </w:t>
      </w:r>
      <w:r w:rsidRPr="005000F9">
        <w:rPr>
          <w:rStyle w:val="AERtextitalic"/>
        </w:rPr>
        <w:t>NSW electricity distribution revenue reset, Applications by Ausgrid, Endeavour Energy and Essential Energy, A response</w:t>
      </w:r>
      <w:r>
        <w:t>, July 2014, p. 38.</w:t>
      </w:r>
    </w:p>
  </w:footnote>
  <w:footnote w:id="55">
    <w:p w:rsidR="004C6F08" w:rsidRDefault="004C6F08">
      <w:pPr>
        <w:pStyle w:val="FootnoteText"/>
      </w:pPr>
      <w:r>
        <w:rPr>
          <w:rStyle w:val="FootnoteReference"/>
        </w:rPr>
        <w:footnoteRef/>
      </w:r>
      <w:r>
        <w:t xml:space="preserve"> </w:t>
      </w:r>
      <w:r>
        <w:tab/>
        <w:t xml:space="preserve">Specifically, we use data from </w:t>
      </w:r>
      <w:r w:rsidRPr="0061054A">
        <w:t>Australian National Accounts: Financial Accounts (ABS cat. 5232.0)</w:t>
      </w:r>
      <w:r>
        <w:t>.</w:t>
      </w:r>
    </w:p>
  </w:footnote>
  <w:footnote w:id="56">
    <w:p w:rsidR="004C6F08" w:rsidRDefault="004C6F08" w:rsidP="00D3225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36.</w:t>
      </w:r>
    </w:p>
  </w:footnote>
  <w:footnote w:id="57">
    <w:p w:rsidR="004C6F08" w:rsidRDefault="004C6F08">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58">
    <w:p w:rsidR="004C6F08" w:rsidRDefault="004C6F08">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16; </w:t>
      </w:r>
      <w:r w:rsidRPr="00A62FE1">
        <w:t>Directlink</w:t>
      </w:r>
      <w:r>
        <w:t>,</w:t>
      </w:r>
      <w:r w:rsidRPr="00A62FE1">
        <w:t xml:space="preserve"> </w:t>
      </w:r>
      <w:r w:rsidRPr="00B53917">
        <w:rPr>
          <w:rStyle w:val="AERtextitalic"/>
        </w:rPr>
        <w:t>Directlink submission on gamma</w:t>
      </w:r>
      <w:r>
        <w:t xml:space="preserve">, May 2014, p. 17; </w:t>
      </w:r>
      <w:r w:rsidRPr="00A62FE1">
        <w:t>Endeavour Ene</w:t>
      </w:r>
      <w:r>
        <w:t xml:space="preserve">rgy, </w:t>
      </w:r>
      <w:r w:rsidRPr="00B53917">
        <w:rPr>
          <w:rStyle w:val="AERtextitalic"/>
        </w:rPr>
        <w:t>Endeavour Energy's gamma proposal</w:t>
      </w:r>
      <w:r>
        <w:t xml:space="preserve">, May 2014, p. 16. Essential Energy, </w:t>
      </w:r>
      <w:r w:rsidRPr="00B53917">
        <w:rPr>
          <w:rStyle w:val="AERtextitalic"/>
        </w:rPr>
        <w:t>Essential Energy's gamma proposal</w:t>
      </w:r>
      <w:r>
        <w:t xml:space="preserve">, May 2014, p. 16–17; JGN, </w:t>
      </w:r>
      <w:r w:rsidRPr="00B53917">
        <w:rPr>
          <w:rStyle w:val="AERtextitalic"/>
        </w:rPr>
        <w:t>Gamma proposal</w:t>
      </w:r>
      <w:r>
        <w:t xml:space="preserve">, June 2014, pp. 20–21; and TransGrid, </w:t>
      </w:r>
      <w:r>
        <w:rPr>
          <w:rStyle w:val="AERtextitalic"/>
        </w:rPr>
        <w:t>TransGrid</w:t>
      </w:r>
      <w:r w:rsidRPr="00B53917">
        <w:rPr>
          <w:rStyle w:val="AERtextitalic"/>
        </w:rPr>
        <w:t>'s approach to gamma</w:t>
      </w:r>
      <w:r>
        <w:t>, May 2014, p. 22.</w:t>
      </w:r>
    </w:p>
  </w:footnote>
  <w:footnote w:id="59">
    <w:p w:rsidR="004C6F08" w:rsidRDefault="004C6F08">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paras</w:t>
      </w:r>
      <w:proofErr w:type="spellEnd"/>
      <w:r>
        <w:t>. 402–413.</w:t>
      </w:r>
    </w:p>
  </w:footnote>
  <w:footnote w:id="60">
    <w:p w:rsidR="004C6F08" w:rsidRDefault="004C6F08">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17 November 2014.</w:t>
      </w:r>
    </w:p>
  </w:footnote>
  <w:footnote w:id="61">
    <w:p w:rsidR="004C6F08" w:rsidRDefault="004C6F08">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62">
    <w:p w:rsidR="004C6F08" w:rsidRDefault="004C6F0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63">
    <w:p w:rsidR="004C6F08" w:rsidRDefault="004C6F08" w:rsidP="00293592">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a</w:t>
      </w:r>
      <w:r w:rsidRPr="00293592">
        <w:t xml:space="preserve"> law other than the income tax law (for example, the Future Fund Board of Guardians).</w:t>
      </w:r>
      <w:r>
        <w:t xml:space="preserve"> See: </w:t>
      </w:r>
      <w:r w:rsidRPr="00611553">
        <w:t>https://www.ato.gov.au/Business/Imputation/In-detail/Refunding-franking-credits/Refund-of-franking-credits---FAQs/?page=6</w:t>
      </w:r>
      <w:r>
        <w:t>. Accessed 17 November 2014.</w:t>
      </w:r>
    </w:p>
  </w:footnote>
  <w:footnote w:id="64">
    <w:p w:rsidR="004C6F08" w:rsidRDefault="004C6F08">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A.8.1</w:t>
      </w:r>
      <w:r>
        <w:fldChar w:fldCharType="end"/>
      </w:r>
      <w:r>
        <w:t xml:space="preserve"> of appendix A.</w:t>
      </w:r>
    </w:p>
  </w:footnote>
  <w:footnote w:id="65">
    <w:p w:rsidR="004C6F08" w:rsidRDefault="004C6F0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w:t>
      </w:r>
      <w:proofErr w:type="spellStart"/>
      <w:r>
        <w:t>paras</w:t>
      </w:r>
      <w:proofErr w:type="spellEnd"/>
      <w:r>
        <w:t>. 9 and 99–100.</w:t>
      </w:r>
    </w:p>
  </w:footnote>
  <w:footnote w:id="66">
    <w:p w:rsidR="004C6F08" w:rsidRDefault="004C6F0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67">
    <w:p w:rsidR="004C6F08" w:rsidRDefault="004C6F0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w:t>
      </w:r>
      <w:proofErr w:type="spellStart"/>
      <w:r>
        <w:t>para</w:t>
      </w:r>
      <w:proofErr w:type="spellEnd"/>
      <w:r>
        <w:t>. 32.</w:t>
      </w:r>
    </w:p>
  </w:footnote>
  <w:footnote w:id="68">
    <w:p w:rsidR="004C6F08" w:rsidRDefault="004C6F08" w:rsidP="00A9774E">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69">
    <w:p w:rsidR="004C6F08" w:rsidRDefault="004C6F08">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70">
    <w:p w:rsidR="004C6F08" w:rsidRDefault="004C6F0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w:t>
      </w:r>
      <w:proofErr w:type="spellStart"/>
      <w:r>
        <w:t>paras</w:t>
      </w:r>
      <w:proofErr w:type="spellEnd"/>
      <w:r>
        <w:t>. 99–100.</w:t>
      </w:r>
    </w:p>
  </w:footnote>
  <w:footnote w:id="71">
    <w:p w:rsidR="004C6F08" w:rsidRDefault="004C6F08">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w:t>
      </w:r>
      <w:proofErr w:type="spellStart"/>
      <w:r>
        <w:t>para</w:t>
      </w:r>
      <w:proofErr w:type="spellEnd"/>
      <w:r>
        <w:t>. 104.</w:t>
      </w:r>
    </w:p>
  </w:footnote>
  <w:footnote w:id="72">
    <w:p w:rsidR="004C6F08" w:rsidRDefault="004C6F08">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73">
    <w:p w:rsidR="004C6F08" w:rsidRDefault="004C6F0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74">
    <w:p w:rsidR="004C6F08" w:rsidRDefault="004C6F08">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185.</w:t>
      </w:r>
    </w:p>
  </w:footnote>
  <w:footnote w:id="75">
    <w:p w:rsidR="004C6F08" w:rsidRDefault="004C6F08">
      <w:pPr>
        <w:pStyle w:val="FootnoteText"/>
      </w:pPr>
      <w:r>
        <w:rPr>
          <w:rStyle w:val="FootnoteReference"/>
        </w:rPr>
        <w:footnoteRef/>
      </w:r>
      <w:r>
        <w:t xml:space="preserve"> </w:t>
      </w:r>
      <w:r>
        <w:tab/>
        <w:t xml:space="preserve">Economic Regulation Authority, </w:t>
      </w:r>
      <w:r w:rsidRPr="00D5068A">
        <w:rPr>
          <w:rStyle w:val="AERtextitalic"/>
        </w:rPr>
        <w:t>Explanatory statement for the rate of return guidelines</w:t>
      </w:r>
      <w:r>
        <w:t xml:space="preserve">, 13 December 2013, </w:t>
      </w:r>
      <w:proofErr w:type="spellStart"/>
      <w:r>
        <w:t>para</w:t>
      </w:r>
      <w:proofErr w:type="spellEnd"/>
      <w:r>
        <w:t>. 921.</w:t>
      </w:r>
    </w:p>
  </w:footnote>
  <w:footnote w:id="76">
    <w:p w:rsidR="004C6F08" w:rsidRDefault="004C6F0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77">
    <w:p w:rsidR="004C6F08" w:rsidRDefault="004C6F08">
      <w:pPr>
        <w:pStyle w:val="FootnoteText"/>
      </w:pPr>
      <w:r>
        <w:rPr>
          <w:rStyle w:val="FootnoteReference"/>
        </w:rPr>
        <w:footnoteRef/>
      </w:r>
      <w:r>
        <w:t xml:space="preserve"> </w:t>
      </w:r>
      <w:r>
        <w:tab/>
        <w:t xml:space="preserve">M. McKenzie and G. Partington,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 34.</w:t>
      </w:r>
    </w:p>
  </w:footnote>
  <w:footnote w:id="78">
    <w:p w:rsidR="004C6F08" w:rsidRDefault="004C6F08">
      <w:pPr>
        <w:pStyle w:val="FootnoteText"/>
      </w:pPr>
      <w:r>
        <w:rPr>
          <w:rStyle w:val="FootnoteReference"/>
        </w:rPr>
        <w:footnoteRef/>
      </w:r>
      <w:r>
        <w:t xml:space="preserve"> </w:t>
      </w:r>
      <w:r>
        <w:tab/>
        <w:t xml:space="preserve">We became aware of McKenzie and </w:t>
      </w:r>
      <w:proofErr w:type="spellStart"/>
      <w:r>
        <w:t>Partington's</w:t>
      </w:r>
      <w:proofErr w:type="spellEnd"/>
      <w:r>
        <w:t xml:space="preserve"> report following the publication of the Guideline and we have considered it in making this decision.</w:t>
      </w:r>
    </w:p>
  </w:footnote>
  <w:footnote w:id="79">
    <w:p w:rsidR="004C6F08" w:rsidRDefault="004C6F08">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80">
    <w:p w:rsidR="004C6F08" w:rsidRDefault="004C6F08">
      <w:pPr>
        <w:pStyle w:val="FootnoteText"/>
      </w:pPr>
      <w:r>
        <w:rPr>
          <w:rStyle w:val="FootnoteReference"/>
        </w:rPr>
        <w:footnoteRef/>
      </w:r>
      <w:r>
        <w:t xml:space="preserve"> </w:t>
      </w:r>
      <w:r>
        <w:tab/>
        <w:t xml:space="preserve">D. Vo, B. </w:t>
      </w:r>
      <w:proofErr w:type="spellStart"/>
      <w:r>
        <w:t>Gellard</w:t>
      </w:r>
      <w:proofErr w:type="spellEnd"/>
      <w:r>
        <w:t xml:space="preserve"> and S. </w:t>
      </w:r>
      <w:proofErr w:type="spellStart"/>
      <w:r>
        <w:t>Mero</w:t>
      </w:r>
      <w:proofErr w:type="spellEnd"/>
      <w:r>
        <w:t>, 'Estimating the market value of franking credits: Empirical evidence from Australia', ERA working paper, April 2013.</w:t>
      </w:r>
    </w:p>
  </w:footnote>
  <w:footnote w:id="81">
    <w:p w:rsidR="004C6F08" w:rsidRDefault="004C6F08">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1.4.5;</w:t>
      </w:r>
      <w:r w:rsidRPr="00A62FE1">
        <w:t xml:space="preserve"> </w:t>
      </w:r>
      <w:r>
        <w:t>Ausgrid</w:t>
      </w:r>
      <w:r w:rsidRPr="00A62FE1">
        <w:t xml:space="preserve">, </w:t>
      </w:r>
      <w:r w:rsidRPr="000C4BB9">
        <w:rPr>
          <w:rStyle w:val="AERtextitalic"/>
        </w:rPr>
        <w:t>Ausgrid's gamma proposal</w:t>
      </w:r>
      <w:r>
        <w:t xml:space="preserve">, May 2014, p. 23; </w:t>
      </w:r>
      <w:r w:rsidRPr="00A62FE1">
        <w:t>Directlink</w:t>
      </w:r>
      <w:r>
        <w:t>,</w:t>
      </w:r>
      <w:r w:rsidRPr="00A62FE1">
        <w:t xml:space="preserve"> </w:t>
      </w:r>
      <w:r w:rsidRPr="00B53917">
        <w:rPr>
          <w:rStyle w:val="AERtextitalic"/>
        </w:rPr>
        <w:t>Directlink submission on gamma</w:t>
      </w:r>
      <w:r>
        <w:t xml:space="preserve">, May 2014, p. 25; </w:t>
      </w:r>
      <w:r w:rsidRPr="00A62FE1">
        <w:t>Endeavour Ene</w:t>
      </w:r>
      <w:r>
        <w:t xml:space="preserve">rgy, </w:t>
      </w:r>
      <w:r w:rsidRPr="00B53917">
        <w:rPr>
          <w:rStyle w:val="AERtextitalic"/>
        </w:rPr>
        <w:t>Endeavour Energy's gamma proposal</w:t>
      </w:r>
      <w:r>
        <w:t xml:space="preserve">, May 2014, p. 23. Essential Energy, </w:t>
      </w:r>
      <w:r w:rsidRPr="00B53917">
        <w:rPr>
          <w:rStyle w:val="AERtextitalic"/>
        </w:rPr>
        <w:t>Essential Energy's gamma proposal</w:t>
      </w:r>
      <w:r>
        <w:t xml:space="preserve">, May 2014, p. 22; JGN, </w:t>
      </w:r>
      <w:r w:rsidRPr="00B53917">
        <w:rPr>
          <w:rStyle w:val="AERtextitalic"/>
        </w:rPr>
        <w:t>Gamma proposal</w:t>
      </w:r>
      <w:r>
        <w:t xml:space="preserve">, June 2014, p. 27; and TransGrid, </w:t>
      </w:r>
      <w:r>
        <w:rPr>
          <w:rStyle w:val="AERtextitalic"/>
        </w:rPr>
        <w:t>TransGrid</w:t>
      </w:r>
      <w:r w:rsidRPr="00B53917">
        <w:rPr>
          <w:rStyle w:val="AERtextitalic"/>
        </w:rPr>
        <w:t>'s approach to gamma</w:t>
      </w:r>
      <w:r>
        <w:t>, May 2014, p. 30.</w:t>
      </w:r>
    </w:p>
  </w:footnote>
  <w:footnote w:id="82">
    <w:p w:rsidR="004C6F08" w:rsidRDefault="004C6F08">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1.4.4;</w:t>
      </w:r>
      <w:r w:rsidRPr="00A62FE1">
        <w:t xml:space="preserve"> </w:t>
      </w:r>
      <w:r>
        <w:t>Ausgrid</w:t>
      </w:r>
      <w:r w:rsidRPr="00A62FE1">
        <w:t xml:space="preserve">, </w:t>
      </w:r>
      <w:r w:rsidRPr="000C4BB9">
        <w:rPr>
          <w:rStyle w:val="AERtextitalic"/>
        </w:rPr>
        <w:t>Ausgrid's gamma proposal</w:t>
      </w:r>
      <w:r>
        <w:t xml:space="preserve">, May 2014, p. 19; </w:t>
      </w:r>
      <w:r w:rsidRPr="00A62FE1">
        <w:t>Directlink</w:t>
      </w:r>
      <w:r>
        <w:t>,</w:t>
      </w:r>
      <w:r w:rsidRPr="00A62FE1">
        <w:t xml:space="preserve"> </w:t>
      </w:r>
      <w:r w:rsidRPr="00B53917">
        <w:rPr>
          <w:rStyle w:val="AERtextitalic"/>
        </w:rPr>
        <w:t>Directlink submission on gamma</w:t>
      </w:r>
      <w:r>
        <w:t xml:space="preserve">, May 2014, p. 20; </w:t>
      </w:r>
      <w:r w:rsidRPr="00A62FE1">
        <w:t>Endeavour Ene</w:t>
      </w:r>
      <w:r>
        <w:t xml:space="preserve">rgy, </w:t>
      </w:r>
      <w:r w:rsidRPr="00B53917">
        <w:rPr>
          <w:rStyle w:val="AERtextitalic"/>
        </w:rPr>
        <w:t>Endeavour Energy's gamma proposal</w:t>
      </w:r>
      <w:r>
        <w:t xml:space="preserve">, May 2014, p. 19. Essential Energy, </w:t>
      </w:r>
      <w:r w:rsidRPr="00B53917">
        <w:rPr>
          <w:rStyle w:val="AERtextitalic"/>
        </w:rPr>
        <w:t>Essential Energy's gamma proposal</w:t>
      </w:r>
      <w:r>
        <w:t xml:space="preserve">, May 2014, p. 19; JGN, </w:t>
      </w:r>
      <w:r w:rsidRPr="00B53917">
        <w:rPr>
          <w:rStyle w:val="AERtextitalic"/>
        </w:rPr>
        <w:t>Gamma proposal</w:t>
      </w:r>
      <w:r>
        <w:t xml:space="preserve">, June 2014, p. 24; and TransGrid, </w:t>
      </w:r>
      <w:r>
        <w:rPr>
          <w:rStyle w:val="AERtextitalic"/>
        </w:rPr>
        <w:t>TransGrid</w:t>
      </w:r>
      <w:r w:rsidRPr="00B53917">
        <w:rPr>
          <w:rStyle w:val="AERtextitalic"/>
        </w:rPr>
        <w:t>'s approach to gamma</w:t>
      </w:r>
      <w:r>
        <w:t>, May 2014, p. 25.</w:t>
      </w:r>
    </w:p>
  </w:footnote>
  <w:footnote w:id="83">
    <w:p w:rsidR="004C6F08" w:rsidRDefault="004C6F0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20–30; M. Lally, </w:t>
      </w:r>
      <w:r w:rsidRPr="004B0617">
        <w:rPr>
          <w:rStyle w:val="AERtextitalic"/>
        </w:rPr>
        <w:t>Review of submissions to the QCA on the MRP, risk-free rate and gamma</w:t>
      </w:r>
      <w:r>
        <w:t xml:space="preserve">, 12 March 2014, pp. 35–38; M. McKenzie and G. Partington,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pp. 32–35.</w:t>
      </w:r>
    </w:p>
  </w:footnote>
  <w:footnote w:id="84">
    <w:p w:rsidR="004C6F08" w:rsidRDefault="004C6F08">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pp. 35–36.</w:t>
      </w:r>
    </w:p>
  </w:footnote>
  <w:footnote w:id="85">
    <w:p w:rsidR="004C6F08" w:rsidRDefault="004C6F08">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174.</w:t>
      </w:r>
    </w:p>
  </w:footnote>
  <w:footnote w:id="86">
    <w:p w:rsidR="004C6F08" w:rsidRDefault="004C6F08">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87">
    <w:p w:rsidR="004C6F08" w:rsidRDefault="004C6F08" w:rsidP="001E32C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w:t>
      </w:r>
      <w:r w:rsidRPr="00712BC2">
        <w:t xml:space="preserve">M. Lally, </w:t>
      </w:r>
      <w:r w:rsidRPr="00712BC2">
        <w:rPr>
          <w:rStyle w:val="AERtextitalic"/>
        </w:rPr>
        <w:t>Review of submissions to the QCA on the MRP, risk-free rate and gamma</w:t>
      </w:r>
      <w:r>
        <w:t>, 12 March 2014.</w:t>
      </w:r>
    </w:p>
  </w:footnote>
  <w:footnote w:id="88">
    <w:p w:rsidR="004C6F08" w:rsidRDefault="004C6F08" w:rsidP="001E32C9">
      <w:pPr>
        <w:pStyle w:val="FootnoteText"/>
      </w:pPr>
      <w:r>
        <w:rPr>
          <w:rStyle w:val="FootnoteReference"/>
        </w:rPr>
        <w:footnoteRef/>
      </w:r>
      <w:r>
        <w:t xml:space="preserve"> </w:t>
      </w:r>
      <w:r>
        <w:tab/>
      </w:r>
      <w:r w:rsidRPr="00712BC2">
        <w:t xml:space="preserve">M. McKenzie and G. Partington, </w:t>
      </w:r>
      <w:r w:rsidRPr="00712BC2">
        <w:rPr>
          <w:rStyle w:val="AERtextitalic"/>
        </w:rPr>
        <w:t xml:space="preserve">Report to the Queensland Resources Council: Review of </w:t>
      </w:r>
      <w:proofErr w:type="spellStart"/>
      <w:r w:rsidRPr="00712BC2">
        <w:rPr>
          <w:rStyle w:val="AERtextitalic"/>
        </w:rPr>
        <w:t>Aurizon</w:t>
      </w:r>
      <w:proofErr w:type="spellEnd"/>
      <w:r w:rsidRPr="00712BC2">
        <w:rPr>
          <w:rStyle w:val="AERtextitalic"/>
        </w:rPr>
        <w:t xml:space="preserve"> Network’s draft access undertaking</w:t>
      </w:r>
      <w:r w:rsidRPr="00712BC2">
        <w:t>, 5 October 2013</w:t>
      </w:r>
      <w:r>
        <w:t>.</w:t>
      </w:r>
    </w:p>
  </w:footnote>
  <w:footnote w:id="89">
    <w:p w:rsidR="004C6F08" w:rsidRDefault="004C6F08" w:rsidP="00592893">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90">
    <w:p w:rsidR="004C6F08" w:rsidRDefault="004C6F08" w:rsidP="001E32C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91">
    <w:p w:rsidR="004C6F08" w:rsidRDefault="004C6F08" w:rsidP="001E32C9">
      <w:pPr>
        <w:pStyle w:val="FootnoteText"/>
      </w:pPr>
      <w:r>
        <w:rPr>
          <w:rStyle w:val="FootnoteReference"/>
        </w:rPr>
        <w:footnoteRef/>
      </w:r>
      <w:r>
        <w:t xml:space="preserve"> </w:t>
      </w:r>
      <w:r>
        <w:tab/>
      </w:r>
      <w:r w:rsidRPr="00712BC2">
        <w:t xml:space="preserve">SFG, </w:t>
      </w:r>
      <w:r w:rsidRPr="00712BC2">
        <w:rPr>
          <w:rStyle w:val="AERtextitalic"/>
        </w:rPr>
        <w:t>An appropriate regulatory estimate of gamma</w:t>
      </w:r>
      <w:r w:rsidRPr="00712BC2">
        <w:t>, May 2014</w:t>
      </w:r>
      <w:r>
        <w:t>.</w:t>
      </w:r>
    </w:p>
  </w:footnote>
  <w:footnote w:id="92">
    <w:p w:rsidR="004C6F08" w:rsidRDefault="004C6F08" w:rsidP="00B7073F">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93">
    <w:p w:rsidR="004C6F08" w:rsidRDefault="004C6F08" w:rsidP="00B7073F">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p>
  </w:footnote>
  <w:footnote w:id="94">
    <w:p w:rsidR="004C6F08" w:rsidRDefault="004C6F08" w:rsidP="001E32C9">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95">
    <w:p w:rsidR="004C6F08" w:rsidRDefault="004C6F08" w:rsidP="001E32C9">
      <w:pPr>
        <w:pStyle w:val="FootnoteText"/>
      </w:pPr>
      <w:r>
        <w:rPr>
          <w:rStyle w:val="FootnoteReference"/>
        </w:rPr>
        <w:footnoteRef/>
      </w:r>
      <w:r>
        <w:t xml:space="preserve"> </w:t>
      </w:r>
      <w:r>
        <w:tab/>
      </w:r>
      <w:r w:rsidRPr="009777EC">
        <w:t xml:space="preserve">Australian Competition and Consumer Commission, </w:t>
      </w:r>
      <w:r w:rsidRPr="009777EC">
        <w:rPr>
          <w:rStyle w:val="AERtextitalic"/>
        </w:rPr>
        <w:t>Inquiry to make final access determinations for declared fixed line services—Final report</w:t>
      </w:r>
      <w:r>
        <w:t>, July 2011</w:t>
      </w:r>
      <w:r w:rsidRPr="009777EC">
        <w:t>.</w:t>
      </w:r>
    </w:p>
  </w:footnote>
  <w:footnote w:id="96">
    <w:p w:rsidR="004C6F08" w:rsidRDefault="004C6F08" w:rsidP="001E32C9">
      <w:pPr>
        <w:pStyle w:val="FootnoteText"/>
      </w:pPr>
      <w:r>
        <w:rPr>
          <w:rStyle w:val="FootnoteReference"/>
        </w:rPr>
        <w:footnoteRef/>
      </w:r>
      <w:r>
        <w:t xml:space="preserve"> </w:t>
      </w:r>
      <w:r>
        <w:tab/>
        <w:t xml:space="preserve">Economic Regulation Authority, </w:t>
      </w:r>
      <w:r w:rsidRPr="00792648">
        <w:rPr>
          <w:rStyle w:val="AERtextitalic"/>
        </w:rPr>
        <w:t>Review of the method for estimating the weighted average cost of capital for the freight and urban railway networks, Draft determination</w:t>
      </w:r>
      <w:r>
        <w:t>, 5 June 2014.</w:t>
      </w:r>
    </w:p>
  </w:footnote>
  <w:footnote w:id="97">
    <w:p w:rsidR="004C6F08" w:rsidRDefault="004C6F08" w:rsidP="001E32C9">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98">
    <w:p w:rsidR="004C6F08" w:rsidRDefault="004C6F08" w:rsidP="001E32C9">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99">
    <w:p w:rsidR="004C6F08" w:rsidRDefault="004C6F08" w:rsidP="001E32C9">
      <w:pPr>
        <w:pStyle w:val="FootnoteText"/>
      </w:pPr>
      <w:r>
        <w:rPr>
          <w:rStyle w:val="FootnoteReference"/>
        </w:rPr>
        <w:footnoteRef/>
      </w:r>
      <w:r>
        <w:t xml:space="preserve"> </w:t>
      </w:r>
      <w:r>
        <w:tab/>
        <w:t xml:space="preserve">Australian Competition Tribunal, </w:t>
      </w:r>
      <w:r w:rsidRPr="000F2066">
        <w:rPr>
          <w:rStyle w:val="AERtextitalic"/>
        </w:rPr>
        <w:t xml:space="preserve">Application by Energex Limited (No 2) [2010] </w:t>
      </w:r>
      <w:proofErr w:type="spellStart"/>
      <w:r w:rsidRPr="000F2066">
        <w:rPr>
          <w:rStyle w:val="AERtextitalic"/>
        </w:rPr>
        <w:t>ACompT</w:t>
      </w:r>
      <w:proofErr w:type="spellEnd"/>
      <w:r w:rsidRPr="000F2066">
        <w:rPr>
          <w:rStyle w:val="AERtextitalic"/>
        </w:rPr>
        <w:t xml:space="preserve"> 7</w:t>
      </w:r>
      <w:r>
        <w:t xml:space="preserve">, October 2010, </w:t>
      </w:r>
      <w:proofErr w:type="spellStart"/>
      <w:r>
        <w:t>paras</w:t>
      </w:r>
      <w:proofErr w:type="spellEnd"/>
      <w:r>
        <w:t>. 149–150.</w:t>
      </w:r>
    </w:p>
  </w:footnote>
  <w:footnote w:id="100">
    <w:p w:rsidR="004C6F08" w:rsidRDefault="004C6F08" w:rsidP="001E32C9">
      <w:pPr>
        <w:pStyle w:val="FootnoteText"/>
      </w:pPr>
      <w:r>
        <w:rPr>
          <w:rStyle w:val="FootnoteReference"/>
        </w:rPr>
        <w:footnoteRef/>
      </w:r>
      <w:r>
        <w:t xml:space="preserve"> </w:t>
      </w:r>
      <w:r>
        <w:tab/>
        <w:t xml:space="preserve">Australian Competition Tribunal, </w:t>
      </w:r>
      <w:r w:rsidRPr="004D5073">
        <w:rPr>
          <w:rStyle w:val="AERtextitalic"/>
        </w:rPr>
        <w:t xml:space="preserve">Application by Energex Limited (Distribution Ratio (Gamma)) (No 3) [2010] </w:t>
      </w:r>
      <w:proofErr w:type="spellStart"/>
      <w:r w:rsidRPr="004D5073">
        <w:rPr>
          <w:rStyle w:val="AERtextitalic"/>
        </w:rPr>
        <w:t>ACompT</w:t>
      </w:r>
      <w:proofErr w:type="spellEnd"/>
      <w:r w:rsidRPr="004D5073">
        <w:rPr>
          <w:rStyle w:val="AERtextitalic"/>
        </w:rPr>
        <w:t xml:space="preserve"> 9</w:t>
      </w:r>
      <w:r>
        <w:t xml:space="preserve">, December 2010, </w:t>
      </w:r>
      <w:proofErr w:type="spellStart"/>
      <w:r>
        <w:t>para</w:t>
      </w:r>
      <w:proofErr w:type="spellEnd"/>
      <w:r>
        <w:t>. 2.</w:t>
      </w:r>
    </w:p>
  </w:footnote>
  <w:footnote w:id="101">
    <w:p w:rsidR="004C6F08" w:rsidRDefault="004C6F08" w:rsidP="001E32C9">
      <w:pPr>
        <w:pStyle w:val="FootnoteText"/>
      </w:pPr>
      <w:r>
        <w:rPr>
          <w:rStyle w:val="FootnoteReference"/>
        </w:rPr>
        <w:footnoteRef/>
      </w:r>
      <w:r>
        <w:t xml:space="preserve"> </w:t>
      </w:r>
      <w:r>
        <w:tab/>
        <w:t xml:space="preserve">Australian Competition Tribunal, </w:t>
      </w:r>
      <w:r w:rsidRPr="001619BA">
        <w:rPr>
          <w:rStyle w:val="AERtextitalic"/>
        </w:rPr>
        <w:t xml:space="preserve">Application by Energex Limited (No 2) [2010] </w:t>
      </w:r>
      <w:proofErr w:type="spellStart"/>
      <w:r w:rsidRPr="001619BA">
        <w:rPr>
          <w:rStyle w:val="AERtextitalic"/>
        </w:rPr>
        <w:t>ACompT</w:t>
      </w:r>
      <w:proofErr w:type="spellEnd"/>
      <w:r w:rsidRPr="001619BA">
        <w:rPr>
          <w:rStyle w:val="AERtextitalic"/>
        </w:rPr>
        <w:t xml:space="preserve"> 7</w:t>
      </w:r>
      <w:r>
        <w:t xml:space="preserve">, October 2010, </w:t>
      </w:r>
      <w:proofErr w:type="spellStart"/>
      <w:r>
        <w:t>para</w:t>
      </w:r>
      <w:proofErr w:type="spellEnd"/>
      <w:r>
        <w:t>.</w:t>
      </w:r>
      <w:r w:rsidRPr="0077656B">
        <w:t xml:space="preserve"> 91.</w:t>
      </w:r>
    </w:p>
  </w:footnote>
  <w:footnote w:id="102">
    <w:p w:rsidR="004C6F08" w:rsidRDefault="004C6F08" w:rsidP="001E32C9">
      <w:pPr>
        <w:pStyle w:val="FootnoteText"/>
      </w:pPr>
      <w:r>
        <w:rPr>
          <w:rStyle w:val="FootnoteReference"/>
        </w:rPr>
        <w:footnoteRef/>
      </w:r>
      <w:r>
        <w:t xml:space="preserve"> </w:t>
      </w:r>
      <w:r>
        <w:tab/>
        <w:t xml:space="preserve">Australian Competition Tribunal, </w:t>
      </w:r>
      <w:r w:rsidRPr="00F5364E">
        <w:rPr>
          <w:rStyle w:val="AERtextitalic"/>
        </w:rPr>
        <w:t xml:space="preserve">Application by Energex Limited (Gamma) (No 5) [2011] </w:t>
      </w:r>
      <w:proofErr w:type="spellStart"/>
      <w:r w:rsidRPr="00F5364E">
        <w:rPr>
          <w:rStyle w:val="AERtextitalic"/>
        </w:rPr>
        <w:t>ACompT</w:t>
      </w:r>
      <w:proofErr w:type="spellEnd"/>
      <w:r w:rsidRPr="00F5364E">
        <w:rPr>
          <w:rStyle w:val="AERtextitalic"/>
        </w:rPr>
        <w:t xml:space="preserve"> 9</w:t>
      </w:r>
      <w:r>
        <w:t xml:space="preserve">, May 2011, </w:t>
      </w:r>
      <w:proofErr w:type="spellStart"/>
      <w:r>
        <w:t>paras</w:t>
      </w:r>
      <w:proofErr w:type="spellEnd"/>
      <w:r>
        <w:t>. 32–34.</w:t>
      </w:r>
    </w:p>
  </w:footnote>
  <w:footnote w:id="103">
    <w:p w:rsidR="004C6F08" w:rsidRDefault="004C6F08" w:rsidP="001E32C9">
      <w:pPr>
        <w:pStyle w:val="FootnoteText"/>
      </w:pPr>
      <w:r>
        <w:rPr>
          <w:rStyle w:val="FootnoteReference"/>
        </w:rPr>
        <w:footnoteRef/>
      </w:r>
      <w:r>
        <w:t xml:space="preserve"> </w:t>
      </w:r>
      <w:r>
        <w:tab/>
        <w:t xml:space="preserve">Australian Competition Tribunal, </w:t>
      </w:r>
      <w:r w:rsidRPr="00F5364E">
        <w:rPr>
          <w:rStyle w:val="AERtextitalic"/>
        </w:rPr>
        <w:t xml:space="preserve">Application by Energex Limited (Gamma) (No 5) [2011] </w:t>
      </w:r>
      <w:proofErr w:type="spellStart"/>
      <w:r w:rsidRPr="00F5364E">
        <w:rPr>
          <w:rStyle w:val="AERtextitalic"/>
        </w:rPr>
        <w:t>ACompT</w:t>
      </w:r>
      <w:proofErr w:type="spellEnd"/>
      <w:r w:rsidRPr="00F5364E">
        <w:rPr>
          <w:rStyle w:val="AERtextitalic"/>
        </w:rPr>
        <w:t xml:space="preserve"> 9</w:t>
      </w:r>
      <w:r>
        <w:t xml:space="preserve">, May 2011, </w:t>
      </w:r>
      <w:proofErr w:type="spellStart"/>
      <w:r>
        <w:t>paras</w:t>
      </w:r>
      <w:proofErr w:type="spellEnd"/>
      <w:r>
        <w:t>. 40–41.</w:t>
      </w:r>
    </w:p>
  </w:footnote>
  <w:footnote w:id="104">
    <w:p w:rsidR="004C6F08" w:rsidRDefault="004C6F08" w:rsidP="001E32C9">
      <w:pPr>
        <w:pStyle w:val="FootnoteText"/>
      </w:pPr>
      <w:r>
        <w:rPr>
          <w:rStyle w:val="FootnoteReference"/>
        </w:rPr>
        <w:footnoteRef/>
      </w:r>
      <w:r>
        <w:t xml:space="preserve">  </w:t>
      </w:r>
      <w:r>
        <w:tab/>
        <w:t xml:space="preserve">Australian Competition Tribunal, </w:t>
      </w:r>
      <w:r w:rsidRPr="00F5364E">
        <w:rPr>
          <w:rStyle w:val="AERtextitalic"/>
        </w:rPr>
        <w:t xml:space="preserve">Application by Energex Limited (Gamma) (No 5) [2011] </w:t>
      </w:r>
      <w:proofErr w:type="spellStart"/>
      <w:r w:rsidRPr="00F5364E">
        <w:rPr>
          <w:rStyle w:val="AERtextitalic"/>
        </w:rPr>
        <w:t>ACompT</w:t>
      </w:r>
      <w:proofErr w:type="spellEnd"/>
      <w:r w:rsidRPr="00F5364E">
        <w:rPr>
          <w:rStyle w:val="AERtextitalic"/>
        </w:rPr>
        <w:t xml:space="preserve"> 9</w:t>
      </w:r>
      <w:r>
        <w:t xml:space="preserve">, May 2011, </w:t>
      </w:r>
      <w:proofErr w:type="spellStart"/>
      <w:r>
        <w:t>para</w:t>
      </w:r>
      <w:proofErr w:type="spellEnd"/>
      <w:r>
        <w:t>. 45.</w:t>
      </w:r>
    </w:p>
  </w:footnote>
  <w:footnote w:id="105">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16(b).</w:t>
      </w:r>
    </w:p>
  </w:footnote>
  <w:footnote w:id="106">
    <w:p w:rsidR="004C6F08" w:rsidRDefault="004C6F08" w:rsidP="001E32C9">
      <w:pPr>
        <w:pStyle w:val="FootnoteText"/>
      </w:pPr>
      <w:r>
        <w:rPr>
          <w:rStyle w:val="FootnoteReference"/>
        </w:rPr>
        <w:footnoteRef/>
      </w:r>
      <w:r>
        <w:t xml:space="preserve"> </w:t>
      </w:r>
      <w:r>
        <w:tab/>
        <w:t xml:space="preserve">Australian Competition Tribunal, </w:t>
      </w:r>
      <w:r w:rsidRPr="00F5364E">
        <w:rPr>
          <w:rStyle w:val="AERtextitalic"/>
        </w:rPr>
        <w:t xml:space="preserve">Application by Energex Limited (Gamma) (No 5) [2011] </w:t>
      </w:r>
      <w:proofErr w:type="spellStart"/>
      <w:r w:rsidRPr="00F5364E">
        <w:rPr>
          <w:rStyle w:val="AERtextitalic"/>
        </w:rPr>
        <w:t>ACompT</w:t>
      </w:r>
      <w:proofErr w:type="spellEnd"/>
      <w:r w:rsidRPr="00F5364E">
        <w:rPr>
          <w:rStyle w:val="AERtextitalic"/>
        </w:rPr>
        <w:t xml:space="preserve"> 9</w:t>
      </w:r>
      <w:r>
        <w:t xml:space="preserve">, May 2011, </w:t>
      </w:r>
      <w:proofErr w:type="spellStart"/>
      <w:r>
        <w:t>para</w:t>
      </w:r>
      <w:proofErr w:type="spellEnd"/>
      <w:r>
        <w:t>. 34.</w:t>
      </w:r>
    </w:p>
  </w:footnote>
  <w:footnote w:id="107">
    <w:p w:rsidR="004C6F08" w:rsidRDefault="004C6F08" w:rsidP="001E32C9">
      <w:pPr>
        <w:pStyle w:val="FootnoteText"/>
      </w:pPr>
      <w:r>
        <w:rPr>
          <w:rStyle w:val="FootnoteReference"/>
        </w:rPr>
        <w:footnoteRef/>
      </w:r>
      <w:r>
        <w:t xml:space="preserve"> </w:t>
      </w:r>
      <w:r>
        <w:tab/>
        <w:t xml:space="preserve">Australian Competition Tribunal, </w:t>
      </w:r>
      <w:r w:rsidRPr="00A216BD">
        <w:rPr>
          <w:rStyle w:val="AERtextitalic"/>
        </w:rPr>
        <w:t xml:space="preserve">Application by DBNGP (WA) Transmission Pty Ltd (No 3) [2012] </w:t>
      </w:r>
      <w:proofErr w:type="spellStart"/>
      <w:r w:rsidRPr="00A216BD">
        <w:rPr>
          <w:rStyle w:val="AERtextitalic"/>
        </w:rPr>
        <w:t>ACompT</w:t>
      </w:r>
      <w:proofErr w:type="spellEnd"/>
      <w:r w:rsidRPr="00A216BD">
        <w:rPr>
          <w:rStyle w:val="AERtextitalic"/>
        </w:rPr>
        <w:t xml:space="preserve"> 14</w:t>
      </w:r>
      <w:r>
        <w:t>, July 2012.</w:t>
      </w:r>
    </w:p>
  </w:footnote>
  <w:footnote w:id="108">
    <w:p w:rsidR="004C6F08" w:rsidRDefault="004C6F08" w:rsidP="001E32C9">
      <w:pPr>
        <w:pStyle w:val="FootnoteText"/>
      </w:pPr>
      <w:r>
        <w:rPr>
          <w:rStyle w:val="FootnoteReference"/>
        </w:rPr>
        <w:footnoteRef/>
      </w:r>
      <w:r>
        <w:t xml:space="preserve"> </w:t>
      </w:r>
      <w:r>
        <w:tab/>
        <w:t xml:space="preserve">Australian Competition Tribunal, </w:t>
      </w:r>
      <w:r w:rsidRPr="003D0DF0">
        <w:rPr>
          <w:rStyle w:val="AERtextitalic"/>
        </w:rPr>
        <w:t xml:space="preserve">Application by WA Gas Networks Pty Ltd (No 3) [2012] </w:t>
      </w:r>
      <w:proofErr w:type="spellStart"/>
      <w:r w:rsidRPr="003D0DF0">
        <w:rPr>
          <w:rStyle w:val="AERtextitalic"/>
        </w:rPr>
        <w:t>ACompT</w:t>
      </w:r>
      <w:proofErr w:type="spellEnd"/>
      <w:r w:rsidRPr="003D0DF0">
        <w:rPr>
          <w:rStyle w:val="AERtextitalic"/>
        </w:rPr>
        <w:t xml:space="preserve"> 12</w:t>
      </w:r>
      <w:r>
        <w:t xml:space="preserve">, June 2012, </w:t>
      </w:r>
      <w:proofErr w:type="spellStart"/>
      <w:r>
        <w:t>paras</w:t>
      </w:r>
      <w:proofErr w:type="spellEnd"/>
      <w:r>
        <w:t>. 119 and 125.</w:t>
      </w:r>
    </w:p>
  </w:footnote>
  <w:footnote w:id="109">
    <w:p w:rsidR="004C6F08" w:rsidRDefault="004C6F08" w:rsidP="001E32C9">
      <w:pPr>
        <w:pStyle w:val="FootnoteText"/>
      </w:pPr>
      <w:r>
        <w:rPr>
          <w:rStyle w:val="FootnoteReference"/>
        </w:rPr>
        <w:footnoteRef/>
      </w:r>
      <w:r>
        <w:t xml:space="preserve"> </w:t>
      </w:r>
      <w:r>
        <w:tab/>
      </w:r>
      <w:r w:rsidRPr="00FF5DB5">
        <w:t xml:space="preserve">NER, </w:t>
      </w:r>
      <w:proofErr w:type="spellStart"/>
      <w:r w:rsidRPr="00FF5DB5">
        <w:t>cl</w:t>
      </w:r>
      <w:r>
        <w:t>l</w:t>
      </w:r>
      <w:proofErr w:type="spellEnd"/>
      <w:r>
        <w:t>. 6.4.3 and</w:t>
      </w:r>
      <w:r w:rsidRPr="00FF5DB5">
        <w:t xml:space="preserve"> 6A.5.4; NGR, r. 76.</w:t>
      </w:r>
    </w:p>
  </w:footnote>
  <w:footnote w:id="110">
    <w:p w:rsidR="004C6F08" w:rsidRDefault="004C6F0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11">
    <w:p w:rsidR="004C6F08" w:rsidRDefault="004C6F08" w:rsidP="001E32C9">
      <w:pPr>
        <w:pStyle w:val="FootnoteText"/>
      </w:pPr>
      <w:r>
        <w:rPr>
          <w:rStyle w:val="FootnoteReference"/>
        </w:rPr>
        <w:footnoteRef/>
      </w:r>
      <w:r>
        <w:t xml:space="preserve"> </w:t>
      </w:r>
      <w:r>
        <w:tab/>
        <w:t xml:space="preserve">NER, </w:t>
      </w:r>
      <w:proofErr w:type="spellStart"/>
      <w:r>
        <w:t>cll</w:t>
      </w:r>
      <w:proofErr w:type="spellEnd"/>
      <w:r>
        <w:t>. 6.5.2 and 6A.6.2;</w:t>
      </w:r>
      <w:r w:rsidRPr="0042735A">
        <w:t xml:space="preserve"> </w:t>
      </w:r>
      <w:r>
        <w:t>NGR, r. 87.</w:t>
      </w:r>
    </w:p>
  </w:footnote>
  <w:footnote w:id="112">
    <w:p w:rsidR="004C6F08" w:rsidRDefault="004C6F08" w:rsidP="001E32C9">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13">
    <w:p w:rsidR="004C6F08" w:rsidRDefault="004C6F08" w:rsidP="001E32C9">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14">
    <w:p w:rsidR="004C6F08" w:rsidRDefault="004C6F0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15">
    <w:p w:rsidR="004C6F08" w:rsidRDefault="004C6F08" w:rsidP="001E32C9">
      <w:pPr>
        <w:pStyle w:val="FootnoteText"/>
      </w:pPr>
      <w:r>
        <w:rPr>
          <w:rStyle w:val="FootnoteReference"/>
        </w:rPr>
        <w:footnoteRef/>
      </w:r>
      <w:r>
        <w:t xml:space="preserve"> </w:t>
      </w:r>
      <w:r>
        <w:tab/>
        <w:t xml:space="preserve">NER, </w:t>
      </w:r>
      <w:proofErr w:type="spellStart"/>
      <w:r>
        <w:t>cll</w:t>
      </w:r>
      <w:proofErr w:type="spellEnd"/>
      <w:r>
        <w:t>. 6.5.2 and 6A.6.2;</w:t>
      </w:r>
      <w:r w:rsidRPr="0042735A">
        <w:t xml:space="preserve"> </w:t>
      </w:r>
      <w:r>
        <w:t>NGR, r. 87.</w:t>
      </w:r>
    </w:p>
  </w:footnote>
  <w:footnote w:id="116">
    <w:p w:rsidR="004C6F08" w:rsidRDefault="004C6F0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17">
    <w:p w:rsidR="004C6F08" w:rsidRDefault="004C6F08" w:rsidP="001E32C9">
      <w:pPr>
        <w:pStyle w:val="FootnoteText"/>
      </w:pPr>
      <w:r>
        <w:rPr>
          <w:rStyle w:val="FootnoteReference"/>
        </w:rPr>
        <w:footnoteRef/>
      </w:r>
      <w:r>
        <w:t xml:space="preserve"> </w:t>
      </w:r>
      <w:r>
        <w:tab/>
        <w:t>This is evident in companies having positive franking account balances in aggregate.</w:t>
      </w:r>
    </w:p>
  </w:footnote>
  <w:footnote w:id="118">
    <w:p w:rsidR="004C6F08" w:rsidRDefault="004C6F08" w:rsidP="001E32C9">
      <w:pPr>
        <w:pStyle w:val="FootnoteText"/>
      </w:pPr>
      <w:r>
        <w:rPr>
          <w:rStyle w:val="FootnoteReference"/>
        </w:rPr>
        <w:footnoteRef/>
      </w:r>
      <w:r>
        <w:t xml:space="preserve"> </w:t>
      </w:r>
      <w:r>
        <w:tab/>
        <w:t xml:space="preserve">Handley considered that, although </w:t>
      </w:r>
      <w:proofErr w:type="spellStart"/>
      <w:r>
        <w:t>Monkhouse</w:t>
      </w:r>
      <w:proofErr w:type="spellEnd"/>
      <w:r>
        <w:t xml:space="preserv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19">
    <w:p w:rsidR="004C6F08" w:rsidRDefault="004C6F0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20.</w:t>
      </w:r>
    </w:p>
  </w:footnote>
  <w:footnote w:id="120">
    <w:p w:rsidR="004C6F08" w:rsidRDefault="004C6F08" w:rsidP="001E32C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21">
    <w:p w:rsidR="004C6F08" w:rsidRDefault="004C6F08">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22">
    <w:p w:rsidR="004C6F08" w:rsidRDefault="004C6F08" w:rsidP="001E32C9">
      <w:pPr>
        <w:pStyle w:val="FootnoteText"/>
      </w:pPr>
      <w:r>
        <w:rPr>
          <w:rStyle w:val="FootnoteReference"/>
        </w:rPr>
        <w:footnoteRef/>
      </w:r>
      <w:r>
        <w:t xml:space="preserve"> </w:t>
      </w:r>
      <w:r>
        <w:tab/>
        <w:t>This is not to assert that distribution rates might not rise in the future such that the retained stock of credits is eventually distributed.</w:t>
      </w:r>
    </w:p>
  </w:footnote>
  <w:footnote w:id="123">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341(b).</w:t>
      </w:r>
    </w:p>
  </w:footnote>
  <w:footnote w:id="124">
    <w:p w:rsidR="004C6F08" w:rsidRDefault="004C6F08" w:rsidP="001E32C9">
      <w:pPr>
        <w:pStyle w:val="FootnoteText"/>
      </w:pPr>
      <w:r>
        <w:rPr>
          <w:rStyle w:val="FootnoteReference"/>
        </w:rPr>
        <w:footnoteRef/>
      </w:r>
      <w:r>
        <w:t xml:space="preserve"> </w:t>
      </w:r>
      <w:r>
        <w:tab/>
        <w:t xml:space="preserve">The documentation relevant to the rule change is available at: </w:t>
      </w:r>
      <w:r w:rsidRPr="00B1561C">
        <w:t>http://www.aemc.gov.au/Rule-Changes/Economic-Regulation-of-Network-Service-Providers</w:t>
      </w:r>
      <w:r>
        <w:t xml:space="preserve">. The new description first appears in the draft rules for electricity and gas, respectively. For electricity, available at: </w:t>
      </w:r>
      <w:r w:rsidRPr="00FA1E96">
        <w:t>http://www.aemc.gov.au/getattachment/fdac2adf-701f-41b3-895e-5c857b8cfc2b/Draft-Rule-</w:t>
      </w:r>
      <w:r w:rsidRPr="00FA1E96">
        <w:rPr>
          <w:rFonts w:ascii="Arial" w:hAnsi="Arial" w:cs="Arial"/>
        </w:rPr>
        <w:t>“</w:t>
      </w:r>
      <w:r w:rsidRPr="00FA1E96">
        <w:t>-Electricity.aspx</w:t>
      </w:r>
      <w:r>
        <w:t xml:space="preserve">. For gas, available at: </w:t>
      </w:r>
      <w:r w:rsidRPr="00FA1E96">
        <w:t>http://www.aemc.gov.au/getattachment/e59ed84d-ec91-4ca9-a24e-8ab600051009/Draft-Rule-</w:t>
      </w:r>
      <w:r w:rsidRPr="00FA1E96">
        <w:rPr>
          <w:rFonts w:ascii="Arial" w:hAnsi="Arial" w:cs="Arial"/>
        </w:rPr>
        <w:t>“</w:t>
      </w:r>
      <w:r w:rsidRPr="00FA1E96">
        <w:t>-Gas.aspx</w:t>
      </w:r>
      <w:r>
        <w:t>. All accessed 17 November 2014.</w:t>
      </w:r>
    </w:p>
  </w:footnote>
  <w:footnote w:id="125">
    <w:p w:rsidR="004C6F08" w:rsidRDefault="004C6F08" w:rsidP="001E32C9">
      <w:pPr>
        <w:pStyle w:val="FootnoteText"/>
      </w:pPr>
      <w:r>
        <w:rPr>
          <w:rStyle w:val="FootnoteReference"/>
        </w:rPr>
        <w:footnoteRef/>
      </w:r>
      <w:r>
        <w:t xml:space="preserve"> </w:t>
      </w:r>
      <w:r>
        <w:tab/>
        <w:t>NEL, sch. 2, cl. 8; NGL, sch. 2, cl. 8.</w:t>
      </w:r>
    </w:p>
  </w:footnote>
  <w:footnote w:id="126">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341(b)(</w:t>
      </w:r>
      <w:proofErr w:type="spellStart"/>
      <w:r>
        <w:t>i</w:t>
      </w:r>
      <w:proofErr w:type="spellEnd"/>
      <w:r>
        <w:t>).</w:t>
      </w:r>
    </w:p>
  </w:footnote>
  <w:footnote w:id="127">
    <w:p w:rsidR="004C6F08" w:rsidRDefault="004C6F08" w:rsidP="001E32C9">
      <w:pPr>
        <w:pStyle w:val="FootnoteText"/>
      </w:pPr>
      <w:r>
        <w:rPr>
          <w:rStyle w:val="FootnoteReference"/>
        </w:rPr>
        <w:footnoteRef/>
      </w:r>
      <w:r>
        <w:t xml:space="preserve"> </w:t>
      </w:r>
      <w:r>
        <w:tab/>
        <w:t>NEL, sch. 2, cl. 7; NGL, sch. 2, cl. 7.</w:t>
      </w:r>
    </w:p>
  </w:footnote>
  <w:footnote w:id="128">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309.</w:t>
      </w:r>
    </w:p>
  </w:footnote>
  <w:footnote w:id="129">
    <w:p w:rsidR="004C6F08" w:rsidRDefault="004C6F08" w:rsidP="001E32C9">
      <w:pPr>
        <w:pStyle w:val="FootnoteText"/>
      </w:pPr>
      <w:r>
        <w:rPr>
          <w:rStyle w:val="FootnoteReference"/>
        </w:rPr>
        <w:footnoteRef/>
      </w:r>
      <w:r>
        <w:t xml:space="preserve"> </w:t>
      </w:r>
      <w:r>
        <w:tab/>
        <w:t xml:space="preserve">M. McKenzie and G. Partington,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 32.</w:t>
      </w:r>
    </w:p>
  </w:footnote>
  <w:footnote w:id="130">
    <w:p w:rsidR="004C6F08" w:rsidRDefault="004C6F08" w:rsidP="001E32C9">
      <w:pPr>
        <w:pStyle w:val="FootnoteText"/>
      </w:pPr>
      <w:r>
        <w:rPr>
          <w:rStyle w:val="FootnoteReference"/>
        </w:rPr>
        <w:footnoteRef/>
      </w:r>
      <w:r>
        <w:t xml:space="preserve"> </w:t>
      </w:r>
      <w:r>
        <w:tab/>
        <w:t xml:space="preserve">M. McKenzie and G. Partington, </w:t>
      </w:r>
      <w:r w:rsidRPr="00523EF7">
        <w:rPr>
          <w:rStyle w:val="AERtextitalic"/>
        </w:rPr>
        <w:t xml:space="preserve">Report to the Queensland Resources Council: Review of </w:t>
      </w:r>
      <w:proofErr w:type="spellStart"/>
      <w:r w:rsidRPr="00523EF7">
        <w:rPr>
          <w:rStyle w:val="AERtextitalic"/>
        </w:rPr>
        <w:t>Aurizon</w:t>
      </w:r>
      <w:proofErr w:type="spellEnd"/>
      <w:r w:rsidRPr="00523EF7">
        <w:rPr>
          <w:rStyle w:val="AERtextitalic"/>
        </w:rPr>
        <w:t xml:space="preserve"> Network’s draft access undertaking</w:t>
      </w:r>
      <w:r>
        <w:t>, 5 October 2013, p. 33.</w:t>
      </w:r>
    </w:p>
  </w:footnote>
  <w:footnote w:id="131">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341(b)(iii).</w:t>
      </w:r>
    </w:p>
  </w:footnote>
  <w:footnote w:id="132">
    <w:p w:rsidR="004C6F08" w:rsidRDefault="004C6F0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39.</w:t>
      </w:r>
    </w:p>
  </w:footnote>
  <w:footnote w:id="133">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paras</w:t>
      </w:r>
      <w:proofErr w:type="spellEnd"/>
      <w:r>
        <w:t>. 320–327.</w:t>
      </w:r>
    </w:p>
  </w:footnote>
  <w:footnote w:id="134">
    <w:p w:rsidR="004C6F08" w:rsidRDefault="004C6F08" w:rsidP="001E32C9">
      <w:pPr>
        <w:pStyle w:val="FootnoteText"/>
      </w:pPr>
      <w:r>
        <w:rPr>
          <w:rStyle w:val="FootnoteReference"/>
        </w:rPr>
        <w:footnoteRef/>
      </w:r>
      <w:r>
        <w:t xml:space="preserve"> </w:t>
      </w:r>
      <w:r>
        <w:tab/>
      </w:r>
      <w:r w:rsidRPr="007646B1">
        <w:t xml:space="preserve">AER, </w:t>
      </w:r>
      <w:r w:rsidRPr="007646B1">
        <w:rPr>
          <w:rStyle w:val="AERtextitalic"/>
        </w:rPr>
        <w:t>Better regulation: Explanatory statement rate of return guideline, Appendices</w:t>
      </w:r>
      <w:r w:rsidRPr="007646B1">
        <w:t>, December 2013</w:t>
      </w:r>
      <w:r>
        <w:t>, p. 143.</w:t>
      </w:r>
    </w:p>
  </w:footnote>
  <w:footnote w:id="135">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341(b)(v).</w:t>
      </w:r>
    </w:p>
  </w:footnote>
  <w:footnote w:id="136">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333.</w:t>
      </w:r>
    </w:p>
  </w:footnote>
  <w:footnote w:id="137">
    <w:p w:rsidR="004C6F08" w:rsidRDefault="004C6F08"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w:t>
      </w:r>
      <w:proofErr w:type="spellStart"/>
      <w:r>
        <w:t>para</w:t>
      </w:r>
      <w:proofErr w:type="spellEnd"/>
      <w:r>
        <w:t>. 12.</w:t>
      </w:r>
    </w:p>
  </w:footnote>
  <w:footnote w:id="138">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2014,paras. 320–327.</w:t>
      </w:r>
    </w:p>
  </w:footnote>
  <w:footnote w:id="139">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paras</w:t>
      </w:r>
      <w:proofErr w:type="spellEnd"/>
      <w:r>
        <w:t>. 11–12.</w:t>
      </w:r>
    </w:p>
  </w:footnote>
  <w:footnote w:id="140">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27.</w:t>
      </w:r>
    </w:p>
  </w:footnote>
  <w:footnote w:id="141">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324.</w:t>
      </w:r>
    </w:p>
  </w:footnote>
  <w:footnote w:id="142">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325.</w:t>
      </w:r>
    </w:p>
  </w:footnote>
  <w:footnote w:id="143">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325.</w:t>
      </w:r>
    </w:p>
  </w:footnote>
  <w:footnote w:id="144">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326.</w:t>
      </w:r>
    </w:p>
  </w:footnote>
  <w:footnote w:id="145">
    <w:p w:rsidR="004C6F08" w:rsidRDefault="004C6F08" w:rsidP="001E32C9">
      <w:pPr>
        <w:pStyle w:val="FootnoteText"/>
      </w:pPr>
      <w:r>
        <w:rPr>
          <w:rStyle w:val="FootnoteReference"/>
        </w:rPr>
        <w:footnoteRef/>
      </w:r>
      <w:r>
        <w:t xml:space="preserve"> </w:t>
      </w:r>
      <w:r>
        <w:tab/>
        <w:t xml:space="preserve">G. </w:t>
      </w:r>
      <w:proofErr w:type="spellStart"/>
      <w:r>
        <w:t>Peirson</w:t>
      </w:r>
      <w:proofErr w:type="spellEnd"/>
      <w:r>
        <w:t xml:space="preserve">, R. Brown, S. Easton and P. Howard, </w:t>
      </w:r>
      <w:r w:rsidRPr="00562068">
        <w:rPr>
          <w:rStyle w:val="AERtextitalic"/>
        </w:rPr>
        <w:t>Business Finance</w:t>
      </w:r>
      <w:r>
        <w:t>, 8th Edition, 2002, p. 72.</w:t>
      </w:r>
    </w:p>
  </w:footnote>
  <w:footnote w:id="146">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paras</w:t>
      </w:r>
      <w:proofErr w:type="spellEnd"/>
      <w:r>
        <w:t>. 342–358.</w:t>
      </w:r>
    </w:p>
  </w:footnote>
  <w:footnote w:id="147">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paras</w:t>
      </w:r>
      <w:proofErr w:type="spellEnd"/>
      <w:r>
        <w:t>. 354–355.</w:t>
      </w:r>
    </w:p>
  </w:footnote>
  <w:footnote w:id="148">
    <w:p w:rsidR="004C6F08" w:rsidRDefault="004C6F0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23.</w:t>
      </w:r>
    </w:p>
  </w:footnote>
  <w:footnote w:id="149">
    <w:p w:rsidR="004C6F08" w:rsidRDefault="004C6F08">
      <w:pPr>
        <w:pStyle w:val="FootnoteText"/>
      </w:pPr>
      <w:r>
        <w:rPr>
          <w:rStyle w:val="FootnoteReference"/>
        </w:rPr>
        <w:footnoteRef/>
      </w:r>
      <w:r>
        <w:t xml:space="preserve"> </w:t>
      </w:r>
      <w:r>
        <w:tab/>
        <w:t xml:space="preserve">NER, </w:t>
      </w:r>
      <w:proofErr w:type="spellStart"/>
      <w:r>
        <w:t>cls</w:t>
      </w:r>
      <w:proofErr w:type="spellEnd"/>
      <w:r>
        <w:t>. 6.5.2(d)(2) and 6A.6.2(d)(2); NGR, r. 87(4)(b).</w:t>
      </w:r>
    </w:p>
  </w:footnote>
  <w:footnote w:id="150">
    <w:p w:rsidR="004C6F08" w:rsidRDefault="004C6F08">
      <w:pPr>
        <w:pStyle w:val="FootnoteText"/>
      </w:pPr>
      <w:r>
        <w:rPr>
          <w:rStyle w:val="FootnoteReference"/>
        </w:rPr>
        <w:footnoteRef/>
      </w:r>
      <w:r>
        <w:t xml:space="preserve"> </w:t>
      </w:r>
      <w:r>
        <w:tab/>
        <w:t xml:space="preserve">Lally discussed why key components of the return on equity, the market risk premium and equity beta, would be expected to be lower in an international CAPM compared to a domestic CAPM: </w:t>
      </w:r>
      <w:r w:rsidRPr="00712BC2">
        <w:t xml:space="preserve">M. Lally, </w:t>
      </w:r>
      <w:r w:rsidRPr="00712BC2">
        <w:rPr>
          <w:rStyle w:val="AERtextitalic"/>
        </w:rPr>
        <w:t>The estimation of gamma</w:t>
      </w:r>
      <w:r w:rsidRPr="00712BC2">
        <w:t>, 23 November 2013</w:t>
      </w:r>
      <w:r>
        <w:t>, section 3.9.</w:t>
      </w:r>
    </w:p>
  </w:footnote>
  <w:footnote w:id="151">
    <w:p w:rsidR="004C6F08" w:rsidRDefault="004C6F08" w:rsidP="001E32C9">
      <w:pPr>
        <w:pStyle w:val="FootnoteText"/>
      </w:pPr>
      <w:r>
        <w:rPr>
          <w:rStyle w:val="FootnoteReference"/>
        </w:rPr>
        <w:footnoteRef/>
      </w:r>
      <w:r>
        <w:t xml:space="preserve"> </w:t>
      </w:r>
      <w:r>
        <w:tab/>
        <w:t xml:space="preserve">Although the term 'personal' is used, we note that classes of investors other than persons can value imputation credits (for example, superannuation funds and charities). Therefore, a more appropriate characterisation might be 'before-investor-tax' and 'before-investor-costs'. </w:t>
      </w:r>
    </w:p>
  </w:footnote>
  <w:footnote w:id="152">
    <w:p w:rsidR="004C6F08" w:rsidRDefault="004C6F0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53">
    <w:p w:rsidR="004C6F08" w:rsidRDefault="004C6F08"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54">
    <w:p w:rsidR="004C6F08" w:rsidRDefault="004C6F08"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155">
    <w:p w:rsidR="004C6F08" w:rsidRDefault="004C6F08" w:rsidP="001E32C9">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17 November 2014.</w:t>
      </w:r>
    </w:p>
  </w:footnote>
  <w:footnote w:id="156">
    <w:p w:rsidR="004C6F08" w:rsidRDefault="004C6F08"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57">
    <w:p w:rsidR="004C6F08" w:rsidRDefault="004C6F08" w:rsidP="001E32C9">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58">
    <w:p w:rsidR="004C6F08" w:rsidRDefault="004C6F08" w:rsidP="001E32C9">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59">
    <w:p w:rsidR="004C6F08" w:rsidRDefault="004C6F08" w:rsidP="001E32C9">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17 November 2014.</w:t>
      </w:r>
    </w:p>
  </w:footnote>
  <w:footnote w:id="160">
    <w:p w:rsidR="004C6F08" w:rsidRDefault="004C6F08" w:rsidP="00BF3A09">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_Ref401165415 \r \h </w:instrText>
      </w:r>
      <w:r>
        <w:fldChar w:fldCharType="separate"/>
      </w:r>
      <w:r>
        <w:t>4.4.2</w:t>
      </w:r>
      <w:r>
        <w:fldChar w:fldCharType="end"/>
      </w:r>
      <w:r>
        <w:t xml:space="preserve"> of attachment 4.  </w:t>
      </w:r>
    </w:p>
  </w:footnote>
  <w:footnote w:id="161">
    <w:p w:rsidR="004C6F08" w:rsidRDefault="004C6F08"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62">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65(c).</w:t>
      </w:r>
    </w:p>
  </w:footnote>
  <w:footnote w:id="163">
    <w:p w:rsidR="004C6F08" w:rsidRDefault="004C6F08"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64">
    <w:p w:rsidR="004C6F08" w:rsidRDefault="004C6F08" w:rsidP="001E32C9">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17 November 2014.</w:t>
      </w:r>
    </w:p>
  </w:footnote>
  <w:footnote w:id="165">
    <w:p w:rsidR="004C6F08" w:rsidRDefault="004C6F08" w:rsidP="00611553">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17 November 2014. We consider that the form is quite straightforward, and therefore the cost of filling it out and submitting it is unlikely to outweigh the benefit of any material amount of imputation credits.  </w:t>
      </w:r>
    </w:p>
  </w:footnote>
  <w:footnote w:id="166">
    <w:p w:rsidR="004C6F08" w:rsidRDefault="004C6F08"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15; JGN, </w:t>
      </w:r>
      <w:r w:rsidRPr="00B53917">
        <w:rPr>
          <w:rStyle w:val="AERtextitalic"/>
        </w:rPr>
        <w:t>Gamma proposal</w:t>
      </w:r>
      <w:r>
        <w:t xml:space="preserve">, June 2014, p. 18; and TransGrid, </w:t>
      </w:r>
      <w:r>
        <w:rPr>
          <w:rStyle w:val="AERtextitalic"/>
        </w:rPr>
        <w:t>TransGrid</w:t>
      </w:r>
      <w:r w:rsidRPr="00B53917">
        <w:rPr>
          <w:rStyle w:val="AERtextitalic"/>
        </w:rPr>
        <w:t>'s approach to gamma</w:t>
      </w:r>
      <w:r>
        <w:t>, May 2014, p. 19.</w:t>
      </w:r>
    </w:p>
  </w:footnote>
  <w:footnote w:id="167">
    <w:p w:rsidR="004C6F08" w:rsidRDefault="004C6F08"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68">
    <w:p w:rsidR="004C6F08" w:rsidRDefault="004C6F08"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15; JGN, </w:t>
      </w:r>
      <w:r w:rsidRPr="00B53917">
        <w:rPr>
          <w:rStyle w:val="AERtextitalic"/>
        </w:rPr>
        <w:t>Gamma proposal</w:t>
      </w:r>
      <w:r>
        <w:t xml:space="preserve">, June 2014, p. 18; and TransGrid, </w:t>
      </w:r>
      <w:r>
        <w:rPr>
          <w:rStyle w:val="AERtextitalic"/>
        </w:rPr>
        <w:t>TransGrid</w:t>
      </w:r>
      <w:r w:rsidRPr="00B53917">
        <w:rPr>
          <w:rStyle w:val="AERtextitalic"/>
        </w:rPr>
        <w:t>'s approach to gamma</w:t>
      </w:r>
      <w:r>
        <w:t>, May 2014, p. 20.</w:t>
      </w:r>
    </w:p>
  </w:footnote>
  <w:footnote w:id="169">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65(e).</w:t>
      </w:r>
    </w:p>
  </w:footnote>
  <w:footnote w:id="170">
    <w:p w:rsidR="004C6F08" w:rsidRDefault="004C6F08" w:rsidP="001E32C9">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71">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412.</w:t>
      </w:r>
    </w:p>
  </w:footnote>
  <w:footnote w:id="172">
    <w:p w:rsidR="004C6F08" w:rsidRDefault="004C6F08"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73">
    <w:p w:rsidR="004C6F08" w:rsidRDefault="004C6F08" w:rsidP="001E32C9">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74">
    <w:p w:rsidR="004C6F08" w:rsidRDefault="004C6F08"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75">
    <w:p w:rsidR="004C6F08" w:rsidRDefault="004C6F08"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76">
    <w:p w:rsidR="004C6F08" w:rsidRDefault="004C6F08" w:rsidP="001E32C9">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17 November 2014.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177">
    <w:p w:rsidR="004C6F08" w:rsidRDefault="004C6F08"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w:t>
      </w:r>
      <w:proofErr w:type="spellStart"/>
      <w:r>
        <w:t>para</w:t>
      </w:r>
      <w:proofErr w:type="spellEnd"/>
      <w:r>
        <w:t xml:space="preserve">.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178">
    <w:p w:rsidR="004C6F08" w:rsidRDefault="004C6F08" w:rsidP="001E32C9">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179">
    <w:p w:rsidR="004C6F08" w:rsidRDefault="004C6F08"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w:t>
      </w:r>
      <w:proofErr w:type="spellStart"/>
      <w:r>
        <w:t>para</w:t>
      </w:r>
      <w:proofErr w:type="spellEnd"/>
      <w:r>
        <w:t>. 99.</w:t>
      </w:r>
    </w:p>
  </w:footnote>
  <w:footnote w:id="180">
    <w:p w:rsidR="004C6F08" w:rsidRDefault="004C6F08">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181">
    <w:p w:rsidR="004C6F08" w:rsidRDefault="004C6F08" w:rsidP="001E32C9">
      <w:pPr>
        <w:pStyle w:val="FootnoteText"/>
      </w:pPr>
      <w:r>
        <w:rPr>
          <w:rStyle w:val="FootnoteReference"/>
        </w:rPr>
        <w:footnoteRef/>
      </w:r>
      <w:r>
        <w:t xml:space="preserve"> </w:t>
      </w:r>
      <w:r>
        <w:tab/>
        <w:t xml:space="preserve">Specifically, we use data from </w:t>
      </w:r>
      <w:r w:rsidRPr="0061054A">
        <w:t>Australian National Accounts: Financial Accounts (ABS cat. 5232.0)</w:t>
      </w:r>
      <w:r>
        <w:t>.</w:t>
      </w:r>
    </w:p>
  </w:footnote>
  <w:footnote w:id="182">
    <w:p w:rsidR="004C6F08" w:rsidRDefault="004C6F08"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183">
    <w:p w:rsidR="004C6F08" w:rsidRDefault="004C6F08" w:rsidP="001E32C9">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17 November 2014.</w:t>
      </w:r>
    </w:p>
  </w:footnote>
  <w:footnote w:id="184">
    <w:p w:rsidR="004C6F08" w:rsidRDefault="004C6F08"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185">
    <w:p w:rsidR="004C6F08" w:rsidRDefault="004C6F08" w:rsidP="0078271F">
      <w:pPr>
        <w:pStyle w:val="FootnoteText"/>
      </w:pPr>
      <w:r>
        <w:rPr>
          <w:rStyle w:val="FootnoteReference"/>
        </w:rPr>
        <w:footnoteRef/>
      </w:r>
      <w:r>
        <w:t xml:space="preserve"> </w:t>
      </w:r>
      <w:r>
        <w:tab/>
        <w:t>The exception to this being the period between March 1990 and June 1992 where the share dropped below 0.5, and as low as 0.39 in December 1990.</w:t>
      </w:r>
    </w:p>
  </w:footnote>
  <w:footnote w:id="186">
    <w:p w:rsidR="004C6F08" w:rsidRDefault="004C6F08" w:rsidP="001E32C9">
      <w:pPr>
        <w:pStyle w:val="FootnoteText"/>
      </w:pPr>
      <w:r>
        <w:rPr>
          <w:rStyle w:val="FootnoteReference"/>
        </w:rPr>
        <w:footnoteRef/>
      </w:r>
      <w:r>
        <w:t xml:space="preserve"> </w:t>
      </w:r>
      <w:r>
        <w:tab/>
        <w:t>We do not consider clear the case for assuming that governments 'waste' the imputation credits they receive. The effect of the assumption is immaterial in any event, as excluding governments from the calculation only marginally increases the share.</w:t>
      </w:r>
    </w:p>
  </w:footnote>
  <w:footnote w:id="187">
    <w:p w:rsidR="004C6F08" w:rsidRDefault="004C6F08"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32 and 36.</w:t>
      </w:r>
    </w:p>
  </w:footnote>
  <w:footnote w:id="188">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paras</w:t>
      </w:r>
      <w:proofErr w:type="spellEnd"/>
      <w:r>
        <w:t>. 403–405.</w:t>
      </w:r>
    </w:p>
  </w:footnote>
  <w:footnote w:id="189">
    <w:p w:rsidR="004C6F08" w:rsidRDefault="004C6F08" w:rsidP="001E32C9">
      <w:pPr>
        <w:pStyle w:val="FootnoteText"/>
      </w:pPr>
      <w:r>
        <w:rPr>
          <w:rStyle w:val="FootnoteReference"/>
        </w:rPr>
        <w:footnoteRef/>
      </w:r>
      <w:r>
        <w:t xml:space="preserve"> </w:t>
      </w:r>
      <w:r>
        <w:tab/>
        <w:t>S. Black and J. Kirkwood, 'Ownership of Australian equities and corporate b</w:t>
      </w:r>
      <w:r w:rsidRPr="00A461BD">
        <w:t>onds</w:t>
      </w:r>
      <w:r>
        <w:t xml:space="preserve">', </w:t>
      </w:r>
      <w:r w:rsidRPr="00A461BD">
        <w:rPr>
          <w:rStyle w:val="AERtextitalic"/>
        </w:rPr>
        <w:t>Reserve Bank of Australia Bulletin</w:t>
      </w:r>
      <w:r>
        <w:t>, September 2010.</w:t>
      </w:r>
    </w:p>
  </w:footnote>
  <w:footnote w:id="190">
    <w:p w:rsidR="004C6F08" w:rsidRDefault="004C6F08" w:rsidP="001E32C9">
      <w:pPr>
        <w:pStyle w:val="FootnoteText"/>
      </w:pPr>
      <w:r>
        <w:rPr>
          <w:rStyle w:val="FootnoteReference"/>
        </w:rPr>
        <w:footnoteRef/>
      </w:r>
      <w:r>
        <w:t xml:space="preserve"> </w:t>
      </w:r>
      <w:r>
        <w:tab/>
        <w:t xml:space="preserve">Specifically, table 32 of </w:t>
      </w:r>
      <w:r w:rsidRPr="00C77485">
        <w:t>Australian National Accounts: Financial Accounts (ABS cat. 5232.0)</w:t>
      </w:r>
      <w:r>
        <w:t>.</w:t>
      </w:r>
    </w:p>
  </w:footnote>
  <w:footnote w:id="191">
    <w:p w:rsidR="004C6F08" w:rsidRDefault="004C6F08" w:rsidP="001E32C9">
      <w:pPr>
        <w:pStyle w:val="FootnoteText"/>
      </w:pPr>
      <w:r>
        <w:rPr>
          <w:rStyle w:val="FootnoteReference"/>
        </w:rPr>
        <w:footnoteRef/>
      </w:r>
      <w:r>
        <w:t xml:space="preserve"> </w:t>
      </w:r>
      <w:r>
        <w:tab/>
        <w:t xml:space="preserve">ASX, </w:t>
      </w:r>
      <w:r w:rsidRPr="009828F5">
        <w:rPr>
          <w:rStyle w:val="AERtextitalic"/>
        </w:rPr>
        <w:t>Australian cash equity market</w:t>
      </w:r>
      <w:r>
        <w:t xml:space="preserve">, 2013. </w:t>
      </w:r>
    </w:p>
    <w:p w:rsidR="004C6F08" w:rsidRDefault="004C6F08" w:rsidP="001E32C9">
      <w:pPr>
        <w:pStyle w:val="FootnoteText"/>
      </w:pPr>
      <w:r>
        <w:tab/>
        <w:t xml:space="preserve">Available at: </w:t>
      </w:r>
      <w:r w:rsidRPr="00611553">
        <w:t>http://www.asx.com.au/documents/resources/australian_cash_equity_market.pdf</w:t>
      </w:r>
      <w:r>
        <w:t>. Accessed 17 November 2014.</w:t>
      </w:r>
    </w:p>
  </w:footnote>
  <w:footnote w:id="192">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pp. 82–84.</w:t>
      </w:r>
    </w:p>
  </w:footnote>
  <w:footnote w:id="193">
    <w:p w:rsidR="004C6F08" w:rsidRDefault="004C6F08"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w:t>
      </w:r>
      <w:proofErr w:type="spellStart"/>
      <w:r>
        <w:t>para</w:t>
      </w:r>
      <w:proofErr w:type="spellEnd"/>
      <w:r>
        <w:t>. 402(b).</w:t>
      </w:r>
    </w:p>
  </w:footnote>
  <w:footnote w:id="194">
    <w:p w:rsidR="004C6F08" w:rsidRDefault="004C6F08" w:rsidP="001E32C9">
      <w:pPr>
        <w:pStyle w:val="FootnoteText"/>
      </w:pPr>
      <w:r>
        <w:rPr>
          <w:rStyle w:val="FootnoteReference"/>
        </w:rPr>
        <w:footnoteRef/>
      </w:r>
      <w:r>
        <w:t xml:space="preserve"> </w:t>
      </w:r>
      <w:r>
        <w:tab/>
      </w:r>
      <w:r w:rsidRPr="00853053">
        <w:t xml:space="preserve">Australian Bureau of Statistics, </w:t>
      </w:r>
      <w:r>
        <w:rPr>
          <w:rStyle w:val="AERtextitalic"/>
        </w:rPr>
        <w:t>Feature article -</w:t>
      </w:r>
      <w:r w:rsidRPr="00853053">
        <w:rPr>
          <w:rStyle w:val="AERtextitalic"/>
        </w:rPr>
        <w:t xml:space="preserve"> Foreign ownership of equity</w:t>
      </w:r>
      <w:r>
        <w:rPr>
          <w:rStyle w:val="AERtextitalic"/>
        </w:rPr>
        <w:t xml:space="preserve"> in Australian enterprise groups</w:t>
      </w:r>
      <w:r w:rsidRPr="00853053">
        <w:t xml:space="preserve">, </w:t>
      </w:r>
      <w:r>
        <w:t xml:space="preserve">June 1992. </w:t>
      </w:r>
      <w:r w:rsidRPr="00853053">
        <w:t>Available at:</w:t>
      </w:r>
    </w:p>
    <w:p w:rsidR="004C6F08" w:rsidRDefault="004C6F08" w:rsidP="001E32C9">
      <w:pPr>
        <w:pStyle w:val="FootnoteText"/>
      </w:pPr>
      <w:r>
        <w:tab/>
      </w:r>
      <w:r w:rsidRPr="00611553">
        <w:t>http://www.abs.gov.au/ausstats/abs@.nsf/featurearticlesbytitle/597E105CE2D16D46CA256DEF00099D17?OpenDocument</w:t>
      </w:r>
      <w:r>
        <w:t>. Accessed 17 November 2014.</w:t>
      </w:r>
    </w:p>
  </w:footnote>
  <w:footnote w:id="195">
    <w:p w:rsidR="004C6F08" w:rsidRDefault="004C6F08" w:rsidP="001E32C9">
      <w:pPr>
        <w:pStyle w:val="FootnoteText"/>
      </w:pPr>
      <w:r>
        <w:rPr>
          <w:rStyle w:val="FootnoteReference"/>
        </w:rPr>
        <w:footnoteRef/>
      </w:r>
      <w:r>
        <w:t xml:space="preserve"> </w:t>
      </w:r>
      <w:r>
        <w:tab/>
        <w:t xml:space="preserve">See: </w:t>
      </w:r>
      <w:r w:rsidRPr="00611553">
        <w:t>http://www.abs.gov.au/AUSSTATS/abs@.nsf/Latestproducts/5232.0Main%20Features2Jun%202014?opendocument&amp;tabname=Summary&amp;prodno=5232.0&amp;issue=Jun%202014&amp;num=&amp;view</w:t>
      </w:r>
      <w:r w:rsidRPr="009F7B6B">
        <w:t>=</w:t>
      </w:r>
      <w:r>
        <w:t>. Accessed 17 November 2014.</w:t>
      </w:r>
    </w:p>
  </w:footnote>
  <w:footnote w:id="196">
    <w:p w:rsidR="004C6F08" w:rsidRDefault="004C6F08" w:rsidP="001E32C9">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17 November 2014.</w:t>
      </w:r>
    </w:p>
  </w:footnote>
  <w:footnote w:id="197">
    <w:p w:rsidR="004C6F08" w:rsidRDefault="004C6F08" w:rsidP="001E32C9">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198">
    <w:p w:rsidR="004C6F08" w:rsidRDefault="004C6F08" w:rsidP="001E32C9">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xml:space="preserve">, September 2013, </w:t>
      </w:r>
      <w:proofErr w:type="spellStart"/>
      <w:r>
        <w:t>para</w:t>
      </w:r>
      <w:proofErr w:type="spellEnd"/>
      <w:r>
        <w:t>. 32.</w:t>
      </w:r>
    </w:p>
  </w:footnote>
  <w:footnote w:id="199">
    <w:p w:rsidR="004C6F08" w:rsidRDefault="004C6F08" w:rsidP="001E32C9">
      <w:pPr>
        <w:pStyle w:val="FootnoteText"/>
      </w:pPr>
      <w:r>
        <w:rPr>
          <w:rStyle w:val="FootnoteReference"/>
        </w:rPr>
        <w:footnoteRef/>
      </w:r>
      <w:r>
        <w:t xml:space="preserve"> </w:t>
      </w:r>
      <w:r>
        <w:tab/>
      </w:r>
      <w:r w:rsidRPr="00913229">
        <w:t xml:space="preserve">D. Vo, B. </w:t>
      </w:r>
      <w:proofErr w:type="spellStart"/>
      <w:r w:rsidRPr="00913229">
        <w:t>Gellard</w:t>
      </w:r>
      <w:proofErr w:type="spellEnd"/>
      <w:r w:rsidRPr="00913229">
        <w:t xml:space="preserve"> and S. </w:t>
      </w:r>
      <w:proofErr w:type="spellStart"/>
      <w:r w:rsidRPr="00913229">
        <w:t>Mero</w:t>
      </w:r>
      <w:proofErr w:type="spellEnd"/>
      <w:r w:rsidRPr="00913229">
        <w:t xml:space="preserve">, 'Estimating the market value of franking credits: Empirical evidence from Australia', </w:t>
      </w:r>
      <w:r w:rsidRPr="00913229">
        <w:rPr>
          <w:rStyle w:val="AERtextitalic"/>
          <w:i w:val="0"/>
        </w:rPr>
        <w:t>ERA working paper</w:t>
      </w:r>
      <w:r w:rsidRPr="00913229">
        <w:t>, April 2013.</w:t>
      </w:r>
    </w:p>
  </w:footnote>
  <w:footnote w:id="200">
    <w:p w:rsidR="004C6F08" w:rsidRDefault="004C6F08" w:rsidP="001E32C9">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01">
    <w:p w:rsidR="004C6F08" w:rsidRDefault="004C6F08" w:rsidP="001E32C9">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xml:space="preserve">, Final report, Re: Application by Energex Limited (No 2) [2010] </w:t>
      </w:r>
      <w:proofErr w:type="spellStart"/>
      <w:r>
        <w:rPr>
          <w:rStyle w:val="AERtextitalic"/>
        </w:rPr>
        <w:t>ACompT</w:t>
      </w:r>
      <w:proofErr w:type="spellEnd"/>
      <w:r>
        <w:rPr>
          <w:rStyle w:val="AERtextitalic"/>
        </w:rPr>
        <w:t> 7,</w:t>
      </w:r>
      <w:r>
        <w:t xml:space="preserve"> 21 March 2011.</w:t>
      </w:r>
    </w:p>
  </w:footnote>
  <w:footnote w:id="202">
    <w:p w:rsidR="004C6F08" w:rsidRDefault="004C6F08" w:rsidP="001E32C9">
      <w:pPr>
        <w:pStyle w:val="FootnoteText"/>
      </w:pPr>
      <w:r>
        <w:rPr>
          <w:rStyle w:val="FootnoteReference"/>
        </w:rPr>
        <w:footnoteRef/>
      </w:r>
      <w:r>
        <w:t xml:space="preserve"> </w:t>
      </w:r>
      <w:r>
        <w:tab/>
        <w:t xml:space="preserve">A. </w:t>
      </w:r>
      <w:proofErr w:type="spellStart"/>
      <w:r>
        <w:t>Minney</w:t>
      </w:r>
      <w:proofErr w:type="spellEnd"/>
      <w:r>
        <w:t xml:space="preserve">,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03">
    <w:p w:rsidR="004C6F08" w:rsidRDefault="004C6F08" w:rsidP="001E32C9">
      <w:pPr>
        <w:pStyle w:val="FootnoteText"/>
      </w:pPr>
      <w:r>
        <w:rPr>
          <w:rStyle w:val="FootnoteReference"/>
        </w:rPr>
        <w:footnoteRef/>
      </w:r>
      <w:r>
        <w:t xml:space="preserve"> </w:t>
      </w:r>
      <w:r>
        <w:tab/>
        <w:t xml:space="preserve">D. </w:t>
      </w:r>
      <w:proofErr w:type="spellStart"/>
      <w:r>
        <w:t>Beggs</w:t>
      </w:r>
      <w:proofErr w:type="spellEnd"/>
      <w:r>
        <w:t xml:space="preserve"> and C. </w:t>
      </w:r>
      <w:proofErr w:type="spellStart"/>
      <w:r>
        <w:t>Skeels</w:t>
      </w:r>
      <w:proofErr w:type="spellEnd"/>
      <w:r>
        <w:t xml:space="preserve">, 'Market arbitrage of cash dividends and franking credits', </w:t>
      </w:r>
      <w:r w:rsidRPr="00341F25">
        <w:rPr>
          <w:rStyle w:val="AERtextitalic"/>
        </w:rPr>
        <w:t>The economic record</w:t>
      </w:r>
      <w:r>
        <w:t>, vol. 82, 2006, pp. 239</w:t>
      </w:r>
      <w:r>
        <w:rPr>
          <w:rFonts w:cs="Gautami"/>
        </w:rPr>
        <w:t>–</w:t>
      </w:r>
      <w:r>
        <w:t>252.</w:t>
      </w:r>
    </w:p>
  </w:footnote>
  <w:footnote w:id="204">
    <w:p w:rsidR="004C6F08" w:rsidRDefault="004C6F08" w:rsidP="001E32C9">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05">
    <w:p w:rsidR="004C6F08" w:rsidRDefault="004C6F08" w:rsidP="001E32C9">
      <w:pPr>
        <w:pStyle w:val="FootnoteText"/>
      </w:pPr>
      <w:r>
        <w:rPr>
          <w:rStyle w:val="FootnoteReference"/>
        </w:rPr>
        <w:footnoteRef/>
      </w:r>
      <w:r>
        <w:t xml:space="preserve"> </w:t>
      </w:r>
      <w:r>
        <w:tab/>
      </w:r>
      <w:r w:rsidRPr="003A3A99">
        <w:t xml:space="preserve">D. Bellamy and S. </w:t>
      </w:r>
      <w:proofErr w:type="spellStart"/>
      <w:r w:rsidRPr="003A3A99">
        <w:t>Gray</w:t>
      </w:r>
      <w:proofErr w:type="spellEnd"/>
      <w:r w:rsidRPr="003A3A99">
        <w:t xml:space="preserve">, 'Using stock price changes to estimate the value of dividend franking credits', </w:t>
      </w:r>
      <w:r w:rsidRPr="003A3A99">
        <w:rPr>
          <w:rStyle w:val="AERtextitalic"/>
          <w:i w:val="0"/>
        </w:rPr>
        <w:t>working paper, University of Queensland Business School</w:t>
      </w:r>
      <w:r w:rsidRPr="003A3A99">
        <w:t>, March 2004.</w:t>
      </w:r>
    </w:p>
  </w:footnote>
  <w:footnote w:id="206">
    <w:p w:rsidR="004C6F08" w:rsidRDefault="004C6F08" w:rsidP="001E32C9">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i w:val="0"/>
        </w:rPr>
        <w:t>McKinsey and Company report</w:t>
      </w:r>
      <w:r w:rsidRPr="005A578B">
        <w:t>,</w:t>
      </w:r>
      <w:r>
        <w:t xml:space="preserve"> 1994.</w:t>
      </w:r>
    </w:p>
  </w:footnote>
  <w:footnote w:id="207">
    <w:p w:rsidR="004C6F08" w:rsidRDefault="004C6F08" w:rsidP="001E32C9">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08">
    <w:p w:rsidR="004C6F08" w:rsidRDefault="004C6F08" w:rsidP="001E32C9">
      <w:pPr>
        <w:pStyle w:val="FootnoteText"/>
      </w:pPr>
      <w:r>
        <w:rPr>
          <w:rStyle w:val="FootnoteReference"/>
        </w:rPr>
        <w:footnoteRef/>
      </w:r>
      <w:r>
        <w:t xml:space="preserve"> </w:t>
      </w:r>
      <w:r>
        <w:tab/>
        <w:t xml:space="preserve">C. </w:t>
      </w:r>
      <w:proofErr w:type="spellStart"/>
      <w:r>
        <w:t>Feuerherdt</w:t>
      </w:r>
      <w:proofErr w:type="spellEnd"/>
      <w:r>
        <w:t xml:space="preserve">, S. </w:t>
      </w:r>
      <w:proofErr w:type="spellStart"/>
      <w:r>
        <w:t>Gray</w:t>
      </w:r>
      <w:proofErr w:type="spellEnd"/>
      <w:r>
        <w:t xml:space="preserve">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09">
    <w:p w:rsidR="004C6F08" w:rsidRDefault="004C6F08" w:rsidP="001E32C9">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10">
    <w:p w:rsidR="004C6F08" w:rsidRDefault="004C6F08" w:rsidP="001E32C9">
      <w:pPr>
        <w:pStyle w:val="FootnoteText"/>
      </w:pPr>
      <w:r>
        <w:rPr>
          <w:rStyle w:val="FootnoteReference"/>
        </w:rPr>
        <w:footnoteRef/>
      </w:r>
      <w:r>
        <w:t xml:space="preserve"> </w:t>
      </w:r>
      <w:r>
        <w:tab/>
        <w:t xml:space="preserve">D. </w:t>
      </w:r>
      <w:proofErr w:type="spellStart"/>
      <w:r>
        <w:t>Cannavan</w:t>
      </w:r>
      <w:proofErr w:type="spellEnd"/>
      <w:r>
        <w:t xml:space="preserve">, F. Finn, S. </w:t>
      </w:r>
      <w:proofErr w:type="spellStart"/>
      <w:r>
        <w:t>Gray</w:t>
      </w:r>
      <w:proofErr w:type="spellEnd"/>
      <w:r>
        <w:t xml:space="preserve">, 'The value of dividend imputation tax credits in Australia', </w:t>
      </w:r>
      <w:r>
        <w:rPr>
          <w:rStyle w:val="AERtextitalic"/>
        </w:rPr>
        <w:t>Journal of financial economics</w:t>
      </w:r>
      <w:r>
        <w:t>, vol. 73, 2004, pp. 167</w:t>
      </w:r>
      <w:r>
        <w:rPr>
          <w:rFonts w:cs="Gautami"/>
        </w:rPr>
        <w:t>–</w:t>
      </w:r>
      <w:r>
        <w:t>197.</w:t>
      </w:r>
    </w:p>
  </w:footnote>
  <w:footnote w:id="211">
    <w:p w:rsidR="004C6F08" w:rsidRDefault="004C6F08" w:rsidP="001E32C9">
      <w:pPr>
        <w:pStyle w:val="FootnoteText"/>
      </w:pPr>
      <w:r>
        <w:rPr>
          <w:rStyle w:val="FootnoteReference"/>
        </w:rPr>
        <w:footnoteRef/>
      </w:r>
      <w:r>
        <w:t xml:space="preserve"> </w:t>
      </w:r>
      <w:r>
        <w:tab/>
        <w:t xml:space="preserve">J. Cummings and A. </w:t>
      </w:r>
      <w:proofErr w:type="spellStart"/>
      <w:r>
        <w:t>Frino</w:t>
      </w:r>
      <w:proofErr w:type="spellEnd"/>
      <w:r>
        <w:t xml:space="preserve">,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12">
    <w:p w:rsidR="004C6F08" w:rsidRDefault="004C6F08" w:rsidP="001E32C9">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13">
    <w:p w:rsidR="004C6F08" w:rsidRDefault="004C6F08" w:rsidP="001E32C9">
      <w:pPr>
        <w:pStyle w:val="FootnoteText"/>
      </w:pPr>
      <w:r>
        <w:rPr>
          <w:rStyle w:val="FootnoteReference"/>
        </w:rPr>
        <w:footnoteRef/>
      </w:r>
      <w:r>
        <w:t xml:space="preserve"> </w:t>
      </w:r>
      <w:r>
        <w:tab/>
        <w:t xml:space="preserve">P. </w:t>
      </w:r>
      <w:proofErr w:type="spellStart"/>
      <w:r>
        <w:t>Lajbcygier</w:t>
      </w:r>
      <w:proofErr w:type="spellEnd"/>
      <w:r>
        <w:t xml:space="preserve"> and S. Wheatley, 'Imputation credits and equity returns', </w:t>
      </w:r>
      <w:r w:rsidRPr="00336C79">
        <w:rPr>
          <w:rStyle w:val="AERtextitalic"/>
        </w:rPr>
        <w:t>The economic record</w:t>
      </w:r>
      <w:r>
        <w:t>, vol. 88 (283), December 2012, pp. 476–494.</w:t>
      </w:r>
    </w:p>
  </w:footnote>
  <w:footnote w:id="214">
    <w:p w:rsidR="004C6F08" w:rsidRDefault="004C6F08" w:rsidP="001E32C9">
      <w:pPr>
        <w:pStyle w:val="FootnoteText"/>
      </w:pPr>
      <w:r>
        <w:rPr>
          <w:rStyle w:val="FootnoteReference"/>
        </w:rPr>
        <w:footnoteRef/>
      </w:r>
      <w:r>
        <w:t xml:space="preserve"> </w:t>
      </w:r>
      <w:r>
        <w:tab/>
        <w:t xml:space="preserve">K. </w:t>
      </w:r>
      <w:proofErr w:type="spellStart"/>
      <w:r>
        <w:t>Siau</w:t>
      </w:r>
      <w:proofErr w:type="spellEnd"/>
      <w:r>
        <w:t xml:space="preserve">, S. Sault and G. Warren, 'Are imputation credits capitalised into stock prices', </w:t>
      </w:r>
      <w:r>
        <w:rPr>
          <w:rStyle w:val="AERtextitalic"/>
          <w:i w:val="0"/>
        </w:rPr>
        <w:t xml:space="preserve">ANU </w:t>
      </w:r>
      <w:r w:rsidRPr="00647825">
        <w:rPr>
          <w:rStyle w:val="AERtextitalic"/>
          <w:i w:val="0"/>
        </w:rPr>
        <w:t>working paper</w:t>
      </w:r>
      <w:r w:rsidRPr="00647825">
        <w:t>,</w:t>
      </w:r>
      <w:r>
        <w:t xml:space="preserve"> 18 June 2013.</w:t>
      </w:r>
    </w:p>
  </w:footnote>
  <w:footnote w:id="215">
    <w:p w:rsidR="004C6F08" w:rsidRDefault="004C6F08" w:rsidP="001E32C9">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16">
    <w:p w:rsidR="004C6F08" w:rsidRDefault="004C6F08" w:rsidP="001E32C9">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i w:val="0"/>
        </w:rPr>
        <w:t xml:space="preserve">Paper presented at the Accounting Association of Australia and New Zealand Annual Conference, Wellington, </w:t>
      </w:r>
      <w:r w:rsidRPr="009C64A5">
        <w:t>2001.</w:t>
      </w:r>
    </w:p>
  </w:footnote>
  <w:footnote w:id="217">
    <w:p w:rsidR="004C6F08" w:rsidRDefault="004C6F08" w:rsidP="001E32C9">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18">
    <w:p w:rsidR="004C6F08" w:rsidRDefault="004C6F08" w:rsidP="001E32C9">
      <w:pPr>
        <w:pStyle w:val="FootnoteText"/>
      </w:pPr>
      <w:r>
        <w:rPr>
          <w:rStyle w:val="FootnoteReference"/>
        </w:rPr>
        <w:footnoteRef/>
      </w:r>
      <w:r>
        <w:t xml:space="preserve"> </w:t>
      </w:r>
      <w:r>
        <w:tab/>
      </w:r>
      <w:r w:rsidRPr="00913229">
        <w:t xml:space="preserve">D. Vo, B. </w:t>
      </w:r>
      <w:proofErr w:type="spellStart"/>
      <w:r w:rsidRPr="00913229">
        <w:t>Gellard</w:t>
      </w:r>
      <w:proofErr w:type="spellEnd"/>
      <w:r w:rsidRPr="00913229">
        <w:t xml:space="preserve"> and S. </w:t>
      </w:r>
      <w:proofErr w:type="spellStart"/>
      <w:r w:rsidRPr="00913229">
        <w:t>Mero</w:t>
      </w:r>
      <w:proofErr w:type="spellEnd"/>
      <w:r w:rsidRPr="00913229">
        <w:t xml:space="preserve">, 'Estimating the market value of franking credits: Empirical evidence from Australia', </w:t>
      </w:r>
      <w:r w:rsidRPr="00913229">
        <w:rPr>
          <w:rStyle w:val="AERtextitalic"/>
          <w:i w:val="0"/>
        </w:rPr>
        <w:t>ERA working paper</w:t>
      </w:r>
      <w:r w:rsidRPr="00913229">
        <w:t>, April 2013.</w:t>
      </w:r>
    </w:p>
  </w:footnote>
  <w:footnote w:id="219">
    <w:p w:rsidR="004C6F08" w:rsidRDefault="004C6F08" w:rsidP="001E32C9">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20">
    <w:p w:rsidR="004C6F08" w:rsidRDefault="004C6F08" w:rsidP="001E32C9">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xml:space="preserve">, Final report, Re: Application by Energex Limited (No 2) [2010] </w:t>
      </w:r>
      <w:proofErr w:type="spellStart"/>
      <w:r>
        <w:rPr>
          <w:rStyle w:val="AERtextitalic"/>
        </w:rPr>
        <w:t>ACompT</w:t>
      </w:r>
      <w:proofErr w:type="spellEnd"/>
      <w:r>
        <w:rPr>
          <w:rStyle w:val="AERtextitalic"/>
        </w:rPr>
        <w:t xml:space="preserve"> 7,</w:t>
      </w:r>
      <w:r>
        <w:t xml:space="preserve"> 21 March 2011, p. 3.</w:t>
      </w:r>
    </w:p>
  </w:footnote>
  <w:footnote w:id="221">
    <w:p w:rsidR="004C6F08" w:rsidRDefault="004C6F08" w:rsidP="001E32C9">
      <w:pPr>
        <w:pStyle w:val="FootnoteText"/>
      </w:pPr>
      <w:r>
        <w:rPr>
          <w:rStyle w:val="FootnoteReference"/>
        </w:rPr>
        <w:footnoteRef/>
      </w:r>
      <w:r>
        <w:t xml:space="preserve"> </w:t>
      </w:r>
      <w:r>
        <w:tab/>
        <w:t xml:space="preserve">A. </w:t>
      </w:r>
      <w:proofErr w:type="spellStart"/>
      <w:r>
        <w:t>Minney</w:t>
      </w:r>
      <w:proofErr w:type="spellEnd"/>
      <w:r>
        <w:t xml:space="preserve">,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22">
    <w:p w:rsidR="004C6F08" w:rsidRDefault="004C6F08" w:rsidP="001E32C9">
      <w:pPr>
        <w:pStyle w:val="FootnoteText"/>
      </w:pPr>
      <w:r>
        <w:rPr>
          <w:rStyle w:val="FootnoteReference"/>
        </w:rPr>
        <w:footnoteRef/>
      </w:r>
      <w:r>
        <w:t xml:space="preserve"> </w:t>
      </w:r>
      <w:r>
        <w:tab/>
        <w:t xml:space="preserve">D. </w:t>
      </w:r>
      <w:proofErr w:type="spellStart"/>
      <w:r>
        <w:t>Beggs</w:t>
      </w:r>
      <w:proofErr w:type="spellEnd"/>
      <w:r>
        <w:t xml:space="preserve"> and C. </w:t>
      </w:r>
      <w:proofErr w:type="spellStart"/>
      <w:r>
        <w:t>Skeels</w:t>
      </w:r>
      <w:proofErr w:type="spellEnd"/>
      <w:r>
        <w:t xml:space="preserve">, 'Market arbitrage of cash dividends and franking credits', </w:t>
      </w:r>
      <w:r w:rsidRPr="00341F25">
        <w:rPr>
          <w:rStyle w:val="AERtextitalic"/>
        </w:rPr>
        <w:t>The economic record</w:t>
      </w:r>
      <w:r>
        <w:t>, vol. 82, 2006, p. 247.</w:t>
      </w:r>
    </w:p>
  </w:footnote>
  <w:footnote w:id="223">
    <w:p w:rsidR="004C6F08" w:rsidRDefault="004C6F08" w:rsidP="001E32C9">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24">
    <w:p w:rsidR="004C6F08" w:rsidRDefault="004C6F08" w:rsidP="001E32C9">
      <w:pPr>
        <w:pStyle w:val="FootnoteText"/>
      </w:pPr>
      <w:r>
        <w:rPr>
          <w:rStyle w:val="FootnoteReference"/>
        </w:rPr>
        <w:footnoteRef/>
      </w:r>
      <w:r>
        <w:t xml:space="preserve"> </w:t>
      </w:r>
      <w:r>
        <w:tab/>
      </w:r>
      <w:r w:rsidRPr="003A3A99">
        <w:t xml:space="preserve">D. Bellamy and S. </w:t>
      </w:r>
      <w:proofErr w:type="spellStart"/>
      <w:r w:rsidRPr="003A3A99">
        <w:t>Gray</w:t>
      </w:r>
      <w:proofErr w:type="spellEnd"/>
      <w:r w:rsidRPr="003A3A99">
        <w:t xml:space="preserve">, 'Using stock price changes to estimate the value of dividend franking credits', </w:t>
      </w:r>
      <w:r w:rsidRPr="003A3A99">
        <w:rPr>
          <w:rStyle w:val="AERtextitalic"/>
          <w:i w:val="0"/>
        </w:rPr>
        <w:t>working paper, University of Queensland Business School</w:t>
      </w:r>
      <w:r>
        <w:t>, March 2004, pp. 5 and 21.</w:t>
      </w:r>
    </w:p>
  </w:footnote>
  <w:footnote w:id="225">
    <w:p w:rsidR="004C6F08" w:rsidRDefault="004C6F08" w:rsidP="001E32C9">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i w:val="0"/>
        </w:rPr>
        <w:t>McKinsey and Company report</w:t>
      </w:r>
      <w:r w:rsidRPr="005A578B">
        <w:t>,</w:t>
      </w:r>
      <w:r>
        <w:t xml:space="preserve"> 1994, p. 27.</w:t>
      </w:r>
    </w:p>
  </w:footnote>
  <w:footnote w:id="226">
    <w:p w:rsidR="004C6F08" w:rsidRDefault="004C6F08" w:rsidP="001E32C9">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27">
    <w:p w:rsidR="004C6F08" w:rsidRDefault="004C6F08" w:rsidP="001E32C9">
      <w:pPr>
        <w:pStyle w:val="FootnoteText"/>
      </w:pPr>
      <w:r>
        <w:rPr>
          <w:rStyle w:val="FootnoteReference"/>
        </w:rPr>
        <w:footnoteRef/>
      </w:r>
      <w:r>
        <w:t xml:space="preserve"> </w:t>
      </w:r>
      <w:r>
        <w:tab/>
        <w:t xml:space="preserve">C. </w:t>
      </w:r>
      <w:proofErr w:type="spellStart"/>
      <w:r>
        <w:t>Feuerherdt</w:t>
      </w:r>
      <w:proofErr w:type="spellEnd"/>
      <w:r>
        <w:t xml:space="preserve">, S. </w:t>
      </w:r>
      <w:proofErr w:type="spellStart"/>
      <w:r>
        <w:t>Gray</w:t>
      </w:r>
      <w:proofErr w:type="spellEnd"/>
      <w:r>
        <w:t xml:space="preserve">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28">
    <w:p w:rsidR="004C6F08" w:rsidRDefault="004C6F08" w:rsidP="001E32C9">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29">
    <w:p w:rsidR="004C6F08" w:rsidRDefault="004C6F08" w:rsidP="001E32C9">
      <w:pPr>
        <w:pStyle w:val="FootnoteText"/>
      </w:pPr>
      <w:r>
        <w:rPr>
          <w:rStyle w:val="FootnoteReference"/>
        </w:rPr>
        <w:footnoteRef/>
      </w:r>
      <w:r>
        <w:t xml:space="preserve"> </w:t>
      </w:r>
      <w:r>
        <w:tab/>
        <w:t xml:space="preserve">D. </w:t>
      </w:r>
      <w:proofErr w:type="spellStart"/>
      <w:r>
        <w:t>Cannavan</w:t>
      </w:r>
      <w:proofErr w:type="spellEnd"/>
      <w:r>
        <w:t xml:space="preserve">, F. Finn, S. </w:t>
      </w:r>
      <w:proofErr w:type="spellStart"/>
      <w:r>
        <w:t>Gray</w:t>
      </w:r>
      <w:proofErr w:type="spellEnd"/>
      <w:r>
        <w:t xml:space="preserve">, 'The value of dividend imputation tax credits in Australia', </w:t>
      </w:r>
      <w:r>
        <w:rPr>
          <w:rStyle w:val="AERtextitalic"/>
        </w:rPr>
        <w:t>Journal of financial economics</w:t>
      </w:r>
      <w:r>
        <w:t>, vol. 73, 2004, pp. 167</w:t>
      </w:r>
      <w:r w:rsidRPr="003C16EB">
        <w:t>–</w:t>
      </w:r>
      <w:r>
        <w:t>197.</w:t>
      </w:r>
    </w:p>
  </w:footnote>
  <w:footnote w:id="230">
    <w:p w:rsidR="004C6F08" w:rsidRDefault="004C6F08" w:rsidP="001E32C9">
      <w:pPr>
        <w:pStyle w:val="FootnoteText"/>
      </w:pPr>
      <w:r>
        <w:rPr>
          <w:rStyle w:val="FootnoteReference"/>
        </w:rPr>
        <w:footnoteRef/>
      </w:r>
      <w:r>
        <w:t xml:space="preserve"> </w:t>
      </w:r>
      <w:r>
        <w:tab/>
        <w:t xml:space="preserve">J. Cummings and A. </w:t>
      </w:r>
      <w:proofErr w:type="spellStart"/>
      <w:r>
        <w:t>Frino</w:t>
      </w:r>
      <w:proofErr w:type="spellEnd"/>
      <w:r>
        <w:t xml:space="preserve">,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31">
    <w:p w:rsidR="004C6F08" w:rsidRDefault="004C6F08" w:rsidP="001E32C9">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32">
    <w:p w:rsidR="004C6F08" w:rsidRDefault="004C6F08" w:rsidP="001E32C9">
      <w:pPr>
        <w:pStyle w:val="FootnoteText"/>
      </w:pPr>
      <w:r>
        <w:rPr>
          <w:rStyle w:val="FootnoteReference"/>
        </w:rPr>
        <w:footnoteRef/>
      </w:r>
      <w:r>
        <w:t xml:space="preserve"> </w:t>
      </w:r>
      <w:r>
        <w:tab/>
        <w:t xml:space="preserve">P. </w:t>
      </w:r>
      <w:proofErr w:type="spellStart"/>
      <w:r>
        <w:t>Lajbcygier</w:t>
      </w:r>
      <w:proofErr w:type="spellEnd"/>
      <w:r>
        <w:t xml:space="preserve"> and S. Wheatley, 'Imputation credits and equity returns', </w:t>
      </w:r>
      <w:r w:rsidRPr="00336C79">
        <w:rPr>
          <w:rStyle w:val="AERtextitalic"/>
        </w:rPr>
        <w:t>The economic record</w:t>
      </w:r>
      <w:r>
        <w:t>, vol. 88 (283), December 2012, p. 490.</w:t>
      </w:r>
    </w:p>
  </w:footnote>
  <w:footnote w:id="233">
    <w:p w:rsidR="004C6F08" w:rsidRDefault="004C6F08" w:rsidP="001E32C9">
      <w:pPr>
        <w:pStyle w:val="FootnoteText"/>
      </w:pPr>
      <w:r>
        <w:rPr>
          <w:rStyle w:val="FootnoteReference"/>
        </w:rPr>
        <w:footnoteRef/>
      </w:r>
      <w:r>
        <w:t xml:space="preserve"> </w:t>
      </w:r>
      <w:r>
        <w:tab/>
        <w:t xml:space="preserve">K. </w:t>
      </w:r>
      <w:proofErr w:type="spellStart"/>
      <w:r>
        <w:t>Siau</w:t>
      </w:r>
      <w:proofErr w:type="spellEnd"/>
      <w:r>
        <w:t xml:space="preserve">, S. Sault and G. Warren, 'Are imputation credits capitalised into stock </w:t>
      </w:r>
      <w:r w:rsidRPr="00647825">
        <w:t xml:space="preserve">prices', </w:t>
      </w:r>
      <w:r w:rsidRPr="00647825">
        <w:rPr>
          <w:rStyle w:val="AERtextitalic"/>
          <w:i w:val="0"/>
        </w:rPr>
        <w:t>ANU working paper</w:t>
      </w:r>
      <w:r w:rsidRPr="00647825">
        <w:t>, 18 June</w:t>
      </w:r>
      <w:r>
        <w:t xml:space="preserve"> 2013, pp. 24 and 27.</w:t>
      </w:r>
    </w:p>
  </w:footnote>
  <w:footnote w:id="234">
    <w:p w:rsidR="004C6F08" w:rsidRDefault="004C6F08" w:rsidP="001E32C9">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35">
    <w:p w:rsidR="004C6F08" w:rsidRDefault="004C6F08" w:rsidP="001E32C9">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36">
    <w:p w:rsidR="004C6F08" w:rsidRDefault="004C6F08" w:rsidP="001E32C9">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37">
    <w:p w:rsidR="004C6F08" w:rsidRDefault="004C6F08" w:rsidP="001E32C9">
      <w:pPr>
        <w:pStyle w:val="FootnoteText"/>
      </w:pPr>
      <w:r>
        <w:rPr>
          <w:rStyle w:val="FootnoteReference"/>
        </w:rPr>
        <w:footnoteRef/>
      </w:r>
      <w:r>
        <w:t xml:space="preserve"> </w:t>
      </w:r>
      <w:r>
        <w:tab/>
      </w:r>
      <w:r w:rsidRPr="00FD4E25">
        <w:t xml:space="preserve">ActewAGL, </w:t>
      </w:r>
      <w:r w:rsidRPr="00FD4E25">
        <w:rPr>
          <w:rStyle w:val="AERtextitalic"/>
        </w:rPr>
        <w:t>Gamma, detailed proposal</w:t>
      </w:r>
      <w:r>
        <w:t>, May 2014, s. 1.2.2</w:t>
      </w:r>
      <w:r w:rsidRPr="00FD4E25">
        <w:t xml:space="preserve">; </w:t>
      </w:r>
      <w:r>
        <w:t>Ausgrid</w:t>
      </w:r>
      <w:r w:rsidRPr="00FD4E25">
        <w:t xml:space="preserve">, </w:t>
      </w:r>
      <w:r w:rsidRPr="00FD4E25">
        <w:rPr>
          <w:rStyle w:val="AERtextitalic"/>
        </w:rPr>
        <w:t>Ausgrid's gamma proposal</w:t>
      </w:r>
      <w:r>
        <w:t xml:space="preserve">, May 2014, p. </w:t>
      </w:r>
      <w:r w:rsidRPr="00FD4E25">
        <w:t xml:space="preserve">4; Directlink, </w:t>
      </w:r>
      <w:r w:rsidRPr="00FD4E25">
        <w:rPr>
          <w:rStyle w:val="AERtextitalic"/>
        </w:rPr>
        <w:t>Directlink submission on gamma</w:t>
      </w:r>
      <w:r>
        <w:t xml:space="preserve">, May 2014, p. </w:t>
      </w:r>
      <w:r w:rsidRPr="00FD4E25">
        <w:t xml:space="preserve">5; Endeavour Energy, </w:t>
      </w:r>
      <w:r w:rsidRPr="00FD4E25">
        <w:rPr>
          <w:rStyle w:val="AERtextitalic"/>
        </w:rPr>
        <w:t>Endeavour Energy's gamma proposal</w:t>
      </w:r>
      <w:r>
        <w:t xml:space="preserve">, May 2014, p. </w:t>
      </w:r>
      <w:r w:rsidRPr="00FD4E25">
        <w:t xml:space="preserve">4. Essential Energy, </w:t>
      </w:r>
      <w:r w:rsidRPr="00FD4E25">
        <w:rPr>
          <w:rStyle w:val="AERtextitalic"/>
        </w:rPr>
        <w:t>Essential Energy's gamma proposal</w:t>
      </w:r>
      <w:r>
        <w:t>, May 2014, p. 6</w:t>
      </w:r>
      <w:r w:rsidRPr="00FD4E25">
        <w:t xml:space="preserve">; </w:t>
      </w:r>
      <w:r>
        <w:t>JGN</w:t>
      </w:r>
      <w:r w:rsidRPr="00FD4E25">
        <w:t xml:space="preserve">, </w:t>
      </w:r>
      <w:r w:rsidRPr="00FD4E25">
        <w:rPr>
          <w:rStyle w:val="AERtextitalic"/>
        </w:rPr>
        <w:t>Gamma proposal</w:t>
      </w:r>
      <w:r>
        <w:t>, June 2014, p. 5</w:t>
      </w:r>
      <w:r w:rsidRPr="00FD4E25">
        <w:t xml:space="preserve">; and TransGrid, </w:t>
      </w:r>
      <w:r w:rsidRPr="00FD4E25">
        <w:rPr>
          <w:rStyle w:val="AERtextitalic"/>
        </w:rPr>
        <w:t>TransGrid's approach to gamma</w:t>
      </w:r>
      <w:r>
        <w:t>, May 2014, p. 7</w:t>
      </w:r>
      <w:r w:rsidRPr="00FD4E25">
        <w:t>.</w:t>
      </w:r>
    </w:p>
  </w:footnote>
  <w:footnote w:id="238">
    <w:p w:rsidR="004C6F08" w:rsidRDefault="004C6F08" w:rsidP="001E32C9">
      <w:pPr>
        <w:pStyle w:val="FootnoteText"/>
      </w:pPr>
      <w:r>
        <w:rPr>
          <w:rStyle w:val="FootnoteReference"/>
        </w:rPr>
        <w:footnoteRef/>
      </w:r>
      <w:r>
        <w:t xml:space="preserve"> </w:t>
      </w:r>
      <w:r>
        <w:tab/>
      </w:r>
      <w:r w:rsidRPr="00FD4E25">
        <w:t xml:space="preserve">ActewAGL, </w:t>
      </w:r>
      <w:r w:rsidRPr="00FD4E25">
        <w:rPr>
          <w:rStyle w:val="AERtextitalic"/>
        </w:rPr>
        <w:t>Gamma, detailed proposal</w:t>
      </w:r>
      <w:r w:rsidRPr="00FD4E25">
        <w:t>, May 2014, s. 1.</w:t>
      </w:r>
      <w:r>
        <w:t>4.5</w:t>
      </w:r>
      <w:r w:rsidRPr="00FD4E25">
        <w:t xml:space="preserve">; </w:t>
      </w:r>
      <w:r>
        <w:t>Ausgrid</w:t>
      </w:r>
      <w:r w:rsidRPr="00FD4E25">
        <w:t xml:space="preserve">, </w:t>
      </w:r>
      <w:r w:rsidRPr="00FD4E25">
        <w:rPr>
          <w:rStyle w:val="AERtextitalic"/>
        </w:rPr>
        <w:t>Ausgrid's gamma proposal</w:t>
      </w:r>
      <w:r w:rsidRPr="00FD4E25">
        <w:t xml:space="preserve">, May 2014, p. </w:t>
      </w:r>
      <w:r>
        <w:t>23</w:t>
      </w:r>
      <w:r w:rsidRPr="00FD4E25">
        <w:t xml:space="preserve">; Directlink, </w:t>
      </w:r>
      <w:r w:rsidRPr="00FD4E25">
        <w:rPr>
          <w:rStyle w:val="AERtextitalic"/>
        </w:rPr>
        <w:t>Directlink submission on gamma</w:t>
      </w:r>
      <w:r w:rsidRPr="00FD4E25">
        <w:t xml:space="preserve">, May 2014, p. </w:t>
      </w:r>
      <w:r>
        <w:t>2</w:t>
      </w:r>
      <w:r w:rsidRPr="00FD4E25">
        <w:t xml:space="preserve">5; Endeavour Energy, </w:t>
      </w:r>
      <w:r w:rsidRPr="00FD4E25">
        <w:rPr>
          <w:rStyle w:val="AERtextitalic"/>
        </w:rPr>
        <w:t>Endeavour Energy's gamma proposal</w:t>
      </w:r>
      <w:r w:rsidRPr="00FD4E25">
        <w:t xml:space="preserve">, May 2014, p. </w:t>
      </w:r>
      <w:r>
        <w:t>23</w:t>
      </w:r>
      <w:r w:rsidRPr="00FD4E25">
        <w:t xml:space="preserve">. Essential Energy, </w:t>
      </w:r>
      <w:r w:rsidRPr="00FD4E25">
        <w:rPr>
          <w:rStyle w:val="AERtextitalic"/>
        </w:rPr>
        <w:t>Essential Energy's gamma proposal</w:t>
      </w:r>
      <w:r w:rsidRPr="00FD4E25">
        <w:t xml:space="preserve">, May 2014, p. </w:t>
      </w:r>
      <w:r>
        <w:t>22</w:t>
      </w:r>
      <w:r w:rsidRPr="00FD4E25">
        <w:t xml:space="preserve">; </w:t>
      </w:r>
      <w:r>
        <w:t>JGN</w:t>
      </w:r>
      <w:r w:rsidRPr="00FD4E25">
        <w:t xml:space="preserve">, </w:t>
      </w:r>
      <w:r w:rsidRPr="00FD4E25">
        <w:rPr>
          <w:rStyle w:val="AERtextitalic"/>
        </w:rPr>
        <w:t>Gamma proposal</w:t>
      </w:r>
      <w:r w:rsidRPr="00FD4E25">
        <w:t>, June 2014, p.</w:t>
      </w:r>
      <w:r>
        <w:t xml:space="preserve"> 27</w:t>
      </w:r>
      <w:r w:rsidRPr="00FD4E25">
        <w:t xml:space="preserve">; and TransGrid, </w:t>
      </w:r>
      <w:r w:rsidRPr="00FD4E25">
        <w:rPr>
          <w:rStyle w:val="AERtextitalic"/>
        </w:rPr>
        <w:t>TransGrid's approach to gamma</w:t>
      </w:r>
      <w:r w:rsidRPr="00FD4E25">
        <w:t xml:space="preserve">, May 2014, p. </w:t>
      </w:r>
      <w:r>
        <w:t>30</w:t>
      </w:r>
      <w:r w:rsidRPr="00FD4E25">
        <w:t>.</w:t>
      </w:r>
    </w:p>
  </w:footnote>
  <w:footnote w:id="239">
    <w:p w:rsidR="004C6F08" w:rsidRDefault="004C6F08" w:rsidP="001E32C9">
      <w:pPr>
        <w:pStyle w:val="FootnoteText"/>
      </w:pPr>
      <w:r>
        <w:rPr>
          <w:rStyle w:val="FootnoteReference"/>
        </w:rPr>
        <w:footnoteRef/>
      </w:r>
      <w:r>
        <w:t xml:space="preserve"> </w:t>
      </w:r>
      <w:r>
        <w:tab/>
      </w:r>
      <w:r w:rsidRPr="00B04480">
        <w:t xml:space="preserve">SFG, </w:t>
      </w:r>
      <w:r w:rsidRPr="00B04480">
        <w:rPr>
          <w:rStyle w:val="AERtextitalic"/>
        </w:rPr>
        <w:t xml:space="preserve">Dividend drop-off estimate of theta, Final report, Re: Application by Energex Limited (No 2) [2010] </w:t>
      </w:r>
      <w:proofErr w:type="spellStart"/>
      <w:r w:rsidRPr="00B04480">
        <w:rPr>
          <w:rStyle w:val="AERtextitalic"/>
        </w:rPr>
        <w:t>ACompT</w:t>
      </w:r>
      <w:proofErr w:type="spellEnd"/>
      <w:r w:rsidRPr="00B04480">
        <w:rPr>
          <w:rStyle w:val="AERtextitalic"/>
        </w:rPr>
        <w:t xml:space="preserve"> 7,</w:t>
      </w:r>
      <w:r w:rsidRPr="00B04480">
        <w:t xml:space="preserve"> 21 March 2011</w:t>
      </w:r>
      <w:r>
        <w:t xml:space="preserve">; </w:t>
      </w:r>
      <w:r w:rsidRPr="00B04480">
        <w:t xml:space="preserve">Australian Competition Tribunal, </w:t>
      </w:r>
      <w:r w:rsidRPr="00B04480">
        <w:rPr>
          <w:rStyle w:val="AERtextitalic"/>
        </w:rPr>
        <w:t xml:space="preserve">Application by Energex Limited (Gamma) (No 5) [2011] </w:t>
      </w:r>
      <w:proofErr w:type="spellStart"/>
      <w:r w:rsidRPr="00B04480">
        <w:rPr>
          <w:rStyle w:val="AERtextitalic"/>
        </w:rPr>
        <w:t>ACompT</w:t>
      </w:r>
      <w:proofErr w:type="spellEnd"/>
      <w:r w:rsidRPr="00B04480">
        <w:rPr>
          <w:rStyle w:val="AERtextitalic"/>
        </w:rPr>
        <w:t xml:space="preserve"> 9</w:t>
      </w:r>
      <w:r w:rsidRPr="00B04480">
        <w:t>, May 2011</w:t>
      </w:r>
      <w:r>
        <w:t xml:space="preserve">, </w:t>
      </w:r>
      <w:proofErr w:type="spellStart"/>
      <w:r>
        <w:t>para</w:t>
      </w:r>
      <w:proofErr w:type="spellEnd"/>
      <w:r>
        <w:t xml:space="preserve">. 38; </w:t>
      </w:r>
      <w:r w:rsidRPr="00B04480">
        <w:t xml:space="preserve">SFG, </w:t>
      </w:r>
      <w:r w:rsidRPr="00B04480">
        <w:rPr>
          <w:rStyle w:val="AERtextitalic"/>
        </w:rPr>
        <w:t>Updated dividend drop-off estimate of theta: Report for the Energy Networks Association</w:t>
      </w:r>
      <w:r w:rsidRPr="00B04480">
        <w:t>, 7 June 2013.</w:t>
      </w:r>
    </w:p>
  </w:footnote>
  <w:footnote w:id="240">
    <w:p w:rsidR="004C6F08" w:rsidRDefault="004C6F08" w:rsidP="001E32C9">
      <w:pPr>
        <w:pStyle w:val="FootnoteText"/>
      </w:pPr>
      <w:r>
        <w:rPr>
          <w:rStyle w:val="FootnoteReference"/>
        </w:rPr>
        <w:footnoteRef/>
      </w:r>
      <w:r>
        <w:t xml:space="preserve"> </w:t>
      </w:r>
      <w:r>
        <w:tab/>
      </w:r>
      <w:r w:rsidRPr="006C192F">
        <w:t xml:space="preserve">D. </w:t>
      </w:r>
      <w:proofErr w:type="spellStart"/>
      <w:r w:rsidRPr="006C192F">
        <w:t>Cannavan</w:t>
      </w:r>
      <w:proofErr w:type="spellEnd"/>
      <w:r w:rsidRPr="006C192F">
        <w:t xml:space="preserve">, F. Finn, S. </w:t>
      </w:r>
      <w:proofErr w:type="spellStart"/>
      <w:r w:rsidRPr="006C192F">
        <w:t>Gray</w:t>
      </w:r>
      <w:proofErr w:type="spellEnd"/>
      <w:r w:rsidRPr="006C192F">
        <w:t xml:space="preserve">, 'The value of dividend imputation tax credits in Australia', </w:t>
      </w:r>
      <w:r w:rsidRPr="006C192F">
        <w:rPr>
          <w:rStyle w:val="AERtextitalic"/>
        </w:rPr>
        <w:t>Journal of financial economics</w:t>
      </w:r>
      <w:r>
        <w:t>, vol. 73, 2004, p. 175.</w:t>
      </w:r>
    </w:p>
  </w:footnote>
  <w:footnote w:id="241">
    <w:p w:rsidR="004C6F08" w:rsidRDefault="004C6F08" w:rsidP="001E32C9">
      <w:pPr>
        <w:pStyle w:val="FootnoteText"/>
      </w:pPr>
      <w:r>
        <w:rPr>
          <w:rStyle w:val="FootnoteReference"/>
        </w:rPr>
        <w:footnoteRef/>
      </w:r>
      <w:r>
        <w:t xml:space="preserve"> </w:t>
      </w:r>
      <w:r>
        <w:tab/>
      </w:r>
      <w:r w:rsidRPr="006C192F">
        <w:t xml:space="preserve">K. </w:t>
      </w:r>
      <w:proofErr w:type="spellStart"/>
      <w:r w:rsidRPr="006C192F">
        <w:t>Siau</w:t>
      </w:r>
      <w:proofErr w:type="spellEnd"/>
      <w:r w:rsidRPr="006C192F">
        <w:t xml:space="preserve">, S. Sault and G. Warren, 'Are imputation credits capitalised into stock prices', </w:t>
      </w:r>
      <w:r w:rsidRPr="006C192F">
        <w:rPr>
          <w:rStyle w:val="AERtextitalic"/>
          <w:i w:val="0"/>
        </w:rPr>
        <w:t>ANU working paper</w:t>
      </w:r>
      <w:r w:rsidRPr="006C192F">
        <w:t>, 18 June 2013, p. 2 and pp. 8–9.</w:t>
      </w:r>
    </w:p>
  </w:footnote>
  <w:footnote w:id="242">
    <w:p w:rsidR="004C6F08" w:rsidRDefault="004C6F08" w:rsidP="001E32C9">
      <w:pPr>
        <w:pStyle w:val="FootnoteText"/>
      </w:pPr>
      <w:r>
        <w:rPr>
          <w:rStyle w:val="FootnoteReference"/>
        </w:rPr>
        <w:footnoteRef/>
      </w:r>
      <w:r>
        <w:t xml:space="preserve"> </w:t>
      </w:r>
      <w:r>
        <w:tab/>
      </w:r>
      <w:r w:rsidRPr="00BE4458">
        <w:t xml:space="preserve">M. McKenzie and G. Partington, </w:t>
      </w:r>
      <w:r w:rsidRPr="00BE4458">
        <w:rPr>
          <w:rStyle w:val="AERtextitalic"/>
        </w:rPr>
        <w:t xml:space="preserve">Report to the Queensland Resources Council: Review of </w:t>
      </w:r>
      <w:proofErr w:type="spellStart"/>
      <w:r w:rsidRPr="00BE4458">
        <w:rPr>
          <w:rStyle w:val="AERtextitalic"/>
        </w:rPr>
        <w:t>Aurizon</w:t>
      </w:r>
      <w:proofErr w:type="spellEnd"/>
      <w:r w:rsidRPr="00BE4458">
        <w:rPr>
          <w:rStyle w:val="AERtextitalic"/>
        </w:rPr>
        <w:t xml:space="preserve"> Network’s draft access undertaking</w:t>
      </w:r>
      <w:r>
        <w:t>, 5 October 2013,</w:t>
      </w:r>
      <w:r w:rsidRPr="00BE4458">
        <w:t xml:space="preserve"> </w:t>
      </w:r>
      <w:r>
        <w:t>pp. 33</w:t>
      </w:r>
      <w:r w:rsidRPr="00BE4458">
        <w:t>–</w:t>
      </w:r>
      <w:r>
        <w:t>34.</w:t>
      </w:r>
    </w:p>
  </w:footnote>
  <w:footnote w:id="243">
    <w:p w:rsidR="004C6F08" w:rsidRDefault="004C6F08" w:rsidP="001E32C9">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44">
    <w:p w:rsidR="004C6F08" w:rsidRDefault="004C6F08" w:rsidP="001E32C9">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45">
    <w:p w:rsidR="004C6F08" w:rsidRDefault="004C6F08"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46">
    <w:p w:rsidR="004C6F08" w:rsidRDefault="004C6F08" w:rsidP="001E32C9">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w:t>
      </w:r>
      <w:proofErr w:type="spellStart"/>
      <w:r>
        <w:t>para</w:t>
      </w:r>
      <w:proofErr w:type="spellEnd"/>
      <w:r>
        <w:t>. 920.</w:t>
      </w:r>
    </w:p>
  </w:footnote>
  <w:footnote w:id="247">
    <w:p w:rsidR="004C6F08" w:rsidRDefault="004C6F08"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48">
    <w:p w:rsidR="004C6F08" w:rsidRDefault="004C6F08" w:rsidP="001E32C9">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49">
    <w:p w:rsidR="004C6F08" w:rsidRDefault="004C6F08"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3.</w:t>
      </w:r>
    </w:p>
  </w:footnote>
  <w:footnote w:id="250">
    <w:p w:rsidR="004C6F08" w:rsidRDefault="004C6F08" w:rsidP="001E32C9">
      <w:pPr>
        <w:pStyle w:val="FootnoteText"/>
      </w:pPr>
      <w:r>
        <w:rPr>
          <w:rStyle w:val="FootnoteReference"/>
        </w:rPr>
        <w:footnoteRef/>
      </w:r>
      <w:r>
        <w:t xml:space="preserve"> </w:t>
      </w:r>
      <w:r>
        <w:tab/>
      </w:r>
      <w:r w:rsidRPr="002B01D6">
        <w:t xml:space="preserve">Lally, </w:t>
      </w:r>
      <w:r w:rsidRPr="00A70E2C">
        <w:rPr>
          <w:rStyle w:val="AERtextitalic"/>
        </w:rPr>
        <w:t>The estimation of gamma</w:t>
      </w:r>
      <w:r>
        <w:t>, November 2013, pp. 3 and 4.</w:t>
      </w:r>
    </w:p>
  </w:footnote>
  <w:footnote w:id="251">
    <w:p w:rsidR="004C6F08" w:rsidRDefault="004C6F08"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14.</w:t>
      </w:r>
    </w:p>
  </w:footnote>
  <w:footnote w:id="252">
    <w:p w:rsidR="004C6F08" w:rsidRDefault="004C6F08"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38.</w:t>
      </w:r>
    </w:p>
  </w:footnote>
  <w:footnote w:id="253">
    <w:p w:rsidR="004C6F08" w:rsidRDefault="004C6F08"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pp. 38–47.</w:t>
      </w:r>
    </w:p>
  </w:footnote>
  <w:footnote w:id="254">
    <w:p w:rsidR="004C6F08" w:rsidRDefault="004C6F08"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pp. 46–47.</w:t>
      </w:r>
    </w:p>
  </w:footnote>
  <w:footnote w:id="255">
    <w:p w:rsidR="004C6F08" w:rsidRDefault="004C6F08"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256">
    <w:p w:rsidR="004C6F08" w:rsidRDefault="004C6F08"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257">
    <w:p w:rsidR="004C6F08" w:rsidRDefault="004C6F08"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258">
    <w:p w:rsidR="004C6F08" w:rsidRDefault="004C6F08" w:rsidP="001E32C9">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409C279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409C2792"/>
    <w:numStyleLink w:val="AERHeadings"/>
  </w:abstractNum>
  <w:abstractNum w:abstractNumId="6">
    <w:nsid w:val="1972601F"/>
    <w:multiLevelType w:val="multilevel"/>
    <w:tmpl w:val="409C279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409C2792"/>
    <w:numStyleLink w:val="AERHeadings"/>
  </w:abstractNum>
  <w:abstractNum w:abstractNumId="11">
    <w:nsid w:val="295C7239"/>
    <w:multiLevelType w:val="multilevel"/>
    <w:tmpl w:val="409C2792"/>
    <w:numStyleLink w:val="AERHeadings"/>
  </w:abstractNum>
  <w:abstractNum w:abstractNumId="12">
    <w:nsid w:val="29793349"/>
    <w:multiLevelType w:val="hybridMultilevel"/>
    <w:tmpl w:val="606EBE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C2D6B9E"/>
    <w:multiLevelType w:val="multilevel"/>
    <w:tmpl w:val="409C2792"/>
    <w:numStyleLink w:val="AERHeadings"/>
  </w:abstractNum>
  <w:abstractNum w:abstractNumId="14">
    <w:nsid w:val="2DB12A3A"/>
    <w:multiLevelType w:val="multilevel"/>
    <w:tmpl w:val="409C2792"/>
    <w:numStyleLink w:val="AERHeadings"/>
  </w:abstractNum>
  <w:abstractNum w:abstractNumId="15">
    <w:nsid w:val="2FB612CC"/>
    <w:multiLevelType w:val="multilevel"/>
    <w:tmpl w:val="409C279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409C279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409C279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32E499D"/>
    <w:multiLevelType w:val="hybridMultilevel"/>
    <w:tmpl w:val="9AE2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C54255"/>
    <w:multiLevelType w:val="hybridMultilevel"/>
    <w:tmpl w:val="F3AA6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D386EA7"/>
    <w:multiLevelType w:val="multilevel"/>
    <w:tmpl w:val="409C2792"/>
    <w:numStyleLink w:val="AERHeadings"/>
  </w:abstractNum>
  <w:abstractNum w:abstractNumId="30">
    <w:nsid w:val="5DCC1B18"/>
    <w:multiLevelType w:val="multilevel"/>
    <w:tmpl w:val="39D4CB02"/>
    <w:numStyleLink w:val="AERnumberedlist"/>
  </w:abstractNum>
  <w:abstractNum w:abstractNumId="31">
    <w:nsid w:val="65D7302C"/>
    <w:multiLevelType w:val="multilevel"/>
    <w:tmpl w:val="80CCAE7C"/>
    <w:lvl w:ilvl="0">
      <w:start w:val="1"/>
      <w:numFmt w:val="none"/>
      <w:pStyle w:val="UnnumberedHeading"/>
      <w:lvlText w:val="%1"/>
      <w:lvlJc w:val="left"/>
      <w:pPr>
        <w:tabs>
          <w:tab w:val="num" w:pos="0"/>
        </w:tabs>
        <w:ind w:left="0" w:firstLine="0"/>
      </w:pPr>
      <w:rPr>
        <w:rFonts w:hint="default"/>
      </w:rPr>
    </w:lvl>
    <w:lvl w:ilvl="1">
      <w:start w:val="4"/>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68247CF7"/>
    <w:multiLevelType w:val="multilevel"/>
    <w:tmpl w:val="409C2792"/>
    <w:numStyleLink w:val="AERHeadings"/>
  </w:abstractNum>
  <w:abstractNum w:abstractNumId="33">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595980"/>
    <w:multiLevelType w:val="multilevel"/>
    <w:tmpl w:val="409C2792"/>
    <w:numStyleLink w:val="AERHeadings"/>
  </w:abstractNum>
  <w:abstractNum w:abstractNumId="35">
    <w:nsid w:val="74F81DDF"/>
    <w:multiLevelType w:val="multilevel"/>
    <w:tmpl w:val="409C2792"/>
    <w:numStyleLink w:val="AERHeadings"/>
  </w:abstractNum>
  <w:abstractNum w:abstractNumId="36">
    <w:nsid w:val="787F66A4"/>
    <w:multiLevelType w:val="multilevel"/>
    <w:tmpl w:val="409C2792"/>
    <w:numStyleLink w:val="AERHeadings"/>
  </w:abstractNum>
  <w:abstractNum w:abstractNumId="37">
    <w:nsid w:val="7AAC6DD7"/>
    <w:multiLevelType w:val="multilevel"/>
    <w:tmpl w:val="409C2792"/>
    <w:numStyleLink w:val="AERHeadings"/>
  </w:abstractNum>
  <w:abstractNum w:abstractNumId="3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E97BF8"/>
    <w:multiLevelType w:val="multilevel"/>
    <w:tmpl w:val="409C2792"/>
    <w:numStyleLink w:val="AERHeadings"/>
  </w:abstractNum>
  <w:abstractNum w:abstractNumId="40">
    <w:nsid w:val="7CDA0F5F"/>
    <w:multiLevelType w:val="multilevel"/>
    <w:tmpl w:val="409C2792"/>
    <w:numStyleLink w:val="AERHeadings"/>
  </w:abstractNum>
  <w:abstractNum w:abstractNumId="41">
    <w:nsid w:val="7DF878A1"/>
    <w:multiLevelType w:val="hybridMultilevel"/>
    <w:tmpl w:val="2C007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3E5ED7"/>
    <w:multiLevelType w:val="hybridMultilevel"/>
    <w:tmpl w:val="6D2E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8"/>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5"/>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0"/>
  </w:num>
  <w:num w:numId="28">
    <w:abstractNumId w:val="18"/>
  </w:num>
  <w:num w:numId="29">
    <w:abstractNumId w:val="10"/>
  </w:num>
  <w:num w:numId="30">
    <w:abstractNumId w:val="5"/>
  </w:num>
  <w:num w:numId="31">
    <w:abstractNumId w:val="0"/>
  </w:num>
  <w:num w:numId="32">
    <w:abstractNumId w:val="6"/>
  </w:num>
  <w:num w:numId="33">
    <w:abstractNumId w:val="36"/>
  </w:num>
  <w:num w:numId="34">
    <w:abstractNumId w:val="32"/>
  </w:num>
  <w:num w:numId="35">
    <w:abstractNumId w:val="34"/>
  </w:num>
  <w:num w:numId="36">
    <w:abstractNumId w:val="39"/>
  </w:num>
  <w:num w:numId="37">
    <w:abstractNumId w:val="29"/>
  </w:num>
  <w:num w:numId="38">
    <w:abstractNumId w:val="13"/>
  </w:num>
  <w:num w:numId="39">
    <w:abstractNumId w:val="14"/>
  </w:num>
  <w:num w:numId="40">
    <w:abstractNumId w:val="21"/>
  </w:num>
  <w:num w:numId="41">
    <w:abstractNumId w:val="26"/>
  </w:num>
  <w:num w:numId="42">
    <w:abstractNumId w:val="4"/>
  </w:num>
  <w:num w:numId="43">
    <w:abstractNumId w:val="37"/>
  </w:num>
  <w:num w:numId="44">
    <w:abstractNumId w:val="24"/>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1">
      <w:lvl w:ilvl="1">
        <w:start w:val="1"/>
        <w:numFmt w:val="decimal"/>
        <w:pStyle w:val="AERnumberedlistfirststyle"/>
        <w:lvlText w:val="%2."/>
        <w:lvlJc w:val="left"/>
        <w:pPr>
          <w:tabs>
            <w:tab w:val="num" w:pos="357"/>
          </w:tabs>
          <w:ind w:left="357" w:hanging="35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27"/>
  </w:num>
  <w:num w:numId="53">
    <w:abstractNumId w:val="42"/>
  </w:num>
  <w:num w:numId="54">
    <w:abstractNumId w:val="12"/>
  </w:num>
  <w:num w:numId="55">
    <w:abstractNumId w:val="0"/>
  </w:num>
  <w:num w:numId="56">
    <w:abstractNumId w:val="28"/>
  </w:num>
  <w:num w:numId="57">
    <w:abstractNumId w:val="15"/>
  </w:num>
  <w:num w:numId="58">
    <w:abstractNumId w:val="1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9">
    <w:abstractNumId w:val="31"/>
  </w:num>
  <w:num w:numId="60">
    <w:abstractNumId w:val="3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documentProtection w:formatting="1" w:enforcement="1" w:cryptProviderType="rsaFull" w:cryptAlgorithmClass="hash" w:cryptAlgorithmType="typeAny" w:cryptAlgorithmSid="4" w:cryptSpinCount="100000" w:hash="HMn/BrCbu3Rn9whJQCOGcqRbGPM=" w:salt="a5SWsSmYQ1Y06EO6wy+Vlw=="/>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32\D14 153882  TransGrid reset 2014-19 - Draft decision - Value of imputation credits - consolidated attachment and appendix - working version(5).DOCX"/>
  </w:docVars>
  <w:rsids>
    <w:rsidRoot w:val="000C052F"/>
    <w:rsid w:val="000005EA"/>
    <w:rsid w:val="0000114D"/>
    <w:rsid w:val="000020D3"/>
    <w:rsid w:val="00003016"/>
    <w:rsid w:val="00004E46"/>
    <w:rsid w:val="000064D2"/>
    <w:rsid w:val="0000720E"/>
    <w:rsid w:val="00010487"/>
    <w:rsid w:val="00011129"/>
    <w:rsid w:val="00012326"/>
    <w:rsid w:val="00012EFD"/>
    <w:rsid w:val="00013B91"/>
    <w:rsid w:val="00014E8E"/>
    <w:rsid w:val="000151BE"/>
    <w:rsid w:val="00015D08"/>
    <w:rsid w:val="00016398"/>
    <w:rsid w:val="0002000D"/>
    <w:rsid w:val="0002003A"/>
    <w:rsid w:val="000201F4"/>
    <w:rsid w:val="00020E4E"/>
    <w:rsid w:val="00022606"/>
    <w:rsid w:val="00023E60"/>
    <w:rsid w:val="00024280"/>
    <w:rsid w:val="00026B9F"/>
    <w:rsid w:val="00026C77"/>
    <w:rsid w:val="00026E7E"/>
    <w:rsid w:val="00027132"/>
    <w:rsid w:val="00027E85"/>
    <w:rsid w:val="000301D3"/>
    <w:rsid w:val="00031C9B"/>
    <w:rsid w:val="00032DE9"/>
    <w:rsid w:val="00033764"/>
    <w:rsid w:val="0003484A"/>
    <w:rsid w:val="00034AC7"/>
    <w:rsid w:val="00035BE9"/>
    <w:rsid w:val="000360F1"/>
    <w:rsid w:val="0003619E"/>
    <w:rsid w:val="0003796F"/>
    <w:rsid w:val="00040599"/>
    <w:rsid w:val="00040749"/>
    <w:rsid w:val="00042F5C"/>
    <w:rsid w:val="000445DE"/>
    <w:rsid w:val="00046273"/>
    <w:rsid w:val="00052838"/>
    <w:rsid w:val="00054C90"/>
    <w:rsid w:val="00055552"/>
    <w:rsid w:val="000605C3"/>
    <w:rsid w:val="000607CF"/>
    <w:rsid w:val="000618A4"/>
    <w:rsid w:val="00062799"/>
    <w:rsid w:val="00064A24"/>
    <w:rsid w:val="0006519C"/>
    <w:rsid w:val="00065E24"/>
    <w:rsid w:val="00071F21"/>
    <w:rsid w:val="00071FCB"/>
    <w:rsid w:val="000730D6"/>
    <w:rsid w:val="000805B1"/>
    <w:rsid w:val="000822C3"/>
    <w:rsid w:val="00082C99"/>
    <w:rsid w:val="0008324B"/>
    <w:rsid w:val="000838A1"/>
    <w:rsid w:val="00085B82"/>
    <w:rsid w:val="00087ADE"/>
    <w:rsid w:val="00087DDB"/>
    <w:rsid w:val="00090E48"/>
    <w:rsid w:val="00093CD0"/>
    <w:rsid w:val="000944E9"/>
    <w:rsid w:val="00096ECC"/>
    <w:rsid w:val="00097146"/>
    <w:rsid w:val="000A1CC2"/>
    <w:rsid w:val="000A3A13"/>
    <w:rsid w:val="000A5342"/>
    <w:rsid w:val="000A5C1A"/>
    <w:rsid w:val="000B0DA3"/>
    <w:rsid w:val="000B1384"/>
    <w:rsid w:val="000B15CA"/>
    <w:rsid w:val="000B1A4F"/>
    <w:rsid w:val="000B306E"/>
    <w:rsid w:val="000B3359"/>
    <w:rsid w:val="000B5CCB"/>
    <w:rsid w:val="000B693D"/>
    <w:rsid w:val="000B7792"/>
    <w:rsid w:val="000C052F"/>
    <w:rsid w:val="000C0A77"/>
    <w:rsid w:val="000C3430"/>
    <w:rsid w:val="000C4A0A"/>
    <w:rsid w:val="000C4BB9"/>
    <w:rsid w:val="000C6488"/>
    <w:rsid w:val="000D03C2"/>
    <w:rsid w:val="000D04B1"/>
    <w:rsid w:val="000D077B"/>
    <w:rsid w:val="000D275B"/>
    <w:rsid w:val="000D3D7B"/>
    <w:rsid w:val="000D401F"/>
    <w:rsid w:val="000D553A"/>
    <w:rsid w:val="000D5E27"/>
    <w:rsid w:val="000D73DD"/>
    <w:rsid w:val="000E148D"/>
    <w:rsid w:val="000E1A25"/>
    <w:rsid w:val="000E28CA"/>
    <w:rsid w:val="000E3E91"/>
    <w:rsid w:val="000E5994"/>
    <w:rsid w:val="000F0637"/>
    <w:rsid w:val="000F1CA1"/>
    <w:rsid w:val="000F3A6A"/>
    <w:rsid w:val="000F5A04"/>
    <w:rsid w:val="000F64C9"/>
    <w:rsid w:val="000F652C"/>
    <w:rsid w:val="000F6FB8"/>
    <w:rsid w:val="00100609"/>
    <w:rsid w:val="00102A8F"/>
    <w:rsid w:val="001033B3"/>
    <w:rsid w:val="0010375B"/>
    <w:rsid w:val="00103D84"/>
    <w:rsid w:val="00104179"/>
    <w:rsid w:val="00105636"/>
    <w:rsid w:val="001068F9"/>
    <w:rsid w:val="00110048"/>
    <w:rsid w:val="00111439"/>
    <w:rsid w:val="00111F57"/>
    <w:rsid w:val="00114231"/>
    <w:rsid w:val="0011514B"/>
    <w:rsid w:val="00117827"/>
    <w:rsid w:val="00117AF8"/>
    <w:rsid w:val="001200FC"/>
    <w:rsid w:val="00122221"/>
    <w:rsid w:val="001234FB"/>
    <w:rsid w:val="00124123"/>
    <w:rsid w:val="001246D2"/>
    <w:rsid w:val="001264D7"/>
    <w:rsid w:val="00127353"/>
    <w:rsid w:val="0013022D"/>
    <w:rsid w:val="00130A32"/>
    <w:rsid w:val="00130BF3"/>
    <w:rsid w:val="00132F9A"/>
    <w:rsid w:val="00132F9E"/>
    <w:rsid w:val="00134780"/>
    <w:rsid w:val="001373ED"/>
    <w:rsid w:val="001400FB"/>
    <w:rsid w:val="00142828"/>
    <w:rsid w:val="00142E9F"/>
    <w:rsid w:val="001502AB"/>
    <w:rsid w:val="00150493"/>
    <w:rsid w:val="0015072F"/>
    <w:rsid w:val="00152B69"/>
    <w:rsid w:val="00152C9A"/>
    <w:rsid w:val="001533FD"/>
    <w:rsid w:val="001537B6"/>
    <w:rsid w:val="001543D2"/>
    <w:rsid w:val="00154F31"/>
    <w:rsid w:val="001552F3"/>
    <w:rsid w:val="00156153"/>
    <w:rsid w:val="00157550"/>
    <w:rsid w:val="00160199"/>
    <w:rsid w:val="00160A08"/>
    <w:rsid w:val="001618EC"/>
    <w:rsid w:val="00162A3D"/>
    <w:rsid w:val="0016352F"/>
    <w:rsid w:val="00163B76"/>
    <w:rsid w:val="00165322"/>
    <w:rsid w:val="00167E93"/>
    <w:rsid w:val="001702C9"/>
    <w:rsid w:val="0017092E"/>
    <w:rsid w:val="00172F90"/>
    <w:rsid w:val="00173314"/>
    <w:rsid w:val="00174026"/>
    <w:rsid w:val="001747E0"/>
    <w:rsid w:val="00174821"/>
    <w:rsid w:val="001752ED"/>
    <w:rsid w:val="00175D59"/>
    <w:rsid w:val="00177B62"/>
    <w:rsid w:val="001827E1"/>
    <w:rsid w:val="0018325D"/>
    <w:rsid w:val="0018382C"/>
    <w:rsid w:val="001856EE"/>
    <w:rsid w:val="0018747A"/>
    <w:rsid w:val="0019364A"/>
    <w:rsid w:val="00194C3C"/>
    <w:rsid w:val="00194D4D"/>
    <w:rsid w:val="00195394"/>
    <w:rsid w:val="00196E27"/>
    <w:rsid w:val="00197C44"/>
    <w:rsid w:val="001A0927"/>
    <w:rsid w:val="001A2B2D"/>
    <w:rsid w:val="001A2BC8"/>
    <w:rsid w:val="001A69FB"/>
    <w:rsid w:val="001A6AF1"/>
    <w:rsid w:val="001A702C"/>
    <w:rsid w:val="001B0201"/>
    <w:rsid w:val="001B086F"/>
    <w:rsid w:val="001B0D97"/>
    <w:rsid w:val="001B27AD"/>
    <w:rsid w:val="001B2B55"/>
    <w:rsid w:val="001B44AD"/>
    <w:rsid w:val="001B5FE0"/>
    <w:rsid w:val="001B68BB"/>
    <w:rsid w:val="001C12E5"/>
    <w:rsid w:val="001C145F"/>
    <w:rsid w:val="001C1DA1"/>
    <w:rsid w:val="001C1F87"/>
    <w:rsid w:val="001C431A"/>
    <w:rsid w:val="001C6372"/>
    <w:rsid w:val="001C7927"/>
    <w:rsid w:val="001D2CA9"/>
    <w:rsid w:val="001D42AE"/>
    <w:rsid w:val="001D446A"/>
    <w:rsid w:val="001D4597"/>
    <w:rsid w:val="001D6CCC"/>
    <w:rsid w:val="001D7385"/>
    <w:rsid w:val="001D7C27"/>
    <w:rsid w:val="001E1762"/>
    <w:rsid w:val="001E290A"/>
    <w:rsid w:val="001E2F25"/>
    <w:rsid w:val="001E32C9"/>
    <w:rsid w:val="001E4EF7"/>
    <w:rsid w:val="001E5B06"/>
    <w:rsid w:val="001E5CFB"/>
    <w:rsid w:val="001E634E"/>
    <w:rsid w:val="001E78D0"/>
    <w:rsid w:val="001E7C34"/>
    <w:rsid w:val="001F192C"/>
    <w:rsid w:val="001F20B2"/>
    <w:rsid w:val="001F2B33"/>
    <w:rsid w:val="001F2EB4"/>
    <w:rsid w:val="001F3F83"/>
    <w:rsid w:val="001F50A6"/>
    <w:rsid w:val="001F533B"/>
    <w:rsid w:val="001F5DE8"/>
    <w:rsid w:val="001F65CB"/>
    <w:rsid w:val="001F713F"/>
    <w:rsid w:val="001F74DC"/>
    <w:rsid w:val="00201EEC"/>
    <w:rsid w:val="002025E9"/>
    <w:rsid w:val="00204678"/>
    <w:rsid w:val="00204813"/>
    <w:rsid w:val="0020711E"/>
    <w:rsid w:val="0021016D"/>
    <w:rsid w:val="00210880"/>
    <w:rsid w:val="00210C31"/>
    <w:rsid w:val="00212E2A"/>
    <w:rsid w:val="00214ECA"/>
    <w:rsid w:val="002200DD"/>
    <w:rsid w:val="002208DC"/>
    <w:rsid w:val="00222B8F"/>
    <w:rsid w:val="002257B9"/>
    <w:rsid w:val="00225920"/>
    <w:rsid w:val="00230677"/>
    <w:rsid w:val="0023137D"/>
    <w:rsid w:val="002336B2"/>
    <w:rsid w:val="0023441F"/>
    <w:rsid w:val="0023458A"/>
    <w:rsid w:val="002356C8"/>
    <w:rsid w:val="002372CE"/>
    <w:rsid w:val="00240B2F"/>
    <w:rsid w:val="00240C44"/>
    <w:rsid w:val="00241F32"/>
    <w:rsid w:val="00242A7F"/>
    <w:rsid w:val="00246D6F"/>
    <w:rsid w:val="00247B89"/>
    <w:rsid w:val="002500C3"/>
    <w:rsid w:val="00251455"/>
    <w:rsid w:val="00251717"/>
    <w:rsid w:val="00255370"/>
    <w:rsid w:val="00255F1A"/>
    <w:rsid w:val="0026022D"/>
    <w:rsid w:val="002619A6"/>
    <w:rsid w:val="00262966"/>
    <w:rsid w:val="00266710"/>
    <w:rsid w:val="00271051"/>
    <w:rsid w:val="00273AA4"/>
    <w:rsid w:val="00274370"/>
    <w:rsid w:val="00276E2B"/>
    <w:rsid w:val="0027734B"/>
    <w:rsid w:val="00277807"/>
    <w:rsid w:val="0028010B"/>
    <w:rsid w:val="002805B8"/>
    <w:rsid w:val="00280954"/>
    <w:rsid w:val="00283C39"/>
    <w:rsid w:val="00285B6C"/>
    <w:rsid w:val="00291C5F"/>
    <w:rsid w:val="00292D0B"/>
    <w:rsid w:val="00293592"/>
    <w:rsid w:val="002938CE"/>
    <w:rsid w:val="00293C59"/>
    <w:rsid w:val="0029614B"/>
    <w:rsid w:val="002A05D8"/>
    <w:rsid w:val="002A2066"/>
    <w:rsid w:val="002A25EE"/>
    <w:rsid w:val="002A2DF1"/>
    <w:rsid w:val="002A339B"/>
    <w:rsid w:val="002A3409"/>
    <w:rsid w:val="002A3A61"/>
    <w:rsid w:val="002A71E2"/>
    <w:rsid w:val="002B54D1"/>
    <w:rsid w:val="002B6640"/>
    <w:rsid w:val="002B6BD6"/>
    <w:rsid w:val="002B729E"/>
    <w:rsid w:val="002C3705"/>
    <w:rsid w:val="002C4A08"/>
    <w:rsid w:val="002C6D10"/>
    <w:rsid w:val="002C7033"/>
    <w:rsid w:val="002C7640"/>
    <w:rsid w:val="002C7831"/>
    <w:rsid w:val="002D06FF"/>
    <w:rsid w:val="002D0921"/>
    <w:rsid w:val="002D214B"/>
    <w:rsid w:val="002D2CC5"/>
    <w:rsid w:val="002D4DC3"/>
    <w:rsid w:val="002D5583"/>
    <w:rsid w:val="002D61AC"/>
    <w:rsid w:val="002D67AF"/>
    <w:rsid w:val="002D7A10"/>
    <w:rsid w:val="002D7AC3"/>
    <w:rsid w:val="002E1A76"/>
    <w:rsid w:val="002E3229"/>
    <w:rsid w:val="002E4230"/>
    <w:rsid w:val="002E4720"/>
    <w:rsid w:val="002E48E7"/>
    <w:rsid w:val="002E69E4"/>
    <w:rsid w:val="002E7EA0"/>
    <w:rsid w:val="002F0084"/>
    <w:rsid w:val="002F03F5"/>
    <w:rsid w:val="002F15B7"/>
    <w:rsid w:val="002F1829"/>
    <w:rsid w:val="002F19A6"/>
    <w:rsid w:val="002F37B1"/>
    <w:rsid w:val="002F66E3"/>
    <w:rsid w:val="002F7546"/>
    <w:rsid w:val="00302B4E"/>
    <w:rsid w:val="00303452"/>
    <w:rsid w:val="00305957"/>
    <w:rsid w:val="00305E37"/>
    <w:rsid w:val="00307CD1"/>
    <w:rsid w:val="00310852"/>
    <w:rsid w:val="00310D8E"/>
    <w:rsid w:val="00311C44"/>
    <w:rsid w:val="00311E9C"/>
    <w:rsid w:val="003121E3"/>
    <w:rsid w:val="003142EA"/>
    <w:rsid w:val="00314F41"/>
    <w:rsid w:val="00316E6F"/>
    <w:rsid w:val="0032077B"/>
    <w:rsid w:val="0032091A"/>
    <w:rsid w:val="0032099C"/>
    <w:rsid w:val="00320D46"/>
    <w:rsid w:val="0032294F"/>
    <w:rsid w:val="00326E06"/>
    <w:rsid w:val="003278A0"/>
    <w:rsid w:val="0033045F"/>
    <w:rsid w:val="003324F7"/>
    <w:rsid w:val="0033289B"/>
    <w:rsid w:val="00334D92"/>
    <w:rsid w:val="00334F88"/>
    <w:rsid w:val="00335579"/>
    <w:rsid w:val="00335860"/>
    <w:rsid w:val="0033660D"/>
    <w:rsid w:val="00341AD9"/>
    <w:rsid w:val="00342C46"/>
    <w:rsid w:val="003439C8"/>
    <w:rsid w:val="00343B68"/>
    <w:rsid w:val="003458B2"/>
    <w:rsid w:val="00345944"/>
    <w:rsid w:val="00346ACD"/>
    <w:rsid w:val="00352762"/>
    <w:rsid w:val="003548AA"/>
    <w:rsid w:val="00355F7C"/>
    <w:rsid w:val="00356D19"/>
    <w:rsid w:val="00357313"/>
    <w:rsid w:val="003603B0"/>
    <w:rsid w:val="0036291A"/>
    <w:rsid w:val="003652A1"/>
    <w:rsid w:val="00366F2C"/>
    <w:rsid w:val="003707DB"/>
    <w:rsid w:val="003718D4"/>
    <w:rsid w:val="00373E0B"/>
    <w:rsid w:val="00374D68"/>
    <w:rsid w:val="00375121"/>
    <w:rsid w:val="00375AEC"/>
    <w:rsid w:val="00375DC1"/>
    <w:rsid w:val="00376236"/>
    <w:rsid w:val="0037652C"/>
    <w:rsid w:val="00377EDA"/>
    <w:rsid w:val="003800E4"/>
    <w:rsid w:val="00380642"/>
    <w:rsid w:val="00380A06"/>
    <w:rsid w:val="00380FF5"/>
    <w:rsid w:val="00381FC2"/>
    <w:rsid w:val="00382B8E"/>
    <w:rsid w:val="00383E5E"/>
    <w:rsid w:val="00383EFE"/>
    <w:rsid w:val="00384D45"/>
    <w:rsid w:val="003854B2"/>
    <w:rsid w:val="003878E0"/>
    <w:rsid w:val="00387D4D"/>
    <w:rsid w:val="003902FC"/>
    <w:rsid w:val="0039170D"/>
    <w:rsid w:val="00392D4B"/>
    <w:rsid w:val="00393068"/>
    <w:rsid w:val="00394469"/>
    <w:rsid w:val="00394E70"/>
    <w:rsid w:val="00397BB3"/>
    <w:rsid w:val="003A16F4"/>
    <w:rsid w:val="003A17C6"/>
    <w:rsid w:val="003A27DF"/>
    <w:rsid w:val="003A2E5B"/>
    <w:rsid w:val="003A304F"/>
    <w:rsid w:val="003A3342"/>
    <w:rsid w:val="003A5204"/>
    <w:rsid w:val="003A5A65"/>
    <w:rsid w:val="003A6174"/>
    <w:rsid w:val="003B094F"/>
    <w:rsid w:val="003B1CA4"/>
    <w:rsid w:val="003B1D33"/>
    <w:rsid w:val="003B226B"/>
    <w:rsid w:val="003B29E6"/>
    <w:rsid w:val="003B352D"/>
    <w:rsid w:val="003B3A82"/>
    <w:rsid w:val="003B3BCC"/>
    <w:rsid w:val="003B3EE7"/>
    <w:rsid w:val="003B5E19"/>
    <w:rsid w:val="003B71BD"/>
    <w:rsid w:val="003B7FE3"/>
    <w:rsid w:val="003C2883"/>
    <w:rsid w:val="003C38F6"/>
    <w:rsid w:val="003C3FAA"/>
    <w:rsid w:val="003C44F9"/>
    <w:rsid w:val="003C4B75"/>
    <w:rsid w:val="003C4C6F"/>
    <w:rsid w:val="003C513B"/>
    <w:rsid w:val="003C64BC"/>
    <w:rsid w:val="003C6AF1"/>
    <w:rsid w:val="003D28CD"/>
    <w:rsid w:val="003D3954"/>
    <w:rsid w:val="003D490D"/>
    <w:rsid w:val="003D7807"/>
    <w:rsid w:val="003D7962"/>
    <w:rsid w:val="003E08DA"/>
    <w:rsid w:val="003E3578"/>
    <w:rsid w:val="003E3704"/>
    <w:rsid w:val="003E3BDF"/>
    <w:rsid w:val="003E4A10"/>
    <w:rsid w:val="003E4B68"/>
    <w:rsid w:val="003E669E"/>
    <w:rsid w:val="003F10DC"/>
    <w:rsid w:val="003F37BA"/>
    <w:rsid w:val="003F4A0B"/>
    <w:rsid w:val="003F7DD5"/>
    <w:rsid w:val="003F7E75"/>
    <w:rsid w:val="00400DBE"/>
    <w:rsid w:val="004019E3"/>
    <w:rsid w:val="004030AB"/>
    <w:rsid w:val="004032AC"/>
    <w:rsid w:val="004037B6"/>
    <w:rsid w:val="00404059"/>
    <w:rsid w:val="00412282"/>
    <w:rsid w:val="0041312C"/>
    <w:rsid w:val="00413C2F"/>
    <w:rsid w:val="0041400F"/>
    <w:rsid w:val="00414300"/>
    <w:rsid w:val="004143C9"/>
    <w:rsid w:val="00414EC2"/>
    <w:rsid w:val="00415923"/>
    <w:rsid w:val="004168DC"/>
    <w:rsid w:val="00416CB1"/>
    <w:rsid w:val="00417DCA"/>
    <w:rsid w:val="00417E6A"/>
    <w:rsid w:val="0042044D"/>
    <w:rsid w:val="00422130"/>
    <w:rsid w:val="00422E29"/>
    <w:rsid w:val="00423B72"/>
    <w:rsid w:val="00423E59"/>
    <w:rsid w:val="00424B7D"/>
    <w:rsid w:val="00424F2D"/>
    <w:rsid w:val="004256BA"/>
    <w:rsid w:val="00425938"/>
    <w:rsid w:val="00426E2F"/>
    <w:rsid w:val="00426ED6"/>
    <w:rsid w:val="00430B5E"/>
    <w:rsid w:val="00430D5E"/>
    <w:rsid w:val="00431999"/>
    <w:rsid w:val="004323C1"/>
    <w:rsid w:val="0043351C"/>
    <w:rsid w:val="00433D80"/>
    <w:rsid w:val="00434371"/>
    <w:rsid w:val="00435682"/>
    <w:rsid w:val="00436F15"/>
    <w:rsid w:val="00437C4B"/>
    <w:rsid w:val="00440A3C"/>
    <w:rsid w:val="00440BC3"/>
    <w:rsid w:val="00444177"/>
    <w:rsid w:val="00444C92"/>
    <w:rsid w:val="00445995"/>
    <w:rsid w:val="00446960"/>
    <w:rsid w:val="004469A8"/>
    <w:rsid w:val="004471FF"/>
    <w:rsid w:val="004546C0"/>
    <w:rsid w:val="00454D79"/>
    <w:rsid w:val="00454FBE"/>
    <w:rsid w:val="00454FE2"/>
    <w:rsid w:val="004555E6"/>
    <w:rsid w:val="00455643"/>
    <w:rsid w:val="00455EE8"/>
    <w:rsid w:val="00456081"/>
    <w:rsid w:val="00457B0C"/>
    <w:rsid w:val="00457D23"/>
    <w:rsid w:val="00460620"/>
    <w:rsid w:val="004609CB"/>
    <w:rsid w:val="00460A37"/>
    <w:rsid w:val="00462026"/>
    <w:rsid w:val="004635B4"/>
    <w:rsid w:val="00464F5D"/>
    <w:rsid w:val="004650C6"/>
    <w:rsid w:val="0047115A"/>
    <w:rsid w:val="00474611"/>
    <w:rsid w:val="00474FBD"/>
    <w:rsid w:val="00483D4E"/>
    <w:rsid w:val="0048669B"/>
    <w:rsid w:val="00486E69"/>
    <w:rsid w:val="004908EB"/>
    <w:rsid w:val="00491976"/>
    <w:rsid w:val="00491D7D"/>
    <w:rsid w:val="004A15F4"/>
    <w:rsid w:val="004A1E2E"/>
    <w:rsid w:val="004A44AE"/>
    <w:rsid w:val="004A6BAB"/>
    <w:rsid w:val="004B0134"/>
    <w:rsid w:val="004B0617"/>
    <w:rsid w:val="004B300D"/>
    <w:rsid w:val="004B48F4"/>
    <w:rsid w:val="004B666B"/>
    <w:rsid w:val="004B77D2"/>
    <w:rsid w:val="004C06C3"/>
    <w:rsid w:val="004C0EC7"/>
    <w:rsid w:val="004C0FB4"/>
    <w:rsid w:val="004C227A"/>
    <w:rsid w:val="004C33EB"/>
    <w:rsid w:val="004C3F45"/>
    <w:rsid w:val="004C4792"/>
    <w:rsid w:val="004C6F08"/>
    <w:rsid w:val="004D19C3"/>
    <w:rsid w:val="004D223E"/>
    <w:rsid w:val="004D4CA3"/>
    <w:rsid w:val="004D5B83"/>
    <w:rsid w:val="004D5C70"/>
    <w:rsid w:val="004D5F29"/>
    <w:rsid w:val="004D735C"/>
    <w:rsid w:val="004D75BB"/>
    <w:rsid w:val="004E0390"/>
    <w:rsid w:val="004E0888"/>
    <w:rsid w:val="004E1702"/>
    <w:rsid w:val="004E23C8"/>
    <w:rsid w:val="004E2A9C"/>
    <w:rsid w:val="004E3405"/>
    <w:rsid w:val="004E3C2D"/>
    <w:rsid w:val="004E40EF"/>
    <w:rsid w:val="004E73F7"/>
    <w:rsid w:val="004E784E"/>
    <w:rsid w:val="004F0EDD"/>
    <w:rsid w:val="004F2DEB"/>
    <w:rsid w:val="004F441A"/>
    <w:rsid w:val="004F5482"/>
    <w:rsid w:val="004F59BB"/>
    <w:rsid w:val="004F5B00"/>
    <w:rsid w:val="004F5C28"/>
    <w:rsid w:val="004F76A0"/>
    <w:rsid w:val="005000F9"/>
    <w:rsid w:val="005001E9"/>
    <w:rsid w:val="0050064C"/>
    <w:rsid w:val="00500E7F"/>
    <w:rsid w:val="00503859"/>
    <w:rsid w:val="00504C3F"/>
    <w:rsid w:val="0050623B"/>
    <w:rsid w:val="00506B17"/>
    <w:rsid w:val="00511B9F"/>
    <w:rsid w:val="0051360C"/>
    <w:rsid w:val="00514E7B"/>
    <w:rsid w:val="0051580D"/>
    <w:rsid w:val="005158F7"/>
    <w:rsid w:val="00520083"/>
    <w:rsid w:val="0052179D"/>
    <w:rsid w:val="0052186A"/>
    <w:rsid w:val="00523E34"/>
    <w:rsid w:val="00523EF7"/>
    <w:rsid w:val="00524E50"/>
    <w:rsid w:val="00525E52"/>
    <w:rsid w:val="00527905"/>
    <w:rsid w:val="00527C86"/>
    <w:rsid w:val="005335B1"/>
    <w:rsid w:val="00534820"/>
    <w:rsid w:val="00534FD1"/>
    <w:rsid w:val="00536814"/>
    <w:rsid w:val="00537FD8"/>
    <w:rsid w:val="00540082"/>
    <w:rsid w:val="00540799"/>
    <w:rsid w:val="005416E4"/>
    <w:rsid w:val="00541B6B"/>
    <w:rsid w:val="005447E3"/>
    <w:rsid w:val="005448C2"/>
    <w:rsid w:val="0054528A"/>
    <w:rsid w:val="00545605"/>
    <w:rsid w:val="005456A9"/>
    <w:rsid w:val="00545ACC"/>
    <w:rsid w:val="00546724"/>
    <w:rsid w:val="00546C9F"/>
    <w:rsid w:val="00550935"/>
    <w:rsid w:val="00551BAC"/>
    <w:rsid w:val="0055232A"/>
    <w:rsid w:val="00552333"/>
    <w:rsid w:val="00552F5F"/>
    <w:rsid w:val="005548BC"/>
    <w:rsid w:val="00555D52"/>
    <w:rsid w:val="005566D7"/>
    <w:rsid w:val="0055678E"/>
    <w:rsid w:val="005601E4"/>
    <w:rsid w:val="00561B1B"/>
    <w:rsid w:val="00561F7F"/>
    <w:rsid w:val="005634C8"/>
    <w:rsid w:val="00564584"/>
    <w:rsid w:val="005657F9"/>
    <w:rsid w:val="00565F0C"/>
    <w:rsid w:val="00566B35"/>
    <w:rsid w:val="0057205B"/>
    <w:rsid w:val="005732CC"/>
    <w:rsid w:val="005747FB"/>
    <w:rsid w:val="0057536E"/>
    <w:rsid w:val="00575422"/>
    <w:rsid w:val="005758D3"/>
    <w:rsid w:val="0057648E"/>
    <w:rsid w:val="00580C95"/>
    <w:rsid w:val="00581699"/>
    <w:rsid w:val="00582678"/>
    <w:rsid w:val="00582E26"/>
    <w:rsid w:val="0058376F"/>
    <w:rsid w:val="00583E50"/>
    <w:rsid w:val="00584072"/>
    <w:rsid w:val="005869A0"/>
    <w:rsid w:val="00586A85"/>
    <w:rsid w:val="005870B6"/>
    <w:rsid w:val="00587F8B"/>
    <w:rsid w:val="00591584"/>
    <w:rsid w:val="00592893"/>
    <w:rsid w:val="00593342"/>
    <w:rsid w:val="005938C6"/>
    <w:rsid w:val="005951F9"/>
    <w:rsid w:val="005963B3"/>
    <w:rsid w:val="005979F5"/>
    <w:rsid w:val="00597D52"/>
    <w:rsid w:val="005A0431"/>
    <w:rsid w:val="005A0C29"/>
    <w:rsid w:val="005A0F44"/>
    <w:rsid w:val="005A102B"/>
    <w:rsid w:val="005A1A3C"/>
    <w:rsid w:val="005A4A54"/>
    <w:rsid w:val="005A6AE8"/>
    <w:rsid w:val="005B0059"/>
    <w:rsid w:val="005B1EFD"/>
    <w:rsid w:val="005B3752"/>
    <w:rsid w:val="005B4337"/>
    <w:rsid w:val="005B61C2"/>
    <w:rsid w:val="005B6311"/>
    <w:rsid w:val="005B73A4"/>
    <w:rsid w:val="005C00B2"/>
    <w:rsid w:val="005C16DE"/>
    <w:rsid w:val="005C3F04"/>
    <w:rsid w:val="005C413F"/>
    <w:rsid w:val="005C462C"/>
    <w:rsid w:val="005C53BB"/>
    <w:rsid w:val="005C5B17"/>
    <w:rsid w:val="005D002F"/>
    <w:rsid w:val="005D1B20"/>
    <w:rsid w:val="005D26B7"/>
    <w:rsid w:val="005D296F"/>
    <w:rsid w:val="005D3206"/>
    <w:rsid w:val="005D4547"/>
    <w:rsid w:val="005D4AA1"/>
    <w:rsid w:val="005D6B97"/>
    <w:rsid w:val="005D701E"/>
    <w:rsid w:val="005D7DE8"/>
    <w:rsid w:val="005E0743"/>
    <w:rsid w:val="005E0903"/>
    <w:rsid w:val="005E32D0"/>
    <w:rsid w:val="005E3DF0"/>
    <w:rsid w:val="005E5058"/>
    <w:rsid w:val="005E5F79"/>
    <w:rsid w:val="005E6055"/>
    <w:rsid w:val="005F24DA"/>
    <w:rsid w:val="005F292C"/>
    <w:rsid w:val="005F2F6D"/>
    <w:rsid w:val="005F4806"/>
    <w:rsid w:val="005F4D8F"/>
    <w:rsid w:val="005F5762"/>
    <w:rsid w:val="005F65FD"/>
    <w:rsid w:val="005F736D"/>
    <w:rsid w:val="00600393"/>
    <w:rsid w:val="006003F4"/>
    <w:rsid w:val="0060146C"/>
    <w:rsid w:val="0060207D"/>
    <w:rsid w:val="006027F7"/>
    <w:rsid w:val="006039F2"/>
    <w:rsid w:val="00604901"/>
    <w:rsid w:val="00605672"/>
    <w:rsid w:val="006061B0"/>
    <w:rsid w:val="00606A94"/>
    <w:rsid w:val="0060732E"/>
    <w:rsid w:val="006076A9"/>
    <w:rsid w:val="006079C7"/>
    <w:rsid w:val="0061054A"/>
    <w:rsid w:val="0061055B"/>
    <w:rsid w:val="00611553"/>
    <w:rsid w:val="00611A1A"/>
    <w:rsid w:val="00612270"/>
    <w:rsid w:val="00612E86"/>
    <w:rsid w:val="0061378D"/>
    <w:rsid w:val="006204F0"/>
    <w:rsid w:val="00620B76"/>
    <w:rsid w:val="0062197A"/>
    <w:rsid w:val="00621D79"/>
    <w:rsid w:val="006233B6"/>
    <w:rsid w:val="0062374D"/>
    <w:rsid w:val="0062378E"/>
    <w:rsid w:val="006241C0"/>
    <w:rsid w:val="00624BE1"/>
    <w:rsid w:val="0062591B"/>
    <w:rsid w:val="00631FEA"/>
    <w:rsid w:val="006324A0"/>
    <w:rsid w:val="00632901"/>
    <w:rsid w:val="00633D64"/>
    <w:rsid w:val="00634265"/>
    <w:rsid w:val="00635321"/>
    <w:rsid w:val="00635990"/>
    <w:rsid w:val="00635E49"/>
    <w:rsid w:val="00636640"/>
    <w:rsid w:val="00637340"/>
    <w:rsid w:val="00637A60"/>
    <w:rsid w:val="0064274C"/>
    <w:rsid w:val="00642FB3"/>
    <w:rsid w:val="00643046"/>
    <w:rsid w:val="0064579F"/>
    <w:rsid w:val="0064590E"/>
    <w:rsid w:val="00650BC1"/>
    <w:rsid w:val="0065315F"/>
    <w:rsid w:val="006544EA"/>
    <w:rsid w:val="0065735F"/>
    <w:rsid w:val="006636E9"/>
    <w:rsid w:val="006638A9"/>
    <w:rsid w:val="0066569F"/>
    <w:rsid w:val="006701B4"/>
    <w:rsid w:val="0067198C"/>
    <w:rsid w:val="0067386E"/>
    <w:rsid w:val="00674ADD"/>
    <w:rsid w:val="00675511"/>
    <w:rsid w:val="006824DD"/>
    <w:rsid w:val="00682BF4"/>
    <w:rsid w:val="006838EF"/>
    <w:rsid w:val="00685A27"/>
    <w:rsid w:val="00686160"/>
    <w:rsid w:val="0068708A"/>
    <w:rsid w:val="00687AC1"/>
    <w:rsid w:val="0069004B"/>
    <w:rsid w:val="00690721"/>
    <w:rsid w:val="00690E3F"/>
    <w:rsid w:val="00691F2C"/>
    <w:rsid w:val="006948BA"/>
    <w:rsid w:val="00694C94"/>
    <w:rsid w:val="00697231"/>
    <w:rsid w:val="006A0788"/>
    <w:rsid w:val="006A085F"/>
    <w:rsid w:val="006A0B64"/>
    <w:rsid w:val="006A3403"/>
    <w:rsid w:val="006A3ACF"/>
    <w:rsid w:val="006A579D"/>
    <w:rsid w:val="006A5F70"/>
    <w:rsid w:val="006A7104"/>
    <w:rsid w:val="006A733C"/>
    <w:rsid w:val="006B08EB"/>
    <w:rsid w:val="006B1610"/>
    <w:rsid w:val="006B1A9C"/>
    <w:rsid w:val="006B481F"/>
    <w:rsid w:val="006B620B"/>
    <w:rsid w:val="006B79DA"/>
    <w:rsid w:val="006C0B5E"/>
    <w:rsid w:val="006C31F8"/>
    <w:rsid w:val="006C6F84"/>
    <w:rsid w:val="006D1685"/>
    <w:rsid w:val="006D174B"/>
    <w:rsid w:val="006D1C84"/>
    <w:rsid w:val="006D2031"/>
    <w:rsid w:val="006D3278"/>
    <w:rsid w:val="006D3A1F"/>
    <w:rsid w:val="006D5263"/>
    <w:rsid w:val="006D6280"/>
    <w:rsid w:val="006D71CE"/>
    <w:rsid w:val="006E0556"/>
    <w:rsid w:val="006E4375"/>
    <w:rsid w:val="006E6104"/>
    <w:rsid w:val="006E62FE"/>
    <w:rsid w:val="006E6D72"/>
    <w:rsid w:val="006F011D"/>
    <w:rsid w:val="006F067D"/>
    <w:rsid w:val="006F15FD"/>
    <w:rsid w:val="006F2F0F"/>
    <w:rsid w:val="006F38DB"/>
    <w:rsid w:val="006F3C84"/>
    <w:rsid w:val="006F4164"/>
    <w:rsid w:val="006F638E"/>
    <w:rsid w:val="006F6B54"/>
    <w:rsid w:val="006F7749"/>
    <w:rsid w:val="00700B2C"/>
    <w:rsid w:val="00701715"/>
    <w:rsid w:val="00702CE3"/>
    <w:rsid w:val="00703024"/>
    <w:rsid w:val="00703A6D"/>
    <w:rsid w:val="00703B7F"/>
    <w:rsid w:val="00703E42"/>
    <w:rsid w:val="00704686"/>
    <w:rsid w:val="007064FA"/>
    <w:rsid w:val="00706E23"/>
    <w:rsid w:val="007078BE"/>
    <w:rsid w:val="007115F8"/>
    <w:rsid w:val="0071324B"/>
    <w:rsid w:val="00713F65"/>
    <w:rsid w:val="00714BCF"/>
    <w:rsid w:val="00715AAE"/>
    <w:rsid w:val="00716286"/>
    <w:rsid w:val="00716A25"/>
    <w:rsid w:val="00716D72"/>
    <w:rsid w:val="00720BCE"/>
    <w:rsid w:val="00720C74"/>
    <w:rsid w:val="00724D6A"/>
    <w:rsid w:val="00725569"/>
    <w:rsid w:val="007262C9"/>
    <w:rsid w:val="007315F3"/>
    <w:rsid w:val="00731ECA"/>
    <w:rsid w:val="007324EB"/>
    <w:rsid w:val="00734923"/>
    <w:rsid w:val="007368AD"/>
    <w:rsid w:val="007404AC"/>
    <w:rsid w:val="00742C52"/>
    <w:rsid w:val="007432A3"/>
    <w:rsid w:val="00743A3B"/>
    <w:rsid w:val="0074446C"/>
    <w:rsid w:val="00745533"/>
    <w:rsid w:val="00745601"/>
    <w:rsid w:val="00747D57"/>
    <w:rsid w:val="00750B18"/>
    <w:rsid w:val="0075162C"/>
    <w:rsid w:val="00751D2A"/>
    <w:rsid w:val="007525AD"/>
    <w:rsid w:val="0075379B"/>
    <w:rsid w:val="0075483B"/>
    <w:rsid w:val="00754B0F"/>
    <w:rsid w:val="00755095"/>
    <w:rsid w:val="00757B39"/>
    <w:rsid w:val="007624BC"/>
    <w:rsid w:val="00763421"/>
    <w:rsid w:val="00766A9A"/>
    <w:rsid w:val="0077263B"/>
    <w:rsid w:val="00773BCC"/>
    <w:rsid w:val="007740F6"/>
    <w:rsid w:val="00774F50"/>
    <w:rsid w:val="00775791"/>
    <w:rsid w:val="007767BF"/>
    <w:rsid w:val="007769F5"/>
    <w:rsid w:val="00776C0E"/>
    <w:rsid w:val="007811B4"/>
    <w:rsid w:val="00782406"/>
    <w:rsid w:val="007824EF"/>
    <w:rsid w:val="0078271F"/>
    <w:rsid w:val="00782AD4"/>
    <w:rsid w:val="00783945"/>
    <w:rsid w:val="00784B2C"/>
    <w:rsid w:val="00784EAF"/>
    <w:rsid w:val="007860EF"/>
    <w:rsid w:val="00787D92"/>
    <w:rsid w:val="00790107"/>
    <w:rsid w:val="00790E3B"/>
    <w:rsid w:val="007954E7"/>
    <w:rsid w:val="00795F38"/>
    <w:rsid w:val="00796A07"/>
    <w:rsid w:val="007977FD"/>
    <w:rsid w:val="00797DF2"/>
    <w:rsid w:val="007A3905"/>
    <w:rsid w:val="007A4FDB"/>
    <w:rsid w:val="007A5465"/>
    <w:rsid w:val="007A5E7D"/>
    <w:rsid w:val="007A646C"/>
    <w:rsid w:val="007A6B26"/>
    <w:rsid w:val="007A6B28"/>
    <w:rsid w:val="007A7B63"/>
    <w:rsid w:val="007B0DA0"/>
    <w:rsid w:val="007B1F8E"/>
    <w:rsid w:val="007B2239"/>
    <w:rsid w:val="007B2322"/>
    <w:rsid w:val="007B288A"/>
    <w:rsid w:val="007B4BA3"/>
    <w:rsid w:val="007B519C"/>
    <w:rsid w:val="007B6C7F"/>
    <w:rsid w:val="007B6FC1"/>
    <w:rsid w:val="007B711E"/>
    <w:rsid w:val="007C002D"/>
    <w:rsid w:val="007C1615"/>
    <w:rsid w:val="007C19D3"/>
    <w:rsid w:val="007C1DE2"/>
    <w:rsid w:val="007C1E8A"/>
    <w:rsid w:val="007C2655"/>
    <w:rsid w:val="007C2777"/>
    <w:rsid w:val="007C6702"/>
    <w:rsid w:val="007C7EAE"/>
    <w:rsid w:val="007D0F6F"/>
    <w:rsid w:val="007D1088"/>
    <w:rsid w:val="007D1BC3"/>
    <w:rsid w:val="007D3EEA"/>
    <w:rsid w:val="007D4C2A"/>
    <w:rsid w:val="007D5A8C"/>
    <w:rsid w:val="007D5DEB"/>
    <w:rsid w:val="007E36D2"/>
    <w:rsid w:val="007E4253"/>
    <w:rsid w:val="007E4E36"/>
    <w:rsid w:val="007E5A1D"/>
    <w:rsid w:val="007E61C7"/>
    <w:rsid w:val="007E6C27"/>
    <w:rsid w:val="007E751B"/>
    <w:rsid w:val="007E78EB"/>
    <w:rsid w:val="007F023B"/>
    <w:rsid w:val="007F09E1"/>
    <w:rsid w:val="007F10E3"/>
    <w:rsid w:val="007F2C0E"/>
    <w:rsid w:val="007F35CF"/>
    <w:rsid w:val="007F3F48"/>
    <w:rsid w:val="007F4921"/>
    <w:rsid w:val="007F4E38"/>
    <w:rsid w:val="007F7185"/>
    <w:rsid w:val="00802F85"/>
    <w:rsid w:val="00803475"/>
    <w:rsid w:val="00803969"/>
    <w:rsid w:val="00804AEB"/>
    <w:rsid w:val="008057D8"/>
    <w:rsid w:val="008067A6"/>
    <w:rsid w:val="008100E9"/>
    <w:rsid w:val="008104A9"/>
    <w:rsid w:val="008112F4"/>
    <w:rsid w:val="0081139E"/>
    <w:rsid w:val="0081146E"/>
    <w:rsid w:val="00811717"/>
    <w:rsid w:val="008126DE"/>
    <w:rsid w:val="008147C2"/>
    <w:rsid w:val="0081765E"/>
    <w:rsid w:val="00822733"/>
    <w:rsid w:val="00823F1A"/>
    <w:rsid w:val="008241C1"/>
    <w:rsid w:val="00824CC8"/>
    <w:rsid w:val="00824F8D"/>
    <w:rsid w:val="008270B6"/>
    <w:rsid w:val="00827B5D"/>
    <w:rsid w:val="00827FC6"/>
    <w:rsid w:val="008304E2"/>
    <w:rsid w:val="0083159F"/>
    <w:rsid w:val="00833BBD"/>
    <w:rsid w:val="00836D17"/>
    <w:rsid w:val="00836E9F"/>
    <w:rsid w:val="0084051D"/>
    <w:rsid w:val="00840A55"/>
    <w:rsid w:val="0084126D"/>
    <w:rsid w:val="00841E25"/>
    <w:rsid w:val="00842138"/>
    <w:rsid w:val="00842324"/>
    <w:rsid w:val="00842A8C"/>
    <w:rsid w:val="008434E4"/>
    <w:rsid w:val="008464CD"/>
    <w:rsid w:val="008467D9"/>
    <w:rsid w:val="00851378"/>
    <w:rsid w:val="008515EE"/>
    <w:rsid w:val="00851965"/>
    <w:rsid w:val="0085248E"/>
    <w:rsid w:val="00853798"/>
    <w:rsid w:val="00854C0A"/>
    <w:rsid w:val="00855860"/>
    <w:rsid w:val="00856009"/>
    <w:rsid w:val="008610F3"/>
    <w:rsid w:val="00861C4E"/>
    <w:rsid w:val="008632F4"/>
    <w:rsid w:val="00863CA4"/>
    <w:rsid w:val="00866D21"/>
    <w:rsid w:val="00867688"/>
    <w:rsid w:val="008715A3"/>
    <w:rsid w:val="0087194A"/>
    <w:rsid w:val="00871F88"/>
    <w:rsid w:val="0087259E"/>
    <w:rsid w:val="0087289F"/>
    <w:rsid w:val="00872D85"/>
    <w:rsid w:val="00872E15"/>
    <w:rsid w:val="00874F27"/>
    <w:rsid w:val="00875871"/>
    <w:rsid w:val="00876111"/>
    <w:rsid w:val="00876EF4"/>
    <w:rsid w:val="00877C73"/>
    <w:rsid w:val="00880888"/>
    <w:rsid w:val="0088187F"/>
    <w:rsid w:val="00881F44"/>
    <w:rsid w:val="008822CE"/>
    <w:rsid w:val="00882559"/>
    <w:rsid w:val="008832A4"/>
    <w:rsid w:val="00883DDA"/>
    <w:rsid w:val="00884700"/>
    <w:rsid w:val="00884725"/>
    <w:rsid w:val="008851D3"/>
    <w:rsid w:val="00885BC3"/>
    <w:rsid w:val="008860F2"/>
    <w:rsid w:val="00890A49"/>
    <w:rsid w:val="00890E69"/>
    <w:rsid w:val="008914BA"/>
    <w:rsid w:val="008916E4"/>
    <w:rsid w:val="008918B7"/>
    <w:rsid w:val="00891FF9"/>
    <w:rsid w:val="0089287B"/>
    <w:rsid w:val="00892EB6"/>
    <w:rsid w:val="00893367"/>
    <w:rsid w:val="00893D07"/>
    <w:rsid w:val="00895897"/>
    <w:rsid w:val="008969F7"/>
    <w:rsid w:val="008975F8"/>
    <w:rsid w:val="008A03DA"/>
    <w:rsid w:val="008A0562"/>
    <w:rsid w:val="008A1EB1"/>
    <w:rsid w:val="008A345B"/>
    <w:rsid w:val="008A3699"/>
    <w:rsid w:val="008A41BB"/>
    <w:rsid w:val="008A4242"/>
    <w:rsid w:val="008A468E"/>
    <w:rsid w:val="008A493E"/>
    <w:rsid w:val="008A4A47"/>
    <w:rsid w:val="008A4CDF"/>
    <w:rsid w:val="008A785B"/>
    <w:rsid w:val="008B3D49"/>
    <w:rsid w:val="008B6562"/>
    <w:rsid w:val="008B75C6"/>
    <w:rsid w:val="008B7956"/>
    <w:rsid w:val="008B79A7"/>
    <w:rsid w:val="008C0F99"/>
    <w:rsid w:val="008C1EB8"/>
    <w:rsid w:val="008C26DA"/>
    <w:rsid w:val="008C337B"/>
    <w:rsid w:val="008C3722"/>
    <w:rsid w:val="008C3B67"/>
    <w:rsid w:val="008C3F48"/>
    <w:rsid w:val="008C49DA"/>
    <w:rsid w:val="008C4EA1"/>
    <w:rsid w:val="008C6D38"/>
    <w:rsid w:val="008D0D80"/>
    <w:rsid w:val="008D174D"/>
    <w:rsid w:val="008D2277"/>
    <w:rsid w:val="008D27CB"/>
    <w:rsid w:val="008D49B4"/>
    <w:rsid w:val="008D51B5"/>
    <w:rsid w:val="008D6BF6"/>
    <w:rsid w:val="008D7498"/>
    <w:rsid w:val="008D7D50"/>
    <w:rsid w:val="008E0872"/>
    <w:rsid w:val="008E0B16"/>
    <w:rsid w:val="008E156C"/>
    <w:rsid w:val="008E23C2"/>
    <w:rsid w:val="008E38E8"/>
    <w:rsid w:val="008E4432"/>
    <w:rsid w:val="008E4F74"/>
    <w:rsid w:val="008E7065"/>
    <w:rsid w:val="008E72F6"/>
    <w:rsid w:val="008F2F1C"/>
    <w:rsid w:val="008F3C46"/>
    <w:rsid w:val="008F3EBF"/>
    <w:rsid w:val="008F44FB"/>
    <w:rsid w:val="008F4773"/>
    <w:rsid w:val="008F7E9F"/>
    <w:rsid w:val="0090226D"/>
    <w:rsid w:val="00902FB3"/>
    <w:rsid w:val="009036EA"/>
    <w:rsid w:val="009038A3"/>
    <w:rsid w:val="00903A3B"/>
    <w:rsid w:val="0090536E"/>
    <w:rsid w:val="00910DED"/>
    <w:rsid w:val="009113F7"/>
    <w:rsid w:val="00912462"/>
    <w:rsid w:val="00912C28"/>
    <w:rsid w:val="00914A84"/>
    <w:rsid w:val="00914EB2"/>
    <w:rsid w:val="009153C2"/>
    <w:rsid w:val="009163D0"/>
    <w:rsid w:val="00917AD1"/>
    <w:rsid w:val="00917F07"/>
    <w:rsid w:val="009200A1"/>
    <w:rsid w:val="009227F3"/>
    <w:rsid w:val="009231A8"/>
    <w:rsid w:val="00923811"/>
    <w:rsid w:val="0092696D"/>
    <w:rsid w:val="00927273"/>
    <w:rsid w:val="009304FC"/>
    <w:rsid w:val="009312B9"/>
    <w:rsid w:val="00931962"/>
    <w:rsid w:val="009322CB"/>
    <w:rsid w:val="00932E96"/>
    <w:rsid w:val="009334A9"/>
    <w:rsid w:val="0093545C"/>
    <w:rsid w:val="009418E6"/>
    <w:rsid w:val="00941A7F"/>
    <w:rsid w:val="00941FDE"/>
    <w:rsid w:val="0094235F"/>
    <w:rsid w:val="0094279F"/>
    <w:rsid w:val="009434DF"/>
    <w:rsid w:val="0094400A"/>
    <w:rsid w:val="00945671"/>
    <w:rsid w:val="00946B98"/>
    <w:rsid w:val="0095052A"/>
    <w:rsid w:val="00953FBB"/>
    <w:rsid w:val="00954B56"/>
    <w:rsid w:val="00955D83"/>
    <w:rsid w:val="00956099"/>
    <w:rsid w:val="009560CD"/>
    <w:rsid w:val="00956A9B"/>
    <w:rsid w:val="00957DF7"/>
    <w:rsid w:val="00957EFE"/>
    <w:rsid w:val="00961AD3"/>
    <w:rsid w:val="009630F5"/>
    <w:rsid w:val="00965458"/>
    <w:rsid w:val="009658F0"/>
    <w:rsid w:val="00966192"/>
    <w:rsid w:val="009674DC"/>
    <w:rsid w:val="009679DE"/>
    <w:rsid w:val="00970F60"/>
    <w:rsid w:val="00971655"/>
    <w:rsid w:val="009716E1"/>
    <w:rsid w:val="00971C63"/>
    <w:rsid w:val="00972746"/>
    <w:rsid w:val="00972B67"/>
    <w:rsid w:val="00973349"/>
    <w:rsid w:val="009738FF"/>
    <w:rsid w:val="00974616"/>
    <w:rsid w:val="00976B09"/>
    <w:rsid w:val="00976E26"/>
    <w:rsid w:val="0097728A"/>
    <w:rsid w:val="009805A1"/>
    <w:rsid w:val="00983A20"/>
    <w:rsid w:val="00984E45"/>
    <w:rsid w:val="009851F5"/>
    <w:rsid w:val="00985606"/>
    <w:rsid w:val="009868E4"/>
    <w:rsid w:val="009872F1"/>
    <w:rsid w:val="009877DB"/>
    <w:rsid w:val="0099192C"/>
    <w:rsid w:val="0099398C"/>
    <w:rsid w:val="00994D24"/>
    <w:rsid w:val="00995D73"/>
    <w:rsid w:val="00995ED0"/>
    <w:rsid w:val="0099605E"/>
    <w:rsid w:val="00996115"/>
    <w:rsid w:val="009961F4"/>
    <w:rsid w:val="00996BAB"/>
    <w:rsid w:val="009975B8"/>
    <w:rsid w:val="00997C99"/>
    <w:rsid w:val="009A10EF"/>
    <w:rsid w:val="009A3A19"/>
    <w:rsid w:val="009A4AE9"/>
    <w:rsid w:val="009A4B3A"/>
    <w:rsid w:val="009A7065"/>
    <w:rsid w:val="009A7CD5"/>
    <w:rsid w:val="009B171D"/>
    <w:rsid w:val="009B1A2A"/>
    <w:rsid w:val="009B4283"/>
    <w:rsid w:val="009B433A"/>
    <w:rsid w:val="009B4465"/>
    <w:rsid w:val="009B7BD1"/>
    <w:rsid w:val="009C06D6"/>
    <w:rsid w:val="009C2832"/>
    <w:rsid w:val="009C2DFD"/>
    <w:rsid w:val="009C3064"/>
    <w:rsid w:val="009C35CF"/>
    <w:rsid w:val="009C36CB"/>
    <w:rsid w:val="009C5538"/>
    <w:rsid w:val="009C6E1C"/>
    <w:rsid w:val="009C7069"/>
    <w:rsid w:val="009C71D5"/>
    <w:rsid w:val="009C79ED"/>
    <w:rsid w:val="009D12C3"/>
    <w:rsid w:val="009D3AE3"/>
    <w:rsid w:val="009D3FD9"/>
    <w:rsid w:val="009D4655"/>
    <w:rsid w:val="009D4FBD"/>
    <w:rsid w:val="009D5549"/>
    <w:rsid w:val="009E0828"/>
    <w:rsid w:val="009E0CC7"/>
    <w:rsid w:val="009E170E"/>
    <w:rsid w:val="009E2CB1"/>
    <w:rsid w:val="009E395D"/>
    <w:rsid w:val="009E4682"/>
    <w:rsid w:val="009E7EEB"/>
    <w:rsid w:val="009F1945"/>
    <w:rsid w:val="009F4189"/>
    <w:rsid w:val="009F469A"/>
    <w:rsid w:val="009F5460"/>
    <w:rsid w:val="009F59D5"/>
    <w:rsid w:val="009F71E6"/>
    <w:rsid w:val="009F7CE4"/>
    <w:rsid w:val="009F7D8B"/>
    <w:rsid w:val="00A00405"/>
    <w:rsid w:val="00A017F4"/>
    <w:rsid w:val="00A026B3"/>
    <w:rsid w:val="00A0299A"/>
    <w:rsid w:val="00A02AED"/>
    <w:rsid w:val="00A03C30"/>
    <w:rsid w:val="00A05E64"/>
    <w:rsid w:val="00A065A2"/>
    <w:rsid w:val="00A06FF8"/>
    <w:rsid w:val="00A11162"/>
    <w:rsid w:val="00A12268"/>
    <w:rsid w:val="00A14C6B"/>
    <w:rsid w:val="00A160E6"/>
    <w:rsid w:val="00A161AE"/>
    <w:rsid w:val="00A1724D"/>
    <w:rsid w:val="00A1793C"/>
    <w:rsid w:val="00A20056"/>
    <w:rsid w:val="00A200EC"/>
    <w:rsid w:val="00A22A17"/>
    <w:rsid w:val="00A2362F"/>
    <w:rsid w:val="00A263FD"/>
    <w:rsid w:val="00A3070E"/>
    <w:rsid w:val="00A322D4"/>
    <w:rsid w:val="00A3318E"/>
    <w:rsid w:val="00A34DC3"/>
    <w:rsid w:val="00A3620E"/>
    <w:rsid w:val="00A40B2D"/>
    <w:rsid w:val="00A41CDB"/>
    <w:rsid w:val="00A43227"/>
    <w:rsid w:val="00A442E5"/>
    <w:rsid w:val="00A44797"/>
    <w:rsid w:val="00A46603"/>
    <w:rsid w:val="00A46CCD"/>
    <w:rsid w:val="00A46CF7"/>
    <w:rsid w:val="00A475B1"/>
    <w:rsid w:val="00A47FAF"/>
    <w:rsid w:val="00A50190"/>
    <w:rsid w:val="00A5075C"/>
    <w:rsid w:val="00A50EC2"/>
    <w:rsid w:val="00A52CB7"/>
    <w:rsid w:val="00A53E26"/>
    <w:rsid w:val="00A546F0"/>
    <w:rsid w:val="00A56295"/>
    <w:rsid w:val="00A565A8"/>
    <w:rsid w:val="00A568A5"/>
    <w:rsid w:val="00A56C96"/>
    <w:rsid w:val="00A56F02"/>
    <w:rsid w:val="00A571B2"/>
    <w:rsid w:val="00A609E3"/>
    <w:rsid w:val="00A62FE1"/>
    <w:rsid w:val="00A643CB"/>
    <w:rsid w:val="00A64E16"/>
    <w:rsid w:val="00A65133"/>
    <w:rsid w:val="00A652C5"/>
    <w:rsid w:val="00A701E1"/>
    <w:rsid w:val="00A70236"/>
    <w:rsid w:val="00A70EC3"/>
    <w:rsid w:val="00A714B8"/>
    <w:rsid w:val="00A728DD"/>
    <w:rsid w:val="00A7385C"/>
    <w:rsid w:val="00A758B3"/>
    <w:rsid w:val="00A80E00"/>
    <w:rsid w:val="00A812EB"/>
    <w:rsid w:val="00A81E3B"/>
    <w:rsid w:val="00A854AC"/>
    <w:rsid w:val="00A85C5A"/>
    <w:rsid w:val="00A90F90"/>
    <w:rsid w:val="00A9121A"/>
    <w:rsid w:val="00A91A62"/>
    <w:rsid w:val="00A934B8"/>
    <w:rsid w:val="00A93C88"/>
    <w:rsid w:val="00A944C7"/>
    <w:rsid w:val="00A95D24"/>
    <w:rsid w:val="00A96181"/>
    <w:rsid w:val="00A96A08"/>
    <w:rsid w:val="00A97368"/>
    <w:rsid w:val="00A9774E"/>
    <w:rsid w:val="00AA0161"/>
    <w:rsid w:val="00AA235E"/>
    <w:rsid w:val="00AA46D8"/>
    <w:rsid w:val="00AA48B6"/>
    <w:rsid w:val="00AA5C3D"/>
    <w:rsid w:val="00AB1D08"/>
    <w:rsid w:val="00AB21AC"/>
    <w:rsid w:val="00AB22A3"/>
    <w:rsid w:val="00AB25EB"/>
    <w:rsid w:val="00AB2B60"/>
    <w:rsid w:val="00AB37F9"/>
    <w:rsid w:val="00AB4345"/>
    <w:rsid w:val="00AB566D"/>
    <w:rsid w:val="00AB5BD7"/>
    <w:rsid w:val="00AB5F45"/>
    <w:rsid w:val="00AB6D0C"/>
    <w:rsid w:val="00AB6DF2"/>
    <w:rsid w:val="00AC0135"/>
    <w:rsid w:val="00AC070D"/>
    <w:rsid w:val="00AC0E5D"/>
    <w:rsid w:val="00AC1B94"/>
    <w:rsid w:val="00AC49A6"/>
    <w:rsid w:val="00AC5E07"/>
    <w:rsid w:val="00AC624A"/>
    <w:rsid w:val="00AC780E"/>
    <w:rsid w:val="00AD0616"/>
    <w:rsid w:val="00AD1C38"/>
    <w:rsid w:val="00AD34FF"/>
    <w:rsid w:val="00AD3769"/>
    <w:rsid w:val="00AD43A6"/>
    <w:rsid w:val="00AD4DE6"/>
    <w:rsid w:val="00AD718B"/>
    <w:rsid w:val="00AE1397"/>
    <w:rsid w:val="00AE23C9"/>
    <w:rsid w:val="00AE3636"/>
    <w:rsid w:val="00AE535B"/>
    <w:rsid w:val="00AE6546"/>
    <w:rsid w:val="00AE6A5C"/>
    <w:rsid w:val="00AE6C11"/>
    <w:rsid w:val="00AE6DBC"/>
    <w:rsid w:val="00AF3E55"/>
    <w:rsid w:val="00AF3E95"/>
    <w:rsid w:val="00AF5162"/>
    <w:rsid w:val="00AF5C48"/>
    <w:rsid w:val="00AF703D"/>
    <w:rsid w:val="00AF75C6"/>
    <w:rsid w:val="00AF7C67"/>
    <w:rsid w:val="00B02FC5"/>
    <w:rsid w:val="00B040C1"/>
    <w:rsid w:val="00B04695"/>
    <w:rsid w:val="00B04ECB"/>
    <w:rsid w:val="00B06FB7"/>
    <w:rsid w:val="00B103C0"/>
    <w:rsid w:val="00B11205"/>
    <w:rsid w:val="00B12F78"/>
    <w:rsid w:val="00B15FE9"/>
    <w:rsid w:val="00B16986"/>
    <w:rsid w:val="00B205B0"/>
    <w:rsid w:val="00B212B4"/>
    <w:rsid w:val="00B21FE1"/>
    <w:rsid w:val="00B22D39"/>
    <w:rsid w:val="00B24768"/>
    <w:rsid w:val="00B251A1"/>
    <w:rsid w:val="00B25C15"/>
    <w:rsid w:val="00B27E11"/>
    <w:rsid w:val="00B33776"/>
    <w:rsid w:val="00B340E4"/>
    <w:rsid w:val="00B354DA"/>
    <w:rsid w:val="00B355D6"/>
    <w:rsid w:val="00B360A4"/>
    <w:rsid w:val="00B36FCE"/>
    <w:rsid w:val="00B43765"/>
    <w:rsid w:val="00B439FA"/>
    <w:rsid w:val="00B43BC4"/>
    <w:rsid w:val="00B4412C"/>
    <w:rsid w:val="00B45C5D"/>
    <w:rsid w:val="00B45D68"/>
    <w:rsid w:val="00B45F08"/>
    <w:rsid w:val="00B47945"/>
    <w:rsid w:val="00B47D35"/>
    <w:rsid w:val="00B47D47"/>
    <w:rsid w:val="00B47DD7"/>
    <w:rsid w:val="00B50B7A"/>
    <w:rsid w:val="00B51883"/>
    <w:rsid w:val="00B523E9"/>
    <w:rsid w:val="00B53234"/>
    <w:rsid w:val="00B53917"/>
    <w:rsid w:val="00B55862"/>
    <w:rsid w:val="00B56670"/>
    <w:rsid w:val="00B6182D"/>
    <w:rsid w:val="00B61FD4"/>
    <w:rsid w:val="00B62E1E"/>
    <w:rsid w:val="00B6376D"/>
    <w:rsid w:val="00B6419B"/>
    <w:rsid w:val="00B643D9"/>
    <w:rsid w:val="00B66A82"/>
    <w:rsid w:val="00B674DB"/>
    <w:rsid w:val="00B7073F"/>
    <w:rsid w:val="00B71F36"/>
    <w:rsid w:val="00B747B6"/>
    <w:rsid w:val="00B761FF"/>
    <w:rsid w:val="00B76590"/>
    <w:rsid w:val="00B769BC"/>
    <w:rsid w:val="00B76A97"/>
    <w:rsid w:val="00B803F9"/>
    <w:rsid w:val="00B818EF"/>
    <w:rsid w:val="00B81BD4"/>
    <w:rsid w:val="00B82E8D"/>
    <w:rsid w:val="00B8371D"/>
    <w:rsid w:val="00B83B1B"/>
    <w:rsid w:val="00B84397"/>
    <w:rsid w:val="00B86469"/>
    <w:rsid w:val="00B878F2"/>
    <w:rsid w:val="00B90ABE"/>
    <w:rsid w:val="00B9264D"/>
    <w:rsid w:val="00B92A7B"/>
    <w:rsid w:val="00B9448E"/>
    <w:rsid w:val="00B94D99"/>
    <w:rsid w:val="00B95688"/>
    <w:rsid w:val="00BA1B0D"/>
    <w:rsid w:val="00BA696E"/>
    <w:rsid w:val="00BB0A43"/>
    <w:rsid w:val="00BB0D6C"/>
    <w:rsid w:val="00BB1F32"/>
    <w:rsid w:val="00BB226F"/>
    <w:rsid w:val="00BB2594"/>
    <w:rsid w:val="00BB2D4E"/>
    <w:rsid w:val="00BB331A"/>
    <w:rsid w:val="00BB3FA1"/>
    <w:rsid w:val="00BB52C9"/>
    <w:rsid w:val="00BB5754"/>
    <w:rsid w:val="00BB62BB"/>
    <w:rsid w:val="00BC03D5"/>
    <w:rsid w:val="00BC05C5"/>
    <w:rsid w:val="00BC05E4"/>
    <w:rsid w:val="00BC24E2"/>
    <w:rsid w:val="00BC4060"/>
    <w:rsid w:val="00BD0166"/>
    <w:rsid w:val="00BD018B"/>
    <w:rsid w:val="00BD04BE"/>
    <w:rsid w:val="00BD0547"/>
    <w:rsid w:val="00BD06B1"/>
    <w:rsid w:val="00BD0A32"/>
    <w:rsid w:val="00BD14D8"/>
    <w:rsid w:val="00BD1852"/>
    <w:rsid w:val="00BD2B33"/>
    <w:rsid w:val="00BD3792"/>
    <w:rsid w:val="00BD4A26"/>
    <w:rsid w:val="00BD4ACB"/>
    <w:rsid w:val="00BD602C"/>
    <w:rsid w:val="00BD674A"/>
    <w:rsid w:val="00BD7705"/>
    <w:rsid w:val="00BE0506"/>
    <w:rsid w:val="00BE05DE"/>
    <w:rsid w:val="00BE2097"/>
    <w:rsid w:val="00BE2258"/>
    <w:rsid w:val="00BE389C"/>
    <w:rsid w:val="00BE43FC"/>
    <w:rsid w:val="00BE501F"/>
    <w:rsid w:val="00BE50F8"/>
    <w:rsid w:val="00BE5FAF"/>
    <w:rsid w:val="00BE5FD0"/>
    <w:rsid w:val="00BE6F28"/>
    <w:rsid w:val="00BE7675"/>
    <w:rsid w:val="00BF150E"/>
    <w:rsid w:val="00BF16E2"/>
    <w:rsid w:val="00BF1CC0"/>
    <w:rsid w:val="00BF29FA"/>
    <w:rsid w:val="00BF2B7F"/>
    <w:rsid w:val="00BF2EB2"/>
    <w:rsid w:val="00BF2F89"/>
    <w:rsid w:val="00BF32DA"/>
    <w:rsid w:val="00BF3A09"/>
    <w:rsid w:val="00BF6CB4"/>
    <w:rsid w:val="00BF6D85"/>
    <w:rsid w:val="00BF741A"/>
    <w:rsid w:val="00C00773"/>
    <w:rsid w:val="00C014CC"/>
    <w:rsid w:val="00C01828"/>
    <w:rsid w:val="00C047A2"/>
    <w:rsid w:val="00C04D2B"/>
    <w:rsid w:val="00C050E4"/>
    <w:rsid w:val="00C06416"/>
    <w:rsid w:val="00C10171"/>
    <w:rsid w:val="00C102E1"/>
    <w:rsid w:val="00C14341"/>
    <w:rsid w:val="00C1472B"/>
    <w:rsid w:val="00C14E99"/>
    <w:rsid w:val="00C15A82"/>
    <w:rsid w:val="00C16586"/>
    <w:rsid w:val="00C1783E"/>
    <w:rsid w:val="00C17EEC"/>
    <w:rsid w:val="00C20561"/>
    <w:rsid w:val="00C22542"/>
    <w:rsid w:val="00C23054"/>
    <w:rsid w:val="00C230B3"/>
    <w:rsid w:val="00C23EBF"/>
    <w:rsid w:val="00C24EA1"/>
    <w:rsid w:val="00C255C5"/>
    <w:rsid w:val="00C26935"/>
    <w:rsid w:val="00C2727C"/>
    <w:rsid w:val="00C27A58"/>
    <w:rsid w:val="00C3027D"/>
    <w:rsid w:val="00C3281E"/>
    <w:rsid w:val="00C32996"/>
    <w:rsid w:val="00C330D3"/>
    <w:rsid w:val="00C33351"/>
    <w:rsid w:val="00C37484"/>
    <w:rsid w:val="00C41468"/>
    <w:rsid w:val="00C42707"/>
    <w:rsid w:val="00C43B0B"/>
    <w:rsid w:val="00C43EE4"/>
    <w:rsid w:val="00C44EE8"/>
    <w:rsid w:val="00C474DF"/>
    <w:rsid w:val="00C50D05"/>
    <w:rsid w:val="00C53494"/>
    <w:rsid w:val="00C53CA1"/>
    <w:rsid w:val="00C550FF"/>
    <w:rsid w:val="00C55576"/>
    <w:rsid w:val="00C56688"/>
    <w:rsid w:val="00C60278"/>
    <w:rsid w:val="00C60FD1"/>
    <w:rsid w:val="00C61296"/>
    <w:rsid w:val="00C61368"/>
    <w:rsid w:val="00C619FA"/>
    <w:rsid w:val="00C64527"/>
    <w:rsid w:val="00C64531"/>
    <w:rsid w:val="00C64A51"/>
    <w:rsid w:val="00C6552E"/>
    <w:rsid w:val="00C65855"/>
    <w:rsid w:val="00C660B2"/>
    <w:rsid w:val="00C7009D"/>
    <w:rsid w:val="00C701EB"/>
    <w:rsid w:val="00C70991"/>
    <w:rsid w:val="00C7122E"/>
    <w:rsid w:val="00C719E0"/>
    <w:rsid w:val="00C72FA6"/>
    <w:rsid w:val="00C737C5"/>
    <w:rsid w:val="00C7387E"/>
    <w:rsid w:val="00C73C43"/>
    <w:rsid w:val="00C75762"/>
    <w:rsid w:val="00C75825"/>
    <w:rsid w:val="00C7640D"/>
    <w:rsid w:val="00C76834"/>
    <w:rsid w:val="00C768B1"/>
    <w:rsid w:val="00C771B5"/>
    <w:rsid w:val="00C7791F"/>
    <w:rsid w:val="00C77A83"/>
    <w:rsid w:val="00C80B12"/>
    <w:rsid w:val="00C8140A"/>
    <w:rsid w:val="00C81DA5"/>
    <w:rsid w:val="00C82289"/>
    <w:rsid w:val="00C83C13"/>
    <w:rsid w:val="00C84747"/>
    <w:rsid w:val="00C8548C"/>
    <w:rsid w:val="00C85779"/>
    <w:rsid w:val="00C869D3"/>
    <w:rsid w:val="00C90DF7"/>
    <w:rsid w:val="00C9275E"/>
    <w:rsid w:val="00C9351E"/>
    <w:rsid w:val="00C946D6"/>
    <w:rsid w:val="00C949AD"/>
    <w:rsid w:val="00C94B35"/>
    <w:rsid w:val="00C95C6D"/>
    <w:rsid w:val="00C95CFE"/>
    <w:rsid w:val="00CA30E5"/>
    <w:rsid w:val="00CA3540"/>
    <w:rsid w:val="00CA5D32"/>
    <w:rsid w:val="00CA62FB"/>
    <w:rsid w:val="00CA6DED"/>
    <w:rsid w:val="00CB01E2"/>
    <w:rsid w:val="00CB0A52"/>
    <w:rsid w:val="00CB332D"/>
    <w:rsid w:val="00CB613A"/>
    <w:rsid w:val="00CB6271"/>
    <w:rsid w:val="00CC49D4"/>
    <w:rsid w:val="00CC64EC"/>
    <w:rsid w:val="00CD4102"/>
    <w:rsid w:val="00CD4C39"/>
    <w:rsid w:val="00CD5DFC"/>
    <w:rsid w:val="00CD6EB6"/>
    <w:rsid w:val="00CD7217"/>
    <w:rsid w:val="00CE0712"/>
    <w:rsid w:val="00CE25AC"/>
    <w:rsid w:val="00CE2F1F"/>
    <w:rsid w:val="00CE44A7"/>
    <w:rsid w:val="00CE4ABD"/>
    <w:rsid w:val="00CE567F"/>
    <w:rsid w:val="00CE6F5A"/>
    <w:rsid w:val="00CF1231"/>
    <w:rsid w:val="00CF42CF"/>
    <w:rsid w:val="00CF4491"/>
    <w:rsid w:val="00CF4824"/>
    <w:rsid w:val="00CF6508"/>
    <w:rsid w:val="00CF6A3E"/>
    <w:rsid w:val="00CF7270"/>
    <w:rsid w:val="00D00814"/>
    <w:rsid w:val="00D02E6F"/>
    <w:rsid w:val="00D043E8"/>
    <w:rsid w:val="00D058C3"/>
    <w:rsid w:val="00D05BA0"/>
    <w:rsid w:val="00D07350"/>
    <w:rsid w:val="00D07EA0"/>
    <w:rsid w:val="00D102E9"/>
    <w:rsid w:val="00D1086F"/>
    <w:rsid w:val="00D123D0"/>
    <w:rsid w:val="00D15155"/>
    <w:rsid w:val="00D15BF8"/>
    <w:rsid w:val="00D1688F"/>
    <w:rsid w:val="00D1747C"/>
    <w:rsid w:val="00D2081C"/>
    <w:rsid w:val="00D2117F"/>
    <w:rsid w:val="00D218F3"/>
    <w:rsid w:val="00D234D5"/>
    <w:rsid w:val="00D24DF8"/>
    <w:rsid w:val="00D25317"/>
    <w:rsid w:val="00D26347"/>
    <w:rsid w:val="00D264A3"/>
    <w:rsid w:val="00D2797A"/>
    <w:rsid w:val="00D3044A"/>
    <w:rsid w:val="00D3139D"/>
    <w:rsid w:val="00D31AB5"/>
    <w:rsid w:val="00D320A0"/>
    <w:rsid w:val="00D32253"/>
    <w:rsid w:val="00D335F3"/>
    <w:rsid w:val="00D347DE"/>
    <w:rsid w:val="00D357D7"/>
    <w:rsid w:val="00D372EB"/>
    <w:rsid w:val="00D37DE6"/>
    <w:rsid w:val="00D40671"/>
    <w:rsid w:val="00D40BD7"/>
    <w:rsid w:val="00D421F8"/>
    <w:rsid w:val="00D44DFF"/>
    <w:rsid w:val="00D45352"/>
    <w:rsid w:val="00D5068A"/>
    <w:rsid w:val="00D537E5"/>
    <w:rsid w:val="00D5433B"/>
    <w:rsid w:val="00D54E3B"/>
    <w:rsid w:val="00D55558"/>
    <w:rsid w:val="00D57587"/>
    <w:rsid w:val="00D6016F"/>
    <w:rsid w:val="00D61A39"/>
    <w:rsid w:val="00D6209E"/>
    <w:rsid w:val="00D62AB9"/>
    <w:rsid w:val="00D632B1"/>
    <w:rsid w:val="00D63B18"/>
    <w:rsid w:val="00D6407E"/>
    <w:rsid w:val="00D64967"/>
    <w:rsid w:val="00D6576B"/>
    <w:rsid w:val="00D66DB6"/>
    <w:rsid w:val="00D66E8B"/>
    <w:rsid w:val="00D70A38"/>
    <w:rsid w:val="00D71738"/>
    <w:rsid w:val="00D71B43"/>
    <w:rsid w:val="00D71D6D"/>
    <w:rsid w:val="00D75EA9"/>
    <w:rsid w:val="00D767EF"/>
    <w:rsid w:val="00D8056B"/>
    <w:rsid w:val="00D828FA"/>
    <w:rsid w:val="00D839AC"/>
    <w:rsid w:val="00D84645"/>
    <w:rsid w:val="00D85715"/>
    <w:rsid w:val="00D86231"/>
    <w:rsid w:val="00D8706C"/>
    <w:rsid w:val="00D90C3A"/>
    <w:rsid w:val="00D90F55"/>
    <w:rsid w:val="00D95333"/>
    <w:rsid w:val="00D955E1"/>
    <w:rsid w:val="00D96915"/>
    <w:rsid w:val="00D97AD2"/>
    <w:rsid w:val="00DA1377"/>
    <w:rsid w:val="00DA4691"/>
    <w:rsid w:val="00DA4C62"/>
    <w:rsid w:val="00DA5630"/>
    <w:rsid w:val="00DA5638"/>
    <w:rsid w:val="00DA6594"/>
    <w:rsid w:val="00DB07BB"/>
    <w:rsid w:val="00DB0D41"/>
    <w:rsid w:val="00DB14FC"/>
    <w:rsid w:val="00DB240B"/>
    <w:rsid w:val="00DB39CC"/>
    <w:rsid w:val="00DB6A17"/>
    <w:rsid w:val="00DB6A89"/>
    <w:rsid w:val="00DC1EB6"/>
    <w:rsid w:val="00DC50AF"/>
    <w:rsid w:val="00DC5375"/>
    <w:rsid w:val="00DD115B"/>
    <w:rsid w:val="00DD2094"/>
    <w:rsid w:val="00DD4E84"/>
    <w:rsid w:val="00DD5520"/>
    <w:rsid w:val="00DE07FB"/>
    <w:rsid w:val="00DE1209"/>
    <w:rsid w:val="00DE2D29"/>
    <w:rsid w:val="00DE46E4"/>
    <w:rsid w:val="00DE4D0B"/>
    <w:rsid w:val="00DE6657"/>
    <w:rsid w:val="00DE70E9"/>
    <w:rsid w:val="00DE7E22"/>
    <w:rsid w:val="00DF009F"/>
    <w:rsid w:val="00DF07DC"/>
    <w:rsid w:val="00DF0D74"/>
    <w:rsid w:val="00DF16C2"/>
    <w:rsid w:val="00DF1E86"/>
    <w:rsid w:val="00DF2286"/>
    <w:rsid w:val="00DF228B"/>
    <w:rsid w:val="00DF2516"/>
    <w:rsid w:val="00DF50D2"/>
    <w:rsid w:val="00DF53AB"/>
    <w:rsid w:val="00DF5B72"/>
    <w:rsid w:val="00DF6BAC"/>
    <w:rsid w:val="00E00F76"/>
    <w:rsid w:val="00E02350"/>
    <w:rsid w:val="00E02E27"/>
    <w:rsid w:val="00E04FF3"/>
    <w:rsid w:val="00E1004C"/>
    <w:rsid w:val="00E104D0"/>
    <w:rsid w:val="00E12B46"/>
    <w:rsid w:val="00E12D36"/>
    <w:rsid w:val="00E12D7B"/>
    <w:rsid w:val="00E151FC"/>
    <w:rsid w:val="00E1586B"/>
    <w:rsid w:val="00E169C5"/>
    <w:rsid w:val="00E16B9C"/>
    <w:rsid w:val="00E17236"/>
    <w:rsid w:val="00E17B4A"/>
    <w:rsid w:val="00E17E21"/>
    <w:rsid w:val="00E21E75"/>
    <w:rsid w:val="00E23CF5"/>
    <w:rsid w:val="00E25376"/>
    <w:rsid w:val="00E255EE"/>
    <w:rsid w:val="00E265E0"/>
    <w:rsid w:val="00E26BBD"/>
    <w:rsid w:val="00E27E66"/>
    <w:rsid w:val="00E3129C"/>
    <w:rsid w:val="00E32374"/>
    <w:rsid w:val="00E32AEF"/>
    <w:rsid w:val="00E35BB4"/>
    <w:rsid w:val="00E37B84"/>
    <w:rsid w:val="00E43B15"/>
    <w:rsid w:val="00E47743"/>
    <w:rsid w:val="00E50874"/>
    <w:rsid w:val="00E50B84"/>
    <w:rsid w:val="00E50EEF"/>
    <w:rsid w:val="00E519DC"/>
    <w:rsid w:val="00E537CE"/>
    <w:rsid w:val="00E53A9B"/>
    <w:rsid w:val="00E54053"/>
    <w:rsid w:val="00E54D26"/>
    <w:rsid w:val="00E54D28"/>
    <w:rsid w:val="00E54F27"/>
    <w:rsid w:val="00E54FDF"/>
    <w:rsid w:val="00E56631"/>
    <w:rsid w:val="00E56C7B"/>
    <w:rsid w:val="00E607DB"/>
    <w:rsid w:val="00E623BF"/>
    <w:rsid w:val="00E6569C"/>
    <w:rsid w:val="00E65911"/>
    <w:rsid w:val="00E66EA5"/>
    <w:rsid w:val="00E71294"/>
    <w:rsid w:val="00E71F1B"/>
    <w:rsid w:val="00E750E6"/>
    <w:rsid w:val="00E76AF5"/>
    <w:rsid w:val="00E807DA"/>
    <w:rsid w:val="00E80B35"/>
    <w:rsid w:val="00E81F7C"/>
    <w:rsid w:val="00E82A67"/>
    <w:rsid w:val="00E83FD6"/>
    <w:rsid w:val="00E8436F"/>
    <w:rsid w:val="00E84E3A"/>
    <w:rsid w:val="00E867C3"/>
    <w:rsid w:val="00E86D0F"/>
    <w:rsid w:val="00E8774C"/>
    <w:rsid w:val="00E90591"/>
    <w:rsid w:val="00E90C6C"/>
    <w:rsid w:val="00E91184"/>
    <w:rsid w:val="00E93624"/>
    <w:rsid w:val="00E93AD7"/>
    <w:rsid w:val="00E93FFB"/>
    <w:rsid w:val="00E94F88"/>
    <w:rsid w:val="00E9636A"/>
    <w:rsid w:val="00E979A2"/>
    <w:rsid w:val="00E97A75"/>
    <w:rsid w:val="00E97F8E"/>
    <w:rsid w:val="00EA05AF"/>
    <w:rsid w:val="00EA0CE5"/>
    <w:rsid w:val="00EA24D2"/>
    <w:rsid w:val="00EA28BA"/>
    <w:rsid w:val="00EA2BB8"/>
    <w:rsid w:val="00EA3A03"/>
    <w:rsid w:val="00EA4A3E"/>
    <w:rsid w:val="00EA4D0D"/>
    <w:rsid w:val="00EA4F75"/>
    <w:rsid w:val="00EA5B3C"/>
    <w:rsid w:val="00EA600C"/>
    <w:rsid w:val="00EA6BDF"/>
    <w:rsid w:val="00EB1589"/>
    <w:rsid w:val="00EB15F4"/>
    <w:rsid w:val="00EB1B1C"/>
    <w:rsid w:val="00EB23AD"/>
    <w:rsid w:val="00EB2FFB"/>
    <w:rsid w:val="00EB4097"/>
    <w:rsid w:val="00EB4E0E"/>
    <w:rsid w:val="00EB5361"/>
    <w:rsid w:val="00EB588E"/>
    <w:rsid w:val="00EB5CDF"/>
    <w:rsid w:val="00EB6473"/>
    <w:rsid w:val="00EB75B2"/>
    <w:rsid w:val="00EB7928"/>
    <w:rsid w:val="00EB7958"/>
    <w:rsid w:val="00EC17FD"/>
    <w:rsid w:val="00EC190D"/>
    <w:rsid w:val="00EC30C2"/>
    <w:rsid w:val="00EC40B9"/>
    <w:rsid w:val="00EC43B9"/>
    <w:rsid w:val="00EC53DB"/>
    <w:rsid w:val="00EC5421"/>
    <w:rsid w:val="00EC64CF"/>
    <w:rsid w:val="00EC6669"/>
    <w:rsid w:val="00EC6FE9"/>
    <w:rsid w:val="00ED09CD"/>
    <w:rsid w:val="00ED2D35"/>
    <w:rsid w:val="00ED4D69"/>
    <w:rsid w:val="00ED516D"/>
    <w:rsid w:val="00ED6975"/>
    <w:rsid w:val="00ED6BDA"/>
    <w:rsid w:val="00EE23CD"/>
    <w:rsid w:val="00EE297F"/>
    <w:rsid w:val="00EE34BA"/>
    <w:rsid w:val="00EE362F"/>
    <w:rsid w:val="00EE4458"/>
    <w:rsid w:val="00EE467C"/>
    <w:rsid w:val="00EE46DB"/>
    <w:rsid w:val="00EE5A9A"/>
    <w:rsid w:val="00EF0E19"/>
    <w:rsid w:val="00EF1F56"/>
    <w:rsid w:val="00EF34B4"/>
    <w:rsid w:val="00EF3FC3"/>
    <w:rsid w:val="00EF41AD"/>
    <w:rsid w:val="00EF74AD"/>
    <w:rsid w:val="00F01F86"/>
    <w:rsid w:val="00F023A0"/>
    <w:rsid w:val="00F024E2"/>
    <w:rsid w:val="00F0258A"/>
    <w:rsid w:val="00F02A9C"/>
    <w:rsid w:val="00F0450B"/>
    <w:rsid w:val="00F06935"/>
    <w:rsid w:val="00F103F5"/>
    <w:rsid w:val="00F10E4E"/>
    <w:rsid w:val="00F114AE"/>
    <w:rsid w:val="00F11CE3"/>
    <w:rsid w:val="00F1212E"/>
    <w:rsid w:val="00F12E39"/>
    <w:rsid w:val="00F12FD2"/>
    <w:rsid w:val="00F147F5"/>
    <w:rsid w:val="00F15586"/>
    <w:rsid w:val="00F174AC"/>
    <w:rsid w:val="00F24D56"/>
    <w:rsid w:val="00F252AC"/>
    <w:rsid w:val="00F25DB6"/>
    <w:rsid w:val="00F27495"/>
    <w:rsid w:val="00F27560"/>
    <w:rsid w:val="00F3018A"/>
    <w:rsid w:val="00F30BC7"/>
    <w:rsid w:val="00F30FFC"/>
    <w:rsid w:val="00F32772"/>
    <w:rsid w:val="00F32810"/>
    <w:rsid w:val="00F35B25"/>
    <w:rsid w:val="00F377A7"/>
    <w:rsid w:val="00F411AD"/>
    <w:rsid w:val="00F429C0"/>
    <w:rsid w:val="00F43CA0"/>
    <w:rsid w:val="00F43DB3"/>
    <w:rsid w:val="00F4457B"/>
    <w:rsid w:val="00F469DA"/>
    <w:rsid w:val="00F4786F"/>
    <w:rsid w:val="00F5014A"/>
    <w:rsid w:val="00F503FB"/>
    <w:rsid w:val="00F5058B"/>
    <w:rsid w:val="00F50590"/>
    <w:rsid w:val="00F5123D"/>
    <w:rsid w:val="00F5131C"/>
    <w:rsid w:val="00F529B9"/>
    <w:rsid w:val="00F53439"/>
    <w:rsid w:val="00F54AFD"/>
    <w:rsid w:val="00F55030"/>
    <w:rsid w:val="00F5531F"/>
    <w:rsid w:val="00F55A6F"/>
    <w:rsid w:val="00F56F79"/>
    <w:rsid w:val="00F57069"/>
    <w:rsid w:val="00F607AA"/>
    <w:rsid w:val="00F6225D"/>
    <w:rsid w:val="00F623B5"/>
    <w:rsid w:val="00F63D30"/>
    <w:rsid w:val="00F63DC3"/>
    <w:rsid w:val="00F668D7"/>
    <w:rsid w:val="00F67088"/>
    <w:rsid w:val="00F67BC5"/>
    <w:rsid w:val="00F70D3C"/>
    <w:rsid w:val="00F72221"/>
    <w:rsid w:val="00F72F56"/>
    <w:rsid w:val="00F75121"/>
    <w:rsid w:val="00F7696F"/>
    <w:rsid w:val="00F817B5"/>
    <w:rsid w:val="00F81CF4"/>
    <w:rsid w:val="00F8209B"/>
    <w:rsid w:val="00F829DB"/>
    <w:rsid w:val="00F84053"/>
    <w:rsid w:val="00F85785"/>
    <w:rsid w:val="00F8694C"/>
    <w:rsid w:val="00F900C7"/>
    <w:rsid w:val="00F9243D"/>
    <w:rsid w:val="00F95AB8"/>
    <w:rsid w:val="00F97992"/>
    <w:rsid w:val="00F97CD9"/>
    <w:rsid w:val="00FA0554"/>
    <w:rsid w:val="00FA0576"/>
    <w:rsid w:val="00FA6B94"/>
    <w:rsid w:val="00FB3119"/>
    <w:rsid w:val="00FB33C0"/>
    <w:rsid w:val="00FB4694"/>
    <w:rsid w:val="00FB50B4"/>
    <w:rsid w:val="00FB6C1B"/>
    <w:rsid w:val="00FB6EF1"/>
    <w:rsid w:val="00FB7BF9"/>
    <w:rsid w:val="00FC0DCD"/>
    <w:rsid w:val="00FC2F5E"/>
    <w:rsid w:val="00FC53A9"/>
    <w:rsid w:val="00FC7EB3"/>
    <w:rsid w:val="00FD3A9E"/>
    <w:rsid w:val="00FD3E68"/>
    <w:rsid w:val="00FD4B97"/>
    <w:rsid w:val="00FD4DA9"/>
    <w:rsid w:val="00FD6F15"/>
    <w:rsid w:val="00FD6F21"/>
    <w:rsid w:val="00FD7402"/>
    <w:rsid w:val="00FD7776"/>
    <w:rsid w:val="00FD7F20"/>
    <w:rsid w:val="00FE08C3"/>
    <w:rsid w:val="00FE16BE"/>
    <w:rsid w:val="00FE348D"/>
    <w:rsid w:val="00FE4C79"/>
    <w:rsid w:val="00FE55EB"/>
    <w:rsid w:val="00FF038F"/>
    <w:rsid w:val="00FF05B4"/>
    <w:rsid w:val="00FF13BD"/>
    <w:rsid w:val="00FF38FF"/>
    <w:rsid w:val="00FF5DB5"/>
    <w:rsid w:val="00FF66DE"/>
    <w:rsid w:val="00FF7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3A5204"/>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59"/>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57"/>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NECG) Footnot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 w:type="paragraph" w:styleId="ListNumber2">
    <w:name w:val="List Number 2"/>
    <w:basedOn w:val="Normal"/>
    <w:uiPriority w:val="99"/>
    <w:semiHidden/>
    <w:unhideWhenUsed/>
    <w:locked/>
    <w:rsid w:val="00EF41AD"/>
    <w:pPr>
      <w:numPr>
        <w:numId w:val="55"/>
      </w:numPr>
      <w:contextualSpacing/>
    </w:pPr>
  </w:style>
  <w:style w:type="character" w:styleId="PlaceholderText">
    <w:name w:val="Placeholder Text"/>
    <w:basedOn w:val="DefaultParagraphFont"/>
    <w:uiPriority w:val="99"/>
    <w:unhideWhenUsed/>
    <w:rsid w:val="009B44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57"/>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59728513">
      <w:bodyDiv w:val="1"/>
      <w:marLeft w:val="0"/>
      <w:marRight w:val="0"/>
      <w:marTop w:val="0"/>
      <w:marBottom w:val="0"/>
      <w:divBdr>
        <w:top w:val="none" w:sz="0" w:space="0" w:color="auto"/>
        <w:left w:val="none" w:sz="0" w:space="0" w:color="auto"/>
        <w:bottom w:val="none" w:sz="0" w:space="0" w:color="auto"/>
        <w:right w:val="none" w:sz="0" w:space="0" w:color="auto"/>
      </w:divBdr>
      <w:divsChild>
        <w:div w:id="710226652">
          <w:marLeft w:val="0"/>
          <w:marRight w:val="0"/>
          <w:marTop w:val="0"/>
          <w:marBottom w:val="0"/>
          <w:divBdr>
            <w:top w:val="none" w:sz="0" w:space="0" w:color="auto"/>
            <w:left w:val="none" w:sz="0" w:space="0" w:color="auto"/>
            <w:bottom w:val="none" w:sz="0" w:space="0" w:color="auto"/>
            <w:right w:val="none" w:sz="0" w:space="0" w:color="auto"/>
          </w:divBdr>
          <w:divsChild>
            <w:div w:id="2133203507">
              <w:marLeft w:val="0"/>
              <w:marRight w:val="0"/>
              <w:marTop w:val="0"/>
              <w:marBottom w:val="0"/>
              <w:divBdr>
                <w:top w:val="none" w:sz="0" w:space="0" w:color="auto"/>
                <w:left w:val="none" w:sz="0" w:space="0" w:color="auto"/>
                <w:bottom w:val="none" w:sz="0" w:space="0" w:color="auto"/>
                <w:right w:val="none" w:sz="0" w:space="0" w:color="auto"/>
              </w:divBdr>
              <w:divsChild>
                <w:div w:id="624694634">
                  <w:marLeft w:val="0"/>
                  <w:marRight w:val="0"/>
                  <w:marTop w:val="0"/>
                  <w:marBottom w:val="0"/>
                  <w:divBdr>
                    <w:top w:val="none" w:sz="0" w:space="0" w:color="auto"/>
                    <w:left w:val="none" w:sz="0" w:space="0" w:color="auto"/>
                    <w:bottom w:val="none" w:sz="0" w:space="0" w:color="auto"/>
                    <w:right w:val="none" w:sz="0" w:space="0" w:color="auto"/>
                  </w:divBdr>
                  <w:divsChild>
                    <w:div w:id="1138648445">
                      <w:marLeft w:val="0"/>
                      <w:marRight w:val="0"/>
                      <w:marTop w:val="0"/>
                      <w:marBottom w:val="0"/>
                      <w:divBdr>
                        <w:top w:val="none" w:sz="0" w:space="0" w:color="auto"/>
                        <w:left w:val="none" w:sz="0" w:space="0" w:color="auto"/>
                        <w:bottom w:val="none" w:sz="0" w:space="0" w:color="auto"/>
                        <w:right w:val="none" w:sz="0" w:space="0" w:color="auto"/>
                      </w:divBdr>
                      <w:divsChild>
                        <w:div w:id="412894651">
                          <w:marLeft w:val="0"/>
                          <w:marRight w:val="0"/>
                          <w:marTop w:val="0"/>
                          <w:marBottom w:val="0"/>
                          <w:divBdr>
                            <w:top w:val="none" w:sz="0" w:space="0" w:color="auto"/>
                            <w:left w:val="none" w:sz="0" w:space="0" w:color="auto"/>
                            <w:bottom w:val="none" w:sz="0" w:space="0" w:color="auto"/>
                            <w:right w:val="none" w:sz="0" w:space="0" w:color="auto"/>
                          </w:divBdr>
                          <w:divsChild>
                            <w:div w:id="1676683321">
                              <w:marLeft w:val="0"/>
                              <w:marRight w:val="0"/>
                              <w:marTop w:val="0"/>
                              <w:marBottom w:val="0"/>
                              <w:divBdr>
                                <w:top w:val="none" w:sz="0" w:space="0" w:color="auto"/>
                                <w:left w:val="none" w:sz="0" w:space="0" w:color="auto"/>
                                <w:bottom w:val="none" w:sz="0" w:space="0" w:color="auto"/>
                                <w:right w:val="none" w:sz="0" w:space="0" w:color="auto"/>
                              </w:divBdr>
                              <w:divsChild>
                                <w:div w:id="1595629397">
                                  <w:marLeft w:val="0"/>
                                  <w:marRight w:val="0"/>
                                  <w:marTop w:val="0"/>
                                  <w:marBottom w:val="0"/>
                                  <w:divBdr>
                                    <w:top w:val="none" w:sz="0" w:space="0" w:color="auto"/>
                                    <w:left w:val="none" w:sz="0" w:space="0" w:color="auto"/>
                                    <w:bottom w:val="none" w:sz="0" w:space="0" w:color="auto"/>
                                    <w:right w:val="none" w:sz="0" w:space="0" w:color="auto"/>
                                  </w:divBdr>
                                  <w:divsChild>
                                    <w:div w:id="694815824">
                                      <w:marLeft w:val="0"/>
                                      <w:marRight w:val="0"/>
                                      <w:marTop w:val="0"/>
                                      <w:marBottom w:val="0"/>
                                      <w:divBdr>
                                        <w:top w:val="none" w:sz="0" w:space="0" w:color="auto"/>
                                        <w:left w:val="none" w:sz="0" w:space="0" w:color="auto"/>
                                        <w:bottom w:val="none" w:sz="0" w:space="0" w:color="auto"/>
                                        <w:right w:val="none" w:sz="0" w:space="0" w:color="auto"/>
                                      </w:divBdr>
                                      <w:divsChild>
                                        <w:div w:id="578561384">
                                          <w:marLeft w:val="0"/>
                                          <w:marRight w:val="0"/>
                                          <w:marTop w:val="0"/>
                                          <w:marBottom w:val="0"/>
                                          <w:divBdr>
                                            <w:top w:val="none" w:sz="0" w:space="0" w:color="auto"/>
                                            <w:left w:val="none" w:sz="0" w:space="0" w:color="auto"/>
                                            <w:bottom w:val="none" w:sz="0" w:space="0" w:color="auto"/>
                                            <w:right w:val="none" w:sz="0" w:space="0" w:color="auto"/>
                                          </w:divBdr>
                                          <w:divsChild>
                                            <w:div w:id="1237740365">
                                              <w:marLeft w:val="0"/>
                                              <w:marRight w:val="0"/>
                                              <w:marTop w:val="0"/>
                                              <w:marBottom w:val="0"/>
                                              <w:divBdr>
                                                <w:top w:val="none" w:sz="0" w:space="0" w:color="auto"/>
                                                <w:left w:val="none" w:sz="0" w:space="0" w:color="auto"/>
                                                <w:bottom w:val="none" w:sz="0" w:space="0" w:color="auto"/>
                                                <w:right w:val="none" w:sz="0" w:space="0" w:color="auto"/>
                                              </w:divBdr>
                                              <w:divsChild>
                                                <w:div w:id="15363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A6505FC1.dotm</Template>
  <TotalTime>0</TotalTime>
  <Pages>71</Pages>
  <Words>26662</Words>
  <Characters>151977</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178283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2014-11-26T06:46:00Z</dcterms:created>
  <dcterms:modified xsi:type="dcterms:W3CDTF">2014-11-26T06:46:00Z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8307290</vt:lpwstr>
  </property>
</Properties>
</file>