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B8" w:rsidRDefault="008955B8" w:rsidP="008955B8">
      <w:pPr>
        <w:pStyle w:val="AERtitle1"/>
      </w:pPr>
      <w:bookmarkStart w:id="0" w:name="_Toc387916817"/>
      <w:bookmarkStart w:id="1" w:name="_GoBack"/>
      <w:bookmarkEnd w:id="1"/>
      <w:r w:rsidRPr="008955B8">
        <w:rPr>
          <w:noProof/>
        </w:rPr>
        <w:drawing>
          <wp:anchor distT="0" distB="0" distL="114300" distR="114300" simplePos="0" relativeHeight="251659264" behindDoc="1" locked="0" layoutInCell="1" allowOverlap="1" wp14:anchorId="7E829921" wp14:editId="7339829E">
            <wp:simplePos x="0" y="0"/>
            <wp:positionH relativeFrom="column">
              <wp:posOffset>-946150</wp:posOffset>
            </wp:positionH>
            <wp:positionV relativeFrom="paragraph">
              <wp:posOffset>-933450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8955B8" w:rsidRDefault="008955B8" w:rsidP="008955B8">
      <w:pPr>
        <w:pStyle w:val="AERtitle1"/>
      </w:pPr>
    </w:p>
    <w:p w:rsidR="008955B8" w:rsidRDefault="008955B8" w:rsidP="008955B8">
      <w:pPr>
        <w:pStyle w:val="AERtitle1"/>
      </w:pPr>
    </w:p>
    <w:p w:rsidR="008955B8" w:rsidRDefault="008955B8" w:rsidP="008955B8">
      <w:pPr>
        <w:pStyle w:val="AERtitle1"/>
      </w:pPr>
    </w:p>
    <w:p w:rsidR="008955B8" w:rsidRDefault="008955B8" w:rsidP="008955B8">
      <w:pPr>
        <w:pStyle w:val="AERtitle1"/>
      </w:pPr>
    </w:p>
    <w:p w:rsidR="008955B8" w:rsidRDefault="008955B8" w:rsidP="008955B8">
      <w:pPr>
        <w:pStyle w:val="AERtitle1"/>
      </w:pPr>
    </w:p>
    <w:p w:rsidR="008955B8" w:rsidRPr="000A33B4" w:rsidRDefault="008955B8" w:rsidP="008955B8">
      <w:pPr>
        <w:pStyle w:val="AERtitle1"/>
      </w:pPr>
      <w:r>
        <w:t>Draft Decision</w:t>
      </w:r>
    </w:p>
    <w:p w:rsidR="008955B8" w:rsidRDefault="008955B8" w:rsidP="008955B8">
      <w:pPr>
        <w:pStyle w:val="AERtitle1"/>
      </w:pPr>
      <w:r>
        <w:t>Ausgrid distribution determination</w:t>
      </w:r>
    </w:p>
    <w:p w:rsidR="008955B8" w:rsidRPr="000A33B4" w:rsidRDefault="008955B8" w:rsidP="008955B8">
      <w:pPr>
        <w:pStyle w:val="AERtitle1"/>
      </w:pPr>
      <w:r>
        <w:t>2015–16</w:t>
      </w:r>
      <w:r w:rsidRPr="000A33B4">
        <w:t xml:space="preserve"> to 201</w:t>
      </w:r>
      <w:r>
        <w:t>8–</w:t>
      </w:r>
      <w:r w:rsidRPr="000A33B4">
        <w:t>1</w:t>
      </w:r>
      <w:r>
        <w:t>9</w:t>
      </w:r>
    </w:p>
    <w:p w:rsidR="008955B8" w:rsidRPr="000A33B4" w:rsidRDefault="008955B8" w:rsidP="008955B8">
      <w:pPr>
        <w:pStyle w:val="AERtitle1"/>
      </w:pPr>
      <w:r>
        <w:t>Attachment 5: Regulatory depreciation</w:t>
      </w:r>
    </w:p>
    <w:p w:rsidR="008955B8" w:rsidRPr="000A33B4" w:rsidRDefault="008955B8" w:rsidP="008955B8">
      <w:pPr>
        <w:pStyle w:val="AERbodytext"/>
      </w:pPr>
    </w:p>
    <w:p w:rsidR="008955B8" w:rsidRDefault="008955B8" w:rsidP="008955B8">
      <w:pPr>
        <w:pStyle w:val="AERtitle2"/>
      </w:pPr>
      <w:r w:rsidRPr="000A33B4">
        <w:t>November 2014</w:t>
      </w:r>
    </w:p>
    <w:p w:rsidR="008955B8" w:rsidRPr="008955B8" w:rsidRDefault="008955B8" w:rsidP="008955B8">
      <w:r>
        <w:br w:type="page"/>
      </w:r>
    </w:p>
    <w:p w:rsidR="008955B8" w:rsidRPr="000A33B4" w:rsidRDefault="008955B8" w:rsidP="008955B8">
      <w:pPr>
        <w:pStyle w:val="AERbodytextnospace"/>
        <w:rPr>
          <w:rStyle w:val="AERtextbold"/>
        </w:rPr>
      </w:pPr>
      <w:r w:rsidRPr="000A33B4">
        <w:rPr>
          <w:rStyle w:val="AERtextbold"/>
        </w:rPr>
        <w:lastRenderedPageBreak/>
        <w:t>© Commonwealth of Australia 2014</w:t>
      </w:r>
    </w:p>
    <w:p w:rsidR="008955B8" w:rsidRPr="000A33B4" w:rsidRDefault="008955B8" w:rsidP="008955B8">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8955B8" w:rsidRPr="000A33B4" w:rsidRDefault="008955B8" w:rsidP="008955B8">
      <w:pPr>
        <w:pStyle w:val="AERbulletlistfirststyle"/>
      </w:pPr>
      <w:r w:rsidRPr="000A33B4">
        <w:t>the Commonwealth Coat of Arms</w:t>
      </w:r>
    </w:p>
    <w:p w:rsidR="008955B8" w:rsidRDefault="008955B8" w:rsidP="008955B8">
      <w:pPr>
        <w:pStyle w:val="AERbulletlistfirststyle"/>
      </w:pPr>
      <w:r w:rsidRPr="000A33B4">
        <w:t>the ACCC and AER logos</w:t>
      </w:r>
    </w:p>
    <w:p w:rsidR="008955B8" w:rsidRPr="000A33B4" w:rsidRDefault="008955B8" w:rsidP="008955B8">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8955B8" w:rsidRPr="000A33B4" w:rsidRDefault="008955B8" w:rsidP="008955B8">
      <w:pPr>
        <w:pStyle w:val="AERbodytext"/>
      </w:pPr>
      <w:r w:rsidRPr="000A33B4">
        <w:t>The details of the relevant licence conditions are available on the Creative Commons website, as is the full legal code for the CC BY 3.0 AU licence.</w:t>
      </w:r>
    </w:p>
    <w:p w:rsidR="008955B8" w:rsidRPr="000A33B4" w:rsidRDefault="008955B8" w:rsidP="008955B8">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8955B8" w:rsidRPr="000A33B4" w:rsidRDefault="008955B8" w:rsidP="008955B8">
      <w:pPr>
        <w:pStyle w:val="AERbodytext"/>
      </w:pPr>
      <w:r w:rsidRPr="000A33B4">
        <w:t>Inquiries about this document should be addressed to:</w:t>
      </w:r>
    </w:p>
    <w:p w:rsidR="008955B8" w:rsidRPr="000A33B4" w:rsidRDefault="008955B8" w:rsidP="008955B8">
      <w:pPr>
        <w:pStyle w:val="AERbodytextnospace"/>
      </w:pPr>
      <w:r w:rsidRPr="000A33B4">
        <w:t>Australian Energy Regulator</w:t>
      </w:r>
    </w:p>
    <w:p w:rsidR="008955B8" w:rsidRPr="000A33B4" w:rsidRDefault="008955B8" w:rsidP="008955B8">
      <w:pPr>
        <w:pStyle w:val="AERbodytextnospace"/>
      </w:pPr>
      <w:r w:rsidRPr="000A33B4">
        <w:t>GPO Box 520</w:t>
      </w:r>
    </w:p>
    <w:p w:rsidR="008955B8" w:rsidRPr="000A33B4" w:rsidRDefault="008955B8" w:rsidP="008955B8">
      <w:pPr>
        <w:pStyle w:val="AERbodytextnospace"/>
      </w:pPr>
      <w:r w:rsidRPr="000A33B4">
        <w:t>Melbourne  Vic  3001</w:t>
      </w:r>
    </w:p>
    <w:p w:rsidR="008955B8" w:rsidRPr="000A33B4" w:rsidRDefault="008955B8" w:rsidP="008955B8">
      <w:pPr>
        <w:pStyle w:val="AERbodytextnospace"/>
      </w:pPr>
      <w:r w:rsidRPr="000A33B4">
        <w:t>Tel: (03) 9290 1444</w:t>
      </w:r>
    </w:p>
    <w:p w:rsidR="008955B8" w:rsidRPr="000A33B4" w:rsidRDefault="008955B8" w:rsidP="008955B8">
      <w:pPr>
        <w:pStyle w:val="AERbodytextnospace"/>
      </w:pPr>
      <w:r w:rsidRPr="000A33B4">
        <w:t>Fax: (03) 9290 1457</w:t>
      </w:r>
    </w:p>
    <w:p w:rsidR="008955B8" w:rsidRPr="000A33B4" w:rsidRDefault="008955B8" w:rsidP="008955B8">
      <w:pPr>
        <w:pStyle w:val="AERbodytextnospace"/>
      </w:pPr>
      <w:r w:rsidRPr="000A33B4">
        <w:t xml:space="preserve">Email: </w:t>
      </w:r>
      <w:hyperlink r:id="rId10" w:history="1">
        <w:r w:rsidRPr="000A33B4">
          <w:rPr>
            <w:rStyle w:val="Hyperlink"/>
          </w:rPr>
          <w:t>AERInquiry@aer.gov.au</w:t>
        </w:r>
      </w:hyperlink>
    </w:p>
    <w:p w:rsidR="008955B8" w:rsidRPr="000A33B4" w:rsidRDefault="008955B8" w:rsidP="008955B8">
      <w:pPr>
        <w:pStyle w:val="AERbodytext"/>
      </w:pPr>
    </w:p>
    <w:p w:rsidR="008955B8" w:rsidRDefault="008955B8" w:rsidP="008955B8">
      <w:pPr>
        <w:pStyle w:val="AERbodytext"/>
        <w:rPr>
          <w:rStyle w:val="AERbody"/>
        </w:rPr>
      </w:pPr>
      <w:r w:rsidRPr="000A33B4">
        <w:t>AER reference</w:t>
      </w:r>
      <w:r w:rsidRPr="000A33B4">
        <w:rPr>
          <w:rStyle w:val="AERbody"/>
        </w:rPr>
        <w:t xml:space="preserve">:  </w:t>
      </w:r>
      <w:r>
        <w:rPr>
          <w:rStyle w:val="AERbody"/>
        </w:rPr>
        <w:t>52294</w:t>
      </w:r>
    </w:p>
    <w:p w:rsidR="008955B8" w:rsidRDefault="008955B8" w:rsidP="008955B8">
      <w:pPr>
        <w:pStyle w:val="UnnumberedHeading"/>
      </w:pPr>
      <w:bookmarkStart w:id="2" w:name="_Toc404354899"/>
      <w:bookmarkStart w:id="3" w:name="_Toc404353070"/>
      <w:bookmarkStart w:id="4" w:name="_Toc404365150"/>
      <w:r>
        <w:lastRenderedPageBreak/>
        <w:t>Note</w:t>
      </w:r>
      <w:bookmarkEnd w:id="2"/>
      <w:bookmarkEnd w:id="3"/>
      <w:bookmarkEnd w:id="4"/>
    </w:p>
    <w:p w:rsidR="008955B8" w:rsidRDefault="008955B8" w:rsidP="008955B8">
      <w:pPr>
        <w:pStyle w:val="AERbodytext"/>
      </w:pPr>
      <w:r>
        <w:t>This attachment forms part of the AER's draft decision on Ausgrid’s 2015–19 distribution determination. It should be read with other parts of the draft decision.</w:t>
      </w:r>
    </w:p>
    <w:p w:rsidR="008955B8" w:rsidRDefault="008955B8" w:rsidP="008955B8">
      <w:pPr>
        <w:pStyle w:val="AERbodytext"/>
      </w:pPr>
      <w:r>
        <w:t>The draft decision includes the following documents:</w:t>
      </w:r>
    </w:p>
    <w:p w:rsidR="008955B8" w:rsidRDefault="008955B8" w:rsidP="008955B8">
      <w:pPr>
        <w:pStyle w:val="AERbodytext"/>
      </w:pPr>
      <w:r>
        <w:t>Overview</w:t>
      </w:r>
    </w:p>
    <w:p w:rsidR="008955B8" w:rsidRDefault="008955B8" w:rsidP="008955B8">
      <w:pPr>
        <w:pStyle w:val="AERbodytext"/>
      </w:pPr>
      <w:r>
        <w:t>Attachment 1 – Annual revenue requirement</w:t>
      </w:r>
    </w:p>
    <w:p w:rsidR="008955B8" w:rsidRDefault="008955B8" w:rsidP="008955B8">
      <w:pPr>
        <w:pStyle w:val="AERbodytext"/>
      </w:pPr>
      <w:r>
        <w:t>Attachment 2 – Regulatory asset base</w:t>
      </w:r>
    </w:p>
    <w:p w:rsidR="008955B8" w:rsidRDefault="008955B8" w:rsidP="008955B8">
      <w:pPr>
        <w:pStyle w:val="AERbodytext"/>
      </w:pPr>
      <w:r>
        <w:t>Attachment 3 – Rate of return</w:t>
      </w:r>
    </w:p>
    <w:p w:rsidR="008955B8" w:rsidRDefault="008955B8" w:rsidP="008955B8">
      <w:pPr>
        <w:pStyle w:val="AERbodytext"/>
      </w:pPr>
      <w:r>
        <w:t>Attachment 4 – Value of imputation credits</w:t>
      </w:r>
    </w:p>
    <w:p w:rsidR="008955B8" w:rsidRDefault="008955B8" w:rsidP="008955B8">
      <w:pPr>
        <w:pStyle w:val="AERbodytext"/>
      </w:pPr>
      <w:r>
        <w:t>Attachment 5 – Regulatory depreciation</w:t>
      </w:r>
    </w:p>
    <w:p w:rsidR="008955B8" w:rsidRDefault="008955B8" w:rsidP="008955B8">
      <w:pPr>
        <w:pStyle w:val="AERbodytext"/>
      </w:pPr>
      <w:r>
        <w:t xml:space="preserve">Attachment 6 – Capital expenditure </w:t>
      </w:r>
    </w:p>
    <w:p w:rsidR="008955B8" w:rsidRDefault="008955B8" w:rsidP="008955B8">
      <w:pPr>
        <w:pStyle w:val="AERbodytext"/>
      </w:pPr>
      <w:r>
        <w:t>Attachment 7 – Operating expenditure</w:t>
      </w:r>
    </w:p>
    <w:p w:rsidR="008955B8" w:rsidRDefault="008955B8" w:rsidP="008955B8">
      <w:pPr>
        <w:pStyle w:val="AERbodytext"/>
      </w:pPr>
      <w:r>
        <w:t>Attachment 8 – Corporate income tax</w:t>
      </w:r>
    </w:p>
    <w:p w:rsidR="008955B8" w:rsidRDefault="008955B8" w:rsidP="008955B8">
      <w:pPr>
        <w:pStyle w:val="AERbodytext"/>
      </w:pPr>
      <w:r>
        <w:t>Attachment 9 – Efficiency benefit sharing scheme</w:t>
      </w:r>
    </w:p>
    <w:p w:rsidR="008955B8" w:rsidRDefault="008955B8" w:rsidP="008955B8">
      <w:pPr>
        <w:pStyle w:val="AERbodytext"/>
      </w:pPr>
      <w:r>
        <w:t>Attachment 10 – Capital expenditure sharing scheme</w:t>
      </w:r>
    </w:p>
    <w:p w:rsidR="008955B8" w:rsidRDefault="008955B8" w:rsidP="008955B8">
      <w:pPr>
        <w:pStyle w:val="AERbodytext"/>
      </w:pPr>
      <w:r>
        <w:t>Attachment 11 – Service target performance incentive scheme</w:t>
      </w:r>
    </w:p>
    <w:p w:rsidR="008955B8" w:rsidRDefault="008955B8" w:rsidP="008955B8">
      <w:pPr>
        <w:pStyle w:val="AERbodytext"/>
      </w:pPr>
      <w:r>
        <w:t>Attachment 12 – Demand management incentive scheme</w:t>
      </w:r>
    </w:p>
    <w:p w:rsidR="008955B8" w:rsidRDefault="008955B8" w:rsidP="008955B8">
      <w:pPr>
        <w:pStyle w:val="AERbodytext"/>
      </w:pPr>
      <w:r>
        <w:t>Attachment 13 – Classification of services</w:t>
      </w:r>
    </w:p>
    <w:p w:rsidR="008955B8" w:rsidRDefault="008955B8" w:rsidP="008955B8">
      <w:pPr>
        <w:pStyle w:val="AERbodytext"/>
      </w:pPr>
      <w:r>
        <w:t>Attachment 14 – Control mechanism</w:t>
      </w:r>
    </w:p>
    <w:p w:rsidR="008955B8" w:rsidRDefault="008955B8" w:rsidP="008955B8">
      <w:pPr>
        <w:pStyle w:val="AERbodytext"/>
      </w:pPr>
      <w:r>
        <w:t>Attachment 15 – Pass through events</w:t>
      </w:r>
    </w:p>
    <w:p w:rsidR="008955B8" w:rsidRDefault="008955B8" w:rsidP="008955B8">
      <w:pPr>
        <w:pStyle w:val="AERbodytext"/>
      </w:pPr>
      <w:r>
        <w:t>Attachment 16 – Alternative control services</w:t>
      </w:r>
    </w:p>
    <w:p w:rsidR="008955B8" w:rsidRDefault="008955B8" w:rsidP="008955B8">
      <w:pPr>
        <w:pStyle w:val="AERbodytext"/>
      </w:pPr>
      <w:r>
        <w:t>Attachment 17 – Negotiated services framework and criteria</w:t>
      </w:r>
    </w:p>
    <w:p w:rsidR="008955B8" w:rsidRPr="008B6C33" w:rsidRDefault="008955B8" w:rsidP="008955B8">
      <w:pPr>
        <w:pStyle w:val="AERbodytext"/>
      </w:pPr>
      <w:r>
        <w:t>Attachment 18 – Connection methodology</w:t>
      </w:r>
    </w:p>
    <w:p w:rsidR="008955B8" w:rsidRDefault="008955B8" w:rsidP="008955B8">
      <w:pPr>
        <w:pStyle w:val="AERbodytext"/>
      </w:pPr>
      <w:r>
        <w:t>Attachment 19 – Pricing methodology</w:t>
      </w:r>
    </w:p>
    <w:p w:rsidR="008955B8" w:rsidRDefault="008955B8" w:rsidP="008955B8">
      <w:pPr>
        <w:pStyle w:val="UnnumberedHeading"/>
      </w:pPr>
      <w:bookmarkStart w:id="5" w:name="_Toc404365151"/>
      <w:r>
        <w:lastRenderedPageBreak/>
        <w:t>Contents</w:t>
      </w:r>
      <w:bookmarkEnd w:id="5"/>
    </w:p>
    <w:sdt>
      <w:sdtPr>
        <w:rPr>
          <w:rFonts w:ascii="Arial" w:eastAsiaTheme="minorHAnsi" w:hAnsi="Arial" w:cstheme="minorBidi"/>
          <w:b w:val="0"/>
          <w:bCs w:val="0"/>
          <w:noProof/>
          <w:sz w:val="22"/>
          <w:szCs w:val="22"/>
          <w:lang w:val="en-US" w:eastAsia="ja-JP"/>
        </w:rPr>
        <w:id w:val="1780216590"/>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8955B8" w:rsidRDefault="008955B8">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65150" w:history="1">
            <w:r w:rsidRPr="00CC0DF5">
              <w:rPr>
                <w:rStyle w:val="Hyperlink"/>
                <w:noProof/>
              </w:rPr>
              <w:t>Note</w:t>
            </w:r>
            <w:r>
              <w:rPr>
                <w:noProof/>
                <w:webHidden/>
              </w:rPr>
              <w:tab/>
              <w:t>5-</w:t>
            </w:r>
            <w:r>
              <w:rPr>
                <w:noProof/>
                <w:webHidden/>
              </w:rPr>
              <w:fldChar w:fldCharType="begin"/>
            </w:r>
            <w:r>
              <w:rPr>
                <w:noProof/>
                <w:webHidden/>
              </w:rPr>
              <w:instrText xml:space="preserve"> PAGEREF _Toc404365150 \h </w:instrText>
            </w:r>
            <w:r>
              <w:rPr>
                <w:noProof/>
                <w:webHidden/>
              </w:rPr>
            </w:r>
            <w:r>
              <w:rPr>
                <w:noProof/>
                <w:webHidden/>
              </w:rPr>
              <w:fldChar w:fldCharType="separate"/>
            </w:r>
            <w:r w:rsidR="001F4E28">
              <w:rPr>
                <w:noProof/>
                <w:webHidden/>
              </w:rPr>
              <w:t>3</w:t>
            </w:r>
            <w:r>
              <w:rPr>
                <w:noProof/>
                <w:webHidden/>
              </w:rPr>
              <w:fldChar w:fldCharType="end"/>
            </w:r>
          </w:hyperlink>
        </w:p>
        <w:p w:rsidR="008955B8" w:rsidRDefault="00DC0EA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5151" w:history="1">
            <w:r w:rsidR="008955B8" w:rsidRPr="00CC0DF5">
              <w:rPr>
                <w:rStyle w:val="Hyperlink"/>
                <w:noProof/>
              </w:rPr>
              <w:t>Contents</w:t>
            </w:r>
            <w:r w:rsidR="008955B8">
              <w:rPr>
                <w:noProof/>
                <w:webHidden/>
              </w:rPr>
              <w:tab/>
              <w:t>5-</w:t>
            </w:r>
            <w:r w:rsidR="008955B8">
              <w:rPr>
                <w:noProof/>
                <w:webHidden/>
              </w:rPr>
              <w:fldChar w:fldCharType="begin"/>
            </w:r>
            <w:r w:rsidR="008955B8">
              <w:rPr>
                <w:noProof/>
                <w:webHidden/>
              </w:rPr>
              <w:instrText xml:space="preserve"> PAGEREF _Toc404365151 \h </w:instrText>
            </w:r>
            <w:r w:rsidR="008955B8">
              <w:rPr>
                <w:noProof/>
                <w:webHidden/>
              </w:rPr>
            </w:r>
            <w:r w:rsidR="008955B8">
              <w:rPr>
                <w:noProof/>
                <w:webHidden/>
              </w:rPr>
              <w:fldChar w:fldCharType="separate"/>
            </w:r>
            <w:r w:rsidR="001F4E28">
              <w:rPr>
                <w:noProof/>
                <w:webHidden/>
              </w:rPr>
              <w:t>4</w:t>
            </w:r>
            <w:r w:rsidR="008955B8">
              <w:rPr>
                <w:noProof/>
                <w:webHidden/>
              </w:rPr>
              <w:fldChar w:fldCharType="end"/>
            </w:r>
          </w:hyperlink>
        </w:p>
        <w:p w:rsidR="008955B8" w:rsidRDefault="00DC0EA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65152" w:history="1">
            <w:r w:rsidR="008955B8" w:rsidRPr="00CC0DF5">
              <w:rPr>
                <w:rStyle w:val="Hyperlink"/>
                <w:noProof/>
              </w:rPr>
              <w:t>Shortened forms</w:t>
            </w:r>
            <w:r w:rsidR="008955B8">
              <w:rPr>
                <w:noProof/>
                <w:webHidden/>
              </w:rPr>
              <w:tab/>
              <w:t>5-</w:t>
            </w:r>
            <w:r w:rsidR="008955B8">
              <w:rPr>
                <w:noProof/>
                <w:webHidden/>
              </w:rPr>
              <w:fldChar w:fldCharType="begin"/>
            </w:r>
            <w:r w:rsidR="008955B8">
              <w:rPr>
                <w:noProof/>
                <w:webHidden/>
              </w:rPr>
              <w:instrText xml:space="preserve"> PAGEREF _Toc404365152 \h </w:instrText>
            </w:r>
            <w:r w:rsidR="008955B8">
              <w:rPr>
                <w:noProof/>
                <w:webHidden/>
              </w:rPr>
            </w:r>
            <w:r w:rsidR="008955B8">
              <w:rPr>
                <w:noProof/>
                <w:webHidden/>
              </w:rPr>
              <w:fldChar w:fldCharType="separate"/>
            </w:r>
            <w:r w:rsidR="001F4E28">
              <w:rPr>
                <w:noProof/>
                <w:webHidden/>
              </w:rPr>
              <w:t>5</w:t>
            </w:r>
            <w:r w:rsidR="008955B8">
              <w:rPr>
                <w:noProof/>
                <w:webHidden/>
              </w:rPr>
              <w:fldChar w:fldCharType="end"/>
            </w:r>
          </w:hyperlink>
        </w:p>
        <w:p w:rsidR="008955B8" w:rsidRDefault="00DC0EA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65153" w:history="1">
            <w:r w:rsidR="008955B8" w:rsidRPr="00CC0DF5">
              <w:rPr>
                <w:rStyle w:val="Hyperlink"/>
                <w:noProof/>
              </w:rPr>
              <w:t>5</w:t>
            </w:r>
            <w:r w:rsidR="008955B8">
              <w:rPr>
                <w:rFonts w:asciiTheme="minorHAnsi" w:eastAsiaTheme="minorEastAsia" w:hAnsiTheme="minorHAnsi" w:cstheme="minorBidi"/>
                <w:b w:val="0"/>
                <w:bCs w:val="0"/>
                <w:noProof/>
                <w:sz w:val="22"/>
                <w:szCs w:val="22"/>
                <w:lang w:eastAsia="en-AU"/>
              </w:rPr>
              <w:tab/>
            </w:r>
            <w:r w:rsidR="008955B8" w:rsidRPr="00CC0DF5">
              <w:rPr>
                <w:rStyle w:val="Hyperlink"/>
                <w:noProof/>
              </w:rPr>
              <w:t>Regulatory depreciation</w:t>
            </w:r>
            <w:r w:rsidR="008955B8">
              <w:rPr>
                <w:noProof/>
                <w:webHidden/>
              </w:rPr>
              <w:tab/>
              <w:t>5-</w:t>
            </w:r>
            <w:r w:rsidR="008955B8">
              <w:rPr>
                <w:noProof/>
                <w:webHidden/>
              </w:rPr>
              <w:fldChar w:fldCharType="begin"/>
            </w:r>
            <w:r w:rsidR="008955B8">
              <w:rPr>
                <w:noProof/>
                <w:webHidden/>
              </w:rPr>
              <w:instrText xml:space="preserve"> PAGEREF _Toc404365153 \h </w:instrText>
            </w:r>
            <w:r w:rsidR="008955B8">
              <w:rPr>
                <w:noProof/>
                <w:webHidden/>
              </w:rPr>
            </w:r>
            <w:r w:rsidR="008955B8">
              <w:rPr>
                <w:noProof/>
                <w:webHidden/>
              </w:rPr>
              <w:fldChar w:fldCharType="separate"/>
            </w:r>
            <w:r w:rsidR="001F4E28">
              <w:rPr>
                <w:noProof/>
                <w:webHidden/>
              </w:rPr>
              <w:t>7</w:t>
            </w:r>
            <w:r w:rsidR="008955B8">
              <w:rPr>
                <w:noProof/>
                <w:webHidden/>
              </w:rPr>
              <w:fldChar w:fldCharType="end"/>
            </w:r>
          </w:hyperlink>
        </w:p>
        <w:p w:rsidR="008955B8" w:rsidRDefault="00DC0EA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154" w:history="1">
            <w:r w:rsidR="008955B8" w:rsidRPr="00CC0DF5">
              <w:rPr>
                <w:rStyle w:val="Hyperlink"/>
                <w:noProof/>
              </w:rPr>
              <w:t>5.1</w:t>
            </w:r>
            <w:r w:rsidR="008955B8">
              <w:rPr>
                <w:rFonts w:asciiTheme="minorHAnsi" w:eastAsiaTheme="minorEastAsia" w:hAnsiTheme="minorHAnsi" w:cstheme="minorBidi"/>
                <w:iCs w:val="0"/>
                <w:noProof/>
                <w:sz w:val="22"/>
                <w:szCs w:val="22"/>
                <w:lang w:eastAsia="en-AU"/>
              </w:rPr>
              <w:tab/>
            </w:r>
            <w:r w:rsidR="008955B8" w:rsidRPr="00CC0DF5">
              <w:rPr>
                <w:rStyle w:val="Hyperlink"/>
                <w:noProof/>
              </w:rPr>
              <w:t>Draft decision</w:t>
            </w:r>
            <w:r w:rsidR="008955B8">
              <w:rPr>
                <w:noProof/>
                <w:webHidden/>
              </w:rPr>
              <w:tab/>
              <w:t>5-</w:t>
            </w:r>
            <w:r w:rsidR="008955B8">
              <w:rPr>
                <w:noProof/>
                <w:webHidden/>
              </w:rPr>
              <w:fldChar w:fldCharType="begin"/>
            </w:r>
            <w:r w:rsidR="008955B8">
              <w:rPr>
                <w:noProof/>
                <w:webHidden/>
              </w:rPr>
              <w:instrText xml:space="preserve"> PAGEREF _Toc404365154 \h </w:instrText>
            </w:r>
            <w:r w:rsidR="008955B8">
              <w:rPr>
                <w:noProof/>
                <w:webHidden/>
              </w:rPr>
            </w:r>
            <w:r w:rsidR="008955B8">
              <w:rPr>
                <w:noProof/>
                <w:webHidden/>
              </w:rPr>
              <w:fldChar w:fldCharType="separate"/>
            </w:r>
            <w:r w:rsidR="001F4E28">
              <w:rPr>
                <w:noProof/>
                <w:webHidden/>
              </w:rPr>
              <w:t>7</w:t>
            </w:r>
            <w:r w:rsidR="008955B8">
              <w:rPr>
                <w:noProof/>
                <w:webHidden/>
              </w:rPr>
              <w:fldChar w:fldCharType="end"/>
            </w:r>
          </w:hyperlink>
        </w:p>
        <w:p w:rsidR="008955B8" w:rsidRDefault="00DC0EA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155" w:history="1">
            <w:r w:rsidR="008955B8" w:rsidRPr="00CC0DF5">
              <w:rPr>
                <w:rStyle w:val="Hyperlink"/>
                <w:noProof/>
              </w:rPr>
              <w:t>5.2</w:t>
            </w:r>
            <w:r w:rsidR="008955B8">
              <w:rPr>
                <w:rFonts w:asciiTheme="minorHAnsi" w:eastAsiaTheme="minorEastAsia" w:hAnsiTheme="minorHAnsi" w:cstheme="minorBidi"/>
                <w:iCs w:val="0"/>
                <w:noProof/>
                <w:sz w:val="22"/>
                <w:szCs w:val="22"/>
                <w:lang w:eastAsia="en-AU"/>
              </w:rPr>
              <w:tab/>
            </w:r>
            <w:r w:rsidR="008955B8" w:rsidRPr="00CC0DF5">
              <w:rPr>
                <w:rStyle w:val="Hyperlink"/>
                <w:noProof/>
              </w:rPr>
              <w:t>Ausgrid's proposal</w:t>
            </w:r>
            <w:r w:rsidR="008955B8">
              <w:rPr>
                <w:noProof/>
                <w:webHidden/>
              </w:rPr>
              <w:tab/>
              <w:t>5-</w:t>
            </w:r>
            <w:r w:rsidR="008955B8">
              <w:rPr>
                <w:noProof/>
                <w:webHidden/>
              </w:rPr>
              <w:fldChar w:fldCharType="begin"/>
            </w:r>
            <w:r w:rsidR="008955B8">
              <w:rPr>
                <w:noProof/>
                <w:webHidden/>
              </w:rPr>
              <w:instrText xml:space="preserve"> PAGEREF _Toc404365155 \h </w:instrText>
            </w:r>
            <w:r w:rsidR="008955B8">
              <w:rPr>
                <w:noProof/>
                <w:webHidden/>
              </w:rPr>
            </w:r>
            <w:r w:rsidR="008955B8">
              <w:rPr>
                <w:noProof/>
                <w:webHidden/>
              </w:rPr>
              <w:fldChar w:fldCharType="separate"/>
            </w:r>
            <w:r w:rsidR="001F4E28">
              <w:rPr>
                <w:noProof/>
                <w:webHidden/>
              </w:rPr>
              <w:t>8</w:t>
            </w:r>
            <w:r w:rsidR="008955B8">
              <w:rPr>
                <w:noProof/>
                <w:webHidden/>
              </w:rPr>
              <w:fldChar w:fldCharType="end"/>
            </w:r>
          </w:hyperlink>
        </w:p>
        <w:p w:rsidR="008955B8" w:rsidRDefault="00DC0EA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156" w:history="1">
            <w:r w:rsidR="008955B8" w:rsidRPr="00CC0DF5">
              <w:rPr>
                <w:rStyle w:val="Hyperlink"/>
                <w:noProof/>
              </w:rPr>
              <w:t>5.3</w:t>
            </w:r>
            <w:r w:rsidR="008955B8">
              <w:rPr>
                <w:rFonts w:asciiTheme="minorHAnsi" w:eastAsiaTheme="minorEastAsia" w:hAnsiTheme="minorHAnsi" w:cstheme="minorBidi"/>
                <w:iCs w:val="0"/>
                <w:noProof/>
                <w:sz w:val="22"/>
                <w:szCs w:val="22"/>
                <w:lang w:eastAsia="en-AU"/>
              </w:rPr>
              <w:tab/>
            </w:r>
            <w:r w:rsidR="008955B8" w:rsidRPr="00CC0DF5">
              <w:rPr>
                <w:rStyle w:val="Hyperlink"/>
                <w:noProof/>
              </w:rPr>
              <w:t>AER's assessment approach</w:t>
            </w:r>
            <w:r w:rsidR="008955B8">
              <w:rPr>
                <w:noProof/>
                <w:webHidden/>
              </w:rPr>
              <w:tab/>
              <w:t>5-</w:t>
            </w:r>
            <w:r w:rsidR="008955B8">
              <w:rPr>
                <w:noProof/>
                <w:webHidden/>
              </w:rPr>
              <w:fldChar w:fldCharType="begin"/>
            </w:r>
            <w:r w:rsidR="008955B8">
              <w:rPr>
                <w:noProof/>
                <w:webHidden/>
              </w:rPr>
              <w:instrText xml:space="preserve"> PAGEREF _Toc404365156 \h </w:instrText>
            </w:r>
            <w:r w:rsidR="008955B8">
              <w:rPr>
                <w:noProof/>
                <w:webHidden/>
              </w:rPr>
            </w:r>
            <w:r w:rsidR="008955B8">
              <w:rPr>
                <w:noProof/>
                <w:webHidden/>
              </w:rPr>
              <w:fldChar w:fldCharType="separate"/>
            </w:r>
            <w:r w:rsidR="001F4E28">
              <w:rPr>
                <w:noProof/>
                <w:webHidden/>
              </w:rPr>
              <w:t>9</w:t>
            </w:r>
            <w:r w:rsidR="008955B8">
              <w:rPr>
                <w:noProof/>
                <w:webHidden/>
              </w:rPr>
              <w:fldChar w:fldCharType="end"/>
            </w:r>
          </w:hyperlink>
        </w:p>
        <w:p w:rsidR="008955B8" w:rsidRDefault="00DC0EA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5157" w:history="1">
            <w:r w:rsidR="008955B8" w:rsidRPr="00CC0DF5">
              <w:rPr>
                <w:rStyle w:val="Hyperlink"/>
                <w:noProof/>
              </w:rPr>
              <w:t>5.3.1</w:t>
            </w:r>
            <w:r w:rsidR="008955B8">
              <w:rPr>
                <w:rFonts w:asciiTheme="minorHAnsi" w:eastAsiaTheme="minorEastAsia" w:hAnsiTheme="minorHAnsi" w:cstheme="minorBidi"/>
                <w:noProof/>
                <w:sz w:val="22"/>
                <w:szCs w:val="22"/>
                <w:lang w:eastAsia="en-AU"/>
              </w:rPr>
              <w:tab/>
            </w:r>
            <w:r w:rsidR="008955B8" w:rsidRPr="00CC0DF5">
              <w:rPr>
                <w:rStyle w:val="Hyperlink"/>
                <w:noProof/>
              </w:rPr>
              <w:t>Interrelationships</w:t>
            </w:r>
            <w:r w:rsidR="008955B8">
              <w:rPr>
                <w:noProof/>
                <w:webHidden/>
              </w:rPr>
              <w:tab/>
              <w:t>5-</w:t>
            </w:r>
            <w:r w:rsidR="008955B8">
              <w:rPr>
                <w:noProof/>
                <w:webHidden/>
              </w:rPr>
              <w:fldChar w:fldCharType="begin"/>
            </w:r>
            <w:r w:rsidR="008955B8">
              <w:rPr>
                <w:noProof/>
                <w:webHidden/>
              </w:rPr>
              <w:instrText xml:space="preserve"> PAGEREF _Toc404365157 \h </w:instrText>
            </w:r>
            <w:r w:rsidR="008955B8">
              <w:rPr>
                <w:noProof/>
                <w:webHidden/>
              </w:rPr>
            </w:r>
            <w:r w:rsidR="008955B8">
              <w:rPr>
                <w:noProof/>
                <w:webHidden/>
              </w:rPr>
              <w:fldChar w:fldCharType="separate"/>
            </w:r>
            <w:r w:rsidR="001F4E28">
              <w:rPr>
                <w:noProof/>
                <w:webHidden/>
              </w:rPr>
              <w:t>10</w:t>
            </w:r>
            <w:r w:rsidR="008955B8">
              <w:rPr>
                <w:noProof/>
                <w:webHidden/>
              </w:rPr>
              <w:fldChar w:fldCharType="end"/>
            </w:r>
          </w:hyperlink>
        </w:p>
        <w:p w:rsidR="008955B8" w:rsidRDefault="00DC0EA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65158" w:history="1">
            <w:r w:rsidR="008955B8" w:rsidRPr="00CC0DF5">
              <w:rPr>
                <w:rStyle w:val="Hyperlink"/>
                <w:noProof/>
              </w:rPr>
              <w:t>5.4</w:t>
            </w:r>
            <w:r w:rsidR="008955B8">
              <w:rPr>
                <w:rFonts w:asciiTheme="minorHAnsi" w:eastAsiaTheme="minorEastAsia" w:hAnsiTheme="minorHAnsi" w:cstheme="minorBidi"/>
                <w:iCs w:val="0"/>
                <w:noProof/>
                <w:sz w:val="22"/>
                <w:szCs w:val="22"/>
                <w:lang w:eastAsia="en-AU"/>
              </w:rPr>
              <w:tab/>
            </w:r>
            <w:r w:rsidR="008955B8" w:rsidRPr="00CC0DF5">
              <w:rPr>
                <w:rStyle w:val="Hyperlink"/>
                <w:noProof/>
              </w:rPr>
              <w:t>Reasons for draft decision</w:t>
            </w:r>
            <w:r w:rsidR="008955B8">
              <w:rPr>
                <w:noProof/>
                <w:webHidden/>
              </w:rPr>
              <w:tab/>
              <w:t>5-</w:t>
            </w:r>
            <w:r w:rsidR="008955B8">
              <w:rPr>
                <w:noProof/>
                <w:webHidden/>
              </w:rPr>
              <w:fldChar w:fldCharType="begin"/>
            </w:r>
            <w:r w:rsidR="008955B8">
              <w:rPr>
                <w:noProof/>
                <w:webHidden/>
              </w:rPr>
              <w:instrText xml:space="preserve"> PAGEREF _Toc404365158 \h </w:instrText>
            </w:r>
            <w:r w:rsidR="008955B8">
              <w:rPr>
                <w:noProof/>
                <w:webHidden/>
              </w:rPr>
            </w:r>
            <w:r w:rsidR="008955B8">
              <w:rPr>
                <w:noProof/>
                <w:webHidden/>
              </w:rPr>
              <w:fldChar w:fldCharType="separate"/>
            </w:r>
            <w:r w:rsidR="001F4E28">
              <w:rPr>
                <w:noProof/>
                <w:webHidden/>
              </w:rPr>
              <w:t>11</w:t>
            </w:r>
            <w:r w:rsidR="008955B8">
              <w:rPr>
                <w:noProof/>
                <w:webHidden/>
              </w:rPr>
              <w:fldChar w:fldCharType="end"/>
            </w:r>
          </w:hyperlink>
        </w:p>
        <w:p w:rsidR="008955B8" w:rsidRDefault="00DC0EA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5159" w:history="1">
            <w:r w:rsidR="008955B8" w:rsidRPr="00CC0DF5">
              <w:rPr>
                <w:rStyle w:val="Hyperlink"/>
                <w:noProof/>
              </w:rPr>
              <w:t>5.4.1</w:t>
            </w:r>
            <w:r w:rsidR="008955B8">
              <w:rPr>
                <w:rFonts w:asciiTheme="minorHAnsi" w:eastAsiaTheme="minorEastAsia" w:hAnsiTheme="minorHAnsi" w:cstheme="minorBidi"/>
                <w:noProof/>
                <w:sz w:val="22"/>
                <w:szCs w:val="22"/>
                <w:lang w:eastAsia="en-AU"/>
              </w:rPr>
              <w:tab/>
            </w:r>
            <w:r w:rsidR="008955B8" w:rsidRPr="00CC0DF5">
              <w:rPr>
                <w:rStyle w:val="Hyperlink"/>
                <w:noProof/>
              </w:rPr>
              <w:t>Depreciation approach</w:t>
            </w:r>
            <w:r w:rsidR="008955B8">
              <w:rPr>
                <w:noProof/>
                <w:webHidden/>
              </w:rPr>
              <w:tab/>
              <w:t>5-</w:t>
            </w:r>
            <w:r w:rsidR="008955B8">
              <w:rPr>
                <w:noProof/>
                <w:webHidden/>
              </w:rPr>
              <w:fldChar w:fldCharType="begin"/>
            </w:r>
            <w:r w:rsidR="008955B8">
              <w:rPr>
                <w:noProof/>
                <w:webHidden/>
              </w:rPr>
              <w:instrText xml:space="preserve"> PAGEREF _Toc404365159 \h </w:instrText>
            </w:r>
            <w:r w:rsidR="008955B8">
              <w:rPr>
                <w:noProof/>
                <w:webHidden/>
              </w:rPr>
            </w:r>
            <w:r w:rsidR="008955B8">
              <w:rPr>
                <w:noProof/>
                <w:webHidden/>
              </w:rPr>
              <w:fldChar w:fldCharType="separate"/>
            </w:r>
            <w:r w:rsidR="001F4E28">
              <w:rPr>
                <w:noProof/>
                <w:webHidden/>
              </w:rPr>
              <w:t>11</w:t>
            </w:r>
            <w:r w:rsidR="008955B8">
              <w:rPr>
                <w:noProof/>
                <w:webHidden/>
              </w:rPr>
              <w:fldChar w:fldCharType="end"/>
            </w:r>
          </w:hyperlink>
        </w:p>
        <w:p w:rsidR="008955B8" w:rsidRDefault="00DC0EA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5160" w:history="1">
            <w:r w:rsidR="008955B8" w:rsidRPr="00CC0DF5">
              <w:rPr>
                <w:rStyle w:val="Hyperlink"/>
                <w:noProof/>
              </w:rPr>
              <w:t>5.4.2</w:t>
            </w:r>
            <w:r w:rsidR="008955B8">
              <w:rPr>
                <w:rFonts w:asciiTheme="minorHAnsi" w:eastAsiaTheme="minorEastAsia" w:hAnsiTheme="minorHAnsi" w:cstheme="minorBidi"/>
                <w:noProof/>
                <w:sz w:val="22"/>
                <w:szCs w:val="22"/>
                <w:lang w:eastAsia="en-AU"/>
              </w:rPr>
              <w:tab/>
            </w:r>
            <w:r w:rsidR="008955B8" w:rsidRPr="00CC0DF5">
              <w:rPr>
                <w:rStyle w:val="Hyperlink"/>
                <w:noProof/>
              </w:rPr>
              <w:t>Asset class reallocations</w:t>
            </w:r>
            <w:r w:rsidR="008955B8">
              <w:rPr>
                <w:noProof/>
                <w:webHidden/>
              </w:rPr>
              <w:tab/>
              <w:t>5-</w:t>
            </w:r>
            <w:r w:rsidR="008955B8">
              <w:rPr>
                <w:noProof/>
                <w:webHidden/>
              </w:rPr>
              <w:fldChar w:fldCharType="begin"/>
            </w:r>
            <w:r w:rsidR="008955B8">
              <w:rPr>
                <w:noProof/>
                <w:webHidden/>
              </w:rPr>
              <w:instrText xml:space="preserve"> PAGEREF _Toc404365160 \h </w:instrText>
            </w:r>
            <w:r w:rsidR="008955B8">
              <w:rPr>
                <w:noProof/>
                <w:webHidden/>
              </w:rPr>
            </w:r>
            <w:r w:rsidR="008955B8">
              <w:rPr>
                <w:noProof/>
                <w:webHidden/>
              </w:rPr>
              <w:fldChar w:fldCharType="separate"/>
            </w:r>
            <w:r w:rsidR="001F4E28">
              <w:rPr>
                <w:noProof/>
                <w:webHidden/>
              </w:rPr>
              <w:t>12</w:t>
            </w:r>
            <w:r w:rsidR="008955B8">
              <w:rPr>
                <w:noProof/>
                <w:webHidden/>
              </w:rPr>
              <w:fldChar w:fldCharType="end"/>
            </w:r>
          </w:hyperlink>
        </w:p>
        <w:p w:rsidR="008955B8" w:rsidRDefault="00DC0EA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5161" w:history="1">
            <w:r w:rsidR="008955B8" w:rsidRPr="00CC0DF5">
              <w:rPr>
                <w:rStyle w:val="Hyperlink"/>
                <w:noProof/>
              </w:rPr>
              <w:t>5.4.3</w:t>
            </w:r>
            <w:r w:rsidR="008955B8">
              <w:rPr>
                <w:rFonts w:asciiTheme="minorHAnsi" w:eastAsiaTheme="minorEastAsia" w:hAnsiTheme="minorHAnsi" w:cstheme="minorBidi"/>
                <w:noProof/>
                <w:sz w:val="22"/>
                <w:szCs w:val="22"/>
                <w:lang w:eastAsia="en-AU"/>
              </w:rPr>
              <w:tab/>
            </w:r>
            <w:r w:rsidR="008955B8" w:rsidRPr="00CC0DF5">
              <w:rPr>
                <w:rStyle w:val="Hyperlink"/>
                <w:noProof/>
              </w:rPr>
              <w:t>Standard asset lives</w:t>
            </w:r>
            <w:r w:rsidR="008955B8">
              <w:rPr>
                <w:noProof/>
                <w:webHidden/>
              </w:rPr>
              <w:tab/>
              <w:t>5-</w:t>
            </w:r>
            <w:r w:rsidR="008955B8">
              <w:rPr>
                <w:noProof/>
                <w:webHidden/>
              </w:rPr>
              <w:fldChar w:fldCharType="begin"/>
            </w:r>
            <w:r w:rsidR="008955B8">
              <w:rPr>
                <w:noProof/>
                <w:webHidden/>
              </w:rPr>
              <w:instrText xml:space="preserve"> PAGEREF _Toc404365161 \h </w:instrText>
            </w:r>
            <w:r w:rsidR="008955B8">
              <w:rPr>
                <w:noProof/>
                <w:webHidden/>
              </w:rPr>
            </w:r>
            <w:r w:rsidR="008955B8">
              <w:rPr>
                <w:noProof/>
                <w:webHidden/>
              </w:rPr>
              <w:fldChar w:fldCharType="separate"/>
            </w:r>
            <w:r w:rsidR="001F4E28">
              <w:rPr>
                <w:noProof/>
                <w:webHidden/>
              </w:rPr>
              <w:t>13</w:t>
            </w:r>
            <w:r w:rsidR="008955B8">
              <w:rPr>
                <w:noProof/>
                <w:webHidden/>
              </w:rPr>
              <w:fldChar w:fldCharType="end"/>
            </w:r>
          </w:hyperlink>
        </w:p>
        <w:p w:rsidR="008955B8" w:rsidRDefault="00DC0EA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65162" w:history="1">
            <w:r w:rsidR="008955B8" w:rsidRPr="00CC0DF5">
              <w:rPr>
                <w:rStyle w:val="Hyperlink"/>
                <w:noProof/>
              </w:rPr>
              <w:t>5.4.4</w:t>
            </w:r>
            <w:r w:rsidR="008955B8">
              <w:rPr>
                <w:rFonts w:asciiTheme="minorHAnsi" w:eastAsiaTheme="minorEastAsia" w:hAnsiTheme="minorHAnsi" w:cstheme="minorBidi"/>
                <w:noProof/>
                <w:sz w:val="22"/>
                <w:szCs w:val="22"/>
                <w:lang w:eastAsia="en-AU"/>
              </w:rPr>
              <w:tab/>
            </w:r>
            <w:r w:rsidR="008955B8" w:rsidRPr="00CC0DF5">
              <w:rPr>
                <w:rStyle w:val="Hyperlink"/>
                <w:noProof/>
              </w:rPr>
              <w:t>Remaining asset lives</w:t>
            </w:r>
            <w:r w:rsidR="008955B8">
              <w:rPr>
                <w:noProof/>
                <w:webHidden/>
              </w:rPr>
              <w:tab/>
              <w:t>5-</w:t>
            </w:r>
            <w:r w:rsidR="008955B8">
              <w:rPr>
                <w:noProof/>
                <w:webHidden/>
              </w:rPr>
              <w:fldChar w:fldCharType="begin"/>
            </w:r>
            <w:r w:rsidR="008955B8">
              <w:rPr>
                <w:noProof/>
                <w:webHidden/>
              </w:rPr>
              <w:instrText xml:space="preserve"> PAGEREF _Toc404365162 \h </w:instrText>
            </w:r>
            <w:r w:rsidR="008955B8">
              <w:rPr>
                <w:noProof/>
                <w:webHidden/>
              </w:rPr>
            </w:r>
            <w:r w:rsidR="008955B8">
              <w:rPr>
                <w:noProof/>
                <w:webHidden/>
              </w:rPr>
              <w:fldChar w:fldCharType="separate"/>
            </w:r>
            <w:r w:rsidR="001F4E28">
              <w:rPr>
                <w:noProof/>
                <w:webHidden/>
              </w:rPr>
              <w:t>13</w:t>
            </w:r>
            <w:r w:rsidR="008955B8">
              <w:rPr>
                <w:noProof/>
                <w:webHidden/>
              </w:rPr>
              <w:fldChar w:fldCharType="end"/>
            </w:r>
          </w:hyperlink>
        </w:p>
        <w:p w:rsidR="008955B8" w:rsidRPr="008955B8" w:rsidRDefault="008955B8" w:rsidP="008955B8">
          <w:pPr>
            <w:pStyle w:val="AERbodytext"/>
          </w:pPr>
          <w:r>
            <w:fldChar w:fldCharType="end"/>
          </w:r>
        </w:p>
      </w:sdtContent>
    </w:sdt>
    <w:p w:rsidR="008955B8" w:rsidRDefault="008955B8" w:rsidP="008955B8">
      <w:pPr>
        <w:pStyle w:val="AERbodytext"/>
      </w:pPr>
    </w:p>
    <w:p w:rsidR="008955B8" w:rsidRPr="008955B8" w:rsidRDefault="008955B8" w:rsidP="008955B8"/>
    <w:p w:rsidR="008955B8" w:rsidRPr="008955B8" w:rsidRDefault="008955B8" w:rsidP="008955B8"/>
    <w:p w:rsidR="008955B8" w:rsidRPr="008955B8" w:rsidRDefault="008955B8" w:rsidP="008955B8"/>
    <w:p w:rsidR="008955B8" w:rsidRDefault="008955B8" w:rsidP="008955B8"/>
    <w:p w:rsidR="008955B8" w:rsidRPr="008955B8" w:rsidRDefault="008955B8" w:rsidP="008955B8">
      <w:pPr>
        <w:tabs>
          <w:tab w:val="left" w:pos="1925"/>
        </w:tabs>
      </w:pPr>
      <w:r>
        <w:tab/>
      </w:r>
    </w:p>
    <w:p w:rsidR="008955B8" w:rsidRDefault="008955B8" w:rsidP="008955B8">
      <w:pPr>
        <w:pStyle w:val="UnnumberedHeading"/>
      </w:pPr>
      <w:bookmarkStart w:id="6" w:name="_Toc402538524"/>
      <w:bookmarkStart w:id="7" w:name="_Toc404354901"/>
      <w:bookmarkStart w:id="8" w:name="_Toc404353072"/>
      <w:bookmarkStart w:id="9" w:name="_Toc404365152"/>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8955B8" w:rsidTr="00E727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Shortened form</w:t>
            </w:r>
          </w:p>
        </w:tc>
        <w:tc>
          <w:tcPr>
            <w:tcW w:w="4621" w:type="dxa"/>
          </w:tcPr>
          <w:p w:rsidR="008955B8" w:rsidRDefault="008955B8" w:rsidP="008955B8">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AARR</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AEMC</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AEMO</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AER</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ASRR</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augex</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capex</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CCP</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CESS</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CPI</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CPI-X</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DRP</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DMIA</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DMIS</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distributor</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DUoS</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EBSS</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ERP</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expenditure assessment guideline</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F&amp;A</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MRP</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lastRenderedPageBreak/>
              <w:t>NEL</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NEM</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NEO</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NER</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NSP</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opex</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PPI</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PTRM</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RAB</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RBA</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repex</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RFM</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RIN</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RPP</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SAIDI</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SAIFI</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SLCAPM</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8955B8" w:rsidTr="00E727F2">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STPIS</w:t>
            </w:r>
          </w:p>
        </w:tc>
        <w:tc>
          <w:tcPr>
            <w:tcW w:w="4621" w:type="dxa"/>
          </w:tcPr>
          <w:p w:rsidR="008955B8" w:rsidRDefault="008955B8" w:rsidP="008955B8">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8955B8" w:rsidTr="00E727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955B8" w:rsidRDefault="008955B8" w:rsidP="008955B8">
            <w:pPr>
              <w:pStyle w:val="AERbodytext"/>
            </w:pPr>
            <w:r>
              <w:t>WACC</w:t>
            </w:r>
          </w:p>
        </w:tc>
        <w:tc>
          <w:tcPr>
            <w:tcW w:w="4621" w:type="dxa"/>
          </w:tcPr>
          <w:p w:rsidR="008955B8" w:rsidRDefault="008955B8" w:rsidP="008955B8">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8955B8" w:rsidRPr="00271F7C" w:rsidRDefault="008955B8" w:rsidP="008955B8">
      <w:pPr>
        <w:pStyle w:val="AERbodytext"/>
      </w:pPr>
    </w:p>
    <w:p w:rsidR="008955B8" w:rsidRPr="008955B8" w:rsidRDefault="008955B8" w:rsidP="008955B8">
      <w:pPr>
        <w:pStyle w:val="AERbodytext"/>
      </w:pPr>
    </w:p>
    <w:p w:rsidR="009B03FD" w:rsidRDefault="009B03FD" w:rsidP="008955B8">
      <w:pPr>
        <w:pStyle w:val="Heading1"/>
        <w:numPr>
          <w:ilvl w:val="1"/>
          <w:numId w:val="45"/>
        </w:numPr>
      </w:pPr>
      <w:bookmarkStart w:id="10" w:name="_Toc404365153"/>
      <w:r>
        <w:lastRenderedPageBreak/>
        <w:t>Regulatory depreciation</w:t>
      </w:r>
      <w:bookmarkEnd w:id="0"/>
      <w:bookmarkEnd w:id="10"/>
    </w:p>
    <w:p w:rsidR="00E82CDB" w:rsidRDefault="00740082" w:rsidP="00034F60">
      <w:pPr>
        <w:pStyle w:val="AERbodytext"/>
      </w:pPr>
      <w:r w:rsidRPr="00740082">
        <w:t xml:space="preserve">Depreciation is the allowance provided so that capital investors </w:t>
      </w:r>
      <w:r w:rsidR="00DA0D97">
        <w:t>recover</w:t>
      </w:r>
      <w:r w:rsidRPr="00740082">
        <w:t xml:space="preserve"> </w:t>
      </w:r>
      <w:r w:rsidR="00DA0D97">
        <w:t xml:space="preserve">their </w:t>
      </w:r>
      <w:r w:rsidRPr="00740082">
        <w:t>invest</w:t>
      </w:r>
      <w:r w:rsidR="0092091B">
        <w:t>ment</w:t>
      </w:r>
      <w:r w:rsidRPr="00740082">
        <w:t xml:space="preserve"> over the economic life of the asset (return of capital). </w:t>
      </w:r>
      <w:r>
        <w:t>We are</w:t>
      </w:r>
      <w:r w:rsidRPr="00740082">
        <w:t xml:space="preserve"> required to </w:t>
      </w:r>
      <w:r w:rsidR="00034F60">
        <w:t>decide on whether to approve the depreciation schedules submitted by Ausgrid.</w:t>
      </w:r>
      <w:r>
        <w:rPr>
          <w:rStyle w:val="FootnoteReference"/>
        </w:rPr>
        <w:footnoteReference w:id="1"/>
      </w:r>
      <w:r>
        <w:t xml:space="preserve"> </w:t>
      </w:r>
      <w:r w:rsidR="00034F60">
        <w:t>In doing so, we make determinations on the indexation of the regulatory asset base (RAB) and depreciation building blocks for Ausgrid's 2014–19</w:t>
      </w:r>
      <w:r w:rsidR="00DD0DCD">
        <w:t xml:space="preserve"> period</w:t>
      </w:r>
      <w:r w:rsidR="00034F60">
        <w:t>.</w:t>
      </w:r>
      <w:r w:rsidR="00701188">
        <w:rPr>
          <w:rStyle w:val="FootnoteReference"/>
        </w:rPr>
        <w:footnoteReference w:id="2"/>
      </w:r>
      <w:r w:rsidR="00034F60">
        <w:t xml:space="preserve"> The r</w:t>
      </w:r>
      <w:r w:rsidR="00DB59FA" w:rsidRPr="00DB59FA">
        <w:t xml:space="preserve">egulatory depreciation </w:t>
      </w:r>
      <w:r w:rsidR="00034F60">
        <w:t>allowance i</w:t>
      </w:r>
      <w:r w:rsidR="00DB59FA" w:rsidRPr="00DB59FA">
        <w:t xml:space="preserve">s the </w:t>
      </w:r>
      <w:r w:rsidR="00034F60">
        <w:t xml:space="preserve">net total of </w:t>
      </w:r>
      <w:r w:rsidR="00DB59FA" w:rsidRPr="00DB59FA">
        <w:t xml:space="preserve">straight-line depreciation </w:t>
      </w:r>
      <w:r w:rsidR="00034F60">
        <w:t xml:space="preserve">(negative) </w:t>
      </w:r>
      <w:r w:rsidR="00DA0D97">
        <w:t>less</w:t>
      </w:r>
      <w:r w:rsidR="00DA0D97" w:rsidRPr="00DB59FA">
        <w:t xml:space="preserve"> </w:t>
      </w:r>
      <w:r w:rsidR="00DB59FA" w:rsidRPr="00DB59FA">
        <w:t>the indexation of the RAB</w:t>
      </w:r>
      <w:r w:rsidR="00034F60">
        <w:t xml:space="preserve"> (</w:t>
      </w:r>
      <w:r w:rsidR="00E82CDB">
        <w:t>p</w:t>
      </w:r>
      <w:r w:rsidR="00034F60">
        <w:t>ositive)</w:t>
      </w:r>
      <w:r w:rsidR="00DB59FA" w:rsidRPr="00DB59FA">
        <w:t>.</w:t>
      </w:r>
      <w:r>
        <w:t xml:space="preserve"> </w:t>
      </w:r>
    </w:p>
    <w:p w:rsidR="00DB59FA" w:rsidRPr="00DB59FA" w:rsidRDefault="00DB59FA" w:rsidP="00034F60">
      <w:pPr>
        <w:pStyle w:val="AERbodytext"/>
        <w:rPr>
          <w:rStyle w:val="AERbody"/>
        </w:rPr>
      </w:pPr>
      <w:r w:rsidRPr="00DB59FA">
        <w:rPr>
          <w:rStyle w:val="AERbody"/>
        </w:rPr>
        <w:t>This attachm</w:t>
      </w:r>
      <w:r w:rsidR="008B64D7">
        <w:rPr>
          <w:rStyle w:val="AERbody"/>
        </w:rPr>
        <w:t>ent sets out our draft decision</w:t>
      </w:r>
      <w:r w:rsidRPr="00DB59FA">
        <w:rPr>
          <w:rStyle w:val="AERbody"/>
        </w:rPr>
        <w:t xml:space="preserve"> on </w:t>
      </w:r>
      <w:r w:rsidR="008B64D7">
        <w:rPr>
          <w:rStyle w:val="AERbody"/>
        </w:rPr>
        <w:t>Ausgrid's</w:t>
      </w:r>
      <w:r w:rsidRPr="00DB59FA">
        <w:rPr>
          <w:rStyle w:val="AERbody"/>
        </w:rPr>
        <w:t xml:space="preserve"> re</w:t>
      </w:r>
      <w:r w:rsidR="008B64D7">
        <w:rPr>
          <w:rStyle w:val="AERbody"/>
        </w:rPr>
        <w:t>gulatory depreciation allowance</w:t>
      </w:r>
      <w:r w:rsidRPr="00DB59FA">
        <w:rPr>
          <w:rStyle w:val="AERbody"/>
        </w:rPr>
        <w:t xml:space="preserve">. It also presents our </w:t>
      </w:r>
      <w:r w:rsidR="00E93B96">
        <w:rPr>
          <w:rStyle w:val="AERbody"/>
        </w:rPr>
        <w:t xml:space="preserve">draft decision on the proposed depreciation schedules, including an </w:t>
      </w:r>
      <w:r w:rsidRPr="00DB59FA">
        <w:rPr>
          <w:rStyle w:val="AERbody"/>
        </w:rPr>
        <w:t xml:space="preserve">assessment of the proposed standard and remaining asset lives to be used for forecasting </w:t>
      </w:r>
      <w:r w:rsidR="00DA0D97">
        <w:rPr>
          <w:rStyle w:val="AERbody"/>
        </w:rPr>
        <w:t xml:space="preserve">the </w:t>
      </w:r>
      <w:r w:rsidRPr="00DB59FA">
        <w:rPr>
          <w:rStyle w:val="AERbody"/>
        </w:rPr>
        <w:t>depreciation allowance.</w:t>
      </w:r>
    </w:p>
    <w:p w:rsidR="009B03FD" w:rsidRDefault="009B03FD" w:rsidP="00FA3D3E">
      <w:pPr>
        <w:pStyle w:val="Heading2"/>
      </w:pPr>
      <w:bookmarkStart w:id="11" w:name="_Toc387916818"/>
      <w:bookmarkStart w:id="12" w:name="_Toc404365154"/>
      <w:r w:rsidRPr="00FA3D3E">
        <w:t>Draft decision</w:t>
      </w:r>
      <w:bookmarkEnd w:id="11"/>
      <w:bookmarkEnd w:id="12"/>
    </w:p>
    <w:p w:rsidR="00865D10" w:rsidRPr="00865D10" w:rsidRDefault="00865D10" w:rsidP="00865D10">
      <w:r w:rsidRPr="00865D10">
        <w:t xml:space="preserve">We do not accept </w:t>
      </w:r>
      <w:r>
        <w:t>Ausgrid</w:t>
      </w:r>
      <w:r w:rsidRPr="00865D10">
        <w:t>'s proposed regulatory depreciation allowance</w:t>
      </w:r>
      <w:r w:rsidR="0071480E">
        <w:t>s</w:t>
      </w:r>
      <w:r w:rsidRPr="00865D10">
        <w:t xml:space="preserve"> of $</w:t>
      </w:r>
      <w:r>
        <w:t>74</w:t>
      </w:r>
      <w:r w:rsidR="00EB5D6C">
        <w:t>6.9</w:t>
      </w:r>
      <w:r w:rsidRPr="00865D10">
        <w:t xml:space="preserve"> million </w:t>
      </w:r>
      <w:r w:rsidR="004057A7">
        <w:t xml:space="preserve">and </w:t>
      </w:r>
      <w:r w:rsidRPr="00865D10">
        <w:t>$</w:t>
      </w:r>
      <w:r>
        <w:t>8</w:t>
      </w:r>
      <w:r w:rsidR="00EB5D6C">
        <w:t>1.9</w:t>
      </w:r>
      <w:r w:rsidRPr="00865D10">
        <w:t> million ($ nominal)</w:t>
      </w:r>
      <w:r>
        <w:t xml:space="preserve"> </w:t>
      </w:r>
      <w:r w:rsidRPr="00865D10">
        <w:t>for the 2014–19</w:t>
      </w:r>
      <w:r>
        <w:t xml:space="preserve"> </w:t>
      </w:r>
      <w:r w:rsidR="00DD0DCD">
        <w:t xml:space="preserve">period </w:t>
      </w:r>
      <w:r>
        <w:t>for its distribution and transmission networks respectively</w:t>
      </w:r>
      <w:r w:rsidRPr="00865D10">
        <w:t>. Instead, we determine regulatory depreciation allowance</w:t>
      </w:r>
      <w:r w:rsidR="0071480E">
        <w:t>s</w:t>
      </w:r>
      <w:r w:rsidRPr="00865D10">
        <w:t xml:space="preserve"> of $</w:t>
      </w:r>
      <w:r w:rsidR="004160EA">
        <w:t>748</w:t>
      </w:r>
      <w:r w:rsidR="00EB5D6C">
        <w:t>.2</w:t>
      </w:r>
      <w:r w:rsidRPr="00865D10">
        <w:t xml:space="preserve"> million </w:t>
      </w:r>
      <w:r>
        <w:t>and $</w:t>
      </w:r>
      <w:r w:rsidR="004160EA">
        <w:t>76</w:t>
      </w:r>
      <w:r w:rsidR="00EB5D6C">
        <w:t>.5</w:t>
      </w:r>
      <w:r>
        <w:t> million ($ nominal)</w:t>
      </w:r>
      <w:r w:rsidRPr="00865D10">
        <w:t xml:space="preserve"> for</w:t>
      </w:r>
      <w:r>
        <w:t xml:space="preserve"> its distribution and transmission networks respectively</w:t>
      </w:r>
      <w:r w:rsidR="004057A7">
        <w:t xml:space="preserve">. </w:t>
      </w:r>
      <w:r w:rsidR="004160EA">
        <w:t xml:space="preserve">In relation to Ausgrid's distribution network this represents an increase of 0.2 per cent. In relation to Ausgrid's transmission network this represents a </w:t>
      </w:r>
      <w:r w:rsidR="004057A7">
        <w:t xml:space="preserve">reduction of </w:t>
      </w:r>
      <w:r w:rsidR="004160EA">
        <w:t>6.6</w:t>
      </w:r>
      <w:r w:rsidR="004057A7">
        <w:t xml:space="preserve"> per cent. In coming to </w:t>
      </w:r>
      <w:r w:rsidR="00E82CDB">
        <w:t xml:space="preserve">these </w:t>
      </w:r>
      <w:r w:rsidR="004057A7">
        <w:t>decision</w:t>
      </w:r>
      <w:r w:rsidR="00E82CDB">
        <w:t>s</w:t>
      </w:r>
      <w:r w:rsidR="004057A7">
        <w:t>, we:</w:t>
      </w:r>
    </w:p>
    <w:p w:rsidR="00865D10" w:rsidRPr="00865D10" w:rsidRDefault="007876B6" w:rsidP="00266FE2">
      <w:pPr>
        <w:pStyle w:val="AERbulletlistfirststyle"/>
      </w:pPr>
      <w:proofErr w:type="gramStart"/>
      <w:r>
        <w:t>a</w:t>
      </w:r>
      <w:r w:rsidR="00865D10" w:rsidRPr="00865D10">
        <w:t>ccept</w:t>
      </w:r>
      <w:proofErr w:type="gramEnd"/>
      <w:r w:rsidR="00865D10" w:rsidRPr="00865D10">
        <w:t xml:space="preserve"> </w:t>
      </w:r>
      <w:r w:rsidR="00865D10">
        <w:t>A</w:t>
      </w:r>
      <w:r w:rsidR="00BF51E0">
        <w:t>usgrid</w:t>
      </w:r>
      <w:r w:rsidR="003C481E">
        <w:t>'s proposed</w:t>
      </w:r>
      <w:r w:rsidR="004057A7">
        <w:t xml:space="preserve"> asset classes, straight-line method, and standard asset lives used to calculate the regulatory depreciation allowance. We consider that Ausgrid's proposed asset classes and standard asset lives are consistent with those approved at the 2009–14 distribution determination and reflect the economic lives of the assets.</w:t>
      </w:r>
      <w:r w:rsidR="00701188">
        <w:rPr>
          <w:rStyle w:val="FootnoteReference"/>
        </w:rPr>
        <w:footnoteReference w:id="3"/>
      </w:r>
      <w:r w:rsidR="00266FE2">
        <w:t xml:space="preserve"> </w:t>
      </w:r>
    </w:p>
    <w:p w:rsidR="004057A7" w:rsidRDefault="007876B6" w:rsidP="00865D10">
      <w:pPr>
        <w:pStyle w:val="AERbulletlistfirststyle"/>
      </w:pPr>
      <w:proofErr w:type="gramStart"/>
      <w:r>
        <w:t>a</w:t>
      </w:r>
      <w:r w:rsidR="004057A7">
        <w:t>ccept</w:t>
      </w:r>
      <w:proofErr w:type="gramEnd"/>
      <w:r w:rsidR="004057A7">
        <w:t xml:space="preserve"> Ausgrid's proposed weighted average method to calculate the remaining asset lives as at 1 July 2014. However, we have updated these remaining asset lives to reflect our adjustments to the RAB in the roll</w:t>
      </w:r>
      <w:r w:rsidR="00E93B96">
        <w:t xml:space="preserve"> </w:t>
      </w:r>
      <w:r w:rsidR="004057A7">
        <w:t xml:space="preserve">forward model (RFM), as discussed in attachment </w:t>
      </w:r>
      <w:r w:rsidR="004160EA">
        <w:t>2</w:t>
      </w:r>
      <w:r w:rsidR="004057A7">
        <w:t>.</w:t>
      </w:r>
      <w:r w:rsidR="00666093" w:rsidRPr="00666093">
        <w:t xml:space="preserve"> </w:t>
      </w:r>
    </w:p>
    <w:p w:rsidR="00903912" w:rsidRDefault="007876B6" w:rsidP="00865D10">
      <w:pPr>
        <w:pStyle w:val="AERbulletlistfirststyle"/>
      </w:pPr>
      <w:proofErr w:type="gramStart"/>
      <w:r>
        <w:t>r</w:t>
      </w:r>
      <w:r w:rsidR="00903912">
        <w:t>emoved</w:t>
      </w:r>
      <w:proofErr w:type="gramEnd"/>
      <w:r w:rsidR="00903912">
        <w:t xml:space="preserve"> the assets classes of </w:t>
      </w:r>
      <w:r w:rsidR="00B8715F">
        <w:t xml:space="preserve">'Emergency </w:t>
      </w:r>
      <w:r w:rsidR="00514667">
        <w:t>s</w:t>
      </w:r>
      <w:r w:rsidR="00B8715F">
        <w:t>pares (</w:t>
      </w:r>
      <w:r w:rsidR="00514667">
        <w:t>m</w:t>
      </w:r>
      <w:r w:rsidR="00B8715F">
        <w:t>ajor plant, excludes inventory)' and 'Transmission</w:t>
      </w:r>
      <w:r w:rsidR="00514667">
        <w:t xml:space="preserve"> </w:t>
      </w:r>
      <w:r w:rsidR="00B8715F">
        <w:t>&amp; zone emergency spares' from Ausgrid's PTRMs for its distribution and transmission networks respectively. We understand th</w:t>
      </w:r>
      <w:r w:rsidR="00514667">
        <w:t>ese</w:t>
      </w:r>
      <w:r w:rsidR="00B8715F">
        <w:t xml:space="preserve"> to be unused asset class</w:t>
      </w:r>
      <w:r w:rsidR="00514667">
        <w:t>es</w:t>
      </w:r>
      <w:r w:rsidR="00B8715F">
        <w:t xml:space="preserve"> going forward. </w:t>
      </w:r>
    </w:p>
    <w:p w:rsidR="00865D10" w:rsidRPr="00865D10" w:rsidRDefault="007876B6" w:rsidP="00701188">
      <w:pPr>
        <w:pStyle w:val="AERbulletlistfirststyle"/>
      </w:pPr>
      <w:proofErr w:type="gramStart"/>
      <w:r>
        <w:t>m</w:t>
      </w:r>
      <w:r w:rsidR="004057A7">
        <w:t>ade</w:t>
      </w:r>
      <w:proofErr w:type="gramEnd"/>
      <w:r w:rsidR="004057A7">
        <w:t xml:space="preserve"> </w:t>
      </w:r>
      <w:r w:rsidR="00865D10" w:rsidRPr="00865D10">
        <w:t xml:space="preserve">determinations on other components of </w:t>
      </w:r>
      <w:r w:rsidR="00865D10">
        <w:t>Ausgrid</w:t>
      </w:r>
      <w:r w:rsidR="00865D10" w:rsidRPr="00865D10">
        <w:t xml:space="preserve">'s proposal </w:t>
      </w:r>
      <w:r w:rsidR="004057A7">
        <w:t xml:space="preserve">which </w:t>
      </w:r>
      <w:r w:rsidR="00865D10" w:rsidRPr="00865D10">
        <w:t xml:space="preserve">also affect the forecast regulatory depreciation allowance—for example, the forecast capital expenditure (capex) (attachment </w:t>
      </w:r>
      <w:r w:rsidR="004160EA">
        <w:t>6</w:t>
      </w:r>
      <w:r w:rsidR="00865D10" w:rsidRPr="00865D10">
        <w:t xml:space="preserve">) and the opening RAB value (attachment </w:t>
      </w:r>
      <w:r w:rsidR="004160EA">
        <w:t>2</w:t>
      </w:r>
      <w:r w:rsidR="00865D10" w:rsidRPr="00865D10">
        <w:t>).</w:t>
      </w:r>
      <w:r w:rsidR="00865D10" w:rsidRPr="00865D10">
        <w:rPr>
          <w:rStyle w:val="AERsuperscript"/>
        </w:rPr>
        <w:footnoteReference w:id="4"/>
      </w:r>
    </w:p>
    <w:p w:rsidR="006A57CC" w:rsidRDefault="006A57CC">
      <w:pPr>
        <w:spacing w:after="0" w:line="240" w:lineRule="auto"/>
        <w:jc w:val="left"/>
        <w:rPr>
          <w:rFonts w:eastAsia="Times New Roman"/>
          <w:szCs w:val="24"/>
        </w:rPr>
      </w:pPr>
      <w:r>
        <w:br w:type="page"/>
      </w:r>
    </w:p>
    <w:p w:rsidR="00865D10" w:rsidRPr="00DA35ED" w:rsidRDefault="00DA35ED" w:rsidP="00050963">
      <w:pPr>
        <w:pStyle w:val="AERbodytext"/>
      </w:pPr>
      <w:r>
        <w:lastRenderedPageBreak/>
        <w:fldChar w:fldCharType="begin"/>
      </w:r>
      <w:r>
        <w:instrText xml:space="preserve"> REF _Ref394667124 \h </w:instrText>
      </w:r>
      <w:r>
        <w:fldChar w:fldCharType="separate"/>
      </w:r>
      <w:r w:rsidR="001F4E28" w:rsidRPr="00865D10">
        <w:t xml:space="preserve">Table </w:t>
      </w:r>
      <w:r w:rsidR="001F4E28">
        <w:t>5</w:t>
      </w:r>
      <w:r w:rsidR="001F4E28">
        <w:noBreakHyphen/>
      </w:r>
      <w:r w:rsidR="001F4E28">
        <w:rPr>
          <w:noProof/>
        </w:rPr>
        <w:t>1</w:t>
      </w:r>
      <w:r>
        <w:fldChar w:fldCharType="end"/>
      </w:r>
      <w:r w:rsidR="00865D10" w:rsidRPr="00DA35ED">
        <w:t xml:space="preserve"> and </w:t>
      </w:r>
      <w:r w:rsidR="00050963">
        <w:fldChar w:fldCharType="begin"/>
      </w:r>
      <w:r w:rsidR="00050963">
        <w:instrText xml:space="preserve"> REF _Ref395083115 \h </w:instrText>
      </w:r>
      <w:r w:rsidR="00050963">
        <w:fldChar w:fldCharType="separate"/>
      </w:r>
      <w:r w:rsidR="001F4E28" w:rsidRPr="00865D10">
        <w:t xml:space="preserve">Table </w:t>
      </w:r>
      <w:r w:rsidR="001F4E28">
        <w:t>5</w:t>
      </w:r>
      <w:r w:rsidR="001F4E28">
        <w:noBreakHyphen/>
      </w:r>
      <w:r w:rsidR="001F4E28">
        <w:rPr>
          <w:noProof/>
        </w:rPr>
        <w:t>2</w:t>
      </w:r>
      <w:r w:rsidR="00050963">
        <w:fldChar w:fldCharType="end"/>
      </w:r>
      <w:r w:rsidR="00050963">
        <w:t xml:space="preserve"> </w:t>
      </w:r>
      <w:r w:rsidR="00865D10" w:rsidRPr="00DA35ED">
        <w:t>set out our draft decision on the annual regulatory depreciation allowance</w:t>
      </w:r>
      <w:r w:rsidR="00E82CDB">
        <w:t>s</w:t>
      </w:r>
      <w:r w:rsidR="00865D10" w:rsidRPr="00DA35ED">
        <w:t xml:space="preserve"> over the 2014–19 </w:t>
      </w:r>
      <w:proofErr w:type="gramStart"/>
      <w:r w:rsidR="00865D10" w:rsidRPr="00DA35ED">
        <w:t>period</w:t>
      </w:r>
      <w:proofErr w:type="gramEnd"/>
      <w:r w:rsidR="00865D10" w:rsidRPr="00DA35ED">
        <w:t xml:space="preserve"> for Ausgrid's distribution and transmission networks respectively.</w:t>
      </w:r>
    </w:p>
    <w:p w:rsidR="00865D10" w:rsidRPr="00865D10" w:rsidRDefault="00865D10" w:rsidP="00865D10">
      <w:pPr>
        <w:pStyle w:val="Caption"/>
      </w:pPr>
      <w:bookmarkStart w:id="13" w:name="_Ref394667124"/>
      <w:r w:rsidRPr="00865D10">
        <w:t xml:space="preserve">Table </w:t>
      </w:r>
      <w:r w:rsidR="007876B6">
        <w:t>5</w:t>
      </w:r>
      <w:r w:rsidR="00206261">
        <w:noBreakHyphen/>
      </w:r>
      <w:fldSimple w:instr=" SEQ Table \* ARABIC \s 1 ">
        <w:r w:rsidR="001F4E28">
          <w:rPr>
            <w:noProof/>
          </w:rPr>
          <w:t>1</w:t>
        </w:r>
      </w:fldSimple>
      <w:bookmarkEnd w:id="13"/>
      <w:r w:rsidRPr="00865D10">
        <w:tab/>
        <w:t xml:space="preserve">AER's draft decision on </w:t>
      </w:r>
      <w:r>
        <w:t>Ausgrid</w:t>
      </w:r>
      <w:r w:rsidRPr="00865D10">
        <w:t>'s depreciation allowance for the 2014–19 period</w:t>
      </w:r>
      <w:r>
        <w:t xml:space="preserve"> – distribution</w:t>
      </w:r>
      <w:r w:rsidRPr="00865D10">
        <w:t xml:space="preserve">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865D10" w:rsidRPr="004D699F" w:rsidTr="00865D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865D10" w:rsidRPr="00865D10" w:rsidRDefault="00865D10" w:rsidP="00865D10">
            <w:pPr>
              <w:pStyle w:val="AERtabletextleft"/>
            </w:pPr>
            <w:r w:rsidRPr="00865D10">
              <w:t> </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2014–15</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2015–16</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2016–17</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2017–18</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2018–19</w:t>
            </w:r>
          </w:p>
        </w:tc>
        <w:tc>
          <w:tcPr>
            <w:tcW w:w="509"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Total</w:t>
            </w:r>
          </w:p>
        </w:tc>
      </w:tr>
      <w:tr w:rsidR="004160EA" w:rsidRPr="004D699F" w:rsidTr="004160EA">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pPr>
            <w:r w:rsidRPr="004160EA">
              <w:t>Straight-line depreciation</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438.8</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468.5</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497.6</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474.2</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483.8</w:t>
            </w:r>
          </w:p>
        </w:tc>
        <w:tc>
          <w:tcPr>
            <w:tcW w:w="509"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2363.0</w:t>
            </w:r>
          </w:p>
        </w:tc>
      </w:tr>
      <w:tr w:rsidR="004160EA" w:rsidRPr="004D699F" w:rsidTr="004160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pPr>
            <w:r w:rsidRPr="004160EA">
              <w:t>Less: inflation indexation on opening RAB</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306.3</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315.3</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323.7</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330.7</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338.8</w:t>
            </w:r>
          </w:p>
        </w:tc>
        <w:tc>
          <w:tcPr>
            <w:tcW w:w="509"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1614.8</w:t>
            </w:r>
          </w:p>
        </w:tc>
      </w:tr>
      <w:tr w:rsidR="004160EA" w:rsidRPr="004D699F" w:rsidTr="004160EA">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rPr>
                <w:rStyle w:val="AERtextbold"/>
              </w:rPr>
            </w:pPr>
            <w:r w:rsidRPr="004160EA">
              <w:rPr>
                <w:rStyle w:val="AERtextbold"/>
              </w:rPr>
              <w:t>Regulatory depreciation</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132.6</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153.2</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173.9</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143.6</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145.0</w:t>
            </w:r>
          </w:p>
        </w:tc>
        <w:tc>
          <w:tcPr>
            <w:tcW w:w="509"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748.2</w:t>
            </w:r>
          </w:p>
        </w:tc>
      </w:tr>
    </w:tbl>
    <w:p w:rsidR="00865D10" w:rsidRDefault="00865D10" w:rsidP="00865D10">
      <w:pPr>
        <w:pStyle w:val="AERtablesource"/>
      </w:pPr>
      <w:bookmarkStart w:id="14" w:name="_Ref394663313"/>
      <w:r>
        <w:t>Source:</w:t>
      </w:r>
      <w:r>
        <w:tab/>
        <w:t>AER analysis.</w:t>
      </w:r>
    </w:p>
    <w:p w:rsidR="00865D10" w:rsidRPr="00865D10" w:rsidRDefault="00865D10" w:rsidP="00865D10">
      <w:pPr>
        <w:pStyle w:val="Caption"/>
      </w:pPr>
      <w:bookmarkStart w:id="15" w:name="_Ref395083115"/>
      <w:r w:rsidRPr="00865D10">
        <w:t xml:space="preserve">Table </w:t>
      </w:r>
      <w:r w:rsidR="007876B6">
        <w:t>5</w:t>
      </w:r>
      <w:r w:rsidR="00206261">
        <w:noBreakHyphen/>
      </w:r>
      <w:fldSimple w:instr=" SEQ Table \* ARABIC \s 1 ">
        <w:r w:rsidR="001F4E28">
          <w:rPr>
            <w:noProof/>
          </w:rPr>
          <w:t>2</w:t>
        </w:r>
      </w:fldSimple>
      <w:bookmarkEnd w:id="14"/>
      <w:bookmarkEnd w:id="15"/>
      <w:r w:rsidRPr="00865D10">
        <w:tab/>
        <w:t xml:space="preserve">AER's draft decision on Ausgrid's depreciation allowance for the 2014–19 period – </w:t>
      </w:r>
      <w:r>
        <w:t>transmission</w:t>
      </w:r>
      <w:r w:rsidRPr="00865D10">
        <w:t xml:space="preserve"> ($ million, nominal)</w:t>
      </w:r>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865D10" w:rsidRPr="004D699F" w:rsidTr="00865D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865D10" w:rsidRPr="00865D10" w:rsidRDefault="00865D10" w:rsidP="00865D10">
            <w:pPr>
              <w:pStyle w:val="AERtabletextleft"/>
            </w:pPr>
            <w:r w:rsidRPr="00865D10">
              <w:t> </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2014–15</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2015–16</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2016–17</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2017–18</w:t>
            </w:r>
          </w:p>
        </w:tc>
        <w:tc>
          <w:tcPr>
            <w:tcW w:w="511"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2018–19</w:t>
            </w:r>
          </w:p>
        </w:tc>
        <w:tc>
          <w:tcPr>
            <w:tcW w:w="509" w:type="pct"/>
            <w:noWrap/>
            <w:hideMark/>
          </w:tcPr>
          <w:p w:rsidR="00865D10" w:rsidRPr="00865D10" w:rsidRDefault="00865D10" w:rsidP="00865D10">
            <w:pPr>
              <w:pStyle w:val="AERtabletextright"/>
              <w:cnfStyle w:val="100000000000" w:firstRow="1" w:lastRow="0" w:firstColumn="0" w:lastColumn="0" w:oddVBand="0" w:evenVBand="0" w:oddHBand="0" w:evenHBand="0" w:firstRowFirstColumn="0" w:firstRowLastColumn="0" w:lastRowFirstColumn="0" w:lastRowLastColumn="0"/>
            </w:pPr>
            <w:r w:rsidRPr="00865D10">
              <w:t>Total</w:t>
            </w:r>
          </w:p>
        </w:tc>
      </w:tr>
      <w:tr w:rsidR="004160EA" w:rsidRPr="004D699F" w:rsidTr="004160EA">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pPr>
            <w:r w:rsidRPr="004160EA">
              <w:t>Straight-line depreciation</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63.0</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68.1</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73.2</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71.5</w:t>
            </w:r>
          </w:p>
        </w:tc>
        <w:tc>
          <w:tcPr>
            <w:tcW w:w="511"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72.5</w:t>
            </w:r>
          </w:p>
        </w:tc>
        <w:tc>
          <w:tcPr>
            <w:tcW w:w="509" w:type="pct"/>
            <w:noWrap/>
            <w:vAlign w:val="top"/>
            <w:hideMark/>
          </w:tcPr>
          <w:p w:rsidR="004160EA" w:rsidRPr="004160E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pPr>
            <w:r w:rsidRPr="004160EA">
              <w:t>348.4</w:t>
            </w:r>
          </w:p>
        </w:tc>
      </w:tr>
      <w:tr w:rsidR="004160EA" w:rsidRPr="004D699F" w:rsidTr="004160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pPr>
            <w:r w:rsidRPr="004160EA">
              <w:t>Less: inflation indexation on opening RAB</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50.9</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53.0</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54.9</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55.9</w:t>
            </w:r>
          </w:p>
        </w:tc>
        <w:tc>
          <w:tcPr>
            <w:tcW w:w="511"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57.2</w:t>
            </w:r>
          </w:p>
        </w:tc>
        <w:tc>
          <w:tcPr>
            <w:tcW w:w="509" w:type="pct"/>
            <w:noWrap/>
            <w:vAlign w:val="top"/>
            <w:hideMark/>
          </w:tcPr>
          <w:p w:rsidR="004160EA" w:rsidRPr="004160EA" w:rsidRDefault="004160EA" w:rsidP="004160EA">
            <w:pPr>
              <w:pStyle w:val="AERtabletextright"/>
              <w:cnfStyle w:val="000000010000" w:firstRow="0" w:lastRow="0" w:firstColumn="0" w:lastColumn="0" w:oddVBand="0" w:evenVBand="0" w:oddHBand="0" w:evenHBand="1" w:firstRowFirstColumn="0" w:firstRowLastColumn="0" w:lastRowFirstColumn="0" w:lastRowLastColumn="0"/>
            </w:pPr>
            <w:r w:rsidRPr="004160EA">
              <w:t>271.9</w:t>
            </w:r>
          </w:p>
        </w:tc>
      </w:tr>
      <w:tr w:rsidR="004160EA" w:rsidRPr="004D699F" w:rsidTr="004160EA">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4160EA" w:rsidRPr="004160EA" w:rsidRDefault="004160EA" w:rsidP="004160EA">
            <w:pPr>
              <w:pStyle w:val="AERtabletextleft"/>
              <w:rPr>
                <w:rStyle w:val="AERtextbold"/>
              </w:rPr>
            </w:pPr>
            <w:r w:rsidRPr="004160EA">
              <w:rPr>
                <w:rStyle w:val="AERtextbold"/>
              </w:rPr>
              <w:t>Regulatory depreciation</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12.2</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15.1</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18.3</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15.6</w:t>
            </w:r>
          </w:p>
        </w:tc>
        <w:tc>
          <w:tcPr>
            <w:tcW w:w="511"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15.3</w:t>
            </w:r>
          </w:p>
        </w:tc>
        <w:tc>
          <w:tcPr>
            <w:tcW w:w="509" w:type="pct"/>
            <w:noWrap/>
            <w:vAlign w:val="top"/>
            <w:hideMark/>
          </w:tcPr>
          <w:p w:rsidR="004160EA" w:rsidRPr="00345B9A" w:rsidRDefault="004160EA" w:rsidP="004160E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345B9A">
              <w:rPr>
                <w:rStyle w:val="AERtextbold"/>
              </w:rPr>
              <w:t>76.5</w:t>
            </w:r>
          </w:p>
        </w:tc>
      </w:tr>
    </w:tbl>
    <w:p w:rsidR="00B12876" w:rsidRPr="00B12876" w:rsidRDefault="00865D10" w:rsidP="00865D10">
      <w:pPr>
        <w:pStyle w:val="AERtablesource"/>
      </w:pPr>
      <w:r w:rsidRPr="00865D10">
        <w:t>Source:</w:t>
      </w:r>
      <w:r w:rsidRPr="00865D10">
        <w:tab/>
      </w:r>
      <w:r>
        <w:t>AER analysis.</w:t>
      </w:r>
    </w:p>
    <w:p w:rsidR="009B03FD" w:rsidRPr="00FA3D3E" w:rsidRDefault="008B64D7" w:rsidP="00FA3D3E">
      <w:pPr>
        <w:pStyle w:val="Heading2"/>
      </w:pPr>
      <w:bookmarkStart w:id="16" w:name="_Toc404365155"/>
      <w:r>
        <w:t>Ausgrid</w:t>
      </w:r>
      <w:r w:rsidR="00ED0101" w:rsidRPr="00FA3D3E">
        <w:t>'</w:t>
      </w:r>
      <w:r w:rsidR="00AF5455" w:rsidRPr="00FA3D3E">
        <w:t xml:space="preserve">s </w:t>
      </w:r>
      <w:r w:rsidR="00B12876" w:rsidRPr="00FA3D3E">
        <w:t>proposal</w:t>
      </w:r>
      <w:bookmarkEnd w:id="16"/>
    </w:p>
    <w:p w:rsidR="002A0E90" w:rsidRDefault="003A306D" w:rsidP="002A0E90">
      <w:r w:rsidRPr="003A306D">
        <w:t xml:space="preserve">For the </w:t>
      </w:r>
      <w:r w:rsidR="00C94EE4">
        <w:t xml:space="preserve">2014–19 </w:t>
      </w:r>
      <w:r w:rsidR="00CF0484">
        <w:t>period</w:t>
      </w:r>
      <w:r w:rsidRPr="003A306D">
        <w:t xml:space="preserve">, </w:t>
      </w:r>
      <w:r>
        <w:t>Ausgrid</w:t>
      </w:r>
      <w:r w:rsidRPr="003A306D">
        <w:t xml:space="preserve"> proposed total forecast regulatory depreciation allowance</w:t>
      </w:r>
      <w:r w:rsidR="0071480E">
        <w:t>s</w:t>
      </w:r>
      <w:r w:rsidRPr="003A306D">
        <w:t xml:space="preserve"> of $</w:t>
      </w:r>
      <w:r>
        <w:t>74</w:t>
      </w:r>
      <w:r w:rsidR="00345B9A">
        <w:t>6.9</w:t>
      </w:r>
      <w:r>
        <w:t> </w:t>
      </w:r>
      <w:r w:rsidRPr="003A306D">
        <w:t xml:space="preserve">million </w:t>
      </w:r>
      <w:r>
        <w:t>and $8</w:t>
      </w:r>
      <w:r w:rsidR="00345B9A">
        <w:t>1.9</w:t>
      </w:r>
      <w:r>
        <w:t> million ($ nominal) for its distribution and transmission networks respectively</w:t>
      </w:r>
      <w:r w:rsidRPr="003A306D">
        <w:t>.</w:t>
      </w:r>
      <w:r>
        <w:t xml:space="preserve"> </w:t>
      </w:r>
      <w:r w:rsidR="00CF0484">
        <w:t xml:space="preserve">To calculate the depreciation allowance, Ausgrid proposed to use: </w:t>
      </w:r>
    </w:p>
    <w:p w:rsidR="00CF0484" w:rsidRDefault="00CF0484" w:rsidP="00CF0484">
      <w:pPr>
        <w:pStyle w:val="AERbulletlistfirststyle"/>
      </w:pPr>
      <w:r>
        <w:t>the straight-line depreciation method employed in the AER's post-tax revenue model (PTRM)</w:t>
      </w:r>
    </w:p>
    <w:p w:rsidR="00CF0484" w:rsidRDefault="00CF0484" w:rsidP="00CF0484">
      <w:pPr>
        <w:pStyle w:val="AERbulletlistfirststyle"/>
      </w:pPr>
      <w:proofErr w:type="gramStart"/>
      <w:r>
        <w:t>the</w:t>
      </w:r>
      <w:proofErr w:type="gramEnd"/>
      <w:r>
        <w:t xml:space="preserve"> closing RAB as at 30 June 2014 derived from the AER's RFM. The distribution closing RAB has been adjusted for the removal of metering assets</w:t>
      </w:r>
    </w:p>
    <w:p w:rsidR="00CF0484" w:rsidRDefault="00CF0484" w:rsidP="00CF0484">
      <w:pPr>
        <w:pStyle w:val="AERbulletlistfirststyle"/>
      </w:pPr>
      <w:r>
        <w:t>proposed forecast capex for the 2014–19</w:t>
      </w:r>
      <w:r w:rsidR="00C94EE4">
        <w:t xml:space="preserve"> period</w:t>
      </w:r>
    </w:p>
    <w:p w:rsidR="00CF0484" w:rsidRDefault="00CF0484" w:rsidP="00CF0484">
      <w:pPr>
        <w:pStyle w:val="AERbulletlistfirststyle"/>
      </w:pPr>
      <w:r>
        <w:t>weighted average remaining asset lives in existence as at 30 June 2014 derived from the RFM</w:t>
      </w:r>
    </w:p>
    <w:p w:rsidR="00CF0484" w:rsidRDefault="00CF0484" w:rsidP="00CF0484">
      <w:pPr>
        <w:pStyle w:val="AERbulletlistfirststyle"/>
      </w:pPr>
      <w:proofErr w:type="gramStart"/>
      <w:r>
        <w:t>standard</w:t>
      </w:r>
      <w:proofErr w:type="gramEnd"/>
      <w:r>
        <w:t xml:space="preserve"> asset lives for depreciating new assets associated with forecast capex for the 2014–19 </w:t>
      </w:r>
      <w:r w:rsidR="00666093">
        <w:t xml:space="preserve">period </w:t>
      </w:r>
      <w:r>
        <w:t>consistent with those approved at the 2009–14 distribution determination.</w:t>
      </w:r>
    </w:p>
    <w:p w:rsidR="006A57CC" w:rsidRDefault="006A57CC">
      <w:pPr>
        <w:spacing w:after="0" w:line="240" w:lineRule="auto"/>
        <w:jc w:val="left"/>
        <w:rPr>
          <w:rFonts w:eastAsia="Times New Roman"/>
          <w:szCs w:val="24"/>
        </w:rPr>
      </w:pPr>
      <w:r>
        <w:br w:type="page"/>
      </w:r>
    </w:p>
    <w:p w:rsidR="00F90C8D" w:rsidRPr="002E6B83" w:rsidRDefault="003A306D" w:rsidP="002E6B83">
      <w:pPr>
        <w:pStyle w:val="AERbodytext"/>
      </w:pPr>
      <w:r w:rsidRPr="002E6B83">
        <w:lastRenderedPageBreak/>
        <w:fldChar w:fldCharType="begin"/>
      </w:r>
      <w:r w:rsidRPr="002E6B83">
        <w:instrText xml:space="preserve"> REF _Ref393113871 \h </w:instrText>
      </w:r>
      <w:r w:rsidR="002E6B83">
        <w:instrText xml:space="preserve"> \* MERGEFORMAT </w:instrText>
      </w:r>
      <w:r w:rsidRPr="002E6B83">
        <w:fldChar w:fldCharType="separate"/>
      </w:r>
      <w:r w:rsidR="001F4E28">
        <w:t>Table 5</w:t>
      </w:r>
      <w:r w:rsidR="001F4E28">
        <w:noBreakHyphen/>
        <w:t>3</w:t>
      </w:r>
      <w:r w:rsidRPr="002E6B83">
        <w:fldChar w:fldCharType="end"/>
      </w:r>
      <w:r w:rsidRPr="002E6B83">
        <w:t xml:space="preserve"> </w:t>
      </w:r>
      <w:r w:rsidR="00087443" w:rsidRPr="002E6B83">
        <w:t xml:space="preserve">and </w:t>
      </w:r>
      <w:r w:rsidR="005230DD">
        <w:fldChar w:fldCharType="begin"/>
      </w:r>
      <w:r w:rsidR="005230DD">
        <w:instrText xml:space="preserve"> REF _Ref395083323 \h </w:instrText>
      </w:r>
      <w:r w:rsidR="005230DD">
        <w:fldChar w:fldCharType="separate"/>
      </w:r>
      <w:r w:rsidR="001F4E28">
        <w:t>Table 5</w:t>
      </w:r>
      <w:r w:rsidR="001F4E28">
        <w:noBreakHyphen/>
      </w:r>
      <w:r w:rsidR="001F4E28">
        <w:rPr>
          <w:noProof/>
        </w:rPr>
        <w:t>4</w:t>
      </w:r>
      <w:r w:rsidR="005230DD">
        <w:fldChar w:fldCharType="end"/>
      </w:r>
      <w:r w:rsidR="005230DD">
        <w:t xml:space="preserve"> </w:t>
      </w:r>
      <w:r w:rsidR="00087443" w:rsidRPr="002E6B83">
        <w:t>set</w:t>
      </w:r>
      <w:r w:rsidRPr="002E6B83">
        <w:t xml:space="preserve"> out Ausgrid's proposed depreciation allowance</w:t>
      </w:r>
      <w:r w:rsidR="00666093">
        <w:t>s</w:t>
      </w:r>
      <w:r w:rsidRPr="002E6B83">
        <w:t xml:space="preserve"> for the 2014–19 </w:t>
      </w:r>
      <w:r w:rsidR="00C94EE4">
        <w:t xml:space="preserve">period </w:t>
      </w:r>
      <w:r w:rsidR="00087443" w:rsidRPr="002E6B83">
        <w:t>for its distribution and transmission networks respectively</w:t>
      </w:r>
      <w:r w:rsidRPr="002E6B83">
        <w:t>.</w:t>
      </w:r>
    </w:p>
    <w:p w:rsidR="00B12876" w:rsidRDefault="00F90C8D" w:rsidP="00F90C8D">
      <w:pPr>
        <w:pStyle w:val="Caption"/>
      </w:pPr>
      <w:bookmarkStart w:id="17" w:name="_Ref393113871"/>
      <w:r>
        <w:t xml:space="preserve">Table </w:t>
      </w:r>
      <w:r w:rsidR="007876B6">
        <w:t>5</w:t>
      </w:r>
      <w:r w:rsidR="00206261">
        <w:noBreakHyphen/>
      </w:r>
      <w:fldSimple w:instr=" SEQ Table \* ARABIC \s 1 ">
        <w:r w:rsidR="001F4E28">
          <w:rPr>
            <w:noProof/>
          </w:rPr>
          <w:t>3</w:t>
        </w:r>
      </w:fldSimple>
      <w:bookmarkEnd w:id="17"/>
      <w:r>
        <w:tab/>
        <w:t>Ausgrid</w:t>
      </w:r>
      <w:r w:rsidRPr="00F90C8D">
        <w:t xml:space="preserve">'s proposed depreciation allowance for the </w:t>
      </w:r>
      <w:r w:rsidR="00CF0484">
        <w:t xml:space="preserve">period </w:t>
      </w:r>
      <w:r w:rsidRPr="00F90C8D">
        <w:t>2014–19 ($ million, nominal)</w:t>
      </w:r>
      <w:r>
        <w:t xml:space="preserve"> </w:t>
      </w:r>
      <w:r w:rsidR="00666093">
        <w:t>–</w:t>
      </w:r>
      <w:r>
        <w:t xml:space="preserve"> </w:t>
      </w:r>
      <w:r w:rsidR="00CF0484">
        <w:t>distribution</w:t>
      </w:r>
    </w:p>
    <w:tbl>
      <w:tblPr>
        <w:tblStyle w:val="AERtable-numbers"/>
        <w:tblW w:w="9163" w:type="dxa"/>
        <w:tblLook w:val="04A0" w:firstRow="1" w:lastRow="0" w:firstColumn="1" w:lastColumn="0" w:noHBand="0" w:noVBand="1"/>
      </w:tblPr>
      <w:tblGrid>
        <w:gridCol w:w="3547"/>
        <w:gridCol w:w="936"/>
        <w:gridCol w:w="936"/>
        <w:gridCol w:w="936"/>
        <w:gridCol w:w="936"/>
        <w:gridCol w:w="936"/>
        <w:gridCol w:w="936"/>
      </w:tblGrid>
      <w:tr w:rsidR="00F90C8D" w:rsidRPr="00F90C8D" w:rsidTr="00F90C8D">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F90C8D" w:rsidRPr="00F90C8D" w:rsidRDefault="00F90C8D" w:rsidP="00F90C8D">
            <w:pPr>
              <w:pStyle w:val="AERtabletextleft"/>
              <w:rPr>
                <w:lang w:eastAsia="en-AU"/>
              </w:rPr>
            </w:pPr>
            <w:r w:rsidRPr="00F90C8D">
              <w:rPr>
                <w:lang w:eastAsia="en-AU"/>
              </w:rPr>
              <w:t> </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2014–15</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2015–16</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2016–17</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2017–18</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2018–19</w:t>
            </w:r>
          </w:p>
        </w:tc>
        <w:tc>
          <w:tcPr>
            <w:tcW w:w="936"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Total</w:t>
            </w:r>
          </w:p>
        </w:tc>
      </w:tr>
      <w:tr w:rsidR="00F90C8D" w:rsidRPr="00F90C8D" w:rsidTr="00F90C8D">
        <w:trPr>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F90C8D" w:rsidRPr="00F90C8D" w:rsidRDefault="00F90C8D" w:rsidP="00F90C8D">
            <w:pPr>
              <w:pStyle w:val="AERtabletextleft"/>
              <w:rPr>
                <w:lang w:eastAsia="en-AU"/>
              </w:rPr>
            </w:pPr>
            <w:r w:rsidRPr="00F90C8D">
              <w:rPr>
                <w:lang w:eastAsia="en-AU"/>
              </w:rPr>
              <w:t>Straight-line depreciation</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430.3</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470.0</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510.1</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512.0</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542.5</w:t>
            </w:r>
          </w:p>
        </w:tc>
        <w:tc>
          <w:tcPr>
            <w:tcW w:w="936" w:type="dxa"/>
            <w:noWrap/>
            <w:hideMark/>
          </w:tcPr>
          <w:p w:rsidR="00F90C8D" w:rsidRPr="00405AF8" w:rsidRDefault="00F90C8D" w:rsidP="00666093">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3A1E90">
              <w:rPr>
                <w:rStyle w:val="AERtextbold"/>
                <w:b w:val="0"/>
              </w:rPr>
              <w:t>2</w:t>
            </w:r>
            <w:r w:rsidR="00407D33" w:rsidRPr="00405AF8">
              <w:rPr>
                <w:rStyle w:val="AERtextbold"/>
                <w:b w:val="0"/>
              </w:rPr>
              <w:t> </w:t>
            </w:r>
            <w:r w:rsidRPr="00405AF8">
              <w:rPr>
                <w:rStyle w:val="AERtextbold"/>
                <w:b w:val="0"/>
              </w:rPr>
              <w:t>464.8</w:t>
            </w:r>
          </w:p>
        </w:tc>
      </w:tr>
      <w:tr w:rsidR="00F90C8D" w:rsidRPr="00F90C8D" w:rsidTr="00F90C8D">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F90C8D" w:rsidRPr="00F90C8D" w:rsidRDefault="00F90C8D" w:rsidP="00F90C8D">
            <w:pPr>
              <w:pStyle w:val="AERtabletextleft"/>
              <w:rPr>
                <w:lang w:eastAsia="en-AU"/>
              </w:rPr>
            </w:pPr>
            <w:r w:rsidRPr="00F90C8D">
              <w:rPr>
                <w:lang w:eastAsia="en-AU"/>
              </w:rPr>
              <w:t>Less: inflation indexation on opening RAB</w:t>
            </w:r>
          </w:p>
        </w:tc>
        <w:tc>
          <w:tcPr>
            <w:tcW w:w="936"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307.0</w:t>
            </w:r>
          </w:p>
        </w:tc>
        <w:tc>
          <w:tcPr>
            <w:tcW w:w="936"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325.9</w:t>
            </w:r>
          </w:p>
        </w:tc>
        <w:tc>
          <w:tcPr>
            <w:tcW w:w="936"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344.9</w:t>
            </w:r>
          </w:p>
        </w:tc>
        <w:tc>
          <w:tcPr>
            <w:tcW w:w="936"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361.7</w:t>
            </w:r>
          </w:p>
        </w:tc>
        <w:tc>
          <w:tcPr>
            <w:tcW w:w="936"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378.5</w:t>
            </w:r>
          </w:p>
        </w:tc>
        <w:tc>
          <w:tcPr>
            <w:tcW w:w="936" w:type="dxa"/>
            <w:noWrap/>
            <w:hideMark/>
          </w:tcPr>
          <w:p w:rsidR="00F90C8D" w:rsidRPr="00405AF8" w:rsidRDefault="00F90C8D" w:rsidP="00666093">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3A1E90">
              <w:rPr>
                <w:rStyle w:val="AERtextbold"/>
                <w:b w:val="0"/>
              </w:rPr>
              <w:t>1</w:t>
            </w:r>
            <w:r w:rsidR="00407D33" w:rsidRPr="00405AF8">
              <w:rPr>
                <w:rStyle w:val="AERtextbold"/>
                <w:b w:val="0"/>
              </w:rPr>
              <w:t> </w:t>
            </w:r>
            <w:r w:rsidRPr="00405AF8">
              <w:rPr>
                <w:rStyle w:val="AERtextbold"/>
                <w:b w:val="0"/>
              </w:rPr>
              <w:t>718.0</w:t>
            </w:r>
          </w:p>
        </w:tc>
      </w:tr>
      <w:tr w:rsidR="00F90C8D" w:rsidRPr="00F90C8D" w:rsidTr="00F90C8D">
        <w:trPr>
          <w:trHeight w:val="275"/>
        </w:trPr>
        <w:tc>
          <w:tcPr>
            <w:cnfStyle w:val="001000000000" w:firstRow="0" w:lastRow="0" w:firstColumn="1" w:lastColumn="0" w:oddVBand="0" w:evenVBand="0" w:oddHBand="0" w:evenHBand="0" w:firstRowFirstColumn="0" w:firstRowLastColumn="0" w:lastRowFirstColumn="0" w:lastRowLastColumn="0"/>
            <w:tcW w:w="3547" w:type="dxa"/>
            <w:noWrap/>
            <w:hideMark/>
          </w:tcPr>
          <w:p w:rsidR="00F90C8D" w:rsidRPr="00F90C8D" w:rsidRDefault="00F90C8D" w:rsidP="00F90C8D">
            <w:pPr>
              <w:pStyle w:val="AERtabletextleft"/>
              <w:rPr>
                <w:rStyle w:val="AERtextbold"/>
              </w:rPr>
            </w:pPr>
            <w:r w:rsidRPr="00F90C8D">
              <w:rPr>
                <w:rStyle w:val="AERtextbold"/>
              </w:rPr>
              <w:t>Regulatory depreciation</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123.3</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144.1</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165.1</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150.3</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164.0</w:t>
            </w:r>
          </w:p>
        </w:tc>
        <w:tc>
          <w:tcPr>
            <w:tcW w:w="936"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746.9</w:t>
            </w:r>
          </w:p>
        </w:tc>
      </w:tr>
    </w:tbl>
    <w:p w:rsidR="00DB7CF9" w:rsidRPr="00DB7CF9" w:rsidRDefault="00DB7CF9" w:rsidP="00027846">
      <w:pPr>
        <w:pStyle w:val="AERtablesource"/>
        <w:rPr>
          <w:rStyle w:val="AERtexthighlight"/>
          <w:shd w:val="clear" w:color="auto" w:fill="auto"/>
        </w:rPr>
      </w:pPr>
      <w:bookmarkStart w:id="18" w:name="_Ref393273887"/>
      <w:r w:rsidRPr="00DB7CF9">
        <w:rPr>
          <w:rStyle w:val="AERtexthighlight"/>
          <w:shd w:val="clear" w:color="auto" w:fill="auto"/>
        </w:rPr>
        <w:t>Source:</w:t>
      </w:r>
      <w:r w:rsidRPr="00DB7CF9">
        <w:rPr>
          <w:rStyle w:val="AERtexthighlight"/>
          <w:shd w:val="clear" w:color="auto" w:fill="auto"/>
        </w:rPr>
        <w:tab/>
        <w:t xml:space="preserve">Ausgrid, </w:t>
      </w:r>
      <w:r w:rsidRPr="00DB7CF9">
        <w:rPr>
          <w:rStyle w:val="AERtextitalic"/>
        </w:rPr>
        <w:t>Regulatory proposal</w:t>
      </w:r>
      <w:r w:rsidRPr="00DB7CF9">
        <w:rPr>
          <w:rStyle w:val="AERtexthighlight"/>
          <w:shd w:val="clear" w:color="auto" w:fill="auto"/>
        </w:rPr>
        <w:t>, May 2014, Attachment 4.01.</w:t>
      </w:r>
    </w:p>
    <w:p w:rsidR="00F90C8D" w:rsidRDefault="00F90C8D" w:rsidP="00F90C8D">
      <w:pPr>
        <w:pStyle w:val="Caption"/>
      </w:pPr>
      <w:bookmarkStart w:id="19" w:name="_Ref395083323"/>
      <w:r>
        <w:t xml:space="preserve">Table </w:t>
      </w:r>
      <w:r w:rsidR="007876B6">
        <w:t>5</w:t>
      </w:r>
      <w:r w:rsidR="00206261">
        <w:noBreakHyphen/>
      </w:r>
      <w:fldSimple w:instr=" SEQ Table \* ARABIC \s 1 ">
        <w:r w:rsidR="001F4E28">
          <w:rPr>
            <w:noProof/>
          </w:rPr>
          <w:t>4</w:t>
        </w:r>
      </w:fldSimple>
      <w:bookmarkEnd w:id="18"/>
      <w:bookmarkEnd w:id="19"/>
      <w:r>
        <w:tab/>
      </w:r>
      <w:r w:rsidRPr="00F90C8D">
        <w:t>Ausgrid's proposed depreciation allowance for the 2014–19 period ($ million, nominal)</w:t>
      </w:r>
      <w:r>
        <w:t xml:space="preserve"> - </w:t>
      </w:r>
      <w:r w:rsidR="00CF0484">
        <w:t>transmission</w:t>
      </w:r>
    </w:p>
    <w:tbl>
      <w:tblPr>
        <w:tblStyle w:val="AERtable-numbers"/>
        <w:tblW w:w="9174" w:type="dxa"/>
        <w:tblLook w:val="04A0" w:firstRow="1" w:lastRow="0" w:firstColumn="1" w:lastColumn="0" w:noHBand="0" w:noVBand="1"/>
      </w:tblPr>
      <w:tblGrid>
        <w:gridCol w:w="3552"/>
        <w:gridCol w:w="937"/>
        <w:gridCol w:w="937"/>
        <w:gridCol w:w="937"/>
        <w:gridCol w:w="937"/>
        <w:gridCol w:w="937"/>
        <w:gridCol w:w="937"/>
      </w:tblGrid>
      <w:tr w:rsidR="00F90C8D" w:rsidRPr="00F90C8D" w:rsidTr="00F90C8D">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F90C8D" w:rsidRPr="00F90C8D" w:rsidRDefault="00F90C8D" w:rsidP="00F90C8D">
            <w:pPr>
              <w:pStyle w:val="AERtabletextleft"/>
              <w:rPr>
                <w:lang w:eastAsia="en-AU"/>
              </w:rPr>
            </w:pPr>
            <w:r w:rsidRPr="00F90C8D">
              <w:rPr>
                <w:lang w:eastAsia="en-AU"/>
              </w:rPr>
              <w:t> </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2014–15</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2015–16</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2016–17</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2017–18</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2018–19</w:t>
            </w:r>
          </w:p>
        </w:tc>
        <w:tc>
          <w:tcPr>
            <w:tcW w:w="937" w:type="dxa"/>
            <w:noWrap/>
            <w:hideMark/>
          </w:tcPr>
          <w:p w:rsidR="00F90C8D" w:rsidRPr="00F90C8D" w:rsidRDefault="00F90C8D" w:rsidP="00F90C8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F90C8D">
              <w:rPr>
                <w:lang w:eastAsia="en-AU"/>
              </w:rPr>
              <w:t>Total</w:t>
            </w:r>
          </w:p>
        </w:tc>
      </w:tr>
      <w:tr w:rsidR="00F90C8D" w:rsidRPr="00F90C8D" w:rsidTr="00F90C8D">
        <w:trPr>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F90C8D" w:rsidRPr="00F90C8D" w:rsidRDefault="00F90C8D" w:rsidP="00F90C8D">
            <w:pPr>
              <w:pStyle w:val="AERtabletextleft"/>
              <w:rPr>
                <w:lang w:eastAsia="en-AU"/>
              </w:rPr>
            </w:pPr>
            <w:r w:rsidRPr="00F90C8D">
              <w:rPr>
                <w:lang w:eastAsia="en-AU"/>
              </w:rPr>
              <w:t>Straight-line depreciation</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64.7</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71.6</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78.8</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77.6</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sidRPr="00F90C8D">
              <w:rPr>
                <w:lang w:eastAsia="en-AU"/>
              </w:rPr>
              <w:t>81.8</w:t>
            </w:r>
          </w:p>
        </w:tc>
        <w:tc>
          <w:tcPr>
            <w:tcW w:w="937" w:type="dxa"/>
            <w:noWrap/>
            <w:hideMark/>
          </w:tcPr>
          <w:p w:rsidR="00F90C8D" w:rsidRPr="003A1E90" w:rsidRDefault="00F90C8D" w:rsidP="00666093">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3A1E90">
              <w:rPr>
                <w:rStyle w:val="AERtextbold"/>
                <w:b w:val="0"/>
              </w:rPr>
              <w:t>374.6</w:t>
            </w:r>
          </w:p>
        </w:tc>
      </w:tr>
      <w:tr w:rsidR="00F90C8D" w:rsidRPr="00F90C8D" w:rsidTr="00F90C8D">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F90C8D" w:rsidRPr="00F90C8D" w:rsidRDefault="00F90C8D" w:rsidP="00F90C8D">
            <w:pPr>
              <w:pStyle w:val="AERtabletextleft"/>
              <w:rPr>
                <w:lang w:eastAsia="en-AU"/>
              </w:rPr>
            </w:pPr>
            <w:r w:rsidRPr="00F90C8D">
              <w:rPr>
                <w:lang w:eastAsia="en-AU"/>
              </w:rPr>
              <w:t>Less: inflation indexation on opening RAB</w:t>
            </w:r>
          </w:p>
        </w:tc>
        <w:tc>
          <w:tcPr>
            <w:tcW w:w="937"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52.3</w:t>
            </w:r>
          </w:p>
        </w:tc>
        <w:tc>
          <w:tcPr>
            <w:tcW w:w="937"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55.9</w:t>
            </w:r>
          </w:p>
        </w:tc>
        <w:tc>
          <w:tcPr>
            <w:tcW w:w="937"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59.5</w:t>
            </w:r>
          </w:p>
        </w:tc>
        <w:tc>
          <w:tcPr>
            <w:tcW w:w="937"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61.4</w:t>
            </w:r>
          </w:p>
        </w:tc>
        <w:tc>
          <w:tcPr>
            <w:tcW w:w="937" w:type="dxa"/>
            <w:noWrap/>
            <w:hideMark/>
          </w:tcPr>
          <w:p w:rsidR="00F90C8D" w:rsidRPr="00F90C8D" w:rsidRDefault="00F90C8D" w:rsidP="00F90C8D">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sidRPr="00F90C8D">
              <w:rPr>
                <w:lang w:eastAsia="en-AU"/>
              </w:rPr>
              <w:t>63.6</w:t>
            </w:r>
          </w:p>
        </w:tc>
        <w:tc>
          <w:tcPr>
            <w:tcW w:w="937" w:type="dxa"/>
            <w:noWrap/>
            <w:hideMark/>
          </w:tcPr>
          <w:p w:rsidR="00F90C8D" w:rsidRPr="003A1E90" w:rsidRDefault="00F90C8D" w:rsidP="00666093">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3A1E90">
              <w:rPr>
                <w:rStyle w:val="AERtextbold"/>
                <w:b w:val="0"/>
              </w:rPr>
              <w:t>292.7</w:t>
            </w:r>
          </w:p>
        </w:tc>
      </w:tr>
      <w:tr w:rsidR="00F90C8D" w:rsidRPr="00F90C8D" w:rsidTr="00F90C8D">
        <w:trPr>
          <w:trHeight w:val="298"/>
        </w:trPr>
        <w:tc>
          <w:tcPr>
            <w:cnfStyle w:val="001000000000" w:firstRow="0" w:lastRow="0" w:firstColumn="1" w:lastColumn="0" w:oddVBand="0" w:evenVBand="0" w:oddHBand="0" w:evenHBand="0" w:firstRowFirstColumn="0" w:firstRowLastColumn="0" w:lastRowFirstColumn="0" w:lastRowLastColumn="0"/>
            <w:tcW w:w="3552" w:type="dxa"/>
            <w:noWrap/>
            <w:hideMark/>
          </w:tcPr>
          <w:p w:rsidR="00F90C8D" w:rsidRPr="00F90C8D" w:rsidRDefault="00F90C8D" w:rsidP="00F90C8D">
            <w:pPr>
              <w:pStyle w:val="AERtabletextleft"/>
              <w:rPr>
                <w:rStyle w:val="AERtextbold"/>
              </w:rPr>
            </w:pPr>
            <w:r w:rsidRPr="00F90C8D">
              <w:rPr>
                <w:rStyle w:val="AERtextbold"/>
              </w:rPr>
              <w:t>Regulatory depreciation</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12.4</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15.7</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19.3</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16.1</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18.2</w:t>
            </w:r>
          </w:p>
        </w:tc>
        <w:tc>
          <w:tcPr>
            <w:tcW w:w="937" w:type="dxa"/>
            <w:noWrap/>
            <w:hideMark/>
          </w:tcPr>
          <w:p w:rsidR="00F90C8D" w:rsidRPr="00F90C8D" w:rsidRDefault="00F90C8D" w:rsidP="00F90C8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F90C8D">
              <w:rPr>
                <w:rStyle w:val="AERtextbold"/>
              </w:rPr>
              <w:t>81.9</w:t>
            </w:r>
          </w:p>
        </w:tc>
      </w:tr>
    </w:tbl>
    <w:p w:rsidR="00DB7CF9" w:rsidRPr="00DB7CF9" w:rsidRDefault="00DB7CF9" w:rsidP="00027846">
      <w:pPr>
        <w:pStyle w:val="AERtablesource"/>
        <w:rPr>
          <w:rStyle w:val="AERtexthighlight"/>
          <w:shd w:val="clear" w:color="auto" w:fill="auto"/>
        </w:rPr>
      </w:pPr>
      <w:r w:rsidRPr="00DB7CF9">
        <w:rPr>
          <w:rStyle w:val="AERtexthighlight"/>
          <w:shd w:val="clear" w:color="auto" w:fill="auto"/>
        </w:rPr>
        <w:t>Source:</w:t>
      </w:r>
      <w:r w:rsidRPr="00DB7CF9">
        <w:rPr>
          <w:rStyle w:val="AERtexthighlight"/>
          <w:shd w:val="clear" w:color="auto" w:fill="auto"/>
        </w:rPr>
        <w:tab/>
        <w:t xml:space="preserve">Ausgrid, </w:t>
      </w:r>
      <w:r w:rsidRPr="00DB7CF9">
        <w:rPr>
          <w:rStyle w:val="AERtextitalic"/>
        </w:rPr>
        <w:t>Regulatory proposal</w:t>
      </w:r>
      <w:r w:rsidRPr="00DB7CF9">
        <w:rPr>
          <w:rStyle w:val="AERtexthighlight"/>
          <w:shd w:val="clear" w:color="auto" w:fill="auto"/>
        </w:rPr>
        <w:t>, May 2014, Attachment 4.02.</w:t>
      </w:r>
    </w:p>
    <w:p w:rsidR="009B03FD" w:rsidRPr="00FA3D3E" w:rsidRDefault="009B03FD" w:rsidP="00FA3D3E">
      <w:pPr>
        <w:pStyle w:val="Heading2"/>
      </w:pPr>
      <w:bookmarkStart w:id="20" w:name="_Toc387916820"/>
      <w:bookmarkStart w:id="21" w:name="_Toc404365156"/>
      <w:r w:rsidRPr="00FA3D3E">
        <w:t>AER's assessment approach</w:t>
      </w:r>
      <w:bookmarkEnd w:id="20"/>
      <w:bookmarkEnd w:id="21"/>
    </w:p>
    <w:p w:rsidR="00CF0484" w:rsidRDefault="00CF0484" w:rsidP="00CF0484">
      <w:pPr>
        <w:pStyle w:val="AERbodytext"/>
      </w:pPr>
      <w:r>
        <w:t>We are</w:t>
      </w:r>
      <w:r w:rsidRPr="00E646BE">
        <w:t xml:space="preserve"> require</w:t>
      </w:r>
      <w:r>
        <w:t>d</w:t>
      </w:r>
      <w:r w:rsidRPr="00E646BE">
        <w:t xml:space="preserve"> to determine the regulatory depreciation allowance as a part of a </w:t>
      </w:r>
      <w:r>
        <w:t>service provider</w:t>
      </w:r>
      <w:r w:rsidRPr="00E646BE">
        <w:t>'s annual revenue requirement</w:t>
      </w:r>
      <w:r>
        <w:t>.</w:t>
      </w:r>
      <w:r w:rsidR="00E646BE">
        <w:rPr>
          <w:rStyle w:val="FootnoteReference"/>
        </w:rPr>
        <w:footnoteReference w:id="5"/>
      </w:r>
      <w:r w:rsidR="00E646BE">
        <w:t xml:space="preserve"> </w:t>
      </w:r>
      <w:r w:rsidRPr="00CF0484">
        <w:t>Our calculation of a service provider’s regulatory depreciation building block is made in the PTRM and depends on several components.</w:t>
      </w:r>
      <w:r>
        <w:t xml:space="preserve"> </w:t>
      </w:r>
      <w:r w:rsidR="00E646BE" w:rsidRPr="00E646BE">
        <w:t>The calculation of depreciation in each year is governed by the value of assets included in the RAB at the beginning of the regulatory year and the depreciation schedules</w:t>
      </w:r>
      <w:r w:rsidR="00E646BE">
        <w:t>.</w:t>
      </w:r>
      <w:r w:rsidR="00E646BE">
        <w:rPr>
          <w:rStyle w:val="FootnoteReference"/>
        </w:rPr>
        <w:footnoteReference w:id="6"/>
      </w:r>
      <w:r w:rsidR="00E646BE">
        <w:t xml:space="preserve"> </w:t>
      </w:r>
    </w:p>
    <w:p w:rsidR="00E646BE" w:rsidRDefault="00E646BE" w:rsidP="00BA3062">
      <w:pPr>
        <w:pStyle w:val="AERbodytext"/>
      </w:pPr>
      <w:r>
        <w:t>Our</w:t>
      </w:r>
      <w:r w:rsidRPr="00E646BE">
        <w:t xml:space="preserve"> standard approach to calculating depreciation is to employ the straight</w:t>
      </w:r>
      <w:r>
        <w:t>-</w:t>
      </w:r>
      <w:r w:rsidRPr="00E646BE">
        <w:t xml:space="preserve">line method as set out in the PTRM. </w:t>
      </w:r>
      <w:r>
        <w:t>We consider</w:t>
      </w:r>
      <w:r w:rsidRPr="00E646BE">
        <w:t xml:space="preserve"> that the straight-line method of depreciation satisfies the NER requirements in clause 6.5.5(b)</w:t>
      </w:r>
      <w:r w:rsidR="00BA3062">
        <w:t>. I</w:t>
      </w:r>
      <w:r w:rsidRPr="00E646BE">
        <w:t>t provides an expenditure profile that reflects the nature of the assets over their economic life.</w:t>
      </w:r>
      <w:r>
        <w:rPr>
          <w:rStyle w:val="FootnoteReference"/>
        </w:rPr>
        <w:footnoteReference w:id="7"/>
      </w:r>
      <w:r>
        <w:t xml:space="preserve"> </w:t>
      </w:r>
      <w:r w:rsidR="00BA3062" w:rsidRPr="00BA3062">
        <w:t>Regulatory practice has been to assign a standard asset life to each category of assets that represents the economic or technical life of the asset or asset class. We must consider whether the proposed depreciation schedules conform to the following requirements</w:t>
      </w:r>
      <w:r w:rsidRPr="00E646BE">
        <w:t>:</w:t>
      </w:r>
    </w:p>
    <w:p w:rsidR="00E646BE" w:rsidRDefault="00E646BE" w:rsidP="003B281F">
      <w:pPr>
        <w:pStyle w:val="AERbulletlistfirststyle"/>
      </w:pPr>
      <w:proofErr w:type="gramStart"/>
      <w:r w:rsidRPr="00E646BE">
        <w:t>the</w:t>
      </w:r>
      <w:proofErr w:type="gramEnd"/>
      <w:r w:rsidRPr="00E646BE">
        <w:t xml:space="preserve"> schedules depreciate using a profile that reflects the nature of the assets or category of assets over the economic life of tha</w:t>
      </w:r>
      <w:r>
        <w:t>t asset or category of assets.</w:t>
      </w:r>
      <w:r w:rsidR="003B281F">
        <w:rPr>
          <w:rStyle w:val="FootnoteReference"/>
        </w:rPr>
        <w:footnoteReference w:id="8"/>
      </w:r>
    </w:p>
    <w:p w:rsidR="003B281F" w:rsidRPr="003B281F" w:rsidRDefault="003B281F" w:rsidP="003B281F">
      <w:pPr>
        <w:pStyle w:val="AERbulletlistfirststyle"/>
      </w:pPr>
      <w:proofErr w:type="gramStart"/>
      <w:r w:rsidRPr="003B281F">
        <w:t>the</w:t>
      </w:r>
      <w:proofErr w:type="gramEnd"/>
      <w:r w:rsidRPr="003B281F">
        <w:t xml:space="preserve"> sum of the real value of the depreciation that is attributable to any asset of category of assets must be equivalent to the value at which that asset of category of assets was first included in the RAB for the</w:t>
      </w:r>
      <w:r>
        <w:t xml:space="preserve"> relevant distribution system.</w:t>
      </w:r>
      <w:r>
        <w:rPr>
          <w:rStyle w:val="FootnoteReference"/>
        </w:rPr>
        <w:footnoteReference w:id="9"/>
      </w:r>
    </w:p>
    <w:p w:rsidR="003B281F" w:rsidRDefault="003B281F" w:rsidP="003B281F">
      <w:pPr>
        <w:pStyle w:val="AERbulletlistfirststyle"/>
        <w:numPr>
          <w:ilvl w:val="0"/>
          <w:numId w:val="0"/>
        </w:numPr>
        <w:rPr>
          <w:rStyle w:val="AERbody"/>
        </w:rPr>
      </w:pPr>
      <w:r>
        <w:rPr>
          <w:rStyle w:val="AERbody"/>
        </w:rPr>
        <w:lastRenderedPageBreak/>
        <w:t>If</w:t>
      </w:r>
      <w:r w:rsidRPr="003B281F">
        <w:rPr>
          <w:rStyle w:val="AERbody"/>
        </w:rPr>
        <w:t xml:space="preserve"> a </w:t>
      </w:r>
      <w:r>
        <w:rPr>
          <w:rStyle w:val="AERbody"/>
        </w:rPr>
        <w:t>service provider</w:t>
      </w:r>
      <w:r w:rsidRPr="003B281F">
        <w:rPr>
          <w:rStyle w:val="AERbody"/>
        </w:rPr>
        <w:t>‘s building block proposal does not comply with the above requirements</w:t>
      </w:r>
      <w:r>
        <w:rPr>
          <w:rStyle w:val="AERbody"/>
        </w:rPr>
        <w:t>,</w:t>
      </w:r>
      <w:r w:rsidRPr="003B281F">
        <w:rPr>
          <w:rStyle w:val="AERbody"/>
        </w:rPr>
        <w:t xml:space="preserve"> then </w:t>
      </w:r>
      <w:r>
        <w:rPr>
          <w:rStyle w:val="AERbody"/>
        </w:rPr>
        <w:t>we</w:t>
      </w:r>
      <w:r w:rsidRPr="003B281F">
        <w:rPr>
          <w:rStyle w:val="AERbody"/>
        </w:rPr>
        <w:t xml:space="preserve"> must determine the depreciation schedules for the purposes of calculating the depreciation for each regulatory year.</w:t>
      </w:r>
      <w:r>
        <w:rPr>
          <w:rStyle w:val="FootnoteReference"/>
        </w:rPr>
        <w:footnoteReference w:id="10"/>
      </w:r>
    </w:p>
    <w:p w:rsidR="003B281F" w:rsidRDefault="003B281F" w:rsidP="003B281F">
      <w:pPr>
        <w:pStyle w:val="AERbulletlistfirststyle"/>
        <w:numPr>
          <w:ilvl w:val="0"/>
          <w:numId w:val="0"/>
        </w:numPr>
        <w:rPr>
          <w:rStyle w:val="AERbody"/>
        </w:rPr>
      </w:pPr>
      <w:r w:rsidRPr="003B281F">
        <w:rPr>
          <w:rStyle w:val="AERbody"/>
        </w:rPr>
        <w:t xml:space="preserve">The regulatory depreciation </w:t>
      </w:r>
      <w:r w:rsidR="00BA3062">
        <w:rPr>
          <w:rStyle w:val="AERbody"/>
        </w:rPr>
        <w:t xml:space="preserve">allowance </w:t>
      </w:r>
      <w:r w:rsidRPr="003B281F">
        <w:rPr>
          <w:rStyle w:val="AERbody"/>
        </w:rPr>
        <w:t xml:space="preserve">is an output of the PTRM. </w:t>
      </w:r>
      <w:r w:rsidR="00BA3062">
        <w:rPr>
          <w:rStyle w:val="AERbody"/>
        </w:rPr>
        <w:t xml:space="preserve">We therefore have assessed the </w:t>
      </w:r>
      <w:r>
        <w:rPr>
          <w:rStyle w:val="AERbody"/>
        </w:rPr>
        <w:t>service provider's</w:t>
      </w:r>
      <w:r w:rsidRPr="003B281F">
        <w:rPr>
          <w:rStyle w:val="AERbody"/>
        </w:rPr>
        <w:t xml:space="preserve"> </w:t>
      </w:r>
      <w:r w:rsidR="00666093">
        <w:rPr>
          <w:rStyle w:val="AERbody"/>
        </w:rPr>
        <w:t xml:space="preserve">proposed </w:t>
      </w:r>
      <w:r w:rsidRPr="003B281F">
        <w:rPr>
          <w:rStyle w:val="AERbody"/>
        </w:rPr>
        <w:t xml:space="preserve">regulatory depreciation allowance by analysing </w:t>
      </w:r>
      <w:r>
        <w:rPr>
          <w:rStyle w:val="AERbody"/>
        </w:rPr>
        <w:t xml:space="preserve">the </w:t>
      </w:r>
      <w:r w:rsidRPr="003B281F">
        <w:rPr>
          <w:rStyle w:val="AERbody"/>
        </w:rPr>
        <w:t>proposed inpu</w:t>
      </w:r>
      <w:r w:rsidR="00BA3062">
        <w:rPr>
          <w:rStyle w:val="AERbody"/>
        </w:rPr>
        <w:t>ts to the PTRM for calculating the regulatory depreciation allowance. These inputs include</w:t>
      </w:r>
      <w:r w:rsidRPr="003B281F">
        <w:rPr>
          <w:rStyle w:val="AERbody"/>
        </w:rPr>
        <w:t>:</w:t>
      </w:r>
    </w:p>
    <w:p w:rsidR="00BA3062" w:rsidRDefault="00C94EE4" w:rsidP="003B281F">
      <w:pPr>
        <w:pStyle w:val="AERbulletlistfirststyle"/>
        <w:rPr>
          <w:rStyle w:val="AERbody"/>
        </w:rPr>
      </w:pPr>
      <w:r>
        <w:rPr>
          <w:rStyle w:val="AERbody"/>
        </w:rPr>
        <w:t>t</w:t>
      </w:r>
      <w:r w:rsidR="00BA3062">
        <w:rPr>
          <w:rStyle w:val="AERbody"/>
        </w:rPr>
        <w:t>he opening RAB as at 1 July 2014</w:t>
      </w:r>
    </w:p>
    <w:p w:rsidR="00BA3062" w:rsidRDefault="00C94EE4" w:rsidP="003B281F">
      <w:pPr>
        <w:pStyle w:val="AERbulletlistfirststyle"/>
        <w:rPr>
          <w:rStyle w:val="AERbody"/>
        </w:rPr>
      </w:pPr>
      <w:r>
        <w:rPr>
          <w:rStyle w:val="AERbody"/>
        </w:rPr>
        <w:t>t</w:t>
      </w:r>
      <w:r w:rsidR="00BA3062">
        <w:rPr>
          <w:rStyle w:val="AERbody"/>
        </w:rPr>
        <w:t xml:space="preserve">he forecast net capex in the </w:t>
      </w:r>
      <w:r>
        <w:rPr>
          <w:rStyle w:val="AERbody"/>
        </w:rPr>
        <w:t xml:space="preserve">2014–19 </w:t>
      </w:r>
      <w:r w:rsidR="00BA3062">
        <w:rPr>
          <w:rStyle w:val="AERbody"/>
        </w:rPr>
        <w:t>period</w:t>
      </w:r>
    </w:p>
    <w:p w:rsidR="00BA3062" w:rsidRDefault="00C94EE4" w:rsidP="003B281F">
      <w:pPr>
        <w:pStyle w:val="AERbulletlistfirststyle"/>
        <w:rPr>
          <w:rStyle w:val="AERbody"/>
        </w:rPr>
      </w:pPr>
      <w:r>
        <w:rPr>
          <w:rStyle w:val="AERbody"/>
        </w:rPr>
        <w:t>t</w:t>
      </w:r>
      <w:r w:rsidR="00BA3062">
        <w:rPr>
          <w:rStyle w:val="AERbody"/>
        </w:rPr>
        <w:t>he standard asset life for each asset class—used for calculating the deprecation of new assets associated with forecast net capex in the above period</w:t>
      </w:r>
    </w:p>
    <w:p w:rsidR="003B281F" w:rsidRPr="003B281F" w:rsidRDefault="00666093" w:rsidP="00BA3062">
      <w:pPr>
        <w:pStyle w:val="AERbulletlistfirststyle"/>
        <w:rPr>
          <w:rStyle w:val="AERbody"/>
        </w:rPr>
      </w:pPr>
      <w:proofErr w:type="gramStart"/>
      <w:r>
        <w:rPr>
          <w:rStyle w:val="AERbody"/>
        </w:rPr>
        <w:t>t</w:t>
      </w:r>
      <w:r w:rsidR="00BA3062">
        <w:rPr>
          <w:rStyle w:val="AERbody"/>
        </w:rPr>
        <w:t>he</w:t>
      </w:r>
      <w:proofErr w:type="gramEnd"/>
      <w:r w:rsidR="00BA3062">
        <w:rPr>
          <w:rStyle w:val="AERbody"/>
        </w:rPr>
        <w:t xml:space="preserve"> remaining asset li</w:t>
      </w:r>
      <w:r>
        <w:rPr>
          <w:rStyle w:val="AERbody"/>
        </w:rPr>
        <w:t>fe</w:t>
      </w:r>
      <w:r w:rsidR="00BA3062">
        <w:rPr>
          <w:rStyle w:val="AERbody"/>
        </w:rPr>
        <w:t xml:space="preserve"> for each asset class</w:t>
      </w:r>
      <w:r w:rsidR="00BA3062" w:rsidRPr="00BA3062">
        <w:rPr>
          <w:rStyle w:val="AERbody"/>
        </w:rPr>
        <w:t xml:space="preserve">—used for calculating the deprecation of </w:t>
      </w:r>
      <w:r w:rsidR="00BA3062">
        <w:rPr>
          <w:rStyle w:val="AERbody"/>
        </w:rPr>
        <w:t>existing a</w:t>
      </w:r>
      <w:r w:rsidR="00BA3062" w:rsidRPr="00BA3062">
        <w:rPr>
          <w:rStyle w:val="AERbody"/>
        </w:rPr>
        <w:t xml:space="preserve">ssets associated with </w:t>
      </w:r>
      <w:r w:rsidR="00C94EE4">
        <w:rPr>
          <w:rStyle w:val="AERbody"/>
        </w:rPr>
        <w:t>opening RAB as at 1 July 2014</w:t>
      </w:r>
      <w:r>
        <w:rPr>
          <w:rStyle w:val="AERbody"/>
        </w:rPr>
        <w:t>.</w:t>
      </w:r>
    </w:p>
    <w:p w:rsidR="00BA3062" w:rsidRPr="00BA3062" w:rsidRDefault="00BA3062" w:rsidP="00BA3062">
      <w:pPr>
        <w:pStyle w:val="AERbodytext"/>
        <w:rPr>
          <w:rStyle w:val="AERbody"/>
        </w:rPr>
      </w:pPr>
      <w:r w:rsidRPr="00BA3062">
        <w:rPr>
          <w:rStyle w:val="AERbody"/>
        </w:rPr>
        <w:t xml:space="preserve">Our draft decision on a service provider's regulatory depreciation allowance reflects our determinations on the forecast capex, forecast inflation and opening RAB as at 1 July 2014 building block components (the first three inputs in the above list). Our determinations on these components of the service provider's proposal are discussed in attachments </w:t>
      </w:r>
      <w:r w:rsidR="004160EA">
        <w:rPr>
          <w:rStyle w:val="AERbody"/>
        </w:rPr>
        <w:t>6</w:t>
      </w:r>
      <w:r w:rsidRPr="00BA3062">
        <w:rPr>
          <w:rStyle w:val="AERbody"/>
        </w:rPr>
        <w:t xml:space="preserve">, </w:t>
      </w:r>
      <w:r w:rsidR="004160EA">
        <w:rPr>
          <w:rStyle w:val="AERbody"/>
        </w:rPr>
        <w:t>3</w:t>
      </w:r>
      <w:r w:rsidRPr="00BA3062">
        <w:rPr>
          <w:rStyle w:val="AERbody"/>
        </w:rPr>
        <w:t xml:space="preserve"> and </w:t>
      </w:r>
      <w:r w:rsidR="004160EA">
        <w:rPr>
          <w:rStyle w:val="AERbody"/>
        </w:rPr>
        <w:t>2</w:t>
      </w:r>
      <w:r>
        <w:rPr>
          <w:rStyle w:val="AERbody"/>
        </w:rPr>
        <w:t>,</w:t>
      </w:r>
      <w:r w:rsidRPr="00BA3062">
        <w:rPr>
          <w:rStyle w:val="AERbody"/>
        </w:rPr>
        <w:t xml:space="preserve"> respectively.</w:t>
      </w:r>
    </w:p>
    <w:p w:rsidR="00BA3062" w:rsidRPr="00BA3062" w:rsidRDefault="00BA3062" w:rsidP="00BA3062">
      <w:pPr>
        <w:pStyle w:val="AERbodytext"/>
        <w:rPr>
          <w:rStyle w:val="AERbody"/>
        </w:rPr>
      </w:pPr>
      <w:r w:rsidRPr="00BA3062">
        <w:rPr>
          <w:rStyle w:val="AERbody"/>
        </w:rPr>
        <w:t xml:space="preserve">In this attachment, we assessed </w:t>
      </w:r>
      <w:r>
        <w:rPr>
          <w:rStyle w:val="AERbody"/>
        </w:rPr>
        <w:t>Ausgrid'</w:t>
      </w:r>
      <w:r w:rsidRPr="00BA3062">
        <w:rPr>
          <w:rStyle w:val="AERbody"/>
        </w:rPr>
        <w:t>s proposed standard asset lives against:</w:t>
      </w:r>
    </w:p>
    <w:p w:rsidR="00BA3062" w:rsidRPr="00BA3062" w:rsidRDefault="00BA3062" w:rsidP="00BA3062">
      <w:pPr>
        <w:pStyle w:val="AERbulletlistfirststyle"/>
        <w:rPr>
          <w:rStyle w:val="AERbody"/>
        </w:rPr>
      </w:pPr>
      <w:r w:rsidRPr="00BA3062">
        <w:rPr>
          <w:rStyle w:val="AERbody"/>
        </w:rPr>
        <w:t xml:space="preserve">the approved standard asset lives in the distribution determination for the </w:t>
      </w:r>
      <w:r w:rsidR="00154A4C">
        <w:rPr>
          <w:rStyle w:val="AERbody"/>
        </w:rPr>
        <w:t>2009–14</w:t>
      </w:r>
      <w:r w:rsidR="00154A4C" w:rsidRPr="00BA3062">
        <w:rPr>
          <w:rStyle w:val="AERbody"/>
        </w:rPr>
        <w:t xml:space="preserve"> </w:t>
      </w:r>
      <w:r w:rsidRPr="00BA3062">
        <w:rPr>
          <w:rStyle w:val="AERbody"/>
        </w:rPr>
        <w:t>regulatory control period</w:t>
      </w:r>
    </w:p>
    <w:p w:rsidR="00BA3062" w:rsidRPr="00BA3062" w:rsidRDefault="00BA3062" w:rsidP="00BA3062">
      <w:pPr>
        <w:pStyle w:val="AERbulletlistfirststyle"/>
        <w:rPr>
          <w:rStyle w:val="AERbody"/>
        </w:rPr>
      </w:pPr>
      <w:proofErr w:type="gramStart"/>
      <w:r w:rsidRPr="00BA3062">
        <w:rPr>
          <w:rStyle w:val="AERbody"/>
        </w:rPr>
        <w:t>the</w:t>
      </w:r>
      <w:proofErr w:type="gramEnd"/>
      <w:r w:rsidRPr="00BA3062">
        <w:rPr>
          <w:rStyle w:val="AERbody"/>
        </w:rPr>
        <w:t xml:space="preserve"> standard asset lives of comparable asset classes approved in our recent distribution determinations for other service providers.</w:t>
      </w:r>
    </w:p>
    <w:p w:rsidR="00BA3062" w:rsidRDefault="006A6912" w:rsidP="00BA3062">
      <w:pPr>
        <w:pStyle w:val="AERbodytext"/>
        <w:rPr>
          <w:rStyle w:val="AERbody"/>
        </w:rPr>
      </w:pPr>
      <w:r>
        <w:rPr>
          <w:rStyle w:val="AERbody"/>
        </w:rPr>
        <w:t>We employ o</w:t>
      </w:r>
      <w:r w:rsidR="00BA3062" w:rsidRPr="00BA3062">
        <w:rPr>
          <w:rStyle w:val="AERbody"/>
        </w:rPr>
        <w:t xml:space="preserve">ur standard approach for depreciating a service provider's existing assets in the PTRM </w:t>
      </w:r>
      <w:r>
        <w:rPr>
          <w:rStyle w:val="AERbody"/>
        </w:rPr>
        <w:t>by using</w:t>
      </w:r>
      <w:r w:rsidR="00BA3062" w:rsidRPr="00BA3062">
        <w:rPr>
          <w:rStyle w:val="AERbody"/>
        </w:rPr>
        <w:t xml:space="preserve"> the remaining asset lives at the start of a regulatory control period. Our </w:t>
      </w:r>
      <w:r>
        <w:rPr>
          <w:rStyle w:val="AERbody"/>
        </w:rPr>
        <w:t xml:space="preserve">preferred method </w:t>
      </w:r>
      <w:r w:rsidR="00BA3062" w:rsidRPr="00BA3062">
        <w:rPr>
          <w:rStyle w:val="AERbody"/>
        </w:rPr>
        <w:t>to establish a remaining asset life for each asset class</w:t>
      </w:r>
      <w:r>
        <w:rPr>
          <w:rStyle w:val="AERbody"/>
        </w:rPr>
        <w:t xml:space="preserve"> is the weighted average method</w:t>
      </w:r>
      <w:r w:rsidR="00BA3062" w:rsidRPr="00BA3062">
        <w:rPr>
          <w:rStyle w:val="AERbody"/>
        </w:rPr>
        <w:t>. Th</w:t>
      </w:r>
      <w:r>
        <w:rPr>
          <w:rStyle w:val="AERbody"/>
        </w:rPr>
        <w:t>is</w:t>
      </w:r>
      <w:r w:rsidR="00BA3062" w:rsidRPr="00BA3062">
        <w:rPr>
          <w:rStyle w:val="AERbody"/>
        </w:rPr>
        <w:t xml:space="preserve"> method rolls forward the remaining asset life for an asset class from the beginning of the </w:t>
      </w:r>
      <w:r w:rsidR="00154A4C">
        <w:rPr>
          <w:rStyle w:val="AERbody"/>
        </w:rPr>
        <w:t>2009–14</w:t>
      </w:r>
      <w:r w:rsidR="00154A4C" w:rsidRPr="00BA3062">
        <w:rPr>
          <w:rStyle w:val="AERbody"/>
        </w:rPr>
        <w:t xml:space="preserve"> </w:t>
      </w:r>
      <w:r w:rsidR="00BA3062" w:rsidRPr="00BA3062">
        <w:rPr>
          <w:rStyle w:val="AERbody"/>
        </w:rPr>
        <w:t xml:space="preserve">regulatory control </w:t>
      </w:r>
      <w:proofErr w:type="gramStart"/>
      <w:r w:rsidR="00BA3062" w:rsidRPr="00BA3062">
        <w:rPr>
          <w:rStyle w:val="AERbody"/>
        </w:rPr>
        <w:t>period</w:t>
      </w:r>
      <w:proofErr w:type="gramEnd"/>
      <w:r w:rsidR="00BA3062" w:rsidRPr="00BA3062">
        <w:rPr>
          <w:rStyle w:val="AERbody"/>
        </w:rPr>
        <w:t xml:space="preserve">. </w:t>
      </w:r>
      <w:r>
        <w:rPr>
          <w:rStyle w:val="AERbody"/>
        </w:rPr>
        <w:t>We consider t</w:t>
      </w:r>
      <w:r w:rsidR="00BA3062" w:rsidRPr="00BA3062">
        <w:rPr>
          <w:rStyle w:val="AERbody"/>
        </w:rPr>
        <w:t xml:space="preserve">his </w:t>
      </w:r>
      <w:r>
        <w:rPr>
          <w:rStyle w:val="AERbody"/>
        </w:rPr>
        <w:t>method better</w:t>
      </w:r>
      <w:r w:rsidR="00BA3062" w:rsidRPr="00BA3062">
        <w:rPr>
          <w:rStyle w:val="AERbody"/>
        </w:rPr>
        <w:t xml:space="preserve"> reflects the mix of assets within that asset class, when they were acquired over that period (or if they were existing assets), and the remaining value of those assets (used as a weight) at the end of the period. We will assess the outcomes of other approaches against the outcomes of this </w:t>
      </w:r>
      <w:r>
        <w:rPr>
          <w:rStyle w:val="AERbody"/>
        </w:rPr>
        <w:t>preferred method</w:t>
      </w:r>
      <w:r w:rsidR="00BA3062" w:rsidRPr="00BA3062">
        <w:rPr>
          <w:rStyle w:val="AERbody"/>
        </w:rPr>
        <w:t>.</w:t>
      </w:r>
    </w:p>
    <w:p w:rsidR="009B03FD" w:rsidRPr="00FA3D3E" w:rsidRDefault="009B03FD" w:rsidP="00FA3D3E">
      <w:pPr>
        <w:pStyle w:val="Heading3"/>
      </w:pPr>
      <w:bookmarkStart w:id="22" w:name="_Toc387916821"/>
      <w:bookmarkStart w:id="23" w:name="_Toc404365157"/>
      <w:r w:rsidRPr="00FA3D3E">
        <w:t>Interrelationships</w:t>
      </w:r>
      <w:bookmarkEnd w:id="22"/>
      <w:bookmarkEnd w:id="23"/>
      <w:r w:rsidRPr="00FA3D3E">
        <w:t xml:space="preserve"> </w:t>
      </w:r>
    </w:p>
    <w:p w:rsidR="004D4F13" w:rsidRPr="004D4F13" w:rsidRDefault="004D4F13" w:rsidP="004D4F13">
      <w:pPr>
        <w:pStyle w:val="AERbodytext"/>
      </w:pPr>
      <w:r w:rsidRPr="004D4F13">
        <w:t>The regulatory depreciation allowance is a building block component of the annual revenue requirement.</w:t>
      </w:r>
      <w:r>
        <w:rPr>
          <w:rStyle w:val="FootnoteReference"/>
        </w:rPr>
        <w:footnoteReference w:id="11"/>
      </w:r>
      <w:r w:rsidRPr="004D4F13">
        <w:t xml:space="preserve"> Higher (or quicker) depreciation leads to higher revenues over the regulatory control period. It also causes the RAB to reduce more quickly (assuming no further capex). This reduces the return on capital allowance, although this impact is usually secondary to the increased depreciation allowance. </w:t>
      </w:r>
    </w:p>
    <w:p w:rsidR="004D4F13" w:rsidRPr="004D4F13" w:rsidRDefault="004D4F13" w:rsidP="004D4F13">
      <w:pPr>
        <w:pStyle w:val="AERbodytext"/>
      </w:pPr>
      <w:r w:rsidRPr="004D4F13">
        <w:lastRenderedPageBreak/>
        <w:t xml:space="preserve">Ultimately, however, a service provider can only recover the capex it has incurred on assets once. The depreciation allowance therefore reflects how quickly the RAB is being recovered and is based on the remaining and standard asset lives used in the depreciation calculation. </w:t>
      </w:r>
    </w:p>
    <w:p w:rsidR="004D4F13" w:rsidRPr="004D4F13" w:rsidRDefault="004D4F13" w:rsidP="004D4F13">
      <w:pPr>
        <w:pStyle w:val="AERbodytext"/>
      </w:pPr>
      <w:r w:rsidRPr="004D4F13">
        <w:t xml:space="preserve">The depreciation allowance depends on the level of the opening RAB and the forecast capex. Any increase in these factors also increases the depreciation allowance. </w:t>
      </w:r>
    </w:p>
    <w:p w:rsidR="00FA55C7" w:rsidRDefault="004D4F13" w:rsidP="009160D9">
      <w:pPr>
        <w:pStyle w:val="AERbodytext"/>
      </w:pPr>
      <w:r w:rsidRPr="004D4F13">
        <w:t>To prevent double counting of inflation through the WACC and RA</w:t>
      </w:r>
      <w:r>
        <w:t xml:space="preserve">B, the regulatory depreciation </w:t>
      </w:r>
      <w:r w:rsidRPr="004D4F13">
        <w:t>allowance also has an offsetting reduction for indexation of the RAB.</w:t>
      </w:r>
      <w:r w:rsidR="0015126E">
        <w:rPr>
          <w:rStyle w:val="FootnoteReference"/>
        </w:rPr>
        <w:footnoteReference w:id="12"/>
      </w:r>
      <w:r w:rsidRPr="004D4F13">
        <w:t xml:space="preserve"> Factors that affect forecast inflation and/or the size of the RAB will therefore affect the size of this indexation adjustment.</w:t>
      </w:r>
      <w:r w:rsidR="009160D9" w:rsidRPr="009160D9">
        <w:t xml:space="preserve"> </w:t>
      </w:r>
    </w:p>
    <w:p w:rsidR="004D4F13" w:rsidRPr="004D4F13" w:rsidRDefault="009160D9" w:rsidP="00FA55C7">
      <w:pPr>
        <w:pStyle w:val="AERbodytext"/>
      </w:pPr>
      <w:r w:rsidRPr="009160D9">
        <w:t xml:space="preserve">Figure </w:t>
      </w:r>
      <w:r w:rsidR="00EB5D6C">
        <w:t>2</w:t>
      </w:r>
      <w:r w:rsidR="004160EA">
        <w:t xml:space="preserve">.1 and </w:t>
      </w:r>
      <w:r w:rsidR="007876B6">
        <w:t>f</w:t>
      </w:r>
      <w:r w:rsidR="004160EA">
        <w:t xml:space="preserve">igure </w:t>
      </w:r>
      <w:r w:rsidR="00EB5D6C">
        <w:t>2</w:t>
      </w:r>
      <w:r w:rsidR="004160EA">
        <w:t>.2</w:t>
      </w:r>
      <w:r w:rsidRPr="009160D9">
        <w:t xml:space="preserve"> </w:t>
      </w:r>
      <w:r w:rsidR="00FA55C7">
        <w:t xml:space="preserve">(in attachment </w:t>
      </w:r>
      <w:r w:rsidR="004160EA">
        <w:t>2</w:t>
      </w:r>
      <w:r w:rsidR="00FA55C7">
        <w:t xml:space="preserve">) </w:t>
      </w:r>
      <w:proofErr w:type="gramStart"/>
      <w:r w:rsidRPr="009160D9">
        <w:t>shows</w:t>
      </w:r>
      <w:proofErr w:type="gramEnd"/>
      <w:r w:rsidRPr="009160D9">
        <w:t xml:space="preserve"> the relative size of the inflation and straight-line depreciation and their impact on the RAB.</w:t>
      </w:r>
      <w:r w:rsidR="00FA55C7">
        <w:t xml:space="preserve"> </w:t>
      </w:r>
      <w:r w:rsidRPr="009160D9">
        <w:t xml:space="preserve">A </w:t>
      </w:r>
      <w:r w:rsidR="00DA4E9C">
        <w:t>ten</w:t>
      </w:r>
      <w:r w:rsidR="00DA4E9C" w:rsidRPr="009160D9">
        <w:t xml:space="preserve"> </w:t>
      </w:r>
      <w:r w:rsidRPr="009160D9">
        <w:t xml:space="preserve">per cent increase in the </w:t>
      </w:r>
      <w:r w:rsidR="00DA4E9C">
        <w:t xml:space="preserve">straight-line </w:t>
      </w:r>
      <w:r w:rsidRPr="009160D9">
        <w:t xml:space="preserve">depreciation causes revenues to increase by </w:t>
      </w:r>
      <w:r w:rsidR="00FA55C7">
        <w:t xml:space="preserve">about </w:t>
      </w:r>
      <w:r w:rsidR="00B1162D">
        <w:t>2.3</w:t>
      </w:r>
      <w:r w:rsidR="00303469">
        <w:t xml:space="preserve"> </w:t>
      </w:r>
      <w:r w:rsidRPr="009160D9">
        <w:t>per cent.</w:t>
      </w:r>
    </w:p>
    <w:p w:rsidR="009B03FD" w:rsidRPr="00FA3D3E" w:rsidRDefault="009B03FD" w:rsidP="00FA3D3E">
      <w:pPr>
        <w:pStyle w:val="Heading2"/>
      </w:pPr>
      <w:bookmarkStart w:id="24" w:name="_Toc387916822"/>
      <w:bookmarkStart w:id="25" w:name="_Toc404365158"/>
      <w:r w:rsidRPr="00FA3D3E">
        <w:t>Reasons for draft decision</w:t>
      </w:r>
      <w:bookmarkEnd w:id="24"/>
      <w:bookmarkEnd w:id="25"/>
    </w:p>
    <w:p w:rsidR="002E6B83" w:rsidRPr="0084644C" w:rsidRDefault="002E6B83" w:rsidP="00701188">
      <w:pPr>
        <w:pStyle w:val="AERbodytext"/>
      </w:pPr>
      <w:r w:rsidRPr="0084644C">
        <w:t xml:space="preserve">We accept </w:t>
      </w:r>
      <w:r w:rsidR="00B0546B">
        <w:t xml:space="preserve">Ausgrid's </w:t>
      </w:r>
      <w:r w:rsidRPr="0084644C">
        <w:t xml:space="preserve">proposed straight-line depreciation method for calculating the regulatory depreciation allowance as set out in the PTRM. </w:t>
      </w:r>
      <w:r w:rsidR="00701188" w:rsidRPr="00701188">
        <w:t>We also accept the majority of the standard asset lives proposed, and the weighted average method to calculate the remaining asset lives as at 1 July 2014.</w:t>
      </w:r>
      <w:r w:rsidR="00701188">
        <w:t xml:space="preserve"> </w:t>
      </w:r>
      <w:r w:rsidRPr="0084644C">
        <w:t>However,</w:t>
      </w:r>
      <w:r>
        <w:t xml:space="preserve"> </w:t>
      </w:r>
      <w:r w:rsidRPr="0084644C">
        <w:t xml:space="preserve">we </w:t>
      </w:r>
      <w:r w:rsidR="004160EA">
        <w:t xml:space="preserve">increased </w:t>
      </w:r>
      <w:r>
        <w:t>Ausgrid</w:t>
      </w:r>
      <w:r w:rsidRPr="0084644C">
        <w:t xml:space="preserve">'s proposed </w:t>
      </w:r>
      <w:r>
        <w:t xml:space="preserve">distribution </w:t>
      </w:r>
      <w:r w:rsidRPr="0084644C">
        <w:t>forecast regulatory depreciation allowance by $</w:t>
      </w:r>
      <w:r w:rsidR="004160EA">
        <w:t>1.4</w:t>
      </w:r>
      <w:r w:rsidRPr="0084644C">
        <w:t xml:space="preserve"> million (or </w:t>
      </w:r>
      <w:r w:rsidR="004160EA">
        <w:t>0.2</w:t>
      </w:r>
      <w:r w:rsidRPr="0084644C">
        <w:t xml:space="preserve"> per cent)</w:t>
      </w:r>
      <w:r w:rsidR="004160EA">
        <w:t xml:space="preserve">, and reduced Ausgrid's proposed transmission forecast regulatory depreciation allowance </w:t>
      </w:r>
      <w:proofErr w:type="gramStart"/>
      <w:r w:rsidR="004160EA">
        <w:t xml:space="preserve">by </w:t>
      </w:r>
      <w:r>
        <w:t xml:space="preserve"> </w:t>
      </w:r>
      <w:r w:rsidRPr="0084644C">
        <w:t>$</w:t>
      </w:r>
      <w:proofErr w:type="gramEnd"/>
      <w:r w:rsidR="004160EA">
        <w:t>5.4</w:t>
      </w:r>
      <w:r w:rsidRPr="0084644C">
        <w:t xml:space="preserve"> million (or </w:t>
      </w:r>
      <w:r w:rsidR="004160EA">
        <w:t>6.6</w:t>
      </w:r>
      <w:r w:rsidRPr="0084644C">
        <w:t xml:space="preserve"> per cent)</w:t>
      </w:r>
      <w:r>
        <w:t>, respectively.</w:t>
      </w:r>
      <w:r w:rsidRPr="0084644C">
        <w:t xml:space="preserve"> Our amendments are mainly driven by our determination on other components of the </w:t>
      </w:r>
      <w:r>
        <w:t>service provider</w:t>
      </w:r>
      <w:r w:rsidRPr="0084644C">
        <w:t xml:space="preserve">s' revenue proposals—for example, the forecast capex (attachment </w:t>
      </w:r>
      <w:r w:rsidR="003553EA">
        <w:t>6</w:t>
      </w:r>
      <w:r w:rsidRPr="0084644C">
        <w:t xml:space="preserve">) and the opening RAB as at 1 July 2014 (attachment </w:t>
      </w:r>
      <w:r w:rsidR="003553EA">
        <w:t>2</w:t>
      </w:r>
      <w:r w:rsidRPr="0084644C">
        <w:t>)—affect the forecast regulatory depreciation allowance</w:t>
      </w:r>
      <w:r w:rsidR="003A1E90">
        <w:t>s</w:t>
      </w:r>
      <w:r w:rsidRPr="0084644C">
        <w:t>.</w:t>
      </w:r>
    </w:p>
    <w:p w:rsidR="00FA3D3E" w:rsidRPr="00FA3D3E" w:rsidRDefault="000E04E1" w:rsidP="00FA3D3E">
      <w:pPr>
        <w:pStyle w:val="Heading3"/>
      </w:pPr>
      <w:bookmarkStart w:id="26" w:name="_Toc404365159"/>
      <w:r>
        <w:t>D</w:t>
      </w:r>
      <w:r w:rsidR="00FA3D3E" w:rsidRPr="00FA3D3E">
        <w:t>epreciation approach</w:t>
      </w:r>
      <w:bookmarkEnd w:id="26"/>
    </w:p>
    <w:p w:rsidR="00484D4E" w:rsidRPr="00484D4E" w:rsidRDefault="00B0546B" w:rsidP="00484D4E">
      <w:pPr>
        <w:pStyle w:val="AERbodytext"/>
      </w:pPr>
      <w:r>
        <w:t>Ausgrid's</w:t>
      </w:r>
      <w:r w:rsidR="00484D4E" w:rsidRPr="00855A17">
        <w:t xml:space="preserve"> proposed regulatory depreciation was based on the AER’s approach in the PTRM as required under the NER, and adopted </w:t>
      </w:r>
      <w:r w:rsidR="002C5419">
        <w:t>our</w:t>
      </w:r>
      <w:r w:rsidR="00484D4E" w:rsidRPr="00855A17">
        <w:t xml:space="preserve"> preferred weighted average approach to determining the remaining asset lives. However, </w:t>
      </w:r>
      <w:r w:rsidR="003A1E90">
        <w:t>it</w:t>
      </w:r>
      <w:r w:rsidR="00484D4E" w:rsidRPr="00855A17">
        <w:t xml:space="preserve"> also stated that the PTRM approach and the</w:t>
      </w:r>
      <w:r w:rsidR="003A1E90">
        <w:t xml:space="preserve"> weighted average remaining lives</w:t>
      </w:r>
      <w:r w:rsidR="00484D4E" w:rsidRPr="00855A17">
        <w:t xml:space="preserve"> </w:t>
      </w:r>
      <w:r w:rsidR="003A1E90">
        <w:t>(</w:t>
      </w:r>
      <w:r w:rsidR="00484D4E" w:rsidRPr="00855A17">
        <w:t>WARL</w:t>
      </w:r>
      <w:r w:rsidR="003A1E90">
        <w:t>)</w:t>
      </w:r>
      <w:r w:rsidR="00484D4E" w:rsidRPr="00855A17">
        <w:t xml:space="preserve"> approach under compensated them in terms of depreciation. We disagree with both these statements.</w:t>
      </w:r>
      <w:r w:rsidR="00484D4E" w:rsidRPr="00484D4E">
        <w:rPr>
          <w:rStyle w:val="FootnoteReference"/>
        </w:rPr>
        <w:footnoteReference w:id="13"/>
      </w:r>
    </w:p>
    <w:p w:rsidR="00484D4E" w:rsidRPr="00484D4E" w:rsidRDefault="00484D4E" w:rsidP="00484D4E">
      <w:pPr>
        <w:pStyle w:val="AERbodytext"/>
      </w:pPr>
      <w:r w:rsidRPr="00855A17">
        <w:t xml:space="preserve">In relation to the PTRM approach, </w:t>
      </w:r>
      <w:r w:rsidR="00B0546B">
        <w:t>Ausgrid</w:t>
      </w:r>
      <w:r w:rsidRPr="00855A17">
        <w:t xml:space="preserve"> </w:t>
      </w:r>
      <w:r w:rsidR="00C94EE4">
        <w:t xml:space="preserve">submitted </w:t>
      </w:r>
      <w:r w:rsidRPr="00855A17">
        <w:t>that having the indexation of the RAB subtracted from the straight-line depreciation undercompensates them in depreciation.</w:t>
      </w:r>
      <w:r w:rsidRPr="00484D4E">
        <w:rPr>
          <w:rStyle w:val="FootnoteReference"/>
        </w:rPr>
        <w:footnoteReference w:id="14"/>
      </w:r>
      <w:r w:rsidRPr="00484D4E">
        <w:t xml:space="preserve"> This is not correct. The PTRM approach uses both a nominal WACC and an indexed RAB and is consistent with the requirements of the NER.</w:t>
      </w:r>
      <w:r w:rsidRPr="00484D4E">
        <w:rPr>
          <w:rStyle w:val="FootnoteReference"/>
        </w:rPr>
        <w:footnoteReference w:id="15"/>
      </w:r>
      <w:r w:rsidRPr="00484D4E">
        <w:t xml:space="preserve"> Because inflation is applied to both these components, the business would be compensated for inflation twice unless an offsetting adjustment is made for the indexation of the RAB. This revaluation gain could be subtracted as a separate building block, in which case the depreciation allowance would appear larger. In terms of total revenue, however, there is no difference if this indexation is subtracted as a separate building block or subtracted from depreciation as is </w:t>
      </w:r>
      <w:r w:rsidR="00C94EE4">
        <w:t xml:space="preserve">done in </w:t>
      </w:r>
      <w:r w:rsidRPr="00484D4E">
        <w:t xml:space="preserve">the PTRM. The PTRM approach has been used in all of </w:t>
      </w:r>
      <w:r w:rsidR="002C5419">
        <w:t>our</w:t>
      </w:r>
      <w:r w:rsidRPr="00484D4E">
        <w:t xml:space="preserve"> electricity and gas decisions to date, including the previous determination for </w:t>
      </w:r>
      <w:r w:rsidR="00B0546B">
        <w:t>Ausgrid</w:t>
      </w:r>
      <w:r w:rsidRPr="00484D4E">
        <w:t>.</w:t>
      </w:r>
    </w:p>
    <w:p w:rsidR="00484D4E" w:rsidRPr="00484D4E" w:rsidRDefault="00484D4E" w:rsidP="00484D4E">
      <w:pPr>
        <w:pStyle w:val="AERbodytext"/>
      </w:pPr>
      <w:r w:rsidRPr="00855A17">
        <w:lastRenderedPageBreak/>
        <w:t xml:space="preserve">In relation to remaining asset lives, </w:t>
      </w:r>
      <w:r w:rsidR="00B0546B">
        <w:t>Ausgrid</w:t>
      </w:r>
      <w:r w:rsidRPr="00855A17">
        <w:t xml:space="preserve"> stated the WARL approach leads to asset lives that are too long. </w:t>
      </w:r>
      <w:r w:rsidR="003A1E90">
        <w:t>It</w:t>
      </w:r>
      <w:r w:rsidR="003A1E90" w:rsidRPr="00855A17">
        <w:t xml:space="preserve"> </w:t>
      </w:r>
      <w:r w:rsidRPr="00855A17">
        <w:t>suggested th</w:t>
      </w:r>
      <w:r w:rsidR="003A1E90">
        <w:t>at</w:t>
      </w:r>
      <w:r w:rsidRPr="00855A17">
        <w:t xml:space="preserve"> accounting lives may be more appropriate.</w:t>
      </w:r>
      <w:r w:rsidRPr="00484D4E">
        <w:rPr>
          <w:rStyle w:val="FootnoteReference"/>
        </w:rPr>
        <w:footnoteReference w:id="16"/>
      </w:r>
      <w:r w:rsidRPr="00484D4E">
        <w:t xml:space="preserve"> Beside administrative simplicity, there is no reason regulatory asset lives should necessarily match accounting asset lives or tax assets lives.</w:t>
      </w:r>
      <w:r w:rsidRPr="00484D4E">
        <w:rPr>
          <w:rStyle w:val="FootnoteReference"/>
        </w:rPr>
        <w:footnoteReference w:id="17"/>
      </w:r>
      <w:r w:rsidRPr="00484D4E">
        <w:t xml:space="preserve"> Regulatory depreciation takes the objectives of the regulatory regime into account. These objectives have a strong underlying economic rationale. From an economic perspective, there could be situations were accelerated depreciation is desirable and other situations where back loading of depreciation is most economic. A regulator may therefore have to make decisions that are at odds with accounting conventions developed for corporate reporting or other purposes. To minimise administration costs, a regulator will apply existing accounting approaches where they are likely to produce outcomes consistent with the regulatory regime’s objectives.</w:t>
      </w:r>
    </w:p>
    <w:p w:rsidR="00484D4E" w:rsidRDefault="00484D4E" w:rsidP="00484D4E">
      <w:pPr>
        <w:pStyle w:val="AERbodytext"/>
      </w:pPr>
      <w:r w:rsidRPr="00855A17">
        <w:t xml:space="preserve">In Ausgrid’s proposal, it stated its accounting </w:t>
      </w:r>
      <w:r w:rsidR="003A1E90">
        <w:t>remaining life is</w:t>
      </w:r>
      <w:r w:rsidRPr="00855A17">
        <w:t xml:space="preserve"> on average 25.7 years, while the WARL </w:t>
      </w:r>
      <w:r w:rsidR="003A1E90">
        <w:t>is</w:t>
      </w:r>
      <w:r w:rsidRPr="00855A17">
        <w:t xml:space="preserve"> 36.6 years on average.</w:t>
      </w:r>
      <w:r>
        <w:rPr>
          <w:rStyle w:val="FootnoteReference"/>
        </w:rPr>
        <w:footnoteReference w:id="18"/>
      </w:r>
      <w:r w:rsidRPr="00855A17">
        <w:t xml:space="preserve"> To adopt </w:t>
      </w:r>
      <w:r w:rsidR="003A1E90">
        <w:t>its</w:t>
      </w:r>
      <w:r w:rsidRPr="00855A17">
        <w:t xml:space="preserve"> accounting </w:t>
      </w:r>
      <w:r w:rsidR="003A1E90">
        <w:t>remaining life</w:t>
      </w:r>
      <w:r w:rsidRPr="00855A17">
        <w:t xml:space="preserve"> (rather than the WARL) would result in a 43 per cent increase in </w:t>
      </w:r>
      <w:r w:rsidR="008B64D7">
        <w:t>Ausgrid's</w:t>
      </w:r>
      <w:r w:rsidRPr="00855A17">
        <w:t xml:space="preserve"> straight-line depreciation allowance on </w:t>
      </w:r>
      <w:r w:rsidR="003A1E90">
        <w:t>its</w:t>
      </w:r>
      <w:r w:rsidR="003A1E90" w:rsidRPr="00855A17">
        <w:t xml:space="preserve"> </w:t>
      </w:r>
      <w:r w:rsidRPr="00855A17">
        <w:t xml:space="preserve">opening </w:t>
      </w:r>
      <w:r w:rsidR="003A1E90">
        <w:t xml:space="preserve">distribution </w:t>
      </w:r>
      <w:r w:rsidRPr="00855A17">
        <w:t xml:space="preserve">RAB. Although no proposal has been made to </w:t>
      </w:r>
      <w:r>
        <w:t xml:space="preserve">adopt the accounting </w:t>
      </w:r>
      <w:r w:rsidR="003A1E90">
        <w:t>remaining life</w:t>
      </w:r>
      <w:r w:rsidRPr="00855A17">
        <w:t>, it does show how</w:t>
      </w:r>
      <w:r w:rsidR="00A449E4">
        <w:t xml:space="preserve"> simply</w:t>
      </w:r>
      <w:r w:rsidRPr="00855A17">
        <w:t xml:space="preserve"> relying on accounting approaches can lead to very different pricing outcomes for customers.</w:t>
      </w:r>
    </w:p>
    <w:p w:rsidR="000E04E1" w:rsidRDefault="000E04E1" w:rsidP="00000645">
      <w:pPr>
        <w:pStyle w:val="AERbodytext"/>
      </w:pPr>
      <w:r w:rsidRPr="00000645">
        <w:t>In its submission to the NSW service provider's regulatory proposals, AGL stated that the RAB depreciation should outweigh any new capex incurred during the 2014–19</w:t>
      </w:r>
      <w:r w:rsidR="003A1E90" w:rsidRPr="003A1E90">
        <w:t xml:space="preserve"> </w:t>
      </w:r>
      <w:r w:rsidR="003A1E90" w:rsidRPr="00000645">
        <w:t>period</w:t>
      </w:r>
      <w:r w:rsidRPr="00000645">
        <w:t>.</w:t>
      </w:r>
      <w:r w:rsidRPr="004E15DB">
        <w:rPr>
          <w:rStyle w:val="AERsuperscript"/>
        </w:rPr>
        <w:footnoteReference w:id="19"/>
      </w:r>
      <w:r w:rsidRPr="00000645">
        <w:t xml:space="preserve"> This would ensure a declining RAB over the period, which AGL stated would be consistent with the conditions of the NSW energy market, in particular declining demand. We consider this to be an issue related to the forecast capex allowance rather than a problem with the depreciation approach. Forecast capex is discussed in attachment </w:t>
      </w:r>
      <w:r w:rsidR="003553EA">
        <w:t>6</w:t>
      </w:r>
      <w:r w:rsidRPr="00000645">
        <w:t>.</w:t>
      </w:r>
    </w:p>
    <w:p w:rsidR="00955F48" w:rsidRDefault="00955F48" w:rsidP="00955F48">
      <w:pPr>
        <w:pStyle w:val="Heading3"/>
      </w:pPr>
      <w:bookmarkStart w:id="27" w:name="_Ref400721143"/>
      <w:bookmarkStart w:id="28" w:name="_Toc404365160"/>
      <w:r>
        <w:t>Asset class reallocations</w:t>
      </w:r>
      <w:bookmarkEnd w:id="27"/>
      <w:bookmarkEnd w:id="28"/>
    </w:p>
    <w:p w:rsidR="00955F48" w:rsidRDefault="00955F48" w:rsidP="00955F48">
      <w:pPr>
        <w:pStyle w:val="AERbodytext"/>
      </w:pPr>
      <w:r>
        <w:t>We accept the majority of Ausgrid's proposed asset classes for its distribution and transmission networks for the 2014–19 period. However, we have removed the 'Emergency spares (major plant, excludes inventory)</w:t>
      </w:r>
      <w:r w:rsidR="00F32D9F">
        <w:t>'</w:t>
      </w:r>
      <w:r>
        <w:t xml:space="preserve"> and </w:t>
      </w:r>
      <w:r w:rsidR="00F32D9F">
        <w:t>'</w:t>
      </w:r>
      <w:r>
        <w:t xml:space="preserve">Transmission </w:t>
      </w:r>
      <w:r w:rsidR="00514667">
        <w:t>&amp;</w:t>
      </w:r>
      <w:r>
        <w:t xml:space="preserve"> zone emergency spares</w:t>
      </w:r>
      <w:r w:rsidR="00F32D9F">
        <w:t>'</w:t>
      </w:r>
      <w:r>
        <w:t xml:space="preserve"> asset classes</w:t>
      </w:r>
      <w:r w:rsidR="00F32D9F">
        <w:t xml:space="preserve"> that are no longer being used by Ausgrid.</w:t>
      </w:r>
      <w:r w:rsidR="002E74CA">
        <w:rPr>
          <w:rStyle w:val="FootnoteReference"/>
        </w:rPr>
        <w:footnoteReference w:id="20"/>
      </w:r>
    </w:p>
    <w:p w:rsidR="00955F48" w:rsidRDefault="00955F48" w:rsidP="00955F48">
      <w:pPr>
        <w:pStyle w:val="AERbodytext"/>
      </w:pPr>
      <w:r w:rsidRPr="00955F48">
        <w:t xml:space="preserve">We consider that the RAB value as at 1 July 2014 for the 'Emergency spares (major plant, excludes inventory)' </w:t>
      </w:r>
      <w:r w:rsidR="00150649">
        <w:t xml:space="preserve">asset class </w:t>
      </w:r>
      <w:r w:rsidR="00F32D9F">
        <w:t xml:space="preserve">and 'Transmission </w:t>
      </w:r>
      <w:r w:rsidR="007876B6">
        <w:t>and</w:t>
      </w:r>
      <w:r w:rsidR="00F32D9F">
        <w:t xml:space="preserve"> zone emergency spares' </w:t>
      </w:r>
      <w:r w:rsidRPr="00955F48">
        <w:t xml:space="preserve">asset class should be reallocated to other </w:t>
      </w:r>
      <w:r w:rsidR="00F32D9F">
        <w:t>suitable asset classes</w:t>
      </w:r>
      <w:r w:rsidRPr="00955F48">
        <w:t xml:space="preserve">. After consultation with </w:t>
      </w:r>
      <w:r w:rsidR="00F32D9F">
        <w:t>Ausgrid</w:t>
      </w:r>
      <w:r w:rsidRPr="00955F48">
        <w:t xml:space="preserve"> we understand that th</w:t>
      </w:r>
      <w:r w:rsidR="00F32D9F">
        <w:t>ese</w:t>
      </w:r>
      <w:r w:rsidRPr="00955F48">
        <w:t xml:space="preserve"> asset class</w:t>
      </w:r>
      <w:r w:rsidR="00F32D9F">
        <w:t>es</w:t>
      </w:r>
      <w:r w:rsidRPr="00955F48">
        <w:t xml:space="preserve"> and </w:t>
      </w:r>
      <w:r w:rsidR="00196FB0">
        <w:t xml:space="preserve">the </w:t>
      </w:r>
      <w:r w:rsidRPr="00955F48">
        <w:t>allocated amount</w:t>
      </w:r>
      <w:r w:rsidR="00196FB0">
        <w:t>s</w:t>
      </w:r>
      <w:r w:rsidRPr="00955F48">
        <w:t xml:space="preserve"> arose from previous IPART</w:t>
      </w:r>
      <w:r w:rsidR="00514667">
        <w:t xml:space="preserve"> and ACCC</w:t>
      </w:r>
      <w:r w:rsidRPr="00955F48">
        <w:t xml:space="preserve"> determination</w:t>
      </w:r>
      <w:r w:rsidR="00514667">
        <w:t>s</w:t>
      </w:r>
      <w:r w:rsidR="006F055E">
        <w:t xml:space="preserve"> for earlier regulatory control periods</w:t>
      </w:r>
      <w:r w:rsidRPr="00955F48">
        <w:t xml:space="preserve">. </w:t>
      </w:r>
      <w:r w:rsidR="00F32D9F">
        <w:t xml:space="preserve">Ausgrid stated </w:t>
      </w:r>
      <w:r w:rsidRPr="00955F48">
        <w:t xml:space="preserve">that it </w:t>
      </w:r>
      <w:r w:rsidR="00F32D9F">
        <w:t>has not allocated capex to</w:t>
      </w:r>
      <w:r w:rsidR="00514667">
        <w:t xml:space="preserve"> these</w:t>
      </w:r>
      <w:r w:rsidR="00F32D9F">
        <w:t xml:space="preserve"> asset classes for the </w:t>
      </w:r>
      <w:r w:rsidR="00514667">
        <w:t>2009–14 regulatory control period</w:t>
      </w:r>
      <w:r w:rsidR="00F32D9F">
        <w:t>, and it has not proposed any capex for</w:t>
      </w:r>
      <w:r w:rsidR="00514667">
        <w:t xml:space="preserve"> allocation to</w:t>
      </w:r>
      <w:r w:rsidR="00F32D9F">
        <w:t xml:space="preserve"> these asset classes for its distribution and transmission networks for the 2014–1</w:t>
      </w:r>
      <w:r w:rsidR="00514667">
        <w:t>9</w:t>
      </w:r>
      <w:r w:rsidR="00F32D9F">
        <w:t xml:space="preserve"> </w:t>
      </w:r>
      <w:proofErr w:type="gramStart"/>
      <w:r w:rsidR="00F32D9F">
        <w:t>period</w:t>
      </w:r>
      <w:proofErr w:type="gramEnd"/>
      <w:r w:rsidR="00F32D9F">
        <w:t>.</w:t>
      </w:r>
      <w:r w:rsidR="00F32D9F">
        <w:rPr>
          <w:rStyle w:val="FootnoteReference"/>
        </w:rPr>
        <w:footnoteReference w:id="21"/>
      </w:r>
      <w:r w:rsidR="00F32D9F">
        <w:t xml:space="preserve"> </w:t>
      </w:r>
      <w:r w:rsidR="00784CA2">
        <w:t xml:space="preserve">Capex incurred for such </w:t>
      </w:r>
      <w:r w:rsidR="00934244">
        <w:t>'</w:t>
      </w:r>
      <w:r w:rsidR="00784CA2">
        <w:t>spares</w:t>
      </w:r>
      <w:r w:rsidR="00934244">
        <w:t>'</w:t>
      </w:r>
      <w:r w:rsidR="00784CA2">
        <w:t xml:space="preserve"> are allocated to other relevant asset classes, reflecting the as-incurred approach to recognising capex as approved in the 2009 determination. </w:t>
      </w:r>
      <w:r w:rsidRPr="00955F48">
        <w:t xml:space="preserve">Having considered </w:t>
      </w:r>
      <w:r w:rsidR="009646F7">
        <w:t>Ausgrid's response</w:t>
      </w:r>
      <w:r w:rsidRPr="00955F48">
        <w:t xml:space="preserve">, we are satisfied that </w:t>
      </w:r>
      <w:r w:rsidR="00196FB0">
        <w:t xml:space="preserve">for Ausgrid's distribution network </w:t>
      </w:r>
      <w:r w:rsidRPr="00955F48">
        <w:t xml:space="preserve">the remaining value </w:t>
      </w:r>
      <w:r w:rsidR="00514667">
        <w:t xml:space="preserve">in the </w:t>
      </w:r>
      <w:r w:rsidR="00514667" w:rsidRPr="00955F48">
        <w:t xml:space="preserve">'Emergency spares (major plant, excludes inventory)' </w:t>
      </w:r>
      <w:r w:rsidR="00514667">
        <w:t xml:space="preserve">asset class </w:t>
      </w:r>
      <w:r w:rsidRPr="00955F48">
        <w:t xml:space="preserve">should be reallocated to the </w:t>
      </w:r>
      <w:r w:rsidR="00196FB0">
        <w:t xml:space="preserve">'Substations' </w:t>
      </w:r>
      <w:r w:rsidR="00514667">
        <w:t xml:space="preserve">asset class </w:t>
      </w:r>
      <w:r w:rsidRPr="00955F48">
        <w:t>as at 1 July 201</w:t>
      </w:r>
      <w:r w:rsidR="00196FB0">
        <w:t>4</w:t>
      </w:r>
      <w:r w:rsidR="00784CA2">
        <w:t xml:space="preserve">. This </w:t>
      </w:r>
      <w:r w:rsidR="00514667">
        <w:t xml:space="preserve">reasonably provides </w:t>
      </w:r>
      <w:r w:rsidR="006F055E">
        <w:t>the</w:t>
      </w:r>
      <w:r w:rsidR="00514667">
        <w:t xml:space="preserve"> </w:t>
      </w:r>
      <w:r w:rsidR="006F055E">
        <w:t xml:space="preserve">remaining </w:t>
      </w:r>
      <w:r w:rsidR="00514667">
        <w:t xml:space="preserve">number of years </w:t>
      </w:r>
      <w:r w:rsidR="006F055E">
        <w:t xml:space="preserve">(34.8 years) </w:t>
      </w:r>
      <w:r w:rsidR="00514667">
        <w:t>to depreciate the</w:t>
      </w:r>
      <w:r w:rsidR="00784CA2">
        <w:t xml:space="preserve"> residual value of the assets in the </w:t>
      </w:r>
      <w:r w:rsidR="00784CA2" w:rsidRPr="00955F48">
        <w:t xml:space="preserve">'Emergency spares (major plant, excludes inventory)' </w:t>
      </w:r>
      <w:r w:rsidR="00784CA2">
        <w:t>asset class</w:t>
      </w:r>
      <w:r w:rsidR="00150649">
        <w:t>.</w:t>
      </w:r>
      <w:r w:rsidR="00196FB0">
        <w:t xml:space="preserve"> </w:t>
      </w:r>
      <w:r w:rsidR="00150649">
        <w:t>F</w:t>
      </w:r>
      <w:r w:rsidR="00196FB0">
        <w:t xml:space="preserve">or Ausgrid's transmission network </w:t>
      </w:r>
      <w:r w:rsidR="006F055E">
        <w:t xml:space="preserve">and for the same reason discussed above, </w:t>
      </w:r>
      <w:r w:rsidR="00196FB0">
        <w:t xml:space="preserve">the remaining value </w:t>
      </w:r>
      <w:r w:rsidR="00784CA2">
        <w:t xml:space="preserve">in </w:t>
      </w:r>
      <w:r w:rsidR="00784CA2">
        <w:lastRenderedPageBreak/>
        <w:t>the</w:t>
      </w:r>
      <w:r w:rsidR="00196FB0">
        <w:t xml:space="preserve"> 'Transmission </w:t>
      </w:r>
      <w:r w:rsidR="00784CA2">
        <w:t>&amp;</w:t>
      </w:r>
      <w:r w:rsidR="00196FB0">
        <w:t xml:space="preserve"> zone emergency spares' should be allocated between the 'Transmission substation equip</w:t>
      </w:r>
      <w:r w:rsidR="00784CA2">
        <w:t>ment</w:t>
      </w:r>
      <w:r w:rsidR="00196FB0">
        <w:t xml:space="preserve"> 132/66kV' asset class and 'Zone substation equip</w:t>
      </w:r>
      <w:r w:rsidR="00784CA2">
        <w:t>ment</w:t>
      </w:r>
      <w:r w:rsidR="00196FB0">
        <w:t xml:space="preserve"> 132/66kV' asset class</w:t>
      </w:r>
      <w:r w:rsidR="006E39EA">
        <w:t xml:space="preserve"> as at 1 July 2014</w:t>
      </w:r>
      <w:r w:rsidR="00196FB0">
        <w:t>.</w:t>
      </w:r>
      <w:r w:rsidR="00150649">
        <w:rPr>
          <w:rStyle w:val="FootnoteReference"/>
        </w:rPr>
        <w:footnoteReference w:id="22"/>
      </w:r>
      <w:r w:rsidR="00196FB0">
        <w:t xml:space="preserve"> Therefore, </w:t>
      </w:r>
      <w:r w:rsidR="00150649">
        <w:t>we have removed the</w:t>
      </w:r>
      <w:r w:rsidR="00196FB0">
        <w:t xml:space="preserve"> </w:t>
      </w:r>
      <w:r w:rsidRPr="00955F48">
        <w:t>'Emergency spares (major plant, excludes inventory)'</w:t>
      </w:r>
      <w:r w:rsidR="00196FB0">
        <w:t xml:space="preserve"> and 'Transmission and zone emergency spares' </w:t>
      </w:r>
      <w:r w:rsidRPr="00955F48">
        <w:t>asset class</w:t>
      </w:r>
      <w:r w:rsidR="00784CA2">
        <w:t>es</w:t>
      </w:r>
      <w:r w:rsidRPr="00955F48">
        <w:t xml:space="preserve"> from </w:t>
      </w:r>
      <w:r w:rsidR="00784CA2">
        <w:t>Ausgrid's</w:t>
      </w:r>
      <w:r w:rsidRPr="00955F48">
        <w:t xml:space="preserve"> PTRM</w:t>
      </w:r>
      <w:r w:rsidR="00784CA2">
        <w:t>s</w:t>
      </w:r>
      <w:r w:rsidRPr="00955F48">
        <w:t>.</w:t>
      </w:r>
    </w:p>
    <w:p w:rsidR="009B03FD" w:rsidRDefault="0030390A" w:rsidP="00FA3D3E">
      <w:pPr>
        <w:pStyle w:val="Heading3"/>
      </w:pPr>
      <w:bookmarkStart w:id="29" w:name="_Toc404365161"/>
      <w:r w:rsidRPr="00FA3D3E">
        <w:t>Standard asset lives</w:t>
      </w:r>
      <w:bookmarkEnd w:id="29"/>
    </w:p>
    <w:p w:rsidR="00000645" w:rsidRDefault="00000645" w:rsidP="00000645">
      <w:pPr>
        <w:pStyle w:val="AERbodytext"/>
      </w:pPr>
      <w:r w:rsidRPr="00000645">
        <w:t>We accept the majority of Ausgrid's proposed standard asset lives for its existing asset classes, because they are consistent with our approved standard asset lives for the 2009</w:t>
      </w:r>
      <w:r w:rsidR="00FF260F">
        <w:t>–</w:t>
      </w:r>
      <w:r w:rsidRPr="00000645">
        <w:t xml:space="preserve">14 regulatory control </w:t>
      </w:r>
      <w:proofErr w:type="gramStart"/>
      <w:r w:rsidRPr="00000645">
        <w:t>period</w:t>
      </w:r>
      <w:proofErr w:type="gramEnd"/>
      <w:r w:rsidRPr="00000645">
        <w:t>.</w:t>
      </w:r>
      <w:r w:rsidR="00DD0B36">
        <w:t xml:space="preserve"> </w:t>
      </w:r>
      <w:r w:rsidR="00DD0B36" w:rsidRPr="00DD0B36">
        <w:t>We are satisfied the</w:t>
      </w:r>
      <w:r w:rsidR="00DD0B36">
        <w:t>se</w:t>
      </w:r>
      <w:r w:rsidR="00DD0B36" w:rsidRPr="00DD0B36">
        <w:t xml:space="preserve"> proposed standard asset lives reflect the nature of the assets over the economic lives of the asset classes.</w:t>
      </w:r>
      <w:r w:rsidR="00DD0B36" w:rsidRPr="00DD0B36">
        <w:rPr>
          <w:rStyle w:val="FootnoteReference"/>
        </w:rPr>
        <w:footnoteReference w:id="23"/>
      </w:r>
      <w:r w:rsidR="00955F48">
        <w:t xml:space="preserve"> As discussed in section </w:t>
      </w:r>
      <w:r w:rsidR="003553EA">
        <w:fldChar w:fldCharType="begin"/>
      </w:r>
      <w:r w:rsidR="003553EA">
        <w:instrText xml:space="preserve"> REF _Ref400721143 \r \h </w:instrText>
      </w:r>
      <w:r w:rsidR="003553EA">
        <w:fldChar w:fldCharType="separate"/>
      </w:r>
      <w:r w:rsidR="001F4E28">
        <w:t>5.4.2</w:t>
      </w:r>
      <w:r w:rsidR="003553EA">
        <w:fldChar w:fldCharType="end"/>
      </w:r>
      <w:r w:rsidR="003553EA">
        <w:t xml:space="preserve"> </w:t>
      </w:r>
      <w:r w:rsidR="00955F48">
        <w:t>we have removed the 'Emergency spares (major plant, excludes inventory)' and 'Transmission &amp; zone emergency spares' asset classes from Ausgrid's PTRMs for its distribution and transmission networks respectively. Therefore, we have not assigned standard asset li</w:t>
      </w:r>
      <w:r w:rsidR="00934244">
        <w:t>ves</w:t>
      </w:r>
      <w:r w:rsidR="00955F48">
        <w:t xml:space="preserve"> to these asset classes.</w:t>
      </w:r>
    </w:p>
    <w:p w:rsidR="00B0546B" w:rsidRPr="00B0546B" w:rsidRDefault="00C35CC4" w:rsidP="006A57CC">
      <w:pPr>
        <w:spacing w:after="0" w:line="240" w:lineRule="auto"/>
        <w:jc w:val="left"/>
      </w:pPr>
      <w:r>
        <w:fldChar w:fldCharType="begin"/>
      </w:r>
      <w:r>
        <w:instrText xml:space="preserve"> REF _Ref397609299 \h </w:instrText>
      </w:r>
      <w:r>
        <w:fldChar w:fldCharType="separate"/>
      </w:r>
      <w:r w:rsidR="001F4E28">
        <w:t>Table 5</w:t>
      </w:r>
      <w:r w:rsidR="001F4E28">
        <w:noBreakHyphen/>
      </w:r>
      <w:r w:rsidR="001F4E28">
        <w:rPr>
          <w:noProof/>
        </w:rPr>
        <w:t>5</w:t>
      </w:r>
      <w:r>
        <w:fldChar w:fldCharType="end"/>
      </w:r>
      <w:r>
        <w:t xml:space="preserve"> and </w:t>
      </w:r>
      <w:r>
        <w:fldChar w:fldCharType="begin"/>
      </w:r>
      <w:r>
        <w:instrText xml:space="preserve"> REF _Ref397612831 \h </w:instrText>
      </w:r>
      <w:r>
        <w:fldChar w:fldCharType="separate"/>
      </w:r>
      <w:r w:rsidR="001F4E28">
        <w:t>Table 5</w:t>
      </w:r>
      <w:r w:rsidR="001F4E28">
        <w:noBreakHyphen/>
      </w:r>
      <w:r w:rsidR="001F4E28">
        <w:rPr>
          <w:noProof/>
        </w:rPr>
        <w:t>6</w:t>
      </w:r>
      <w:r>
        <w:fldChar w:fldCharType="end"/>
      </w:r>
      <w:r>
        <w:t xml:space="preserve"> </w:t>
      </w:r>
      <w:r w:rsidR="00000645" w:rsidRPr="00000645">
        <w:t xml:space="preserve">set out our draft decision on </w:t>
      </w:r>
      <w:r>
        <w:t>Ausgrid's</w:t>
      </w:r>
      <w:r w:rsidR="00000645" w:rsidRPr="00000645">
        <w:t xml:space="preserve"> standard asset lives for the </w:t>
      </w:r>
      <w:r w:rsidR="003B0C60">
        <w:t xml:space="preserve">2014–19 </w:t>
      </w:r>
      <w:proofErr w:type="gramStart"/>
      <w:r w:rsidR="00000645">
        <w:t>period</w:t>
      </w:r>
      <w:proofErr w:type="gramEnd"/>
      <w:r w:rsidR="00FF260F">
        <w:t>,</w:t>
      </w:r>
      <w:r w:rsidR="00FF260F" w:rsidRPr="00FF260F">
        <w:t xml:space="preserve"> </w:t>
      </w:r>
      <w:r w:rsidR="00FF260F">
        <w:t>for its distribution and transmission networks respectively</w:t>
      </w:r>
      <w:r w:rsidR="00000645">
        <w:t>.</w:t>
      </w:r>
    </w:p>
    <w:p w:rsidR="009B03FD" w:rsidRPr="00FA3D3E" w:rsidRDefault="0030390A" w:rsidP="00FA3D3E">
      <w:pPr>
        <w:pStyle w:val="Heading3"/>
      </w:pPr>
      <w:bookmarkStart w:id="30" w:name="_Toc404365162"/>
      <w:r w:rsidRPr="00FA3D3E">
        <w:t>Remaining asset lives</w:t>
      </w:r>
      <w:bookmarkEnd w:id="30"/>
    </w:p>
    <w:p w:rsidR="00C35CC4" w:rsidRDefault="00000645" w:rsidP="00C35CC4">
      <w:pPr>
        <w:pStyle w:val="AERbodytext"/>
      </w:pPr>
      <w:bookmarkStart w:id="31" w:name="_Ref395184524"/>
      <w:r w:rsidRPr="00000645">
        <w:t xml:space="preserve">We accept </w:t>
      </w:r>
      <w:r>
        <w:t>Ausgrid'</w:t>
      </w:r>
      <w:r w:rsidRPr="00000645">
        <w:t xml:space="preserve">s proposed weighted average method to calculate the remaining asset lives as at 1 July 2014. The proposed method is consistent with our preferred approach. </w:t>
      </w:r>
    </w:p>
    <w:p w:rsidR="00C35CC4" w:rsidRDefault="00C35CC4" w:rsidP="00C35CC4">
      <w:pPr>
        <w:pStyle w:val="AERbodytext"/>
      </w:pPr>
      <w:r w:rsidRPr="00C35CC4">
        <w:t xml:space="preserve">In accepting the weighted average method, we have updated Ausgrid's remaining asset lives to reflect our adjustments to the actual net capex in the RAB roll forward in the RFM, as discussed in attachment </w:t>
      </w:r>
      <w:r w:rsidR="003553EA">
        <w:t>2</w:t>
      </w:r>
      <w:r w:rsidRPr="00C35CC4">
        <w:t>.</w:t>
      </w:r>
      <w:r w:rsidR="00F14E27">
        <w:rPr>
          <w:rStyle w:val="FootnoteReference"/>
        </w:rPr>
        <w:footnoteReference w:id="24"/>
      </w:r>
      <w:r w:rsidRPr="00C35CC4">
        <w:t xml:space="preserve"> This is because the actual net capex values are inputs for calculating the weighted average remaining asset lives in the RFM. This adjustment to the remaining assets lives applies to </w:t>
      </w:r>
      <w:r w:rsidR="00CB3F99">
        <w:t xml:space="preserve">both </w:t>
      </w:r>
      <w:r w:rsidRPr="00C35CC4">
        <w:t>Ausgrid's distribution and transmission networks.</w:t>
      </w:r>
    </w:p>
    <w:p w:rsidR="00934244" w:rsidRDefault="00934244" w:rsidP="00C35CC4">
      <w:pPr>
        <w:pStyle w:val="AERbodytext"/>
      </w:pPr>
      <w:r>
        <w:t xml:space="preserve">As discussed in section </w:t>
      </w:r>
      <w:r w:rsidR="003553EA">
        <w:fldChar w:fldCharType="begin"/>
      </w:r>
      <w:r w:rsidR="003553EA">
        <w:instrText xml:space="preserve"> REF _Ref400721143 \r \h </w:instrText>
      </w:r>
      <w:r w:rsidR="003553EA">
        <w:fldChar w:fldCharType="separate"/>
      </w:r>
      <w:r w:rsidR="001F4E28">
        <w:t>5.4.2</w:t>
      </w:r>
      <w:r w:rsidR="003553EA">
        <w:fldChar w:fldCharType="end"/>
      </w:r>
      <w:r>
        <w:t xml:space="preserve"> we have removed the 'Emergency spares (major plant, excludes inventory)' and 'Transmission &amp; zone emergency spares' asset classes from Ausgrid's PTRMs for its distribution and transmission networks respectively. Therefore, we have not assigned remaining asset lives to these asset classes.</w:t>
      </w:r>
    </w:p>
    <w:p w:rsidR="00955F48" w:rsidRPr="00C35CC4" w:rsidRDefault="00955F48" w:rsidP="00C35CC4">
      <w:pPr>
        <w:pStyle w:val="AERbodytext"/>
      </w:pPr>
      <w:r>
        <w:t xml:space="preserve">We note the </w:t>
      </w:r>
      <w:r w:rsidRPr="008865B9">
        <w:t>Energy Markets Reform Forum</w:t>
      </w:r>
      <w:r>
        <w:t>'s</w:t>
      </w:r>
      <w:r w:rsidRPr="008865B9">
        <w:t xml:space="preserve"> (EMRF) </w:t>
      </w:r>
      <w:r>
        <w:t xml:space="preserve">submission </w:t>
      </w:r>
      <w:r w:rsidRPr="008865B9">
        <w:t xml:space="preserve">raised concern with </w:t>
      </w:r>
      <w:r w:rsidR="00934244">
        <w:t xml:space="preserve">the </w:t>
      </w:r>
      <w:r w:rsidRPr="008865B9">
        <w:t xml:space="preserve">possible early retirement of assets due to the assumed asset lives. </w:t>
      </w:r>
      <w:r>
        <w:t xml:space="preserve">The </w:t>
      </w:r>
      <w:r w:rsidRPr="008865B9">
        <w:t xml:space="preserve">EMRF submitted that </w:t>
      </w:r>
      <w:r w:rsidR="00934244">
        <w:t>because of</w:t>
      </w:r>
      <w:r w:rsidRPr="008865B9">
        <w:t xml:space="preserve"> reduced loading, many of the assets can operate effectively past when they are said to be fully depreciated and due to be replaced.</w:t>
      </w:r>
      <w:r>
        <w:rPr>
          <w:rStyle w:val="FootnoteReference"/>
        </w:rPr>
        <w:footnoteReference w:id="25"/>
      </w:r>
      <w:r w:rsidRPr="008865B9">
        <w:t xml:space="preserve">  We </w:t>
      </w:r>
      <w:r>
        <w:t xml:space="preserve">note </w:t>
      </w:r>
      <w:r w:rsidRPr="008865B9">
        <w:t>that Ausgrid</w:t>
      </w:r>
      <w:r w:rsidR="00934244">
        <w:t>'s</w:t>
      </w:r>
      <w:r w:rsidRPr="008865B9">
        <w:t xml:space="preserve"> propos</w:t>
      </w:r>
      <w:r w:rsidR="00934244">
        <w:t>al stated that</w:t>
      </w:r>
      <w:r w:rsidRPr="008865B9">
        <w:t xml:space="preserve"> it develops capital replacement plans based on technology types for their major assets and not standard asset lives</w:t>
      </w:r>
      <w:r>
        <w:rPr>
          <w:rStyle w:val="FootnoteReference"/>
        </w:rPr>
        <w:footnoteReference w:id="26"/>
      </w:r>
      <w:r w:rsidRPr="008865B9">
        <w:t xml:space="preserve"> </w:t>
      </w:r>
      <w:r>
        <w:t>and w</w:t>
      </w:r>
      <w:r w:rsidRPr="008865B9">
        <w:t>e employ repex</w:t>
      </w:r>
      <w:r>
        <w:t xml:space="preserve"> </w:t>
      </w:r>
      <w:r w:rsidRPr="008865B9">
        <w:t xml:space="preserve">modelling </w:t>
      </w:r>
      <w:r>
        <w:t xml:space="preserve">as part of our assessment of </w:t>
      </w:r>
      <w:r w:rsidRPr="008865B9">
        <w:t xml:space="preserve">the proposed </w:t>
      </w:r>
      <w:r w:rsidR="00934244">
        <w:t xml:space="preserve">capex </w:t>
      </w:r>
      <w:r w:rsidRPr="008865B9">
        <w:t>replacement</w:t>
      </w:r>
      <w:r>
        <w:t xml:space="preserve">. This </w:t>
      </w:r>
      <w:proofErr w:type="gramStart"/>
      <w:r>
        <w:t xml:space="preserve">is </w:t>
      </w:r>
      <w:r w:rsidRPr="008865B9">
        <w:t xml:space="preserve"> discussed</w:t>
      </w:r>
      <w:proofErr w:type="gramEnd"/>
      <w:r w:rsidRPr="008865B9">
        <w:t xml:space="preserve"> further in attachment </w:t>
      </w:r>
      <w:r w:rsidR="003553EA">
        <w:t>6</w:t>
      </w:r>
      <w:r w:rsidRPr="008865B9">
        <w:t>.</w:t>
      </w:r>
      <w:r>
        <w:t xml:space="preserve">  </w:t>
      </w:r>
    </w:p>
    <w:p w:rsidR="006B3A32" w:rsidRPr="006A57CC" w:rsidRDefault="00D438CB" w:rsidP="006A57CC">
      <w:pPr>
        <w:spacing w:after="0" w:line="240" w:lineRule="auto"/>
        <w:jc w:val="left"/>
        <w:rPr>
          <w:rFonts w:eastAsia="Times New Roman"/>
          <w:b/>
          <w:bCs/>
          <w:szCs w:val="18"/>
        </w:rPr>
      </w:pPr>
      <w:r>
        <w:lastRenderedPageBreak/>
        <w:fldChar w:fldCharType="begin"/>
      </w:r>
      <w:r>
        <w:instrText xml:space="preserve"> REF _Ref397609299 \h </w:instrText>
      </w:r>
      <w:r>
        <w:fldChar w:fldCharType="separate"/>
      </w:r>
      <w:r w:rsidR="001F4E28">
        <w:t>Table 5</w:t>
      </w:r>
      <w:r w:rsidR="001F4E28">
        <w:noBreakHyphen/>
      </w:r>
      <w:r w:rsidR="001F4E28">
        <w:rPr>
          <w:noProof/>
        </w:rPr>
        <w:t>5</w:t>
      </w:r>
      <w:r>
        <w:fldChar w:fldCharType="end"/>
      </w:r>
      <w:r>
        <w:t xml:space="preserve"> and </w:t>
      </w:r>
      <w:r>
        <w:fldChar w:fldCharType="begin"/>
      </w:r>
      <w:r>
        <w:instrText xml:space="preserve"> REF _Ref397612831 \h </w:instrText>
      </w:r>
      <w:r>
        <w:fldChar w:fldCharType="separate"/>
      </w:r>
      <w:r w:rsidR="001F4E28">
        <w:t>Table 5</w:t>
      </w:r>
      <w:r w:rsidR="001F4E28">
        <w:noBreakHyphen/>
      </w:r>
      <w:r w:rsidR="001F4E28">
        <w:rPr>
          <w:noProof/>
        </w:rPr>
        <w:t>6</w:t>
      </w:r>
      <w:r>
        <w:fldChar w:fldCharType="end"/>
      </w:r>
      <w:r>
        <w:t xml:space="preserve"> </w:t>
      </w:r>
      <w:r w:rsidR="006B3A32" w:rsidRPr="006B3A32">
        <w:t xml:space="preserve">set out our draft decision on </w:t>
      </w:r>
      <w:r>
        <w:t xml:space="preserve">Ausgrid's </w:t>
      </w:r>
      <w:r w:rsidR="006B3A32" w:rsidRPr="006B3A32">
        <w:t>remaining asset lives for the 2014–19</w:t>
      </w:r>
      <w:r w:rsidR="00FF260F" w:rsidRPr="00FF260F">
        <w:t xml:space="preserve"> </w:t>
      </w:r>
      <w:r w:rsidR="00FF260F">
        <w:t>period</w:t>
      </w:r>
      <w:r>
        <w:t>, for its distribution and transmission networks</w:t>
      </w:r>
      <w:r w:rsidR="00CB3F99">
        <w:t xml:space="preserve"> respectively</w:t>
      </w:r>
      <w:r>
        <w:t>.</w:t>
      </w:r>
    </w:p>
    <w:p w:rsidR="005958F8" w:rsidRDefault="005958F8" w:rsidP="005958F8">
      <w:pPr>
        <w:pStyle w:val="Caption"/>
      </w:pPr>
      <w:bookmarkStart w:id="32" w:name="_Ref397609299"/>
      <w:bookmarkStart w:id="33" w:name="_Ref397609292"/>
      <w:r>
        <w:t xml:space="preserve">Table </w:t>
      </w:r>
      <w:r w:rsidR="007876B6">
        <w:t>5</w:t>
      </w:r>
      <w:r w:rsidR="00206261">
        <w:noBreakHyphen/>
      </w:r>
      <w:fldSimple w:instr=" SEQ Table \* ARABIC \s 1 ">
        <w:r w:rsidR="001F4E28">
          <w:rPr>
            <w:noProof/>
          </w:rPr>
          <w:t>5</w:t>
        </w:r>
      </w:fldSimple>
      <w:bookmarkEnd w:id="31"/>
      <w:bookmarkEnd w:id="32"/>
      <w:r>
        <w:tab/>
      </w:r>
      <w:r w:rsidRPr="005958F8">
        <w:t xml:space="preserve">AER's draft decision on </w:t>
      </w:r>
      <w:r w:rsidR="008B64D7">
        <w:t>Ausgrid</w:t>
      </w:r>
      <w:r w:rsidRPr="005958F8">
        <w:t>'s standard and remaining asset lives as at 1 July 2014 (years)</w:t>
      </w:r>
      <w:bookmarkEnd w:id="33"/>
      <w:r w:rsidR="00206261">
        <w:t xml:space="preserve"> </w:t>
      </w:r>
      <w:r w:rsidR="00FF260F">
        <w:t>–</w:t>
      </w:r>
      <w:r w:rsidR="00206261">
        <w:t xml:space="preserve"> distribution</w:t>
      </w:r>
    </w:p>
    <w:tbl>
      <w:tblPr>
        <w:tblStyle w:val="AERtable-numbers"/>
        <w:tblW w:w="4865" w:type="pct"/>
        <w:tblLayout w:type="fixed"/>
        <w:tblLook w:val="04A0" w:firstRow="1" w:lastRow="0" w:firstColumn="1" w:lastColumn="0" w:noHBand="0" w:noVBand="1"/>
      </w:tblPr>
      <w:tblGrid>
        <w:gridCol w:w="4219"/>
        <w:gridCol w:w="1985"/>
        <w:gridCol w:w="2788"/>
      </w:tblGrid>
      <w:tr w:rsidR="00206261" w:rsidRPr="005958F8" w:rsidTr="00FF26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hideMark/>
          </w:tcPr>
          <w:p w:rsidR="00206261" w:rsidRPr="005958F8" w:rsidRDefault="00206261" w:rsidP="005958F8">
            <w:pPr>
              <w:pStyle w:val="AERtabletextleft"/>
              <w:rPr>
                <w:lang w:eastAsia="en-AU"/>
              </w:rPr>
            </w:pPr>
            <w:r w:rsidRPr="005958F8">
              <w:rPr>
                <w:lang w:eastAsia="en-AU"/>
              </w:rPr>
              <w:t>Asset class</w:t>
            </w:r>
          </w:p>
        </w:tc>
        <w:tc>
          <w:tcPr>
            <w:tcW w:w="1104" w:type="pct"/>
            <w:noWrap/>
            <w:hideMark/>
          </w:tcPr>
          <w:p w:rsidR="00206261" w:rsidRPr="005958F8" w:rsidRDefault="00206261" w:rsidP="005958F8">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5958F8">
              <w:rPr>
                <w:lang w:eastAsia="en-AU"/>
              </w:rPr>
              <w:t xml:space="preserve">Standard asset life </w:t>
            </w:r>
          </w:p>
        </w:tc>
        <w:tc>
          <w:tcPr>
            <w:tcW w:w="1550" w:type="pct"/>
            <w:noWrap/>
            <w:hideMark/>
          </w:tcPr>
          <w:p w:rsidR="00405AF8" w:rsidRDefault="00206261" w:rsidP="00FF260F">
            <w:pPr>
              <w:pStyle w:val="AERtabletextright"/>
              <w:cnfStyle w:val="100000000000" w:firstRow="1" w:lastRow="0" w:firstColumn="0" w:lastColumn="0" w:oddVBand="0" w:evenVBand="0" w:oddHBand="0" w:evenHBand="0" w:firstRowFirstColumn="0" w:firstRowLastColumn="0" w:lastRowFirstColumn="0" w:lastRowLastColumn="0"/>
            </w:pPr>
            <w:r w:rsidRPr="005958F8">
              <w:rPr>
                <w:lang w:eastAsia="en-AU"/>
              </w:rPr>
              <w:t xml:space="preserve">Remaining asset life </w:t>
            </w:r>
            <w:r w:rsidR="00FF260F">
              <w:t xml:space="preserve"> </w:t>
            </w:r>
            <w:r w:rsidRPr="005958F8">
              <w:rPr>
                <w:lang w:eastAsia="en-AU"/>
              </w:rPr>
              <w:t xml:space="preserve">as at </w:t>
            </w:r>
          </w:p>
          <w:p w:rsidR="00206261" w:rsidRPr="005958F8" w:rsidRDefault="00206261" w:rsidP="00FF260F">
            <w:pPr>
              <w:pStyle w:val="AERtabletextright"/>
              <w:cnfStyle w:val="100000000000" w:firstRow="1" w:lastRow="0" w:firstColumn="0" w:lastColumn="0" w:oddVBand="0" w:evenVBand="0" w:oddHBand="0" w:evenHBand="0" w:firstRowFirstColumn="0" w:firstRowLastColumn="0" w:lastRowFirstColumn="0" w:lastRowLastColumn="0"/>
            </w:pPr>
            <w:r w:rsidRPr="005958F8">
              <w:rPr>
                <w:lang w:eastAsia="en-AU"/>
              </w:rPr>
              <w:t xml:space="preserve">1 July 2014 </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rPr>
                <w:lang w:eastAsia="en-AU"/>
              </w:rPr>
            </w:pPr>
            <w:r>
              <w:t>Sub-transmission lines and cables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46.3</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32.</w:t>
            </w:r>
            <w:r w:rsidR="00EB5D6C">
              <w:t>9</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Cable tunnel (dx)</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70.0</w:t>
            </w:r>
          </w:p>
        </w:tc>
        <w:tc>
          <w:tcPr>
            <w:tcW w:w="1550" w:type="pct"/>
            <w:noWrap/>
          </w:tcPr>
          <w:p w:rsidR="00206261" w:rsidRPr="005958F8" w:rsidRDefault="00D438CB"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67.4</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pPr>
            <w:r>
              <w:t>Distribution lines and cables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58.0</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46.8</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rPr>
                <w:lang w:eastAsia="en-AU"/>
              </w:rPr>
            </w:pPr>
            <w:r>
              <w:t>Substations</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46.8</w:t>
            </w:r>
          </w:p>
        </w:tc>
        <w:tc>
          <w:tcPr>
            <w:tcW w:w="1550" w:type="pct"/>
            <w:noWrap/>
          </w:tcPr>
          <w:p w:rsidR="00206261" w:rsidRPr="005958F8" w:rsidRDefault="00D438CB"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34.8</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Transformers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45.9</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30.</w:t>
            </w:r>
            <w:r w:rsidR="00EB5D6C">
              <w:t>5</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Low voltage lines and cables</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52.</w:t>
            </w:r>
            <w:r w:rsidR="00EB5D6C">
              <w:t>1</w:t>
            </w:r>
          </w:p>
        </w:tc>
        <w:tc>
          <w:tcPr>
            <w:tcW w:w="1550" w:type="pct"/>
            <w:noWrap/>
          </w:tcPr>
          <w:p w:rsidR="00206261" w:rsidRPr="005958F8" w:rsidRDefault="00EB5D6C"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40.0</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rPr>
                <w:lang w:eastAsia="en-AU"/>
              </w:rPr>
            </w:pPr>
            <w:r>
              <w:t>Customer metering and load control</w:t>
            </w:r>
          </w:p>
        </w:tc>
        <w:tc>
          <w:tcPr>
            <w:tcW w:w="1104" w:type="pct"/>
            <w:noWrap/>
          </w:tcPr>
          <w:p w:rsidR="00206261" w:rsidRPr="005958F8" w:rsidRDefault="00206261" w:rsidP="005958F8">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25.00</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14.5</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Communications (digital) - dx</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10.0</w:t>
            </w:r>
          </w:p>
        </w:tc>
        <w:tc>
          <w:tcPr>
            <w:tcW w:w="1550" w:type="pct"/>
            <w:noWrap/>
          </w:tcPr>
          <w:p w:rsidR="00206261" w:rsidRPr="005958F8" w:rsidRDefault="00D438CB"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5.6</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Total communications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10.2</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3.</w:t>
            </w:r>
            <w:r w:rsidR="00EB5D6C">
              <w:t>1</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Systems IT (dx)</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7.0</w:t>
            </w:r>
          </w:p>
        </w:tc>
        <w:tc>
          <w:tcPr>
            <w:tcW w:w="1550" w:type="pct"/>
            <w:noWrap/>
          </w:tcPr>
          <w:p w:rsidR="00206261" w:rsidRPr="005958F8" w:rsidRDefault="00D438CB"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4.</w:t>
            </w:r>
            <w:r w:rsidR="00EB5D6C">
              <w:t>9</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rPr>
                <w:lang w:eastAsia="en-AU"/>
              </w:rPr>
            </w:pPr>
            <w:r>
              <w:t>Ancillary substation equipment (dx)</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15.0</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12.4</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Land and easements</w:t>
            </w:r>
          </w:p>
        </w:tc>
        <w:tc>
          <w:tcPr>
            <w:tcW w:w="1104" w:type="pct"/>
            <w:noWrap/>
          </w:tcPr>
          <w:p w:rsidR="00206261" w:rsidRPr="005958F8" w:rsidRDefault="00206261"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1550" w:type="pct"/>
            <w:noWrap/>
          </w:tcPr>
          <w:p w:rsidR="00206261" w:rsidRPr="005958F8" w:rsidRDefault="00D438CB"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Furniture, fittings, plant and equipment</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17.4</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12.5</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Land (non-system)</w:t>
            </w:r>
          </w:p>
        </w:tc>
        <w:tc>
          <w:tcPr>
            <w:tcW w:w="1104" w:type="pct"/>
            <w:noWrap/>
          </w:tcPr>
          <w:p w:rsidR="00206261" w:rsidRPr="005958F8" w:rsidRDefault="00206261"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c>
          <w:tcPr>
            <w:tcW w:w="1550" w:type="pct"/>
            <w:noWrap/>
          </w:tcPr>
          <w:p w:rsidR="00206261" w:rsidRPr="005958F8" w:rsidRDefault="00D438CB" w:rsidP="005958F8">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n/a</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6B3A32">
            <w:pPr>
              <w:pStyle w:val="AERtabletextleft"/>
              <w:rPr>
                <w:lang w:eastAsia="en-AU"/>
              </w:rPr>
            </w:pPr>
            <w:r>
              <w:t>Other non-system assets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29.4</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7.</w:t>
            </w:r>
            <w:r w:rsidR="00EB5D6C">
              <w:t>7</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 xml:space="preserve">IT systems </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5.0</w:t>
            </w:r>
          </w:p>
        </w:tc>
        <w:tc>
          <w:tcPr>
            <w:tcW w:w="1550" w:type="pct"/>
            <w:noWrap/>
          </w:tcPr>
          <w:p w:rsidR="00206261" w:rsidRPr="005958F8" w:rsidRDefault="00D438CB"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3.3</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Motor vehicles</w:t>
            </w:r>
          </w:p>
        </w:tc>
        <w:tc>
          <w:tcPr>
            <w:tcW w:w="1104" w:type="pct"/>
            <w:noWrap/>
          </w:tcPr>
          <w:p w:rsidR="00206261" w:rsidRPr="005958F8" w:rsidRDefault="00206261"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10.2</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6.3</w:t>
            </w:r>
          </w:p>
        </w:tc>
      </w:tr>
      <w:tr w:rsidR="00206261" w:rsidRPr="005958F8" w:rsidTr="00FF260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Buildings</w:t>
            </w:r>
          </w:p>
        </w:tc>
        <w:tc>
          <w:tcPr>
            <w:tcW w:w="1104" w:type="pct"/>
            <w:noWrap/>
          </w:tcPr>
          <w:p w:rsidR="00206261" w:rsidRPr="005958F8" w:rsidRDefault="00206261"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35.9</w:t>
            </w:r>
          </w:p>
        </w:tc>
        <w:tc>
          <w:tcPr>
            <w:tcW w:w="1550" w:type="pct"/>
            <w:noWrap/>
          </w:tcPr>
          <w:p w:rsidR="00206261" w:rsidRPr="005958F8" w:rsidRDefault="00EB5D6C" w:rsidP="00EB5D6C">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t>30.0</w:t>
            </w:r>
          </w:p>
        </w:tc>
      </w:tr>
      <w:tr w:rsidR="00206261" w:rsidRPr="005958F8" w:rsidTr="00FF260F">
        <w:trPr>
          <w:trHeight w:val="300"/>
        </w:trPr>
        <w:tc>
          <w:tcPr>
            <w:cnfStyle w:val="001000000000" w:firstRow="0" w:lastRow="0" w:firstColumn="1" w:lastColumn="0" w:oddVBand="0" w:evenVBand="0" w:oddHBand="0" w:evenHBand="0" w:firstRowFirstColumn="0" w:firstRowLastColumn="0" w:lastRowFirstColumn="0" w:lastRowLastColumn="0"/>
            <w:tcW w:w="2346" w:type="pct"/>
            <w:noWrap/>
          </w:tcPr>
          <w:p w:rsidR="00206261" w:rsidRPr="005958F8" w:rsidRDefault="00206261" w:rsidP="005958F8">
            <w:pPr>
              <w:pStyle w:val="AERtabletextleft"/>
              <w:rPr>
                <w:lang w:eastAsia="en-AU"/>
              </w:rPr>
            </w:pPr>
            <w:r>
              <w:t>Equity raising costs</w:t>
            </w:r>
          </w:p>
        </w:tc>
        <w:tc>
          <w:tcPr>
            <w:tcW w:w="1104" w:type="pct"/>
            <w:noWrap/>
          </w:tcPr>
          <w:p w:rsidR="00206261" w:rsidRPr="005958F8" w:rsidRDefault="0091236F"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w:t>
            </w:r>
            <w:r w:rsidR="00272957">
              <w:t>7</w:t>
            </w:r>
            <w:r>
              <w:t>.</w:t>
            </w:r>
            <w:r w:rsidR="00272957">
              <w:t>4</w:t>
            </w:r>
          </w:p>
        </w:tc>
        <w:tc>
          <w:tcPr>
            <w:tcW w:w="1550" w:type="pct"/>
            <w:noWrap/>
          </w:tcPr>
          <w:p w:rsidR="00206261" w:rsidRPr="005958F8" w:rsidRDefault="00D438CB" w:rsidP="00EB5D6C">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t>43.4</w:t>
            </w:r>
          </w:p>
        </w:tc>
      </w:tr>
    </w:tbl>
    <w:p w:rsidR="005958F8" w:rsidRPr="005958F8" w:rsidRDefault="005958F8" w:rsidP="005958F8">
      <w:pPr>
        <w:pStyle w:val="AERtablesource"/>
      </w:pPr>
      <w:r w:rsidRPr="005958F8">
        <w:t>Source:</w:t>
      </w:r>
      <w:r w:rsidRPr="005958F8">
        <w:tab/>
        <w:t xml:space="preserve">AER analysis. </w:t>
      </w:r>
    </w:p>
    <w:p w:rsidR="005958F8" w:rsidRDefault="005958F8" w:rsidP="005958F8">
      <w:pPr>
        <w:pStyle w:val="AERtablesource"/>
      </w:pPr>
      <w:r w:rsidRPr="005958F8">
        <w:t xml:space="preserve">n/a: </w:t>
      </w:r>
      <w:r w:rsidRPr="005958F8">
        <w:tab/>
        <w:t xml:space="preserve">not applicable. </w:t>
      </w:r>
    </w:p>
    <w:p w:rsidR="00206261" w:rsidRPr="00206261" w:rsidRDefault="00206261" w:rsidP="00206261">
      <w:pPr>
        <w:pStyle w:val="Caption"/>
      </w:pPr>
      <w:bookmarkStart w:id="34" w:name="_Ref397612831"/>
      <w:r>
        <w:t xml:space="preserve">Table </w:t>
      </w:r>
      <w:r w:rsidR="007876B6">
        <w:t>5</w:t>
      </w:r>
      <w:r>
        <w:noBreakHyphen/>
      </w:r>
      <w:fldSimple w:instr=" SEQ Table \* ARABIC \s 1 ">
        <w:r w:rsidR="001F4E28">
          <w:rPr>
            <w:noProof/>
          </w:rPr>
          <w:t>6</w:t>
        </w:r>
      </w:fldSimple>
      <w:bookmarkEnd w:id="34"/>
      <w:r>
        <w:tab/>
      </w:r>
      <w:r w:rsidRPr="00206261">
        <w:t xml:space="preserve">AER's draft decision on Ausgrid's standard and remaining asset lives as at 1 July 2014 (years) </w:t>
      </w:r>
      <w:r w:rsidR="00FF260F">
        <w:t>–</w:t>
      </w:r>
      <w:r w:rsidRPr="00206261">
        <w:t xml:space="preserve"> </w:t>
      </w:r>
      <w:r>
        <w:t>transmission</w:t>
      </w:r>
      <w:r>
        <w:tab/>
      </w:r>
    </w:p>
    <w:tbl>
      <w:tblPr>
        <w:tblStyle w:val="AERtable-numbers"/>
        <w:tblW w:w="4865" w:type="pct"/>
        <w:tblLayout w:type="fixed"/>
        <w:tblLook w:val="04A0" w:firstRow="1" w:lastRow="0" w:firstColumn="1" w:lastColumn="0" w:noHBand="0" w:noVBand="1"/>
      </w:tblPr>
      <w:tblGrid>
        <w:gridCol w:w="4077"/>
        <w:gridCol w:w="2268"/>
        <w:gridCol w:w="2647"/>
      </w:tblGrid>
      <w:tr w:rsidR="00206261" w:rsidRPr="005958F8" w:rsidTr="00405AF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hideMark/>
          </w:tcPr>
          <w:p w:rsidR="00206261" w:rsidRPr="00206261" w:rsidRDefault="00206261" w:rsidP="00206261">
            <w:pPr>
              <w:pStyle w:val="AERtabletextleft"/>
            </w:pPr>
            <w:r w:rsidRPr="00206261">
              <w:t>Asset class</w:t>
            </w:r>
          </w:p>
        </w:tc>
        <w:tc>
          <w:tcPr>
            <w:tcW w:w="1261" w:type="pct"/>
            <w:noWrap/>
            <w:hideMark/>
          </w:tcPr>
          <w:p w:rsidR="00206261" w:rsidRPr="00206261" w:rsidRDefault="00206261" w:rsidP="00206261">
            <w:pPr>
              <w:pStyle w:val="AERtabletextright"/>
              <w:cnfStyle w:val="100000000000" w:firstRow="1" w:lastRow="0" w:firstColumn="0" w:lastColumn="0" w:oddVBand="0" w:evenVBand="0" w:oddHBand="0" w:evenHBand="0" w:firstRowFirstColumn="0" w:firstRowLastColumn="0" w:lastRowFirstColumn="0" w:lastRowLastColumn="0"/>
            </w:pPr>
            <w:r w:rsidRPr="00206261">
              <w:t xml:space="preserve">Standard asset life </w:t>
            </w:r>
          </w:p>
        </w:tc>
        <w:tc>
          <w:tcPr>
            <w:tcW w:w="1472" w:type="pct"/>
            <w:noWrap/>
            <w:hideMark/>
          </w:tcPr>
          <w:p w:rsidR="00405AF8" w:rsidRDefault="00405AF8" w:rsidP="00405AF8">
            <w:pPr>
              <w:pStyle w:val="AERtabletextright"/>
              <w:cnfStyle w:val="100000000000" w:firstRow="1" w:lastRow="0" w:firstColumn="0" w:lastColumn="0" w:oddVBand="0" w:evenVBand="0" w:oddHBand="0" w:evenHBand="0" w:firstRowFirstColumn="0" w:firstRowLastColumn="0" w:lastRowFirstColumn="0" w:lastRowLastColumn="0"/>
            </w:pPr>
            <w:r>
              <w:t xml:space="preserve">Remaining asset life </w:t>
            </w:r>
            <w:r w:rsidR="00206261" w:rsidRPr="00206261">
              <w:t xml:space="preserve">as at </w:t>
            </w:r>
          </w:p>
          <w:p w:rsidR="00206261" w:rsidRPr="00206261" w:rsidRDefault="00206261" w:rsidP="00405AF8">
            <w:pPr>
              <w:pStyle w:val="AERtabletextright"/>
              <w:cnfStyle w:val="100000000000" w:firstRow="1" w:lastRow="0" w:firstColumn="0" w:lastColumn="0" w:oddVBand="0" w:evenVBand="0" w:oddHBand="0" w:evenHBand="0" w:firstRowFirstColumn="0" w:firstRowLastColumn="0" w:lastRowFirstColumn="0" w:lastRowLastColumn="0"/>
            </w:pPr>
            <w:r w:rsidRPr="00206261">
              <w:t xml:space="preserve">1 July 2014 </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405AF8">
            <w:pPr>
              <w:pStyle w:val="AERtabletextleft"/>
            </w:pPr>
            <w:r>
              <w:t>T</w:t>
            </w:r>
            <w:r w:rsidRPr="00206261">
              <w:t xml:space="preserve">ransmission </w:t>
            </w:r>
            <w:r>
              <w:t xml:space="preserve">&amp; </w:t>
            </w:r>
            <w:r w:rsidR="00405AF8">
              <w:t>z</w:t>
            </w:r>
            <w:r>
              <w:t>one land and easements</w:t>
            </w:r>
          </w:p>
        </w:tc>
        <w:tc>
          <w:tcPr>
            <w:tcW w:w="1261" w:type="pct"/>
            <w:noWrap/>
          </w:tcPr>
          <w:p w:rsidR="00206261" w:rsidRPr="00206261" w:rsidRDefault="00206261" w:rsidP="00206261">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472" w:type="pct"/>
            <w:noWrap/>
          </w:tcPr>
          <w:p w:rsidR="00206261" w:rsidRPr="00206261" w:rsidRDefault="00D438CB" w:rsidP="00206261">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Transmission buildings 132/66kV</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60.0</w:t>
            </w:r>
          </w:p>
        </w:tc>
        <w:tc>
          <w:tcPr>
            <w:tcW w:w="1472" w:type="pct"/>
            <w:noWrap/>
          </w:tcPr>
          <w:p w:rsidR="00206261" w:rsidRPr="00206261" w:rsidRDefault="00D438CB" w:rsidP="00416ADC">
            <w:pPr>
              <w:pStyle w:val="AERtabletextright"/>
              <w:cnfStyle w:val="000000010000" w:firstRow="0" w:lastRow="0" w:firstColumn="0" w:lastColumn="0" w:oddVBand="0" w:evenVBand="0" w:oddHBand="0" w:evenHBand="1" w:firstRowFirstColumn="0" w:firstRowLastColumn="0" w:lastRowFirstColumn="0" w:lastRowLastColumn="0"/>
            </w:pPr>
            <w:r>
              <w:t>45.9</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Zone buildings 132/66kV</w:t>
            </w:r>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1472" w:type="pct"/>
            <w:noWrap/>
          </w:tcPr>
          <w:p w:rsidR="00206261" w:rsidRPr="00206261" w:rsidRDefault="00D438CB" w:rsidP="00416ADC">
            <w:pPr>
              <w:pStyle w:val="AERtabletextright"/>
              <w:cnfStyle w:val="000000000000" w:firstRow="0" w:lastRow="0" w:firstColumn="0" w:lastColumn="0" w:oddVBand="0" w:evenVBand="0" w:oddHBand="0" w:evenHBand="0" w:firstRowFirstColumn="0" w:firstRowLastColumn="0" w:lastRowFirstColumn="0" w:lastRowLastColumn="0"/>
            </w:pPr>
            <w:r>
              <w:t>50.0</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Transmission transformers 132/66kV</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50.0</w:t>
            </w:r>
          </w:p>
        </w:tc>
        <w:tc>
          <w:tcPr>
            <w:tcW w:w="1472" w:type="pct"/>
            <w:noWrap/>
          </w:tcPr>
          <w:p w:rsidR="00206261" w:rsidRPr="00206261" w:rsidRDefault="00D438CB" w:rsidP="00416ADC">
            <w:pPr>
              <w:pStyle w:val="AERtabletextright"/>
              <w:cnfStyle w:val="000000010000" w:firstRow="0" w:lastRow="0" w:firstColumn="0" w:lastColumn="0" w:oddVBand="0" w:evenVBand="0" w:oddHBand="0" w:evenHBand="1" w:firstRowFirstColumn="0" w:firstRowLastColumn="0" w:lastRowFirstColumn="0" w:lastRowLastColumn="0"/>
            </w:pPr>
            <w:r>
              <w:t>36.9</w:t>
            </w:r>
          </w:p>
        </w:tc>
      </w:tr>
      <w:tr w:rsidR="00D35BD8"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D35BD8" w:rsidRDefault="00D35BD8" w:rsidP="00206261">
            <w:pPr>
              <w:pStyle w:val="AERtabletextleft"/>
            </w:pPr>
            <w:r>
              <w:lastRenderedPageBreak/>
              <w:t>Zone transformers 132/66kV</w:t>
            </w:r>
          </w:p>
        </w:tc>
        <w:tc>
          <w:tcPr>
            <w:tcW w:w="1261" w:type="pct"/>
            <w:noWrap/>
          </w:tcPr>
          <w:p w:rsidR="00D35BD8" w:rsidRDefault="00D35BD8" w:rsidP="00416ADC">
            <w:pPr>
              <w:pStyle w:val="AERtabletextright"/>
              <w:cnfStyle w:val="000000000000" w:firstRow="0" w:lastRow="0" w:firstColumn="0" w:lastColumn="0" w:oddVBand="0" w:evenVBand="0" w:oddHBand="0" w:evenHBand="0" w:firstRowFirstColumn="0" w:firstRowLastColumn="0" w:lastRowFirstColumn="0" w:lastRowLastColumn="0"/>
            </w:pPr>
            <w:r>
              <w:t>50.0</w:t>
            </w:r>
          </w:p>
        </w:tc>
        <w:tc>
          <w:tcPr>
            <w:tcW w:w="1472" w:type="pct"/>
            <w:noWrap/>
          </w:tcPr>
          <w:p w:rsidR="00D35BD8" w:rsidRDefault="00D35BD8" w:rsidP="00416ADC">
            <w:pPr>
              <w:pStyle w:val="AERtabletextright"/>
              <w:cnfStyle w:val="000000000000" w:firstRow="0" w:lastRow="0" w:firstColumn="0" w:lastColumn="0" w:oddVBand="0" w:evenVBand="0" w:oddHBand="0" w:evenHBand="0" w:firstRowFirstColumn="0" w:firstRowLastColumn="0" w:lastRowFirstColumn="0" w:lastRowLastColumn="0"/>
            </w:pPr>
            <w:r>
              <w:t>34.0</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Transmission substation equipment 132/66kV</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45.0</w:t>
            </w:r>
          </w:p>
        </w:tc>
        <w:tc>
          <w:tcPr>
            <w:tcW w:w="1472" w:type="pct"/>
            <w:noWrap/>
          </w:tcPr>
          <w:p w:rsidR="00206261" w:rsidRPr="00206261" w:rsidRDefault="00D438CB" w:rsidP="00416ADC">
            <w:pPr>
              <w:pStyle w:val="AERtabletextright"/>
              <w:cnfStyle w:val="000000010000" w:firstRow="0" w:lastRow="0" w:firstColumn="0" w:lastColumn="0" w:oddVBand="0" w:evenVBand="0" w:oddHBand="0" w:evenHBand="1" w:firstRowFirstColumn="0" w:firstRowLastColumn="0" w:lastRowFirstColumn="0" w:lastRowLastColumn="0"/>
            </w:pPr>
            <w:r>
              <w:t>34.0</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Zone substation equipment 132/66kV</w:t>
            </w:r>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45.0</w:t>
            </w:r>
          </w:p>
        </w:tc>
        <w:tc>
          <w:tcPr>
            <w:tcW w:w="1472" w:type="pct"/>
            <w:noWrap/>
          </w:tcPr>
          <w:p w:rsidR="00206261" w:rsidRPr="00206261" w:rsidRDefault="00D438CB" w:rsidP="00416ADC">
            <w:pPr>
              <w:pStyle w:val="AERtabletextright"/>
              <w:cnfStyle w:val="000000000000" w:firstRow="0" w:lastRow="0" w:firstColumn="0" w:lastColumn="0" w:oddVBand="0" w:evenVBand="0" w:oddHBand="0" w:evenHBand="0" w:firstRowFirstColumn="0" w:firstRowLastColumn="0" w:lastRowFirstColumn="0" w:lastRowLastColumn="0"/>
            </w:pPr>
            <w:r>
              <w:t>3</w:t>
            </w:r>
            <w:r w:rsidR="00A36CEB">
              <w:t>7.</w:t>
            </w:r>
            <w:r w:rsidR="00416ADC">
              <w:t>7</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Ancillary substation equipment (</w:t>
            </w:r>
            <w:proofErr w:type="spellStart"/>
            <w:r>
              <w:t>tx</w:t>
            </w:r>
            <w:proofErr w:type="spellEnd"/>
            <w:r>
              <w:t>)</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15.0</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13.</w:t>
            </w:r>
            <w:r w:rsidR="00416ADC">
              <w:t>9</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132kV tower lines</w:t>
            </w:r>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42.</w:t>
            </w:r>
            <w:r w:rsidR="00416ADC">
              <w:t>5</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 xml:space="preserve">132kV concrete &amp; steel pole lines </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55.0</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46.8</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132kV wood pole lines</w:t>
            </w:r>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45.0</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30.</w:t>
            </w:r>
            <w:r w:rsidR="00416ADC">
              <w:t>2</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132kV feeders underground</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45.0</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36.6</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Cable tunnel (</w:t>
            </w:r>
            <w:proofErr w:type="spellStart"/>
            <w:r>
              <w:t>tx</w:t>
            </w:r>
            <w:proofErr w:type="spellEnd"/>
            <w:r>
              <w:t>)</w:t>
            </w:r>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70.0</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60.1</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Network control &amp; com systems</w:t>
            </w:r>
          </w:p>
        </w:tc>
        <w:tc>
          <w:tcPr>
            <w:tcW w:w="1261" w:type="pct"/>
            <w:noWrap/>
          </w:tcPr>
          <w:p w:rsidR="00206261" w:rsidRPr="00206261" w:rsidRDefault="00206261" w:rsidP="00416ADC">
            <w:pPr>
              <w:pStyle w:val="AERtabletextright"/>
              <w:cnfStyle w:val="000000010000" w:firstRow="0" w:lastRow="0" w:firstColumn="0" w:lastColumn="0" w:oddVBand="0" w:evenVBand="0" w:oddHBand="0" w:evenHBand="1" w:firstRowFirstColumn="0" w:firstRowLastColumn="0" w:lastRowFirstColumn="0" w:lastRowLastColumn="0"/>
            </w:pPr>
            <w:r>
              <w:t>37.2</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17.</w:t>
            </w:r>
            <w:r w:rsidR="00416ADC">
              <w:t>5</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206261" w:rsidP="00206261">
            <w:pPr>
              <w:pStyle w:val="AERtabletextleft"/>
            </w:pPr>
            <w:r>
              <w:t xml:space="preserve">Communications (digital) - </w:t>
            </w:r>
            <w:proofErr w:type="spellStart"/>
            <w:r>
              <w:t>tx</w:t>
            </w:r>
            <w:proofErr w:type="spellEnd"/>
          </w:p>
        </w:tc>
        <w:tc>
          <w:tcPr>
            <w:tcW w:w="1261" w:type="pct"/>
            <w:noWrap/>
          </w:tcPr>
          <w:p w:rsidR="00206261" w:rsidRPr="00206261" w:rsidRDefault="00206261" w:rsidP="00416ADC">
            <w:pPr>
              <w:pStyle w:val="AERtabletextright"/>
              <w:cnfStyle w:val="000000000000" w:firstRow="0" w:lastRow="0" w:firstColumn="0" w:lastColumn="0" w:oddVBand="0" w:evenVBand="0" w:oddHBand="0" w:evenHBand="0" w:firstRowFirstColumn="0" w:firstRowLastColumn="0" w:lastRowFirstColumn="0" w:lastRowLastColumn="0"/>
            </w:pPr>
            <w:r>
              <w:t>10.0</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7.9</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Systems IT - (</w:t>
            </w:r>
            <w:proofErr w:type="spellStart"/>
            <w:r>
              <w:t>tx</w:t>
            </w:r>
            <w:proofErr w:type="spellEnd"/>
            <w:r>
              <w:t>)</w:t>
            </w:r>
          </w:p>
        </w:tc>
        <w:tc>
          <w:tcPr>
            <w:tcW w:w="1261" w:type="pct"/>
            <w:noWrap/>
          </w:tcPr>
          <w:p w:rsidR="00206261" w:rsidRPr="00206261" w:rsidRDefault="000C1271" w:rsidP="00416ADC">
            <w:pPr>
              <w:pStyle w:val="AERtabletextright"/>
              <w:cnfStyle w:val="000000010000" w:firstRow="0" w:lastRow="0" w:firstColumn="0" w:lastColumn="0" w:oddVBand="0" w:evenVBand="0" w:oddHBand="0" w:evenHBand="1" w:firstRowFirstColumn="0" w:firstRowLastColumn="0" w:lastRowFirstColumn="0" w:lastRowLastColumn="0"/>
            </w:pPr>
            <w:r>
              <w:t>7.0</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4.</w:t>
            </w:r>
            <w:r w:rsidR="00416ADC">
              <w:t>8</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 xml:space="preserve">IT systems </w:t>
            </w:r>
          </w:p>
        </w:tc>
        <w:tc>
          <w:tcPr>
            <w:tcW w:w="1261" w:type="pct"/>
            <w:noWrap/>
          </w:tcPr>
          <w:p w:rsidR="00206261" w:rsidRPr="00206261" w:rsidRDefault="000C1271" w:rsidP="00416ADC">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3.3</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Furniture, fittings, plant &amp; equipment</w:t>
            </w:r>
          </w:p>
        </w:tc>
        <w:tc>
          <w:tcPr>
            <w:tcW w:w="1261" w:type="pct"/>
            <w:noWrap/>
          </w:tcPr>
          <w:p w:rsidR="00206261" w:rsidRPr="00206261" w:rsidRDefault="000C1271" w:rsidP="00416ADC">
            <w:pPr>
              <w:pStyle w:val="AERtabletextright"/>
              <w:cnfStyle w:val="000000010000" w:firstRow="0" w:lastRow="0" w:firstColumn="0" w:lastColumn="0" w:oddVBand="0" w:evenVBand="0" w:oddHBand="0" w:evenHBand="1" w:firstRowFirstColumn="0" w:firstRowLastColumn="0" w:lastRowFirstColumn="0" w:lastRowLastColumn="0"/>
            </w:pPr>
            <w:r>
              <w:t>17.4</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12.5</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Motor vehicles</w:t>
            </w:r>
          </w:p>
        </w:tc>
        <w:tc>
          <w:tcPr>
            <w:tcW w:w="1261" w:type="pct"/>
            <w:noWrap/>
          </w:tcPr>
          <w:p w:rsidR="00206261" w:rsidRPr="00206261" w:rsidRDefault="000C1271" w:rsidP="00416ADC">
            <w:pPr>
              <w:pStyle w:val="AERtabletextright"/>
              <w:cnfStyle w:val="000000000000" w:firstRow="0" w:lastRow="0" w:firstColumn="0" w:lastColumn="0" w:oddVBand="0" w:evenVBand="0" w:oddHBand="0" w:evenHBand="0" w:firstRowFirstColumn="0" w:firstRowLastColumn="0" w:lastRowFirstColumn="0" w:lastRowLastColumn="0"/>
            </w:pPr>
            <w:r>
              <w:t>10.2</w:t>
            </w:r>
          </w:p>
        </w:tc>
        <w:tc>
          <w:tcPr>
            <w:tcW w:w="1472" w:type="pct"/>
            <w:noWrap/>
          </w:tcPr>
          <w:p w:rsidR="0020626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6.3</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Buildings</w:t>
            </w:r>
          </w:p>
        </w:tc>
        <w:tc>
          <w:tcPr>
            <w:tcW w:w="1261" w:type="pct"/>
            <w:noWrap/>
          </w:tcPr>
          <w:p w:rsidR="00206261" w:rsidRPr="00206261" w:rsidRDefault="000C1271" w:rsidP="00416ADC">
            <w:pPr>
              <w:pStyle w:val="AERtabletextright"/>
              <w:cnfStyle w:val="000000010000" w:firstRow="0" w:lastRow="0" w:firstColumn="0" w:lastColumn="0" w:oddVBand="0" w:evenVBand="0" w:oddHBand="0" w:evenHBand="1" w:firstRowFirstColumn="0" w:firstRowLastColumn="0" w:lastRowFirstColumn="0" w:lastRowLastColumn="0"/>
            </w:pPr>
            <w:r>
              <w:t>35.9</w:t>
            </w:r>
          </w:p>
        </w:tc>
        <w:tc>
          <w:tcPr>
            <w:tcW w:w="1472" w:type="pct"/>
            <w:noWrap/>
          </w:tcPr>
          <w:p w:rsidR="00206261" w:rsidRPr="00206261" w:rsidRDefault="00416ADC" w:rsidP="00416ADC">
            <w:pPr>
              <w:pStyle w:val="AERtabletextright"/>
              <w:cnfStyle w:val="000000010000" w:firstRow="0" w:lastRow="0" w:firstColumn="0" w:lastColumn="0" w:oddVBand="0" w:evenVBand="0" w:oddHBand="0" w:evenHBand="1" w:firstRowFirstColumn="0" w:firstRowLastColumn="0" w:lastRowFirstColumn="0" w:lastRowLastColumn="0"/>
            </w:pPr>
            <w:r>
              <w:t>30.0</w:t>
            </w:r>
          </w:p>
        </w:tc>
      </w:tr>
      <w:tr w:rsidR="0020626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0C1271" w:rsidP="00206261">
            <w:pPr>
              <w:pStyle w:val="AERtabletextleft"/>
            </w:pPr>
            <w:r>
              <w:t>Land (non-system)</w:t>
            </w:r>
          </w:p>
        </w:tc>
        <w:tc>
          <w:tcPr>
            <w:tcW w:w="1261" w:type="pct"/>
            <w:noWrap/>
          </w:tcPr>
          <w:p w:rsidR="00206261" w:rsidRPr="00206261" w:rsidRDefault="000C1271" w:rsidP="00206261">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1472" w:type="pct"/>
            <w:noWrap/>
          </w:tcPr>
          <w:p w:rsidR="00206261" w:rsidRPr="00206261" w:rsidRDefault="00A36CEB" w:rsidP="00206261">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206261" w:rsidRPr="005958F8" w:rsidTr="00405A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206261" w:rsidRPr="00206261" w:rsidRDefault="00363EC1" w:rsidP="00363EC1">
            <w:pPr>
              <w:pStyle w:val="AERtabletextleft"/>
            </w:pPr>
            <w:r>
              <w:t>Other non-system assets</w:t>
            </w:r>
          </w:p>
        </w:tc>
        <w:tc>
          <w:tcPr>
            <w:tcW w:w="1261" w:type="pct"/>
            <w:noWrap/>
          </w:tcPr>
          <w:p w:rsidR="00206261" w:rsidRPr="00206261" w:rsidRDefault="00363EC1" w:rsidP="00416ADC">
            <w:pPr>
              <w:pStyle w:val="AERtabletextright"/>
              <w:cnfStyle w:val="000000010000" w:firstRow="0" w:lastRow="0" w:firstColumn="0" w:lastColumn="0" w:oddVBand="0" w:evenVBand="0" w:oddHBand="0" w:evenHBand="1" w:firstRowFirstColumn="0" w:firstRowLastColumn="0" w:lastRowFirstColumn="0" w:lastRowLastColumn="0"/>
            </w:pPr>
            <w:r>
              <w:t>29.4</w:t>
            </w:r>
          </w:p>
        </w:tc>
        <w:tc>
          <w:tcPr>
            <w:tcW w:w="1472" w:type="pct"/>
            <w:noWrap/>
          </w:tcPr>
          <w:p w:rsidR="00206261" w:rsidRPr="00206261" w:rsidRDefault="00A36CEB" w:rsidP="00416ADC">
            <w:pPr>
              <w:pStyle w:val="AERtabletextright"/>
              <w:cnfStyle w:val="000000010000" w:firstRow="0" w:lastRow="0" w:firstColumn="0" w:lastColumn="0" w:oddVBand="0" w:evenVBand="0" w:oddHBand="0" w:evenHBand="1" w:firstRowFirstColumn="0" w:firstRowLastColumn="0" w:lastRowFirstColumn="0" w:lastRowLastColumn="0"/>
            </w:pPr>
            <w:r>
              <w:t>7.</w:t>
            </w:r>
            <w:r w:rsidR="00416ADC">
              <w:t>6</w:t>
            </w:r>
          </w:p>
        </w:tc>
      </w:tr>
      <w:tr w:rsidR="000C1271" w:rsidRPr="005958F8" w:rsidTr="00405AF8">
        <w:trPr>
          <w:trHeight w:val="300"/>
        </w:trPr>
        <w:tc>
          <w:tcPr>
            <w:cnfStyle w:val="001000000000" w:firstRow="0" w:lastRow="0" w:firstColumn="1" w:lastColumn="0" w:oddVBand="0" w:evenVBand="0" w:oddHBand="0" w:evenHBand="0" w:firstRowFirstColumn="0" w:firstRowLastColumn="0" w:lastRowFirstColumn="0" w:lastRowLastColumn="0"/>
            <w:tcW w:w="2267" w:type="pct"/>
            <w:noWrap/>
          </w:tcPr>
          <w:p w:rsidR="000C1271" w:rsidRDefault="000C1271" w:rsidP="00206261">
            <w:pPr>
              <w:pStyle w:val="AERtabletextleft"/>
            </w:pPr>
            <w:r w:rsidRPr="000C1271">
              <w:t>Equity raising costs</w:t>
            </w:r>
          </w:p>
        </w:tc>
        <w:tc>
          <w:tcPr>
            <w:tcW w:w="1261" w:type="pct"/>
            <w:noWrap/>
          </w:tcPr>
          <w:p w:rsidR="000C1271" w:rsidRDefault="00E64AB7" w:rsidP="00416ADC">
            <w:pPr>
              <w:pStyle w:val="AERtabletextright"/>
              <w:cnfStyle w:val="000000000000" w:firstRow="0" w:lastRow="0" w:firstColumn="0" w:lastColumn="0" w:oddVBand="0" w:evenVBand="0" w:oddHBand="0" w:evenHBand="0" w:firstRowFirstColumn="0" w:firstRowLastColumn="0" w:lastRowFirstColumn="0" w:lastRowLastColumn="0"/>
            </w:pPr>
            <w:r>
              <w:t>45.7</w:t>
            </w:r>
          </w:p>
        </w:tc>
        <w:tc>
          <w:tcPr>
            <w:tcW w:w="1472" w:type="pct"/>
            <w:noWrap/>
          </w:tcPr>
          <w:p w:rsidR="000C1271" w:rsidRPr="00206261" w:rsidRDefault="00A36CEB" w:rsidP="00416ADC">
            <w:pPr>
              <w:pStyle w:val="AERtabletextright"/>
              <w:cnfStyle w:val="000000000000" w:firstRow="0" w:lastRow="0" w:firstColumn="0" w:lastColumn="0" w:oddVBand="0" w:evenVBand="0" w:oddHBand="0" w:evenHBand="0" w:firstRowFirstColumn="0" w:firstRowLastColumn="0" w:lastRowFirstColumn="0" w:lastRowLastColumn="0"/>
            </w:pPr>
            <w:r>
              <w:t>41.7</w:t>
            </w:r>
          </w:p>
        </w:tc>
      </w:tr>
    </w:tbl>
    <w:p w:rsidR="00266FE2" w:rsidRPr="00266FE2" w:rsidRDefault="00266FE2" w:rsidP="00266FE2">
      <w:pPr>
        <w:pStyle w:val="AERtablesource"/>
      </w:pPr>
      <w:r w:rsidRPr="00266FE2">
        <w:t>Source:</w:t>
      </w:r>
      <w:r w:rsidRPr="00266FE2">
        <w:tab/>
        <w:t xml:space="preserve">AER analysis. </w:t>
      </w:r>
    </w:p>
    <w:p w:rsidR="00206261" w:rsidRPr="00206261" w:rsidRDefault="00266FE2" w:rsidP="00266FE2">
      <w:pPr>
        <w:pStyle w:val="AERtablesource"/>
      </w:pPr>
      <w:r w:rsidRPr="00266FE2">
        <w:t xml:space="preserve">n/a: </w:t>
      </w:r>
      <w:r w:rsidRPr="00266FE2">
        <w:tab/>
        <w:t>not applicable</w:t>
      </w:r>
    </w:p>
    <w:sectPr w:rsidR="00206261" w:rsidRPr="00206261" w:rsidSect="004560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6C" w:rsidRPr="00AB4345" w:rsidRDefault="00EB5D6C" w:rsidP="00AB4345">
      <w:r>
        <w:separator/>
      </w:r>
    </w:p>
  </w:endnote>
  <w:endnote w:type="continuationSeparator" w:id="0">
    <w:p w:rsidR="00EB5D6C" w:rsidRPr="00AB4345" w:rsidRDefault="00EB5D6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B5D6C" w:rsidRPr="00824CC8" w:rsidRDefault="008955B8" w:rsidP="00824CC8">
        <w:pPr>
          <w:pStyle w:val="Footer"/>
        </w:pPr>
        <w:r>
          <w:t>5-</w:t>
        </w:r>
        <w:r w:rsidR="00EB5D6C" w:rsidRPr="00824CC8">
          <w:fldChar w:fldCharType="begin"/>
        </w:r>
        <w:r w:rsidR="00EB5D6C" w:rsidRPr="00824CC8">
          <w:instrText xml:space="preserve"> PAGE   \* MERGEFORMAT </w:instrText>
        </w:r>
        <w:r w:rsidR="00EB5D6C" w:rsidRPr="00824CC8">
          <w:fldChar w:fldCharType="separate"/>
        </w:r>
        <w:r w:rsidR="00DC0EAF">
          <w:rPr>
            <w:noProof/>
          </w:rPr>
          <w:t>4</w:t>
        </w:r>
        <w:r w:rsidR="00EB5D6C" w:rsidRPr="00824CC8">
          <w:fldChar w:fldCharType="end"/>
        </w:r>
        <w:r w:rsidR="00EB5D6C" w:rsidRPr="00824CC8">
          <w:tab/>
        </w:r>
        <w:r>
          <w:t xml:space="preserve">                                                   </w:t>
        </w:r>
        <w:r w:rsidRPr="000A7330">
          <w:rPr>
            <w:rStyle w:val="AERbody"/>
          </w:rPr>
          <w:t xml:space="preserve">Attachment </w:t>
        </w:r>
        <w:r>
          <w:rPr>
            <w:rStyle w:val="AERbody"/>
          </w:rPr>
          <w:t>5</w:t>
        </w:r>
        <w:r w:rsidRPr="000A7330">
          <w:rPr>
            <w:rStyle w:val="AERbody"/>
          </w:rPr>
          <w:t xml:space="preserve">: </w:t>
        </w:r>
        <w:r>
          <w:rPr>
            <w:rStyle w:val="AERbody"/>
          </w:rPr>
          <w:t>Regulatory depreciation</w:t>
        </w:r>
        <w:r w:rsidRPr="000A7330">
          <w:rPr>
            <w:rStyle w:val="AERbody"/>
          </w:rPr>
          <w:t xml:space="preserve"> </w:t>
        </w:r>
        <w:r w:rsidRPr="00824CC8">
          <w:rPr>
            <w:rStyle w:val="AERbody"/>
          </w:rPr>
          <w:t xml:space="preserve">| </w:t>
        </w:r>
        <w:r>
          <w:rPr>
            <w:rStyle w:val="AERbody"/>
          </w:rPr>
          <w:t>Ausgrid draft decision</w:t>
        </w:r>
        <w:r w:rsidRPr="00824CC8">
          <w:rPr>
            <w:rStyle w:val="AERbody"/>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6C" w:rsidRPr="00824CC8" w:rsidRDefault="008955B8" w:rsidP="00824CC8">
    <w:pPr>
      <w:pStyle w:val="Footer"/>
      <w:rPr>
        <w:rStyle w:val="AERbody"/>
      </w:rPr>
    </w:pPr>
    <w:r w:rsidRPr="000A7330">
      <w:rPr>
        <w:rStyle w:val="AERbody"/>
      </w:rPr>
      <w:t xml:space="preserve">Attachment </w:t>
    </w:r>
    <w:r>
      <w:rPr>
        <w:rStyle w:val="AERbody"/>
      </w:rPr>
      <w:t>5</w:t>
    </w:r>
    <w:r w:rsidRPr="000A7330">
      <w:rPr>
        <w:rStyle w:val="AERbody"/>
      </w:rPr>
      <w:t xml:space="preserve">: </w:t>
    </w:r>
    <w:r>
      <w:rPr>
        <w:rStyle w:val="AERbody"/>
      </w:rPr>
      <w:t>Regulatory depreciation</w:t>
    </w:r>
    <w:r w:rsidRPr="000A7330">
      <w:rPr>
        <w:rStyle w:val="AERbody"/>
      </w:rPr>
      <w:t xml:space="preserve"> </w:t>
    </w:r>
    <w:r w:rsidRPr="00824CC8">
      <w:rPr>
        <w:rStyle w:val="AERbody"/>
      </w:rPr>
      <w:t xml:space="preserve">| </w:t>
    </w:r>
    <w:r>
      <w:rPr>
        <w:rStyle w:val="AERbody"/>
      </w:rPr>
      <w:t>Ausgrid draft decision</w:t>
    </w:r>
    <w:r w:rsidR="00EB5D6C" w:rsidRPr="00210880">
      <w:rPr>
        <w:rStyle w:val="AERbody"/>
      </w:rPr>
      <w:tab/>
    </w:r>
    <w:r>
      <w:rPr>
        <w:rStyle w:val="AERbody"/>
      </w:rPr>
      <w:t>5-</w:t>
    </w:r>
    <w:r w:rsidR="00EB5D6C" w:rsidRPr="00824CC8">
      <w:rPr>
        <w:rStyle w:val="AERbody"/>
      </w:rPr>
      <w:fldChar w:fldCharType="begin"/>
    </w:r>
    <w:r w:rsidR="00EB5D6C" w:rsidRPr="00824CC8">
      <w:rPr>
        <w:rStyle w:val="AERbody"/>
      </w:rPr>
      <w:instrText xml:space="preserve"> PAGE   \* MERGEFORMAT </w:instrText>
    </w:r>
    <w:r w:rsidR="00EB5D6C" w:rsidRPr="00824CC8">
      <w:rPr>
        <w:rStyle w:val="AERbody"/>
      </w:rPr>
      <w:fldChar w:fldCharType="separate"/>
    </w:r>
    <w:r w:rsidR="00DC0EAF">
      <w:rPr>
        <w:rStyle w:val="AERbody"/>
        <w:noProof/>
      </w:rPr>
      <w:t>1</w:t>
    </w:r>
    <w:r w:rsidR="00EB5D6C"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6C" w:rsidRPr="00AB4345" w:rsidRDefault="00EB5D6C" w:rsidP="00AB4345">
      <w:r>
        <w:separator/>
      </w:r>
    </w:p>
  </w:footnote>
  <w:footnote w:type="continuationSeparator" w:id="0">
    <w:p w:rsidR="00EB5D6C" w:rsidRPr="00AB4345" w:rsidRDefault="00EB5D6C" w:rsidP="00AB4345">
      <w:r>
        <w:continuationSeparator/>
      </w:r>
    </w:p>
  </w:footnote>
  <w:footnote w:id="1">
    <w:p w:rsidR="00EB5D6C" w:rsidRDefault="00EB5D6C">
      <w:pPr>
        <w:pStyle w:val="FootnoteText"/>
      </w:pPr>
      <w:r>
        <w:rPr>
          <w:rStyle w:val="FootnoteReference"/>
        </w:rPr>
        <w:footnoteRef/>
      </w:r>
      <w:r>
        <w:t xml:space="preserve"> </w:t>
      </w:r>
      <w:r>
        <w:tab/>
      </w:r>
      <w:proofErr w:type="gramStart"/>
      <w:r w:rsidRPr="00740082">
        <w:t>NER, cl</w:t>
      </w:r>
      <w:r w:rsidR="007876B6">
        <w:t>.</w:t>
      </w:r>
      <w:r w:rsidRPr="00740082">
        <w:t xml:space="preserve"> 6.12.1(8).</w:t>
      </w:r>
      <w:proofErr w:type="gramEnd"/>
    </w:p>
  </w:footnote>
  <w:footnote w:id="2">
    <w:p w:rsidR="00EB5D6C" w:rsidRDefault="00EB5D6C">
      <w:pPr>
        <w:pStyle w:val="FootnoteText"/>
      </w:pPr>
      <w:r>
        <w:rPr>
          <w:rStyle w:val="FootnoteReference"/>
        </w:rPr>
        <w:footnoteRef/>
      </w:r>
      <w:r>
        <w:t xml:space="preserve"> </w:t>
      </w:r>
      <w:r>
        <w:tab/>
      </w:r>
      <w:proofErr w:type="gramStart"/>
      <w:r w:rsidR="007876B6">
        <w:t xml:space="preserve">NER, </w:t>
      </w:r>
      <w:proofErr w:type="spellStart"/>
      <w:r w:rsidR="007876B6">
        <w:t>cll</w:t>
      </w:r>
      <w:proofErr w:type="spellEnd"/>
      <w:r w:rsidR="007876B6">
        <w:t>.</w:t>
      </w:r>
      <w:proofErr w:type="gramEnd"/>
      <w:r w:rsidRPr="00701188">
        <w:t xml:space="preserve"> 6.43(a</w:t>
      </w:r>
      <w:proofErr w:type="gramStart"/>
      <w:r w:rsidRPr="00701188">
        <w:t>)(</w:t>
      </w:r>
      <w:proofErr w:type="gramEnd"/>
      <w:r w:rsidRPr="00701188">
        <w:t>1) and (3).</w:t>
      </w:r>
    </w:p>
  </w:footnote>
  <w:footnote w:id="3">
    <w:p w:rsidR="00EB5D6C" w:rsidRDefault="00EB5D6C">
      <w:pPr>
        <w:pStyle w:val="FootnoteText"/>
      </w:pPr>
      <w:r>
        <w:rPr>
          <w:rStyle w:val="FootnoteReference"/>
        </w:rPr>
        <w:footnoteRef/>
      </w:r>
      <w:r>
        <w:t xml:space="preserve"> </w:t>
      </w:r>
      <w:r>
        <w:tab/>
      </w:r>
      <w:r w:rsidRPr="00701188">
        <w:t>NER, cl</w:t>
      </w:r>
      <w:r w:rsidR="007876B6">
        <w:t>.</w:t>
      </w:r>
      <w:r w:rsidRPr="00701188">
        <w:t xml:space="preserve"> 6.5.5(b</w:t>
      </w:r>
      <w:proofErr w:type="gramStart"/>
      <w:r w:rsidRPr="00701188">
        <w:t>)</w:t>
      </w:r>
      <w:r>
        <w:t>(</w:t>
      </w:r>
      <w:proofErr w:type="gramEnd"/>
      <w:r>
        <w:t>1)</w:t>
      </w:r>
      <w:r w:rsidRPr="00701188">
        <w:t>.</w:t>
      </w:r>
    </w:p>
  </w:footnote>
  <w:footnote w:id="4">
    <w:p w:rsidR="00EB5D6C" w:rsidRDefault="00EB5D6C" w:rsidP="00865D10">
      <w:pPr>
        <w:pStyle w:val="FootnoteText"/>
      </w:pPr>
      <w:r>
        <w:rPr>
          <w:rStyle w:val="FootnoteReference"/>
        </w:rPr>
        <w:footnoteRef/>
      </w:r>
      <w:r>
        <w:t xml:space="preserve"> </w:t>
      </w:r>
      <w:r>
        <w:tab/>
        <w:t>NER, cl</w:t>
      </w:r>
      <w:r w:rsidR="007876B6">
        <w:t>.</w:t>
      </w:r>
      <w:r>
        <w:t xml:space="preserve"> 6.5.5(a</w:t>
      </w:r>
      <w:proofErr w:type="gramStart"/>
      <w:r>
        <w:t>)(</w:t>
      </w:r>
      <w:proofErr w:type="gramEnd"/>
      <w:r>
        <w:t>1).</w:t>
      </w:r>
    </w:p>
  </w:footnote>
  <w:footnote w:id="5">
    <w:p w:rsidR="00EB5D6C" w:rsidRDefault="00EB5D6C">
      <w:pPr>
        <w:pStyle w:val="FootnoteText"/>
      </w:pPr>
      <w:r>
        <w:rPr>
          <w:rStyle w:val="FootnoteReference"/>
        </w:rPr>
        <w:footnoteRef/>
      </w:r>
      <w:r>
        <w:t xml:space="preserve"> </w:t>
      </w:r>
      <w:r>
        <w:tab/>
      </w:r>
      <w:proofErr w:type="gramStart"/>
      <w:r>
        <w:t xml:space="preserve">NER, </w:t>
      </w:r>
      <w:proofErr w:type="spellStart"/>
      <w:r>
        <w:t>cl</w:t>
      </w:r>
      <w:r w:rsidR="007876B6">
        <w:t>l</w:t>
      </w:r>
      <w:proofErr w:type="spellEnd"/>
      <w:r w:rsidR="007876B6">
        <w:t>.</w:t>
      </w:r>
      <w:proofErr w:type="gramEnd"/>
      <w:r>
        <w:t xml:space="preserve"> 6.4.3(</w:t>
      </w:r>
      <w:proofErr w:type="gramStart"/>
      <w:r>
        <w:t>a</w:t>
      </w:r>
      <w:proofErr w:type="gramEnd"/>
      <w:r>
        <w:t>)(1) and (b)(3).</w:t>
      </w:r>
    </w:p>
  </w:footnote>
  <w:footnote w:id="6">
    <w:p w:rsidR="00EB5D6C" w:rsidRDefault="00EB5D6C">
      <w:pPr>
        <w:pStyle w:val="FootnoteText"/>
      </w:pPr>
      <w:r>
        <w:rPr>
          <w:rStyle w:val="FootnoteReference"/>
        </w:rPr>
        <w:footnoteRef/>
      </w:r>
      <w:r>
        <w:t xml:space="preserve"> </w:t>
      </w:r>
      <w:r>
        <w:tab/>
      </w:r>
      <w:proofErr w:type="gramStart"/>
      <w:r>
        <w:t>NER, cl</w:t>
      </w:r>
      <w:r w:rsidR="007876B6">
        <w:t>.</w:t>
      </w:r>
      <w:r w:rsidRPr="00E646BE">
        <w:t xml:space="preserve"> 6.5.5(a).</w:t>
      </w:r>
      <w:proofErr w:type="gramEnd"/>
    </w:p>
  </w:footnote>
  <w:footnote w:id="7">
    <w:p w:rsidR="00EB5D6C" w:rsidRDefault="00EB5D6C">
      <w:pPr>
        <w:pStyle w:val="FootnoteText"/>
      </w:pPr>
      <w:r>
        <w:rPr>
          <w:rStyle w:val="FootnoteReference"/>
        </w:rPr>
        <w:footnoteRef/>
      </w:r>
      <w:r>
        <w:t xml:space="preserve"> </w:t>
      </w:r>
      <w:r>
        <w:tab/>
        <w:t>NER, cl</w:t>
      </w:r>
      <w:r w:rsidR="007876B6">
        <w:t>.</w:t>
      </w:r>
      <w:r w:rsidRPr="00E646BE">
        <w:t xml:space="preserve"> 6.5.5(b</w:t>
      </w:r>
      <w:proofErr w:type="gramStart"/>
      <w:r w:rsidRPr="00E646BE">
        <w:t>)(</w:t>
      </w:r>
      <w:proofErr w:type="gramEnd"/>
      <w:r w:rsidRPr="00E646BE">
        <w:t>1).</w:t>
      </w:r>
    </w:p>
  </w:footnote>
  <w:footnote w:id="8">
    <w:p w:rsidR="00EB5D6C" w:rsidRDefault="00EB5D6C">
      <w:pPr>
        <w:pStyle w:val="FootnoteText"/>
      </w:pPr>
      <w:r>
        <w:rPr>
          <w:rStyle w:val="FootnoteReference"/>
        </w:rPr>
        <w:footnoteRef/>
      </w:r>
      <w:r>
        <w:t xml:space="preserve"> </w:t>
      </w:r>
      <w:r>
        <w:tab/>
        <w:t>NER, cl</w:t>
      </w:r>
      <w:r w:rsidR="007876B6">
        <w:t>.</w:t>
      </w:r>
      <w:r w:rsidRPr="003B281F">
        <w:t xml:space="preserve"> 6.5.5(b</w:t>
      </w:r>
      <w:proofErr w:type="gramStart"/>
      <w:r w:rsidRPr="003B281F">
        <w:t>)(</w:t>
      </w:r>
      <w:proofErr w:type="gramEnd"/>
      <w:r w:rsidRPr="003B281F">
        <w:t>1).</w:t>
      </w:r>
    </w:p>
  </w:footnote>
  <w:footnote w:id="9">
    <w:p w:rsidR="00EB5D6C" w:rsidRDefault="00EB5D6C">
      <w:pPr>
        <w:pStyle w:val="FootnoteText"/>
      </w:pPr>
      <w:r>
        <w:rPr>
          <w:rStyle w:val="FootnoteReference"/>
        </w:rPr>
        <w:footnoteRef/>
      </w:r>
      <w:r>
        <w:t xml:space="preserve"> </w:t>
      </w:r>
      <w:r>
        <w:tab/>
        <w:t>NER, cl</w:t>
      </w:r>
      <w:r w:rsidR="007876B6">
        <w:t>.</w:t>
      </w:r>
      <w:r w:rsidRPr="003B281F">
        <w:t xml:space="preserve"> 6.5.5(b</w:t>
      </w:r>
      <w:proofErr w:type="gramStart"/>
      <w:r w:rsidRPr="003B281F">
        <w:t>)(</w:t>
      </w:r>
      <w:proofErr w:type="gramEnd"/>
      <w:r w:rsidRPr="003B281F">
        <w:t>2).</w:t>
      </w:r>
    </w:p>
  </w:footnote>
  <w:footnote w:id="10">
    <w:p w:rsidR="00EB5D6C" w:rsidRDefault="00EB5D6C">
      <w:pPr>
        <w:pStyle w:val="FootnoteText"/>
      </w:pPr>
      <w:r>
        <w:rPr>
          <w:rStyle w:val="FootnoteReference"/>
        </w:rPr>
        <w:footnoteRef/>
      </w:r>
      <w:r>
        <w:t xml:space="preserve"> </w:t>
      </w:r>
      <w:r>
        <w:tab/>
        <w:t>NER, cl</w:t>
      </w:r>
      <w:r w:rsidR="007876B6">
        <w:t>.</w:t>
      </w:r>
      <w:r w:rsidRPr="003B281F">
        <w:t xml:space="preserve"> 6.5.5(a</w:t>
      </w:r>
      <w:proofErr w:type="gramStart"/>
      <w:r w:rsidRPr="003B281F">
        <w:t>)(</w:t>
      </w:r>
      <w:proofErr w:type="gramEnd"/>
      <w:r w:rsidRPr="003B281F">
        <w:t>ii).</w:t>
      </w:r>
    </w:p>
  </w:footnote>
  <w:footnote w:id="11">
    <w:p w:rsidR="00EB5D6C" w:rsidRDefault="00EB5D6C" w:rsidP="004D4F13">
      <w:pPr>
        <w:pStyle w:val="FootnoteText"/>
      </w:pPr>
      <w:r>
        <w:rPr>
          <w:rStyle w:val="FootnoteReference"/>
        </w:rPr>
        <w:footnoteRef/>
      </w:r>
      <w:r>
        <w:t xml:space="preserve"> </w:t>
      </w:r>
      <w:r>
        <w:tab/>
      </w:r>
      <w:r w:rsidRPr="004D4F13">
        <w:t>In the PTRM, the distinction is made between straight-line depreciation and regulatory depreciation. The difference being that regulatory depreciation is the straight-line depreciation minus the indexation adjustment.</w:t>
      </w:r>
    </w:p>
  </w:footnote>
  <w:footnote w:id="12">
    <w:p w:rsidR="00EB5D6C" w:rsidRDefault="00EB5D6C">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The indexation adjustment is greater than the straight-line depreciation in such circumstances.</w:t>
      </w:r>
    </w:p>
  </w:footnote>
  <w:footnote w:id="13">
    <w:p w:rsidR="00EB5D6C" w:rsidRDefault="00EB5D6C" w:rsidP="00484D4E">
      <w:pPr>
        <w:pStyle w:val="FootnoteText"/>
      </w:pPr>
      <w:r>
        <w:rPr>
          <w:rStyle w:val="FootnoteReference"/>
        </w:rPr>
        <w:footnoteRef/>
      </w:r>
      <w:r>
        <w:t xml:space="preserve"> </w:t>
      </w:r>
      <w:r>
        <w:tab/>
      </w:r>
      <w:proofErr w:type="gramStart"/>
      <w:r w:rsidRPr="00855A17">
        <w:t xml:space="preserve">Ausgrid, </w:t>
      </w:r>
      <w:r w:rsidRPr="00591C3B">
        <w:rPr>
          <w:rStyle w:val="AERtextitalic"/>
        </w:rPr>
        <w:t>Regulatory proposal</w:t>
      </w:r>
      <w:r w:rsidRPr="00855A17">
        <w:t>, May 2014, p.</w:t>
      </w:r>
      <w:r w:rsidR="007876B6">
        <w:t xml:space="preserve"> </w:t>
      </w:r>
      <w:r w:rsidRPr="00855A17">
        <w:t>23.</w:t>
      </w:r>
      <w:proofErr w:type="gramEnd"/>
    </w:p>
  </w:footnote>
  <w:footnote w:id="14">
    <w:p w:rsidR="00EB5D6C" w:rsidRDefault="00EB5D6C" w:rsidP="00484D4E">
      <w:pPr>
        <w:pStyle w:val="FootnoteText"/>
      </w:pPr>
      <w:r>
        <w:rPr>
          <w:rStyle w:val="FootnoteReference"/>
        </w:rPr>
        <w:footnoteRef/>
      </w:r>
      <w:r>
        <w:t xml:space="preserve"> </w:t>
      </w:r>
      <w:r>
        <w:tab/>
      </w:r>
      <w:r w:rsidRPr="00855A17">
        <w:t xml:space="preserve">Ausgrid, </w:t>
      </w:r>
      <w:r w:rsidRPr="00591C3B">
        <w:rPr>
          <w:rStyle w:val="AERtextitalic"/>
        </w:rPr>
        <w:t>Regulatory proposal</w:t>
      </w:r>
      <w:r w:rsidRPr="00855A17">
        <w:t>, May 2014, p</w:t>
      </w:r>
      <w:r w:rsidR="007876B6">
        <w:t xml:space="preserve"> </w:t>
      </w:r>
      <w:r w:rsidRPr="00855A17">
        <w:t>.23</w:t>
      </w:r>
    </w:p>
  </w:footnote>
  <w:footnote w:id="15">
    <w:p w:rsidR="00EB5D6C" w:rsidRDefault="00EB5D6C" w:rsidP="00484D4E">
      <w:pPr>
        <w:pStyle w:val="FootnoteText"/>
      </w:pPr>
      <w:r>
        <w:rPr>
          <w:rStyle w:val="FootnoteReference"/>
        </w:rPr>
        <w:footnoteRef/>
      </w:r>
      <w:r>
        <w:t xml:space="preserve"> </w:t>
      </w:r>
      <w:r>
        <w:tab/>
      </w:r>
      <w:proofErr w:type="gramStart"/>
      <w:r w:rsidRPr="000E04E1">
        <w:t xml:space="preserve">NER, </w:t>
      </w:r>
      <w:proofErr w:type="spellStart"/>
      <w:r w:rsidRPr="000E04E1">
        <w:t>c</w:t>
      </w:r>
      <w:r w:rsidR="007876B6">
        <w:t>ll</w:t>
      </w:r>
      <w:proofErr w:type="spellEnd"/>
      <w:r w:rsidR="007876B6">
        <w:t>.</w:t>
      </w:r>
      <w:proofErr w:type="gramEnd"/>
      <w:r w:rsidRPr="000E04E1">
        <w:t xml:space="preserve"> 6.4.3(</w:t>
      </w:r>
      <w:proofErr w:type="gramStart"/>
      <w:r w:rsidRPr="000E04E1">
        <w:t>b</w:t>
      </w:r>
      <w:proofErr w:type="gramEnd"/>
      <w:r w:rsidRPr="000E04E1">
        <w:t>)(1)(ii) and (b)(2); 6.5.2(d)(2).</w:t>
      </w:r>
    </w:p>
  </w:footnote>
  <w:footnote w:id="16">
    <w:p w:rsidR="00EB5D6C" w:rsidRDefault="00EB5D6C" w:rsidP="00484D4E">
      <w:pPr>
        <w:pStyle w:val="FootnoteText"/>
      </w:pPr>
      <w:r>
        <w:rPr>
          <w:rStyle w:val="FootnoteReference"/>
        </w:rPr>
        <w:footnoteRef/>
      </w:r>
      <w:r>
        <w:t xml:space="preserve"> </w:t>
      </w:r>
      <w:r>
        <w:tab/>
      </w:r>
      <w:proofErr w:type="gramStart"/>
      <w:r w:rsidRPr="00855A17">
        <w:t xml:space="preserve">Ausgrid, </w:t>
      </w:r>
      <w:r w:rsidRPr="00591C3B">
        <w:rPr>
          <w:rStyle w:val="AERtextitalic"/>
        </w:rPr>
        <w:t>Regulatory proposal</w:t>
      </w:r>
      <w:r w:rsidRPr="00855A17">
        <w:t>, May 2014, p.</w:t>
      </w:r>
      <w:r w:rsidR="007876B6">
        <w:t xml:space="preserve"> </w:t>
      </w:r>
      <w:r w:rsidRPr="00855A17">
        <w:t>23.</w:t>
      </w:r>
      <w:proofErr w:type="gramEnd"/>
    </w:p>
  </w:footnote>
  <w:footnote w:id="17">
    <w:p w:rsidR="00EB5D6C" w:rsidRDefault="00EB5D6C" w:rsidP="00484D4E">
      <w:pPr>
        <w:pStyle w:val="FootnoteText"/>
      </w:pPr>
      <w:r>
        <w:rPr>
          <w:rStyle w:val="FootnoteReference"/>
        </w:rPr>
        <w:footnoteRef/>
      </w:r>
      <w:r>
        <w:t xml:space="preserve"> </w:t>
      </w:r>
      <w:r>
        <w:tab/>
      </w:r>
      <w:r w:rsidRPr="00855A17">
        <w:t>Even accounting asset lives don’t necessary match tax asset lives.</w:t>
      </w:r>
    </w:p>
  </w:footnote>
  <w:footnote w:id="18">
    <w:p w:rsidR="00EB5D6C" w:rsidRDefault="00EB5D6C" w:rsidP="00484D4E">
      <w:pPr>
        <w:pStyle w:val="FootnoteText"/>
      </w:pPr>
      <w:r>
        <w:rPr>
          <w:rStyle w:val="FootnoteReference"/>
        </w:rPr>
        <w:footnoteRef/>
      </w:r>
      <w:r>
        <w:t xml:space="preserve"> </w:t>
      </w:r>
      <w:r>
        <w:tab/>
      </w:r>
      <w:proofErr w:type="gramStart"/>
      <w:r w:rsidRPr="00855A17">
        <w:t xml:space="preserve">Ausgrid, </w:t>
      </w:r>
      <w:r w:rsidRPr="00591C3B">
        <w:rPr>
          <w:rStyle w:val="AERtextitalic"/>
        </w:rPr>
        <w:t>Regulatory proposal</w:t>
      </w:r>
      <w:r w:rsidRPr="00855A17">
        <w:t>, May 2014, p.</w:t>
      </w:r>
      <w:r w:rsidR="007876B6">
        <w:t xml:space="preserve"> </w:t>
      </w:r>
      <w:r w:rsidRPr="00855A17">
        <w:t>23.</w:t>
      </w:r>
      <w:proofErr w:type="gramEnd"/>
    </w:p>
  </w:footnote>
  <w:footnote w:id="19">
    <w:p w:rsidR="00EB5D6C" w:rsidRDefault="00EB5D6C">
      <w:pPr>
        <w:pStyle w:val="FootnoteText"/>
      </w:pPr>
      <w:r>
        <w:rPr>
          <w:rStyle w:val="FootnoteReference"/>
        </w:rPr>
        <w:footnoteRef/>
      </w:r>
      <w:r>
        <w:t xml:space="preserve"> </w:t>
      </w:r>
      <w:r>
        <w:tab/>
      </w:r>
      <w:r w:rsidRPr="000E04E1">
        <w:t xml:space="preserve">AGL, </w:t>
      </w:r>
      <w:r w:rsidRPr="000E04E1">
        <w:rPr>
          <w:rStyle w:val="AERtextitalic"/>
        </w:rPr>
        <w:t>Submission to the AER – NSW Electricity Distribution Networks Regulatory Proposals 2014–19</w:t>
      </w:r>
      <w:r w:rsidRPr="000E04E1">
        <w:t>, 8 August 2014, p. 10.</w:t>
      </w:r>
    </w:p>
  </w:footnote>
  <w:footnote w:id="20">
    <w:p w:rsidR="00EB5D6C" w:rsidRDefault="00EB5D6C">
      <w:pPr>
        <w:pStyle w:val="FootnoteText"/>
      </w:pPr>
      <w:r>
        <w:rPr>
          <w:rStyle w:val="FootnoteReference"/>
        </w:rPr>
        <w:footnoteRef/>
      </w:r>
      <w:r>
        <w:t xml:space="preserve"> </w:t>
      </w:r>
      <w:r>
        <w:tab/>
      </w:r>
      <w:proofErr w:type="gramStart"/>
      <w:r w:rsidRPr="00150649">
        <w:t xml:space="preserve">Ausgrid, </w:t>
      </w:r>
      <w:r w:rsidRPr="007762AB">
        <w:rPr>
          <w:rStyle w:val="AERtextitalic"/>
        </w:rPr>
        <w:t xml:space="preserve">Email response to AER information request, </w:t>
      </w:r>
      <w:r w:rsidRPr="00784CA2">
        <w:rPr>
          <w:rStyle w:val="AERtextitalic"/>
        </w:rPr>
        <w:t>AER AUSGRID 035</w:t>
      </w:r>
      <w:r w:rsidRPr="007762AB">
        <w:rPr>
          <w:rStyle w:val="AERtextitalic"/>
        </w:rPr>
        <w:t>,</w:t>
      </w:r>
      <w:r w:rsidRPr="00150649">
        <w:t xml:space="preserve"> 12 September 2014.</w:t>
      </w:r>
      <w:proofErr w:type="gramEnd"/>
    </w:p>
  </w:footnote>
  <w:footnote w:id="21">
    <w:p w:rsidR="00EB5D6C" w:rsidRDefault="00EB5D6C">
      <w:pPr>
        <w:pStyle w:val="FootnoteText"/>
      </w:pPr>
      <w:r>
        <w:rPr>
          <w:rStyle w:val="FootnoteReference"/>
        </w:rPr>
        <w:footnoteRef/>
      </w:r>
      <w:r>
        <w:t xml:space="preserve"> </w:t>
      </w:r>
      <w:r>
        <w:tab/>
      </w:r>
      <w:proofErr w:type="gramStart"/>
      <w:r>
        <w:t xml:space="preserve">Ausgrid, </w:t>
      </w:r>
      <w:r w:rsidRPr="007762AB">
        <w:rPr>
          <w:rStyle w:val="AERtextitalic"/>
        </w:rPr>
        <w:t xml:space="preserve">Email response to AER information request, </w:t>
      </w:r>
      <w:r w:rsidRPr="00784CA2">
        <w:rPr>
          <w:rStyle w:val="AERtextitalic"/>
        </w:rPr>
        <w:t>AER AUSGRID 035</w:t>
      </w:r>
      <w:r>
        <w:t>, 12 September 2014.</w:t>
      </w:r>
      <w:proofErr w:type="gramEnd"/>
    </w:p>
  </w:footnote>
  <w:footnote w:id="22">
    <w:p w:rsidR="00EB5D6C" w:rsidRDefault="00EB5D6C">
      <w:pPr>
        <w:pStyle w:val="FootnoteText"/>
      </w:pPr>
      <w:r>
        <w:rPr>
          <w:rStyle w:val="FootnoteReference"/>
        </w:rPr>
        <w:footnoteRef/>
      </w:r>
      <w:r>
        <w:t xml:space="preserve"> </w:t>
      </w:r>
      <w:r>
        <w:tab/>
        <w:t xml:space="preserve">For Ausgrid's transmission network the reallocation of the amount in the 'Transmission &amp; zone substation emergency spares' asset class to the 'Transmission substation equipment 132/66kV' and 'Zone substation equipment 132/66kV' asset classes is calculated using the relative proportions of the applicable asset classes as at 1 July 2014. </w:t>
      </w:r>
    </w:p>
  </w:footnote>
  <w:footnote w:id="23">
    <w:p w:rsidR="00EB5D6C" w:rsidRDefault="00EB5D6C" w:rsidP="00DD0B36">
      <w:pPr>
        <w:pStyle w:val="FootnoteText"/>
      </w:pPr>
      <w:r>
        <w:rPr>
          <w:rStyle w:val="FootnoteReference"/>
        </w:rPr>
        <w:footnoteRef/>
      </w:r>
      <w:r>
        <w:t xml:space="preserve"> </w:t>
      </w:r>
      <w:r>
        <w:tab/>
        <w:t>NER, cl</w:t>
      </w:r>
      <w:r w:rsidR="007876B6">
        <w:t>.</w:t>
      </w:r>
      <w:r>
        <w:t xml:space="preserve"> 6.5.5(b</w:t>
      </w:r>
      <w:proofErr w:type="gramStart"/>
      <w:r>
        <w:t>)(</w:t>
      </w:r>
      <w:proofErr w:type="gramEnd"/>
      <w:r>
        <w:t>1).</w:t>
      </w:r>
    </w:p>
  </w:footnote>
  <w:footnote w:id="24">
    <w:p w:rsidR="00EB5D6C" w:rsidRDefault="00EB5D6C">
      <w:pPr>
        <w:pStyle w:val="FootnoteText"/>
      </w:pPr>
      <w:r>
        <w:rPr>
          <w:rStyle w:val="FootnoteReference"/>
        </w:rPr>
        <w:footnoteRef/>
      </w:r>
      <w:r>
        <w:t xml:space="preserve"> </w:t>
      </w:r>
      <w:r>
        <w:tab/>
      </w:r>
      <w:r w:rsidRPr="00F14E27">
        <w:t xml:space="preserve">At the time of this draft decision, the roll forward of </w:t>
      </w:r>
      <w:r>
        <w:t>Ausgrid</w:t>
      </w:r>
      <w:r w:rsidRPr="00F14E27">
        <w:t>'s RAB</w:t>
      </w:r>
      <w:r>
        <w:t>s</w:t>
      </w:r>
      <w:r w:rsidRPr="00F14E27">
        <w:t xml:space="preserve"> includes estimated </w:t>
      </w:r>
      <w:r>
        <w:t xml:space="preserve">actual </w:t>
      </w:r>
      <w:r w:rsidRPr="00F14E27">
        <w:t xml:space="preserve">capex values for 2013–14. </w:t>
      </w:r>
      <w:r>
        <w:t>For the final decision w</w:t>
      </w:r>
      <w:r w:rsidRPr="00F14E27">
        <w:t xml:space="preserve">e will </w:t>
      </w:r>
      <w:r>
        <w:t>check</w:t>
      </w:r>
      <w:r w:rsidRPr="00F14E27">
        <w:t xml:space="preserve"> the 2013–14 estimated</w:t>
      </w:r>
      <w:r>
        <w:t xml:space="preserve"> actual</w:t>
      </w:r>
      <w:r w:rsidRPr="00F14E27">
        <w:t xml:space="preserve"> capex value</w:t>
      </w:r>
      <w:r>
        <w:t>s</w:t>
      </w:r>
      <w:r w:rsidRPr="00F14E27">
        <w:t xml:space="preserve"> with the </w:t>
      </w:r>
      <w:r>
        <w:t xml:space="preserve">audited </w:t>
      </w:r>
      <w:r w:rsidRPr="00F14E27">
        <w:t xml:space="preserve">actual </w:t>
      </w:r>
      <w:r>
        <w:t>data to be received later this year</w:t>
      </w:r>
      <w:r w:rsidRPr="00F14E27">
        <w:t>. The 2013–14 capex value</w:t>
      </w:r>
      <w:r>
        <w:t>s</w:t>
      </w:r>
      <w:r w:rsidRPr="00F14E27">
        <w:t xml:space="preserve"> </w:t>
      </w:r>
      <w:r>
        <w:t>are</w:t>
      </w:r>
      <w:r w:rsidRPr="00F14E27">
        <w:t xml:space="preserve"> used to calculate the weighted average remaining asset lives in the RFM. Therefore, for the final decision we </w:t>
      </w:r>
      <w:r>
        <w:t>may</w:t>
      </w:r>
      <w:r w:rsidRPr="00F14E27">
        <w:t xml:space="preserve"> recalculate </w:t>
      </w:r>
      <w:r>
        <w:t>Ausgrid's</w:t>
      </w:r>
      <w:r w:rsidRPr="00F14E27">
        <w:t xml:space="preserve"> remaining asset lives as at 1 July 2014 using the method approved in this draft decision.</w:t>
      </w:r>
    </w:p>
  </w:footnote>
  <w:footnote w:id="25">
    <w:p w:rsidR="00EB5D6C" w:rsidRDefault="00EB5D6C" w:rsidP="00955F48">
      <w:pPr>
        <w:pStyle w:val="FootnoteText"/>
      </w:pPr>
      <w:r>
        <w:rPr>
          <w:rStyle w:val="FootnoteReference"/>
        </w:rPr>
        <w:footnoteRef/>
      </w:r>
      <w:r>
        <w:t xml:space="preserve"> </w:t>
      </w:r>
      <w:r>
        <w:tab/>
      </w:r>
      <w:r w:rsidRPr="00063322">
        <w:t>Energy Markets Reform Forum</w:t>
      </w:r>
      <w:r>
        <w:t xml:space="preserve">, </w:t>
      </w:r>
      <w:r w:rsidRPr="000F57B4">
        <w:rPr>
          <w:rStyle w:val="AERtextitalic"/>
        </w:rPr>
        <w:t>Submission to the AER – NSW Electricity Distribution Networks Regulatory Proposals 2014</w:t>
      </w:r>
      <w:r>
        <w:rPr>
          <w:rStyle w:val="AERtextitalic"/>
        </w:rPr>
        <w:t>–</w:t>
      </w:r>
      <w:r w:rsidRPr="000F57B4">
        <w:rPr>
          <w:rStyle w:val="AERtextitalic"/>
        </w:rPr>
        <w:t>19</w:t>
      </w:r>
      <w:r>
        <w:t>, July</w:t>
      </w:r>
      <w:r w:rsidRPr="000F57B4">
        <w:t xml:space="preserve"> 2014</w:t>
      </w:r>
      <w:r>
        <w:t>, pp. 41–43.</w:t>
      </w:r>
    </w:p>
  </w:footnote>
  <w:footnote w:id="26">
    <w:p w:rsidR="00EB5D6C" w:rsidRDefault="00EB5D6C" w:rsidP="00955F48">
      <w:pPr>
        <w:pStyle w:val="FootnoteText"/>
      </w:pPr>
      <w:r>
        <w:rPr>
          <w:rStyle w:val="FootnoteReference"/>
        </w:rPr>
        <w:footnoteRef/>
      </w:r>
      <w:r>
        <w:t xml:space="preserve"> </w:t>
      </w:r>
      <w:r>
        <w:tab/>
      </w:r>
      <w:proofErr w:type="gramStart"/>
      <w:r>
        <w:t xml:space="preserve">Ausgrid, </w:t>
      </w:r>
      <w:r w:rsidRPr="008865B9">
        <w:rPr>
          <w:rStyle w:val="AERtextitalic"/>
        </w:rPr>
        <w:t>Regulatory proposal</w:t>
      </w:r>
      <w:r>
        <w:t>, Attachment 5.24, pp.</w:t>
      </w:r>
      <w:r w:rsidR="007876B6">
        <w:t xml:space="preserve"> </w:t>
      </w:r>
      <w:r>
        <w:t>7–9.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356\AER14 427[V2]  Endeavour Energy reset 2014-19 - Draft decision - Regulatory depreciation.DOCX"/>
  </w:docVars>
  <w:rsids>
    <w:rsidRoot w:val="000C052F"/>
    <w:rsid w:val="00000645"/>
    <w:rsid w:val="00007656"/>
    <w:rsid w:val="00011129"/>
    <w:rsid w:val="00022606"/>
    <w:rsid w:val="00027846"/>
    <w:rsid w:val="00031186"/>
    <w:rsid w:val="00034F60"/>
    <w:rsid w:val="00040599"/>
    <w:rsid w:val="00040749"/>
    <w:rsid w:val="00045717"/>
    <w:rsid w:val="00045D7C"/>
    <w:rsid w:val="00050963"/>
    <w:rsid w:val="000677B3"/>
    <w:rsid w:val="00075812"/>
    <w:rsid w:val="00087443"/>
    <w:rsid w:val="00092FE2"/>
    <w:rsid w:val="000A1CC2"/>
    <w:rsid w:val="000A3301"/>
    <w:rsid w:val="000A5342"/>
    <w:rsid w:val="000B15CA"/>
    <w:rsid w:val="000C052F"/>
    <w:rsid w:val="000C1271"/>
    <w:rsid w:val="000C3313"/>
    <w:rsid w:val="000C3430"/>
    <w:rsid w:val="000D03C2"/>
    <w:rsid w:val="000D04B1"/>
    <w:rsid w:val="000D147B"/>
    <w:rsid w:val="000D401F"/>
    <w:rsid w:val="000D616F"/>
    <w:rsid w:val="000D76C0"/>
    <w:rsid w:val="000E04E1"/>
    <w:rsid w:val="000E1A25"/>
    <w:rsid w:val="000E6418"/>
    <w:rsid w:val="000F3A6A"/>
    <w:rsid w:val="000F6638"/>
    <w:rsid w:val="00101B8B"/>
    <w:rsid w:val="001033B3"/>
    <w:rsid w:val="00105636"/>
    <w:rsid w:val="0013022D"/>
    <w:rsid w:val="00131287"/>
    <w:rsid w:val="001351A1"/>
    <w:rsid w:val="00150649"/>
    <w:rsid w:val="0015126E"/>
    <w:rsid w:val="00152859"/>
    <w:rsid w:val="001543D2"/>
    <w:rsid w:val="00154A4C"/>
    <w:rsid w:val="00157483"/>
    <w:rsid w:val="00157FF0"/>
    <w:rsid w:val="00166917"/>
    <w:rsid w:val="001676CA"/>
    <w:rsid w:val="001708CC"/>
    <w:rsid w:val="00174026"/>
    <w:rsid w:val="00175809"/>
    <w:rsid w:val="00184A70"/>
    <w:rsid w:val="001856EE"/>
    <w:rsid w:val="00190D29"/>
    <w:rsid w:val="00194C3C"/>
    <w:rsid w:val="00196FB0"/>
    <w:rsid w:val="001B6036"/>
    <w:rsid w:val="001B6619"/>
    <w:rsid w:val="001C12E5"/>
    <w:rsid w:val="001F4E28"/>
    <w:rsid w:val="001F7D11"/>
    <w:rsid w:val="002023C1"/>
    <w:rsid w:val="00206261"/>
    <w:rsid w:val="0020711E"/>
    <w:rsid w:val="00210880"/>
    <w:rsid w:val="002257B9"/>
    <w:rsid w:val="0023137D"/>
    <w:rsid w:val="002471E6"/>
    <w:rsid w:val="00255DE8"/>
    <w:rsid w:val="00257B22"/>
    <w:rsid w:val="00266710"/>
    <w:rsid w:val="00266FE2"/>
    <w:rsid w:val="00272957"/>
    <w:rsid w:val="002805B8"/>
    <w:rsid w:val="0028285E"/>
    <w:rsid w:val="002938CE"/>
    <w:rsid w:val="002A0E90"/>
    <w:rsid w:val="002B4DCF"/>
    <w:rsid w:val="002B6640"/>
    <w:rsid w:val="002C2144"/>
    <w:rsid w:val="002C5419"/>
    <w:rsid w:val="002C5715"/>
    <w:rsid w:val="002C75F2"/>
    <w:rsid w:val="002D61AC"/>
    <w:rsid w:val="002E4720"/>
    <w:rsid w:val="002E57F5"/>
    <w:rsid w:val="002E6457"/>
    <w:rsid w:val="002E6B83"/>
    <w:rsid w:val="002E6FE6"/>
    <w:rsid w:val="002E74CA"/>
    <w:rsid w:val="002F3491"/>
    <w:rsid w:val="002F549D"/>
    <w:rsid w:val="003021D1"/>
    <w:rsid w:val="00303452"/>
    <w:rsid w:val="00303469"/>
    <w:rsid w:val="0030390A"/>
    <w:rsid w:val="003068CF"/>
    <w:rsid w:val="003244E8"/>
    <w:rsid w:val="003324F7"/>
    <w:rsid w:val="00334F88"/>
    <w:rsid w:val="00343029"/>
    <w:rsid w:val="003439E6"/>
    <w:rsid w:val="00345B9A"/>
    <w:rsid w:val="003553EA"/>
    <w:rsid w:val="003627FB"/>
    <w:rsid w:val="00363EC1"/>
    <w:rsid w:val="00367B9F"/>
    <w:rsid w:val="003707DB"/>
    <w:rsid w:val="00370B3B"/>
    <w:rsid w:val="0037481B"/>
    <w:rsid w:val="00375AEC"/>
    <w:rsid w:val="00376236"/>
    <w:rsid w:val="0037652C"/>
    <w:rsid w:val="003800E4"/>
    <w:rsid w:val="00380A03"/>
    <w:rsid w:val="00380FF5"/>
    <w:rsid w:val="003822AB"/>
    <w:rsid w:val="00387FB2"/>
    <w:rsid w:val="003A1E90"/>
    <w:rsid w:val="003A306D"/>
    <w:rsid w:val="003A6174"/>
    <w:rsid w:val="003A719A"/>
    <w:rsid w:val="003B0C60"/>
    <w:rsid w:val="003B1DAC"/>
    <w:rsid w:val="003B281F"/>
    <w:rsid w:val="003B3265"/>
    <w:rsid w:val="003B7F93"/>
    <w:rsid w:val="003C481E"/>
    <w:rsid w:val="003D0912"/>
    <w:rsid w:val="004030AB"/>
    <w:rsid w:val="004057A7"/>
    <w:rsid w:val="00405AF8"/>
    <w:rsid w:val="00407D33"/>
    <w:rsid w:val="00411433"/>
    <w:rsid w:val="00412282"/>
    <w:rsid w:val="004160EA"/>
    <w:rsid w:val="00416ADC"/>
    <w:rsid w:val="00417D81"/>
    <w:rsid w:val="004256BA"/>
    <w:rsid w:val="004304E9"/>
    <w:rsid w:val="00431999"/>
    <w:rsid w:val="00433475"/>
    <w:rsid w:val="00435682"/>
    <w:rsid w:val="00436C61"/>
    <w:rsid w:val="00456081"/>
    <w:rsid w:val="004600E8"/>
    <w:rsid w:val="0046449B"/>
    <w:rsid w:val="00464F5D"/>
    <w:rsid w:val="0046598F"/>
    <w:rsid w:val="0046686F"/>
    <w:rsid w:val="00474FBD"/>
    <w:rsid w:val="00484D4E"/>
    <w:rsid w:val="00490EEF"/>
    <w:rsid w:val="00491D7D"/>
    <w:rsid w:val="00491EF2"/>
    <w:rsid w:val="00493410"/>
    <w:rsid w:val="004964DB"/>
    <w:rsid w:val="00497AD1"/>
    <w:rsid w:val="004A132E"/>
    <w:rsid w:val="004A702C"/>
    <w:rsid w:val="004C115A"/>
    <w:rsid w:val="004C2CA0"/>
    <w:rsid w:val="004C3F45"/>
    <w:rsid w:val="004D4F13"/>
    <w:rsid w:val="004D699F"/>
    <w:rsid w:val="004E15DB"/>
    <w:rsid w:val="004E40EF"/>
    <w:rsid w:val="004E73F7"/>
    <w:rsid w:val="004F14F5"/>
    <w:rsid w:val="004F76A0"/>
    <w:rsid w:val="00500E7F"/>
    <w:rsid w:val="0050540C"/>
    <w:rsid w:val="00514667"/>
    <w:rsid w:val="00515E55"/>
    <w:rsid w:val="0052179D"/>
    <w:rsid w:val="005230DD"/>
    <w:rsid w:val="00525604"/>
    <w:rsid w:val="005456A9"/>
    <w:rsid w:val="00555D52"/>
    <w:rsid w:val="005566D7"/>
    <w:rsid w:val="00561F7F"/>
    <w:rsid w:val="00566B35"/>
    <w:rsid w:val="00567539"/>
    <w:rsid w:val="00571A4E"/>
    <w:rsid w:val="005732CC"/>
    <w:rsid w:val="00575422"/>
    <w:rsid w:val="005837BD"/>
    <w:rsid w:val="00591C3B"/>
    <w:rsid w:val="005938C6"/>
    <w:rsid w:val="005958F8"/>
    <w:rsid w:val="005A0431"/>
    <w:rsid w:val="005B3752"/>
    <w:rsid w:val="005B61C2"/>
    <w:rsid w:val="005B651C"/>
    <w:rsid w:val="005D0CAA"/>
    <w:rsid w:val="005D26B7"/>
    <w:rsid w:val="005D4AA1"/>
    <w:rsid w:val="005E3E0C"/>
    <w:rsid w:val="0060146C"/>
    <w:rsid w:val="0060207D"/>
    <w:rsid w:val="006039F2"/>
    <w:rsid w:val="006061B0"/>
    <w:rsid w:val="0060732E"/>
    <w:rsid w:val="006076A9"/>
    <w:rsid w:val="0061073D"/>
    <w:rsid w:val="006341BE"/>
    <w:rsid w:val="006403E2"/>
    <w:rsid w:val="0065125A"/>
    <w:rsid w:val="00654225"/>
    <w:rsid w:val="006544EA"/>
    <w:rsid w:val="00655A0F"/>
    <w:rsid w:val="00662CBF"/>
    <w:rsid w:val="0066569F"/>
    <w:rsid w:val="00666093"/>
    <w:rsid w:val="00671E75"/>
    <w:rsid w:val="00672A93"/>
    <w:rsid w:val="0067469B"/>
    <w:rsid w:val="0069004B"/>
    <w:rsid w:val="006A57CC"/>
    <w:rsid w:val="006A6912"/>
    <w:rsid w:val="006B08EB"/>
    <w:rsid w:val="006B3A32"/>
    <w:rsid w:val="006B481F"/>
    <w:rsid w:val="006C0682"/>
    <w:rsid w:val="006D574D"/>
    <w:rsid w:val="006E39EA"/>
    <w:rsid w:val="006E3CB4"/>
    <w:rsid w:val="006F055E"/>
    <w:rsid w:val="006F2E4F"/>
    <w:rsid w:val="006F638E"/>
    <w:rsid w:val="00701188"/>
    <w:rsid w:val="00703E42"/>
    <w:rsid w:val="0071480E"/>
    <w:rsid w:val="00722275"/>
    <w:rsid w:val="007368AD"/>
    <w:rsid w:val="00740082"/>
    <w:rsid w:val="00751D2A"/>
    <w:rsid w:val="00755095"/>
    <w:rsid w:val="0075738F"/>
    <w:rsid w:val="00762876"/>
    <w:rsid w:val="0076458C"/>
    <w:rsid w:val="00771C94"/>
    <w:rsid w:val="00774102"/>
    <w:rsid w:val="00774A12"/>
    <w:rsid w:val="00774F6F"/>
    <w:rsid w:val="007752A4"/>
    <w:rsid w:val="007762AB"/>
    <w:rsid w:val="00784CA2"/>
    <w:rsid w:val="007876B6"/>
    <w:rsid w:val="00792DD7"/>
    <w:rsid w:val="00796A07"/>
    <w:rsid w:val="00797605"/>
    <w:rsid w:val="007F10E3"/>
    <w:rsid w:val="007F1930"/>
    <w:rsid w:val="007F2C0E"/>
    <w:rsid w:val="007F665C"/>
    <w:rsid w:val="00804AEB"/>
    <w:rsid w:val="008159D5"/>
    <w:rsid w:val="00824057"/>
    <w:rsid w:val="00824CC8"/>
    <w:rsid w:val="00836D17"/>
    <w:rsid w:val="00840A55"/>
    <w:rsid w:val="00841E25"/>
    <w:rsid w:val="0084378B"/>
    <w:rsid w:val="0084644C"/>
    <w:rsid w:val="008464CD"/>
    <w:rsid w:val="008515EE"/>
    <w:rsid w:val="00861C4E"/>
    <w:rsid w:val="00865D10"/>
    <w:rsid w:val="00866D21"/>
    <w:rsid w:val="00872D85"/>
    <w:rsid w:val="008776EC"/>
    <w:rsid w:val="00883DDA"/>
    <w:rsid w:val="008865B9"/>
    <w:rsid w:val="0089027B"/>
    <w:rsid w:val="00891FF9"/>
    <w:rsid w:val="00893367"/>
    <w:rsid w:val="00893D07"/>
    <w:rsid w:val="008955B8"/>
    <w:rsid w:val="008A48A6"/>
    <w:rsid w:val="008B64D7"/>
    <w:rsid w:val="008B7956"/>
    <w:rsid w:val="008C3722"/>
    <w:rsid w:val="008C3B67"/>
    <w:rsid w:val="008C3F48"/>
    <w:rsid w:val="008C4CDB"/>
    <w:rsid w:val="008C63B9"/>
    <w:rsid w:val="008D49B4"/>
    <w:rsid w:val="008D5D7C"/>
    <w:rsid w:val="008D7498"/>
    <w:rsid w:val="008F0225"/>
    <w:rsid w:val="00903912"/>
    <w:rsid w:val="009070FE"/>
    <w:rsid w:val="0091236F"/>
    <w:rsid w:val="009160D9"/>
    <w:rsid w:val="00917630"/>
    <w:rsid w:val="0092091B"/>
    <w:rsid w:val="00923920"/>
    <w:rsid w:val="00926BA4"/>
    <w:rsid w:val="00927379"/>
    <w:rsid w:val="00932E96"/>
    <w:rsid w:val="00934244"/>
    <w:rsid w:val="00940362"/>
    <w:rsid w:val="009418E6"/>
    <w:rsid w:val="0094235F"/>
    <w:rsid w:val="0094279F"/>
    <w:rsid w:val="00946B98"/>
    <w:rsid w:val="0095052A"/>
    <w:rsid w:val="009516DF"/>
    <w:rsid w:val="00955F48"/>
    <w:rsid w:val="009646F7"/>
    <w:rsid w:val="009658F0"/>
    <w:rsid w:val="00971655"/>
    <w:rsid w:val="00971C63"/>
    <w:rsid w:val="00972175"/>
    <w:rsid w:val="00990309"/>
    <w:rsid w:val="00994A9C"/>
    <w:rsid w:val="009A4AE9"/>
    <w:rsid w:val="009B03FD"/>
    <w:rsid w:val="009B3FD0"/>
    <w:rsid w:val="009C71D5"/>
    <w:rsid w:val="009D0222"/>
    <w:rsid w:val="009D509D"/>
    <w:rsid w:val="009D6F98"/>
    <w:rsid w:val="009D79BA"/>
    <w:rsid w:val="009F7CE4"/>
    <w:rsid w:val="00A11162"/>
    <w:rsid w:val="00A12F9D"/>
    <w:rsid w:val="00A2447A"/>
    <w:rsid w:val="00A244FA"/>
    <w:rsid w:val="00A31E44"/>
    <w:rsid w:val="00A36CEB"/>
    <w:rsid w:val="00A426DA"/>
    <w:rsid w:val="00A43227"/>
    <w:rsid w:val="00A449E4"/>
    <w:rsid w:val="00A46CCD"/>
    <w:rsid w:val="00A65133"/>
    <w:rsid w:val="00A652C5"/>
    <w:rsid w:val="00A85C5A"/>
    <w:rsid w:val="00A9047C"/>
    <w:rsid w:val="00A92A6B"/>
    <w:rsid w:val="00A94ED0"/>
    <w:rsid w:val="00A96A08"/>
    <w:rsid w:val="00AA0161"/>
    <w:rsid w:val="00AA1462"/>
    <w:rsid w:val="00AA4132"/>
    <w:rsid w:val="00AB1D08"/>
    <w:rsid w:val="00AB4345"/>
    <w:rsid w:val="00AB5BD7"/>
    <w:rsid w:val="00AC0135"/>
    <w:rsid w:val="00AC070D"/>
    <w:rsid w:val="00AC13FB"/>
    <w:rsid w:val="00AC1B94"/>
    <w:rsid w:val="00AC778D"/>
    <w:rsid w:val="00AD0616"/>
    <w:rsid w:val="00AD257A"/>
    <w:rsid w:val="00AD34FF"/>
    <w:rsid w:val="00AD4DE6"/>
    <w:rsid w:val="00AE5C2E"/>
    <w:rsid w:val="00AE6DBC"/>
    <w:rsid w:val="00AE73CA"/>
    <w:rsid w:val="00AF3E95"/>
    <w:rsid w:val="00AF5455"/>
    <w:rsid w:val="00AF7C67"/>
    <w:rsid w:val="00B0546B"/>
    <w:rsid w:val="00B1162D"/>
    <w:rsid w:val="00B12876"/>
    <w:rsid w:val="00B15FE9"/>
    <w:rsid w:val="00B17778"/>
    <w:rsid w:val="00B51281"/>
    <w:rsid w:val="00B51883"/>
    <w:rsid w:val="00B53D4D"/>
    <w:rsid w:val="00B542BC"/>
    <w:rsid w:val="00B5613F"/>
    <w:rsid w:val="00B57760"/>
    <w:rsid w:val="00B61FD4"/>
    <w:rsid w:val="00B674DB"/>
    <w:rsid w:val="00B82E8D"/>
    <w:rsid w:val="00B8715F"/>
    <w:rsid w:val="00B9264D"/>
    <w:rsid w:val="00B93DD8"/>
    <w:rsid w:val="00B94D99"/>
    <w:rsid w:val="00B95F97"/>
    <w:rsid w:val="00BA1B77"/>
    <w:rsid w:val="00BA3062"/>
    <w:rsid w:val="00BB3FA1"/>
    <w:rsid w:val="00BB62BB"/>
    <w:rsid w:val="00BB7828"/>
    <w:rsid w:val="00BC05C5"/>
    <w:rsid w:val="00BC087B"/>
    <w:rsid w:val="00BD04BE"/>
    <w:rsid w:val="00BE0630"/>
    <w:rsid w:val="00BE6F28"/>
    <w:rsid w:val="00BE7561"/>
    <w:rsid w:val="00BF29FA"/>
    <w:rsid w:val="00BF51E0"/>
    <w:rsid w:val="00C04D2B"/>
    <w:rsid w:val="00C11438"/>
    <w:rsid w:val="00C11D7F"/>
    <w:rsid w:val="00C15294"/>
    <w:rsid w:val="00C27649"/>
    <w:rsid w:val="00C302D4"/>
    <w:rsid w:val="00C35CC4"/>
    <w:rsid w:val="00C3699C"/>
    <w:rsid w:val="00C40FD7"/>
    <w:rsid w:val="00C50850"/>
    <w:rsid w:val="00C54679"/>
    <w:rsid w:val="00C557F2"/>
    <w:rsid w:val="00C57087"/>
    <w:rsid w:val="00C577A5"/>
    <w:rsid w:val="00C65A70"/>
    <w:rsid w:val="00C737C5"/>
    <w:rsid w:val="00C8280E"/>
    <w:rsid w:val="00C94EE4"/>
    <w:rsid w:val="00CA3540"/>
    <w:rsid w:val="00CA6DED"/>
    <w:rsid w:val="00CB3F99"/>
    <w:rsid w:val="00CC3F9B"/>
    <w:rsid w:val="00CC49D4"/>
    <w:rsid w:val="00CE4159"/>
    <w:rsid w:val="00CE6F5A"/>
    <w:rsid w:val="00CF0484"/>
    <w:rsid w:val="00CF42CF"/>
    <w:rsid w:val="00D01345"/>
    <w:rsid w:val="00D102E9"/>
    <w:rsid w:val="00D10DF9"/>
    <w:rsid w:val="00D12995"/>
    <w:rsid w:val="00D1688F"/>
    <w:rsid w:val="00D17486"/>
    <w:rsid w:val="00D2117F"/>
    <w:rsid w:val="00D24F4D"/>
    <w:rsid w:val="00D25317"/>
    <w:rsid w:val="00D25BC1"/>
    <w:rsid w:val="00D35BD8"/>
    <w:rsid w:val="00D438CB"/>
    <w:rsid w:val="00D47CBB"/>
    <w:rsid w:val="00D66E8B"/>
    <w:rsid w:val="00D83148"/>
    <w:rsid w:val="00D85715"/>
    <w:rsid w:val="00D85AD4"/>
    <w:rsid w:val="00D8706C"/>
    <w:rsid w:val="00DA0D97"/>
    <w:rsid w:val="00DA35ED"/>
    <w:rsid w:val="00DA4C62"/>
    <w:rsid w:val="00DA4E9C"/>
    <w:rsid w:val="00DB59FA"/>
    <w:rsid w:val="00DB6A17"/>
    <w:rsid w:val="00DB7CF9"/>
    <w:rsid w:val="00DC0EAF"/>
    <w:rsid w:val="00DC5ED3"/>
    <w:rsid w:val="00DD0B36"/>
    <w:rsid w:val="00DD0DCD"/>
    <w:rsid w:val="00DD18AE"/>
    <w:rsid w:val="00DD4CF0"/>
    <w:rsid w:val="00DD4E84"/>
    <w:rsid w:val="00DD5520"/>
    <w:rsid w:val="00DE22F1"/>
    <w:rsid w:val="00DF16C2"/>
    <w:rsid w:val="00DF2989"/>
    <w:rsid w:val="00DF6D84"/>
    <w:rsid w:val="00E00F76"/>
    <w:rsid w:val="00E03B2E"/>
    <w:rsid w:val="00E154C8"/>
    <w:rsid w:val="00E21E75"/>
    <w:rsid w:val="00E25A34"/>
    <w:rsid w:val="00E34F45"/>
    <w:rsid w:val="00E356D6"/>
    <w:rsid w:val="00E35CE1"/>
    <w:rsid w:val="00E519DC"/>
    <w:rsid w:val="00E54888"/>
    <w:rsid w:val="00E61DD9"/>
    <w:rsid w:val="00E6397C"/>
    <w:rsid w:val="00E646BE"/>
    <w:rsid w:val="00E64AB7"/>
    <w:rsid w:val="00E6571F"/>
    <w:rsid w:val="00E807DA"/>
    <w:rsid w:val="00E82CDB"/>
    <w:rsid w:val="00E84A73"/>
    <w:rsid w:val="00E84E3A"/>
    <w:rsid w:val="00E85CBD"/>
    <w:rsid w:val="00E93B96"/>
    <w:rsid w:val="00E94C06"/>
    <w:rsid w:val="00EA05AF"/>
    <w:rsid w:val="00EA6DB4"/>
    <w:rsid w:val="00EB5CDF"/>
    <w:rsid w:val="00EB5D6C"/>
    <w:rsid w:val="00EC43B9"/>
    <w:rsid w:val="00EC77C2"/>
    <w:rsid w:val="00ED0101"/>
    <w:rsid w:val="00ED0515"/>
    <w:rsid w:val="00ED4D69"/>
    <w:rsid w:val="00ED661B"/>
    <w:rsid w:val="00EE362F"/>
    <w:rsid w:val="00EF0E19"/>
    <w:rsid w:val="00EF2B0A"/>
    <w:rsid w:val="00F114AE"/>
    <w:rsid w:val="00F14E27"/>
    <w:rsid w:val="00F159E8"/>
    <w:rsid w:val="00F21E3A"/>
    <w:rsid w:val="00F26F2A"/>
    <w:rsid w:val="00F32D9F"/>
    <w:rsid w:val="00F43CA0"/>
    <w:rsid w:val="00F54216"/>
    <w:rsid w:val="00F55030"/>
    <w:rsid w:val="00F71D30"/>
    <w:rsid w:val="00F7696F"/>
    <w:rsid w:val="00F8209B"/>
    <w:rsid w:val="00F8634A"/>
    <w:rsid w:val="00F8665F"/>
    <w:rsid w:val="00F90C8D"/>
    <w:rsid w:val="00F95E26"/>
    <w:rsid w:val="00F97CD9"/>
    <w:rsid w:val="00FA0576"/>
    <w:rsid w:val="00FA3D3E"/>
    <w:rsid w:val="00FA55C7"/>
    <w:rsid w:val="00FB50B4"/>
    <w:rsid w:val="00FD4B97"/>
    <w:rsid w:val="00FE55EB"/>
    <w:rsid w:val="00FF0430"/>
    <w:rsid w:val="00FF2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4548">
      <w:bodyDiv w:val="1"/>
      <w:marLeft w:val="0"/>
      <w:marRight w:val="0"/>
      <w:marTop w:val="0"/>
      <w:marBottom w:val="0"/>
      <w:divBdr>
        <w:top w:val="none" w:sz="0" w:space="0" w:color="auto"/>
        <w:left w:val="none" w:sz="0" w:space="0" w:color="auto"/>
        <w:bottom w:val="none" w:sz="0" w:space="0" w:color="auto"/>
        <w:right w:val="none" w:sz="0" w:space="0" w:color="auto"/>
      </w:divBdr>
    </w:div>
    <w:div w:id="726488192">
      <w:bodyDiv w:val="1"/>
      <w:marLeft w:val="0"/>
      <w:marRight w:val="0"/>
      <w:marTop w:val="0"/>
      <w:marBottom w:val="0"/>
      <w:divBdr>
        <w:top w:val="none" w:sz="0" w:space="0" w:color="auto"/>
        <w:left w:val="none" w:sz="0" w:space="0" w:color="auto"/>
        <w:bottom w:val="none" w:sz="0" w:space="0" w:color="auto"/>
        <w:right w:val="none" w:sz="0" w:space="0" w:color="auto"/>
      </w:divBdr>
    </w:div>
    <w:div w:id="90475413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44791379">
      <w:bodyDiv w:val="1"/>
      <w:marLeft w:val="0"/>
      <w:marRight w:val="0"/>
      <w:marTop w:val="0"/>
      <w:marBottom w:val="0"/>
      <w:divBdr>
        <w:top w:val="none" w:sz="0" w:space="0" w:color="auto"/>
        <w:left w:val="none" w:sz="0" w:space="0" w:color="auto"/>
        <w:bottom w:val="none" w:sz="0" w:space="0" w:color="auto"/>
        <w:right w:val="none" w:sz="0" w:space="0" w:color="auto"/>
      </w:divBdr>
    </w:div>
    <w:div w:id="1256943842">
      <w:bodyDiv w:val="1"/>
      <w:marLeft w:val="0"/>
      <w:marRight w:val="0"/>
      <w:marTop w:val="0"/>
      <w:marBottom w:val="0"/>
      <w:divBdr>
        <w:top w:val="none" w:sz="0" w:space="0" w:color="auto"/>
        <w:left w:val="none" w:sz="0" w:space="0" w:color="auto"/>
        <w:bottom w:val="none" w:sz="0" w:space="0" w:color="auto"/>
        <w:right w:val="none" w:sz="0" w:space="0" w:color="auto"/>
      </w:divBdr>
    </w:div>
    <w:div w:id="1314679595">
      <w:bodyDiv w:val="1"/>
      <w:marLeft w:val="0"/>
      <w:marRight w:val="0"/>
      <w:marTop w:val="0"/>
      <w:marBottom w:val="0"/>
      <w:divBdr>
        <w:top w:val="none" w:sz="0" w:space="0" w:color="auto"/>
        <w:left w:val="none" w:sz="0" w:space="0" w:color="auto"/>
        <w:bottom w:val="none" w:sz="0" w:space="0" w:color="auto"/>
        <w:right w:val="none" w:sz="0" w:space="0" w:color="auto"/>
      </w:divBdr>
    </w:div>
    <w:div w:id="1524368930">
      <w:bodyDiv w:val="1"/>
      <w:marLeft w:val="0"/>
      <w:marRight w:val="0"/>
      <w:marTop w:val="0"/>
      <w:marBottom w:val="0"/>
      <w:divBdr>
        <w:top w:val="none" w:sz="0" w:space="0" w:color="auto"/>
        <w:left w:val="none" w:sz="0" w:space="0" w:color="auto"/>
        <w:bottom w:val="none" w:sz="0" w:space="0" w:color="auto"/>
        <w:right w:val="none" w:sz="0" w:space="0" w:color="auto"/>
      </w:divBdr>
    </w:div>
    <w:div w:id="1623922811">
      <w:bodyDiv w:val="1"/>
      <w:marLeft w:val="0"/>
      <w:marRight w:val="0"/>
      <w:marTop w:val="0"/>
      <w:marBottom w:val="0"/>
      <w:divBdr>
        <w:top w:val="none" w:sz="0" w:space="0" w:color="auto"/>
        <w:left w:val="none" w:sz="0" w:space="0" w:color="auto"/>
        <w:bottom w:val="none" w:sz="0" w:space="0" w:color="auto"/>
        <w:right w:val="none" w:sz="0" w:space="0" w:color="auto"/>
      </w:divBdr>
    </w:div>
    <w:div w:id="1733573780">
      <w:bodyDiv w:val="1"/>
      <w:marLeft w:val="0"/>
      <w:marRight w:val="0"/>
      <w:marTop w:val="0"/>
      <w:marBottom w:val="0"/>
      <w:divBdr>
        <w:top w:val="none" w:sz="0" w:space="0" w:color="auto"/>
        <w:left w:val="none" w:sz="0" w:space="0" w:color="auto"/>
        <w:bottom w:val="none" w:sz="0" w:space="0" w:color="auto"/>
        <w:right w:val="none" w:sz="0" w:space="0" w:color="auto"/>
      </w:divBdr>
    </w:div>
    <w:div w:id="18583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A6505FC1.dotm</Template>
  <TotalTime>0</TotalTime>
  <Pages>15</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2014-11-26T06:46:00Z</dcterms:created>
  <dcterms:modified xsi:type="dcterms:W3CDTF">2014-11-26T06:47:00Z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8249861</vt:lpwstr>
  </property>
</Properties>
</file>